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16D747">
      <w:pPr>
        <w:spacing w:line="360" w:lineRule="auto"/>
        <w:jc w:val="center"/>
        <w:rPr>
          <w:rFonts w:asciiTheme="minorEastAsia" w:hAnsiTheme="minorEastAsia" w:eastAsiaTheme="minorEastAsia" w:cstheme="minorEastAsia"/>
          <w:color w:val="auto"/>
          <w:sz w:val="28"/>
          <w:highlight w:val="none"/>
        </w:rPr>
      </w:pPr>
      <w:bookmarkStart w:id="0" w:name="_Hlk69393945"/>
      <w:bookmarkStart w:id="1" w:name="_Toc528771312"/>
      <w:bookmarkStart w:id="2" w:name="_Toc27744861"/>
    </w:p>
    <w:p w14:paraId="0D5ECDE1">
      <w:pPr>
        <w:spacing w:before="120" w:after="120" w:line="360" w:lineRule="auto"/>
        <w:jc w:val="center"/>
        <w:rPr>
          <w:rFonts w:asciiTheme="minorEastAsia" w:hAnsiTheme="minorEastAsia" w:eastAsiaTheme="minorEastAsia" w:cstheme="minorEastAsia"/>
          <w:b/>
          <w:bCs/>
          <w:color w:val="auto"/>
          <w:sz w:val="84"/>
          <w:szCs w:val="24"/>
          <w:highlight w:val="none"/>
        </w:rPr>
      </w:pPr>
    </w:p>
    <w:p w14:paraId="72368D32">
      <w:pPr>
        <w:spacing w:before="120" w:after="120" w:line="360" w:lineRule="auto"/>
        <w:jc w:val="center"/>
        <w:rPr>
          <w:rFonts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竞争性磋商文件</w:t>
      </w:r>
    </w:p>
    <w:p w14:paraId="3D22678B">
      <w:pPr>
        <w:spacing w:line="360" w:lineRule="auto"/>
        <w:jc w:val="center"/>
        <w:rPr>
          <w:rFonts w:asciiTheme="minorEastAsia" w:hAnsiTheme="minorEastAsia" w:eastAsiaTheme="minorEastAsia" w:cstheme="minorEastAsia"/>
          <w:color w:val="auto"/>
          <w:sz w:val="36"/>
          <w:highlight w:val="none"/>
        </w:rPr>
      </w:pPr>
    </w:p>
    <w:p w14:paraId="56E9ABBF">
      <w:pPr>
        <w:spacing w:line="360" w:lineRule="auto"/>
        <w:jc w:val="center"/>
        <w:rPr>
          <w:rFonts w:asciiTheme="minorEastAsia" w:hAnsiTheme="minorEastAsia" w:eastAsiaTheme="minorEastAsia" w:cstheme="minorEastAsia"/>
          <w:color w:val="auto"/>
          <w:sz w:val="36"/>
          <w:highlight w:val="none"/>
        </w:rPr>
      </w:pPr>
    </w:p>
    <w:p w14:paraId="4E2D5B79">
      <w:pPr>
        <w:spacing w:line="360" w:lineRule="auto"/>
        <w:jc w:val="center"/>
        <w:rPr>
          <w:rFonts w:hint="default" w:eastAsia="宋体" w:asciiTheme="minorEastAsia" w:hAnsi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项目名称：</w:t>
      </w:r>
      <w:r>
        <w:rPr>
          <w:rFonts w:hint="eastAsia" w:ascii="宋体" w:hAnsi="宋体" w:cs="宋体"/>
          <w:b/>
          <w:color w:val="auto"/>
          <w:sz w:val="30"/>
          <w:highlight w:val="none"/>
          <w:lang w:eastAsia="zh-CN"/>
        </w:rPr>
        <w:t>2026开发区绿化养护管养</w:t>
      </w:r>
      <w:r>
        <w:rPr>
          <w:rFonts w:hint="eastAsia" w:ascii="宋体" w:hAnsi="宋体" w:cs="宋体"/>
          <w:b/>
          <w:color w:val="auto"/>
          <w:sz w:val="30"/>
          <w:highlight w:val="none"/>
          <w:lang w:val="en-US" w:eastAsia="zh-CN"/>
        </w:rPr>
        <w:t>项目</w:t>
      </w:r>
    </w:p>
    <w:p w14:paraId="650D7E81">
      <w:pPr>
        <w:spacing w:line="360" w:lineRule="auto"/>
        <w:jc w:val="center"/>
        <w:rPr>
          <w:rFonts w:asciiTheme="minorEastAsia" w:hAnsiTheme="minorEastAsia" w:eastAsiaTheme="minorEastAsia" w:cstheme="minorEastAsia"/>
          <w:color w:val="auto"/>
          <w:sz w:val="36"/>
          <w:highlight w:val="none"/>
        </w:rPr>
      </w:pPr>
      <w:r>
        <w:rPr>
          <w:rFonts w:hint="eastAsia" w:eastAsia="宋体" w:asciiTheme="minorEastAsia" w:hAnsiTheme="minorEastAsia" w:cstheme="minorEastAsia"/>
          <w:b/>
          <w:color w:val="auto"/>
          <w:sz w:val="32"/>
          <w:szCs w:val="32"/>
          <w:highlight w:val="none"/>
          <w:lang w:val="en-US" w:eastAsia="zh-CN"/>
        </w:rPr>
        <w:t xml:space="preserve">    </w:t>
      </w:r>
      <w:r>
        <w:rPr>
          <w:rFonts w:hint="eastAsia" w:asciiTheme="minorEastAsia" w:hAnsiTheme="minorEastAsia" w:eastAsiaTheme="minorEastAsia" w:cstheme="minorEastAsia"/>
          <w:b/>
          <w:color w:val="auto"/>
          <w:sz w:val="32"/>
          <w:szCs w:val="32"/>
          <w:highlight w:val="none"/>
        </w:rPr>
        <w:t>项目编号：JSZC-321023-HCZX-C2026-0025</w:t>
      </w:r>
    </w:p>
    <w:p w14:paraId="04A926FE">
      <w:pPr>
        <w:spacing w:line="360" w:lineRule="auto"/>
        <w:jc w:val="center"/>
        <w:rPr>
          <w:rFonts w:asciiTheme="minorEastAsia" w:hAnsiTheme="minorEastAsia" w:eastAsiaTheme="minorEastAsia" w:cstheme="minorEastAsia"/>
          <w:color w:val="auto"/>
          <w:sz w:val="36"/>
          <w:highlight w:val="none"/>
        </w:rPr>
      </w:pPr>
    </w:p>
    <w:p w14:paraId="065590C6">
      <w:pPr>
        <w:spacing w:line="360" w:lineRule="auto"/>
        <w:jc w:val="center"/>
        <w:rPr>
          <w:rFonts w:asciiTheme="minorEastAsia" w:hAnsiTheme="minorEastAsia" w:eastAsiaTheme="minorEastAsia" w:cstheme="minorEastAsia"/>
          <w:color w:val="auto"/>
          <w:sz w:val="36"/>
          <w:highlight w:val="none"/>
        </w:rPr>
      </w:pPr>
    </w:p>
    <w:p w14:paraId="0897017E">
      <w:pPr>
        <w:spacing w:line="360" w:lineRule="auto"/>
        <w:jc w:val="center"/>
        <w:rPr>
          <w:rFonts w:asciiTheme="minorEastAsia" w:hAnsiTheme="minorEastAsia" w:eastAsiaTheme="minorEastAsia" w:cstheme="minorEastAsia"/>
          <w:color w:val="auto"/>
          <w:sz w:val="36"/>
          <w:highlight w:val="none"/>
        </w:rPr>
      </w:pPr>
    </w:p>
    <w:p w14:paraId="14EEDDD5">
      <w:pPr>
        <w:spacing w:line="360" w:lineRule="auto"/>
        <w:jc w:val="center"/>
        <w:rPr>
          <w:rFonts w:asciiTheme="minorEastAsia" w:hAnsiTheme="minorEastAsia" w:eastAsiaTheme="minorEastAsia" w:cstheme="minorEastAsia"/>
          <w:color w:val="auto"/>
          <w:sz w:val="36"/>
          <w:highlight w:val="none"/>
        </w:rPr>
      </w:pPr>
    </w:p>
    <w:p w14:paraId="2EDCAEC0">
      <w:pPr>
        <w:spacing w:line="360" w:lineRule="auto"/>
        <w:rPr>
          <w:rFonts w:asciiTheme="minorEastAsia" w:hAnsiTheme="minorEastAsia" w:eastAsiaTheme="minorEastAsia" w:cstheme="minorEastAsia"/>
          <w:color w:val="auto"/>
          <w:sz w:val="36"/>
          <w:highlight w:val="none"/>
        </w:rPr>
      </w:pPr>
    </w:p>
    <w:p w14:paraId="36D47464">
      <w:pPr>
        <w:spacing w:line="360" w:lineRule="auto"/>
        <w:jc w:val="center"/>
        <w:rPr>
          <w:rFonts w:asciiTheme="minorEastAsia" w:hAnsiTheme="minorEastAsia" w:eastAsiaTheme="minorEastAsia" w:cstheme="minorEastAsia"/>
          <w:color w:val="auto"/>
          <w:sz w:val="36"/>
          <w:highlight w:val="none"/>
        </w:rPr>
      </w:pPr>
    </w:p>
    <w:p w14:paraId="38918D6A">
      <w:pPr>
        <w:jc w:val="center"/>
        <w:rPr>
          <w:rFonts w:hint="eastAsia" w:asciiTheme="minorEastAsia" w:hAnsiTheme="minorEastAsia" w:eastAsiaTheme="minorEastAsia" w:cstheme="minorEastAsia"/>
          <w:color w:val="auto"/>
          <w:sz w:val="32"/>
          <w:szCs w:val="32"/>
          <w:highlight w:val="none"/>
          <w:lang w:eastAsia="zh-CN"/>
        </w:rPr>
      </w:pPr>
      <w:bookmarkStart w:id="3" w:name="FMFBSJ_1"/>
      <w:r>
        <w:rPr>
          <w:rFonts w:hint="eastAsia" w:asciiTheme="minorEastAsia" w:hAnsiTheme="minorEastAsia" w:eastAsiaTheme="minorEastAsia" w:cstheme="minorEastAsia"/>
          <w:color w:val="auto"/>
          <w:sz w:val="32"/>
          <w:szCs w:val="32"/>
          <w:highlight w:val="none"/>
        </w:rPr>
        <w:t>采 购 人：</w:t>
      </w:r>
      <w:r>
        <w:rPr>
          <w:rFonts w:hint="eastAsia" w:asciiTheme="minorEastAsia" w:hAnsiTheme="minorEastAsia" w:eastAsiaTheme="minorEastAsia" w:cstheme="minorEastAsia"/>
          <w:color w:val="auto"/>
          <w:sz w:val="32"/>
          <w:szCs w:val="32"/>
          <w:highlight w:val="none"/>
          <w:lang w:eastAsia="zh-CN"/>
        </w:rPr>
        <w:t>江苏宝应经济开发区管理委员会</w:t>
      </w:r>
    </w:p>
    <w:p w14:paraId="39E5B4C7">
      <w:pPr>
        <w:jc w:val="center"/>
        <w:rPr>
          <w:rFonts w:hint="eastAsia" w:eastAsia="宋体" w:asciiTheme="minorEastAsia" w:hAnsiTheme="minorEastAsia" w:cstheme="minorEastAsia"/>
          <w:color w:val="auto"/>
          <w:sz w:val="32"/>
          <w:szCs w:val="32"/>
          <w:highlight w:val="none"/>
          <w:lang w:eastAsia="zh-CN"/>
        </w:rPr>
      </w:pPr>
      <w:r>
        <w:rPr>
          <w:rFonts w:hint="eastAsia" w:asciiTheme="minorEastAsia" w:hAnsi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采购代理机构：</w:t>
      </w:r>
      <w:r>
        <w:rPr>
          <w:rFonts w:hint="eastAsia" w:asciiTheme="minorEastAsia" w:hAnsiTheme="minorEastAsia" w:cstheme="minorEastAsia"/>
          <w:color w:val="auto"/>
          <w:sz w:val="32"/>
          <w:szCs w:val="32"/>
          <w:highlight w:val="none"/>
          <w:lang w:eastAsia="zh-CN"/>
        </w:rPr>
        <w:t>江苏汇诚投资咨询管理有限公司</w:t>
      </w:r>
    </w:p>
    <w:p w14:paraId="136DB89F">
      <w:pPr>
        <w:jc w:val="center"/>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lang w:eastAsia="zh-CN"/>
        </w:rPr>
        <w:t>2026年</w:t>
      </w:r>
      <w:r>
        <w:rPr>
          <w:rFonts w:hint="eastAsia" w:asciiTheme="minorEastAsia" w:hAnsiTheme="minorEastAsia" w:eastAsiaTheme="minorEastAsia" w:cstheme="minorEastAsia"/>
          <w:color w:val="auto"/>
          <w:sz w:val="32"/>
          <w:szCs w:val="32"/>
          <w:highlight w:val="none"/>
          <w:lang w:val="en-US" w:eastAsia="zh-CN"/>
        </w:rPr>
        <w:t>7</w:t>
      </w:r>
      <w:r>
        <w:rPr>
          <w:rFonts w:hint="eastAsia" w:asciiTheme="minorEastAsia" w:hAnsiTheme="minorEastAsia" w:eastAsiaTheme="minorEastAsia" w:cstheme="minorEastAsia"/>
          <w:color w:val="auto"/>
          <w:sz w:val="32"/>
          <w:szCs w:val="32"/>
          <w:highlight w:val="none"/>
          <w:lang w:eastAsia="zh-CN"/>
        </w:rPr>
        <w:t>月</w:t>
      </w:r>
      <w:bookmarkEnd w:id="3"/>
    </w:p>
    <w:p w14:paraId="3748343C">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p>
    <w:p w14:paraId="2675AE4A">
      <w:pPr>
        <w:spacing w:line="360" w:lineRule="auto"/>
        <w:jc w:val="center"/>
        <w:rPr>
          <w:rFonts w:asciiTheme="minorEastAsia" w:hAnsiTheme="minorEastAsia" w:eastAsiaTheme="minorEastAsia" w:cstheme="minorEastAsia"/>
          <w:b/>
          <w:color w:val="auto"/>
          <w:sz w:val="44"/>
          <w:szCs w:val="21"/>
          <w:highlight w:val="none"/>
        </w:rPr>
      </w:pPr>
      <w:r>
        <w:rPr>
          <w:rFonts w:hint="eastAsia" w:asciiTheme="minorEastAsia" w:hAnsiTheme="minorEastAsia" w:eastAsiaTheme="minorEastAsia" w:cstheme="minorEastAsia"/>
          <w:b/>
          <w:color w:val="auto"/>
          <w:sz w:val="44"/>
          <w:szCs w:val="21"/>
          <w:highlight w:val="none"/>
        </w:rPr>
        <w:t>总  目  录</w:t>
      </w:r>
    </w:p>
    <w:p w14:paraId="176578B9">
      <w:pPr>
        <w:pStyle w:val="17"/>
        <w:rPr>
          <w:rFonts w:asciiTheme="minorEastAsia" w:hAnsiTheme="minorEastAsia" w:eastAsiaTheme="minorEastAsia" w:cstheme="minorEastAsia"/>
          <w:color w:val="auto"/>
          <w:highlight w:val="none"/>
        </w:rPr>
      </w:pPr>
    </w:p>
    <w:p w14:paraId="7FA0526F">
      <w:pPr>
        <w:numPr>
          <w:ilvl w:val="0"/>
          <w:numId w:val="2"/>
        </w:numPr>
        <w:spacing w:line="480" w:lineRule="auto"/>
        <w:outlineLvl w:val="0"/>
        <w:rPr>
          <w:rFonts w:asciiTheme="minorEastAsia" w:hAnsiTheme="minorEastAsia" w:eastAsiaTheme="minorEastAsia" w:cstheme="minorEastAsia"/>
          <w:color w:val="auto"/>
          <w:sz w:val="32"/>
          <w:szCs w:val="21"/>
          <w:highlight w:val="none"/>
        </w:rPr>
      </w:pPr>
      <w:r>
        <w:rPr>
          <w:rFonts w:hint="eastAsia" w:asciiTheme="minorEastAsia" w:hAnsiTheme="minorEastAsia" w:eastAsiaTheme="minorEastAsia" w:cstheme="minorEastAsia"/>
          <w:color w:val="auto"/>
          <w:sz w:val="36"/>
          <w:szCs w:val="21"/>
          <w:highlight w:val="none"/>
        </w:rPr>
        <w:t>磋商邀请…………………………………</w:t>
      </w:r>
      <w:r>
        <w:rPr>
          <w:rFonts w:hint="eastAsia" w:eastAsia="宋体" w:asciiTheme="minorEastAsia" w:hAnsiTheme="minorEastAsia" w:cstheme="minorEastAsia"/>
          <w:color w:val="auto"/>
          <w:sz w:val="36"/>
          <w:szCs w:val="21"/>
          <w:highlight w:val="none"/>
          <w:lang w:val="en-US" w:eastAsia="zh-CN"/>
        </w:rPr>
        <w:t>3</w:t>
      </w:r>
      <w:r>
        <w:rPr>
          <w:rFonts w:hint="eastAsia" w:asciiTheme="minorEastAsia" w:hAnsiTheme="minorEastAsia" w:eastAsiaTheme="minorEastAsia" w:cstheme="minorEastAsia"/>
          <w:color w:val="auto"/>
          <w:sz w:val="36"/>
          <w:szCs w:val="21"/>
          <w:highlight w:val="none"/>
        </w:rPr>
        <w:t xml:space="preserve"> </w:t>
      </w:r>
    </w:p>
    <w:p w14:paraId="5AE4ABC5">
      <w:pPr>
        <w:numPr>
          <w:ilvl w:val="0"/>
          <w:numId w:val="2"/>
        </w:numPr>
        <w:spacing w:line="480" w:lineRule="auto"/>
        <w:outlineLvl w:val="0"/>
        <w:rPr>
          <w:rFonts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bCs/>
          <w:color w:val="auto"/>
          <w:sz w:val="36"/>
          <w:szCs w:val="36"/>
          <w:highlight w:val="none"/>
        </w:rPr>
        <w:t>供应商须知</w:t>
      </w:r>
      <w:r>
        <w:rPr>
          <w:rFonts w:hint="eastAsia" w:asciiTheme="minorEastAsia" w:hAnsiTheme="minorEastAsia" w:eastAsiaTheme="minorEastAsia" w:cstheme="minorEastAsia"/>
          <w:color w:val="auto"/>
          <w:sz w:val="36"/>
          <w:szCs w:val="36"/>
          <w:highlight w:val="none"/>
        </w:rPr>
        <w:t>…</w:t>
      </w:r>
      <w:r>
        <w:rPr>
          <w:rFonts w:hint="eastAsia" w:asciiTheme="minorEastAsia" w:hAnsiTheme="minorEastAsia" w:eastAsiaTheme="minorEastAsia" w:cstheme="minorEastAsia"/>
          <w:color w:val="auto"/>
          <w:sz w:val="36"/>
          <w:szCs w:val="21"/>
          <w:highlight w:val="none"/>
        </w:rPr>
        <w:t>……………………………</w:t>
      </w:r>
      <w:r>
        <w:rPr>
          <w:rFonts w:hint="eastAsia" w:eastAsia="宋体" w:asciiTheme="minorEastAsia" w:hAnsiTheme="minorEastAsia" w:cstheme="minorEastAsia"/>
          <w:color w:val="auto"/>
          <w:sz w:val="36"/>
          <w:szCs w:val="21"/>
          <w:highlight w:val="none"/>
          <w:lang w:val="en-US" w:eastAsia="zh-CN"/>
        </w:rPr>
        <w:t>6</w:t>
      </w:r>
      <w:r>
        <w:rPr>
          <w:rFonts w:hint="eastAsia" w:asciiTheme="minorEastAsia" w:hAnsiTheme="minorEastAsia" w:eastAsiaTheme="minorEastAsia" w:cstheme="minorEastAsia"/>
          <w:color w:val="auto"/>
          <w:sz w:val="36"/>
          <w:szCs w:val="21"/>
          <w:highlight w:val="none"/>
        </w:rPr>
        <w:t xml:space="preserve">  </w:t>
      </w:r>
    </w:p>
    <w:p w14:paraId="3C12EBBF">
      <w:pPr>
        <w:numPr>
          <w:ilvl w:val="0"/>
          <w:numId w:val="2"/>
        </w:numPr>
        <w:spacing w:line="480" w:lineRule="auto"/>
        <w:outlineLvl w:val="0"/>
        <w:rPr>
          <w:rFonts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color w:val="auto"/>
          <w:sz w:val="36"/>
          <w:szCs w:val="21"/>
          <w:highlight w:val="none"/>
        </w:rPr>
        <w:t>合同文本…………………………………</w:t>
      </w:r>
      <w:r>
        <w:rPr>
          <w:rFonts w:hint="eastAsia" w:eastAsia="宋体" w:asciiTheme="minorEastAsia" w:hAnsiTheme="minorEastAsia" w:cstheme="minorEastAsia"/>
          <w:color w:val="auto"/>
          <w:sz w:val="36"/>
          <w:szCs w:val="21"/>
          <w:highlight w:val="none"/>
          <w:lang w:val="en-US" w:eastAsia="zh-CN"/>
        </w:rPr>
        <w:t>19</w:t>
      </w:r>
    </w:p>
    <w:p w14:paraId="3767B251">
      <w:pPr>
        <w:numPr>
          <w:ilvl w:val="0"/>
          <w:numId w:val="2"/>
        </w:numPr>
        <w:spacing w:line="480" w:lineRule="auto"/>
        <w:outlineLvl w:val="0"/>
        <w:rPr>
          <w:rFonts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color w:val="auto"/>
          <w:sz w:val="36"/>
          <w:szCs w:val="21"/>
          <w:highlight w:val="none"/>
        </w:rPr>
        <w:t>采购需求…………………………………</w:t>
      </w:r>
      <w:r>
        <w:rPr>
          <w:rFonts w:hint="eastAsia" w:eastAsia="宋体" w:asciiTheme="minorEastAsia" w:hAnsiTheme="minorEastAsia" w:cstheme="minorEastAsia"/>
          <w:color w:val="auto"/>
          <w:sz w:val="36"/>
          <w:szCs w:val="21"/>
          <w:highlight w:val="none"/>
          <w:lang w:val="en-US" w:eastAsia="zh-CN"/>
        </w:rPr>
        <w:t>24</w:t>
      </w:r>
    </w:p>
    <w:p w14:paraId="7C14C772">
      <w:pPr>
        <w:numPr>
          <w:ilvl w:val="0"/>
          <w:numId w:val="2"/>
        </w:numPr>
        <w:spacing w:line="480" w:lineRule="auto"/>
        <w:outlineLvl w:val="0"/>
        <w:rPr>
          <w:rFonts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bCs/>
          <w:color w:val="auto"/>
          <w:sz w:val="36"/>
          <w:szCs w:val="36"/>
          <w:highlight w:val="none"/>
        </w:rPr>
        <w:t>评审方法与评审标准</w:t>
      </w:r>
      <w:r>
        <w:rPr>
          <w:rFonts w:hint="eastAsia" w:asciiTheme="minorEastAsia" w:hAnsiTheme="minorEastAsia" w:eastAsiaTheme="minorEastAsia" w:cstheme="minorEastAsia"/>
          <w:color w:val="auto"/>
          <w:sz w:val="36"/>
          <w:szCs w:val="21"/>
          <w:highlight w:val="none"/>
        </w:rPr>
        <w:t>……………………</w:t>
      </w:r>
      <w:r>
        <w:rPr>
          <w:rFonts w:hint="eastAsia" w:eastAsia="宋体" w:asciiTheme="minorEastAsia" w:hAnsiTheme="minorEastAsia" w:cstheme="minorEastAsia"/>
          <w:color w:val="auto"/>
          <w:sz w:val="36"/>
          <w:szCs w:val="21"/>
          <w:highlight w:val="none"/>
          <w:lang w:val="en-US" w:eastAsia="zh-CN"/>
        </w:rPr>
        <w:t>42</w:t>
      </w:r>
    </w:p>
    <w:p w14:paraId="02415E9A">
      <w:pPr>
        <w:numPr>
          <w:ilvl w:val="0"/>
          <w:numId w:val="2"/>
        </w:numPr>
        <w:spacing w:line="480" w:lineRule="auto"/>
        <w:outlineLvl w:val="0"/>
        <w:rPr>
          <w:rFonts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color w:val="auto"/>
          <w:sz w:val="36"/>
          <w:szCs w:val="21"/>
          <w:highlight w:val="none"/>
        </w:rPr>
        <w:t>响应文件格式……………………………</w:t>
      </w:r>
      <w:r>
        <w:rPr>
          <w:rFonts w:hint="eastAsia" w:eastAsia="宋体" w:asciiTheme="minorEastAsia" w:hAnsiTheme="minorEastAsia" w:cstheme="minorEastAsia"/>
          <w:color w:val="auto"/>
          <w:sz w:val="36"/>
          <w:szCs w:val="21"/>
          <w:highlight w:val="none"/>
          <w:lang w:val="en-US" w:eastAsia="zh-CN"/>
        </w:rPr>
        <w:t>46</w:t>
      </w:r>
    </w:p>
    <w:p w14:paraId="754A0FCF">
      <w:pPr>
        <w:spacing w:line="360" w:lineRule="auto"/>
        <w:rPr>
          <w:rFonts w:asciiTheme="minorEastAsia" w:hAnsiTheme="minorEastAsia" w:eastAsiaTheme="minorEastAsia" w:cstheme="minorEastAsia"/>
          <w:color w:val="auto"/>
          <w:highlight w:val="none"/>
        </w:rPr>
      </w:pPr>
    </w:p>
    <w:p w14:paraId="7AE35A42">
      <w:pPr>
        <w:keepNext/>
        <w:jc w:val="center"/>
        <w:outlineLvl w:val="0"/>
        <w:rPr>
          <w:rFonts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color w:val="auto"/>
          <w:sz w:val="36"/>
          <w:szCs w:val="36"/>
          <w:highlight w:val="none"/>
        </w:rPr>
        <w:br w:type="page" w:clear="all"/>
      </w:r>
      <w:r>
        <w:rPr>
          <w:rFonts w:hint="eastAsia" w:asciiTheme="minorEastAsia" w:hAnsiTheme="minorEastAsia" w:eastAsiaTheme="minorEastAsia" w:cstheme="minorEastAsia"/>
          <w:color w:val="auto"/>
          <w:sz w:val="44"/>
          <w:szCs w:val="44"/>
          <w:highlight w:val="none"/>
        </w:rPr>
        <w:t>第一章  磋商邀请</w:t>
      </w:r>
    </w:p>
    <w:p w14:paraId="379ABCE9">
      <w:pPr>
        <w:pStyle w:val="17"/>
        <w:tabs>
          <w:tab w:val="left" w:pos="3150"/>
          <w:tab w:val="center" w:pos="4725"/>
        </w:tabs>
        <w:jc w:val="center"/>
        <w:rPr>
          <w:rFonts w:asciiTheme="minorEastAsia" w:hAnsiTheme="minorEastAsia" w:eastAsiaTheme="minorEastAsia" w:cstheme="minorEastAsia"/>
          <w:b/>
          <w:bCs/>
          <w:color w:val="auto"/>
          <w:sz w:val="21"/>
          <w:szCs w:val="21"/>
          <w:highlight w:val="none"/>
        </w:rPr>
      </w:pPr>
    </w:p>
    <w:p w14:paraId="49BEAC02">
      <w:pPr>
        <w:pageBreakBefore w:val="0"/>
        <w:widowControl/>
        <w:kinsoku/>
        <w:wordWrap/>
        <w:overflowPunct/>
        <w:topLinePunct w:val="0"/>
        <w:autoSpaceDE/>
        <w:autoSpaceDN/>
        <w:bidi w:val="0"/>
        <w:adjustRightInd/>
        <w:snapToGrid/>
        <w:spacing w:line="440" w:lineRule="exact"/>
        <w:ind w:firstLine="482"/>
        <w:jc w:val="left"/>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受</w:t>
      </w:r>
      <w:r>
        <w:rPr>
          <w:rFonts w:hint="eastAsia" w:asciiTheme="minorEastAsia" w:hAnsiTheme="minorEastAsia" w:eastAsiaTheme="minorEastAsia" w:cstheme="minorEastAsia"/>
          <w:color w:val="auto"/>
          <w:sz w:val="24"/>
          <w:szCs w:val="24"/>
          <w:highlight w:val="none"/>
          <w:lang w:eastAsia="zh-CN"/>
        </w:rPr>
        <w:t>江苏宝应经济开发区管理委员会</w:t>
      </w:r>
      <w:r>
        <w:rPr>
          <w:rFonts w:hint="eastAsia" w:asciiTheme="minorEastAsia" w:hAnsiTheme="minorEastAsia" w:eastAsiaTheme="minorEastAsia" w:cstheme="minorEastAsia"/>
          <w:color w:val="auto"/>
          <w:sz w:val="24"/>
          <w:szCs w:val="24"/>
          <w:highlight w:val="none"/>
        </w:rPr>
        <w:t>的委托，</w:t>
      </w:r>
      <w:r>
        <w:rPr>
          <w:rFonts w:hint="eastAsia" w:asciiTheme="minorEastAsia" w:hAnsiTheme="minorEastAsia" w:cstheme="minorEastAsia"/>
          <w:color w:val="auto"/>
          <w:sz w:val="24"/>
          <w:szCs w:val="24"/>
          <w:highlight w:val="none"/>
          <w:lang w:eastAsia="zh-CN"/>
        </w:rPr>
        <w:t>江苏汇诚投资咨询管理有限公司</w:t>
      </w:r>
      <w:r>
        <w:rPr>
          <w:rFonts w:hint="eastAsia" w:asciiTheme="minorEastAsia" w:hAnsiTheme="minorEastAsia" w:eastAsiaTheme="minorEastAsia" w:cstheme="minorEastAsia"/>
          <w:color w:val="auto"/>
          <w:sz w:val="24"/>
          <w:szCs w:val="24"/>
          <w:highlight w:val="none"/>
        </w:rPr>
        <w:t>就</w:t>
      </w:r>
      <w:r>
        <w:rPr>
          <w:rFonts w:hint="eastAsia" w:ascii="宋体" w:hAnsi="宋体" w:cs="宋体"/>
          <w:color w:val="auto"/>
          <w:sz w:val="24"/>
          <w:szCs w:val="24"/>
          <w:highlight w:val="none"/>
          <w:lang w:eastAsia="zh-CN"/>
        </w:rPr>
        <w:t>江苏宝应经济开发区管理委员会2026开发区绿化养护管养</w:t>
      </w:r>
      <w:r>
        <w:rPr>
          <w:rFonts w:hint="eastAsia" w:ascii="宋体" w:hAnsi="宋体" w:cs="宋体"/>
          <w:color w:val="auto"/>
          <w:sz w:val="24"/>
          <w:szCs w:val="24"/>
          <w:highlight w:val="none"/>
          <w:lang w:val="en-US" w:eastAsia="zh-CN"/>
        </w:rPr>
        <w:t>项目</w:t>
      </w:r>
      <w:r>
        <w:rPr>
          <w:rFonts w:hint="eastAsia" w:asciiTheme="minorEastAsia" w:hAnsiTheme="minorEastAsia" w:eastAsiaTheme="minorEastAsia" w:cstheme="minorEastAsia"/>
          <w:color w:val="auto"/>
          <w:sz w:val="24"/>
          <w:szCs w:val="24"/>
          <w:highlight w:val="none"/>
          <w:u w:val="single"/>
          <w:lang w:eastAsia="zh-CN"/>
        </w:rPr>
        <w:t>（JSZC-321023-HCZX-C2026-0025）</w:t>
      </w:r>
      <w:r>
        <w:rPr>
          <w:rFonts w:hint="eastAsia" w:asciiTheme="minorEastAsia" w:hAnsiTheme="minorEastAsia" w:eastAsiaTheme="minorEastAsia" w:cstheme="minorEastAsia"/>
          <w:color w:val="auto"/>
          <w:sz w:val="24"/>
          <w:szCs w:val="24"/>
          <w:highlight w:val="none"/>
        </w:rPr>
        <w:t>进行竞争性磋商采购，欢迎符合条件的供应商参加磋商。</w:t>
      </w:r>
    </w:p>
    <w:p w14:paraId="4E9982B4">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ind w:firstLine="422"/>
        <w:textAlignment w:val="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项目概况：</w:t>
      </w:r>
    </w:p>
    <w:p w14:paraId="75F04C71">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u w:val="single"/>
          <w:lang w:eastAsia="zh-CN"/>
        </w:rPr>
        <w:t>江苏宝应经济开发区管理委员会2026开发区绿化养护管养</w:t>
      </w:r>
      <w:r>
        <w:rPr>
          <w:rFonts w:hint="eastAsia" w:ascii="宋体" w:hAnsi="宋体" w:cs="宋体"/>
          <w:color w:val="auto"/>
          <w:sz w:val="24"/>
          <w:szCs w:val="24"/>
          <w:highlight w:val="none"/>
          <w:u w:val="single"/>
          <w:lang w:val="en-US" w:eastAsia="zh-CN"/>
        </w:rPr>
        <w:t>项目</w:t>
      </w:r>
      <w:r>
        <w:rPr>
          <w:rFonts w:hint="eastAsia" w:asciiTheme="minorEastAsia" w:hAnsiTheme="minorEastAsia" w:eastAsiaTheme="minorEastAsia" w:cstheme="minorEastAsia"/>
          <w:color w:val="auto"/>
          <w:sz w:val="24"/>
          <w:szCs w:val="24"/>
          <w:highlight w:val="none"/>
        </w:rPr>
        <w:t>的潜在供应商可在</w:t>
      </w:r>
      <w:r>
        <w:rPr>
          <w:rFonts w:hint="eastAsia" w:asciiTheme="minorEastAsia" w:hAnsiTheme="minorEastAsia" w:eastAsiaTheme="minorEastAsia" w:cstheme="minorEastAsia"/>
          <w:color w:val="auto"/>
          <w:sz w:val="24"/>
          <w:szCs w:val="24"/>
          <w:highlight w:val="none"/>
          <w:u w:val="single"/>
        </w:rPr>
        <w:t xml:space="preserve"> “江苏省政府采购网”、“扬州市政府采购网”</w:t>
      </w:r>
      <w:r>
        <w:rPr>
          <w:rFonts w:hint="eastAsia" w:asciiTheme="minorEastAsia" w:hAnsiTheme="minorEastAsia" w:eastAsiaTheme="minorEastAsia" w:cstheme="minorEastAsia"/>
          <w:color w:val="auto"/>
          <w:sz w:val="24"/>
          <w:szCs w:val="24"/>
          <w:highlight w:val="none"/>
        </w:rPr>
        <w:t>自行免费下载磋商文件，并于</w:t>
      </w:r>
      <w:bookmarkStart w:id="4" w:name="XMTBJSR_1"/>
      <w:r>
        <w:rPr>
          <w:rFonts w:hint="eastAsia" w:asciiTheme="minorEastAsia" w:hAnsiTheme="minorEastAsia" w:eastAsiaTheme="minorEastAsia" w:cstheme="minorEastAsia"/>
          <w:bCs/>
          <w:color w:val="auto"/>
          <w:sz w:val="24"/>
          <w:szCs w:val="24"/>
          <w:highlight w:val="none"/>
          <w:u w:val="single"/>
          <w:lang w:eastAsia="zh-CN"/>
        </w:rPr>
        <w:t>2026年</w:t>
      </w:r>
      <w:r>
        <w:rPr>
          <w:rFonts w:hint="eastAsia" w:asciiTheme="minorEastAsia" w:hAnsiTheme="minorEastAsia" w:eastAsiaTheme="minorEastAsia" w:cstheme="minorEastAsia"/>
          <w:bCs/>
          <w:color w:val="auto"/>
          <w:sz w:val="24"/>
          <w:szCs w:val="24"/>
          <w:highlight w:val="none"/>
          <w:u w:val="single"/>
          <w:lang w:val="en-US" w:eastAsia="zh-CN"/>
        </w:rPr>
        <w:t>7</w:t>
      </w:r>
      <w:r>
        <w:rPr>
          <w:rFonts w:hint="eastAsia" w:asciiTheme="minorEastAsia" w:hAnsiTheme="minorEastAsia" w:eastAsiaTheme="minorEastAsia" w:cstheme="minorEastAsia"/>
          <w:bCs/>
          <w:color w:val="auto"/>
          <w:sz w:val="24"/>
          <w:szCs w:val="24"/>
          <w:highlight w:val="none"/>
          <w:u w:val="single"/>
          <w:lang w:eastAsia="zh-CN"/>
        </w:rPr>
        <w:t>月</w:t>
      </w:r>
      <w:r>
        <w:rPr>
          <w:rFonts w:hint="eastAsia" w:asciiTheme="minorEastAsia" w:hAnsiTheme="minorEastAsia" w:cstheme="minorEastAsia"/>
          <w:bCs/>
          <w:color w:val="auto"/>
          <w:sz w:val="24"/>
          <w:szCs w:val="24"/>
          <w:highlight w:val="none"/>
          <w:u w:val="single"/>
          <w:lang w:val="en-US" w:eastAsia="zh-CN"/>
        </w:rPr>
        <w:t>30</w:t>
      </w:r>
      <w:r>
        <w:rPr>
          <w:rFonts w:hint="eastAsia" w:asciiTheme="minorEastAsia" w:hAnsiTheme="minorEastAsia" w:eastAsiaTheme="minorEastAsia" w:cstheme="minorEastAsia"/>
          <w:bCs/>
          <w:color w:val="auto"/>
          <w:sz w:val="24"/>
          <w:szCs w:val="24"/>
          <w:highlight w:val="none"/>
          <w:u w:val="single"/>
        </w:rPr>
        <w:t>日</w:t>
      </w:r>
      <w:r>
        <w:rPr>
          <w:rFonts w:hint="eastAsia" w:eastAsia="宋体" w:asciiTheme="minorEastAsia" w:hAnsiTheme="minorEastAsia" w:cstheme="minorEastAsia"/>
          <w:bCs/>
          <w:color w:val="auto"/>
          <w:sz w:val="24"/>
          <w:szCs w:val="24"/>
          <w:highlight w:val="none"/>
          <w:u w:val="single"/>
          <w:lang w:val="en-US" w:eastAsia="zh-CN"/>
        </w:rPr>
        <w:t>14</w:t>
      </w:r>
      <w:r>
        <w:rPr>
          <w:rFonts w:hint="eastAsia" w:asciiTheme="minorEastAsia" w:hAnsiTheme="minorEastAsia" w:eastAsiaTheme="minorEastAsia" w:cstheme="minorEastAsia"/>
          <w:bCs/>
          <w:color w:val="auto"/>
          <w:sz w:val="24"/>
          <w:szCs w:val="24"/>
          <w:highlight w:val="none"/>
          <w:u w:val="single"/>
        </w:rPr>
        <w:t>点30分</w:t>
      </w:r>
      <w:bookmarkEnd w:id="4"/>
      <w:r>
        <w:rPr>
          <w:rFonts w:hint="eastAsia" w:asciiTheme="minorEastAsia" w:hAnsiTheme="minorEastAsia" w:eastAsiaTheme="minorEastAsia" w:cstheme="minorEastAsia"/>
          <w:bCs/>
          <w:color w:val="auto"/>
          <w:sz w:val="24"/>
          <w:szCs w:val="24"/>
          <w:highlight w:val="none"/>
        </w:rPr>
        <w:t>（北京时间）前提交响应文件</w:t>
      </w:r>
      <w:r>
        <w:rPr>
          <w:rFonts w:hint="eastAsia" w:asciiTheme="minorEastAsia" w:hAnsiTheme="minorEastAsia" w:eastAsiaTheme="minorEastAsia" w:cstheme="minorEastAsia"/>
          <w:color w:val="auto"/>
          <w:sz w:val="24"/>
          <w:szCs w:val="24"/>
          <w:highlight w:val="none"/>
        </w:rPr>
        <w:t>。</w:t>
      </w:r>
    </w:p>
    <w:p w14:paraId="12B88010">
      <w:pPr>
        <w:pStyle w:val="3"/>
        <w:pageBreakBefore w:val="0"/>
        <w:widowControl w:val="0"/>
        <w:kinsoku/>
        <w:wordWrap/>
        <w:overflowPunct/>
        <w:topLinePunct w:val="0"/>
        <w:autoSpaceDE/>
        <w:autoSpaceDN/>
        <w:bidi w:val="0"/>
        <w:adjustRightInd/>
        <w:snapToGrid/>
        <w:spacing w:before="0" w:after="0" w:line="440" w:lineRule="exact"/>
        <w:textAlignment w:val="auto"/>
        <w:rPr>
          <w:rFonts w:asciiTheme="minorEastAsia" w:hAnsiTheme="minorEastAsia" w:eastAsiaTheme="minorEastAsia" w:cstheme="minorEastAsia"/>
          <w:bCs w:val="0"/>
          <w:color w:val="auto"/>
          <w:sz w:val="24"/>
          <w:szCs w:val="24"/>
          <w:highlight w:val="none"/>
        </w:rPr>
      </w:pPr>
      <w:bookmarkStart w:id="5" w:name="_Toc109304963"/>
      <w:r>
        <w:rPr>
          <w:rFonts w:hint="eastAsia" w:asciiTheme="minorEastAsia" w:hAnsiTheme="minorEastAsia" w:eastAsiaTheme="minorEastAsia" w:cstheme="minorEastAsia"/>
          <w:bCs w:val="0"/>
          <w:color w:val="auto"/>
          <w:sz w:val="24"/>
          <w:szCs w:val="24"/>
          <w:highlight w:val="none"/>
        </w:rPr>
        <w:t>一、项目基本情况</w:t>
      </w:r>
      <w:bookmarkEnd w:id="5"/>
    </w:p>
    <w:p w14:paraId="21B02AA2">
      <w:pPr>
        <w:pageBreakBefore w:val="0"/>
        <w:widowControl w:val="0"/>
        <w:kinsoku/>
        <w:wordWrap/>
        <w:overflowPunct/>
        <w:topLinePunct w:val="0"/>
        <w:autoSpaceDE/>
        <w:autoSpaceDN/>
        <w:bidi w:val="0"/>
        <w:adjustRightInd/>
        <w:snapToGrid/>
        <w:spacing w:line="44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1.项目编号：JSZC-321023-HCZX-C2026-0025</w:t>
      </w:r>
      <w:r>
        <w:rPr>
          <w:rFonts w:hint="eastAsia" w:asciiTheme="minorEastAsia" w:hAnsiTheme="minorEastAsia" w:eastAsiaTheme="minorEastAsia" w:cstheme="minorEastAsia"/>
          <w:color w:val="auto"/>
          <w:sz w:val="24"/>
          <w:szCs w:val="24"/>
          <w:highlight w:val="none"/>
          <w:lang w:val="en-US" w:eastAsia="zh-CN"/>
        </w:rPr>
        <w:t xml:space="preserve"> </w:t>
      </w:r>
    </w:p>
    <w:p w14:paraId="72212FEB">
      <w:pPr>
        <w:pageBreakBefore w:val="0"/>
        <w:widowControl w:val="0"/>
        <w:kinsoku/>
        <w:wordWrap/>
        <w:overflowPunct/>
        <w:topLinePunct w:val="0"/>
        <w:autoSpaceDE/>
        <w:autoSpaceDN/>
        <w:bidi w:val="0"/>
        <w:adjustRightInd/>
        <w:snapToGrid/>
        <w:spacing w:line="440" w:lineRule="exact"/>
        <w:ind w:firstLine="420"/>
        <w:textAlignment w:val="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2.项目名称：</w:t>
      </w:r>
      <w:r>
        <w:rPr>
          <w:rFonts w:hint="eastAsia" w:ascii="宋体" w:hAnsi="宋体" w:cs="宋体"/>
          <w:color w:val="auto"/>
          <w:sz w:val="24"/>
          <w:szCs w:val="24"/>
          <w:highlight w:val="none"/>
          <w:lang w:eastAsia="zh-CN"/>
        </w:rPr>
        <w:t>江苏宝应经济开发区管理委员会2026开发区绿化养护管养</w:t>
      </w:r>
      <w:r>
        <w:rPr>
          <w:rFonts w:hint="eastAsia" w:ascii="宋体" w:hAnsi="宋体" w:cs="宋体"/>
          <w:color w:val="auto"/>
          <w:sz w:val="24"/>
          <w:szCs w:val="24"/>
          <w:highlight w:val="none"/>
          <w:lang w:val="en-US" w:eastAsia="zh-CN"/>
        </w:rPr>
        <w:t>项目</w:t>
      </w:r>
    </w:p>
    <w:p w14:paraId="0D150ECA">
      <w:pPr>
        <w:pageBreakBefore w:val="0"/>
        <w:widowControl w:val="0"/>
        <w:kinsoku/>
        <w:wordWrap/>
        <w:overflowPunct/>
        <w:topLinePunct w:val="0"/>
        <w:autoSpaceDE/>
        <w:autoSpaceDN/>
        <w:bidi w:val="0"/>
        <w:adjustRightInd/>
        <w:snapToGrid/>
        <w:spacing w:line="440" w:lineRule="exact"/>
        <w:ind w:firstLine="42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3.预算金额：</w:t>
      </w:r>
      <w:r>
        <w:rPr>
          <w:rFonts w:hint="eastAsia" w:asciiTheme="minorEastAsia" w:hAnsiTheme="minorEastAsia" w:eastAsiaTheme="minorEastAsia" w:cstheme="minorEastAsia"/>
          <w:b w:val="0"/>
          <w:bCs w:val="0"/>
          <w:color w:val="auto"/>
          <w:sz w:val="24"/>
          <w:szCs w:val="24"/>
          <w:highlight w:val="none"/>
          <w:lang w:val="en-US" w:eastAsia="zh-CN"/>
        </w:rPr>
        <w:t>总金额278万元，采购包1</w:t>
      </w:r>
      <w:r>
        <w:rPr>
          <w:rFonts w:hint="eastAsia" w:asciiTheme="minorEastAsia" w:hAnsiTheme="minorEastAsia" w:eastAsiaTheme="minorEastAsia" w:cstheme="minorEastAsia"/>
          <w:b w:val="0"/>
          <w:bCs w:val="0"/>
          <w:color w:val="auto"/>
          <w:sz w:val="24"/>
          <w:szCs w:val="24"/>
          <w:highlight w:val="none"/>
          <w:lang w:eastAsia="zh-CN"/>
        </w:rPr>
        <w:t>：人民币</w:t>
      </w:r>
      <w:r>
        <w:rPr>
          <w:rFonts w:hint="eastAsia" w:asciiTheme="minorEastAsia" w:hAnsiTheme="minorEastAsia" w:eastAsiaTheme="minorEastAsia" w:cstheme="minorEastAsia"/>
          <w:b w:val="0"/>
          <w:bCs w:val="0"/>
          <w:color w:val="auto"/>
          <w:sz w:val="24"/>
          <w:szCs w:val="24"/>
          <w:highlight w:val="none"/>
          <w:lang w:val="en-US" w:eastAsia="zh-CN"/>
        </w:rPr>
        <w:t>84万</w:t>
      </w:r>
      <w:r>
        <w:rPr>
          <w:rFonts w:hint="eastAsia" w:asciiTheme="minorEastAsia" w:hAnsiTheme="minorEastAsia" w:eastAsiaTheme="minorEastAsia" w:cstheme="minorEastAsia"/>
          <w:b w:val="0"/>
          <w:bCs w:val="0"/>
          <w:color w:val="auto"/>
          <w:sz w:val="24"/>
          <w:szCs w:val="24"/>
          <w:highlight w:val="none"/>
          <w:lang w:eastAsia="zh-CN"/>
        </w:rPr>
        <w:t>元，</w:t>
      </w:r>
      <w:r>
        <w:rPr>
          <w:rFonts w:hint="eastAsia" w:asciiTheme="minorEastAsia" w:hAnsiTheme="minorEastAsia" w:eastAsiaTheme="minorEastAsia" w:cstheme="minorEastAsia"/>
          <w:b w:val="0"/>
          <w:bCs w:val="0"/>
          <w:color w:val="auto"/>
          <w:sz w:val="24"/>
          <w:szCs w:val="24"/>
          <w:highlight w:val="none"/>
          <w:lang w:val="en-US" w:eastAsia="zh-CN"/>
        </w:rPr>
        <w:t>采购包2</w:t>
      </w:r>
      <w:r>
        <w:rPr>
          <w:rFonts w:hint="eastAsia" w:asciiTheme="minorEastAsia" w:hAnsiTheme="minorEastAsia" w:eastAsiaTheme="minorEastAsia" w:cstheme="minorEastAsia"/>
          <w:b w:val="0"/>
          <w:bCs w:val="0"/>
          <w:color w:val="auto"/>
          <w:sz w:val="24"/>
          <w:szCs w:val="24"/>
          <w:highlight w:val="none"/>
          <w:lang w:eastAsia="zh-CN"/>
        </w:rPr>
        <w:t>：人民币</w:t>
      </w:r>
      <w:r>
        <w:rPr>
          <w:rFonts w:hint="eastAsia" w:asciiTheme="minorEastAsia" w:hAnsiTheme="minorEastAsia" w:eastAsiaTheme="minorEastAsia" w:cstheme="minorEastAsia"/>
          <w:b w:val="0"/>
          <w:bCs w:val="0"/>
          <w:color w:val="auto"/>
          <w:sz w:val="24"/>
          <w:szCs w:val="24"/>
          <w:highlight w:val="none"/>
          <w:lang w:val="en-US" w:eastAsia="zh-CN"/>
        </w:rPr>
        <w:t>79万</w:t>
      </w:r>
      <w:r>
        <w:rPr>
          <w:rFonts w:hint="eastAsia" w:asciiTheme="minorEastAsia" w:hAnsiTheme="minorEastAsia" w:eastAsiaTheme="minorEastAsia" w:cstheme="minorEastAsia"/>
          <w:b w:val="0"/>
          <w:bCs w:val="0"/>
          <w:color w:val="auto"/>
          <w:sz w:val="24"/>
          <w:szCs w:val="24"/>
          <w:highlight w:val="none"/>
          <w:lang w:eastAsia="zh-CN"/>
        </w:rPr>
        <w:t>元，</w:t>
      </w:r>
      <w:r>
        <w:rPr>
          <w:rFonts w:hint="eastAsia" w:asciiTheme="minorEastAsia" w:hAnsiTheme="minorEastAsia" w:eastAsiaTheme="minorEastAsia" w:cstheme="minorEastAsia"/>
          <w:b w:val="0"/>
          <w:bCs w:val="0"/>
          <w:color w:val="auto"/>
          <w:sz w:val="24"/>
          <w:szCs w:val="24"/>
          <w:highlight w:val="none"/>
          <w:lang w:val="en-US" w:eastAsia="zh-CN"/>
        </w:rPr>
        <w:t>采购包3</w:t>
      </w:r>
      <w:r>
        <w:rPr>
          <w:rFonts w:hint="eastAsia" w:asciiTheme="minorEastAsia" w:hAnsiTheme="minorEastAsia" w:eastAsiaTheme="minorEastAsia" w:cstheme="minorEastAsia"/>
          <w:b w:val="0"/>
          <w:bCs w:val="0"/>
          <w:color w:val="auto"/>
          <w:sz w:val="24"/>
          <w:szCs w:val="24"/>
          <w:highlight w:val="none"/>
          <w:lang w:eastAsia="zh-CN"/>
        </w:rPr>
        <w:t>：人民币</w:t>
      </w:r>
      <w:r>
        <w:rPr>
          <w:rFonts w:hint="eastAsia" w:asciiTheme="minorEastAsia" w:hAnsiTheme="minorEastAsia" w:eastAsiaTheme="minorEastAsia" w:cstheme="minorEastAsia"/>
          <w:b w:val="0"/>
          <w:bCs w:val="0"/>
          <w:color w:val="auto"/>
          <w:sz w:val="24"/>
          <w:szCs w:val="24"/>
          <w:highlight w:val="none"/>
          <w:lang w:val="en-US" w:eastAsia="zh-CN"/>
        </w:rPr>
        <w:t>115万</w:t>
      </w:r>
      <w:r>
        <w:rPr>
          <w:rFonts w:hint="eastAsia" w:asciiTheme="minorEastAsia" w:hAnsiTheme="minorEastAsia" w:eastAsiaTheme="minorEastAsia" w:cstheme="minorEastAsia"/>
          <w:b w:val="0"/>
          <w:bCs w:val="0"/>
          <w:color w:val="auto"/>
          <w:sz w:val="24"/>
          <w:szCs w:val="24"/>
          <w:highlight w:val="none"/>
          <w:lang w:eastAsia="zh-CN"/>
        </w:rPr>
        <w:t>元</w:t>
      </w:r>
    </w:p>
    <w:p w14:paraId="310E1369">
      <w:pPr>
        <w:pageBreakBefore w:val="0"/>
        <w:widowControl w:val="0"/>
        <w:kinsoku/>
        <w:wordWrap/>
        <w:overflowPunct/>
        <w:topLinePunct w:val="0"/>
        <w:autoSpaceDE/>
        <w:autoSpaceDN/>
        <w:bidi w:val="0"/>
        <w:adjustRightInd/>
        <w:snapToGrid/>
        <w:spacing w:line="440" w:lineRule="exact"/>
        <w:ind w:firstLine="42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4.本项目设定最高限价：</w:t>
      </w:r>
      <w:r>
        <w:rPr>
          <w:rFonts w:hint="eastAsia" w:asciiTheme="minorEastAsia" w:hAnsiTheme="minorEastAsia" w:eastAsiaTheme="minorEastAsia" w:cstheme="minorEastAsia"/>
          <w:b w:val="0"/>
          <w:bCs w:val="0"/>
          <w:color w:val="auto"/>
          <w:sz w:val="24"/>
          <w:szCs w:val="24"/>
          <w:highlight w:val="none"/>
          <w:lang w:eastAsia="zh-CN"/>
        </w:rPr>
        <w:t>采购包1：人民币</w:t>
      </w:r>
      <w:r>
        <w:rPr>
          <w:rFonts w:hint="eastAsia" w:asciiTheme="minorEastAsia" w:hAnsiTheme="minorEastAsia" w:eastAsiaTheme="minorEastAsia" w:cstheme="minorEastAsia"/>
          <w:b w:val="0"/>
          <w:bCs w:val="0"/>
          <w:color w:val="auto"/>
          <w:sz w:val="24"/>
          <w:szCs w:val="24"/>
          <w:highlight w:val="none"/>
          <w:lang w:val="en-US" w:eastAsia="zh-CN"/>
        </w:rPr>
        <w:t>84万</w:t>
      </w:r>
      <w:r>
        <w:rPr>
          <w:rFonts w:hint="eastAsia" w:asciiTheme="minorEastAsia" w:hAnsiTheme="minorEastAsia" w:eastAsiaTheme="minorEastAsia" w:cstheme="minorEastAsia"/>
          <w:b w:val="0"/>
          <w:bCs w:val="0"/>
          <w:color w:val="auto"/>
          <w:sz w:val="24"/>
          <w:szCs w:val="24"/>
          <w:highlight w:val="none"/>
          <w:lang w:eastAsia="zh-CN"/>
        </w:rPr>
        <w:t>元，采购包</w:t>
      </w:r>
      <w:r>
        <w:rPr>
          <w:rFonts w:hint="eastAsia" w:asciiTheme="minorEastAsia" w:hAnsiTheme="minorEastAsia" w:eastAsiaTheme="minorEastAsia" w:cstheme="minorEastAsia"/>
          <w:b w:val="0"/>
          <w:bCs w:val="0"/>
          <w:color w:val="auto"/>
          <w:sz w:val="24"/>
          <w:szCs w:val="24"/>
          <w:highlight w:val="none"/>
          <w:lang w:val="en-US" w:eastAsia="zh-CN"/>
        </w:rPr>
        <w:t>2</w:t>
      </w:r>
      <w:r>
        <w:rPr>
          <w:rFonts w:hint="eastAsia" w:asciiTheme="minorEastAsia" w:hAnsiTheme="minorEastAsia" w:eastAsiaTheme="minorEastAsia" w:cstheme="minorEastAsia"/>
          <w:b w:val="0"/>
          <w:bCs w:val="0"/>
          <w:color w:val="auto"/>
          <w:sz w:val="24"/>
          <w:szCs w:val="24"/>
          <w:highlight w:val="none"/>
          <w:lang w:eastAsia="zh-CN"/>
        </w:rPr>
        <w:t>：人民币</w:t>
      </w:r>
      <w:r>
        <w:rPr>
          <w:rFonts w:hint="eastAsia" w:asciiTheme="minorEastAsia" w:hAnsiTheme="minorEastAsia" w:eastAsiaTheme="minorEastAsia" w:cstheme="minorEastAsia"/>
          <w:b w:val="0"/>
          <w:bCs w:val="0"/>
          <w:color w:val="auto"/>
          <w:sz w:val="24"/>
          <w:szCs w:val="24"/>
          <w:highlight w:val="none"/>
          <w:lang w:val="en-US" w:eastAsia="zh-CN"/>
        </w:rPr>
        <w:t>79万</w:t>
      </w:r>
      <w:r>
        <w:rPr>
          <w:rFonts w:hint="eastAsia" w:asciiTheme="minorEastAsia" w:hAnsiTheme="minorEastAsia" w:eastAsiaTheme="minorEastAsia" w:cstheme="minorEastAsia"/>
          <w:b w:val="0"/>
          <w:bCs w:val="0"/>
          <w:color w:val="auto"/>
          <w:sz w:val="24"/>
          <w:szCs w:val="24"/>
          <w:highlight w:val="none"/>
          <w:lang w:eastAsia="zh-CN"/>
        </w:rPr>
        <w:t>元，采购包</w:t>
      </w: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eastAsia="zh-CN"/>
        </w:rPr>
        <w:t>：人民币</w:t>
      </w:r>
      <w:r>
        <w:rPr>
          <w:rFonts w:hint="eastAsia" w:asciiTheme="minorEastAsia" w:hAnsiTheme="minorEastAsia" w:eastAsiaTheme="minorEastAsia" w:cstheme="minorEastAsia"/>
          <w:b w:val="0"/>
          <w:bCs w:val="0"/>
          <w:color w:val="auto"/>
          <w:sz w:val="24"/>
          <w:szCs w:val="24"/>
          <w:highlight w:val="none"/>
          <w:lang w:val="en-US" w:eastAsia="zh-CN"/>
        </w:rPr>
        <w:t>115万</w:t>
      </w:r>
      <w:r>
        <w:rPr>
          <w:rFonts w:hint="eastAsia" w:asciiTheme="minorEastAsia" w:hAnsiTheme="minorEastAsia" w:eastAsiaTheme="minorEastAsia" w:cstheme="minorEastAsia"/>
          <w:b w:val="0"/>
          <w:bCs w:val="0"/>
          <w:color w:val="auto"/>
          <w:sz w:val="24"/>
          <w:szCs w:val="24"/>
          <w:highlight w:val="none"/>
          <w:lang w:eastAsia="zh-CN"/>
        </w:rPr>
        <w:t>元；</w:t>
      </w:r>
      <w:r>
        <w:rPr>
          <w:rFonts w:hint="eastAsia" w:asciiTheme="minorEastAsia" w:hAnsiTheme="minorEastAsia" w:eastAsiaTheme="minorEastAsia" w:cstheme="minorEastAsia"/>
          <w:b w:val="0"/>
          <w:bCs w:val="0"/>
          <w:color w:val="auto"/>
          <w:sz w:val="24"/>
          <w:szCs w:val="24"/>
          <w:highlight w:val="none"/>
          <w:lang w:val="en-US" w:eastAsia="zh-CN"/>
        </w:rPr>
        <w:t>投标报价高于最高限价的投标无效。</w:t>
      </w:r>
    </w:p>
    <w:p w14:paraId="3330B75D">
      <w:pPr>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5.采购需求：本项目采购内容为2026开发区绿化养护管养</w:t>
      </w: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lang w:eastAsia="zh-CN"/>
        </w:rPr>
        <w:t>，共分为</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lang w:eastAsia="zh-CN"/>
        </w:rPr>
        <w:t>个分包。具体分包如下：采购包1：东阳路绿化养护管养，采购包2：高速公路以南片区绿化养护管养，采购包3：高速公路以</w:t>
      </w:r>
      <w:r>
        <w:rPr>
          <w:rFonts w:hint="eastAsia" w:ascii="宋体" w:hAnsi="宋体" w:cs="宋体"/>
          <w:color w:val="auto"/>
          <w:sz w:val="24"/>
          <w:szCs w:val="24"/>
          <w:highlight w:val="none"/>
          <w:lang w:val="en-US" w:eastAsia="zh-CN"/>
        </w:rPr>
        <w:t>北</w:t>
      </w:r>
      <w:r>
        <w:rPr>
          <w:rFonts w:hint="eastAsia" w:ascii="宋体" w:hAnsi="宋体" w:cs="宋体"/>
          <w:color w:val="auto"/>
          <w:sz w:val="24"/>
          <w:szCs w:val="24"/>
          <w:highlight w:val="none"/>
          <w:lang w:eastAsia="zh-CN"/>
        </w:rPr>
        <w:t>片区绿化养护管养。</w:t>
      </w:r>
      <w:r>
        <w:rPr>
          <w:rFonts w:hint="eastAsia" w:ascii="宋体" w:hAnsi="宋体" w:cs="宋体"/>
          <w:color w:val="auto"/>
          <w:sz w:val="24"/>
          <w:szCs w:val="24"/>
          <w:highlight w:val="none"/>
          <w:lang w:val="en-US" w:eastAsia="zh-CN"/>
        </w:rPr>
        <w:t>具体范围详见第四章采购人需求。</w:t>
      </w:r>
    </w:p>
    <w:p w14:paraId="1E3E0A47">
      <w:pPr>
        <w:spacing w:line="44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注：本项目共分</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lang w:eastAsia="zh-CN"/>
        </w:rPr>
        <w:t>个标</w:t>
      </w:r>
      <w:r>
        <w:rPr>
          <w:rFonts w:hint="eastAsia" w:asciiTheme="minorEastAsia" w:hAnsiTheme="minorEastAsia" w:eastAsiaTheme="minorEastAsia" w:cstheme="minorEastAsia"/>
          <w:color w:val="auto"/>
          <w:sz w:val="24"/>
          <w:szCs w:val="24"/>
          <w:highlight w:val="none"/>
          <w:lang w:val="en-US" w:eastAsia="zh-CN"/>
        </w:rPr>
        <w:t>包</w:t>
      </w:r>
      <w:r>
        <w:rPr>
          <w:rFonts w:hint="eastAsia" w:asciiTheme="minorEastAsia" w:hAnsiTheme="minorEastAsia" w:eastAsiaTheme="minorEastAsia" w:cstheme="minorEastAsia"/>
          <w:color w:val="auto"/>
          <w:sz w:val="24"/>
          <w:szCs w:val="24"/>
          <w:highlight w:val="none"/>
          <w:lang w:eastAsia="zh-CN"/>
        </w:rPr>
        <w:t>，投标单位可同时参与</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lang w:eastAsia="zh-CN"/>
        </w:rPr>
        <w:t>个</w:t>
      </w:r>
      <w:r>
        <w:rPr>
          <w:rFonts w:hint="eastAsia" w:asciiTheme="minorEastAsia" w:hAnsiTheme="minorEastAsia" w:eastAsiaTheme="minorEastAsia" w:cstheme="minorEastAsia"/>
          <w:color w:val="auto"/>
          <w:sz w:val="24"/>
          <w:szCs w:val="24"/>
          <w:highlight w:val="none"/>
          <w:lang w:val="en-US" w:eastAsia="zh-CN"/>
        </w:rPr>
        <w:t>标包</w:t>
      </w:r>
      <w:r>
        <w:rPr>
          <w:rFonts w:hint="eastAsia" w:asciiTheme="minorEastAsia" w:hAnsiTheme="minorEastAsia" w:eastAsiaTheme="minorEastAsia" w:cstheme="minorEastAsia"/>
          <w:color w:val="auto"/>
          <w:sz w:val="24"/>
          <w:szCs w:val="24"/>
          <w:highlight w:val="none"/>
          <w:lang w:eastAsia="zh-CN"/>
        </w:rPr>
        <w:t>，但只能中一个标</w:t>
      </w:r>
      <w:r>
        <w:rPr>
          <w:rFonts w:hint="eastAsia" w:asciiTheme="minorEastAsia" w:hAnsiTheme="minorEastAsia" w:eastAsiaTheme="minorEastAsia" w:cstheme="minorEastAsia"/>
          <w:color w:val="auto"/>
          <w:sz w:val="24"/>
          <w:szCs w:val="24"/>
          <w:highlight w:val="none"/>
          <w:lang w:val="en-US" w:eastAsia="zh-CN"/>
        </w:rPr>
        <w:t>包</w:t>
      </w:r>
      <w:r>
        <w:rPr>
          <w:rFonts w:hint="eastAsia" w:asciiTheme="minorEastAsia" w:hAnsiTheme="minorEastAsia" w:eastAsiaTheme="minorEastAsia" w:cstheme="minorEastAsia"/>
          <w:color w:val="auto"/>
          <w:sz w:val="24"/>
          <w:szCs w:val="24"/>
          <w:highlight w:val="none"/>
          <w:lang w:eastAsia="zh-CN"/>
        </w:rPr>
        <w:t>。开标、评标、定标按</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采购包的顺序进行，采购包1中标的投标人可参与后续标</w:t>
      </w:r>
      <w:r>
        <w:rPr>
          <w:rFonts w:hint="eastAsia" w:asciiTheme="minorEastAsia" w:hAnsiTheme="minorEastAsia" w:eastAsiaTheme="minorEastAsia" w:cstheme="minorEastAsia"/>
          <w:color w:val="auto"/>
          <w:sz w:val="24"/>
          <w:szCs w:val="24"/>
          <w:highlight w:val="none"/>
          <w:lang w:val="en-US" w:eastAsia="zh-CN"/>
        </w:rPr>
        <w:t>包</w:t>
      </w:r>
      <w:r>
        <w:rPr>
          <w:rFonts w:hint="eastAsia" w:asciiTheme="minorEastAsia" w:hAnsiTheme="minorEastAsia" w:eastAsiaTheme="minorEastAsia" w:cstheme="minorEastAsia"/>
          <w:color w:val="auto"/>
          <w:sz w:val="24"/>
          <w:szCs w:val="24"/>
          <w:highlight w:val="none"/>
          <w:lang w:eastAsia="zh-CN"/>
        </w:rPr>
        <w:t>的评审但不参与推荐中标候选人，以此类推。投标</w:t>
      </w:r>
      <w:r>
        <w:rPr>
          <w:rFonts w:hint="eastAsia" w:asciiTheme="minorEastAsia" w:hAnsiTheme="minorEastAsia" w:eastAsiaTheme="minorEastAsia" w:cstheme="minorEastAsia"/>
          <w:color w:val="auto"/>
          <w:sz w:val="24"/>
          <w:szCs w:val="24"/>
          <w:highlight w:val="none"/>
          <w:lang w:val="en-US" w:eastAsia="zh-CN"/>
        </w:rPr>
        <w:t>单位</w:t>
      </w:r>
      <w:r>
        <w:rPr>
          <w:rFonts w:hint="eastAsia" w:asciiTheme="minorEastAsia" w:hAnsiTheme="minorEastAsia" w:eastAsiaTheme="minorEastAsia" w:cstheme="minorEastAsia"/>
          <w:color w:val="auto"/>
          <w:sz w:val="24"/>
          <w:szCs w:val="24"/>
          <w:highlight w:val="none"/>
          <w:lang w:eastAsia="zh-CN"/>
        </w:rPr>
        <w:t>须同时对所有分包进行投报，不得漏报，否则将作无效投标处理。</w:t>
      </w:r>
    </w:p>
    <w:p w14:paraId="37A54616">
      <w:pPr>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6.合同履行期限：</w:t>
      </w:r>
      <w:bookmarkStart w:id="6" w:name="OLE_LINK31"/>
      <w:bookmarkStart w:id="7" w:name="OLE_LINK32"/>
      <w:r>
        <w:rPr>
          <w:rFonts w:hint="eastAsia" w:ascii="宋体" w:hAnsi="宋体" w:cs="宋体"/>
          <w:color w:val="auto"/>
          <w:sz w:val="24"/>
          <w:szCs w:val="24"/>
          <w:highlight w:val="none"/>
          <w:lang w:val="en-US" w:eastAsia="zh-CN"/>
        </w:rPr>
        <w:t>一年</w:t>
      </w:r>
      <w:r>
        <w:rPr>
          <w:rFonts w:hint="eastAsia" w:ascii="宋体" w:hAnsi="宋体" w:cs="宋体"/>
          <w:color w:val="auto"/>
          <w:sz w:val="24"/>
          <w:szCs w:val="24"/>
          <w:highlight w:val="none"/>
          <w:lang w:eastAsia="zh-CN"/>
        </w:rPr>
        <w:t>。</w:t>
      </w:r>
      <w:bookmarkEnd w:id="6"/>
      <w:bookmarkEnd w:id="7"/>
    </w:p>
    <w:p w14:paraId="6705BAB2">
      <w:pPr>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bCs w:val="0"/>
          <w:color w:val="auto"/>
          <w:sz w:val="24"/>
          <w:szCs w:val="24"/>
          <w:highlight w:val="none"/>
          <w:lang w:val="en-US" w:eastAsia="zh-CN" w:bidi="ar-SA"/>
        </w:rPr>
      </w:pPr>
      <w:bookmarkStart w:id="8" w:name="_Toc109304964"/>
      <w:r>
        <w:rPr>
          <w:rFonts w:hint="eastAsia" w:asciiTheme="minorEastAsia" w:hAnsiTheme="minorEastAsia" w:eastAsiaTheme="minorEastAsia" w:cstheme="minorEastAsia"/>
          <w:b/>
          <w:bCs w:val="0"/>
          <w:color w:val="auto"/>
          <w:sz w:val="24"/>
          <w:szCs w:val="24"/>
          <w:highlight w:val="none"/>
          <w:lang w:val="en-US" w:eastAsia="zh-CN" w:bidi="ar-SA"/>
        </w:rPr>
        <w:t>二、申请人的资格要求：</w:t>
      </w:r>
      <w:bookmarkEnd w:id="8"/>
    </w:p>
    <w:p w14:paraId="28C91DF9">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（一）通用资格要求</w:t>
      </w:r>
    </w:p>
    <w:p w14:paraId="63A98286">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1.满足《中华人民共和国政府采购法》第二十二条规定，并提供下列材料：</w:t>
      </w:r>
    </w:p>
    <w:p w14:paraId="4F68A632">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法人或者其他组织的营业执照等证明文件，自然人的身份证明；</w:t>
      </w:r>
    </w:p>
    <w:p w14:paraId="3664A845">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1.2上一年度的财务状况报告（成立不满一年无需提供）；</w:t>
      </w:r>
    </w:p>
    <w:p w14:paraId="37359565">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2CA0A3BC">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1.4具备履行合同所必需的设备和专业技术能力的书面声明；</w:t>
      </w:r>
    </w:p>
    <w:p w14:paraId="4D3F6EE2">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1.5参加政府采购活动前3年内在经营活动中没有重大违法记录的书面声明；</w:t>
      </w:r>
    </w:p>
    <w:p w14:paraId="0B08CB10">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1.6供应商信用承诺函。</w:t>
      </w:r>
    </w:p>
    <w:p w14:paraId="13A09352">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eastAsia="宋体" w:asciiTheme="minorEastAsia" w:hAnsi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未被“信用中国”网站（www.creditchina.gov.cn）、“中国政府采购网</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www.ccgp.gov.cn</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列入失信被执行人、重大税收违法案件当事人名单、政府采购严重违法失信行为记录名单及其他不符合《中华人民共和国政府采购法》第二十二条规定条件的信用记录。（响应文件中无需提供证明材料）</w:t>
      </w:r>
    </w:p>
    <w:p w14:paraId="23FCFF8F">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3.落实政府采购政策需满足的资格要求：</w:t>
      </w:r>
      <w:r>
        <w:rPr>
          <w:rFonts w:hint="eastAsia" w:asciiTheme="minorEastAsia" w:hAnsiTheme="minorEastAsia" w:eastAsiaTheme="minorEastAsia" w:cstheme="minorEastAsia"/>
          <w:i/>
          <w:color w:val="auto"/>
          <w:sz w:val="24"/>
          <w:szCs w:val="24"/>
          <w:highlight w:val="none"/>
          <w:u w:val="single"/>
        </w:rPr>
        <w:t>根据《政府采购促进中小企业发展管理办法》的规定，本项目专门面向中小企业采购，投标人投标时须提供《中小企业声明函》，《中小企业声明函》不符合要求或未提供的，投标文件无效</w:t>
      </w:r>
      <w:r>
        <w:rPr>
          <w:rFonts w:hint="eastAsia" w:asciiTheme="minorEastAsia" w:hAnsiTheme="minorEastAsia" w:eastAsiaTheme="minorEastAsia" w:cstheme="minorEastAsia"/>
          <w:color w:val="auto"/>
          <w:sz w:val="24"/>
          <w:szCs w:val="24"/>
          <w:highlight w:val="none"/>
        </w:rPr>
        <w:t>。</w:t>
      </w:r>
    </w:p>
    <w:p w14:paraId="7994494D">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本项目不接受联合体参与磋商</w:t>
      </w:r>
    </w:p>
    <w:p w14:paraId="29310A99">
      <w:pPr>
        <w:pStyle w:val="3"/>
        <w:pageBreakBefore w:val="0"/>
        <w:widowControl w:val="0"/>
        <w:kinsoku/>
        <w:wordWrap/>
        <w:overflowPunct/>
        <w:topLinePunct w:val="0"/>
        <w:autoSpaceDE/>
        <w:autoSpaceDN/>
        <w:bidi w:val="0"/>
        <w:adjustRightInd/>
        <w:snapToGrid/>
        <w:spacing w:before="0" w:after="0" w:line="440" w:lineRule="exact"/>
        <w:textAlignment w:val="auto"/>
        <w:rPr>
          <w:rFonts w:hint="eastAsia" w:eastAsia="宋体" w:asciiTheme="minorEastAsia" w:hAnsiTheme="minorEastAsia" w:cstheme="minorEastAsia"/>
          <w:i/>
          <w:color w:val="auto"/>
          <w:sz w:val="24"/>
          <w:szCs w:val="24"/>
          <w:highlight w:val="none"/>
          <w:u w:val="single"/>
          <w:lang w:val="en-US" w:eastAsia="zh-CN"/>
        </w:rPr>
      </w:pPr>
      <w:r>
        <w:rPr>
          <w:rFonts w:hint="eastAsia" w:asciiTheme="minorEastAsia" w:hAnsiTheme="minorEastAsia" w:eastAsiaTheme="minorEastAsia" w:cstheme="minorEastAsia"/>
          <w:b/>
          <w:bCs w:val="0"/>
          <w:color w:val="auto"/>
          <w:sz w:val="24"/>
          <w:szCs w:val="24"/>
          <w:highlight w:val="none"/>
          <w:lang w:val="en-US" w:eastAsia="zh-CN" w:bidi="ar-SA"/>
        </w:rPr>
        <w:t>（二）本项目的特定资格要求：</w:t>
      </w:r>
      <w:bookmarkStart w:id="9" w:name="_Toc109304965"/>
      <w:r>
        <w:rPr>
          <w:rFonts w:hint="eastAsia" w:asciiTheme="minorEastAsia" w:hAnsiTheme="minorEastAsia" w:eastAsiaTheme="minorEastAsia" w:cstheme="minorEastAsia"/>
          <w:b w:val="0"/>
          <w:bCs w:val="0"/>
          <w:i/>
          <w:color w:val="auto"/>
          <w:sz w:val="24"/>
          <w:szCs w:val="24"/>
          <w:highlight w:val="none"/>
          <w:u w:val="single"/>
          <w:lang w:val="en-US" w:eastAsia="zh-CN" w:bidi="ar-SA"/>
        </w:rPr>
        <w:t>无</w:t>
      </w:r>
    </w:p>
    <w:p w14:paraId="386A2303">
      <w:pPr>
        <w:pStyle w:val="3"/>
        <w:pageBreakBefore w:val="0"/>
        <w:widowControl w:val="0"/>
        <w:kinsoku/>
        <w:wordWrap/>
        <w:overflowPunct/>
        <w:topLinePunct w:val="0"/>
        <w:autoSpaceDE/>
        <w:autoSpaceDN/>
        <w:bidi w:val="0"/>
        <w:adjustRightInd/>
        <w:snapToGrid/>
        <w:spacing w:before="0" w:after="0" w:line="440" w:lineRule="exact"/>
        <w:textAlignment w:val="auto"/>
        <w:rPr>
          <w:rFonts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Cs w:val="0"/>
          <w:color w:val="auto"/>
          <w:sz w:val="24"/>
          <w:szCs w:val="24"/>
          <w:highlight w:val="none"/>
        </w:rPr>
        <w:t>三、</w:t>
      </w:r>
      <w:bookmarkEnd w:id="9"/>
      <w:r>
        <w:rPr>
          <w:rFonts w:hint="eastAsia" w:asciiTheme="minorEastAsia" w:hAnsiTheme="minorEastAsia" w:eastAsiaTheme="minorEastAsia" w:cstheme="minorEastAsia"/>
          <w:bCs w:val="0"/>
          <w:color w:val="auto"/>
          <w:sz w:val="24"/>
          <w:szCs w:val="24"/>
          <w:highlight w:val="none"/>
        </w:rPr>
        <w:t>获取磋商文件</w:t>
      </w:r>
    </w:p>
    <w:p w14:paraId="52D18711">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bookmarkStart w:id="10" w:name="_Toc109304966"/>
      <w:r>
        <w:rPr>
          <w:rFonts w:hint="eastAsia" w:asciiTheme="minorEastAsia" w:hAnsiTheme="minorEastAsia" w:eastAsiaTheme="minorEastAsia" w:cstheme="minorEastAsia"/>
          <w:color w:val="auto"/>
          <w:sz w:val="24"/>
          <w:szCs w:val="24"/>
          <w:highlight w:val="none"/>
        </w:rPr>
        <w:t>1.时间：自磋商文件公告发布之日起至提交响应文件截止之日止。</w:t>
      </w:r>
    </w:p>
    <w:p w14:paraId="40A8FF68">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2.方式：在“江苏政府采购网”、“扬州市政府采购网”自行免费下载磋商文件。</w:t>
      </w:r>
    </w:p>
    <w:p w14:paraId="5A86AD32">
      <w:pPr>
        <w:pStyle w:val="3"/>
        <w:pageBreakBefore w:val="0"/>
        <w:widowControl w:val="0"/>
        <w:kinsoku/>
        <w:wordWrap/>
        <w:overflowPunct/>
        <w:topLinePunct w:val="0"/>
        <w:autoSpaceDE/>
        <w:autoSpaceDN/>
        <w:bidi w:val="0"/>
        <w:adjustRightInd/>
        <w:snapToGrid/>
        <w:spacing w:before="0" w:after="0" w:line="440" w:lineRule="exact"/>
        <w:textAlignment w:val="auto"/>
        <w:rPr>
          <w:rFonts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Cs w:val="0"/>
          <w:color w:val="auto"/>
          <w:sz w:val="24"/>
          <w:szCs w:val="24"/>
          <w:highlight w:val="none"/>
        </w:rPr>
        <w:t>四、</w:t>
      </w:r>
      <w:bookmarkEnd w:id="10"/>
      <w:r>
        <w:rPr>
          <w:rFonts w:hint="eastAsia" w:asciiTheme="minorEastAsia" w:hAnsiTheme="minorEastAsia" w:eastAsiaTheme="minorEastAsia" w:cstheme="minorEastAsia"/>
          <w:bCs w:val="0"/>
          <w:color w:val="auto"/>
          <w:sz w:val="24"/>
          <w:szCs w:val="24"/>
          <w:highlight w:val="none"/>
        </w:rPr>
        <w:t>提交响应文件截止时间、地点</w:t>
      </w:r>
    </w:p>
    <w:p w14:paraId="08F08CA2">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1.时间：</w:t>
      </w:r>
      <w:bookmarkStart w:id="11" w:name="XMTBJSR_2"/>
      <w:r>
        <w:rPr>
          <w:rFonts w:hint="eastAsia" w:asciiTheme="minorEastAsia" w:hAnsiTheme="minorEastAsia" w:eastAsiaTheme="minorEastAsia" w:cstheme="minorEastAsia"/>
          <w:color w:val="auto"/>
          <w:sz w:val="24"/>
          <w:szCs w:val="24"/>
          <w:highlight w:val="none"/>
        </w:rPr>
        <w:t>2026年</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日</w:t>
      </w:r>
      <w:r>
        <w:rPr>
          <w:rFonts w:hint="eastAsia" w:eastAsia="宋体" w:asciiTheme="minorEastAsia" w:hAnsi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点 30 分</w:t>
      </w:r>
      <w:bookmarkEnd w:id="11"/>
      <w:r>
        <w:rPr>
          <w:rFonts w:hint="eastAsia" w:asciiTheme="minorEastAsia" w:hAnsiTheme="minorEastAsia" w:eastAsiaTheme="minorEastAsia" w:cstheme="minorEastAsia"/>
          <w:color w:val="auto"/>
          <w:sz w:val="24"/>
          <w:szCs w:val="24"/>
          <w:highlight w:val="none"/>
        </w:rPr>
        <w:t>（北京时间）</w:t>
      </w:r>
    </w:p>
    <w:p w14:paraId="5E428B64">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2.地点：“苏采云”政府采购交易系统网上开标大厅</w:t>
      </w:r>
    </w:p>
    <w:p w14:paraId="2D063599">
      <w:pPr>
        <w:pStyle w:val="3"/>
        <w:pageBreakBefore w:val="0"/>
        <w:widowControl w:val="0"/>
        <w:kinsoku/>
        <w:wordWrap/>
        <w:overflowPunct/>
        <w:topLinePunct w:val="0"/>
        <w:autoSpaceDE/>
        <w:autoSpaceDN/>
        <w:bidi w:val="0"/>
        <w:adjustRightInd/>
        <w:snapToGrid/>
        <w:spacing w:before="0" w:after="0" w:line="440" w:lineRule="exact"/>
        <w:textAlignment w:val="auto"/>
        <w:rPr>
          <w:rFonts w:asciiTheme="minorEastAsia" w:hAnsiTheme="minorEastAsia" w:eastAsiaTheme="minorEastAsia" w:cstheme="minorEastAsia"/>
          <w:bCs w:val="0"/>
          <w:color w:val="auto"/>
          <w:sz w:val="24"/>
          <w:szCs w:val="24"/>
          <w:highlight w:val="none"/>
        </w:rPr>
      </w:pPr>
      <w:bookmarkStart w:id="12" w:name="_Toc109304968"/>
      <w:r>
        <w:rPr>
          <w:rFonts w:hint="eastAsia" w:asciiTheme="minorEastAsia" w:hAnsiTheme="minorEastAsia" w:eastAsiaTheme="minorEastAsia" w:cstheme="minorEastAsia"/>
          <w:bCs w:val="0"/>
          <w:color w:val="auto"/>
          <w:sz w:val="24"/>
          <w:szCs w:val="24"/>
          <w:highlight w:val="none"/>
        </w:rPr>
        <w:t>五、公告期限</w:t>
      </w:r>
      <w:bookmarkEnd w:id="12"/>
    </w:p>
    <w:p w14:paraId="2F6AA903">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磋商公告及磋商文件公告期限为自本公告发布之日起3个工作日。</w:t>
      </w:r>
    </w:p>
    <w:p w14:paraId="1D0BFFD7">
      <w:pPr>
        <w:pStyle w:val="3"/>
        <w:pageBreakBefore w:val="0"/>
        <w:widowControl w:val="0"/>
        <w:kinsoku/>
        <w:wordWrap/>
        <w:overflowPunct/>
        <w:topLinePunct w:val="0"/>
        <w:autoSpaceDE/>
        <w:autoSpaceDN/>
        <w:bidi w:val="0"/>
        <w:adjustRightInd/>
        <w:snapToGrid/>
        <w:spacing w:before="0" w:after="0" w:line="440" w:lineRule="exact"/>
        <w:textAlignment w:val="auto"/>
        <w:rPr>
          <w:rFonts w:asciiTheme="minorEastAsia" w:hAnsiTheme="minorEastAsia" w:eastAsiaTheme="minorEastAsia" w:cstheme="minorEastAsia"/>
          <w:color w:val="auto"/>
          <w:sz w:val="24"/>
          <w:szCs w:val="24"/>
          <w:highlight w:val="none"/>
        </w:rPr>
      </w:pPr>
      <w:bookmarkStart w:id="13" w:name="_Toc109304969"/>
      <w:r>
        <w:rPr>
          <w:rFonts w:hint="eastAsia" w:asciiTheme="minorEastAsia" w:hAnsiTheme="minorEastAsia" w:eastAsiaTheme="minorEastAsia" w:cstheme="minorEastAsia"/>
          <w:color w:val="auto"/>
          <w:sz w:val="24"/>
          <w:szCs w:val="24"/>
          <w:highlight w:val="none"/>
        </w:rPr>
        <w:t>六、其他补充事宜</w:t>
      </w:r>
      <w:bookmarkEnd w:id="13"/>
    </w:p>
    <w:p w14:paraId="490A2879">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无</w:t>
      </w:r>
    </w:p>
    <w:p w14:paraId="7DDC599C">
      <w:pPr>
        <w:pStyle w:val="3"/>
        <w:pageBreakBefore w:val="0"/>
        <w:widowControl w:val="0"/>
        <w:kinsoku/>
        <w:wordWrap/>
        <w:overflowPunct/>
        <w:topLinePunct w:val="0"/>
        <w:autoSpaceDE/>
        <w:autoSpaceDN/>
        <w:bidi w:val="0"/>
        <w:adjustRightInd/>
        <w:snapToGrid/>
        <w:spacing w:before="0" w:after="0" w:line="440" w:lineRule="exact"/>
        <w:textAlignment w:val="auto"/>
        <w:rPr>
          <w:rFonts w:asciiTheme="minorEastAsia" w:hAnsiTheme="minorEastAsia" w:eastAsiaTheme="minorEastAsia" w:cstheme="minorEastAsia"/>
          <w:bCs w:val="0"/>
          <w:color w:val="auto"/>
          <w:sz w:val="24"/>
          <w:szCs w:val="24"/>
          <w:highlight w:val="none"/>
        </w:rPr>
      </w:pPr>
      <w:bookmarkStart w:id="14" w:name="_Toc109304970"/>
      <w:r>
        <w:rPr>
          <w:rFonts w:hint="eastAsia" w:asciiTheme="minorEastAsia" w:hAnsiTheme="minorEastAsia" w:eastAsiaTheme="minorEastAsia" w:cstheme="minorEastAsia"/>
          <w:bCs w:val="0"/>
          <w:color w:val="auto"/>
          <w:sz w:val="24"/>
          <w:szCs w:val="24"/>
          <w:highlight w:val="none"/>
        </w:rPr>
        <w:t>七、本次磋商联系方式</w:t>
      </w:r>
      <w:bookmarkEnd w:id="14"/>
    </w:p>
    <w:p w14:paraId="5AAEDAB3">
      <w:pPr>
        <w:pStyle w:val="22"/>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1.采购人信息</w:t>
      </w:r>
    </w:p>
    <w:p w14:paraId="62AA3FE0">
      <w:pPr>
        <w:pageBreakBefore w:val="0"/>
        <w:widowControl w:val="0"/>
        <w:kinsoku/>
        <w:wordWrap/>
        <w:overflowPunct/>
        <w:topLinePunct w:val="0"/>
        <w:autoSpaceDE/>
        <w:autoSpaceDN/>
        <w:bidi w:val="0"/>
        <w:adjustRightInd/>
        <w:snapToGrid/>
        <w:spacing w:line="440" w:lineRule="exact"/>
        <w:ind w:firstLine="42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名    称：</w:t>
      </w:r>
      <w:r>
        <w:rPr>
          <w:rFonts w:hint="eastAsia" w:asciiTheme="minorEastAsia" w:hAnsiTheme="minorEastAsia" w:eastAsiaTheme="minorEastAsia" w:cstheme="minorEastAsia"/>
          <w:color w:val="auto"/>
          <w:sz w:val="24"/>
          <w:szCs w:val="24"/>
          <w:highlight w:val="none"/>
          <w:u w:val="single"/>
          <w:lang w:eastAsia="zh-CN"/>
        </w:rPr>
        <w:t>江苏宝应经济开发区管理委员会</w:t>
      </w:r>
    </w:p>
    <w:p w14:paraId="3CDA3535">
      <w:pPr>
        <w:pageBreakBefore w:val="0"/>
        <w:widowControl w:val="0"/>
        <w:kinsoku/>
        <w:wordWrap/>
        <w:overflowPunct/>
        <w:topLinePunct w:val="0"/>
        <w:autoSpaceDE/>
        <w:autoSpaceDN/>
        <w:bidi w:val="0"/>
        <w:adjustRightInd/>
        <w:snapToGrid/>
        <w:spacing w:line="440" w:lineRule="exact"/>
        <w:ind w:firstLine="420"/>
        <w:textAlignment w:val="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cstheme="minorEastAsia"/>
          <w:color w:val="auto"/>
          <w:sz w:val="24"/>
          <w:szCs w:val="24"/>
          <w:highlight w:val="none"/>
          <w:u w:val="single"/>
          <w:lang w:val="en-US" w:eastAsia="zh-CN"/>
        </w:rPr>
        <w:t>宝应经济开发区东阳北路666号</w:t>
      </w:r>
    </w:p>
    <w:p w14:paraId="7B40E884">
      <w:pPr>
        <w:pageBreakBefore w:val="0"/>
        <w:widowControl w:val="0"/>
        <w:kinsoku/>
        <w:wordWrap/>
        <w:overflowPunct/>
        <w:topLinePunct w:val="0"/>
        <w:autoSpaceDE/>
        <w:autoSpaceDN/>
        <w:bidi w:val="0"/>
        <w:adjustRightInd/>
        <w:snapToGrid/>
        <w:spacing w:line="440" w:lineRule="exact"/>
        <w:ind w:firstLine="42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联系方式：</w:t>
      </w:r>
      <w:r>
        <w:rPr>
          <w:rFonts w:hint="eastAsia" w:asciiTheme="minorEastAsia" w:hAnsiTheme="minorEastAsia" w:eastAsiaTheme="minorEastAsia" w:cstheme="minorEastAsia"/>
          <w:color w:val="auto"/>
          <w:sz w:val="24"/>
          <w:szCs w:val="24"/>
          <w:highlight w:val="none"/>
          <w:lang w:val="en-US" w:eastAsia="zh-CN"/>
        </w:rPr>
        <w:t>18136603979</w:t>
      </w:r>
    </w:p>
    <w:p w14:paraId="2CADD3A9">
      <w:pPr>
        <w:pStyle w:val="22"/>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 采购代理机构信息</w:t>
      </w:r>
    </w:p>
    <w:p w14:paraId="6D36506E">
      <w:pPr>
        <w:pageBreakBefore w:val="0"/>
        <w:widowControl w:val="0"/>
        <w:kinsoku/>
        <w:wordWrap/>
        <w:overflowPunct/>
        <w:topLinePunct w:val="0"/>
        <w:autoSpaceDE/>
        <w:autoSpaceDN/>
        <w:bidi w:val="0"/>
        <w:adjustRightInd/>
        <w:snapToGrid/>
        <w:spacing w:line="440" w:lineRule="exact"/>
        <w:ind w:firstLine="420"/>
        <w:textAlignment w:val="auto"/>
        <w:rPr>
          <w:rFonts w:hint="eastAsia" w:eastAsia="宋体" w:asciiTheme="minorEastAsia" w:hAnsi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名    称：</w:t>
      </w:r>
      <w:r>
        <w:rPr>
          <w:rFonts w:hint="eastAsia" w:asciiTheme="minorEastAsia" w:hAnsiTheme="minorEastAsia" w:cstheme="minorEastAsia"/>
          <w:color w:val="auto"/>
          <w:sz w:val="24"/>
          <w:szCs w:val="24"/>
          <w:highlight w:val="none"/>
          <w:u w:val="single"/>
          <w:lang w:eastAsia="zh-CN"/>
        </w:rPr>
        <w:t>江苏汇诚投资咨询管理有限公司</w:t>
      </w:r>
    </w:p>
    <w:p w14:paraId="02E78C38">
      <w:pPr>
        <w:pageBreakBefore w:val="0"/>
        <w:widowControl w:val="0"/>
        <w:kinsoku/>
        <w:wordWrap/>
        <w:overflowPunct/>
        <w:topLinePunct w:val="0"/>
        <w:autoSpaceDE/>
        <w:autoSpaceDN/>
        <w:bidi w:val="0"/>
        <w:adjustRightInd/>
        <w:snapToGrid/>
        <w:spacing w:line="440" w:lineRule="exact"/>
        <w:ind w:firstLine="420"/>
        <w:textAlignment w:val="auto"/>
        <w:rPr>
          <w:rFonts w:hint="eastAsia" w:eastAsia="宋体" w:asciiTheme="minorEastAsia" w:hAnsi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cstheme="minorEastAsia"/>
          <w:color w:val="auto"/>
          <w:sz w:val="24"/>
          <w:szCs w:val="24"/>
          <w:highlight w:val="none"/>
          <w:u w:val="single"/>
          <w:lang w:eastAsia="zh-CN"/>
        </w:rPr>
        <w:t>宝应县安宜东路588号三楼东</w:t>
      </w:r>
    </w:p>
    <w:p w14:paraId="35E3D279">
      <w:pPr>
        <w:pageBreakBefore w:val="0"/>
        <w:widowControl w:val="0"/>
        <w:kinsoku/>
        <w:wordWrap/>
        <w:overflowPunct/>
        <w:topLinePunct w:val="0"/>
        <w:autoSpaceDE/>
        <w:autoSpaceDN/>
        <w:bidi w:val="0"/>
        <w:adjustRightInd/>
        <w:snapToGrid/>
        <w:spacing w:line="440" w:lineRule="exact"/>
        <w:ind w:firstLine="420"/>
        <w:textAlignment w:val="auto"/>
        <w:rPr>
          <w:rFonts w:hint="eastAsia" w:eastAsia="宋体" w:asciiTheme="minorEastAsia" w:hAnsi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联系方式：</w:t>
      </w:r>
      <w:r>
        <w:rPr>
          <w:rFonts w:hint="eastAsia" w:asciiTheme="minorEastAsia" w:hAnsiTheme="minorEastAsia" w:cstheme="minorEastAsia"/>
          <w:color w:val="auto"/>
          <w:sz w:val="24"/>
          <w:szCs w:val="24"/>
          <w:highlight w:val="none"/>
          <w:lang w:val="en-US" w:eastAsia="zh-CN"/>
        </w:rPr>
        <w:t>0514-88227725</w:t>
      </w:r>
    </w:p>
    <w:p w14:paraId="03411320">
      <w:pPr>
        <w:pageBreakBefore w:val="0"/>
        <w:widowControl w:val="0"/>
        <w:kinsoku/>
        <w:wordWrap/>
        <w:overflowPunct/>
        <w:topLinePunct w:val="0"/>
        <w:autoSpaceDE/>
        <w:autoSpaceDN/>
        <w:bidi w:val="0"/>
        <w:adjustRightInd/>
        <w:snapToGrid/>
        <w:spacing w:line="440" w:lineRule="exact"/>
        <w:ind w:firstLine="420"/>
        <w:textAlignment w:val="auto"/>
        <w:rPr>
          <w:rFonts w:asciiTheme="minorEastAsia" w:hAnsiTheme="minorEastAsia" w:eastAsiaTheme="minorEastAsia" w:cstheme="minorEastAsia"/>
          <w:color w:val="auto"/>
          <w:sz w:val="24"/>
          <w:szCs w:val="24"/>
          <w:highlight w:val="none"/>
        </w:rPr>
      </w:pPr>
      <w:bookmarkStart w:id="15" w:name="_Toc28359098"/>
      <w:bookmarkStart w:id="16" w:name="_Toc35393639"/>
      <w:bookmarkStart w:id="17" w:name="_Toc28359021"/>
      <w:bookmarkStart w:id="18" w:name="_Toc35393808"/>
      <w:r>
        <w:rPr>
          <w:rFonts w:hint="eastAsia" w:asciiTheme="minorEastAsia" w:hAnsiTheme="minorEastAsia" w:eastAsiaTheme="minorEastAsia" w:cstheme="minorEastAsia"/>
          <w:color w:val="auto"/>
          <w:sz w:val="24"/>
          <w:szCs w:val="24"/>
          <w:highlight w:val="none"/>
        </w:rPr>
        <w:t>3.项目联系方式</w:t>
      </w:r>
      <w:bookmarkEnd w:id="15"/>
      <w:bookmarkEnd w:id="16"/>
      <w:bookmarkEnd w:id="17"/>
      <w:bookmarkEnd w:id="18"/>
    </w:p>
    <w:p w14:paraId="1DAA6950">
      <w:pPr>
        <w:pageBreakBefore w:val="0"/>
        <w:widowControl w:val="0"/>
        <w:kinsoku/>
        <w:wordWrap/>
        <w:overflowPunct/>
        <w:topLinePunct w:val="0"/>
        <w:autoSpaceDE/>
        <w:autoSpaceDN/>
        <w:bidi w:val="0"/>
        <w:adjustRightInd/>
        <w:snapToGrid/>
        <w:spacing w:line="440" w:lineRule="exact"/>
        <w:ind w:firstLine="42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采购单位本项目联系人：</w:t>
      </w:r>
      <w:r>
        <w:rPr>
          <w:rFonts w:hint="eastAsia" w:asciiTheme="minorEastAsia" w:hAnsiTheme="minorEastAsia" w:eastAsiaTheme="minorEastAsia" w:cstheme="minorEastAsia"/>
          <w:color w:val="auto"/>
          <w:sz w:val="24"/>
          <w:szCs w:val="24"/>
          <w:highlight w:val="none"/>
          <w:lang w:val="en-US" w:eastAsia="zh-CN"/>
        </w:rPr>
        <w:t>徐红</w:t>
      </w:r>
      <w:r>
        <w:rPr>
          <w:rFonts w:hint="eastAsia" w:asciiTheme="minorEastAsia" w:hAnsiTheme="minorEastAsia" w:eastAsiaTheme="minorEastAsia" w:cstheme="minorEastAsia"/>
          <w:color w:val="auto"/>
          <w:sz w:val="24"/>
          <w:szCs w:val="24"/>
          <w:highlight w:val="none"/>
        </w:rPr>
        <w:t xml:space="preserve">             电话：</w:t>
      </w:r>
      <w:r>
        <w:rPr>
          <w:rFonts w:hint="eastAsia" w:asciiTheme="minorEastAsia" w:hAnsiTheme="minorEastAsia" w:eastAsiaTheme="minorEastAsia" w:cstheme="minorEastAsia"/>
          <w:color w:val="auto"/>
          <w:sz w:val="24"/>
          <w:szCs w:val="24"/>
          <w:highlight w:val="none"/>
          <w:lang w:val="en-US" w:eastAsia="zh-CN"/>
        </w:rPr>
        <w:t>18136603979</w:t>
      </w:r>
    </w:p>
    <w:p w14:paraId="2A3A89D5">
      <w:pPr>
        <w:pageBreakBefore w:val="0"/>
        <w:widowControl w:val="0"/>
        <w:kinsoku/>
        <w:wordWrap/>
        <w:overflowPunct/>
        <w:topLinePunct w:val="0"/>
        <w:autoSpaceDE/>
        <w:autoSpaceDN/>
        <w:bidi w:val="0"/>
        <w:adjustRightInd/>
        <w:snapToGrid/>
        <w:spacing w:line="440" w:lineRule="exact"/>
        <w:ind w:firstLine="420"/>
        <w:textAlignment w:val="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项目联系人：</w:t>
      </w:r>
      <w:r>
        <w:rPr>
          <w:rFonts w:hint="eastAsia" w:asciiTheme="minorEastAsia" w:hAnsiTheme="minorEastAsia" w:cstheme="minorEastAsia"/>
          <w:color w:val="auto"/>
          <w:sz w:val="24"/>
          <w:szCs w:val="24"/>
          <w:highlight w:val="none"/>
          <w:lang w:eastAsia="zh-CN"/>
        </w:rPr>
        <w:t>崔平利</w:t>
      </w:r>
      <w:r>
        <w:rPr>
          <w:rFonts w:hint="eastAsia" w:asciiTheme="minorEastAsia" w:hAnsiTheme="minorEastAsia" w:eastAsiaTheme="minorEastAsia" w:cstheme="minorEastAsia"/>
          <w:color w:val="auto"/>
          <w:sz w:val="24"/>
          <w:szCs w:val="24"/>
          <w:highlight w:val="none"/>
        </w:rPr>
        <w:t xml:space="preserve">                     电话：</w:t>
      </w:r>
      <w:r>
        <w:rPr>
          <w:rFonts w:hint="eastAsia" w:asciiTheme="minorEastAsia" w:hAnsiTheme="minorEastAsia" w:cstheme="minorEastAsia"/>
          <w:color w:val="auto"/>
          <w:sz w:val="24"/>
          <w:szCs w:val="24"/>
          <w:highlight w:val="none"/>
          <w:lang w:val="en-US" w:eastAsia="zh-CN"/>
        </w:rPr>
        <w:t>0514-88227725</w:t>
      </w:r>
    </w:p>
    <w:p w14:paraId="62001327">
      <w:pPr>
        <w:pStyle w:val="3"/>
        <w:pageBreakBefore w:val="0"/>
        <w:widowControl w:val="0"/>
        <w:kinsoku/>
        <w:wordWrap/>
        <w:overflowPunct/>
        <w:topLinePunct w:val="0"/>
        <w:autoSpaceDE/>
        <w:autoSpaceDN/>
        <w:bidi w:val="0"/>
        <w:adjustRightInd/>
        <w:snapToGrid/>
        <w:spacing w:before="0" w:after="0" w:line="440" w:lineRule="exact"/>
        <w:textAlignment w:val="auto"/>
        <w:rPr>
          <w:rFonts w:asciiTheme="minorEastAsia" w:hAnsiTheme="minorEastAsia" w:eastAsiaTheme="minorEastAsia" w:cstheme="minorEastAsia"/>
          <w:color w:val="auto"/>
          <w:sz w:val="24"/>
          <w:szCs w:val="24"/>
          <w:highlight w:val="none"/>
        </w:rPr>
      </w:pPr>
      <w:bookmarkStart w:id="19" w:name="_Toc109304971"/>
      <w:r>
        <w:rPr>
          <w:rFonts w:hint="eastAsia" w:asciiTheme="minorEastAsia" w:hAnsiTheme="minorEastAsia" w:eastAsiaTheme="minorEastAsia" w:cstheme="minorEastAsia"/>
          <w:color w:val="auto"/>
          <w:sz w:val="24"/>
          <w:szCs w:val="24"/>
          <w:highlight w:val="none"/>
        </w:rPr>
        <w:t>八、其他</w:t>
      </w:r>
      <w:bookmarkEnd w:id="0"/>
      <w:bookmarkEnd w:id="19"/>
    </w:p>
    <w:p w14:paraId="546BF862">
      <w:pPr>
        <w:pageBreakBefore w:val="0"/>
        <w:widowControl w:val="0"/>
        <w:kinsoku/>
        <w:wordWrap/>
        <w:overflowPunct/>
        <w:topLinePunct w:val="0"/>
        <w:autoSpaceDE/>
        <w:autoSpaceDN/>
        <w:bidi w:val="0"/>
        <w:adjustRightInd/>
        <w:snapToGrid/>
        <w:spacing w:line="440" w:lineRule="exact"/>
        <w:ind w:firstLine="482"/>
        <w:jc w:val="left"/>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bCs/>
          <w:color w:val="auto"/>
          <w:sz w:val="24"/>
          <w:szCs w:val="24"/>
          <w:highlight w:val="none"/>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color w:val="auto"/>
          <w:sz w:val="24"/>
          <w:szCs w:val="24"/>
          <w:highlight w:val="none"/>
        </w:rPr>
        <w:t>“苏采云”政府采购交易系统（以下简称苏采云系统）</w:t>
      </w:r>
      <w:r>
        <w:rPr>
          <w:rFonts w:hint="eastAsia" w:asciiTheme="minorEastAsia" w:hAnsiTheme="minorEastAsia" w:eastAsiaTheme="minorEastAsia" w:cstheme="minorEastAsia"/>
          <w:bCs/>
          <w:color w:val="auto"/>
          <w:sz w:val="24"/>
          <w:szCs w:val="24"/>
          <w:highlight w:val="none"/>
        </w:rPr>
        <w:t>的CA数字证书、电子签章已更换为江苏省电子政务证书认证中心C A和方正国际软件（北京）有限公司电子签章。如果供应商通过</w:t>
      </w:r>
      <w:r>
        <w:rPr>
          <w:rFonts w:hint="eastAsia" w:asciiTheme="minorEastAsia" w:hAnsiTheme="minorEastAsia" w:eastAsiaTheme="minorEastAsia" w:cstheme="minorEastAsia"/>
          <w:color w:val="auto"/>
          <w:sz w:val="24"/>
          <w:szCs w:val="24"/>
          <w:highlight w:val="none"/>
        </w:rPr>
        <w:t>苏采云系统</w:t>
      </w:r>
      <w:r>
        <w:rPr>
          <w:rFonts w:hint="eastAsia" w:asciiTheme="minorEastAsia" w:hAnsiTheme="minorEastAsia" w:eastAsiaTheme="minorEastAsia" w:cstheme="minorEastAsia"/>
          <w:bCs/>
          <w:color w:val="auto"/>
          <w:sz w:val="24"/>
          <w:szCs w:val="24"/>
          <w:highlight w:val="none"/>
        </w:rPr>
        <w:t>参与政府采购项目，需要更换CA数字证书和电子签章。具体办理指南和操作手册见链接：</w:t>
      </w:r>
      <w:r>
        <w:rPr>
          <w:rFonts w:hint="eastAsia" w:asciiTheme="minorEastAsia" w:hAnsiTheme="minorEastAsia" w:eastAsiaTheme="minorEastAsia" w:cstheme="minorEastAsia"/>
          <w:color w:val="auto"/>
          <w:sz w:val="24"/>
          <w:szCs w:val="24"/>
          <w:highlight w:val="none"/>
        </w:rPr>
        <w:t>http://zfcg.yangzhou.gov.cn/zfcg/xzzx/202309/4d7de1f7865f4a2894fc22bc452f94d8.shtml，请按《操作手册》要求制作、上传电子响应文件。</w:t>
      </w:r>
    </w:p>
    <w:p w14:paraId="613760BC">
      <w:pPr>
        <w:pageBreakBefore w:val="0"/>
        <w:widowControl w:val="0"/>
        <w:kinsoku/>
        <w:wordWrap/>
        <w:overflowPunct/>
        <w:topLinePunct w:val="0"/>
        <w:autoSpaceDE/>
        <w:autoSpaceDN/>
        <w:bidi w:val="0"/>
        <w:adjustRightInd/>
        <w:snapToGrid/>
        <w:spacing w:line="440" w:lineRule="exact"/>
        <w:ind w:firstLine="482"/>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领取CA和办理电子签章（请至扬州市文昌东路9号广陵新城市民中心1号楼5楼办理，具体联系方式：18952716110）。</w:t>
      </w:r>
    </w:p>
    <w:p w14:paraId="3666B33D">
      <w:pPr>
        <w:pageBreakBefore w:val="0"/>
        <w:widowControl w:val="0"/>
        <w:tabs>
          <w:tab w:val="left" w:pos="900"/>
        </w:tabs>
        <w:kinsoku/>
        <w:wordWrap/>
        <w:overflowPunct/>
        <w:topLinePunct w:val="0"/>
        <w:autoSpaceDE/>
        <w:autoSpaceDN/>
        <w:bidi w:val="0"/>
        <w:adjustRightInd/>
        <w:snapToGrid/>
        <w:spacing w:line="440" w:lineRule="exact"/>
        <w:ind w:firstLine="42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 有关本次磋商的事项若存在变动或修改，敬请及时关注代理机构在“江苏政府采购网”、“扬州市政府采购网”发布的更正公告。</w:t>
      </w:r>
    </w:p>
    <w:p w14:paraId="55F0F534">
      <w:pPr>
        <w:pageBreakBefore w:val="0"/>
        <w:widowControl w:val="0"/>
        <w:tabs>
          <w:tab w:val="left" w:pos="900"/>
        </w:tabs>
        <w:kinsoku/>
        <w:wordWrap/>
        <w:overflowPunct/>
        <w:topLinePunct w:val="0"/>
        <w:autoSpaceDE/>
        <w:autoSpaceDN/>
        <w:bidi w:val="0"/>
        <w:adjustRightInd/>
        <w:snapToGrid/>
        <w:spacing w:line="440" w:lineRule="exact"/>
        <w:ind w:firstLine="42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 本次磋商不收取磋商保证金。</w:t>
      </w:r>
    </w:p>
    <w:p w14:paraId="0D5597BD">
      <w:pPr>
        <w:rPr>
          <w:rFonts w:asciiTheme="minorEastAsia" w:hAnsiTheme="minorEastAsia" w:eastAsiaTheme="minorEastAsia" w:cstheme="minorEastAsia"/>
          <w:color w:val="auto"/>
          <w:highlight w:val="none"/>
        </w:rPr>
      </w:pPr>
    </w:p>
    <w:p w14:paraId="22518AA4">
      <w:pPr>
        <w:rPr>
          <w:rFonts w:hint="eastAsia" w:asciiTheme="minorEastAsia" w:hAnsiTheme="minorEastAsia" w:eastAsiaTheme="minorEastAsia" w:cstheme="minorEastAsia"/>
          <w:color w:val="auto"/>
          <w:sz w:val="36"/>
          <w:szCs w:val="36"/>
          <w:highlight w:val="none"/>
        </w:rPr>
      </w:pPr>
      <w:bookmarkStart w:id="20" w:name="_Toc109304972"/>
    </w:p>
    <w:p w14:paraId="647D8E23">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6B414B42">
      <w:pPr>
        <w:pStyle w:val="2"/>
        <w:spacing w:line="360" w:lineRule="auto"/>
        <w:jc w:val="cente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第二章 供应商须知</w:t>
      </w:r>
      <w:bookmarkEnd w:id="20"/>
    </w:p>
    <w:p w14:paraId="62E62608">
      <w:pPr>
        <w:keepNext/>
        <w:keepLines/>
        <w:pageBreakBefore w:val="0"/>
        <w:widowControl w:val="0"/>
        <w:kinsoku/>
        <w:wordWrap/>
        <w:overflowPunct/>
        <w:topLinePunct w:val="0"/>
        <w:autoSpaceDE/>
        <w:autoSpaceDN/>
        <w:bidi w:val="0"/>
        <w:adjustRightInd/>
        <w:snapToGrid/>
        <w:spacing w:line="440" w:lineRule="exact"/>
        <w:ind w:firstLine="498"/>
        <w:textAlignment w:val="auto"/>
        <w:outlineLvl w:val="2"/>
        <w:rPr>
          <w:rFonts w:hint="eastAsia"/>
          <w:b/>
          <w:bCs/>
          <w:color w:val="auto"/>
          <w:sz w:val="32"/>
          <w:szCs w:val="32"/>
          <w:highlight w:val="none"/>
        </w:rPr>
      </w:pPr>
      <w:bookmarkStart w:id="21" w:name="_Toc513029203"/>
      <w:bookmarkStart w:id="22" w:name="_Toc16938519"/>
      <w:bookmarkStart w:id="23" w:name="_Toc20823275"/>
      <w:bookmarkStart w:id="24" w:name="_Toc120614214"/>
      <w:r>
        <w:rPr>
          <w:rFonts w:hint="eastAsia"/>
          <w:b/>
          <w:bCs/>
          <w:color w:val="auto"/>
          <w:sz w:val="32"/>
          <w:szCs w:val="32"/>
          <w:highlight w:val="none"/>
        </w:rPr>
        <w:t>一、总则</w:t>
      </w:r>
      <w:bookmarkEnd w:id="21"/>
      <w:bookmarkEnd w:id="22"/>
      <w:bookmarkEnd w:id="23"/>
      <w:bookmarkEnd w:id="24"/>
    </w:p>
    <w:p w14:paraId="5136D48C">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25" w:name="_Hlt16619475"/>
      <w:bookmarkEnd w:id="25"/>
      <w:bookmarkStart w:id="26" w:name="_Toc458694821"/>
      <w:bookmarkStart w:id="27" w:name="_Toc513029204"/>
      <w:bookmarkStart w:id="28" w:name="_Toc16938520"/>
      <w:bookmarkStart w:id="29" w:name="_Toc20823276"/>
      <w:r>
        <w:rPr>
          <w:rFonts w:hint="eastAsia" w:ascii="Arial" w:hAnsi="Arial" w:eastAsia="黑体" w:cs="Arial"/>
          <w:color w:val="auto"/>
          <w:sz w:val="28"/>
          <w:szCs w:val="28"/>
          <w:highlight w:val="none"/>
          <w:lang w:eastAsia="zh-CN"/>
        </w:rPr>
        <w:t>1.</w:t>
      </w:r>
      <w:bookmarkEnd w:id="26"/>
      <w:r>
        <w:rPr>
          <w:rFonts w:hint="eastAsia" w:ascii="Arial" w:hAnsi="Arial" w:eastAsia="黑体" w:cs="Arial"/>
          <w:color w:val="auto"/>
          <w:sz w:val="28"/>
          <w:szCs w:val="28"/>
          <w:highlight w:val="none"/>
        </w:rPr>
        <w:t>采购方式</w:t>
      </w:r>
      <w:bookmarkEnd w:id="27"/>
      <w:bookmarkEnd w:id="28"/>
      <w:bookmarkEnd w:id="29"/>
    </w:p>
    <w:p w14:paraId="70B15BD9">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color w:val="auto"/>
          <w:sz w:val="24"/>
          <w:szCs w:val="21"/>
          <w:highlight w:val="none"/>
        </w:rPr>
        <w:t>1.1 本次政府采购活动采取竞争性磋商</w:t>
      </w:r>
      <w:r>
        <w:rPr>
          <w:rFonts w:hint="eastAsia" w:ascii="宋体" w:hAnsi="宋体"/>
          <w:color w:val="auto"/>
          <w:sz w:val="24"/>
          <w:szCs w:val="21"/>
          <w:highlight w:val="none"/>
          <w:lang w:eastAsia="zh-CN"/>
        </w:rPr>
        <w:t>（</w:t>
      </w:r>
      <w:r>
        <w:rPr>
          <w:rFonts w:hint="eastAsia" w:ascii="宋体" w:hAnsi="宋体"/>
          <w:color w:val="auto"/>
          <w:sz w:val="24"/>
          <w:szCs w:val="21"/>
          <w:highlight w:val="none"/>
        </w:rPr>
        <w:t>以下简称磋商</w:t>
      </w:r>
      <w:r>
        <w:rPr>
          <w:rFonts w:hint="eastAsia" w:ascii="宋体" w:hAnsi="宋体"/>
          <w:color w:val="auto"/>
          <w:sz w:val="24"/>
          <w:szCs w:val="21"/>
          <w:highlight w:val="none"/>
          <w:lang w:eastAsia="zh-CN"/>
        </w:rPr>
        <w:t>）</w:t>
      </w:r>
      <w:r>
        <w:rPr>
          <w:rFonts w:hint="eastAsia" w:ascii="宋体" w:hAnsi="宋体"/>
          <w:color w:val="auto"/>
          <w:sz w:val="24"/>
          <w:szCs w:val="21"/>
          <w:highlight w:val="none"/>
        </w:rPr>
        <w:t>方式，本磋商文件仅适用于磋商公告中所述项目。</w:t>
      </w:r>
    </w:p>
    <w:p w14:paraId="206EAFAF">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30" w:name="_Toc513029205"/>
      <w:bookmarkStart w:id="31" w:name="_Toc20823277"/>
      <w:bookmarkStart w:id="32" w:name="_Toc16938521"/>
      <w:r>
        <w:rPr>
          <w:rFonts w:hint="eastAsia" w:ascii="Arial" w:hAnsi="Arial" w:eastAsia="黑体" w:cs="Arial"/>
          <w:color w:val="auto"/>
          <w:sz w:val="28"/>
          <w:szCs w:val="28"/>
          <w:highlight w:val="none"/>
          <w:lang w:eastAsia="zh-CN"/>
        </w:rPr>
        <w:t>2.</w:t>
      </w:r>
      <w:r>
        <w:rPr>
          <w:rFonts w:hint="eastAsia" w:ascii="Arial" w:hAnsi="Arial" w:eastAsia="黑体" w:cs="Arial"/>
          <w:color w:val="auto"/>
          <w:sz w:val="28"/>
          <w:szCs w:val="28"/>
          <w:highlight w:val="none"/>
        </w:rPr>
        <w:t>合格的</w:t>
      </w:r>
      <w:bookmarkEnd w:id="30"/>
      <w:bookmarkEnd w:id="31"/>
      <w:bookmarkEnd w:id="32"/>
      <w:r>
        <w:rPr>
          <w:rFonts w:hint="eastAsia" w:ascii="Arial" w:hAnsi="Arial" w:eastAsia="黑体" w:cs="Arial"/>
          <w:color w:val="auto"/>
          <w:sz w:val="28"/>
          <w:szCs w:val="28"/>
          <w:highlight w:val="none"/>
        </w:rPr>
        <w:t>供应商</w:t>
      </w:r>
    </w:p>
    <w:p w14:paraId="0944E334">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2.1满足磋商公告中供应商资格要求的规定。</w:t>
      </w:r>
    </w:p>
    <w:p w14:paraId="009B9FC6">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2.2 满足本磋商文件实质性要求和条件的规定。</w:t>
      </w:r>
    </w:p>
    <w:p w14:paraId="307AE222">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33" w:name="_Toc16938522"/>
      <w:bookmarkStart w:id="34" w:name="_Toc20823278"/>
      <w:bookmarkStart w:id="35" w:name="_Toc513029206"/>
      <w:r>
        <w:rPr>
          <w:rFonts w:hint="eastAsia" w:ascii="Arial" w:hAnsi="Arial" w:eastAsia="黑体" w:cs="Arial"/>
          <w:color w:val="auto"/>
          <w:sz w:val="28"/>
          <w:szCs w:val="28"/>
          <w:highlight w:val="none"/>
          <w:lang w:eastAsia="zh-CN"/>
        </w:rPr>
        <w:t>3.</w:t>
      </w:r>
      <w:r>
        <w:rPr>
          <w:rFonts w:hint="eastAsia" w:ascii="Arial" w:hAnsi="Arial" w:eastAsia="黑体" w:cs="Arial"/>
          <w:color w:val="auto"/>
          <w:sz w:val="28"/>
          <w:szCs w:val="28"/>
          <w:highlight w:val="none"/>
        </w:rPr>
        <w:t>适用法律</w:t>
      </w:r>
      <w:bookmarkEnd w:id="33"/>
      <w:bookmarkEnd w:id="34"/>
      <w:bookmarkEnd w:id="35"/>
    </w:p>
    <w:p w14:paraId="39AD0CF5">
      <w:pPr>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olor w:val="auto"/>
          <w:sz w:val="24"/>
          <w:szCs w:val="21"/>
          <w:highlight w:val="none"/>
        </w:rPr>
      </w:pPr>
      <w:r>
        <w:rPr>
          <w:rFonts w:hint="eastAsia" w:ascii="宋体" w:hAnsi="宋体"/>
          <w:color w:val="auto"/>
          <w:sz w:val="24"/>
          <w:szCs w:val="21"/>
          <w:highlight w:val="none"/>
        </w:rPr>
        <w:t>3.1本次磋商及由此产生的合同受中华人民共和国有关的法律法规制约和保护</w:t>
      </w:r>
      <w:r>
        <w:rPr>
          <w:rFonts w:ascii="宋体" w:hAnsi="宋体"/>
          <w:color w:val="auto"/>
          <w:sz w:val="24"/>
          <w:szCs w:val="21"/>
          <w:highlight w:val="none"/>
        </w:rPr>
        <w:t>。</w:t>
      </w:r>
      <w:bookmarkStart w:id="36" w:name="_Toc513029207"/>
      <w:bookmarkStart w:id="37" w:name="_Toc462564067"/>
      <w:bookmarkStart w:id="38" w:name="_Toc16938523"/>
      <w:bookmarkStart w:id="39" w:name="_Toc20823279"/>
    </w:p>
    <w:p w14:paraId="497264C3">
      <w:pPr>
        <w:pageBreakBefore w:val="0"/>
        <w:widowControl w:val="0"/>
        <w:kinsoku/>
        <w:wordWrap/>
        <w:overflowPunct/>
        <w:topLinePunct w:val="0"/>
        <w:autoSpaceDE/>
        <w:autoSpaceDN/>
        <w:bidi w:val="0"/>
        <w:adjustRightInd/>
        <w:snapToGrid/>
        <w:spacing w:line="440" w:lineRule="exact"/>
        <w:ind w:firstLine="490"/>
        <w:textAlignment w:val="auto"/>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lang w:eastAsia="zh-CN"/>
        </w:rPr>
        <w:t>4.</w:t>
      </w:r>
      <w:r>
        <w:rPr>
          <w:rFonts w:hint="eastAsia" w:ascii="Arial" w:hAnsi="Arial" w:eastAsia="黑体" w:cs="Arial"/>
          <w:color w:val="auto"/>
          <w:sz w:val="28"/>
          <w:szCs w:val="28"/>
          <w:highlight w:val="none"/>
        </w:rPr>
        <w:t>磋商费用</w:t>
      </w:r>
      <w:bookmarkEnd w:id="36"/>
      <w:bookmarkEnd w:id="37"/>
      <w:bookmarkEnd w:id="38"/>
      <w:bookmarkEnd w:id="39"/>
    </w:p>
    <w:p w14:paraId="6C32C720">
      <w:pPr>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4.1 供应商应自行承担所有与参加磋商有关的费用，无论磋商过程中的做法和结果如何，</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以下简称代理机构</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在任何情况下均无义务和责任承担这些费用。</w:t>
      </w:r>
    </w:p>
    <w:p w14:paraId="33704E6A">
      <w:pPr>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bCs/>
          <w:color w:val="auto"/>
          <w:sz w:val="24"/>
          <w:szCs w:val="21"/>
          <w:highlight w:val="none"/>
          <w:u w:val="none"/>
        </w:rPr>
      </w:pPr>
      <w:r>
        <w:rPr>
          <w:rFonts w:hint="eastAsia" w:ascii="宋体" w:hAnsi="宋体"/>
          <w:bCs/>
          <w:color w:val="auto"/>
          <w:sz w:val="24"/>
          <w:szCs w:val="21"/>
          <w:highlight w:val="none"/>
          <w:u w:val="none"/>
        </w:rPr>
        <w:t>4.2本次采购代理费由</w:t>
      </w:r>
      <w:r>
        <w:rPr>
          <w:rFonts w:hint="eastAsia" w:ascii="宋体" w:hAnsi="宋体"/>
          <w:bCs/>
          <w:color w:val="auto"/>
          <w:sz w:val="24"/>
          <w:szCs w:val="21"/>
          <w:highlight w:val="none"/>
          <w:u w:val="none"/>
          <w:lang w:val="en-US" w:eastAsia="zh-CN"/>
        </w:rPr>
        <w:t>采购</w:t>
      </w:r>
      <w:r>
        <w:rPr>
          <w:rFonts w:hint="eastAsia" w:ascii="宋体" w:hAnsi="宋体"/>
          <w:bCs/>
          <w:color w:val="auto"/>
          <w:sz w:val="24"/>
          <w:szCs w:val="21"/>
          <w:highlight w:val="none"/>
          <w:u w:val="none"/>
        </w:rPr>
        <w:t>人支付，采购代理服务费按照关于印发《江苏省政府采购代理服务收费指导意见》的通知（苏政采协</w:t>
      </w:r>
      <w:r>
        <w:rPr>
          <w:rFonts w:hint="eastAsia" w:ascii="宋体" w:hAnsi="宋体"/>
          <w:bCs/>
          <w:color w:val="auto"/>
          <w:sz w:val="24"/>
          <w:szCs w:val="21"/>
          <w:highlight w:val="none"/>
          <w:u w:val="none"/>
          <w:lang w:eastAsia="zh-CN"/>
        </w:rPr>
        <w:t>〔2024〕20号</w:t>
      </w:r>
      <w:r>
        <w:rPr>
          <w:rFonts w:hint="eastAsia" w:ascii="宋体" w:hAnsi="宋体"/>
          <w:bCs/>
          <w:color w:val="auto"/>
          <w:sz w:val="24"/>
          <w:szCs w:val="21"/>
          <w:highlight w:val="none"/>
          <w:u w:val="none"/>
        </w:rPr>
        <w:t>）规定</w:t>
      </w:r>
      <w:r>
        <w:rPr>
          <w:rFonts w:hint="eastAsia" w:ascii="宋体" w:hAnsi="宋体"/>
          <w:bCs/>
          <w:color w:val="auto"/>
          <w:sz w:val="24"/>
          <w:szCs w:val="21"/>
          <w:highlight w:val="none"/>
          <w:u w:val="none"/>
          <w:lang w:eastAsia="zh-CN"/>
        </w:rPr>
        <w:t>标准</w:t>
      </w:r>
      <w:r>
        <w:rPr>
          <w:rFonts w:hint="eastAsia" w:ascii="宋体" w:hAnsi="宋体"/>
          <w:bCs/>
          <w:color w:val="auto"/>
          <w:sz w:val="24"/>
          <w:szCs w:val="21"/>
          <w:highlight w:val="none"/>
          <w:u w:val="none"/>
        </w:rPr>
        <w:t>计取。</w:t>
      </w:r>
    </w:p>
    <w:p w14:paraId="428D7E5F">
      <w:pPr>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bCs/>
          <w:color w:val="auto"/>
          <w:sz w:val="24"/>
          <w:szCs w:val="21"/>
          <w:highlight w:val="none"/>
          <w:u w:val="none"/>
        </w:rPr>
      </w:pPr>
      <w:r>
        <w:rPr>
          <w:rFonts w:hint="eastAsia" w:ascii="宋体" w:hAnsi="宋体"/>
          <w:bCs/>
          <w:color w:val="auto"/>
          <w:sz w:val="24"/>
          <w:szCs w:val="21"/>
          <w:highlight w:val="none"/>
          <w:u w:val="none"/>
          <w:lang w:val="en-US" w:eastAsia="zh-CN"/>
        </w:rPr>
        <w:t xml:space="preserve"> </w:t>
      </w:r>
      <w:r>
        <w:rPr>
          <w:rFonts w:hint="eastAsia" w:ascii="宋体" w:hAnsi="宋体"/>
          <w:bCs/>
          <w:color w:val="auto"/>
          <w:sz w:val="24"/>
          <w:szCs w:val="21"/>
          <w:highlight w:val="none"/>
          <w:u w:val="none"/>
        </w:rPr>
        <w:t>4.3本次采购专家评审费由采购人支付，专家评审费按宝财购〔2020〕14号《关于进一步规范宝应县政府采购专家评审费标准的通知》执行。</w:t>
      </w:r>
    </w:p>
    <w:p w14:paraId="302D9407">
      <w:pPr>
        <w:keepNext/>
        <w:keepLines/>
        <w:pageBreakBefore w:val="0"/>
        <w:widowControl w:val="0"/>
        <w:kinsoku/>
        <w:wordWrap/>
        <w:overflowPunct/>
        <w:topLinePunct w:val="0"/>
        <w:autoSpaceDE/>
        <w:autoSpaceDN/>
        <w:bidi w:val="0"/>
        <w:adjustRightInd/>
        <w:snapToGrid/>
        <w:spacing w:line="440" w:lineRule="exact"/>
        <w:ind w:firstLine="301"/>
        <w:textAlignment w:val="auto"/>
        <w:outlineLvl w:val="3"/>
        <w:rPr>
          <w:rFonts w:hint="eastAsia" w:ascii="黑体" w:hAnsi="宋体" w:eastAsia="黑体" w:cs="Arial"/>
          <w:color w:val="auto"/>
          <w:sz w:val="28"/>
          <w:szCs w:val="28"/>
          <w:highlight w:val="none"/>
        </w:rPr>
      </w:pPr>
      <w:r>
        <w:rPr>
          <w:rFonts w:hint="eastAsia" w:ascii="宋体" w:hAnsi="宋体" w:eastAsia="黑体" w:cs="Arial"/>
          <w:b/>
          <w:bCs/>
          <w:color w:val="auto"/>
          <w:sz w:val="30"/>
          <w:szCs w:val="28"/>
          <w:highlight w:val="none"/>
          <w:lang w:eastAsia="zh-CN"/>
        </w:rPr>
        <w:t>5.</w:t>
      </w:r>
      <w:r>
        <w:rPr>
          <w:rFonts w:hint="eastAsia" w:ascii="黑体" w:hAnsi="宋体" w:eastAsia="黑体" w:cs="Arial"/>
          <w:color w:val="auto"/>
          <w:sz w:val="28"/>
          <w:szCs w:val="28"/>
          <w:highlight w:val="none"/>
        </w:rPr>
        <w:t>磋商文件的约束力</w:t>
      </w:r>
    </w:p>
    <w:p w14:paraId="562C5A66">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供应商一旦参加本项目采购活动，即被认为接受了本磋商文件的规定和约束。</w:t>
      </w:r>
    </w:p>
    <w:p w14:paraId="53196CD6">
      <w:pPr>
        <w:keepNext/>
        <w:keepLines/>
        <w:pageBreakBefore w:val="0"/>
        <w:widowControl w:val="0"/>
        <w:kinsoku/>
        <w:wordWrap/>
        <w:overflowPunct/>
        <w:topLinePunct w:val="0"/>
        <w:autoSpaceDE/>
        <w:autoSpaceDN/>
        <w:bidi w:val="0"/>
        <w:adjustRightInd/>
        <w:snapToGrid/>
        <w:spacing w:line="440" w:lineRule="exact"/>
        <w:ind w:firstLine="321"/>
        <w:textAlignment w:val="auto"/>
        <w:outlineLvl w:val="2"/>
        <w:rPr>
          <w:rFonts w:hint="eastAsia"/>
          <w:b/>
          <w:bCs/>
          <w:color w:val="auto"/>
          <w:sz w:val="32"/>
          <w:szCs w:val="32"/>
          <w:highlight w:val="none"/>
        </w:rPr>
      </w:pPr>
      <w:bookmarkStart w:id="40" w:name="_Toc513029209"/>
      <w:bookmarkStart w:id="41" w:name="_Toc20823281"/>
      <w:bookmarkStart w:id="42" w:name="_Toc16938525"/>
      <w:bookmarkStart w:id="43" w:name="_Toc120614215"/>
      <w:r>
        <w:rPr>
          <w:rFonts w:hint="eastAsia"/>
          <w:b/>
          <w:bCs/>
          <w:color w:val="auto"/>
          <w:sz w:val="32"/>
          <w:szCs w:val="32"/>
          <w:highlight w:val="none"/>
        </w:rPr>
        <w:t>二、</w:t>
      </w:r>
      <w:bookmarkEnd w:id="40"/>
      <w:bookmarkEnd w:id="41"/>
      <w:bookmarkEnd w:id="42"/>
      <w:bookmarkEnd w:id="43"/>
      <w:r>
        <w:rPr>
          <w:rFonts w:hint="eastAsia"/>
          <w:b/>
          <w:bCs/>
          <w:color w:val="auto"/>
          <w:sz w:val="32"/>
          <w:szCs w:val="32"/>
          <w:highlight w:val="none"/>
        </w:rPr>
        <w:t>磋商文件</w:t>
      </w:r>
    </w:p>
    <w:p w14:paraId="5519C86C">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44" w:name="_Toc16938526"/>
      <w:bookmarkStart w:id="45" w:name="_Toc20823282"/>
      <w:bookmarkStart w:id="46" w:name="_Toc513029210"/>
      <w:r>
        <w:rPr>
          <w:rFonts w:hint="eastAsia" w:ascii="Arial" w:hAnsi="Arial" w:eastAsia="黑体" w:cs="Arial"/>
          <w:color w:val="auto"/>
          <w:sz w:val="28"/>
          <w:szCs w:val="28"/>
          <w:highlight w:val="none"/>
          <w:lang w:eastAsia="zh-CN"/>
        </w:rPr>
        <w:t>6.</w:t>
      </w:r>
      <w:r>
        <w:rPr>
          <w:rFonts w:hint="eastAsia" w:ascii="Arial" w:hAnsi="Arial" w:eastAsia="黑体" w:cs="Arial"/>
          <w:color w:val="auto"/>
          <w:sz w:val="28"/>
          <w:szCs w:val="28"/>
          <w:highlight w:val="none"/>
        </w:rPr>
        <w:t>磋商文件构成</w:t>
      </w:r>
      <w:bookmarkEnd w:id="44"/>
      <w:bookmarkEnd w:id="45"/>
      <w:bookmarkEnd w:id="46"/>
      <w:bookmarkStart w:id="180" w:name="_GoBack"/>
      <w:bookmarkEnd w:id="180"/>
    </w:p>
    <w:p w14:paraId="1876FD6E">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bCs/>
          <w:color w:val="auto"/>
          <w:sz w:val="24"/>
          <w:szCs w:val="21"/>
          <w:highlight w:val="none"/>
        </w:rPr>
        <w:t>6.1</w:t>
      </w:r>
      <w:r>
        <w:rPr>
          <w:rFonts w:hint="eastAsia" w:ascii="宋体" w:hAnsi="宋体"/>
          <w:color w:val="auto"/>
          <w:sz w:val="24"/>
          <w:szCs w:val="21"/>
          <w:highlight w:val="none"/>
        </w:rPr>
        <w:t>磋商文件由以下部分组成：</w:t>
      </w:r>
    </w:p>
    <w:p w14:paraId="293FF436">
      <w:pPr>
        <w:pageBreakBefore w:val="0"/>
        <w:widowControl w:val="0"/>
        <w:kinsoku/>
        <w:wordWrap/>
        <w:overflowPunct/>
        <w:topLinePunct w:val="0"/>
        <w:autoSpaceDE/>
        <w:autoSpaceDN/>
        <w:bidi w:val="0"/>
        <w:adjustRightInd/>
        <w:snapToGrid/>
        <w:spacing w:line="440" w:lineRule="exact"/>
        <w:ind w:firstLine="360"/>
        <w:textAlignment w:val="auto"/>
        <w:rPr>
          <w:rFonts w:hint="eastAsia" w:ascii="宋体" w:hAnsi="宋体"/>
          <w:color w:val="auto"/>
          <w:sz w:val="24"/>
          <w:szCs w:val="24"/>
          <w:highlight w:val="none"/>
        </w:rPr>
      </w:pPr>
      <w:r>
        <w:rPr>
          <w:rFonts w:hint="eastAsia" w:ascii="宋体" w:hAnsi="宋体"/>
          <w:color w:val="auto"/>
          <w:sz w:val="24"/>
          <w:szCs w:val="24"/>
          <w:highlight w:val="none"/>
        </w:rPr>
        <w:t>（1）磋商</w:t>
      </w:r>
      <w:r>
        <w:rPr>
          <w:rFonts w:ascii="宋体" w:hAnsi="宋体"/>
          <w:color w:val="auto"/>
          <w:sz w:val="24"/>
          <w:szCs w:val="24"/>
          <w:highlight w:val="none"/>
        </w:rPr>
        <w:t>邀请</w:t>
      </w:r>
    </w:p>
    <w:p w14:paraId="6DA836E3">
      <w:pPr>
        <w:pageBreakBefore w:val="0"/>
        <w:widowControl w:val="0"/>
        <w:kinsoku/>
        <w:wordWrap/>
        <w:overflowPunct/>
        <w:topLinePunct w:val="0"/>
        <w:autoSpaceDE/>
        <w:autoSpaceDN/>
        <w:bidi w:val="0"/>
        <w:adjustRightInd/>
        <w:snapToGrid/>
        <w:spacing w:line="440" w:lineRule="exact"/>
        <w:ind w:firstLine="360"/>
        <w:textAlignment w:val="auto"/>
        <w:rPr>
          <w:rFonts w:hint="eastAsia" w:ascii="宋体" w:hAnsi="宋体"/>
          <w:color w:val="auto"/>
          <w:sz w:val="24"/>
          <w:szCs w:val="24"/>
          <w:highlight w:val="none"/>
        </w:rPr>
      </w:pPr>
      <w:r>
        <w:rPr>
          <w:rFonts w:hint="eastAsia" w:ascii="宋体" w:hAnsi="宋体"/>
          <w:color w:val="auto"/>
          <w:sz w:val="24"/>
          <w:szCs w:val="24"/>
          <w:highlight w:val="none"/>
        </w:rPr>
        <w:t>（2）供应商须知</w:t>
      </w:r>
    </w:p>
    <w:p w14:paraId="58FEC687">
      <w:pPr>
        <w:pageBreakBefore w:val="0"/>
        <w:widowControl w:val="0"/>
        <w:kinsoku/>
        <w:wordWrap/>
        <w:overflowPunct/>
        <w:topLinePunct w:val="0"/>
        <w:autoSpaceDE/>
        <w:autoSpaceDN/>
        <w:bidi w:val="0"/>
        <w:adjustRightInd/>
        <w:snapToGrid/>
        <w:spacing w:line="440" w:lineRule="exact"/>
        <w:ind w:firstLine="360"/>
        <w:textAlignment w:val="auto"/>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2267F294">
      <w:pPr>
        <w:pageBreakBefore w:val="0"/>
        <w:widowControl w:val="0"/>
        <w:kinsoku/>
        <w:wordWrap/>
        <w:overflowPunct/>
        <w:topLinePunct w:val="0"/>
        <w:autoSpaceDE/>
        <w:autoSpaceDN/>
        <w:bidi w:val="0"/>
        <w:adjustRightInd/>
        <w:snapToGrid/>
        <w:spacing w:line="440" w:lineRule="exact"/>
        <w:ind w:firstLine="360"/>
        <w:textAlignment w:val="auto"/>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7FAA854B">
      <w:pPr>
        <w:pageBreakBefore w:val="0"/>
        <w:widowControl w:val="0"/>
        <w:kinsoku/>
        <w:wordWrap/>
        <w:overflowPunct/>
        <w:topLinePunct w:val="0"/>
        <w:autoSpaceDE/>
        <w:autoSpaceDN/>
        <w:bidi w:val="0"/>
        <w:adjustRightInd/>
        <w:snapToGrid/>
        <w:spacing w:line="440" w:lineRule="exact"/>
        <w:ind w:firstLine="360"/>
        <w:textAlignment w:val="auto"/>
        <w:rPr>
          <w:rFonts w:hint="eastAsia"/>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评审方法与评审标准</w:t>
      </w:r>
    </w:p>
    <w:p w14:paraId="473EA966">
      <w:pPr>
        <w:pageBreakBefore w:val="0"/>
        <w:widowControl w:val="0"/>
        <w:kinsoku/>
        <w:wordWrap/>
        <w:overflowPunct/>
        <w:topLinePunct w:val="0"/>
        <w:autoSpaceDE/>
        <w:autoSpaceDN/>
        <w:bidi w:val="0"/>
        <w:adjustRightInd/>
        <w:snapToGrid/>
        <w:spacing w:line="440" w:lineRule="exact"/>
        <w:ind w:firstLine="360"/>
        <w:textAlignment w:val="auto"/>
        <w:rPr>
          <w:rFonts w:hint="eastAsia" w:ascii="宋体" w:hAnsi="宋体"/>
          <w:color w:val="auto"/>
          <w:sz w:val="24"/>
          <w:szCs w:val="24"/>
          <w:highlight w:val="none"/>
        </w:rPr>
      </w:pPr>
      <w:r>
        <w:rPr>
          <w:rFonts w:hint="eastAsia" w:ascii="宋体" w:hAnsi="宋体"/>
          <w:color w:val="auto"/>
          <w:sz w:val="24"/>
          <w:szCs w:val="24"/>
          <w:highlight w:val="none"/>
        </w:rPr>
        <w:t>（6）响应文件格式</w:t>
      </w:r>
    </w:p>
    <w:p w14:paraId="17598401">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color w:val="auto"/>
          <w:sz w:val="24"/>
          <w:szCs w:val="21"/>
          <w:highlight w:val="none"/>
        </w:rPr>
        <w:t>请仔细检查磋商文件是否齐全，如有缺漏请立即与代理机构联系解决。</w:t>
      </w:r>
    </w:p>
    <w:p w14:paraId="46F31295">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bCs/>
          <w:color w:val="auto"/>
          <w:sz w:val="24"/>
          <w:szCs w:val="21"/>
          <w:highlight w:val="none"/>
        </w:rPr>
        <w:t>6.2</w:t>
      </w:r>
      <w:r>
        <w:rPr>
          <w:rFonts w:hint="eastAsia" w:ascii="宋体" w:hAnsi="宋体"/>
          <w:color w:val="auto"/>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779AD27">
      <w:pPr>
        <w:keepNext/>
        <w:keepLines/>
        <w:pageBreakBefore w:val="0"/>
        <w:widowControl w:val="0"/>
        <w:kinsoku/>
        <w:wordWrap/>
        <w:overflowPunct/>
        <w:topLinePunct w:val="0"/>
        <w:autoSpaceDE/>
        <w:autoSpaceDN/>
        <w:bidi w:val="0"/>
        <w:adjustRightInd/>
        <w:snapToGrid/>
        <w:spacing w:line="440" w:lineRule="exact"/>
        <w:ind w:firstLine="560"/>
        <w:textAlignment w:val="auto"/>
        <w:outlineLvl w:val="3"/>
        <w:rPr>
          <w:rFonts w:hint="eastAsia" w:ascii="Arial" w:hAnsi="Arial" w:eastAsia="黑体" w:cs="Arial"/>
          <w:color w:val="auto"/>
          <w:sz w:val="28"/>
          <w:szCs w:val="28"/>
          <w:highlight w:val="none"/>
        </w:rPr>
      </w:pPr>
      <w:bookmarkStart w:id="47" w:name="_Toc20823283"/>
      <w:bookmarkStart w:id="48" w:name="_Toc513029211"/>
      <w:bookmarkStart w:id="49" w:name="_Toc462564070"/>
      <w:bookmarkStart w:id="50" w:name="_Toc16938527"/>
      <w:r>
        <w:rPr>
          <w:rFonts w:hint="eastAsia" w:ascii="Arial" w:hAnsi="Arial" w:eastAsia="黑体" w:cs="Arial"/>
          <w:color w:val="auto"/>
          <w:sz w:val="28"/>
          <w:szCs w:val="28"/>
          <w:highlight w:val="none"/>
          <w:lang w:eastAsia="zh-CN"/>
        </w:rPr>
        <w:t>7.</w:t>
      </w:r>
      <w:r>
        <w:rPr>
          <w:rFonts w:hint="eastAsia" w:ascii="Arial" w:hAnsi="Arial" w:eastAsia="黑体" w:cs="Arial"/>
          <w:color w:val="auto"/>
          <w:sz w:val="28"/>
          <w:szCs w:val="28"/>
          <w:highlight w:val="none"/>
        </w:rPr>
        <w:t>磋商文件的澄清</w:t>
      </w:r>
      <w:bookmarkEnd w:id="47"/>
      <w:bookmarkEnd w:id="48"/>
      <w:bookmarkEnd w:id="49"/>
      <w:bookmarkEnd w:id="50"/>
    </w:p>
    <w:p w14:paraId="73E2E445">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bCs/>
          <w:color w:val="auto"/>
          <w:sz w:val="24"/>
          <w:szCs w:val="21"/>
          <w:highlight w:val="none"/>
        </w:rPr>
        <w:t>7.1</w:t>
      </w:r>
      <w:r>
        <w:rPr>
          <w:rFonts w:hint="eastAsia" w:ascii="宋体" w:hAnsi="宋体"/>
          <w:color w:val="auto"/>
          <w:sz w:val="24"/>
          <w:szCs w:val="21"/>
          <w:highlight w:val="none"/>
        </w:rPr>
        <w:t xml:space="preserve"> 任何要求对磋商文件进行澄清的供应商，应在磋商截止期5日</w:t>
      </w:r>
      <w:r>
        <w:rPr>
          <w:rFonts w:hint="eastAsia" w:ascii="仿宋_GB2312" w:hAnsi="仿宋_GB2312"/>
          <w:color w:val="auto"/>
          <w:sz w:val="24"/>
          <w:szCs w:val="24"/>
          <w:highlight w:val="none"/>
        </w:rPr>
        <w:t>前</w:t>
      </w:r>
      <w:r>
        <w:rPr>
          <w:rFonts w:hint="eastAsia" w:ascii="宋体" w:hAnsi="宋体"/>
          <w:color w:val="auto"/>
          <w:sz w:val="24"/>
          <w:szCs w:val="21"/>
          <w:highlight w:val="none"/>
        </w:rPr>
        <w:t>按磋商公告中的通讯地址，以书面形式通知代理机构。</w:t>
      </w:r>
    </w:p>
    <w:p w14:paraId="70ADFD26">
      <w:pPr>
        <w:keepNext/>
        <w:keepLines/>
        <w:pageBreakBefore w:val="0"/>
        <w:widowControl w:val="0"/>
        <w:kinsoku/>
        <w:wordWrap/>
        <w:overflowPunct/>
        <w:topLinePunct w:val="0"/>
        <w:autoSpaceDE/>
        <w:autoSpaceDN/>
        <w:bidi w:val="0"/>
        <w:adjustRightInd/>
        <w:snapToGrid/>
        <w:spacing w:line="440" w:lineRule="exact"/>
        <w:ind w:firstLine="560"/>
        <w:textAlignment w:val="auto"/>
        <w:outlineLvl w:val="3"/>
        <w:rPr>
          <w:rFonts w:hint="eastAsia" w:ascii="Arial" w:hAnsi="Arial" w:eastAsia="黑体" w:cs="Arial"/>
          <w:color w:val="auto"/>
          <w:sz w:val="28"/>
          <w:szCs w:val="28"/>
          <w:highlight w:val="none"/>
        </w:rPr>
      </w:pPr>
      <w:bookmarkStart w:id="51" w:name="_Toc462564071"/>
      <w:bookmarkStart w:id="52" w:name="_Toc20823284"/>
      <w:bookmarkStart w:id="53" w:name="_Toc16938528"/>
      <w:bookmarkStart w:id="54" w:name="_Toc513029212"/>
      <w:r>
        <w:rPr>
          <w:rFonts w:hint="eastAsia" w:ascii="Arial" w:hAnsi="Arial" w:eastAsia="黑体" w:cs="Arial"/>
          <w:color w:val="auto"/>
          <w:sz w:val="28"/>
          <w:szCs w:val="28"/>
          <w:highlight w:val="none"/>
          <w:lang w:eastAsia="zh-CN"/>
        </w:rPr>
        <w:t>8.</w:t>
      </w:r>
      <w:r>
        <w:rPr>
          <w:rFonts w:hint="eastAsia" w:ascii="Arial" w:hAnsi="Arial" w:eastAsia="黑体" w:cs="Arial"/>
          <w:color w:val="auto"/>
          <w:sz w:val="28"/>
          <w:szCs w:val="28"/>
          <w:highlight w:val="none"/>
        </w:rPr>
        <w:t>磋商文件的澄清和修改</w:t>
      </w:r>
      <w:bookmarkEnd w:id="51"/>
      <w:bookmarkEnd w:id="52"/>
      <w:bookmarkEnd w:id="53"/>
      <w:bookmarkEnd w:id="54"/>
    </w:p>
    <w:p w14:paraId="0A216A7D">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bCs/>
          <w:color w:val="auto"/>
          <w:sz w:val="24"/>
          <w:szCs w:val="21"/>
          <w:highlight w:val="none"/>
        </w:rPr>
        <w:t>8.1</w:t>
      </w:r>
      <w:r>
        <w:rPr>
          <w:rFonts w:hint="eastAsia" w:ascii="宋体" w:hAnsi="宋体"/>
          <w:color w:val="auto"/>
          <w:sz w:val="24"/>
          <w:szCs w:val="21"/>
          <w:highlight w:val="none"/>
        </w:rPr>
        <w:t xml:space="preserve"> 在响应文件提交截止时</w:t>
      </w:r>
      <w:r>
        <w:rPr>
          <w:rFonts w:hint="eastAsia" w:ascii="宋体" w:hAnsi="宋体"/>
          <w:color w:val="auto"/>
          <w:sz w:val="24"/>
          <w:szCs w:val="21"/>
          <w:highlight w:val="none"/>
          <w:lang w:eastAsia="zh-CN"/>
        </w:rPr>
        <w:t>间之</w:t>
      </w:r>
      <w:r>
        <w:rPr>
          <w:rFonts w:hint="eastAsia" w:ascii="仿宋_GB2312" w:hAnsi="仿宋_GB2312"/>
          <w:color w:val="auto"/>
          <w:sz w:val="24"/>
          <w:szCs w:val="21"/>
          <w:highlight w:val="none"/>
        </w:rPr>
        <w:t>前</w:t>
      </w:r>
      <w:r>
        <w:rPr>
          <w:rFonts w:hint="eastAsia" w:ascii="宋体" w:hAnsi="宋体"/>
          <w:color w:val="auto"/>
          <w:sz w:val="24"/>
          <w:szCs w:val="21"/>
          <w:highlight w:val="none"/>
        </w:rPr>
        <w:t>，代理机构可以对磋商文件进行澄清和修改</w:t>
      </w:r>
      <w:r>
        <w:rPr>
          <w:rFonts w:hint="eastAsia" w:ascii="宋体" w:hAnsi="宋体"/>
          <w:color w:val="auto"/>
          <w:sz w:val="24"/>
          <w:szCs w:val="21"/>
          <w:highlight w:val="none"/>
          <w:lang w:eastAsia="zh-CN"/>
        </w:rPr>
        <w:t>，</w:t>
      </w:r>
      <w:r>
        <w:rPr>
          <w:rFonts w:hint="eastAsia"/>
          <w:color w:val="auto"/>
          <w:szCs w:val="21"/>
          <w:highlight w:val="none"/>
        </w:rPr>
        <w:t xml:space="preserve"> </w:t>
      </w:r>
      <w:r>
        <w:rPr>
          <w:rFonts w:hint="eastAsia" w:ascii="宋体" w:hAnsi="宋体"/>
          <w:color w:val="auto"/>
          <w:sz w:val="24"/>
          <w:szCs w:val="21"/>
          <w:highlight w:val="none"/>
        </w:rPr>
        <w:t>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w:t>
      </w:r>
      <w:r>
        <w:rPr>
          <w:rFonts w:hint="eastAsia" w:ascii="宋体" w:hAnsi="宋体"/>
          <w:color w:val="auto"/>
          <w:sz w:val="24"/>
          <w:szCs w:val="21"/>
          <w:highlight w:val="none"/>
          <w:lang w:eastAsia="zh-CN"/>
        </w:rPr>
        <w:t>，</w:t>
      </w:r>
      <w:r>
        <w:rPr>
          <w:rFonts w:hint="eastAsia"/>
          <w:color w:val="auto"/>
          <w:szCs w:val="21"/>
          <w:highlight w:val="none"/>
        </w:rPr>
        <w:t xml:space="preserve"> </w:t>
      </w:r>
      <w:r>
        <w:rPr>
          <w:rFonts w:hint="eastAsia" w:ascii="宋体" w:hAnsi="宋体"/>
          <w:color w:val="auto"/>
          <w:sz w:val="24"/>
          <w:szCs w:val="21"/>
          <w:highlight w:val="none"/>
        </w:rPr>
        <w:t>更正公告内容将作为磋商文件的组成部分，并对供应商具有约束力。不足5日的，代理机构将顺延提交首次响应文件截止时间。</w:t>
      </w:r>
    </w:p>
    <w:p w14:paraId="558A8C31">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color w:val="auto"/>
          <w:sz w:val="24"/>
          <w:szCs w:val="21"/>
          <w:highlight w:val="none"/>
        </w:rPr>
        <w:t>8.2代理机构可以视采购项目的具体情况，组织供应商进行现场考察或召开磋商前答疑会，但不单独或分别组织只有一个供应商参加的现场考察和答疑会。</w:t>
      </w:r>
    </w:p>
    <w:p w14:paraId="53F224D4">
      <w:pPr>
        <w:keepNext/>
        <w:keepLines/>
        <w:pageBreakBefore w:val="0"/>
        <w:widowControl w:val="0"/>
        <w:kinsoku/>
        <w:wordWrap/>
        <w:overflowPunct/>
        <w:topLinePunct w:val="0"/>
        <w:autoSpaceDE/>
        <w:autoSpaceDN/>
        <w:bidi w:val="0"/>
        <w:adjustRightInd/>
        <w:snapToGrid/>
        <w:spacing w:line="440" w:lineRule="exact"/>
        <w:ind w:firstLine="482"/>
        <w:textAlignment w:val="auto"/>
        <w:outlineLvl w:val="2"/>
        <w:rPr>
          <w:rFonts w:hint="eastAsia"/>
          <w:b/>
          <w:bCs/>
          <w:color w:val="auto"/>
          <w:sz w:val="32"/>
          <w:szCs w:val="32"/>
          <w:highlight w:val="none"/>
        </w:rPr>
      </w:pPr>
      <w:bookmarkStart w:id="55" w:name="_Toc462564072"/>
      <w:bookmarkStart w:id="56" w:name="_Toc513029213"/>
      <w:bookmarkStart w:id="57" w:name="_Toc20823285"/>
      <w:bookmarkStart w:id="58" w:name="_Toc120614216"/>
      <w:bookmarkStart w:id="59" w:name="_Toc16938529"/>
      <w:r>
        <w:rPr>
          <w:rFonts w:hint="eastAsia"/>
          <w:b/>
          <w:bCs/>
          <w:color w:val="auto"/>
          <w:sz w:val="32"/>
          <w:szCs w:val="32"/>
          <w:highlight w:val="none"/>
        </w:rPr>
        <w:t>三、响应文件的编制</w:t>
      </w:r>
      <w:bookmarkEnd w:id="55"/>
      <w:bookmarkEnd w:id="56"/>
      <w:bookmarkEnd w:id="57"/>
      <w:bookmarkEnd w:id="58"/>
      <w:bookmarkEnd w:id="59"/>
    </w:p>
    <w:p w14:paraId="4D39D775">
      <w:pPr>
        <w:keepNext/>
        <w:keepLines/>
        <w:pageBreakBefore w:val="0"/>
        <w:widowControl w:val="0"/>
        <w:kinsoku/>
        <w:wordWrap/>
        <w:overflowPunct/>
        <w:topLinePunct w:val="0"/>
        <w:autoSpaceDE/>
        <w:autoSpaceDN/>
        <w:bidi w:val="0"/>
        <w:adjustRightInd/>
        <w:snapToGrid/>
        <w:spacing w:line="440" w:lineRule="exact"/>
        <w:ind w:firstLine="560"/>
        <w:textAlignment w:val="auto"/>
        <w:outlineLvl w:val="3"/>
        <w:rPr>
          <w:rFonts w:hint="eastAsia" w:ascii="Arial" w:hAnsi="Arial" w:eastAsia="黑体" w:cs="Arial"/>
          <w:b/>
          <w:color w:val="auto"/>
          <w:sz w:val="28"/>
          <w:szCs w:val="28"/>
          <w:highlight w:val="none"/>
        </w:rPr>
      </w:pPr>
      <w:bookmarkStart w:id="60" w:name="_Toc462564073"/>
      <w:bookmarkStart w:id="61" w:name="_Toc16938530"/>
      <w:bookmarkStart w:id="62" w:name="_Toc20823286"/>
      <w:bookmarkStart w:id="63" w:name="_Toc513029214"/>
      <w:r>
        <w:rPr>
          <w:rFonts w:hint="eastAsia" w:ascii="Arial" w:hAnsi="Arial" w:eastAsia="黑体" w:cs="Arial"/>
          <w:color w:val="auto"/>
          <w:sz w:val="28"/>
          <w:szCs w:val="28"/>
          <w:highlight w:val="none"/>
          <w:lang w:eastAsia="zh-CN"/>
        </w:rPr>
        <w:t>9.</w:t>
      </w:r>
      <w:r>
        <w:rPr>
          <w:rFonts w:hint="eastAsia" w:ascii="Arial" w:hAnsi="Arial" w:eastAsia="黑体" w:cs="Arial"/>
          <w:color w:val="auto"/>
          <w:sz w:val="28"/>
          <w:szCs w:val="28"/>
          <w:highlight w:val="none"/>
        </w:rPr>
        <w:t>响应文件的语言及度量衡单位</w:t>
      </w:r>
      <w:bookmarkEnd w:id="60"/>
      <w:bookmarkEnd w:id="61"/>
      <w:bookmarkEnd w:id="62"/>
      <w:bookmarkEnd w:id="63"/>
    </w:p>
    <w:p w14:paraId="60AF141C">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bCs/>
          <w:color w:val="auto"/>
          <w:sz w:val="24"/>
          <w:szCs w:val="21"/>
          <w:highlight w:val="none"/>
        </w:rPr>
        <w:t>9.1</w:t>
      </w:r>
      <w:r>
        <w:rPr>
          <w:rFonts w:hint="eastAsia" w:ascii="宋体" w:hAnsi="宋体"/>
          <w:color w:val="auto"/>
          <w:sz w:val="24"/>
          <w:szCs w:val="21"/>
          <w:highlight w:val="none"/>
        </w:rPr>
        <w:t>供应商提交的响应文件以及供应商与代理机构就有关磋商的所有来往通知、函件和文件均应使用简体中文。</w:t>
      </w:r>
    </w:p>
    <w:p w14:paraId="5CAE8A3E">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bCs/>
          <w:color w:val="auto"/>
          <w:sz w:val="24"/>
          <w:szCs w:val="21"/>
          <w:highlight w:val="none"/>
        </w:rPr>
        <w:t>9.2</w:t>
      </w:r>
      <w:r>
        <w:rPr>
          <w:rFonts w:hint="eastAsia" w:ascii="宋体" w:hAnsi="宋体"/>
          <w:color w:val="auto"/>
          <w:sz w:val="24"/>
          <w:szCs w:val="21"/>
          <w:highlight w:val="none"/>
        </w:rPr>
        <w:t xml:space="preserve"> 除技术性能另有规定外，响应文件所使用的度量衡单位，均须采用国家法定计量单位。</w:t>
      </w:r>
    </w:p>
    <w:p w14:paraId="298F7C4F">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64" w:name="_Toc20823287"/>
      <w:bookmarkStart w:id="65" w:name="_Toc462564074"/>
      <w:bookmarkStart w:id="66" w:name="_Toc16938531"/>
      <w:bookmarkStart w:id="67" w:name="_Toc513029215"/>
      <w:r>
        <w:rPr>
          <w:rFonts w:hint="eastAsia" w:ascii="Arial" w:hAnsi="Arial" w:eastAsia="黑体" w:cs="Arial"/>
          <w:color w:val="auto"/>
          <w:sz w:val="28"/>
          <w:szCs w:val="28"/>
          <w:highlight w:val="none"/>
          <w:lang w:eastAsia="zh-CN"/>
        </w:rPr>
        <w:t>10.</w:t>
      </w:r>
      <w:r>
        <w:rPr>
          <w:rFonts w:hint="eastAsia" w:ascii="Arial" w:hAnsi="Arial" w:eastAsia="黑体" w:cs="Arial"/>
          <w:color w:val="auto"/>
          <w:sz w:val="28"/>
          <w:szCs w:val="28"/>
          <w:highlight w:val="none"/>
        </w:rPr>
        <w:t>响应文件构成</w:t>
      </w:r>
      <w:bookmarkEnd w:id="64"/>
      <w:bookmarkEnd w:id="65"/>
      <w:bookmarkEnd w:id="66"/>
      <w:bookmarkEnd w:id="67"/>
    </w:p>
    <w:p w14:paraId="6B54CEED">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bCs/>
          <w:color w:val="auto"/>
          <w:sz w:val="24"/>
          <w:szCs w:val="21"/>
          <w:highlight w:val="none"/>
        </w:rPr>
        <w:t>10.1</w:t>
      </w:r>
      <w:r>
        <w:rPr>
          <w:rFonts w:hint="eastAsia" w:ascii="宋体" w:hAnsi="宋体"/>
          <w:color w:val="auto"/>
          <w:sz w:val="24"/>
          <w:szCs w:val="21"/>
          <w:highlight w:val="none"/>
        </w:rPr>
        <w:t>供应商编写的响应文件应包括资格证明文件、符合性证明文件、分项报价表、技术要求响应及偏离表、商务要求响应及偏离表、其他证明文件、磋商响应函等部分。</w:t>
      </w:r>
    </w:p>
    <w:p w14:paraId="008C28A0">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color w:val="auto"/>
          <w:sz w:val="24"/>
          <w:szCs w:val="21"/>
          <w:highlight w:val="none"/>
        </w:rPr>
        <w:t>10.2 如标书制作工具中格式和内容与“江苏政府采购网”</w:t>
      </w:r>
      <w:r>
        <w:rPr>
          <w:rFonts w:hint="eastAsia" w:ascii="宋体" w:hAnsi="宋体"/>
          <w:color w:val="auto"/>
          <w:sz w:val="24"/>
          <w:szCs w:val="21"/>
          <w:highlight w:val="none"/>
          <w:lang w:eastAsia="zh-CN"/>
        </w:rPr>
        <w:t>、</w:t>
      </w:r>
      <w:r>
        <w:rPr>
          <w:rFonts w:hint="eastAsia" w:ascii="宋体" w:hAnsi="宋体"/>
          <w:color w:val="auto"/>
          <w:sz w:val="24"/>
          <w:szCs w:val="21"/>
          <w:highlight w:val="none"/>
        </w:rPr>
        <w:t>“扬州市政府采购网”发布的磋商文件不一致，请以“江苏政府采购网”</w:t>
      </w:r>
      <w:r>
        <w:rPr>
          <w:rFonts w:hint="eastAsia" w:ascii="宋体" w:hAnsi="宋体"/>
          <w:color w:val="auto"/>
          <w:sz w:val="24"/>
          <w:szCs w:val="21"/>
          <w:highlight w:val="none"/>
          <w:lang w:eastAsia="zh-CN"/>
        </w:rPr>
        <w:t>、</w:t>
      </w:r>
      <w:r>
        <w:rPr>
          <w:rFonts w:hint="eastAsia" w:ascii="宋体" w:hAnsi="宋体"/>
          <w:color w:val="auto"/>
          <w:sz w:val="24"/>
          <w:szCs w:val="21"/>
          <w:highlight w:val="none"/>
        </w:rPr>
        <w:t>“扬州市政府采购网”发布的磋商文件为准。</w:t>
      </w:r>
    </w:p>
    <w:p w14:paraId="42F4E97C">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68" w:name="_Hlt26668975"/>
      <w:bookmarkEnd w:id="68"/>
      <w:bookmarkStart w:id="69" w:name="_Hlt26954838"/>
      <w:bookmarkEnd w:id="69"/>
      <w:bookmarkStart w:id="70" w:name="_Hlt26670360"/>
      <w:bookmarkEnd w:id="70"/>
      <w:bookmarkStart w:id="71" w:name="_Toc14577357"/>
      <w:bookmarkStart w:id="72" w:name="_Toc49090509"/>
      <w:bookmarkStart w:id="73" w:name="_Toc513029219"/>
      <w:bookmarkStart w:id="74" w:name="_Toc49090507"/>
      <w:bookmarkStart w:id="75" w:name="_Toc513029216"/>
      <w:bookmarkStart w:id="76" w:name="_Toc14577354"/>
      <w:bookmarkStart w:id="77" w:name="_Toc49090508"/>
      <w:bookmarkStart w:id="78" w:name="_Toc14577355"/>
      <w:r>
        <w:rPr>
          <w:rFonts w:hint="eastAsia" w:ascii="Arial" w:hAnsi="Arial" w:eastAsia="黑体" w:cs="Arial"/>
          <w:color w:val="auto"/>
          <w:sz w:val="28"/>
          <w:szCs w:val="28"/>
          <w:highlight w:val="none"/>
          <w:lang w:eastAsia="zh-CN"/>
        </w:rPr>
        <w:t>11.</w:t>
      </w:r>
      <w:r>
        <w:rPr>
          <w:rFonts w:hint="eastAsia" w:ascii="Arial" w:hAnsi="Arial" w:eastAsia="黑体" w:cs="Arial"/>
          <w:color w:val="auto"/>
          <w:sz w:val="28"/>
          <w:szCs w:val="28"/>
          <w:highlight w:val="none"/>
        </w:rPr>
        <w:t>证明磋商响应标的符合磋商文件规定的文件</w:t>
      </w:r>
      <w:bookmarkEnd w:id="71"/>
      <w:bookmarkEnd w:id="72"/>
      <w:bookmarkEnd w:id="73"/>
    </w:p>
    <w:bookmarkEnd w:id="74"/>
    <w:bookmarkEnd w:id="75"/>
    <w:bookmarkEnd w:id="76"/>
    <w:p w14:paraId="08150884">
      <w:pPr>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p>
    <w:p w14:paraId="27A91A4E">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11.2磋商文件对证明文件无明确形式要求的，证明文件可以以文字资料、图纸和数据等形式提交。</w:t>
      </w:r>
    </w:p>
    <w:bookmarkEnd w:id="77"/>
    <w:bookmarkEnd w:id="78"/>
    <w:p w14:paraId="1CA7099F">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lang w:eastAsia="zh-CN"/>
        </w:rPr>
        <w:t>12.</w:t>
      </w:r>
      <w:r>
        <w:rPr>
          <w:rFonts w:hint="eastAsia" w:ascii="Arial" w:hAnsi="Arial" w:eastAsia="黑体" w:cs="Arial"/>
          <w:color w:val="auto"/>
          <w:sz w:val="28"/>
          <w:szCs w:val="28"/>
          <w:highlight w:val="none"/>
        </w:rPr>
        <w:t>分项报价表</w:t>
      </w:r>
    </w:p>
    <w:p w14:paraId="772DD057">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12.1</w:t>
      </w:r>
      <w:r>
        <w:rPr>
          <w:rFonts w:hint="eastAsia" w:ascii="宋体" w:hAnsi="宋体"/>
          <w:color w:val="auto"/>
          <w:sz w:val="24"/>
          <w:szCs w:val="21"/>
          <w:highlight w:val="none"/>
        </w:rPr>
        <w:t>供应商应按照磋商文件规定格式填报分项报价表。</w:t>
      </w:r>
    </w:p>
    <w:p w14:paraId="652A3F27">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color w:val="auto"/>
          <w:sz w:val="24"/>
          <w:szCs w:val="21"/>
          <w:highlight w:val="none"/>
        </w:rPr>
        <w:t>12.2</w:t>
      </w:r>
      <w:r>
        <w:rPr>
          <w:rFonts w:hint="eastAsia" w:ascii="宋体" w:hAnsi="宋体"/>
          <w:bCs/>
          <w:color w:val="auto"/>
          <w:sz w:val="24"/>
          <w:szCs w:val="21"/>
          <w:highlight w:val="none"/>
        </w:rPr>
        <w:t>磋商货币。响应文件中的单价和总价无特殊规定的采用人民币报价，以元为单位标注。</w:t>
      </w:r>
      <w:r>
        <w:rPr>
          <w:rFonts w:hint="eastAsia" w:ascii="宋体" w:hAnsi="宋体"/>
          <w:color w:val="auto"/>
          <w:sz w:val="24"/>
          <w:szCs w:val="21"/>
          <w:highlight w:val="none"/>
        </w:rPr>
        <w:t>磋商文件中另有规定的按规定执行。</w:t>
      </w:r>
    </w:p>
    <w:p w14:paraId="0A9D0AF7">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79" w:name="_Hlt26954848"/>
      <w:bookmarkEnd w:id="79"/>
      <w:bookmarkStart w:id="80" w:name="_Hlt26670486"/>
      <w:bookmarkEnd w:id="80"/>
      <w:bookmarkStart w:id="81" w:name="_Hlt26670482"/>
      <w:bookmarkEnd w:id="81"/>
      <w:bookmarkStart w:id="82" w:name="_Hlt26954731"/>
      <w:bookmarkEnd w:id="82"/>
      <w:bookmarkStart w:id="83" w:name="_Hlt26954846"/>
      <w:bookmarkEnd w:id="83"/>
      <w:r>
        <w:rPr>
          <w:rFonts w:hint="eastAsia" w:ascii="Arial" w:hAnsi="Arial" w:eastAsia="黑体" w:cs="Arial"/>
          <w:color w:val="auto"/>
          <w:sz w:val="28"/>
          <w:szCs w:val="28"/>
          <w:highlight w:val="none"/>
          <w:lang w:eastAsia="zh-CN"/>
        </w:rPr>
        <w:t>13.</w:t>
      </w:r>
      <w:r>
        <w:rPr>
          <w:rFonts w:hint="eastAsia" w:ascii="Arial" w:hAnsi="Arial" w:eastAsia="黑体" w:cs="Arial"/>
          <w:color w:val="auto"/>
          <w:sz w:val="28"/>
          <w:szCs w:val="28"/>
          <w:highlight w:val="none"/>
        </w:rPr>
        <w:t>技术要求响应及偏离表、商务要求响应及偏离表</w:t>
      </w:r>
    </w:p>
    <w:p w14:paraId="37E52444">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1</w:t>
      </w:r>
      <w:r>
        <w:rPr>
          <w:rFonts w:hint="eastAsia" w:ascii="宋体" w:hAnsi="Arial" w:cs="宋体"/>
          <w:bCs/>
          <w:color w:val="auto"/>
          <w:sz w:val="24"/>
          <w:szCs w:val="21"/>
          <w:highlight w:val="none"/>
          <w:lang w:val="zh-CN"/>
        </w:rPr>
        <w:t>3</w:t>
      </w:r>
      <w:r>
        <w:rPr>
          <w:rFonts w:ascii="宋体" w:hAnsi="Arial" w:cs="宋体"/>
          <w:bCs/>
          <w:color w:val="auto"/>
          <w:sz w:val="24"/>
          <w:szCs w:val="21"/>
          <w:highlight w:val="none"/>
          <w:lang w:val="zh-CN"/>
        </w:rPr>
        <w:t>.1</w:t>
      </w:r>
      <w:r>
        <w:rPr>
          <w:rFonts w:hint="eastAsia" w:ascii="宋体" w:hAnsi="Arial" w:cs="宋体"/>
          <w:color w:val="auto"/>
          <w:sz w:val="24"/>
          <w:szCs w:val="21"/>
          <w:highlight w:val="none"/>
          <w:lang w:val="zh-CN"/>
        </w:rPr>
        <w:t>供应商需对磋商文件中的技术要求与商务要求逐项作出响应或偏离，并说明原因。</w:t>
      </w:r>
    </w:p>
    <w:p w14:paraId="215E43C5">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13.2供应商可在响应文件中提供认为需要的其他技术文件或说明。</w:t>
      </w:r>
    </w:p>
    <w:p w14:paraId="56150EB3">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lang w:eastAsia="zh-CN"/>
        </w:rPr>
        <w:t>14.</w:t>
      </w:r>
      <w:r>
        <w:rPr>
          <w:rFonts w:hint="eastAsia" w:ascii="Arial" w:hAnsi="Arial" w:eastAsia="黑体" w:cs="Arial"/>
          <w:color w:val="auto"/>
          <w:sz w:val="28"/>
          <w:szCs w:val="28"/>
          <w:highlight w:val="none"/>
        </w:rPr>
        <w:t>服务承诺、培训计划、人员安排及其他</w:t>
      </w:r>
    </w:p>
    <w:p w14:paraId="0D74F2BD">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bCs/>
          <w:color w:val="auto"/>
          <w:sz w:val="24"/>
          <w:szCs w:val="24"/>
          <w:highlight w:val="none"/>
        </w:rPr>
        <w:t>14.1</w:t>
      </w:r>
      <w:r>
        <w:rPr>
          <w:rFonts w:hint="eastAsia" w:ascii="宋体" w:hAnsi="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07F37AF4">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14.2供应商需根据磋商文件要求提供培训计划。</w:t>
      </w:r>
    </w:p>
    <w:p w14:paraId="08E21E54">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14.3供应商需根据磋商文件要求提供</w:t>
      </w:r>
      <w:r>
        <w:rPr>
          <w:rFonts w:hint="eastAsia" w:ascii="宋体" w:hAnsi="Arial" w:cs="宋体"/>
          <w:color w:val="auto"/>
          <w:sz w:val="24"/>
          <w:szCs w:val="21"/>
          <w:highlight w:val="none"/>
          <w:lang w:val="zh-CN"/>
        </w:rPr>
        <w:t>磋商响应标的的主要组成部分、功能设计、实现思路及关键技术等。</w:t>
      </w:r>
    </w:p>
    <w:p w14:paraId="6AEFBE48">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84" w:name="_Toc49090510"/>
      <w:bookmarkStart w:id="85" w:name="_Toc14577359"/>
      <w:r>
        <w:rPr>
          <w:rFonts w:hint="eastAsia" w:ascii="Arial" w:hAnsi="Arial" w:eastAsia="黑体" w:cs="Arial"/>
          <w:color w:val="auto"/>
          <w:sz w:val="28"/>
          <w:szCs w:val="28"/>
          <w:highlight w:val="none"/>
          <w:lang w:eastAsia="zh-CN"/>
        </w:rPr>
        <w:t>15.</w:t>
      </w:r>
      <w:r>
        <w:rPr>
          <w:rFonts w:hint="eastAsia" w:ascii="Arial" w:hAnsi="Arial" w:eastAsia="黑体" w:cs="Arial"/>
          <w:color w:val="auto"/>
          <w:sz w:val="28"/>
          <w:szCs w:val="28"/>
          <w:highlight w:val="none"/>
        </w:rPr>
        <w:t>磋商响应函</w:t>
      </w:r>
    </w:p>
    <w:p w14:paraId="2B58514A">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bCs/>
          <w:color w:val="auto"/>
          <w:sz w:val="24"/>
          <w:szCs w:val="21"/>
          <w:highlight w:val="none"/>
        </w:rPr>
        <w:t>15.1</w:t>
      </w:r>
      <w:r>
        <w:rPr>
          <w:rFonts w:hint="eastAsia" w:ascii="宋体" w:hAnsi="宋体"/>
          <w:color w:val="auto"/>
          <w:sz w:val="24"/>
          <w:szCs w:val="21"/>
          <w:highlight w:val="none"/>
        </w:rPr>
        <w:t>供应商应按照磋商文件中提供的格式完整、正确填写磋商响应函。</w:t>
      </w:r>
    </w:p>
    <w:bookmarkEnd w:id="84"/>
    <w:bookmarkEnd w:id="85"/>
    <w:p w14:paraId="4FF7D23F">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86" w:name="_Toc49090511"/>
      <w:bookmarkStart w:id="87" w:name="_Toc14577360"/>
      <w:r>
        <w:rPr>
          <w:rFonts w:hint="eastAsia" w:ascii="Arial" w:hAnsi="Arial" w:eastAsia="黑体" w:cs="Arial"/>
          <w:color w:val="auto"/>
          <w:sz w:val="28"/>
          <w:szCs w:val="28"/>
          <w:highlight w:val="none"/>
          <w:lang w:eastAsia="zh-CN"/>
        </w:rPr>
        <w:t>16.</w:t>
      </w:r>
      <w:r>
        <w:rPr>
          <w:rFonts w:hint="eastAsia" w:ascii="Arial" w:hAnsi="Arial" w:eastAsia="黑体" w:cs="Arial"/>
          <w:color w:val="auto"/>
          <w:sz w:val="28"/>
          <w:szCs w:val="28"/>
          <w:highlight w:val="none"/>
        </w:rPr>
        <w:t>磋商有效期</w:t>
      </w:r>
      <w:bookmarkEnd w:id="86"/>
      <w:bookmarkEnd w:id="87"/>
    </w:p>
    <w:p w14:paraId="4F0FB2AD">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16.1磋商有效期为代理机构规定的提交响应文件截止之日后</w:t>
      </w:r>
      <w:r>
        <w:rPr>
          <w:rFonts w:hint="eastAsia" w:ascii="仿宋_GB2312" w:hAnsi="仿宋_GB2312"/>
          <w:b/>
          <w:color w:val="auto"/>
          <w:sz w:val="24"/>
          <w:szCs w:val="21"/>
          <w:highlight w:val="none"/>
          <w:u w:val="single"/>
        </w:rPr>
        <w:t>六十（60）天</w:t>
      </w:r>
      <w:r>
        <w:rPr>
          <w:rFonts w:hint="eastAsia" w:ascii="宋体" w:hAnsi="宋体"/>
          <w:bCs/>
          <w:color w:val="auto"/>
          <w:sz w:val="24"/>
          <w:szCs w:val="21"/>
          <w:highlight w:val="none"/>
        </w:rPr>
        <w:t>。磋商有效期比规定短的将被视为非实质性响应磋商文件而予以拒绝。</w:t>
      </w:r>
    </w:p>
    <w:p w14:paraId="7E5EA8D3">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lang w:eastAsia="zh-CN"/>
        </w:rPr>
        <w:t>17.</w:t>
      </w:r>
      <w:r>
        <w:rPr>
          <w:rFonts w:hint="eastAsia" w:ascii="Arial" w:hAnsi="Arial" w:eastAsia="黑体" w:cs="Arial"/>
          <w:color w:val="auto"/>
          <w:sz w:val="28"/>
          <w:szCs w:val="28"/>
          <w:highlight w:val="none"/>
        </w:rPr>
        <w:t>磋商有效期的延长</w:t>
      </w:r>
    </w:p>
    <w:p w14:paraId="4CC75B85">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olor w:val="auto"/>
          <w:sz w:val="24"/>
          <w:szCs w:val="24"/>
          <w:highlight w:val="none"/>
        </w:rPr>
        <w:t>受磋商有效期约束的所有权利与义务均延长至新的有效期</w:t>
      </w:r>
      <w:r>
        <w:rPr>
          <w:rFonts w:hint="eastAsia" w:ascii="宋体" w:hAnsi="宋体"/>
          <w:bCs/>
          <w:color w:val="auto"/>
          <w:sz w:val="24"/>
          <w:szCs w:val="21"/>
          <w:highlight w:val="none"/>
        </w:rPr>
        <w:t>。</w:t>
      </w:r>
    </w:p>
    <w:p w14:paraId="47518C6E">
      <w:pPr>
        <w:keepNext/>
        <w:keepLines/>
        <w:pageBreakBefore w:val="0"/>
        <w:widowControl w:val="0"/>
        <w:kinsoku/>
        <w:wordWrap/>
        <w:overflowPunct/>
        <w:topLinePunct w:val="0"/>
        <w:autoSpaceDE/>
        <w:autoSpaceDN/>
        <w:bidi w:val="0"/>
        <w:adjustRightInd/>
        <w:snapToGrid/>
        <w:spacing w:line="440" w:lineRule="exact"/>
        <w:ind w:firstLine="482"/>
        <w:textAlignment w:val="auto"/>
        <w:outlineLvl w:val="2"/>
        <w:rPr>
          <w:rFonts w:hint="eastAsia"/>
          <w:b/>
          <w:bCs/>
          <w:color w:val="auto"/>
          <w:sz w:val="32"/>
          <w:szCs w:val="32"/>
          <w:highlight w:val="none"/>
        </w:rPr>
      </w:pPr>
      <w:bookmarkStart w:id="88" w:name="_Hlt26954852"/>
      <w:bookmarkEnd w:id="88"/>
      <w:bookmarkStart w:id="89" w:name="_Hlt26954739"/>
      <w:bookmarkEnd w:id="89"/>
      <w:bookmarkStart w:id="90" w:name="_Toc20823296"/>
      <w:bookmarkStart w:id="91" w:name="_Toc16938540"/>
      <w:bookmarkStart w:id="92" w:name="_Toc513029224"/>
      <w:bookmarkStart w:id="93" w:name="_Toc120614217"/>
      <w:r>
        <w:rPr>
          <w:rFonts w:hint="eastAsia"/>
          <w:b/>
          <w:bCs/>
          <w:color w:val="auto"/>
          <w:sz w:val="32"/>
          <w:szCs w:val="32"/>
          <w:highlight w:val="none"/>
        </w:rPr>
        <w:t>四、响应文件的递交</w:t>
      </w:r>
      <w:bookmarkEnd w:id="90"/>
      <w:bookmarkEnd w:id="91"/>
      <w:bookmarkEnd w:id="92"/>
      <w:bookmarkEnd w:id="93"/>
    </w:p>
    <w:p w14:paraId="75C90D34">
      <w:pPr>
        <w:keepNext/>
        <w:keepLines/>
        <w:pageBreakBefore w:val="0"/>
        <w:widowControl w:val="0"/>
        <w:kinsoku/>
        <w:wordWrap/>
        <w:overflowPunct/>
        <w:topLinePunct w:val="0"/>
        <w:autoSpaceDE/>
        <w:autoSpaceDN/>
        <w:bidi w:val="0"/>
        <w:adjustRightInd/>
        <w:snapToGrid/>
        <w:spacing w:line="440" w:lineRule="exact"/>
        <w:ind w:firstLine="560"/>
        <w:textAlignment w:val="auto"/>
        <w:outlineLvl w:val="3"/>
        <w:rPr>
          <w:rFonts w:hint="eastAsia" w:ascii="黑体" w:hAnsi="Arial" w:eastAsia="黑体" w:cs="Arial"/>
          <w:color w:val="auto"/>
          <w:sz w:val="28"/>
          <w:szCs w:val="28"/>
          <w:highlight w:val="none"/>
        </w:rPr>
      </w:pPr>
      <w:bookmarkStart w:id="94" w:name="_Toc462564084"/>
      <w:bookmarkStart w:id="95" w:name="_Toc16938541"/>
      <w:bookmarkStart w:id="96" w:name="_Toc513029225"/>
      <w:bookmarkStart w:id="97" w:name="_Toc20823297"/>
      <w:r>
        <w:rPr>
          <w:rFonts w:hint="eastAsia" w:ascii="Arial" w:hAnsi="Arial" w:eastAsia="黑体" w:cs="Arial"/>
          <w:color w:val="auto"/>
          <w:sz w:val="28"/>
          <w:szCs w:val="28"/>
          <w:highlight w:val="none"/>
          <w:lang w:eastAsia="zh-CN"/>
        </w:rPr>
        <w:t>18.</w:t>
      </w:r>
      <w:r>
        <w:rPr>
          <w:rFonts w:hint="eastAsia" w:ascii="Arial" w:hAnsi="Arial" w:eastAsia="黑体" w:cs="Arial"/>
          <w:color w:val="auto"/>
          <w:sz w:val="28"/>
          <w:szCs w:val="28"/>
          <w:highlight w:val="none"/>
        </w:rPr>
        <w:t>电子</w:t>
      </w:r>
      <w:r>
        <w:rPr>
          <w:rFonts w:hint="eastAsia" w:ascii="黑体" w:hAnsi="Arial" w:eastAsia="黑体" w:cs="Arial"/>
          <w:color w:val="auto"/>
          <w:sz w:val="28"/>
          <w:szCs w:val="28"/>
          <w:highlight w:val="none"/>
        </w:rPr>
        <w:t>磋商</w:t>
      </w:r>
      <w:bookmarkEnd w:id="94"/>
      <w:bookmarkEnd w:id="95"/>
      <w:bookmarkEnd w:id="96"/>
      <w:bookmarkEnd w:id="97"/>
      <w:r>
        <w:rPr>
          <w:rFonts w:hint="eastAsia" w:ascii="黑体" w:hAnsi="Arial" w:eastAsia="黑体" w:cs="Arial"/>
          <w:color w:val="auto"/>
          <w:sz w:val="28"/>
          <w:szCs w:val="28"/>
          <w:highlight w:val="none"/>
        </w:rPr>
        <w:t>响应文件的递交</w:t>
      </w:r>
    </w:p>
    <w:p w14:paraId="27B0996C">
      <w:pPr>
        <w:pageBreakBefore w:val="0"/>
        <w:widowControl w:val="0"/>
        <w:kinsoku/>
        <w:wordWrap/>
        <w:overflowPunct/>
        <w:topLinePunct w:val="0"/>
        <w:autoSpaceDE/>
        <w:autoSpaceDN/>
        <w:bidi w:val="0"/>
        <w:adjustRightInd/>
        <w:snapToGrid/>
        <w:spacing w:line="440" w:lineRule="exact"/>
        <w:ind w:firstLine="600"/>
        <w:textAlignment w:val="auto"/>
        <w:rPr>
          <w:rFonts w:ascii="宋体" w:hAnsi="宋体"/>
          <w:bCs/>
          <w:color w:val="auto"/>
          <w:sz w:val="24"/>
          <w:szCs w:val="21"/>
          <w:highlight w:val="none"/>
        </w:rPr>
      </w:pPr>
      <w:r>
        <w:rPr>
          <w:rFonts w:hint="eastAsia" w:ascii="宋体" w:hAnsi="宋体"/>
          <w:bCs/>
          <w:color w:val="auto"/>
          <w:sz w:val="24"/>
          <w:szCs w:val="21"/>
          <w:highlight w:val="none"/>
        </w:rPr>
        <w:t>18.1供应商应当按照《操作手册》规定，在提交响应文件截止时间前</w:t>
      </w:r>
      <w:r>
        <w:rPr>
          <w:rFonts w:ascii="宋体" w:hAnsi="宋体"/>
          <w:bCs/>
          <w:color w:val="auto"/>
          <w:sz w:val="24"/>
          <w:szCs w:val="21"/>
          <w:highlight w:val="none"/>
        </w:rPr>
        <w:t>制作</w:t>
      </w:r>
      <w:r>
        <w:rPr>
          <w:rFonts w:hint="eastAsia" w:ascii="宋体" w:hAnsi="宋体"/>
          <w:bCs/>
          <w:color w:val="auto"/>
          <w:sz w:val="24"/>
          <w:szCs w:val="21"/>
          <w:highlight w:val="none"/>
        </w:rPr>
        <w:t>并上传电子响应文件。</w:t>
      </w:r>
      <w:bookmarkStart w:id="98" w:name="_Toc20823298"/>
      <w:bookmarkStart w:id="99" w:name="_Toc513029226"/>
      <w:bookmarkStart w:id="100" w:name="_Toc16938542"/>
    </w:p>
    <w:p w14:paraId="39E8113E">
      <w:pPr>
        <w:keepNext/>
        <w:keepLines/>
        <w:pageBreakBefore w:val="0"/>
        <w:widowControl w:val="0"/>
        <w:kinsoku/>
        <w:wordWrap/>
        <w:overflowPunct/>
        <w:topLinePunct w:val="0"/>
        <w:autoSpaceDE/>
        <w:autoSpaceDN/>
        <w:bidi w:val="0"/>
        <w:adjustRightInd/>
        <w:snapToGrid/>
        <w:spacing w:line="440" w:lineRule="exact"/>
        <w:ind w:firstLine="560"/>
        <w:textAlignment w:val="auto"/>
        <w:outlineLvl w:val="3"/>
        <w:rPr>
          <w:rFonts w:hint="eastAsia" w:ascii="宋体" w:hAnsi="宋体" w:eastAsia="黑体" w:cs="Arial"/>
          <w:bCs/>
          <w:color w:val="auto"/>
          <w:sz w:val="24"/>
          <w:szCs w:val="28"/>
          <w:highlight w:val="none"/>
        </w:rPr>
      </w:pPr>
      <w:r>
        <w:rPr>
          <w:rFonts w:hint="eastAsia" w:ascii="Arial" w:hAnsi="Arial" w:eastAsia="黑体" w:cs="Arial"/>
          <w:bCs/>
          <w:color w:val="auto"/>
          <w:sz w:val="28"/>
          <w:szCs w:val="28"/>
          <w:highlight w:val="none"/>
          <w:lang w:eastAsia="zh-CN"/>
        </w:rPr>
        <w:t>19.</w:t>
      </w:r>
      <w:r>
        <w:rPr>
          <w:rFonts w:hint="eastAsia" w:ascii="Arial" w:hAnsi="Arial" w:eastAsia="黑体" w:cs="Arial"/>
          <w:bCs/>
          <w:color w:val="auto"/>
          <w:sz w:val="28"/>
          <w:szCs w:val="28"/>
          <w:highlight w:val="none"/>
        </w:rPr>
        <w:t>提交响应文件截止时间</w:t>
      </w:r>
      <w:bookmarkEnd w:id="98"/>
      <w:bookmarkEnd w:id="99"/>
      <w:bookmarkEnd w:id="100"/>
    </w:p>
    <w:p w14:paraId="4490B033">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i/>
          <w:color w:val="auto"/>
          <w:sz w:val="24"/>
          <w:szCs w:val="21"/>
          <w:highlight w:val="none"/>
          <w:u w:val="single"/>
        </w:rPr>
      </w:pPr>
      <w:r>
        <w:rPr>
          <w:rFonts w:ascii="宋体" w:hAnsi="宋体"/>
          <w:i/>
          <w:color w:val="auto"/>
          <w:sz w:val="24"/>
          <w:szCs w:val="21"/>
          <w:highlight w:val="none"/>
          <w:u w:val="single"/>
        </w:rPr>
        <w:t>19</w:t>
      </w:r>
      <w:r>
        <w:rPr>
          <w:rFonts w:hint="eastAsia" w:ascii="宋体" w:hAnsi="宋体"/>
          <w:i/>
          <w:color w:val="auto"/>
          <w:sz w:val="24"/>
          <w:szCs w:val="21"/>
          <w:highlight w:val="none"/>
          <w:u w:val="single"/>
        </w:rPr>
        <w:t>.1</w:t>
      </w:r>
      <w:r>
        <w:rPr>
          <w:rFonts w:hint="eastAsia" w:ascii="宋体" w:hAnsi="宋体"/>
          <w:bCs/>
          <w:i/>
          <w:color w:val="auto"/>
          <w:sz w:val="24"/>
          <w:szCs w:val="21"/>
          <w:highlight w:val="none"/>
          <w:u w:val="single"/>
        </w:rPr>
        <w:t>供应商上传电子响应文件的时间不得迟于磋商公告中规定的提交响应文件截止时间。</w:t>
      </w:r>
    </w:p>
    <w:p w14:paraId="423BC81D">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供应商应充分考虑到网络环境、网络带宽等风险因素，如因供应商自身原因造成的电子响应文件上传不成功的按照本磋商文件第二章第26.3.2条规定</w:t>
      </w:r>
      <w:r>
        <w:rPr>
          <w:rFonts w:hint="eastAsia" w:ascii="宋体" w:hAnsi="宋体"/>
          <w:bCs/>
          <w:color w:val="auto"/>
          <w:sz w:val="24"/>
          <w:szCs w:val="21"/>
          <w:highlight w:val="none"/>
          <w:lang w:eastAsia="zh-CN"/>
        </w:rPr>
        <w:t>作无效响应处理</w:t>
      </w:r>
      <w:r>
        <w:rPr>
          <w:rFonts w:hint="eastAsia" w:ascii="宋体" w:hAnsi="宋体"/>
          <w:bCs/>
          <w:color w:val="auto"/>
          <w:sz w:val="24"/>
          <w:szCs w:val="21"/>
          <w:highlight w:val="none"/>
        </w:rPr>
        <w:t>。</w:t>
      </w:r>
    </w:p>
    <w:p w14:paraId="5881AF04">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ascii="宋体" w:hAnsi="宋体"/>
          <w:color w:val="auto"/>
          <w:sz w:val="24"/>
          <w:szCs w:val="21"/>
          <w:highlight w:val="none"/>
        </w:rPr>
        <w:t>19</w:t>
      </w:r>
      <w:r>
        <w:rPr>
          <w:rFonts w:hint="eastAsia" w:ascii="宋体" w:hAnsi="宋体"/>
          <w:color w:val="auto"/>
          <w:sz w:val="24"/>
          <w:szCs w:val="21"/>
          <w:highlight w:val="none"/>
        </w:rPr>
        <w:t>.2</w:t>
      </w:r>
      <w:r>
        <w:rPr>
          <w:rFonts w:hint="eastAsia" w:ascii="宋体" w:hAnsi="宋体"/>
          <w:bCs/>
          <w:color w:val="auto"/>
          <w:sz w:val="24"/>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p>
    <w:p w14:paraId="6DAE92F2">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101" w:name="_Toc20823299"/>
      <w:bookmarkStart w:id="102" w:name="_Toc16938543"/>
      <w:bookmarkStart w:id="103" w:name="_Toc513029227"/>
      <w:r>
        <w:rPr>
          <w:rFonts w:hint="eastAsia" w:ascii="Arial" w:hAnsi="Arial" w:eastAsia="黑体" w:cs="Arial"/>
          <w:color w:val="auto"/>
          <w:sz w:val="28"/>
          <w:szCs w:val="28"/>
          <w:highlight w:val="none"/>
          <w:lang w:eastAsia="zh-CN"/>
        </w:rPr>
        <w:t>20.</w:t>
      </w:r>
      <w:r>
        <w:rPr>
          <w:rFonts w:hint="eastAsia" w:ascii="Arial" w:hAnsi="Arial" w:eastAsia="黑体" w:cs="Arial"/>
          <w:color w:val="auto"/>
          <w:sz w:val="28"/>
          <w:szCs w:val="28"/>
          <w:highlight w:val="none"/>
        </w:rPr>
        <w:t>响应文件</w:t>
      </w:r>
      <w:bookmarkEnd w:id="101"/>
      <w:bookmarkEnd w:id="102"/>
      <w:bookmarkEnd w:id="103"/>
      <w:r>
        <w:rPr>
          <w:rFonts w:hint="eastAsia" w:ascii="Arial" w:hAnsi="Arial" w:eastAsia="黑体" w:cs="Arial"/>
          <w:color w:val="auto"/>
          <w:sz w:val="28"/>
          <w:szCs w:val="28"/>
          <w:highlight w:val="none"/>
        </w:rPr>
        <w:t>的拒收</w:t>
      </w:r>
    </w:p>
    <w:p w14:paraId="7D271F44">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20.1 代理机构拒绝接收在其规定的提交响应文件截止时间后上传的任何电子响应文件。</w:t>
      </w:r>
    </w:p>
    <w:p w14:paraId="41A75C09">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104" w:name="_Toc513029228"/>
      <w:bookmarkStart w:id="105" w:name="_Toc16938544"/>
      <w:bookmarkStart w:id="106" w:name="_Toc20823300"/>
      <w:r>
        <w:rPr>
          <w:rFonts w:hint="eastAsia" w:ascii="Arial" w:hAnsi="Arial" w:eastAsia="黑体" w:cs="Arial"/>
          <w:color w:val="auto"/>
          <w:sz w:val="28"/>
          <w:szCs w:val="28"/>
          <w:highlight w:val="none"/>
          <w:lang w:eastAsia="zh-CN"/>
        </w:rPr>
        <w:t>21.</w:t>
      </w:r>
      <w:r>
        <w:rPr>
          <w:rFonts w:hint="eastAsia" w:ascii="Arial" w:hAnsi="Arial" w:eastAsia="黑体" w:cs="Arial"/>
          <w:color w:val="auto"/>
          <w:sz w:val="28"/>
          <w:szCs w:val="28"/>
          <w:highlight w:val="none"/>
        </w:rPr>
        <w:t>响应文件的撤回和修改</w:t>
      </w:r>
      <w:bookmarkEnd w:id="104"/>
      <w:bookmarkEnd w:id="105"/>
      <w:bookmarkEnd w:id="106"/>
    </w:p>
    <w:p w14:paraId="77A464E1">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.1响应文件的撤回</w:t>
      </w:r>
    </w:p>
    <w:p w14:paraId="287C6FD2">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.1.1 电子响应文件的撤回</w:t>
      </w:r>
    </w:p>
    <w:p w14:paraId="7AF05CCB">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截止时间前，撤回其电子响应文件，具体操作方法见《操作手册》。</w:t>
      </w:r>
    </w:p>
    <w:p w14:paraId="1DE9E7FC">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供应商撤回电子响应文件，则认为其不再参与本项目磋商活动。</w:t>
      </w:r>
    </w:p>
    <w:p w14:paraId="24FFDF74">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.2响应文件的修改</w:t>
      </w:r>
    </w:p>
    <w:p w14:paraId="627B0A7C">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截止时间前，对其电子响应文件进行修改，具体操作方法见《操作手册》。</w:t>
      </w:r>
    </w:p>
    <w:p w14:paraId="0EAD24D2">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.3</w:t>
      </w:r>
      <w:r>
        <w:rPr>
          <w:rFonts w:hint="eastAsia" w:ascii="宋体" w:hAnsi="宋体"/>
          <w:bCs/>
          <w:color w:val="auto"/>
          <w:sz w:val="24"/>
          <w:szCs w:val="21"/>
          <w:highlight w:val="none"/>
        </w:rPr>
        <w:t xml:space="preserve"> 在提交响应文件截止时间之后，供应商不得对其电子响应文件作任何修改。</w:t>
      </w:r>
    </w:p>
    <w:p w14:paraId="60400CF2">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p>
    <w:p w14:paraId="4260143D">
      <w:pPr>
        <w:keepNext/>
        <w:keepLines/>
        <w:pageBreakBefore w:val="0"/>
        <w:widowControl w:val="0"/>
        <w:kinsoku/>
        <w:wordWrap/>
        <w:overflowPunct/>
        <w:topLinePunct w:val="0"/>
        <w:autoSpaceDE/>
        <w:autoSpaceDN/>
        <w:bidi w:val="0"/>
        <w:adjustRightInd/>
        <w:snapToGrid/>
        <w:spacing w:line="440" w:lineRule="exact"/>
        <w:ind w:firstLine="482"/>
        <w:textAlignment w:val="auto"/>
        <w:outlineLvl w:val="2"/>
        <w:rPr>
          <w:rFonts w:hint="eastAsia"/>
          <w:b/>
          <w:bCs/>
          <w:color w:val="auto"/>
          <w:sz w:val="32"/>
          <w:szCs w:val="32"/>
          <w:highlight w:val="none"/>
        </w:rPr>
      </w:pPr>
      <w:bookmarkStart w:id="107" w:name="_Toc513029229"/>
      <w:bookmarkStart w:id="108" w:name="_Toc16938545"/>
      <w:bookmarkStart w:id="109" w:name="_Toc20823301"/>
      <w:bookmarkStart w:id="110" w:name="_Toc120614218"/>
      <w:r>
        <w:rPr>
          <w:rFonts w:hint="eastAsia"/>
          <w:b/>
          <w:bCs/>
          <w:color w:val="auto"/>
          <w:sz w:val="32"/>
          <w:szCs w:val="32"/>
          <w:highlight w:val="none"/>
        </w:rPr>
        <w:t>五、响应文件的解密与评审</w:t>
      </w:r>
      <w:bookmarkEnd w:id="107"/>
      <w:bookmarkEnd w:id="108"/>
      <w:bookmarkEnd w:id="109"/>
      <w:bookmarkEnd w:id="110"/>
    </w:p>
    <w:p w14:paraId="0D15DEAF">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111" w:name="_Toc513029230"/>
      <w:bookmarkStart w:id="112" w:name="_Toc20823302"/>
      <w:bookmarkStart w:id="113" w:name="_Toc16938546"/>
      <w:r>
        <w:rPr>
          <w:rFonts w:hint="eastAsia" w:ascii="Arial" w:hAnsi="Arial" w:eastAsia="黑体" w:cs="Arial"/>
          <w:color w:val="auto"/>
          <w:sz w:val="28"/>
          <w:szCs w:val="28"/>
          <w:highlight w:val="none"/>
          <w:lang w:eastAsia="zh-CN"/>
        </w:rPr>
        <w:t>22.</w:t>
      </w:r>
      <w:bookmarkEnd w:id="111"/>
      <w:bookmarkEnd w:id="112"/>
      <w:bookmarkEnd w:id="113"/>
      <w:r>
        <w:rPr>
          <w:rFonts w:hint="eastAsia" w:ascii="Arial" w:hAnsi="Arial" w:eastAsia="黑体" w:cs="Arial"/>
          <w:color w:val="auto"/>
          <w:sz w:val="28"/>
          <w:szCs w:val="28"/>
          <w:highlight w:val="none"/>
        </w:rPr>
        <w:t>响应文件解密</w:t>
      </w:r>
    </w:p>
    <w:p w14:paraId="1FBB021B">
      <w:pPr>
        <w:pageBreakBefore w:val="0"/>
        <w:widowControl w:val="0"/>
        <w:kinsoku/>
        <w:wordWrap/>
        <w:overflowPunct/>
        <w:topLinePunct w:val="0"/>
        <w:autoSpaceDE/>
        <w:autoSpaceDN/>
        <w:bidi w:val="0"/>
        <w:adjustRightInd/>
        <w:snapToGrid/>
        <w:spacing w:line="440" w:lineRule="exact"/>
        <w:ind w:firstLine="360"/>
        <w:textAlignment w:val="auto"/>
        <w:rPr>
          <w:rFonts w:hint="eastAsia"/>
          <w:color w:val="auto"/>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2</w:t>
      </w:r>
      <w:r>
        <w:rPr>
          <w:rFonts w:hint="eastAsia" w:ascii="宋体" w:hAnsi="宋体"/>
          <w:color w:val="auto"/>
          <w:sz w:val="24"/>
          <w:szCs w:val="21"/>
          <w:highlight w:val="none"/>
        </w:rPr>
        <w:t>.1</w:t>
      </w:r>
      <w:r>
        <w:rPr>
          <w:rFonts w:hint="eastAsia" w:ascii="宋体" w:hAnsi="宋体"/>
          <w:color w:val="auto"/>
          <w:sz w:val="24"/>
          <w:szCs w:val="24"/>
          <w:highlight w:val="none"/>
        </w:rPr>
        <w:t>供应商应当按照《操作手册》规定，在苏采云系统规定的时间内对磋商响应文件进行解密。</w:t>
      </w:r>
    </w:p>
    <w:p w14:paraId="280911E4">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114" w:name="_Toc513029231"/>
      <w:bookmarkStart w:id="115" w:name="_Toc16938547"/>
      <w:bookmarkStart w:id="116" w:name="_Toc20823303"/>
      <w:r>
        <w:rPr>
          <w:rFonts w:hint="eastAsia" w:ascii="Arial" w:hAnsi="Arial" w:eastAsia="黑体" w:cs="Arial"/>
          <w:color w:val="auto"/>
          <w:sz w:val="28"/>
          <w:szCs w:val="28"/>
          <w:highlight w:val="none"/>
          <w:lang w:eastAsia="zh-CN"/>
        </w:rPr>
        <w:t>23.</w:t>
      </w:r>
      <w:r>
        <w:rPr>
          <w:rFonts w:hint="eastAsia" w:ascii="Arial" w:hAnsi="Arial" w:eastAsia="黑体" w:cs="Arial"/>
          <w:color w:val="auto"/>
          <w:sz w:val="28"/>
          <w:szCs w:val="28"/>
          <w:highlight w:val="none"/>
        </w:rPr>
        <w:t>磋商小组</w:t>
      </w:r>
    </w:p>
    <w:p w14:paraId="6D935CED">
      <w:pPr>
        <w:pageBreakBefore w:val="0"/>
        <w:widowControl w:val="0"/>
        <w:kinsoku/>
        <w:wordWrap/>
        <w:overflowPunct/>
        <w:topLinePunct w:val="0"/>
        <w:autoSpaceDE/>
        <w:autoSpaceDN/>
        <w:bidi w:val="0"/>
        <w:adjustRightInd/>
        <w:snapToGrid/>
        <w:spacing w:line="440" w:lineRule="exact"/>
        <w:textAlignment w:val="auto"/>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.1代理机构将组织磋商小组对响应文件进行评审。磋商小组由采购人代表和有关技术、经济等方面的专家组成，且人员构成符合政府采购有关规定。</w:t>
      </w:r>
    </w:p>
    <w:p w14:paraId="23A84361">
      <w:pPr>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.2磋商小组独立工作，负责评审所有响应文件并确定成交候选人。</w:t>
      </w:r>
    </w:p>
    <w:p w14:paraId="532C7CCF">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黑体" w:hAnsi="Arial" w:eastAsia="黑体" w:cs="Arial"/>
          <w:color w:val="auto"/>
          <w:sz w:val="28"/>
          <w:szCs w:val="28"/>
          <w:highlight w:val="none"/>
        </w:rPr>
      </w:pPr>
      <w:r>
        <w:rPr>
          <w:rFonts w:hint="eastAsia" w:ascii="黑体" w:hAnsi="Arial" w:eastAsia="黑体" w:cs="Arial"/>
          <w:color w:val="auto"/>
          <w:sz w:val="28"/>
          <w:szCs w:val="28"/>
          <w:highlight w:val="none"/>
          <w:lang w:eastAsia="zh-CN"/>
        </w:rPr>
        <w:t>24.</w:t>
      </w:r>
      <w:r>
        <w:rPr>
          <w:rFonts w:hint="eastAsia" w:ascii="黑体" w:hAnsi="Arial" w:eastAsia="黑体" w:cs="Arial"/>
          <w:color w:val="auto"/>
          <w:sz w:val="28"/>
          <w:szCs w:val="28"/>
          <w:highlight w:val="none"/>
        </w:rPr>
        <w:t>评审过程的保密与公正</w:t>
      </w:r>
    </w:p>
    <w:bookmarkEnd w:id="114"/>
    <w:bookmarkEnd w:id="115"/>
    <w:bookmarkEnd w:id="116"/>
    <w:p w14:paraId="79790210">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.1</w:t>
      </w:r>
      <w:r>
        <w:rPr>
          <w:rFonts w:hint="eastAsia" w:ascii="宋体" w:hAnsi="宋体"/>
          <w:bCs/>
          <w:color w:val="auto"/>
          <w:sz w:val="24"/>
          <w:szCs w:val="21"/>
          <w:highlight w:val="none"/>
        </w:rPr>
        <w:t>磋商小组、采购人和代理机构工作人员、相关监督人员等与评审工作有关的人员，对评审情况以及在评审过程中获悉的国家秘密、商业秘密负有保密责任。</w:t>
      </w:r>
    </w:p>
    <w:p w14:paraId="54F09E20">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.2</w:t>
      </w:r>
      <w:r>
        <w:rPr>
          <w:rFonts w:hint="eastAsia" w:ascii="宋体" w:hAnsi="宋体"/>
          <w:color w:val="auto"/>
          <w:sz w:val="24"/>
          <w:szCs w:val="24"/>
          <w:highlight w:val="none"/>
        </w:rPr>
        <w:t>在评审过程中，供应商不得以任何行为影响磋商评审过程，否则其响应文件将被作为无效响应文件。</w:t>
      </w:r>
    </w:p>
    <w:p w14:paraId="0AACD7F3">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.3</w:t>
      </w:r>
      <w:r>
        <w:rPr>
          <w:rFonts w:hint="eastAsia" w:ascii="宋体" w:hAnsi="宋体"/>
          <w:color w:val="auto"/>
          <w:sz w:val="24"/>
          <w:szCs w:val="24"/>
          <w:highlight w:val="none"/>
        </w:rPr>
        <w:t>在项目评审期间，代理机构将设专门人员与供应商联系。</w:t>
      </w:r>
    </w:p>
    <w:p w14:paraId="068D9550">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24</w:t>
      </w:r>
      <w:r>
        <w:rPr>
          <w:rFonts w:hint="eastAsia" w:ascii="宋体" w:hAnsi="宋体"/>
          <w:color w:val="auto"/>
          <w:sz w:val="24"/>
          <w:szCs w:val="24"/>
          <w:highlight w:val="none"/>
        </w:rPr>
        <w:t>.4 代理机构和磋商小组不向未成交的供应商解释未成交原因，也不公布评审过程中的相关细节。</w:t>
      </w:r>
    </w:p>
    <w:p w14:paraId="361F9A04">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117" w:name="_Toc513029232"/>
      <w:bookmarkStart w:id="118" w:name="_Toc16938548"/>
      <w:bookmarkStart w:id="119" w:name="_Toc20823304"/>
      <w:r>
        <w:rPr>
          <w:rFonts w:hint="eastAsia" w:ascii="Arial" w:hAnsi="Arial" w:eastAsia="黑体" w:cs="Arial"/>
          <w:color w:val="auto"/>
          <w:sz w:val="28"/>
          <w:szCs w:val="28"/>
          <w:highlight w:val="none"/>
          <w:lang w:eastAsia="zh-CN"/>
        </w:rPr>
        <w:t>25.</w:t>
      </w:r>
      <w:r>
        <w:rPr>
          <w:rFonts w:hint="eastAsia" w:ascii="Arial" w:hAnsi="Arial" w:eastAsia="黑体" w:cs="Arial"/>
          <w:color w:val="auto"/>
          <w:sz w:val="28"/>
          <w:szCs w:val="28"/>
          <w:highlight w:val="none"/>
        </w:rPr>
        <w:t>评审过程中</w:t>
      </w:r>
      <w:r>
        <w:rPr>
          <w:rFonts w:hint="eastAsia" w:ascii="Arial" w:hAnsi="Arial" w:eastAsia="黑体" w:cs="Arial"/>
          <w:color w:val="auto"/>
          <w:sz w:val="28"/>
          <w:szCs w:val="28"/>
          <w:highlight w:val="none"/>
          <w:lang w:eastAsia="zh-CN"/>
        </w:rPr>
        <w:t>的</w:t>
      </w:r>
      <w:r>
        <w:rPr>
          <w:rFonts w:hint="eastAsia" w:ascii="Arial" w:hAnsi="Arial" w:eastAsia="黑体" w:cs="Arial"/>
          <w:color w:val="auto"/>
          <w:sz w:val="28"/>
          <w:szCs w:val="28"/>
          <w:highlight w:val="none"/>
        </w:rPr>
        <w:t>澄清</w:t>
      </w:r>
      <w:bookmarkEnd w:id="117"/>
      <w:bookmarkEnd w:id="118"/>
      <w:bookmarkEnd w:id="119"/>
    </w:p>
    <w:p w14:paraId="1655FF89">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2AF4B85">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磋商小组并非对每个供应商都作澄清要求。</w:t>
      </w:r>
    </w:p>
    <w:p w14:paraId="4E4DE04C">
      <w:pPr>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5</w:t>
      </w:r>
      <w:r>
        <w:rPr>
          <w:rFonts w:hint="eastAsia" w:ascii="宋体" w:hAnsi="宋体" w:cs="宋体"/>
          <w:color w:val="auto"/>
          <w:sz w:val="24"/>
          <w:szCs w:val="24"/>
          <w:highlight w:val="none"/>
        </w:rPr>
        <w:t>.2需要供应商进行澄清、说明和更正的，磋商小组将通过</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向供应商发布“澄清要求函”，接到“澄清要求函”的供应商应当按照要求在</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中提交“澄清响应函”并加盖CA电子公章。澄清、说明和更正的内容作为响应文件的补充部分，具体</w:t>
      </w:r>
      <w:r>
        <w:rPr>
          <w:rFonts w:ascii="宋体" w:hAnsi="宋体" w:cs="宋体"/>
          <w:color w:val="auto"/>
          <w:sz w:val="24"/>
          <w:szCs w:val="24"/>
          <w:highlight w:val="none"/>
        </w:rPr>
        <w:t>操作</w:t>
      </w:r>
      <w:r>
        <w:rPr>
          <w:rFonts w:hint="eastAsia" w:ascii="宋体" w:hAnsi="宋体" w:cs="宋体"/>
          <w:color w:val="auto"/>
          <w:sz w:val="24"/>
          <w:szCs w:val="24"/>
          <w:highlight w:val="none"/>
        </w:rPr>
        <w:t>方式</w:t>
      </w:r>
      <w:r>
        <w:rPr>
          <w:rFonts w:ascii="宋体" w:hAnsi="宋体" w:cs="宋体"/>
          <w:color w:val="auto"/>
          <w:sz w:val="24"/>
          <w:szCs w:val="24"/>
          <w:highlight w:val="none"/>
        </w:rPr>
        <w:t>见</w:t>
      </w:r>
      <w:r>
        <w:rPr>
          <w:rFonts w:hint="eastAsia" w:ascii="宋体" w:hAnsi="宋体" w:cs="宋体"/>
          <w:color w:val="auto"/>
          <w:sz w:val="24"/>
          <w:szCs w:val="24"/>
          <w:highlight w:val="none"/>
        </w:rPr>
        <w:t>《操作手册》。</w:t>
      </w:r>
    </w:p>
    <w:p w14:paraId="22885748">
      <w:pPr>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5</w:t>
      </w:r>
      <w:r>
        <w:rPr>
          <w:rFonts w:hint="eastAsia" w:ascii="宋体" w:hAnsi="宋体"/>
          <w:color w:val="auto"/>
          <w:sz w:val="24"/>
          <w:szCs w:val="24"/>
          <w:highlight w:val="none"/>
        </w:rPr>
        <w:t>.3 接到磋商小组澄清、说明和更正要求的供应商如未按规定</w:t>
      </w:r>
      <w:r>
        <w:rPr>
          <w:rFonts w:hint="eastAsia" w:ascii="宋体" w:hAnsi="宋体"/>
          <w:color w:val="auto"/>
          <w:sz w:val="24"/>
          <w:szCs w:val="24"/>
          <w:highlight w:val="none"/>
          <w:lang w:eastAsia="zh-CN"/>
        </w:rPr>
        <w:t>作出</w:t>
      </w:r>
      <w:r>
        <w:rPr>
          <w:rFonts w:hint="eastAsia" w:ascii="宋体" w:hAnsi="宋体"/>
          <w:color w:val="auto"/>
          <w:sz w:val="24"/>
          <w:szCs w:val="24"/>
          <w:highlight w:val="none"/>
        </w:rPr>
        <w:t>澄清、说明和 更正，其风险由供应商自行承担。</w:t>
      </w:r>
    </w:p>
    <w:p w14:paraId="5BC05FAC">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bookmarkStart w:id="120" w:name="_Toc513029233"/>
      <w:bookmarkStart w:id="121" w:name="_Toc16938549"/>
      <w:bookmarkStart w:id="122" w:name="_Toc20823305"/>
      <w:r>
        <w:rPr>
          <w:rFonts w:hint="eastAsia" w:ascii="Arial" w:hAnsi="Arial" w:eastAsia="黑体" w:cs="Arial"/>
          <w:color w:val="auto"/>
          <w:sz w:val="28"/>
          <w:szCs w:val="28"/>
          <w:highlight w:val="none"/>
          <w:lang w:eastAsia="zh-CN"/>
        </w:rPr>
        <w:t>26.</w:t>
      </w:r>
      <w:r>
        <w:rPr>
          <w:rFonts w:hint="eastAsia" w:ascii="Arial" w:hAnsi="Arial" w:eastAsia="黑体" w:cs="Arial"/>
          <w:color w:val="auto"/>
          <w:sz w:val="28"/>
          <w:szCs w:val="28"/>
          <w:highlight w:val="none"/>
        </w:rPr>
        <w:t>对响应文件的审</w:t>
      </w:r>
      <w:bookmarkEnd w:id="120"/>
      <w:bookmarkEnd w:id="121"/>
      <w:bookmarkEnd w:id="122"/>
      <w:r>
        <w:rPr>
          <w:rFonts w:hint="eastAsia" w:ascii="Arial" w:hAnsi="Arial" w:eastAsia="黑体" w:cs="Arial"/>
          <w:color w:val="auto"/>
          <w:sz w:val="28"/>
          <w:szCs w:val="28"/>
          <w:highlight w:val="none"/>
        </w:rPr>
        <w:t>查</w:t>
      </w:r>
    </w:p>
    <w:p w14:paraId="4165610A">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.1</w:t>
      </w:r>
      <w:r>
        <w:rPr>
          <w:rFonts w:hint="eastAsia" w:ascii="宋体" w:hAnsi="宋体"/>
          <w:bCs/>
          <w:color w:val="auto"/>
          <w:sz w:val="24"/>
          <w:szCs w:val="21"/>
          <w:highlight w:val="none"/>
        </w:rPr>
        <w:t>响应文件审查分为资格审查和符合性审查。</w:t>
      </w:r>
    </w:p>
    <w:p w14:paraId="27D7FECE">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.1.1 资格审查：由磋商小组依据法律法规和磋商文件的规定，对响应文件中的资格证明文件进行审查，以确定供应商是否具备参加磋商的资格。</w:t>
      </w:r>
    </w:p>
    <w:p w14:paraId="04C264A6">
      <w:pPr>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磋商小组在进行资格审查的同时，将在“信用中国”网站（www.creditchina.gov.cn）和</w:t>
      </w:r>
      <w:r>
        <w:rPr>
          <w:rFonts w:hint="eastAsia" w:ascii="宋体" w:hAnsi="宋体"/>
          <w:color w:val="auto"/>
          <w:sz w:val="24"/>
          <w:szCs w:val="24"/>
          <w:highlight w:val="none"/>
        </w:rPr>
        <w:t xml:space="preserve"> “中国政府采购网”（http://www.ccgp.gov.cn）</w:t>
      </w:r>
      <w:r>
        <w:rPr>
          <w:rFonts w:hint="eastAsia" w:ascii="宋体" w:hAnsi="宋体"/>
          <w:bCs/>
          <w:color w:val="auto"/>
          <w:sz w:val="24"/>
          <w:szCs w:val="21"/>
          <w:highlight w:val="none"/>
        </w:rPr>
        <w:t>查询供应商的信用记录，以确定供应商是否具备磋商资格</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查询结果留存并归档。</w:t>
      </w:r>
    </w:p>
    <w:p w14:paraId="171E4570">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接受联合体的项目，两个以上的自然人、法人或者其他组织组成一个联合体，以一个供应商的身份共同参加政府采购活动的</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联合体成员中任何一方存在不良信用记录的，视同联合体存在不良应用记录。</w:t>
      </w:r>
    </w:p>
    <w:p w14:paraId="7242A978">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.1.2 符合性审查：依据磋商文件的规定，由磋商小组从响应文件的有效性、完整性和对磋商文件的响应程度进行审查，以确定是否对磋商文件的实质性要求作出响应。</w:t>
      </w:r>
    </w:p>
    <w:p w14:paraId="6A702494">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.1.3 未通过资格审查或符合性审查的供应商，磋商小组将在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中告知未通过资格审查或符合性审查的原因，评审结束后，磋商小组将不再告知未通过资格审查或符合性审查的原因。</w:t>
      </w:r>
    </w:p>
    <w:p w14:paraId="3F4725DF">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.2</w:t>
      </w:r>
      <w:r>
        <w:rPr>
          <w:rFonts w:hint="eastAsia" w:ascii="宋体" w:hAnsi="宋体"/>
          <w:color w:val="auto"/>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66D95B65">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785A847">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26.3未实质性响应磋商文件的情形</w:t>
      </w:r>
    </w:p>
    <w:p w14:paraId="795CB82C">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26.3.1供应商在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规定的时间内未成功解密电子响应文件的。</w:t>
      </w:r>
    </w:p>
    <w:p w14:paraId="65E88472">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26.3.2供应商未按照磋商文件要求上传电子响应文件的。</w:t>
      </w:r>
    </w:p>
    <w:p w14:paraId="76079376">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26.3.3同一供应商提交两个（含两个）以上不同的响应文件或者最后报价的。</w:t>
      </w:r>
    </w:p>
    <w:p w14:paraId="592ED483">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26.3.4供应商不具备磋商文件中规定资格要求的。</w:t>
      </w:r>
    </w:p>
    <w:p w14:paraId="742C9856">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26.3.5供应商的最后报价超过了采购预算。</w:t>
      </w:r>
    </w:p>
    <w:p w14:paraId="5AB145C8">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26.3.6不符合磋商文件中规定的实质性要求和条件的</w:t>
      </w:r>
      <w:r>
        <w:rPr>
          <w:rFonts w:hint="eastAsia" w:ascii="宋体" w:hAnsi="宋体"/>
          <w:bCs/>
          <w:i/>
          <w:color w:val="auto"/>
          <w:sz w:val="24"/>
          <w:szCs w:val="21"/>
          <w:highlight w:val="none"/>
          <w:u w:val="single"/>
        </w:rPr>
        <w:t>（本磋商文件中斜体且有下划线部分为实质性要求和条件）。</w:t>
      </w:r>
    </w:p>
    <w:p w14:paraId="406FFA1E">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26.3.7供应商被 “信用中国”网站（www.creditchina.gov.cn）列入失信被执行人或重大税收违法案件当事人名单，</w:t>
      </w:r>
      <w:r>
        <w:rPr>
          <w:rFonts w:hint="eastAsia" w:ascii="宋体" w:hAnsi="宋体"/>
          <w:color w:val="auto"/>
          <w:sz w:val="24"/>
          <w:szCs w:val="24"/>
          <w:highlight w:val="none"/>
        </w:rPr>
        <w:t>被“中国政府采购网”（http://www.ccgp.gov.cn）列入政府采购严重失信行为记录名单</w:t>
      </w:r>
      <w:r>
        <w:rPr>
          <w:rFonts w:hint="eastAsia" w:ascii="宋体" w:hAnsi="宋体"/>
          <w:bCs/>
          <w:color w:val="auto"/>
          <w:sz w:val="24"/>
          <w:szCs w:val="21"/>
          <w:highlight w:val="none"/>
        </w:rPr>
        <w:t>。或查询“信用中国”网站后发现供应商存在其他不符合《中华人民共和国政府采购法》第二十二条规定条件的信用记录。</w:t>
      </w:r>
    </w:p>
    <w:p w14:paraId="3A7AC27F">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26.3.8 响应文件含有采购人不能接受的附加条件的。</w:t>
      </w:r>
    </w:p>
    <w:p w14:paraId="09A87097">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26.3.9 本项目采购产品被财政部、</w:t>
      </w:r>
      <w:r>
        <w:rPr>
          <w:rFonts w:hint="eastAsia" w:ascii="宋体" w:hAnsi="宋体"/>
          <w:bCs/>
          <w:color w:val="auto"/>
          <w:sz w:val="24"/>
          <w:szCs w:val="21"/>
          <w:highlight w:val="none"/>
          <w:lang w:eastAsia="zh-CN"/>
        </w:rPr>
        <w:t>国家发展改革委</w:t>
      </w:r>
      <w:r>
        <w:rPr>
          <w:rFonts w:hint="eastAsia" w:ascii="宋体" w:hAnsi="宋体"/>
          <w:bCs/>
          <w:color w:val="auto"/>
          <w:sz w:val="24"/>
          <w:szCs w:val="21"/>
          <w:highlight w:val="none"/>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29F3AC2">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26.3.10响应文件未按照磋商文件要求加盖CA电子公章的。</w:t>
      </w:r>
    </w:p>
    <w:p w14:paraId="45A4A17B">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26.4异常低价投标（响应）</w:t>
      </w:r>
    </w:p>
    <w:p w14:paraId="44F7F528">
      <w:pPr>
        <w:pageBreakBefore w:val="0"/>
        <w:widowControl w:val="0"/>
        <w:kinsoku/>
        <w:wordWrap/>
        <w:overflowPunct/>
        <w:topLinePunct w:val="0"/>
        <w:autoSpaceDE/>
        <w:autoSpaceDN/>
        <w:bidi w:val="0"/>
        <w:adjustRightInd/>
        <w:snapToGrid/>
        <w:spacing w:line="440" w:lineRule="exact"/>
        <w:ind w:firstLine="480"/>
        <w:textAlignment w:val="auto"/>
        <w:rPr>
          <w:bCs/>
          <w:color w:val="auto"/>
          <w:sz w:val="24"/>
          <w:szCs w:val="21"/>
          <w:highlight w:val="none"/>
        </w:rPr>
      </w:pPr>
      <w:r>
        <w:rPr>
          <w:rFonts w:hint="eastAsia" w:ascii="宋体" w:hAnsi="宋体"/>
          <w:bCs/>
          <w:color w:val="auto"/>
          <w:sz w:val="24"/>
          <w:szCs w:val="21"/>
          <w:highlight w:val="none"/>
        </w:rPr>
        <w:t>26.4.1</w:t>
      </w:r>
      <w:r>
        <w:rPr>
          <w:rFonts w:hint="eastAsia"/>
          <w:bCs/>
          <w:color w:val="auto"/>
          <w:sz w:val="24"/>
          <w:szCs w:val="21"/>
          <w:highlight w:val="none"/>
        </w:rPr>
        <w:t>投标（响应）报价低于全部通过符合性审查供应商投标（响应）报价平均值50%的，即投标（响应）报价&lt;全部通过符合性审查供应商投标（响应）报价平均值×50%；</w:t>
      </w:r>
    </w:p>
    <w:p w14:paraId="2BEEE63B">
      <w:pPr>
        <w:pageBreakBefore w:val="0"/>
        <w:widowControl w:val="0"/>
        <w:kinsoku/>
        <w:wordWrap/>
        <w:overflowPunct/>
        <w:topLinePunct w:val="0"/>
        <w:autoSpaceDE/>
        <w:autoSpaceDN/>
        <w:bidi w:val="0"/>
        <w:adjustRightInd/>
        <w:snapToGrid/>
        <w:spacing w:line="440" w:lineRule="exact"/>
        <w:ind w:firstLine="480"/>
        <w:textAlignment w:val="auto"/>
        <w:rPr>
          <w:bCs/>
          <w:color w:val="auto"/>
          <w:sz w:val="24"/>
          <w:szCs w:val="21"/>
          <w:highlight w:val="none"/>
        </w:rPr>
      </w:pPr>
      <w:r>
        <w:rPr>
          <w:rFonts w:hint="eastAsia" w:ascii="宋体" w:hAnsi="宋体"/>
          <w:bCs/>
          <w:color w:val="auto"/>
          <w:sz w:val="24"/>
          <w:szCs w:val="21"/>
          <w:highlight w:val="none"/>
        </w:rPr>
        <w:t>26.4.2</w:t>
      </w:r>
      <w:r>
        <w:rPr>
          <w:rFonts w:hint="eastAsia"/>
          <w:bCs/>
          <w:color w:val="auto"/>
          <w:sz w:val="24"/>
          <w:szCs w:val="21"/>
          <w:highlight w:val="none"/>
        </w:rPr>
        <w:t>投标（响应）报价低于通过符合性审查的次低报价供应商投标（响应）报价50%的，即投标（响应）报价&lt;通过符合性审查的次低报价供应商投标（响应）报价×50%；</w:t>
      </w:r>
    </w:p>
    <w:p w14:paraId="09407075">
      <w:pPr>
        <w:pageBreakBefore w:val="0"/>
        <w:widowControl w:val="0"/>
        <w:kinsoku/>
        <w:wordWrap/>
        <w:overflowPunct/>
        <w:topLinePunct w:val="0"/>
        <w:autoSpaceDE/>
        <w:autoSpaceDN/>
        <w:bidi w:val="0"/>
        <w:adjustRightInd/>
        <w:snapToGrid/>
        <w:spacing w:line="440" w:lineRule="exact"/>
        <w:ind w:firstLine="480"/>
        <w:textAlignment w:val="auto"/>
        <w:rPr>
          <w:bCs/>
          <w:color w:val="auto"/>
          <w:sz w:val="24"/>
          <w:szCs w:val="21"/>
          <w:highlight w:val="none"/>
        </w:rPr>
      </w:pPr>
      <w:r>
        <w:rPr>
          <w:rFonts w:hint="eastAsia" w:ascii="宋体" w:hAnsi="宋体"/>
          <w:bCs/>
          <w:color w:val="auto"/>
          <w:sz w:val="24"/>
          <w:szCs w:val="21"/>
          <w:highlight w:val="none"/>
        </w:rPr>
        <w:t>26.4.3</w:t>
      </w:r>
      <w:r>
        <w:rPr>
          <w:rFonts w:hint="eastAsia"/>
          <w:bCs/>
          <w:color w:val="auto"/>
          <w:sz w:val="24"/>
          <w:szCs w:val="21"/>
          <w:highlight w:val="none"/>
        </w:rPr>
        <w:t>投标（响应）报价低于采购项目最高限价 45% 的，即投标（响应）报价&lt;采购项目最高限价×45%；</w:t>
      </w:r>
    </w:p>
    <w:p w14:paraId="69B680F5">
      <w:pPr>
        <w:pageBreakBefore w:val="0"/>
        <w:widowControl w:val="0"/>
        <w:kinsoku/>
        <w:wordWrap/>
        <w:overflowPunct/>
        <w:topLinePunct w:val="0"/>
        <w:autoSpaceDE/>
        <w:autoSpaceDN/>
        <w:bidi w:val="0"/>
        <w:adjustRightInd/>
        <w:snapToGrid/>
        <w:spacing w:line="440" w:lineRule="exact"/>
        <w:ind w:firstLine="480"/>
        <w:textAlignment w:val="auto"/>
        <w:rPr>
          <w:bCs/>
          <w:color w:val="auto"/>
          <w:sz w:val="24"/>
          <w:szCs w:val="21"/>
          <w:highlight w:val="none"/>
        </w:rPr>
      </w:pPr>
      <w:r>
        <w:rPr>
          <w:rFonts w:hint="eastAsia"/>
          <w:bCs/>
          <w:color w:val="auto"/>
          <w:sz w:val="24"/>
          <w:szCs w:val="21"/>
          <w:highlight w:val="none"/>
        </w:rPr>
        <w:t>备注：采购人可以结合具体项目实际情况，提高上述第1项至第3项中启动异常低价投标（响应）审查的数值标准，但是最高不得超过65%。（不得超过65%不含65%）</w:t>
      </w:r>
    </w:p>
    <w:p w14:paraId="37A5B726">
      <w:pPr>
        <w:pageBreakBefore w:val="0"/>
        <w:widowControl w:val="0"/>
        <w:kinsoku/>
        <w:wordWrap/>
        <w:overflowPunct/>
        <w:topLinePunct w:val="0"/>
        <w:autoSpaceDE/>
        <w:autoSpaceDN/>
        <w:bidi w:val="0"/>
        <w:adjustRightInd/>
        <w:snapToGrid/>
        <w:spacing w:line="440" w:lineRule="exact"/>
        <w:ind w:firstLine="480"/>
        <w:textAlignment w:val="auto"/>
        <w:rPr>
          <w:rFonts w:hint="eastAsia"/>
          <w:bCs/>
          <w:color w:val="auto"/>
          <w:sz w:val="24"/>
          <w:szCs w:val="21"/>
          <w:highlight w:val="none"/>
        </w:rPr>
      </w:pPr>
      <w:r>
        <w:rPr>
          <w:rFonts w:hint="eastAsia" w:ascii="宋体" w:hAnsi="宋体"/>
          <w:bCs/>
          <w:color w:val="auto"/>
          <w:sz w:val="24"/>
          <w:szCs w:val="21"/>
          <w:highlight w:val="none"/>
        </w:rPr>
        <w:t>26.4.4</w:t>
      </w:r>
      <w:r>
        <w:rPr>
          <w:rFonts w:hint="eastAsia"/>
          <w:bCs/>
          <w:color w:val="auto"/>
          <w:sz w:val="24"/>
          <w:szCs w:val="21"/>
          <w:highlight w:val="none"/>
        </w:rPr>
        <w:t>评审委员会认定的供应商报价过低、有可能影响产品质量或者不能诚信履约的其他情形。</w:t>
      </w:r>
    </w:p>
    <w:p w14:paraId="3D637A86">
      <w:pPr>
        <w:pageBreakBefore w:val="0"/>
        <w:widowControl w:val="0"/>
        <w:kinsoku/>
        <w:wordWrap/>
        <w:overflowPunct/>
        <w:topLinePunct w:val="0"/>
        <w:autoSpaceDE/>
        <w:autoSpaceDN/>
        <w:bidi w:val="0"/>
        <w:adjustRightInd/>
        <w:snapToGrid/>
        <w:spacing w:line="440" w:lineRule="exact"/>
        <w:ind w:firstLine="480"/>
        <w:textAlignment w:val="auto"/>
        <w:rPr>
          <w:bCs/>
          <w:color w:val="auto"/>
          <w:sz w:val="24"/>
          <w:szCs w:val="21"/>
          <w:highlight w:val="none"/>
        </w:rPr>
      </w:pPr>
      <w:r>
        <w:rPr>
          <w:rFonts w:hint="eastAsia" w:ascii="宋体" w:hAnsi="宋体"/>
          <w:bCs/>
          <w:color w:val="auto"/>
          <w:sz w:val="24"/>
          <w:szCs w:val="21"/>
          <w:highlight w:val="none"/>
        </w:rPr>
        <w:t>26.4.5</w:t>
      </w:r>
      <w:r>
        <w:rPr>
          <w:rFonts w:hint="eastAsia"/>
          <w:bCs/>
          <w:color w:val="auto"/>
          <w:sz w:val="24"/>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3BEBE8">
      <w:pPr>
        <w:pageBreakBefore w:val="0"/>
        <w:widowControl w:val="0"/>
        <w:kinsoku/>
        <w:wordWrap/>
        <w:overflowPunct/>
        <w:topLinePunct w:val="0"/>
        <w:autoSpaceDE/>
        <w:autoSpaceDN/>
        <w:bidi w:val="0"/>
        <w:adjustRightInd/>
        <w:snapToGrid/>
        <w:spacing w:line="440" w:lineRule="exact"/>
        <w:ind w:firstLine="420"/>
        <w:textAlignment w:val="auto"/>
        <w:rPr>
          <w:bCs/>
          <w:color w:val="auto"/>
          <w:sz w:val="24"/>
          <w:szCs w:val="21"/>
          <w:highlight w:val="none"/>
        </w:rPr>
      </w:pPr>
      <w:r>
        <w:rPr>
          <w:rFonts w:hint="eastAsia"/>
          <w:color w:val="auto"/>
          <w:highlight w:val="none"/>
        </w:rPr>
        <w:t xml:space="preserve">   </w:t>
      </w:r>
      <w:r>
        <w:rPr>
          <w:rFonts w:hint="eastAsia"/>
          <w:bCs/>
          <w:color w:val="auto"/>
          <w:sz w:val="24"/>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889941F">
      <w:pPr>
        <w:pageBreakBefore w:val="0"/>
        <w:widowControl w:val="0"/>
        <w:kinsoku/>
        <w:wordWrap/>
        <w:overflowPunct/>
        <w:topLinePunct w:val="0"/>
        <w:autoSpaceDE/>
        <w:autoSpaceDN/>
        <w:bidi w:val="0"/>
        <w:adjustRightInd/>
        <w:snapToGrid/>
        <w:spacing w:line="440" w:lineRule="exact"/>
        <w:ind w:firstLine="480"/>
        <w:textAlignment w:val="auto"/>
        <w:rPr>
          <w:rFonts w:hint="eastAsia"/>
          <w:bCs/>
          <w:color w:val="auto"/>
          <w:sz w:val="24"/>
          <w:szCs w:val="21"/>
          <w:highlight w:val="none"/>
        </w:rPr>
      </w:pPr>
      <w:r>
        <w:rPr>
          <w:rFonts w:hint="eastAsia"/>
          <w:bCs/>
          <w:color w:val="auto"/>
          <w:sz w:val="24"/>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615C978B">
      <w:pPr>
        <w:pageBreakBefore w:val="0"/>
        <w:widowControl w:val="0"/>
        <w:kinsoku/>
        <w:wordWrap/>
        <w:overflowPunct/>
        <w:topLinePunct w:val="0"/>
        <w:autoSpaceDE/>
        <w:autoSpaceDN/>
        <w:bidi w:val="0"/>
        <w:adjustRightInd/>
        <w:snapToGrid/>
        <w:spacing w:line="440" w:lineRule="exact"/>
        <w:ind w:firstLine="480"/>
        <w:textAlignment w:val="auto"/>
        <w:rPr>
          <w:rFonts w:hint="eastAsia"/>
          <w:bCs/>
          <w:color w:val="auto"/>
          <w:sz w:val="24"/>
          <w:highlight w:val="none"/>
        </w:rPr>
      </w:pPr>
      <w:r>
        <w:rPr>
          <w:rFonts w:hint="eastAsia" w:ascii="宋体" w:hAnsi="宋体"/>
          <w:bCs/>
          <w:color w:val="auto"/>
          <w:sz w:val="24"/>
          <w:szCs w:val="21"/>
          <w:highlight w:val="none"/>
        </w:rPr>
        <w:t>26.5</w:t>
      </w:r>
      <w:r>
        <w:rPr>
          <w:bCs/>
          <w:color w:val="auto"/>
          <w:sz w:val="24"/>
          <w:highlight w:val="none"/>
        </w:rPr>
        <w:t>如本项目采购产品被财政部、</w:t>
      </w:r>
      <w:r>
        <w:rPr>
          <w:rFonts w:hint="eastAsia"/>
          <w:bCs/>
          <w:color w:val="auto"/>
          <w:sz w:val="24"/>
          <w:highlight w:val="none"/>
          <w:lang w:eastAsia="zh-CN"/>
        </w:rPr>
        <w:t>国家发展改革委</w:t>
      </w:r>
      <w:r>
        <w:rPr>
          <w:bCs/>
          <w:color w:val="auto"/>
          <w:sz w:val="24"/>
          <w:highlight w:val="none"/>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p>
    <w:p w14:paraId="4B47DD3A">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26.6未实质性响应磋商文件的响应文件按无效响应处理。</w:t>
      </w:r>
    </w:p>
    <w:p w14:paraId="45D5C54B">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.7</w:t>
      </w:r>
      <w:r>
        <w:rPr>
          <w:rFonts w:hint="eastAsia" w:ascii="宋体" w:hAnsi="宋体"/>
          <w:bCs/>
          <w:color w:val="auto"/>
          <w:sz w:val="24"/>
          <w:szCs w:val="21"/>
          <w:highlight w:val="none"/>
        </w:rPr>
        <w:t>如果响应文件实质上没有响应磋商文件的要求，磋商小组将予以拒绝，供应商不得通过修改或撤销</w:t>
      </w:r>
      <w:r>
        <w:rPr>
          <w:rFonts w:hint="eastAsia" w:ascii="宋体" w:hAnsi="宋体"/>
          <w:bCs/>
          <w:color w:val="auto"/>
          <w:sz w:val="24"/>
          <w:szCs w:val="21"/>
          <w:highlight w:val="none"/>
          <w:lang w:eastAsia="zh-CN"/>
        </w:rPr>
        <w:t>不符</w:t>
      </w:r>
      <w:r>
        <w:rPr>
          <w:rFonts w:hint="eastAsia" w:ascii="宋体" w:hAnsi="宋体"/>
          <w:bCs/>
          <w:color w:val="auto"/>
          <w:sz w:val="24"/>
          <w:szCs w:val="21"/>
          <w:highlight w:val="none"/>
        </w:rPr>
        <w:t>合要求的偏离或保留而使其成为实质性响应的文件。</w:t>
      </w:r>
    </w:p>
    <w:p w14:paraId="601C4AFD">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bookmarkStart w:id="123" w:name="_Toc20823306"/>
      <w:bookmarkStart w:id="124" w:name="_Toc16938550"/>
      <w:bookmarkStart w:id="125" w:name="_Toc513029234"/>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.8供应商在项目评审全过程中应</w:t>
      </w:r>
      <w:r>
        <w:rPr>
          <w:rFonts w:hint="eastAsia" w:ascii="宋体" w:hAnsi="宋体"/>
          <w:color w:val="auto"/>
          <w:sz w:val="24"/>
          <w:szCs w:val="21"/>
          <w:highlight w:val="none"/>
          <w:lang w:eastAsia="zh-CN"/>
        </w:rPr>
        <w:t>保持通信畅通</w:t>
      </w:r>
      <w:r>
        <w:rPr>
          <w:rFonts w:hint="eastAsia" w:ascii="宋体" w:hAnsi="宋体"/>
          <w:color w:val="auto"/>
          <w:sz w:val="24"/>
          <w:szCs w:val="21"/>
          <w:highlight w:val="none"/>
        </w:rPr>
        <w:t>，并安排专人与代理机构及磋商小组联系。</w:t>
      </w:r>
    </w:p>
    <w:p w14:paraId="7F1800D1">
      <w:pPr>
        <w:keepNext/>
        <w:keepLines/>
        <w:pageBreakBefore w:val="0"/>
        <w:widowControl w:val="0"/>
        <w:kinsoku/>
        <w:wordWrap/>
        <w:overflowPunct/>
        <w:topLinePunct w:val="0"/>
        <w:autoSpaceDE/>
        <w:autoSpaceDN/>
        <w:bidi w:val="0"/>
        <w:adjustRightInd/>
        <w:snapToGrid/>
        <w:spacing w:line="440" w:lineRule="exact"/>
        <w:ind w:firstLine="420"/>
        <w:textAlignment w:val="auto"/>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lang w:eastAsia="zh-CN"/>
        </w:rPr>
        <w:t>27.</w:t>
      </w:r>
      <w:bookmarkEnd w:id="123"/>
      <w:bookmarkEnd w:id="124"/>
      <w:bookmarkEnd w:id="125"/>
      <w:r>
        <w:rPr>
          <w:rFonts w:hint="eastAsia" w:ascii="Arial" w:hAnsi="Arial" w:eastAsia="黑体" w:cs="Arial"/>
          <w:color w:val="auto"/>
          <w:sz w:val="28"/>
          <w:szCs w:val="28"/>
          <w:highlight w:val="none"/>
        </w:rPr>
        <w:t>磋商程序及评审方法和评审标准</w:t>
      </w:r>
    </w:p>
    <w:p w14:paraId="777B9482">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27.1磋商程序</w:t>
      </w:r>
    </w:p>
    <w:p w14:paraId="7566F13A">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0104517">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E1EF911">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磋商文件能够详细列明采购标的的技术、服务要求的，磋商结束后，磋商小组</w:t>
      </w:r>
      <w:r>
        <w:rPr>
          <w:rFonts w:hint="eastAsia" w:ascii="宋体" w:hAnsi="宋体"/>
          <w:color w:val="auto"/>
          <w:sz w:val="24"/>
          <w:szCs w:val="24"/>
          <w:highlight w:val="none"/>
        </w:rPr>
        <w:t>将在苏采云系统向所有</w:t>
      </w:r>
      <w:r>
        <w:rPr>
          <w:rFonts w:ascii="宋体" w:hAnsi="宋体"/>
          <w:color w:val="auto"/>
          <w:sz w:val="24"/>
          <w:szCs w:val="24"/>
          <w:highlight w:val="none"/>
        </w:rPr>
        <w:t>实质性响应的供应商</w:t>
      </w:r>
      <w:r>
        <w:rPr>
          <w:rFonts w:hint="eastAsia" w:ascii="宋体" w:hAnsi="宋体"/>
          <w:color w:val="auto"/>
          <w:sz w:val="24"/>
          <w:szCs w:val="24"/>
          <w:highlight w:val="none"/>
        </w:rPr>
        <w:t>发布“最后报价要求函”及最后报价格式表，</w:t>
      </w:r>
      <w:r>
        <w:rPr>
          <w:rFonts w:ascii="宋体" w:hAnsi="宋体"/>
          <w:color w:val="auto"/>
          <w:sz w:val="24"/>
          <w:szCs w:val="24"/>
          <w:highlight w:val="none"/>
        </w:rPr>
        <w:t>要求所有实质性响应的供应商在规定时间内提交最后报价。</w:t>
      </w:r>
    </w:p>
    <w:p w14:paraId="12D01F54">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auto"/>
          <w:sz w:val="24"/>
          <w:szCs w:val="24"/>
          <w:highlight w:val="none"/>
          <w:lang w:eastAsia="zh-CN"/>
        </w:rPr>
        <w:t>，并</w:t>
      </w:r>
      <w:r>
        <w:rPr>
          <w:rFonts w:hint="eastAsia" w:ascii="宋体" w:hAnsi="宋体"/>
          <w:color w:val="auto"/>
          <w:sz w:val="24"/>
          <w:szCs w:val="24"/>
          <w:highlight w:val="none"/>
        </w:rPr>
        <w:t>在苏采云系统中向其发布“最后报价要求函”及最后报价格式表，要求其在规定时间内提交最后报价。</w:t>
      </w:r>
    </w:p>
    <w:p w14:paraId="04E27E0B">
      <w:pPr>
        <w:pageBreakBefore w:val="0"/>
        <w:widowControl w:val="0"/>
        <w:tabs>
          <w:tab w:val="left" w:pos="900"/>
        </w:tabs>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最后报价是供应商响应文件的有效组成部分。符合《政府采购竞争性磋商采购方</w:t>
      </w:r>
      <w:r>
        <w:rPr>
          <w:rFonts w:hint="eastAsia" w:ascii="宋体" w:hAnsi="宋体"/>
          <w:color w:val="auto"/>
          <w:sz w:val="24"/>
          <w:szCs w:val="24"/>
          <w:highlight w:val="none"/>
          <w:lang w:eastAsia="zh-CN"/>
        </w:rPr>
        <w:t>式管</w:t>
      </w:r>
      <w:r>
        <w:rPr>
          <w:rFonts w:hint="eastAsia" w:ascii="宋体" w:hAnsi="宋体"/>
          <w:color w:val="auto"/>
          <w:sz w:val="24"/>
          <w:szCs w:val="24"/>
          <w:highlight w:val="none"/>
        </w:rPr>
        <w:t>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〔2015〕124号</w:t>
      </w:r>
      <w:r>
        <w:rPr>
          <w:rFonts w:hint="eastAsia" w:ascii="宋体" w:hAnsi="宋体"/>
          <w:color w:val="auto"/>
          <w:sz w:val="24"/>
          <w:szCs w:val="24"/>
          <w:highlight w:val="none"/>
        </w:rPr>
        <w:t>）规定情形的，提交最后报价的供应商可以为2家。</w:t>
      </w:r>
    </w:p>
    <w:p w14:paraId="50E4BC30">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27.1.3供应商未在磋商小组规定的时间内在苏采云系统中提交最后报价的视为放弃磋商，其响应文件按无效响应处理，最后报价格式表须加盖CA电子公章</w:t>
      </w:r>
      <w:r>
        <w:rPr>
          <w:rFonts w:hint="eastAsia" w:ascii="宋体" w:hAnsi="宋体"/>
          <w:color w:val="auto"/>
          <w:sz w:val="24"/>
          <w:szCs w:val="24"/>
          <w:highlight w:val="none"/>
          <w:lang w:eastAsia="zh-CN"/>
        </w:rPr>
        <w:t>，</w:t>
      </w:r>
      <w:r>
        <w:rPr>
          <w:rFonts w:hint="eastAsia" w:ascii="宋体" w:hAnsi="宋体"/>
          <w:color w:val="auto"/>
          <w:sz w:val="24"/>
          <w:szCs w:val="24"/>
          <w:highlight w:val="none"/>
        </w:rPr>
        <w:t>否则视为未提交最后报价。</w:t>
      </w:r>
      <w:r>
        <w:rPr>
          <w:rFonts w:ascii="宋体" w:hAnsi="宋体"/>
          <w:color w:val="auto"/>
          <w:sz w:val="24"/>
          <w:szCs w:val="24"/>
          <w:highlight w:val="none"/>
        </w:rPr>
        <w:t>已提交响应文件的供应商，在提交最后报价之前，可以根据磋商情况退出磋商</w:t>
      </w:r>
      <w:r>
        <w:rPr>
          <w:rFonts w:hint="eastAsia" w:ascii="宋体" w:hAnsi="宋体"/>
          <w:color w:val="auto"/>
          <w:sz w:val="24"/>
          <w:szCs w:val="24"/>
          <w:highlight w:val="none"/>
        </w:rPr>
        <w:t>，并在苏采云系统中提交“退出磋商函”并加盖CA电子公章</w:t>
      </w:r>
      <w:r>
        <w:rPr>
          <w:rFonts w:ascii="宋体" w:hAnsi="宋体"/>
          <w:color w:val="auto"/>
          <w:sz w:val="24"/>
          <w:szCs w:val="24"/>
          <w:highlight w:val="none"/>
        </w:rPr>
        <w:t>。</w:t>
      </w:r>
    </w:p>
    <w:p w14:paraId="6CE9C43C">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27.2 评审方法和评审标准</w:t>
      </w:r>
    </w:p>
    <w:p w14:paraId="6168F764">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5C44A9A4">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4295902">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27.2.2评审标准</w:t>
      </w:r>
    </w:p>
    <w:p w14:paraId="1E19C32E">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见本磋商文件第五章规定。</w:t>
      </w:r>
    </w:p>
    <w:p w14:paraId="6197BB44">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4"/>
          <w:highlight w:val="none"/>
        </w:rPr>
      </w:pPr>
      <w:r>
        <w:rPr>
          <w:rFonts w:hint="eastAsia" w:ascii="宋体" w:hAnsi="宋体"/>
          <w:color w:val="auto"/>
          <w:sz w:val="24"/>
          <w:szCs w:val="24"/>
          <w:highlight w:val="none"/>
        </w:rPr>
        <w:t>27.3采购活动终止的情况</w:t>
      </w:r>
    </w:p>
    <w:p w14:paraId="39E0651F">
      <w:pPr>
        <w:pageBreakBefore w:val="0"/>
        <w:widowControl w:val="0"/>
        <w:tabs>
          <w:tab w:val="left" w:pos="900"/>
        </w:tabs>
        <w:kinsoku/>
        <w:wordWrap/>
        <w:overflowPunct/>
        <w:topLinePunct w:val="0"/>
        <w:autoSpaceDE/>
        <w:autoSpaceDN/>
        <w:bidi w:val="0"/>
        <w:adjustRightInd/>
        <w:snapToGrid/>
        <w:spacing w:line="440" w:lineRule="exact"/>
        <w:ind w:firstLine="360"/>
        <w:textAlignment w:val="auto"/>
        <w:rPr>
          <w:rFonts w:hint="eastAsia" w:ascii="宋体" w:hAnsi="宋体"/>
          <w:color w:val="auto"/>
          <w:sz w:val="24"/>
          <w:szCs w:val="24"/>
          <w:highlight w:val="none"/>
        </w:rPr>
      </w:pPr>
      <w:r>
        <w:rPr>
          <w:rFonts w:hint="eastAsia" w:ascii="宋体" w:hAnsi="宋体"/>
          <w:color w:val="auto"/>
          <w:sz w:val="24"/>
          <w:szCs w:val="24"/>
          <w:highlight w:val="none"/>
        </w:rPr>
        <w:t>出现下列情形之一的，本次竞争性磋商采购活动将被终止：</w:t>
      </w:r>
    </w:p>
    <w:p w14:paraId="11E270F2">
      <w:pPr>
        <w:pageBreakBefore w:val="0"/>
        <w:widowControl w:val="0"/>
        <w:tabs>
          <w:tab w:val="left" w:pos="900"/>
        </w:tabs>
        <w:kinsoku/>
        <w:wordWrap/>
        <w:overflowPunct/>
        <w:topLinePunct w:val="0"/>
        <w:autoSpaceDE/>
        <w:autoSpaceDN/>
        <w:bidi w:val="0"/>
        <w:adjustRightInd/>
        <w:snapToGrid/>
        <w:spacing w:line="440" w:lineRule="exact"/>
        <w:ind w:firstLine="360"/>
        <w:textAlignment w:val="auto"/>
        <w:rPr>
          <w:rFonts w:hint="eastAsia" w:ascii="宋体" w:hAnsi="宋体"/>
          <w:color w:val="auto"/>
          <w:sz w:val="24"/>
          <w:szCs w:val="24"/>
          <w:highlight w:val="none"/>
        </w:rPr>
      </w:pPr>
      <w:r>
        <w:rPr>
          <w:rFonts w:hint="eastAsia" w:ascii="宋体" w:hAnsi="宋体"/>
          <w:color w:val="auto"/>
          <w:sz w:val="24"/>
          <w:szCs w:val="24"/>
          <w:highlight w:val="none"/>
        </w:rPr>
        <w:t>27.3.1因情况变化，不再符合规定的竞争性磋商采购方式适用情形的。</w:t>
      </w:r>
    </w:p>
    <w:p w14:paraId="67D022E1">
      <w:pPr>
        <w:pageBreakBefore w:val="0"/>
        <w:widowControl w:val="0"/>
        <w:tabs>
          <w:tab w:val="left" w:pos="900"/>
        </w:tabs>
        <w:kinsoku/>
        <w:wordWrap/>
        <w:overflowPunct/>
        <w:topLinePunct w:val="0"/>
        <w:autoSpaceDE/>
        <w:autoSpaceDN/>
        <w:bidi w:val="0"/>
        <w:adjustRightInd/>
        <w:snapToGrid/>
        <w:spacing w:line="440" w:lineRule="exact"/>
        <w:ind w:firstLine="360"/>
        <w:textAlignment w:val="auto"/>
        <w:rPr>
          <w:rFonts w:hint="eastAsia" w:ascii="宋体" w:hAnsi="宋体"/>
          <w:color w:val="auto"/>
          <w:sz w:val="24"/>
          <w:szCs w:val="24"/>
          <w:highlight w:val="none"/>
        </w:rPr>
      </w:pPr>
      <w:r>
        <w:rPr>
          <w:rFonts w:hint="eastAsia" w:ascii="宋体" w:hAnsi="宋体"/>
          <w:color w:val="auto"/>
          <w:sz w:val="24"/>
          <w:szCs w:val="24"/>
          <w:highlight w:val="none"/>
        </w:rPr>
        <w:t>27.3.2出现影响采购公正的违法、违规行为的。</w:t>
      </w:r>
    </w:p>
    <w:p w14:paraId="1C840CB5">
      <w:pPr>
        <w:pageBreakBefore w:val="0"/>
        <w:widowControl w:val="0"/>
        <w:tabs>
          <w:tab w:val="left" w:pos="900"/>
        </w:tabs>
        <w:kinsoku/>
        <w:wordWrap/>
        <w:overflowPunct/>
        <w:topLinePunct w:val="0"/>
        <w:autoSpaceDE/>
        <w:autoSpaceDN/>
        <w:bidi w:val="0"/>
        <w:adjustRightInd/>
        <w:snapToGrid/>
        <w:spacing w:line="440" w:lineRule="exact"/>
        <w:ind w:firstLine="360"/>
        <w:textAlignment w:val="auto"/>
        <w:rPr>
          <w:rFonts w:hint="eastAsia" w:ascii="宋体" w:hAnsi="宋体"/>
          <w:color w:val="auto"/>
          <w:sz w:val="24"/>
          <w:szCs w:val="24"/>
          <w:highlight w:val="none"/>
        </w:rPr>
      </w:pPr>
      <w:r>
        <w:rPr>
          <w:rFonts w:hint="eastAsia" w:ascii="宋体" w:hAnsi="宋体"/>
          <w:color w:val="auto"/>
          <w:sz w:val="24"/>
          <w:szCs w:val="24"/>
          <w:highlight w:val="none"/>
        </w:rPr>
        <w:t>27.3.3除本磋商文件第二章第27.1.2条第三款规定的情形外，在采购过程中符合要求的供应商或者最后报价未超过采购预算的供应商不足3家的。</w:t>
      </w:r>
    </w:p>
    <w:p w14:paraId="3765949E">
      <w:pPr>
        <w:pageBreakBefore w:val="0"/>
        <w:widowControl w:val="0"/>
        <w:tabs>
          <w:tab w:val="left" w:pos="900"/>
        </w:tabs>
        <w:kinsoku/>
        <w:wordWrap/>
        <w:overflowPunct/>
        <w:topLinePunct w:val="0"/>
        <w:autoSpaceDE/>
        <w:autoSpaceDN/>
        <w:bidi w:val="0"/>
        <w:adjustRightInd/>
        <w:snapToGrid/>
        <w:spacing w:line="440" w:lineRule="exact"/>
        <w:ind w:firstLine="36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27.3.</w:t>
      </w:r>
      <w:r>
        <w:rPr>
          <w:rFonts w:hint="eastAsia" w:ascii="宋体" w:hAnsi="宋体"/>
          <w:color w:val="auto"/>
          <w:sz w:val="24"/>
          <w:szCs w:val="24"/>
          <w:highlight w:val="none"/>
        </w:rPr>
        <w:t>4在苏采云系统规定时间内</w:t>
      </w:r>
      <w:r>
        <w:rPr>
          <w:rFonts w:hint="eastAsia" w:ascii="宋体" w:hAnsi="宋体" w:cs="宋体"/>
          <w:color w:val="auto"/>
          <w:sz w:val="24"/>
          <w:szCs w:val="24"/>
          <w:highlight w:val="none"/>
        </w:rPr>
        <w:t>成功解密电子响应文件的供应商不足3家的。</w:t>
      </w:r>
    </w:p>
    <w:p w14:paraId="3A428967">
      <w:pPr>
        <w:keepNext/>
        <w:keepLines/>
        <w:pageBreakBefore w:val="0"/>
        <w:widowControl w:val="0"/>
        <w:kinsoku/>
        <w:wordWrap/>
        <w:overflowPunct/>
        <w:topLinePunct w:val="0"/>
        <w:autoSpaceDE/>
        <w:autoSpaceDN/>
        <w:bidi w:val="0"/>
        <w:adjustRightInd/>
        <w:snapToGrid/>
        <w:spacing w:line="440" w:lineRule="exact"/>
        <w:ind w:firstLine="482"/>
        <w:textAlignment w:val="auto"/>
        <w:outlineLvl w:val="2"/>
        <w:rPr>
          <w:rFonts w:hint="eastAsia"/>
          <w:b/>
          <w:bCs/>
          <w:color w:val="auto"/>
          <w:sz w:val="32"/>
          <w:szCs w:val="32"/>
          <w:highlight w:val="none"/>
        </w:rPr>
      </w:pPr>
      <w:bookmarkStart w:id="126" w:name="_Toc513029235"/>
      <w:bookmarkStart w:id="127" w:name="_Toc16938551"/>
      <w:bookmarkStart w:id="128" w:name="_Toc120614219"/>
      <w:bookmarkStart w:id="129" w:name="_Toc20823307"/>
      <w:r>
        <w:rPr>
          <w:rFonts w:hint="eastAsia"/>
          <w:b/>
          <w:bCs/>
          <w:color w:val="auto"/>
          <w:sz w:val="32"/>
          <w:szCs w:val="32"/>
          <w:highlight w:val="none"/>
        </w:rPr>
        <w:t>六、</w:t>
      </w:r>
      <w:bookmarkEnd w:id="126"/>
      <w:bookmarkEnd w:id="127"/>
      <w:bookmarkEnd w:id="128"/>
      <w:bookmarkEnd w:id="129"/>
      <w:r>
        <w:rPr>
          <w:rFonts w:hint="eastAsia"/>
          <w:b/>
          <w:bCs/>
          <w:color w:val="auto"/>
          <w:sz w:val="32"/>
          <w:szCs w:val="32"/>
          <w:highlight w:val="none"/>
        </w:rPr>
        <w:t>成交</w:t>
      </w:r>
    </w:p>
    <w:p w14:paraId="387476CA">
      <w:pPr>
        <w:keepNext/>
        <w:keepLines/>
        <w:pageBreakBefore w:val="0"/>
        <w:widowControl w:val="0"/>
        <w:kinsoku/>
        <w:wordWrap/>
        <w:overflowPunct/>
        <w:topLinePunct w:val="0"/>
        <w:autoSpaceDE/>
        <w:autoSpaceDN/>
        <w:bidi w:val="0"/>
        <w:adjustRightInd/>
        <w:snapToGrid/>
        <w:spacing w:line="440" w:lineRule="exact"/>
        <w:ind w:firstLine="600"/>
        <w:textAlignment w:val="auto"/>
        <w:outlineLvl w:val="3"/>
        <w:rPr>
          <w:rFonts w:hint="eastAsia" w:ascii="黑体" w:hAnsi="宋体" w:eastAsia="黑体"/>
          <w:bCs/>
          <w:color w:val="auto"/>
          <w:sz w:val="30"/>
          <w:szCs w:val="30"/>
          <w:highlight w:val="none"/>
        </w:rPr>
      </w:pPr>
      <w:bookmarkStart w:id="130" w:name="_Toc513029238"/>
      <w:bookmarkStart w:id="131" w:name="_Toc16938554"/>
      <w:bookmarkStart w:id="132" w:name="_Toc20823310"/>
      <w:r>
        <w:rPr>
          <w:rFonts w:hint="eastAsia" w:ascii="黑体" w:hAnsi="宋体" w:eastAsia="黑体"/>
          <w:bCs/>
          <w:color w:val="auto"/>
          <w:sz w:val="30"/>
          <w:szCs w:val="30"/>
          <w:highlight w:val="none"/>
          <w:lang w:eastAsia="zh-CN"/>
        </w:rPr>
        <w:t>28.</w:t>
      </w:r>
      <w:bookmarkEnd w:id="130"/>
      <w:r>
        <w:rPr>
          <w:rFonts w:hint="eastAsia" w:ascii="黑体" w:hAnsi="宋体" w:eastAsia="黑体"/>
          <w:bCs/>
          <w:color w:val="auto"/>
          <w:sz w:val="30"/>
          <w:szCs w:val="30"/>
          <w:highlight w:val="none"/>
        </w:rPr>
        <w:t>确定</w:t>
      </w:r>
      <w:bookmarkEnd w:id="131"/>
      <w:bookmarkEnd w:id="132"/>
      <w:r>
        <w:rPr>
          <w:rFonts w:hint="eastAsia" w:ascii="黑体" w:hAnsi="宋体" w:eastAsia="黑体"/>
          <w:bCs/>
          <w:color w:val="auto"/>
          <w:sz w:val="30"/>
          <w:szCs w:val="30"/>
          <w:highlight w:val="none"/>
        </w:rPr>
        <w:t>成交单位</w:t>
      </w:r>
    </w:p>
    <w:p w14:paraId="34F44B02">
      <w:pPr>
        <w:pageBreakBefore w:val="0"/>
        <w:widowControl w:val="0"/>
        <w:tabs>
          <w:tab w:val="left" w:pos="900"/>
        </w:tabs>
        <w:kinsoku/>
        <w:wordWrap/>
        <w:overflowPunct/>
        <w:topLinePunct w:val="0"/>
        <w:autoSpaceDE/>
        <w:autoSpaceDN/>
        <w:bidi w:val="0"/>
        <w:adjustRightInd/>
        <w:snapToGrid/>
        <w:spacing w:line="440" w:lineRule="exact"/>
        <w:ind w:firstLine="478"/>
        <w:textAlignment w:val="auto"/>
        <w:rPr>
          <w:rFonts w:hint="eastAsia" w:ascii="宋体" w:hAnsi="宋体"/>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.1</w:t>
      </w:r>
      <w:r>
        <w:rPr>
          <w:rFonts w:hint="eastAsia" w:ascii="宋体" w:hAnsi="宋体"/>
          <w:color w:val="auto"/>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BA01236">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1"/>
          <w:highlight w:val="none"/>
        </w:rPr>
      </w:pPr>
      <w:r>
        <w:rPr>
          <w:rFonts w:hint="eastAsia" w:ascii="宋体" w:hAnsi="宋体"/>
          <w:color w:val="auto"/>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DAA23C1">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2采购人从评审报告提出的成交候选供应商中，按照排序由高到低的原则确定成交供应商。采购人确定成交供应商后，代理机构将在“江苏政府采购网”“扬州市政府采购网”发布成交结果公告，公告期限为1个工作日。</w:t>
      </w:r>
    </w:p>
    <w:p w14:paraId="1B9733CD">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28.3若有充分证据证明，成交供应商出现下列情况之一的，一经查实，将被取消成交资格：</w:t>
      </w:r>
    </w:p>
    <w:p w14:paraId="31196900">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28.3.1提供虚假材料谋取成交的。</w:t>
      </w:r>
    </w:p>
    <w:p w14:paraId="79FD9DE7">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28.3.2与评审专家、采购人、其他供应商或者代理机构工作人员恶意串通的。</w:t>
      </w:r>
    </w:p>
    <w:p w14:paraId="15CE330C">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28.3.3向评审专家、采购人或代理机构工作人员行贿或者提供其他不正当利益的。</w:t>
      </w:r>
    </w:p>
    <w:p w14:paraId="759CD719">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28.3.4恶意竞争，最后报价明显低于其自身合理成本且又无法提供证明的。</w:t>
      </w:r>
    </w:p>
    <w:p w14:paraId="0948C01A">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28.3.5不满足本磋商文件规定的实质性要求，但在评审过程中又未被磋商小组发现的。</w:t>
      </w:r>
    </w:p>
    <w:p w14:paraId="59EEA658">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28.3.6成交后无正当理由拒不与采购人签订政府采购合同或者未按照磋商文件确定的事项签订政府采购合同的。</w:t>
      </w:r>
    </w:p>
    <w:p w14:paraId="3F1562D3">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color w:val="auto"/>
          <w:sz w:val="24"/>
          <w:szCs w:val="21"/>
          <w:highlight w:val="none"/>
        </w:rPr>
      </w:pPr>
      <w:r>
        <w:rPr>
          <w:rFonts w:hint="eastAsia" w:ascii="宋体" w:hAnsi="宋体"/>
          <w:bCs/>
          <w:color w:val="auto"/>
          <w:sz w:val="24"/>
          <w:szCs w:val="21"/>
          <w:highlight w:val="none"/>
        </w:rPr>
        <w:t>28.3.7将政府采购合同转包的。</w:t>
      </w:r>
    </w:p>
    <w:p w14:paraId="659A5BE4">
      <w:pPr>
        <w:keepNext/>
        <w:keepLines/>
        <w:pageBreakBefore w:val="0"/>
        <w:widowControl w:val="0"/>
        <w:kinsoku/>
        <w:wordWrap/>
        <w:overflowPunct/>
        <w:topLinePunct w:val="0"/>
        <w:autoSpaceDE/>
        <w:autoSpaceDN/>
        <w:bidi w:val="0"/>
        <w:adjustRightInd/>
        <w:snapToGrid/>
        <w:spacing w:line="440" w:lineRule="exact"/>
        <w:ind w:firstLine="600"/>
        <w:textAlignment w:val="auto"/>
        <w:outlineLvl w:val="3"/>
        <w:rPr>
          <w:rFonts w:hint="eastAsia" w:ascii="黑体" w:hAnsi="宋体" w:eastAsia="黑体"/>
          <w:bCs/>
          <w:color w:val="auto"/>
          <w:sz w:val="30"/>
          <w:szCs w:val="30"/>
          <w:highlight w:val="none"/>
        </w:rPr>
      </w:pPr>
      <w:bookmarkStart w:id="133" w:name="_Toc200451960"/>
      <w:r>
        <w:rPr>
          <w:rFonts w:hint="eastAsia" w:ascii="黑体" w:hAnsi="宋体" w:eastAsia="黑体"/>
          <w:bCs/>
          <w:color w:val="auto"/>
          <w:sz w:val="30"/>
          <w:szCs w:val="30"/>
          <w:highlight w:val="none"/>
          <w:lang w:eastAsia="zh-CN"/>
        </w:rPr>
        <w:t>29.</w:t>
      </w:r>
      <w:r>
        <w:rPr>
          <w:rFonts w:hint="eastAsia" w:ascii="黑体" w:hAnsi="宋体" w:eastAsia="黑体"/>
          <w:bCs/>
          <w:color w:val="auto"/>
          <w:sz w:val="30"/>
          <w:szCs w:val="30"/>
          <w:highlight w:val="none"/>
        </w:rPr>
        <w:t>质疑处理</w:t>
      </w:r>
      <w:bookmarkEnd w:id="133"/>
    </w:p>
    <w:p w14:paraId="67898C2A">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.1 提出质疑的供应商应当是参与所质疑项目采购活动的供应商。潜在供应商依法获取其可质疑的采购文件的，可以对采购文件提出质疑。</w:t>
      </w:r>
    </w:p>
    <w:p w14:paraId="7236E043">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1A7CDC2E">
      <w:pPr>
        <w:pageBreakBefore w:val="0"/>
        <w:widowControl w:val="0"/>
        <w:kinsoku/>
        <w:wordWrap/>
        <w:overflowPunct/>
        <w:topLinePunct w:val="0"/>
        <w:autoSpaceDE/>
        <w:autoSpaceDN/>
        <w:bidi w:val="0"/>
        <w:adjustRightInd/>
        <w:snapToGrid/>
        <w:spacing w:line="440" w:lineRule="exact"/>
        <w:ind w:firstLine="480"/>
        <w:textAlignment w:val="auto"/>
        <w:rPr>
          <w:rFonts w:hint="eastAsia" w:hAnsi="宋体" w:cs="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.2.1</w:t>
      </w:r>
      <w:r>
        <w:rPr>
          <w:rFonts w:hAnsi="宋体" w:cs="宋体"/>
          <w:color w:val="auto"/>
          <w:sz w:val="24"/>
          <w:szCs w:val="24"/>
          <w:highlight w:val="none"/>
        </w:rPr>
        <w:t>对可以质疑的采购文件提出质疑的，为收到采购文件之日或者采购文件公告期限届满之日</w:t>
      </w:r>
      <w:r>
        <w:rPr>
          <w:rFonts w:hint="eastAsia" w:hAnsi="宋体" w:cs="宋体"/>
          <w:color w:val="auto"/>
          <w:sz w:val="24"/>
          <w:szCs w:val="24"/>
          <w:highlight w:val="none"/>
        </w:rPr>
        <w:t>。</w:t>
      </w:r>
      <w:r>
        <w:rPr>
          <w:rFonts w:hAnsi="宋体" w:cs="宋体"/>
          <w:color w:val="auto"/>
          <w:sz w:val="24"/>
          <w:szCs w:val="24"/>
          <w:highlight w:val="none"/>
        </w:rPr>
        <w:br w:type="textWrapping" w:clear="all"/>
      </w:r>
      <w:r>
        <w:rPr>
          <w:rFonts w:hAnsi="宋体" w:cs="宋体"/>
          <w:color w:val="auto"/>
          <w:sz w:val="24"/>
          <w:szCs w:val="24"/>
          <w:highlight w:val="none"/>
        </w:rPr>
        <w:t>　　</w:t>
      </w:r>
      <w:r>
        <w:rPr>
          <w:rFonts w:ascii="宋体" w:hAnsi="宋体"/>
          <w:color w:val="auto"/>
          <w:sz w:val="24"/>
          <w:szCs w:val="24"/>
          <w:highlight w:val="none"/>
        </w:rPr>
        <w:t>29</w:t>
      </w:r>
      <w:r>
        <w:rPr>
          <w:rFonts w:hint="eastAsia" w:ascii="宋体" w:hAnsi="宋体"/>
          <w:color w:val="auto"/>
          <w:sz w:val="24"/>
          <w:szCs w:val="24"/>
          <w:highlight w:val="none"/>
        </w:rPr>
        <w:t>.2.2</w:t>
      </w:r>
      <w:r>
        <w:rPr>
          <w:rFonts w:hAnsi="宋体" w:cs="宋体"/>
          <w:color w:val="auto"/>
          <w:sz w:val="24"/>
          <w:szCs w:val="24"/>
          <w:highlight w:val="none"/>
        </w:rPr>
        <w:t>对采购过程提出质疑的，为各采购程序环节结束之日</w:t>
      </w:r>
      <w:r>
        <w:rPr>
          <w:rFonts w:hint="eastAsia" w:hAnsi="宋体" w:cs="宋体"/>
          <w:color w:val="auto"/>
          <w:sz w:val="24"/>
          <w:szCs w:val="24"/>
          <w:highlight w:val="none"/>
        </w:rPr>
        <w:t>。</w:t>
      </w:r>
      <w:r>
        <w:rPr>
          <w:rFonts w:hAnsi="宋体" w:cs="宋体"/>
          <w:color w:val="auto"/>
          <w:sz w:val="24"/>
          <w:szCs w:val="24"/>
          <w:highlight w:val="none"/>
        </w:rPr>
        <w:br w:type="textWrapping" w:clear="all"/>
      </w:r>
      <w:r>
        <w:rPr>
          <w:rFonts w:hAnsi="宋体" w:cs="宋体"/>
          <w:color w:val="auto"/>
          <w:sz w:val="24"/>
          <w:szCs w:val="24"/>
          <w:highlight w:val="none"/>
        </w:rPr>
        <w:t>　　</w:t>
      </w:r>
      <w:r>
        <w:rPr>
          <w:rFonts w:ascii="宋体" w:hAnsi="宋体"/>
          <w:color w:val="auto"/>
          <w:sz w:val="24"/>
          <w:szCs w:val="24"/>
          <w:highlight w:val="none"/>
        </w:rPr>
        <w:t>29</w:t>
      </w:r>
      <w:r>
        <w:rPr>
          <w:rFonts w:hint="eastAsia" w:ascii="宋体" w:hAnsi="宋体"/>
          <w:color w:val="auto"/>
          <w:sz w:val="24"/>
          <w:szCs w:val="24"/>
          <w:highlight w:val="none"/>
        </w:rPr>
        <w:t>.2.3</w:t>
      </w:r>
      <w:r>
        <w:rPr>
          <w:rFonts w:hAnsi="宋体" w:cs="宋体"/>
          <w:color w:val="auto"/>
          <w:sz w:val="24"/>
          <w:szCs w:val="24"/>
          <w:highlight w:val="none"/>
        </w:rPr>
        <w:t>对成交结果提出质疑的，为成交结果公告期限届满之日。</w:t>
      </w:r>
    </w:p>
    <w:p w14:paraId="195C83B8">
      <w:pPr>
        <w:pageBreakBefore w:val="0"/>
        <w:widowControl w:val="0"/>
        <w:kinsoku/>
        <w:wordWrap/>
        <w:overflowPunct/>
        <w:topLinePunct w:val="0"/>
        <w:autoSpaceDE/>
        <w:autoSpaceDN/>
        <w:bidi w:val="0"/>
        <w:adjustRightInd/>
        <w:snapToGrid/>
        <w:spacing w:line="440" w:lineRule="exact"/>
        <w:ind w:firstLine="480"/>
        <w:textAlignment w:val="auto"/>
        <w:rPr>
          <w:rFonts w:hint="eastAsia" w:hAnsi="宋体" w:cs="宋体"/>
          <w:color w:val="auto"/>
          <w:sz w:val="24"/>
          <w:szCs w:val="24"/>
          <w:highlight w:val="none"/>
        </w:rPr>
      </w:pPr>
      <w:r>
        <w:rPr>
          <w:rFonts w:hint="eastAsia" w:hAnsi="宋体" w:cs="宋体"/>
          <w:color w:val="auto"/>
          <w:sz w:val="24"/>
          <w:szCs w:val="24"/>
          <w:highlight w:val="none"/>
        </w:rPr>
        <w:t>供应商应当在法定质疑期内一次性提出针对同一采购程序环节的质疑。供应商如在法定期限内对同一采购程序环节提出多次质疑的，代理机构、</w:t>
      </w:r>
      <w:r>
        <w:rPr>
          <w:rFonts w:hAnsi="宋体" w:cs="宋体"/>
          <w:color w:val="auto"/>
          <w:sz w:val="24"/>
          <w:szCs w:val="24"/>
          <w:highlight w:val="none"/>
        </w:rPr>
        <w:t>采购人</w:t>
      </w:r>
      <w:r>
        <w:rPr>
          <w:rFonts w:hint="eastAsia" w:hAnsi="宋体" w:cs="宋体"/>
          <w:color w:val="auto"/>
          <w:sz w:val="24"/>
          <w:szCs w:val="24"/>
          <w:highlight w:val="none"/>
        </w:rPr>
        <w:t>将只对供应商第一次质疑作出答复。</w:t>
      </w:r>
    </w:p>
    <w:p w14:paraId="46F65E3C">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1F3426CB">
      <w:pPr>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b/>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.4 供应商（含</w:t>
      </w:r>
      <w:r>
        <w:rPr>
          <w:rFonts w:ascii="宋体" w:hAnsi="宋体"/>
          <w:color w:val="auto"/>
          <w:sz w:val="24"/>
          <w:szCs w:val="24"/>
          <w:highlight w:val="none"/>
        </w:rPr>
        <w:t>潜在供应商</w:t>
      </w:r>
      <w:r>
        <w:rPr>
          <w:rFonts w:hint="eastAsia" w:ascii="宋体" w:hAnsi="宋体"/>
          <w:color w:val="auto"/>
          <w:sz w:val="24"/>
          <w:szCs w:val="24"/>
          <w:highlight w:val="none"/>
        </w:rPr>
        <w:t>）对</w:t>
      </w:r>
      <w:r>
        <w:rPr>
          <w:rFonts w:ascii="宋体" w:hAnsi="宋体"/>
          <w:color w:val="auto"/>
          <w:sz w:val="24"/>
          <w:szCs w:val="24"/>
          <w:highlight w:val="none"/>
        </w:rPr>
        <w:t>采购方式、</w:t>
      </w:r>
      <w:r>
        <w:rPr>
          <w:rFonts w:hint="eastAsia" w:ascii="宋体" w:hAnsi="宋体"/>
          <w:color w:val="auto"/>
          <w:sz w:val="24"/>
          <w:szCs w:val="24"/>
          <w:highlight w:val="none"/>
        </w:rPr>
        <w:t>采购</w:t>
      </w:r>
      <w:r>
        <w:rPr>
          <w:rFonts w:ascii="宋体" w:hAnsi="宋体"/>
          <w:color w:val="auto"/>
          <w:sz w:val="24"/>
          <w:szCs w:val="24"/>
          <w:highlight w:val="none"/>
        </w:rPr>
        <w:t>需求、</w:t>
      </w:r>
      <w:r>
        <w:rPr>
          <w:rFonts w:hint="eastAsia" w:ascii="宋体" w:hAnsi="宋体"/>
          <w:color w:val="auto"/>
          <w:sz w:val="24"/>
          <w:szCs w:val="24"/>
          <w:highlight w:val="none"/>
        </w:rPr>
        <w:t>供应商</w:t>
      </w:r>
      <w:r>
        <w:rPr>
          <w:rFonts w:ascii="宋体" w:hAnsi="宋体"/>
          <w:color w:val="auto"/>
          <w:sz w:val="24"/>
          <w:szCs w:val="24"/>
          <w:highlight w:val="none"/>
        </w:rPr>
        <w:t>资格条件、</w:t>
      </w:r>
      <w:r>
        <w:rPr>
          <w:rFonts w:hint="eastAsia" w:ascii="宋体" w:hAnsi="宋体"/>
          <w:color w:val="auto"/>
          <w:sz w:val="24"/>
          <w:szCs w:val="24"/>
          <w:highlight w:val="none"/>
        </w:rPr>
        <w:t>评审方法与评审标准</w:t>
      </w:r>
      <w:r>
        <w:rPr>
          <w:rFonts w:ascii="宋体" w:hAnsi="宋体"/>
          <w:color w:val="auto"/>
          <w:sz w:val="24"/>
          <w:szCs w:val="24"/>
          <w:highlight w:val="none"/>
        </w:rPr>
        <w:t>、合同文本</w:t>
      </w:r>
      <w:r>
        <w:rPr>
          <w:rFonts w:hint="eastAsia" w:ascii="宋体" w:hAnsi="宋体"/>
          <w:color w:val="auto"/>
          <w:sz w:val="24"/>
          <w:szCs w:val="24"/>
          <w:highlight w:val="none"/>
        </w:rPr>
        <w:t>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ascii="宋体" w:hAnsi="宋体"/>
          <w:color w:val="auto"/>
          <w:sz w:val="24"/>
          <w:szCs w:val="24"/>
          <w:highlight w:val="none"/>
        </w:rPr>
        <w:t>请向采购人提出，由采购人负责答复。</w:t>
      </w:r>
      <w:r>
        <w:rPr>
          <w:rFonts w:hint="eastAsia" w:ascii="宋体" w:hAnsi="宋体"/>
          <w:color w:val="auto"/>
          <w:sz w:val="24"/>
          <w:szCs w:val="24"/>
          <w:highlight w:val="none"/>
        </w:rPr>
        <w:t>供应商对</w:t>
      </w:r>
      <w:r>
        <w:rPr>
          <w:rFonts w:ascii="宋体" w:hAnsi="宋体"/>
          <w:color w:val="auto"/>
          <w:sz w:val="24"/>
          <w:szCs w:val="24"/>
          <w:highlight w:val="none"/>
        </w:rPr>
        <w:t>其他事项</w:t>
      </w:r>
      <w:r>
        <w:rPr>
          <w:rFonts w:hint="eastAsia" w:ascii="宋体" w:hAnsi="宋体"/>
          <w:color w:val="auto"/>
          <w:sz w:val="24"/>
          <w:szCs w:val="24"/>
          <w:highlight w:val="none"/>
        </w:rPr>
        <w:t>的询问</w:t>
      </w:r>
      <w:r>
        <w:rPr>
          <w:rFonts w:ascii="宋体" w:hAnsi="宋体"/>
          <w:color w:val="auto"/>
          <w:sz w:val="24"/>
          <w:szCs w:val="24"/>
          <w:highlight w:val="none"/>
        </w:rPr>
        <w:t>、质疑请向代理机构提出，由代理机构</w:t>
      </w:r>
      <w:r>
        <w:rPr>
          <w:rFonts w:hint="eastAsia" w:ascii="宋体" w:hAnsi="宋体"/>
          <w:color w:val="auto"/>
          <w:sz w:val="24"/>
          <w:szCs w:val="24"/>
          <w:highlight w:val="none"/>
        </w:rPr>
        <w:t>负责</w:t>
      </w:r>
      <w:r>
        <w:rPr>
          <w:rFonts w:ascii="宋体" w:hAnsi="宋体"/>
          <w:color w:val="auto"/>
          <w:sz w:val="24"/>
          <w:szCs w:val="24"/>
          <w:highlight w:val="none"/>
        </w:rPr>
        <w:t>答复。</w:t>
      </w:r>
    </w:p>
    <w:p w14:paraId="1264BE5F">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采购人及代理机构只接收以纸质原件形式送达的质疑</w:t>
      </w:r>
      <w:r>
        <w:rPr>
          <w:rFonts w:hint="eastAsia" w:ascii="宋体" w:hAnsi="宋体"/>
          <w:color w:val="auto"/>
          <w:sz w:val="24"/>
          <w:szCs w:val="24"/>
          <w:highlight w:val="none"/>
          <w:lang w:eastAsia="zh-CN"/>
        </w:rPr>
        <w:t>，</w:t>
      </w:r>
      <w:r>
        <w:rPr>
          <w:rFonts w:hint="eastAsia" w:ascii="宋体" w:hAnsi="宋体"/>
          <w:color w:val="auto"/>
          <w:sz w:val="24"/>
          <w:szCs w:val="24"/>
          <w:highlight w:val="none"/>
        </w:rPr>
        <w:t>建议供应商尽量通过邮寄方式提交质疑（采购人和代理机构不接受未填写快递运单的快件）。</w:t>
      </w:r>
    </w:p>
    <w:p w14:paraId="2F8025AD">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采购人质疑接收人及联系方式见本磋商文件第一章。</w:t>
      </w:r>
    </w:p>
    <w:p w14:paraId="2778424E">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 以下情形的质疑不予受理</w:t>
      </w:r>
    </w:p>
    <w:p w14:paraId="63A5AA3E">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.5.1 内容不符合《政府采购质疑和投诉办法》第十二条规定的质疑。</w:t>
      </w:r>
    </w:p>
    <w:p w14:paraId="750C0ECA">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.5.2 超出政府采购法定期限的质疑。</w:t>
      </w:r>
    </w:p>
    <w:p w14:paraId="01638DF7">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.5.3 以传真、电子邮件等方式递交的非原件形式的质疑。</w:t>
      </w:r>
    </w:p>
    <w:p w14:paraId="2F498A95">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.5.4 未参加磋商活动的供应商或在磋商活动中自身权益未受到损害的供应商所提出的质疑。</w:t>
      </w:r>
    </w:p>
    <w:p w14:paraId="48326068">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.5.5供应商组成联合体参加磋商，联合体中任何一方或多方未按要求签字、盖章、加盖公章的质疑。</w:t>
      </w:r>
    </w:p>
    <w:p w14:paraId="57F7A09B">
      <w:pPr>
        <w:pageBreakBefore w:val="0"/>
        <w:widowControl w:val="0"/>
        <w:kinsoku/>
        <w:wordWrap/>
        <w:overflowPunct/>
        <w:topLinePunct w:val="0"/>
        <w:autoSpaceDE/>
        <w:autoSpaceDN/>
        <w:bidi w:val="0"/>
        <w:adjustRightInd/>
        <w:snapToGrid/>
        <w:spacing w:line="440" w:lineRule="exact"/>
        <w:ind w:firstLine="468"/>
        <w:textAlignment w:val="auto"/>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E8E5DE3">
      <w:pPr>
        <w:keepNext/>
        <w:keepLines/>
        <w:pageBreakBefore w:val="0"/>
        <w:widowControl w:val="0"/>
        <w:kinsoku/>
        <w:wordWrap/>
        <w:overflowPunct/>
        <w:topLinePunct w:val="0"/>
        <w:autoSpaceDE/>
        <w:autoSpaceDN/>
        <w:bidi w:val="0"/>
        <w:adjustRightInd/>
        <w:snapToGrid/>
        <w:spacing w:line="440" w:lineRule="exact"/>
        <w:ind w:firstLine="600"/>
        <w:textAlignment w:val="auto"/>
        <w:outlineLvl w:val="3"/>
        <w:rPr>
          <w:rFonts w:hint="eastAsia" w:ascii="黑体" w:hAnsi="宋体" w:eastAsia="黑体"/>
          <w:bCs/>
          <w:color w:val="auto"/>
          <w:sz w:val="30"/>
          <w:szCs w:val="30"/>
          <w:highlight w:val="none"/>
        </w:rPr>
      </w:pPr>
      <w:r>
        <w:rPr>
          <w:rFonts w:hint="eastAsia" w:ascii="黑体" w:hAnsi="宋体" w:eastAsia="黑体"/>
          <w:bCs/>
          <w:color w:val="auto"/>
          <w:sz w:val="30"/>
          <w:szCs w:val="30"/>
          <w:highlight w:val="none"/>
          <w:lang w:eastAsia="zh-CN"/>
        </w:rPr>
        <w:t>30.</w:t>
      </w:r>
      <w:r>
        <w:rPr>
          <w:rFonts w:hint="eastAsia" w:ascii="黑体" w:hAnsi="宋体" w:eastAsia="黑体"/>
          <w:bCs/>
          <w:color w:val="auto"/>
          <w:sz w:val="30"/>
          <w:szCs w:val="30"/>
          <w:highlight w:val="none"/>
        </w:rPr>
        <w:t>成交通知书</w:t>
      </w:r>
    </w:p>
    <w:p w14:paraId="4A4FBCA5">
      <w:pPr>
        <w:pageBreakBefore w:val="0"/>
        <w:widowControl w:val="0"/>
        <w:kinsoku/>
        <w:wordWrap/>
        <w:overflowPunct/>
        <w:topLinePunct w:val="0"/>
        <w:autoSpaceDE/>
        <w:autoSpaceDN/>
        <w:bidi w:val="0"/>
        <w:adjustRightInd/>
        <w:snapToGrid/>
        <w:spacing w:line="440" w:lineRule="exact"/>
        <w:ind w:firstLine="600"/>
        <w:textAlignment w:val="auto"/>
        <w:rPr>
          <w:rFonts w:hint="eastAsia"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0</w:t>
      </w:r>
      <w:r>
        <w:rPr>
          <w:rFonts w:ascii="宋体" w:hAnsi="宋体"/>
          <w:color w:val="auto"/>
          <w:sz w:val="24"/>
          <w:szCs w:val="24"/>
          <w:highlight w:val="none"/>
        </w:rPr>
        <w:t>.1</w:t>
      </w:r>
      <w:r>
        <w:rPr>
          <w:rFonts w:hint="eastAsia" w:ascii="宋体" w:hAnsi="宋体"/>
          <w:color w:val="auto"/>
          <w:sz w:val="24"/>
          <w:szCs w:val="24"/>
          <w:highlight w:val="none"/>
        </w:rPr>
        <w:t>成交结果确定后，代理机构将向成交供应商发出成交通知书。</w:t>
      </w:r>
      <w:r>
        <w:rPr>
          <w:rFonts w:hint="eastAsia" w:ascii="宋体" w:hAnsi="宋体" w:cs="宋体"/>
          <w:color w:val="auto"/>
          <w:sz w:val="24"/>
          <w:szCs w:val="24"/>
          <w:highlight w:val="none"/>
        </w:rPr>
        <w:t>请成交供应商在成交结果公告届满之日起30日内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因未及时下载而造成的不利后果由成交供应商自行承担。</w:t>
      </w:r>
    </w:p>
    <w:p w14:paraId="6C02E88C">
      <w:pPr>
        <w:pageBreakBefore w:val="0"/>
        <w:widowControl w:val="0"/>
        <w:kinsoku/>
        <w:wordWrap/>
        <w:overflowPunct/>
        <w:topLinePunct w:val="0"/>
        <w:autoSpaceDE/>
        <w:autoSpaceDN/>
        <w:bidi w:val="0"/>
        <w:adjustRightInd/>
        <w:snapToGrid/>
        <w:spacing w:line="440" w:lineRule="exact"/>
        <w:ind w:firstLine="6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0</w:t>
      </w:r>
      <w:r>
        <w:rPr>
          <w:rFonts w:hint="eastAsia" w:ascii="宋体" w:hAnsi="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77F4711D">
      <w:pPr>
        <w:keepNext/>
        <w:keepLines/>
        <w:pageBreakBefore w:val="0"/>
        <w:widowControl w:val="0"/>
        <w:kinsoku/>
        <w:wordWrap/>
        <w:overflowPunct/>
        <w:topLinePunct w:val="0"/>
        <w:autoSpaceDE/>
        <w:autoSpaceDN/>
        <w:bidi w:val="0"/>
        <w:adjustRightInd/>
        <w:snapToGrid/>
        <w:spacing w:line="440" w:lineRule="exact"/>
        <w:textAlignment w:val="auto"/>
        <w:outlineLvl w:val="2"/>
        <w:rPr>
          <w:rFonts w:hint="eastAsia"/>
          <w:b/>
          <w:bCs/>
          <w:color w:val="auto"/>
          <w:sz w:val="32"/>
          <w:szCs w:val="32"/>
          <w:highlight w:val="none"/>
        </w:rPr>
      </w:pPr>
      <w:bookmarkStart w:id="134" w:name="_Toc120614220"/>
      <w:bookmarkStart w:id="135" w:name="_Toc16938552"/>
      <w:bookmarkStart w:id="136" w:name="_Toc20823308"/>
      <w:bookmarkStart w:id="137" w:name="_Toc513029236"/>
      <w:r>
        <w:rPr>
          <w:rFonts w:hint="eastAsia"/>
          <w:b/>
          <w:bCs/>
          <w:color w:val="auto"/>
          <w:sz w:val="32"/>
          <w:szCs w:val="32"/>
          <w:highlight w:val="none"/>
        </w:rPr>
        <w:t>七、授予合同</w:t>
      </w:r>
      <w:bookmarkEnd w:id="134"/>
    </w:p>
    <w:bookmarkEnd w:id="135"/>
    <w:bookmarkEnd w:id="136"/>
    <w:bookmarkEnd w:id="137"/>
    <w:p w14:paraId="13D1E8C1">
      <w:pPr>
        <w:keepNext/>
        <w:keepLines/>
        <w:pageBreakBefore w:val="0"/>
        <w:widowControl w:val="0"/>
        <w:kinsoku/>
        <w:wordWrap/>
        <w:overflowPunct/>
        <w:topLinePunct w:val="0"/>
        <w:autoSpaceDE/>
        <w:autoSpaceDN/>
        <w:bidi w:val="0"/>
        <w:adjustRightInd/>
        <w:snapToGrid/>
        <w:spacing w:line="440" w:lineRule="exact"/>
        <w:ind w:firstLine="600"/>
        <w:textAlignment w:val="auto"/>
        <w:outlineLvl w:val="3"/>
        <w:rPr>
          <w:rFonts w:hint="eastAsia" w:ascii="黑体" w:hAnsi="宋体" w:eastAsia="黑体"/>
          <w:bCs/>
          <w:color w:val="auto"/>
          <w:sz w:val="30"/>
          <w:szCs w:val="30"/>
          <w:highlight w:val="none"/>
        </w:rPr>
      </w:pPr>
      <w:bookmarkStart w:id="138" w:name="_Toc16938553"/>
      <w:bookmarkStart w:id="139" w:name="_Toc513029237"/>
      <w:bookmarkStart w:id="140" w:name="_Toc20823309"/>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1</w:t>
      </w:r>
      <w:r>
        <w:rPr>
          <w:rFonts w:hint="eastAsia" w:ascii="黑体" w:hAnsi="宋体" w:eastAsia="黑体"/>
          <w:bCs/>
          <w:color w:val="auto"/>
          <w:sz w:val="30"/>
          <w:szCs w:val="30"/>
          <w:highlight w:val="none"/>
        </w:rPr>
        <w:t>. 签订合同</w:t>
      </w:r>
    </w:p>
    <w:p w14:paraId="05884087">
      <w:pPr>
        <w:pageBreakBefore w:val="0"/>
        <w:widowControl w:val="0"/>
        <w:kinsoku/>
        <w:wordWrap/>
        <w:overflowPunct/>
        <w:topLinePunct w:val="0"/>
        <w:autoSpaceDE/>
        <w:autoSpaceDN/>
        <w:bidi w:val="0"/>
        <w:adjustRightInd/>
        <w:snapToGrid/>
        <w:spacing w:line="440" w:lineRule="exact"/>
        <w:ind w:firstLine="600"/>
        <w:textAlignment w:val="auto"/>
        <w:rPr>
          <w:rFonts w:hint="eastAsia" w:ascii="宋体" w:hAnsi="宋体"/>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w:t>
      </w:r>
      <w:r>
        <w:rPr>
          <w:rFonts w:hint="eastAsia" w:ascii="宋体" w:hAnsi="宋体"/>
          <w:color w:val="auto"/>
          <w:sz w:val="24"/>
          <w:szCs w:val="24"/>
          <w:highlight w:val="none"/>
        </w:rPr>
        <w:t>.l成交供应商应当在成交通知书发出之日起</w:t>
      </w:r>
      <w:r>
        <w:rPr>
          <w:rFonts w:hint="eastAsia" w:ascii="宋体" w:hAnsi="宋体"/>
          <w:color w:val="auto"/>
          <w:sz w:val="24"/>
          <w:szCs w:val="24"/>
          <w:highlight w:val="none"/>
          <w:lang w:val="en-US" w:eastAsia="zh-CN"/>
        </w:rPr>
        <w:t>三十</w:t>
      </w:r>
      <w:r>
        <w:rPr>
          <w:rFonts w:hint="eastAsia" w:ascii="宋体" w:hAnsi="宋体"/>
          <w:color w:val="auto"/>
          <w:sz w:val="24"/>
          <w:szCs w:val="24"/>
          <w:highlight w:val="none"/>
        </w:rPr>
        <w:t>日内，按照磋商文件确定的事项与采购人签订政府采购合同。</w:t>
      </w:r>
    </w:p>
    <w:p w14:paraId="1535BCB8">
      <w:pPr>
        <w:pageBreakBefore w:val="0"/>
        <w:widowControl w:val="0"/>
        <w:kinsoku/>
        <w:wordWrap/>
        <w:overflowPunct/>
        <w:topLinePunct w:val="0"/>
        <w:autoSpaceDE/>
        <w:autoSpaceDN/>
        <w:bidi w:val="0"/>
        <w:adjustRightInd/>
        <w:snapToGrid/>
        <w:spacing w:line="440" w:lineRule="exact"/>
        <w:ind w:firstLine="6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.2磋商文件、成交供应商的响应文件及磋商过程中有关澄清、承诺文件均应作为合同附件。</w:t>
      </w:r>
    </w:p>
    <w:p w14:paraId="6F524057">
      <w:pPr>
        <w:pageBreakBefore w:val="0"/>
        <w:widowControl w:val="0"/>
        <w:kinsoku/>
        <w:wordWrap/>
        <w:overflowPunct/>
        <w:topLinePunct w:val="0"/>
        <w:autoSpaceDE/>
        <w:autoSpaceDN/>
        <w:bidi w:val="0"/>
        <w:adjustRightInd/>
        <w:snapToGrid/>
        <w:spacing w:line="440" w:lineRule="exact"/>
        <w:ind w:firstLine="6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.3 签订合同后，</w:t>
      </w:r>
      <w:r>
        <w:rPr>
          <w:rFonts w:hint="eastAsia" w:ascii="宋体" w:hAnsi="宋体"/>
          <w:i/>
          <w:color w:val="auto"/>
          <w:sz w:val="24"/>
          <w:szCs w:val="24"/>
          <w:highlight w:val="none"/>
          <w:u w:val="single"/>
        </w:rPr>
        <w:t>成交供应商不得将合同标的进行转包</w:t>
      </w:r>
      <w:r>
        <w:rPr>
          <w:rFonts w:hint="eastAsia" w:ascii="宋体" w:hAnsi="宋体"/>
          <w:color w:val="auto"/>
          <w:sz w:val="24"/>
          <w:szCs w:val="24"/>
          <w:highlight w:val="none"/>
        </w:rPr>
        <w:t>。未经采购人同意，成交供应商也不得采用分包形式履行合同</w:t>
      </w:r>
      <w:r>
        <w:rPr>
          <w:rFonts w:hint="eastAsia" w:ascii="宋体" w:hAnsi="宋体"/>
          <w:color w:val="auto"/>
          <w:sz w:val="24"/>
          <w:szCs w:val="24"/>
          <w:highlight w:val="none"/>
          <w:lang w:eastAsia="zh-CN"/>
        </w:rPr>
        <w:t>，</w:t>
      </w:r>
      <w:r>
        <w:rPr>
          <w:rFonts w:hint="eastAsia" w:ascii="宋体" w:hAnsi="宋体"/>
          <w:color w:val="auto"/>
          <w:sz w:val="24"/>
          <w:szCs w:val="24"/>
          <w:highlight w:val="none"/>
        </w:rPr>
        <w:t>否则采购人有权终止合同。转包或分包造成采购人损失的，成交供应商应承担相应赔偿责任。</w:t>
      </w:r>
    </w:p>
    <w:bookmarkEnd w:id="138"/>
    <w:bookmarkEnd w:id="139"/>
    <w:bookmarkEnd w:id="140"/>
    <w:p w14:paraId="72A68119">
      <w:pPr>
        <w:keepNext/>
        <w:keepLines/>
        <w:pageBreakBefore w:val="0"/>
        <w:widowControl w:val="0"/>
        <w:kinsoku/>
        <w:wordWrap/>
        <w:overflowPunct/>
        <w:topLinePunct w:val="0"/>
        <w:autoSpaceDE/>
        <w:autoSpaceDN/>
        <w:bidi w:val="0"/>
        <w:adjustRightInd/>
        <w:snapToGrid/>
        <w:spacing w:line="440" w:lineRule="exact"/>
        <w:ind w:firstLine="600"/>
        <w:textAlignment w:val="auto"/>
        <w:outlineLvl w:val="3"/>
        <w:rPr>
          <w:rFonts w:ascii="黑体" w:hAnsi="宋体" w:eastAsia="黑体"/>
          <w:bCs/>
          <w:color w:val="auto"/>
          <w:sz w:val="30"/>
          <w:szCs w:val="30"/>
          <w:highlight w:val="none"/>
        </w:rPr>
      </w:pPr>
      <w:r>
        <w:rPr>
          <w:rFonts w:hint="eastAsia" w:ascii="黑体" w:hAnsi="宋体" w:eastAsia="黑体"/>
          <w:bCs/>
          <w:color w:val="auto"/>
          <w:sz w:val="30"/>
          <w:szCs w:val="30"/>
          <w:highlight w:val="none"/>
          <w:lang w:eastAsia="zh-CN"/>
        </w:rPr>
        <w:t>32.</w:t>
      </w:r>
      <w:r>
        <w:rPr>
          <w:rFonts w:hint="eastAsia" w:ascii="黑体" w:hAnsi="宋体" w:eastAsia="黑体"/>
          <w:bCs/>
          <w:color w:val="auto"/>
          <w:sz w:val="30"/>
          <w:szCs w:val="30"/>
          <w:highlight w:val="none"/>
        </w:rPr>
        <w:t>政府采购履约资金扶持政策</w:t>
      </w:r>
    </w:p>
    <w:p w14:paraId="63A21C69">
      <w:pPr>
        <w:pageBreakBefore w:val="0"/>
        <w:widowControl w:val="0"/>
        <w:kinsoku/>
        <w:wordWrap/>
        <w:overflowPunct/>
        <w:topLinePunct w:val="0"/>
        <w:autoSpaceDE/>
        <w:autoSpaceDN/>
        <w:bidi w:val="0"/>
        <w:adjustRightInd/>
        <w:snapToGrid/>
        <w:spacing w:line="440" w:lineRule="exact"/>
        <w:ind w:firstLine="555"/>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成交供应商可凭政府采购合同办理融资贷款，详情请见江苏政府采购网“政采贷”专栏。</w:t>
      </w:r>
    </w:p>
    <w:p w14:paraId="3948CD3C">
      <w:pPr>
        <w:pageBreakBefore w:val="0"/>
        <w:widowControl w:val="0"/>
        <w:kinsoku/>
        <w:wordWrap/>
        <w:overflowPunct/>
        <w:topLinePunct w:val="0"/>
        <w:autoSpaceDE/>
        <w:autoSpaceDN/>
        <w:bidi w:val="0"/>
        <w:adjustRightInd/>
        <w:snapToGrid/>
        <w:spacing w:line="440" w:lineRule="exact"/>
        <w:textAlignment w:val="auto"/>
        <w:rPr>
          <w:rFonts w:asciiTheme="minorEastAsia" w:hAnsiTheme="minorEastAsia" w:eastAsiaTheme="minorEastAsia" w:cstheme="minorEastAsia"/>
          <w:color w:val="auto"/>
          <w:sz w:val="24"/>
          <w:szCs w:val="24"/>
          <w:highlight w:val="none"/>
        </w:rPr>
      </w:pPr>
    </w:p>
    <w:p w14:paraId="51185B53">
      <w:pPr>
        <w:pStyle w:val="245"/>
        <w:spacing w:line="360" w:lineRule="auto"/>
        <w:jc w:val="center"/>
        <w:rPr>
          <w:rFonts w:hint="eastAsia" w:ascii="宋体" w:hAnsi="宋体"/>
          <w:color w:val="auto"/>
          <w:highlight w:val="none"/>
        </w:rPr>
      </w:pPr>
      <w:r>
        <w:rPr>
          <w:rFonts w:hint="eastAsia" w:ascii="宋体" w:hAnsi="宋体"/>
          <w:color w:val="auto"/>
          <w:highlight w:val="none"/>
        </w:rPr>
        <w:t>第三章 合同条款及格式</w:t>
      </w:r>
    </w:p>
    <w:p w14:paraId="47A15A72">
      <w:pPr>
        <w:pStyle w:val="246"/>
        <w:spacing w:before="120" w:after="120" w:line="360" w:lineRule="auto"/>
        <w:ind w:firstLine="420"/>
        <w:rPr>
          <w:rFonts w:hint="eastAsia" w:hAnsi="宋体"/>
          <w:color w:val="auto"/>
          <w:sz w:val="21"/>
          <w:szCs w:val="21"/>
          <w:highlight w:val="none"/>
        </w:rPr>
      </w:pPr>
      <w:r>
        <w:rPr>
          <w:rFonts w:hint="eastAsia" w:hAnsi="宋体"/>
          <w:color w:val="auto"/>
          <w:sz w:val="21"/>
          <w:szCs w:val="21"/>
          <w:highlight w:val="none"/>
        </w:rPr>
        <w:t>以下为成交后</w:t>
      </w:r>
      <w:r>
        <w:rPr>
          <w:rFonts w:hint="eastAsia" w:hAnsi="宋体"/>
          <w:color w:val="auto"/>
          <w:sz w:val="21"/>
          <w:szCs w:val="21"/>
          <w:highlight w:val="none"/>
          <w:lang w:eastAsia="zh-CN"/>
        </w:rPr>
        <w:t>签订</w:t>
      </w:r>
      <w:r>
        <w:rPr>
          <w:rFonts w:hint="eastAsia" w:hAnsi="宋体"/>
          <w:color w:val="auto"/>
          <w:sz w:val="21"/>
          <w:szCs w:val="21"/>
          <w:highlight w:val="none"/>
        </w:rPr>
        <w:t>本项目合同的通用条款，成交供应商不得提出实质性的修改。</w:t>
      </w:r>
    </w:p>
    <w:p w14:paraId="254CD4BE">
      <w:pPr>
        <w:spacing w:before="156" w:after="156"/>
        <w:jc w:val="center"/>
        <w:outlineLvl w:val="0"/>
        <w:rPr>
          <w:rFonts w:ascii="宋体" w:hAnsi="宋体"/>
          <w:b/>
          <w:bCs/>
          <w:color w:val="auto"/>
          <w:sz w:val="30"/>
          <w:szCs w:val="20"/>
          <w:highlight w:val="none"/>
        </w:rPr>
      </w:pPr>
      <w:r>
        <w:rPr>
          <w:rFonts w:hint="eastAsia" w:ascii="宋体" w:hAnsi="宋体"/>
          <w:b/>
          <w:color w:val="auto"/>
          <w:sz w:val="30"/>
          <w:szCs w:val="21"/>
          <w:highlight w:val="none"/>
        </w:rPr>
        <w:t>政府采购合同（合同编号）</w:t>
      </w:r>
    </w:p>
    <w:p w14:paraId="3DECA981">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016A262E">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ascii="宋体" w:hAnsi="宋体" w:cs="Courier New"/>
          <w:color w:val="auto"/>
          <w:sz w:val="24"/>
          <w:szCs w:val="24"/>
          <w:highlight w:val="none"/>
        </w:rPr>
        <w:t>甲方：（买方）_________</w:t>
      </w:r>
    </w:p>
    <w:p w14:paraId="070AD753">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乙方：（卖方）_________</w:t>
      </w:r>
    </w:p>
    <w:p w14:paraId="435EDAAE">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项目</w:t>
      </w:r>
      <w:r>
        <w:rPr>
          <w:rFonts w:hint="eastAsia" w:ascii="宋体" w:hAnsi="宋体" w:cs="Courier New"/>
          <w:color w:val="auto"/>
          <w:sz w:val="24"/>
          <w:szCs w:val="24"/>
          <w:highlight w:val="none"/>
        </w:rPr>
        <w:t>竞争性磋商</w:t>
      </w:r>
      <w:r>
        <w:rPr>
          <w:rFonts w:ascii="宋体" w:hAnsi="宋体" w:cs="Courier New"/>
          <w:color w:val="auto"/>
          <w:sz w:val="24"/>
          <w:szCs w:val="24"/>
          <w:highlight w:val="none"/>
        </w:rPr>
        <w:t>的结果，签署本合同。</w:t>
      </w:r>
    </w:p>
    <w:p w14:paraId="217E334D">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一、</w:t>
      </w:r>
      <w:r>
        <w:rPr>
          <w:rFonts w:hint="eastAsia" w:ascii="宋体" w:hAnsi="宋体" w:cs="Courier New"/>
          <w:b/>
          <w:color w:val="auto"/>
          <w:sz w:val="24"/>
          <w:szCs w:val="24"/>
          <w:highlight w:val="none"/>
        </w:rPr>
        <w:t>合同</w:t>
      </w:r>
      <w:r>
        <w:rPr>
          <w:rFonts w:ascii="宋体" w:hAnsi="宋体" w:cs="Courier New"/>
          <w:b/>
          <w:color w:val="auto"/>
          <w:sz w:val="24"/>
          <w:szCs w:val="24"/>
          <w:highlight w:val="none"/>
        </w:rPr>
        <w:t>内容</w:t>
      </w:r>
    </w:p>
    <w:p w14:paraId="4AEAF490">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0992BAC0">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 </w:t>
      </w:r>
      <w:r>
        <w:rPr>
          <w:rFonts w:hint="eastAsia" w:ascii="宋体" w:hAnsi="宋体" w:cs="Courier New"/>
          <w:color w:val="auto"/>
          <w:sz w:val="24"/>
          <w:szCs w:val="24"/>
          <w:highlight w:val="none"/>
        </w:rPr>
        <w:t>标的质量：</w:t>
      </w:r>
    </w:p>
    <w:p w14:paraId="432A0864">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1.3 标的数量（规模）：</w:t>
      </w:r>
    </w:p>
    <w:p w14:paraId="7DEF20C6">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1.4 履行时间（期限）：</w:t>
      </w:r>
    </w:p>
    <w:p w14:paraId="24EEBA29">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hint="eastAsia" w:ascii="宋体" w:hAnsi="宋体" w:cs="Courier New"/>
          <w:color w:val="auto"/>
          <w:sz w:val="24"/>
          <w:szCs w:val="24"/>
          <w:highlight w:val="none"/>
        </w:rPr>
        <w:t>1.5 履行地点：</w:t>
      </w:r>
    </w:p>
    <w:p w14:paraId="43D8A9FD">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 xml:space="preserve"> </w:t>
      </w:r>
      <w:r>
        <w:rPr>
          <w:rFonts w:hint="eastAsia" w:ascii="宋体" w:hAnsi="宋体" w:cs="Courier New"/>
          <w:color w:val="auto"/>
          <w:sz w:val="24"/>
          <w:szCs w:val="24"/>
          <w:highlight w:val="none"/>
        </w:rPr>
        <w:t>履行方式：</w:t>
      </w:r>
    </w:p>
    <w:p w14:paraId="7573402B">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二、合同金额</w:t>
      </w:r>
    </w:p>
    <w:p w14:paraId="04FAAB60">
      <w:pPr>
        <w:keepNext w:val="0"/>
        <w:keepLines w:val="0"/>
        <w:pageBreakBefore w:val="0"/>
        <w:widowControl w:val="0"/>
        <w:kinsoku/>
        <w:wordWrap/>
        <w:overflowPunct/>
        <w:topLinePunct w:val="0"/>
        <w:autoSpaceDE/>
        <w:autoSpaceDN/>
        <w:bidi w:val="0"/>
        <w:adjustRightInd/>
        <w:snapToGrid/>
        <w:spacing w:before="120" w:after="120" w:line="500" w:lineRule="exact"/>
        <w:ind w:left="410" w:hanging="410"/>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2.1 本合同金额为（大写）：__________</w:t>
      </w:r>
      <w:r>
        <w:rPr>
          <w:rFonts w:hint="eastAsia" w:ascii="宋体" w:hAnsi="宋体" w:cs="Courier New"/>
          <w:color w:val="auto"/>
          <w:sz w:val="24"/>
          <w:szCs w:val="24"/>
          <w:highlight w:val="none"/>
        </w:rPr>
        <w:t>圆</w:t>
      </w:r>
      <w:r>
        <w:rPr>
          <w:rFonts w:ascii="宋体" w:hAnsi="宋体" w:cs="Courier New"/>
          <w:color w:val="auto"/>
          <w:sz w:val="24"/>
          <w:szCs w:val="24"/>
          <w:highlight w:val="none"/>
        </w:rPr>
        <w:t>（_________元）人民币。</w:t>
      </w:r>
    </w:p>
    <w:p w14:paraId="302480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hint="eastAsia" w:ascii="宋体" w:hAnsi="宋体" w:cs="Courier New"/>
          <w:color w:val="auto"/>
          <w:sz w:val="24"/>
          <w:szCs w:val="24"/>
          <w:highlight w:val="none"/>
        </w:rPr>
        <w:t>2.2 本合同金额包含项目需求中所提及的为完成本项目所涉及的一切相关费用，甲方不再支付其他任何费用。</w:t>
      </w:r>
    </w:p>
    <w:p w14:paraId="6C96E294">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三、技术资料</w:t>
      </w:r>
    </w:p>
    <w:p w14:paraId="40AC168E">
      <w:pPr>
        <w:keepNext w:val="0"/>
        <w:keepLines w:val="0"/>
        <w:pageBreakBefore w:val="0"/>
        <w:widowControl w:val="0"/>
        <w:kinsoku/>
        <w:wordWrap/>
        <w:overflowPunct/>
        <w:topLinePunct w:val="0"/>
        <w:autoSpaceDE/>
        <w:autoSpaceDN/>
        <w:bidi w:val="0"/>
        <w:adjustRightInd/>
        <w:snapToGrid/>
        <w:spacing w:before="120" w:after="120" w:line="500" w:lineRule="exact"/>
        <w:ind w:left="410" w:hanging="410"/>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3.1乙方应按</w:t>
      </w:r>
      <w:r>
        <w:rPr>
          <w:rFonts w:hint="eastAsia" w:ascii="宋体" w:hAnsi="宋体" w:cs="Courier New"/>
          <w:color w:val="auto"/>
          <w:sz w:val="24"/>
          <w:szCs w:val="24"/>
          <w:highlight w:val="none"/>
        </w:rPr>
        <w:t>磋商</w:t>
      </w:r>
      <w:r>
        <w:rPr>
          <w:rFonts w:ascii="宋体" w:hAnsi="宋体" w:cs="Courier New"/>
          <w:color w:val="auto"/>
          <w:sz w:val="24"/>
          <w:szCs w:val="24"/>
          <w:highlight w:val="none"/>
        </w:rPr>
        <w:t>文件规定的时间向甲方提供</w:t>
      </w:r>
      <w:r>
        <w:rPr>
          <w:rFonts w:hint="eastAsia" w:ascii="宋体" w:hAnsi="宋体" w:cs="Courier New"/>
          <w:color w:val="auto"/>
          <w:sz w:val="24"/>
          <w:szCs w:val="24"/>
          <w:highlight w:val="none"/>
        </w:rPr>
        <w:t>与合同标的</w:t>
      </w:r>
      <w:r>
        <w:rPr>
          <w:rFonts w:ascii="宋体" w:hAnsi="宋体" w:cs="Courier New"/>
          <w:color w:val="auto"/>
          <w:sz w:val="24"/>
          <w:szCs w:val="24"/>
          <w:highlight w:val="none"/>
        </w:rPr>
        <w:t>有关的技术资料。</w:t>
      </w:r>
    </w:p>
    <w:p w14:paraId="08EB7573">
      <w:pPr>
        <w:keepNext w:val="0"/>
        <w:keepLines w:val="0"/>
        <w:pageBreakBefore w:val="0"/>
        <w:widowControl w:val="0"/>
        <w:kinsoku/>
        <w:wordWrap/>
        <w:overflowPunct/>
        <w:topLinePunct w:val="0"/>
        <w:autoSpaceDE/>
        <w:autoSpaceDN/>
        <w:bidi w:val="0"/>
        <w:adjustRightInd/>
        <w:snapToGrid/>
        <w:spacing w:before="120" w:after="120" w:line="500" w:lineRule="exact"/>
        <w:ind w:left="410" w:hanging="410"/>
        <w:textAlignment w:val="auto"/>
        <w:rPr>
          <w:rFonts w:ascii="宋体" w:hAnsi="宋体" w:cs="Courier New"/>
          <w:color w:val="auto"/>
          <w:sz w:val="24"/>
          <w:szCs w:val="24"/>
          <w:highlight w:val="none"/>
        </w:rPr>
      </w:pPr>
      <w:r>
        <w:rPr>
          <w:rFonts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F532041">
      <w:pPr>
        <w:keepNext w:val="0"/>
        <w:keepLines w:val="0"/>
        <w:pageBreakBefore w:val="0"/>
        <w:widowControl w:val="0"/>
        <w:kinsoku/>
        <w:wordWrap/>
        <w:overflowPunct/>
        <w:topLinePunct w:val="0"/>
        <w:autoSpaceDE/>
        <w:autoSpaceDN/>
        <w:bidi w:val="0"/>
        <w:adjustRightInd/>
        <w:snapToGrid/>
        <w:spacing w:before="120" w:after="120" w:line="500" w:lineRule="exact"/>
        <w:ind w:left="412" w:hanging="412"/>
        <w:textAlignment w:val="auto"/>
        <w:rPr>
          <w:rFonts w:ascii="宋体" w:hAnsi="宋体" w:cs="Courier New"/>
          <w:b/>
          <w:color w:val="auto"/>
          <w:sz w:val="24"/>
          <w:szCs w:val="24"/>
          <w:highlight w:val="none"/>
        </w:rPr>
      </w:pPr>
      <w:r>
        <w:rPr>
          <w:rFonts w:ascii="宋体" w:hAnsi="宋体" w:cs="Courier New"/>
          <w:b/>
          <w:color w:val="auto"/>
          <w:sz w:val="24"/>
          <w:szCs w:val="24"/>
          <w:highlight w:val="none"/>
        </w:rPr>
        <w:t>四、知识产权</w:t>
      </w:r>
    </w:p>
    <w:p w14:paraId="03A68F50">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4.1乙</w:t>
      </w:r>
      <w:r>
        <w:rPr>
          <w:rFonts w:hint="eastAsia" w:ascii="宋体" w:hAnsi="宋体" w:cs="Courier New"/>
          <w:color w:val="auto"/>
          <w:sz w:val="24"/>
          <w:szCs w:val="24"/>
          <w:highlight w:val="none"/>
        </w:rPr>
        <w:t>方应保证甲方在使用、接受本合同标的或其任何一部分时不受第三方提出侵犯其专利权、版权、商标权和工业设计权等知识产权的起诉。一旦出现侵权，由乙方负全部责任。</w:t>
      </w:r>
    </w:p>
    <w:p w14:paraId="3AEA0493">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u w:val="single"/>
        </w:rPr>
      </w:pPr>
      <w:r>
        <w:rPr>
          <w:rFonts w:ascii="宋体" w:hAnsi="宋体" w:cs="Courier New"/>
          <w:b/>
          <w:color w:val="auto"/>
          <w:sz w:val="24"/>
          <w:szCs w:val="24"/>
          <w:highlight w:val="none"/>
        </w:rPr>
        <w:t>五、产权担保</w:t>
      </w:r>
    </w:p>
    <w:p w14:paraId="13635AA8">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ascii="宋体" w:hAnsi="宋体" w:cs="Courier New"/>
          <w:color w:val="auto"/>
          <w:sz w:val="24"/>
          <w:szCs w:val="24"/>
          <w:highlight w:val="none"/>
          <w:u w:val="single"/>
        </w:rPr>
      </w:pPr>
      <w:r>
        <w:rPr>
          <w:rFonts w:ascii="宋体" w:hAnsi="宋体" w:cs="Courier New"/>
          <w:color w:val="auto"/>
          <w:sz w:val="24"/>
          <w:szCs w:val="24"/>
          <w:highlight w:val="none"/>
        </w:rPr>
        <w:t>5.1 乙方保证所交付的</w:t>
      </w:r>
      <w:r>
        <w:rPr>
          <w:rFonts w:hint="eastAsia" w:ascii="宋体" w:hAnsi="宋体" w:cs="Courier New"/>
          <w:color w:val="auto"/>
          <w:sz w:val="24"/>
          <w:szCs w:val="24"/>
          <w:highlight w:val="none"/>
        </w:rPr>
        <w:t>合同标的</w:t>
      </w:r>
      <w:r>
        <w:rPr>
          <w:rFonts w:ascii="宋体" w:hAnsi="宋体" w:cs="Courier New"/>
          <w:color w:val="auto"/>
          <w:sz w:val="24"/>
          <w:szCs w:val="24"/>
          <w:highlight w:val="none"/>
        </w:rPr>
        <w:t>的所有权完全属于乙方且无任何抵押、查封等产权瑕疵。</w:t>
      </w:r>
    </w:p>
    <w:p w14:paraId="2FEB5E21">
      <w:pPr>
        <w:keepNext w:val="0"/>
        <w:keepLines w:val="0"/>
        <w:pageBreakBefore w:val="0"/>
        <w:widowControl w:val="0"/>
        <w:kinsoku/>
        <w:wordWrap/>
        <w:overflowPunct/>
        <w:topLinePunct w:val="0"/>
        <w:autoSpaceDE/>
        <w:autoSpaceDN/>
        <w:bidi w:val="0"/>
        <w:adjustRightInd/>
        <w:snapToGrid/>
        <w:spacing w:before="120" w:after="120" w:line="500" w:lineRule="exact"/>
        <w:ind w:left="410" w:hanging="410"/>
        <w:textAlignment w:val="auto"/>
        <w:rPr>
          <w:rFonts w:ascii="宋体" w:hAnsi="宋体" w:cs="Courier New"/>
          <w:b/>
          <w:color w:val="auto"/>
          <w:sz w:val="24"/>
          <w:szCs w:val="24"/>
          <w:highlight w:val="none"/>
        </w:rPr>
      </w:pPr>
      <w:r>
        <w:rPr>
          <w:rFonts w:ascii="宋体" w:hAnsi="宋体" w:cs="Courier New"/>
          <w:b/>
          <w:color w:val="auto"/>
          <w:sz w:val="24"/>
          <w:szCs w:val="24"/>
          <w:highlight w:val="none"/>
        </w:rPr>
        <w:t>六、履约保证金</w:t>
      </w:r>
    </w:p>
    <w:p w14:paraId="7B62BE06">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6.1 乙方交纳人民币</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零</w:t>
      </w:r>
      <w:r>
        <w:rPr>
          <w:rFonts w:hint="eastAsia" w:ascii="宋体" w:hAnsi="宋体" w:cs="Courier New"/>
          <w:color w:val="auto"/>
          <w:sz w:val="24"/>
          <w:szCs w:val="24"/>
          <w:highlight w:val="none"/>
          <w:u w:val="single"/>
          <w:lang w:val="en-US" w:eastAsia="zh-CN"/>
        </w:rPr>
        <w:t xml:space="preserve"> </w:t>
      </w:r>
      <w:r>
        <w:rPr>
          <w:rFonts w:ascii="宋体" w:hAnsi="宋体" w:cs="Courier New"/>
          <w:color w:val="auto"/>
          <w:sz w:val="24"/>
          <w:szCs w:val="24"/>
          <w:highlight w:val="none"/>
        </w:rPr>
        <w:t>元作为本合同的履约保证金。</w:t>
      </w:r>
      <w:r>
        <w:rPr>
          <w:rFonts w:hint="eastAsia" w:ascii="宋体" w:hAnsi="宋体" w:cs="Courier New"/>
          <w:color w:val="auto"/>
          <w:sz w:val="24"/>
          <w:szCs w:val="24"/>
          <w:highlight w:val="none"/>
        </w:rPr>
        <w:t>（不得超过合同金额的10%）</w:t>
      </w:r>
    </w:p>
    <w:p w14:paraId="1C74CD08">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6.2合同履行结束后，甲方应及时退还交纳的履约保证金。</w:t>
      </w:r>
    </w:p>
    <w:p w14:paraId="5528EA44">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6.2.1履约保证金退还方式：无</w:t>
      </w:r>
    </w:p>
    <w:p w14:paraId="1B4A61C2">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6.2.2履约保证金退还时间：无</w:t>
      </w:r>
    </w:p>
    <w:p w14:paraId="20D9DE4A">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6.2.3履约保证金退还条件：无</w:t>
      </w:r>
    </w:p>
    <w:p w14:paraId="3AFFFA67">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ascii="宋体" w:hAnsi="宋体" w:cs="Courier New"/>
          <w:color w:val="auto"/>
          <w:sz w:val="24"/>
          <w:szCs w:val="24"/>
          <w:highlight w:val="none"/>
        </w:rPr>
      </w:pPr>
      <w:r>
        <w:rPr>
          <w:rFonts w:hint="eastAsia" w:ascii="宋体" w:hAnsi="宋体" w:cs="Courier New"/>
          <w:color w:val="auto"/>
          <w:sz w:val="24"/>
          <w:szCs w:val="24"/>
          <w:highlight w:val="none"/>
        </w:rPr>
        <w:t>6.2.4履约保证金不予退还的情形：无</w:t>
      </w:r>
    </w:p>
    <w:p w14:paraId="3288F50C">
      <w:pPr>
        <w:keepNext w:val="0"/>
        <w:keepLines w:val="0"/>
        <w:pageBreakBefore w:val="0"/>
        <w:widowControl w:val="0"/>
        <w:kinsoku/>
        <w:wordWrap/>
        <w:overflowPunct/>
        <w:topLinePunct w:val="0"/>
        <w:autoSpaceDE/>
        <w:autoSpaceDN/>
        <w:bidi w:val="0"/>
        <w:adjustRightInd/>
        <w:snapToGrid/>
        <w:spacing w:before="156" w:after="156" w:line="500" w:lineRule="exact"/>
        <w:textAlignment w:val="auto"/>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2AD3E862">
      <w:pPr>
        <w:keepNext w:val="0"/>
        <w:keepLines w:val="0"/>
        <w:pageBreakBefore w:val="0"/>
        <w:widowControl w:val="0"/>
        <w:kinsoku/>
        <w:wordWrap/>
        <w:overflowPunct/>
        <w:topLinePunct w:val="0"/>
        <w:autoSpaceDE/>
        <w:autoSpaceDN/>
        <w:bidi w:val="0"/>
        <w:adjustRightInd/>
        <w:snapToGrid/>
        <w:spacing w:before="156" w:after="156" w:line="500" w:lineRule="exact"/>
        <w:textAlignment w:val="auto"/>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239B266F">
      <w:pPr>
        <w:keepNext w:val="0"/>
        <w:keepLines w:val="0"/>
        <w:pageBreakBefore w:val="0"/>
        <w:widowControl w:val="0"/>
        <w:kinsoku/>
        <w:wordWrap/>
        <w:overflowPunct/>
        <w:topLinePunct w:val="0"/>
        <w:autoSpaceDE/>
        <w:autoSpaceDN/>
        <w:bidi w:val="0"/>
        <w:adjustRightInd/>
        <w:snapToGrid/>
        <w:spacing w:before="156" w:after="156" w:line="500" w:lineRule="exact"/>
        <w:textAlignment w:val="auto"/>
        <w:rPr>
          <w:rFonts w:hint="eastAsia" w:ascii="宋体" w:hAnsi="宋体"/>
          <w:color w:val="auto"/>
          <w:sz w:val="24"/>
          <w:szCs w:val="24"/>
          <w:highlight w:val="none"/>
        </w:rPr>
      </w:pPr>
      <w:r>
        <w:rPr>
          <w:rFonts w:ascii="宋体" w:hAnsi="宋体"/>
          <w:color w:val="auto"/>
          <w:sz w:val="24"/>
          <w:szCs w:val="24"/>
          <w:highlight w:val="none"/>
        </w:rPr>
        <w:t>7.2</w:t>
      </w:r>
      <w:r>
        <w:rPr>
          <w:rFonts w:hint="eastAsia" w:ascii="宋体" w:hAnsi="宋体"/>
          <w:color w:val="auto"/>
          <w:sz w:val="24"/>
          <w:szCs w:val="24"/>
          <w:highlight w:val="none"/>
        </w:rPr>
        <w:t>乙方不得将合同标的分包给他人履行。</w:t>
      </w:r>
    </w:p>
    <w:p w14:paraId="4CB1643C">
      <w:pPr>
        <w:keepNext w:val="0"/>
        <w:keepLines w:val="0"/>
        <w:pageBreakBefore w:val="0"/>
        <w:widowControl w:val="0"/>
        <w:kinsoku/>
        <w:wordWrap/>
        <w:overflowPunct/>
        <w:topLinePunct w:val="0"/>
        <w:autoSpaceDE/>
        <w:autoSpaceDN/>
        <w:bidi w:val="0"/>
        <w:adjustRightInd/>
        <w:snapToGrid/>
        <w:spacing w:before="156" w:after="156" w:line="500" w:lineRule="exact"/>
        <w:textAlignment w:val="auto"/>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乙方如有转包或未经甲方同意的分包行为，甲方有权解除合同。</w:t>
      </w:r>
    </w:p>
    <w:p w14:paraId="4A8D19EB">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hint="eastAsia" w:ascii="宋体" w:hAnsi="宋体" w:cs="Courier New"/>
          <w:b/>
          <w:color w:val="auto"/>
          <w:sz w:val="24"/>
          <w:szCs w:val="24"/>
          <w:highlight w:val="none"/>
        </w:rPr>
        <w:t>八</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合同款项</w:t>
      </w:r>
      <w:r>
        <w:rPr>
          <w:rFonts w:ascii="宋体" w:hAnsi="宋体" w:cs="Courier New"/>
          <w:b/>
          <w:color w:val="auto"/>
          <w:sz w:val="24"/>
          <w:szCs w:val="24"/>
          <w:highlight w:val="none"/>
        </w:rPr>
        <w:t>支付</w:t>
      </w:r>
    </w:p>
    <w:p w14:paraId="0059BEB9">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hint="eastAsia" w:ascii="宋体" w:hAnsi="宋体" w:cs="Courier New"/>
          <w:bCs/>
          <w:color w:val="auto"/>
          <w:sz w:val="24"/>
          <w:szCs w:val="24"/>
          <w:highlight w:val="none"/>
        </w:rPr>
      </w:pPr>
    </w:p>
    <w:p w14:paraId="3CB6F1D3">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.1</w:t>
      </w:r>
      <w:r>
        <w:rPr>
          <w:rFonts w:hint="eastAsia" w:ascii="宋体" w:hAnsi="宋体" w:cs="Courier New"/>
          <w:bCs/>
          <w:color w:val="auto"/>
          <w:sz w:val="24"/>
          <w:szCs w:val="24"/>
          <w:highlight w:val="none"/>
        </w:rPr>
        <w:t>合同款项的支付方式及进度安排</w:t>
      </w:r>
    </w:p>
    <w:p w14:paraId="4A63B0C5">
      <w:pPr>
        <w:keepNext w:val="0"/>
        <w:keepLines w:val="0"/>
        <w:pageBreakBefore w:val="0"/>
        <w:widowControl w:val="0"/>
        <w:kinsoku/>
        <w:wordWrap/>
        <w:overflowPunct/>
        <w:topLinePunct w:val="0"/>
        <w:autoSpaceDE/>
        <w:autoSpaceDN/>
        <w:bidi w:val="0"/>
        <w:adjustRightInd/>
        <w:snapToGrid/>
        <w:spacing w:before="156" w:after="156" w:line="500" w:lineRule="exact"/>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养护款每半年支付一次，</w:t>
      </w:r>
      <w:r>
        <w:rPr>
          <w:rFonts w:hint="eastAsia" w:ascii="宋体" w:hAnsi="宋体"/>
          <w:color w:val="auto"/>
          <w:sz w:val="24"/>
          <w:szCs w:val="24"/>
          <w:highlight w:val="none"/>
        </w:rPr>
        <w:t>合同签订后，乙方向甲方开具发票，甲方自收到发票之日起10个工作日内支付合同总价30%的预付款</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服务期限满半年后</w:t>
      </w:r>
      <w:r>
        <w:rPr>
          <w:rFonts w:hint="eastAsia" w:ascii="宋体" w:hAnsi="宋体"/>
          <w:color w:val="auto"/>
          <w:sz w:val="24"/>
          <w:szCs w:val="24"/>
          <w:highlight w:val="none"/>
        </w:rPr>
        <w:t>甲方自收到发票之日起10个工作日内</w:t>
      </w:r>
      <w:r>
        <w:rPr>
          <w:rFonts w:hint="eastAsia" w:ascii="宋体" w:hAnsi="宋体"/>
          <w:color w:val="auto"/>
          <w:sz w:val="24"/>
          <w:szCs w:val="24"/>
          <w:highlight w:val="none"/>
          <w:lang w:val="en-US" w:eastAsia="zh-CN"/>
        </w:rPr>
        <w:t>支付20%养护款，服务期限满一年后</w:t>
      </w:r>
      <w:r>
        <w:rPr>
          <w:rFonts w:hint="eastAsia" w:ascii="宋体" w:hAnsi="宋体"/>
          <w:color w:val="auto"/>
          <w:sz w:val="24"/>
          <w:szCs w:val="24"/>
          <w:highlight w:val="none"/>
        </w:rPr>
        <w:t>甲方自收到发票之日起10个工作日内</w:t>
      </w:r>
      <w:r>
        <w:rPr>
          <w:rFonts w:hint="eastAsia" w:ascii="宋体" w:hAnsi="宋体"/>
          <w:color w:val="auto"/>
          <w:sz w:val="24"/>
          <w:szCs w:val="24"/>
          <w:highlight w:val="none"/>
          <w:lang w:val="en-US" w:eastAsia="zh-CN"/>
        </w:rPr>
        <w:t>付清剩余养护款。养护款计算公式为：季度考核（三个月平均得分）得分大于等于95分的，全额支付养护款；合同期内连续两个月考核低于75分，或合同期内累计三个月考核低于75分，则甲方有权解除合同。</w:t>
      </w:r>
    </w:p>
    <w:p w14:paraId="354023FC">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eastAsia="仿宋_GB2312"/>
          <w:b/>
          <w:color w:val="auto"/>
          <w:sz w:val="24"/>
          <w:szCs w:val="24"/>
          <w:highlight w:val="none"/>
        </w:rPr>
      </w:pPr>
      <w:r>
        <w:rPr>
          <w:rFonts w:hint="eastAsia" w:ascii="宋体" w:hAnsi="宋体"/>
          <w:b/>
          <w:color w:val="auto"/>
          <w:sz w:val="24"/>
          <w:szCs w:val="24"/>
          <w:highlight w:val="none"/>
        </w:rPr>
        <w:t>九、税费</w:t>
      </w:r>
    </w:p>
    <w:p w14:paraId="66389223">
      <w:pPr>
        <w:keepNext w:val="0"/>
        <w:keepLines w:val="0"/>
        <w:pageBreakBefore w:val="0"/>
        <w:widowControl w:val="0"/>
        <w:kinsoku/>
        <w:wordWrap/>
        <w:overflowPunct/>
        <w:topLinePunct w:val="0"/>
        <w:autoSpaceDE/>
        <w:autoSpaceDN/>
        <w:bidi w:val="0"/>
        <w:adjustRightInd/>
        <w:snapToGrid/>
        <w:spacing w:before="156" w:after="156" w:line="500" w:lineRule="exact"/>
        <w:textAlignment w:val="auto"/>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71457534">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项目</w:t>
      </w:r>
      <w:r>
        <w:rPr>
          <w:rFonts w:ascii="宋体" w:hAnsi="宋体" w:cs="Courier New"/>
          <w:b/>
          <w:color w:val="auto"/>
          <w:sz w:val="24"/>
          <w:szCs w:val="24"/>
          <w:highlight w:val="none"/>
        </w:rPr>
        <w:t>验收</w:t>
      </w:r>
    </w:p>
    <w:p w14:paraId="6F22FAAB">
      <w:pPr>
        <w:keepNext w:val="0"/>
        <w:keepLines w:val="0"/>
        <w:pageBreakBefore w:val="0"/>
        <w:widowControl w:val="0"/>
        <w:kinsoku/>
        <w:wordWrap/>
        <w:overflowPunct/>
        <w:topLinePunct w:val="0"/>
        <w:autoSpaceDE/>
        <w:autoSpaceDN/>
        <w:bidi w:val="0"/>
        <w:adjustRightInd/>
        <w:snapToGrid/>
        <w:spacing w:before="120" w:after="120" w:line="500" w:lineRule="exact"/>
        <w:ind w:left="480" w:hanging="480"/>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10.1 甲方依法组织履约验收工作。</w:t>
      </w:r>
    </w:p>
    <w:p w14:paraId="7D1663F6">
      <w:pPr>
        <w:keepNext w:val="0"/>
        <w:keepLines w:val="0"/>
        <w:pageBreakBefore w:val="0"/>
        <w:widowControl w:val="0"/>
        <w:kinsoku/>
        <w:wordWrap/>
        <w:overflowPunct/>
        <w:topLinePunct w:val="0"/>
        <w:autoSpaceDE/>
        <w:autoSpaceDN/>
        <w:bidi w:val="0"/>
        <w:adjustRightInd/>
        <w:snapToGrid/>
        <w:spacing w:before="120" w:after="120" w:line="500" w:lineRule="exact"/>
        <w:ind w:left="480" w:hanging="480"/>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F33B691">
      <w:pPr>
        <w:keepNext w:val="0"/>
        <w:keepLines w:val="0"/>
        <w:pageBreakBefore w:val="0"/>
        <w:widowControl w:val="0"/>
        <w:kinsoku/>
        <w:wordWrap/>
        <w:overflowPunct/>
        <w:topLinePunct w:val="0"/>
        <w:autoSpaceDE/>
        <w:autoSpaceDN/>
        <w:bidi w:val="0"/>
        <w:adjustRightInd/>
        <w:snapToGrid/>
        <w:spacing w:before="120" w:after="120" w:line="500" w:lineRule="exact"/>
        <w:ind w:left="480" w:hanging="480"/>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10.3 对于实际使用人和甲方分离的项目，甲方邀请实际使用人参与验收。</w:t>
      </w:r>
    </w:p>
    <w:p w14:paraId="60F5F90F">
      <w:pPr>
        <w:keepNext w:val="0"/>
        <w:keepLines w:val="0"/>
        <w:pageBreakBefore w:val="0"/>
        <w:widowControl w:val="0"/>
        <w:kinsoku/>
        <w:wordWrap/>
        <w:overflowPunct/>
        <w:topLinePunct w:val="0"/>
        <w:autoSpaceDE/>
        <w:autoSpaceDN/>
        <w:bidi w:val="0"/>
        <w:adjustRightInd/>
        <w:snapToGrid/>
        <w:spacing w:before="120" w:after="120" w:line="500" w:lineRule="exact"/>
        <w:ind w:left="480" w:hanging="480"/>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10.4 如有必要，甲方邀请参加本项目的其他供应商或第三方专业机构及专家参与验收，相关意见将作为验收书的参考资料。</w:t>
      </w:r>
    </w:p>
    <w:p w14:paraId="2C780DDF">
      <w:pPr>
        <w:keepNext w:val="0"/>
        <w:keepLines w:val="0"/>
        <w:pageBreakBefore w:val="0"/>
        <w:widowControl w:val="0"/>
        <w:kinsoku/>
        <w:wordWrap/>
        <w:overflowPunct/>
        <w:topLinePunct w:val="0"/>
        <w:autoSpaceDE/>
        <w:autoSpaceDN/>
        <w:bidi w:val="0"/>
        <w:adjustRightInd/>
        <w:snapToGrid/>
        <w:spacing w:before="120" w:after="120" w:line="500" w:lineRule="exact"/>
        <w:ind w:left="480" w:hanging="480"/>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10.5 甲方成立验收小组，按照采购合同的约定对乙方的履约情况进行验收。验收时</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rPr>
        <w:t>甲方按照采购合同的约定对每一项技术、服务、安全标准的履约情况进行确认。验收结束后</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rPr>
        <w:t>验收小组出具验收书</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rPr>
        <w:t>列明各项标准的验收情况及项目总体评价</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rPr>
        <w:t>由验收双方共同签署。验收结果与采购合同约定的资金支付及履约保证金返还条件挂钩。履约验收的各项资料存档备查。</w:t>
      </w:r>
    </w:p>
    <w:p w14:paraId="22E51604">
      <w:pPr>
        <w:keepNext w:val="0"/>
        <w:keepLines w:val="0"/>
        <w:pageBreakBefore w:val="0"/>
        <w:widowControl w:val="0"/>
        <w:kinsoku/>
        <w:wordWrap/>
        <w:overflowPunct/>
        <w:topLinePunct w:val="0"/>
        <w:autoSpaceDE/>
        <w:autoSpaceDN/>
        <w:bidi w:val="0"/>
        <w:adjustRightInd/>
        <w:snapToGrid/>
        <w:spacing w:before="120" w:after="120" w:line="500" w:lineRule="exact"/>
        <w:ind w:left="480" w:hanging="480"/>
        <w:textAlignment w:val="auto"/>
        <w:rPr>
          <w:rFonts w:ascii="宋体" w:hAnsi="宋体" w:cs="Courier New"/>
          <w:color w:val="auto"/>
          <w:sz w:val="24"/>
          <w:szCs w:val="24"/>
          <w:highlight w:val="none"/>
        </w:rPr>
      </w:pPr>
      <w:r>
        <w:rPr>
          <w:rFonts w:hint="eastAsia" w:ascii="宋体" w:hAnsi="宋体" w:cs="Courier New"/>
          <w:color w:val="auto"/>
          <w:sz w:val="24"/>
          <w:szCs w:val="24"/>
          <w:highlight w:val="none"/>
        </w:rPr>
        <w:t>10.6 验收合格的项目</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rPr>
        <w:t>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auto"/>
          <w:sz w:val="24"/>
          <w:szCs w:val="24"/>
          <w:highlight w:val="none"/>
          <w:lang w:eastAsia="zh-CN"/>
        </w:rPr>
        <w:t>《中华人民共和国民法典》</w:t>
      </w:r>
      <w:r>
        <w:rPr>
          <w:rFonts w:hint="eastAsia" w:ascii="宋体" w:hAnsi="宋体" w:cs="Courier New"/>
          <w:color w:val="auto"/>
          <w:sz w:val="24"/>
          <w:szCs w:val="24"/>
          <w:highlight w:val="none"/>
        </w:rPr>
        <w:t>。乙方在履约过程中有政府采购法律法规规定的违法违规情形的</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rPr>
        <w:t>甲方将及时报告本级财政部门。</w:t>
      </w:r>
    </w:p>
    <w:p w14:paraId="321B320A">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一</w:t>
      </w:r>
      <w:r>
        <w:rPr>
          <w:rFonts w:ascii="宋体" w:hAnsi="宋体" w:cs="Courier New"/>
          <w:b/>
          <w:color w:val="auto"/>
          <w:sz w:val="24"/>
          <w:szCs w:val="24"/>
          <w:highlight w:val="none"/>
        </w:rPr>
        <w:t>、违约责任</w:t>
      </w:r>
    </w:p>
    <w:p w14:paraId="3BFD10E8">
      <w:pPr>
        <w:keepNext w:val="0"/>
        <w:keepLines w:val="0"/>
        <w:pageBreakBefore w:val="0"/>
        <w:widowControl w:val="0"/>
        <w:kinsoku/>
        <w:wordWrap/>
        <w:overflowPunct/>
        <w:topLinePunct w:val="0"/>
        <w:autoSpaceDE/>
        <w:autoSpaceDN/>
        <w:bidi w:val="0"/>
        <w:adjustRightInd/>
        <w:snapToGrid/>
        <w:spacing w:before="120" w:after="120" w:line="500" w:lineRule="exact"/>
        <w:ind w:left="410" w:hanging="410"/>
        <w:textAlignment w:val="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1</w:t>
      </w:r>
      <w:r>
        <w:rPr>
          <w:rFonts w:ascii="宋体" w:hAnsi="宋体" w:cs="Courier New"/>
          <w:color w:val="auto"/>
          <w:sz w:val="24"/>
          <w:szCs w:val="24"/>
          <w:highlight w:val="none"/>
        </w:rPr>
        <w:t>.1甲方无正当理由</w:t>
      </w:r>
      <w:r>
        <w:rPr>
          <w:rFonts w:hint="eastAsia" w:ascii="宋体" w:hAnsi="宋体" w:cs="Courier New"/>
          <w:color w:val="auto"/>
          <w:sz w:val="24"/>
          <w:szCs w:val="24"/>
          <w:highlight w:val="none"/>
        </w:rPr>
        <w:t>拒绝接受乙方提供的合同标的</w:t>
      </w:r>
      <w:r>
        <w:rPr>
          <w:rFonts w:ascii="宋体" w:hAnsi="宋体" w:cs="Courier New"/>
          <w:color w:val="auto"/>
          <w:sz w:val="24"/>
          <w:szCs w:val="24"/>
          <w:highlight w:val="none"/>
        </w:rPr>
        <w:t>的，甲方向乙方偿付</w:t>
      </w:r>
      <w:r>
        <w:rPr>
          <w:rFonts w:hint="eastAsia" w:ascii="宋体" w:hAnsi="宋体" w:cs="Courier New"/>
          <w:color w:val="auto"/>
          <w:sz w:val="24"/>
          <w:szCs w:val="24"/>
          <w:highlight w:val="none"/>
        </w:rPr>
        <w:t>拒绝接受合同价款</w:t>
      </w:r>
      <w:r>
        <w:rPr>
          <w:rFonts w:ascii="宋体" w:hAnsi="宋体" w:cs="Courier New"/>
          <w:color w:val="auto"/>
          <w:sz w:val="24"/>
          <w:szCs w:val="24"/>
          <w:highlight w:val="none"/>
        </w:rPr>
        <w:t>总值</w:t>
      </w:r>
      <w:r>
        <w:rPr>
          <w:rFonts w:hint="eastAsia" w:ascii="宋体" w:hAnsi="宋体" w:cs="Courier New"/>
          <w:color w:val="auto"/>
          <w:sz w:val="24"/>
          <w:szCs w:val="24"/>
          <w:highlight w:val="none"/>
          <w:u w:val="single"/>
        </w:rPr>
        <w:t xml:space="preserve"> 5% </w:t>
      </w:r>
      <w:r>
        <w:rPr>
          <w:rFonts w:ascii="宋体" w:hAnsi="宋体" w:cs="Courier New"/>
          <w:color w:val="auto"/>
          <w:sz w:val="24"/>
          <w:szCs w:val="24"/>
          <w:highlight w:val="none"/>
        </w:rPr>
        <w:t>的违约金。</w:t>
      </w:r>
    </w:p>
    <w:p w14:paraId="66DBA1F9">
      <w:pPr>
        <w:keepNext w:val="0"/>
        <w:keepLines w:val="0"/>
        <w:pageBreakBefore w:val="0"/>
        <w:widowControl w:val="0"/>
        <w:kinsoku/>
        <w:wordWrap/>
        <w:overflowPunct/>
        <w:topLinePunct w:val="0"/>
        <w:autoSpaceDE/>
        <w:autoSpaceDN/>
        <w:bidi w:val="0"/>
        <w:adjustRightInd/>
        <w:snapToGrid/>
        <w:spacing w:before="120" w:after="120" w:line="500" w:lineRule="exact"/>
        <w:ind w:left="410" w:hanging="410"/>
        <w:textAlignment w:val="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1</w:t>
      </w:r>
      <w:r>
        <w:rPr>
          <w:rFonts w:ascii="宋体" w:hAnsi="宋体" w:cs="Courier New"/>
          <w:color w:val="auto"/>
          <w:sz w:val="24"/>
          <w:szCs w:val="24"/>
          <w:highlight w:val="none"/>
        </w:rPr>
        <w:t>.2 甲方无故逾期验收和办理</w:t>
      </w:r>
      <w:r>
        <w:rPr>
          <w:rFonts w:hint="eastAsia" w:ascii="宋体" w:hAnsi="宋体" w:cs="Courier New"/>
          <w:color w:val="auto"/>
          <w:sz w:val="24"/>
          <w:szCs w:val="24"/>
          <w:highlight w:val="none"/>
        </w:rPr>
        <w:t>合同款项</w:t>
      </w:r>
      <w:r>
        <w:rPr>
          <w:rFonts w:ascii="宋体" w:hAnsi="宋体" w:cs="Courier New"/>
          <w:color w:val="auto"/>
          <w:sz w:val="24"/>
          <w:szCs w:val="24"/>
          <w:highlight w:val="none"/>
        </w:rPr>
        <w:t>支付手续的</w:t>
      </w:r>
      <w:r>
        <w:rPr>
          <w:rFonts w:hint="eastAsia" w:ascii="宋体" w:hAnsi="宋体" w:cs="Courier New"/>
          <w:color w:val="auto"/>
          <w:sz w:val="24"/>
          <w:szCs w:val="24"/>
          <w:highlight w:val="none"/>
          <w:lang w:eastAsia="zh-CN"/>
        </w:rPr>
        <w:t>，</w:t>
      </w:r>
      <w:r>
        <w:rPr>
          <w:rFonts w:ascii="宋体" w:hAnsi="宋体" w:cs="Courier New"/>
          <w:color w:val="auto"/>
          <w:sz w:val="24"/>
          <w:szCs w:val="24"/>
          <w:highlight w:val="none"/>
        </w:rPr>
        <w:t>甲方应按逾期付款总额</w:t>
      </w:r>
      <w:r>
        <w:rPr>
          <w:rFonts w:hint="eastAsia" w:ascii="宋体" w:hAnsi="宋体" w:cs="Courier New"/>
          <w:color w:val="auto"/>
          <w:sz w:val="24"/>
          <w:szCs w:val="24"/>
          <w:highlight w:val="none"/>
          <w:lang w:val="en-US" w:eastAsia="zh-CN"/>
        </w:rPr>
        <w:t>千分之五</w:t>
      </w:r>
      <w:r>
        <w:rPr>
          <w:rFonts w:ascii="宋体" w:hAnsi="宋体" w:cs="Courier New"/>
          <w:color w:val="auto"/>
          <w:sz w:val="24"/>
          <w:szCs w:val="24"/>
          <w:highlight w:val="none"/>
        </w:rPr>
        <w:t>每日向乙方支付违约金。</w:t>
      </w:r>
    </w:p>
    <w:p w14:paraId="27427DE3">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1</w:t>
      </w:r>
      <w:r>
        <w:rPr>
          <w:rFonts w:ascii="宋体" w:hAnsi="宋体" w:cs="Courier New"/>
          <w:color w:val="auto"/>
          <w:sz w:val="24"/>
          <w:szCs w:val="24"/>
          <w:highlight w:val="none"/>
        </w:rPr>
        <w:t>.3</w:t>
      </w:r>
      <w:r>
        <w:rPr>
          <w:rFonts w:hint="eastAsia" w:ascii="宋体" w:hAnsi="宋体" w:cs="Courier New"/>
          <w:color w:val="auto"/>
          <w:sz w:val="24"/>
          <w:szCs w:val="24"/>
          <w:highlight w:val="none"/>
        </w:rPr>
        <w:t xml:space="preserve"> </w:t>
      </w:r>
      <w:r>
        <w:rPr>
          <w:rFonts w:hint="default" w:ascii="宋体" w:hAnsi="宋体" w:cs="Courier New"/>
          <w:color w:val="auto"/>
          <w:sz w:val="24"/>
          <w:szCs w:val="24"/>
          <w:highlight w:val="none"/>
          <w:lang w:val="en-US" w:eastAsia="zh-CN"/>
        </w:rPr>
        <w:t>合同履行期内，若乙方出现连续两</w:t>
      </w:r>
      <w:r>
        <w:rPr>
          <w:rFonts w:hint="eastAsia" w:ascii="宋体" w:hAnsi="宋体" w:cs="Courier New"/>
          <w:color w:val="auto"/>
          <w:sz w:val="24"/>
          <w:szCs w:val="24"/>
          <w:highlight w:val="none"/>
          <w:lang w:val="en-US" w:eastAsia="zh-CN"/>
        </w:rPr>
        <w:t>个月</w:t>
      </w:r>
      <w:r>
        <w:rPr>
          <w:rFonts w:hint="default" w:ascii="宋体" w:hAnsi="宋体" w:cs="Courier New"/>
          <w:color w:val="auto"/>
          <w:sz w:val="24"/>
          <w:szCs w:val="24"/>
          <w:highlight w:val="none"/>
          <w:lang w:val="en-US" w:eastAsia="zh-CN"/>
        </w:rPr>
        <w:t>度考核得分低于75分，或累计三</w:t>
      </w:r>
      <w:r>
        <w:rPr>
          <w:rFonts w:hint="eastAsia" w:ascii="宋体" w:hAnsi="宋体" w:cs="Courier New"/>
          <w:color w:val="auto"/>
          <w:sz w:val="24"/>
          <w:szCs w:val="24"/>
          <w:highlight w:val="none"/>
          <w:lang w:val="en-US" w:eastAsia="zh-CN"/>
        </w:rPr>
        <w:t>个月</w:t>
      </w:r>
      <w:r>
        <w:rPr>
          <w:rFonts w:hint="default" w:ascii="宋体" w:hAnsi="宋体" w:cs="Courier New"/>
          <w:color w:val="auto"/>
          <w:sz w:val="24"/>
          <w:szCs w:val="24"/>
          <w:highlight w:val="none"/>
          <w:lang w:val="en-US" w:eastAsia="zh-CN"/>
        </w:rPr>
        <w:t>度考核得分低于75分的情形，视为乙方严重违约。甲方有权单方解除本绿化养护合同，无需向乙方承担任何违约、赔偿及补偿责任。</w:t>
      </w:r>
    </w:p>
    <w:p w14:paraId="788D1B16">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default"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11.4</w:t>
      </w:r>
      <w:r>
        <w:rPr>
          <w:rFonts w:hint="default" w:ascii="宋体" w:hAnsi="宋体" w:cs="Courier New"/>
          <w:color w:val="auto"/>
          <w:sz w:val="24"/>
          <w:szCs w:val="24"/>
          <w:highlight w:val="none"/>
          <w:lang w:val="en-US" w:eastAsia="zh-CN"/>
        </w:rPr>
        <w:t>因乙方考核不达标触发甲方合同解除权的，甲方有权根据乙方实际履约情况，暂缓支付未结算养护款项，同时乙方需承担由此给甲方造成的全部损失，包括但不限于区域绿化损毁修复费用、另行选聘第三方养护单位的差价损失、管理成本损失等。</w:t>
      </w:r>
    </w:p>
    <w:p w14:paraId="73B69741">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11.5若截止项目管养期满、正式移交时，养护区域内任意苗木未达到100%成活率标准，视为乙方履约违约。甲方有权按照未成活苗木的当期市场价格，直接从应付乙方剩余养护服务费中予以全额扣除，用于苗木补种及修复，扣除金额不足弥补甲方损失的，甲方有权向乙方另行追偿差额。</w:t>
      </w:r>
    </w:p>
    <w:p w14:paraId="1C1EC787">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11.6因乙方养护不当、管护缺失、未及时处置病虫害、未合理浇灌施肥、未做好防护措施等自身原因，导致苗木枯萎、死亡、损毁、长势恶劣的，无论是否达到考核扣分标准，均由乙方承担全部修复、补种责任，产生的一切费用由乙方自行承担，且甲方有权依据考核规则予以扣分、扣款。</w:t>
      </w:r>
    </w:p>
    <w:p w14:paraId="2032EE54">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default"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11.7</w:t>
      </w:r>
      <w:r>
        <w:rPr>
          <w:rFonts w:hint="default" w:ascii="宋体" w:hAnsi="宋体" w:cs="Courier New"/>
          <w:color w:val="auto"/>
          <w:sz w:val="24"/>
          <w:szCs w:val="24"/>
          <w:highlight w:val="none"/>
          <w:lang w:val="en-US" w:eastAsia="zh-CN"/>
        </w:rPr>
        <w:t>乙方出现本条款约定任一违约情形的，除本条款明确约定的扣款、解除合同、追偿损失等责任外，甲方有权根据违约情节轻重，要求乙方限期整改，乙方需在甲方指定期限内完成全部整改工作，整改产生的所有费用自行承担。</w:t>
      </w:r>
    </w:p>
    <w:p w14:paraId="73C3C1DF">
      <w:pPr>
        <w:keepNext w:val="0"/>
        <w:keepLines w:val="0"/>
        <w:pageBreakBefore w:val="0"/>
        <w:widowControl w:val="0"/>
        <w:kinsoku/>
        <w:wordWrap/>
        <w:overflowPunct/>
        <w:topLinePunct w:val="0"/>
        <w:autoSpaceDE/>
        <w:autoSpaceDN/>
        <w:bidi w:val="0"/>
        <w:adjustRightInd/>
        <w:snapToGrid/>
        <w:spacing w:before="120" w:after="120" w:line="500" w:lineRule="exact"/>
        <w:ind w:left="408" w:hanging="408"/>
        <w:textAlignment w:val="auto"/>
        <w:rPr>
          <w:rFonts w:hint="default"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11.8</w:t>
      </w:r>
      <w:r>
        <w:rPr>
          <w:rFonts w:hint="default" w:ascii="宋体" w:hAnsi="宋体" w:cs="Courier New"/>
          <w:color w:val="auto"/>
          <w:sz w:val="24"/>
          <w:szCs w:val="24"/>
          <w:highlight w:val="none"/>
          <w:lang w:val="en-US" w:eastAsia="zh-CN"/>
        </w:rPr>
        <w:t>因乙方违约行为导致甲方遭受第三方索赔、行政处罚、声誉损失、财产损失的，全部责任由乙方承担，甲方因此产生的律师费、诉讼费、保全费、鉴定费、修复费等一切维权及损失费用，均由乙方全额赔付。</w:t>
      </w:r>
    </w:p>
    <w:p w14:paraId="391A997D">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二</w:t>
      </w:r>
      <w:r>
        <w:rPr>
          <w:rFonts w:ascii="宋体" w:hAnsi="宋体" w:cs="Courier New"/>
          <w:b/>
          <w:color w:val="auto"/>
          <w:sz w:val="24"/>
          <w:szCs w:val="24"/>
          <w:highlight w:val="none"/>
        </w:rPr>
        <w:t>、不可抗力事件处理</w:t>
      </w:r>
    </w:p>
    <w:p w14:paraId="6D340360">
      <w:pPr>
        <w:keepNext w:val="0"/>
        <w:keepLines w:val="0"/>
        <w:pageBreakBefore w:val="0"/>
        <w:widowControl w:val="0"/>
        <w:kinsoku/>
        <w:wordWrap/>
        <w:overflowPunct/>
        <w:topLinePunct w:val="0"/>
        <w:autoSpaceDE/>
        <w:autoSpaceDN/>
        <w:bidi w:val="0"/>
        <w:adjustRightInd/>
        <w:snapToGrid/>
        <w:spacing w:before="120" w:after="120" w:line="500" w:lineRule="exact"/>
        <w:ind w:left="480" w:hanging="480"/>
        <w:textAlignment w:val="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.1 在合同有效期内，任何一方因不可抗力事件导致不能履行合同，则合同履行期可延长，其延长期与不可抗力影响</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期相同。</w:t>
      </w:r>
    </w:p>
    <w:p w14:paraId="456C959B">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.2 不可抗力事件发生后，应立即通知对方，并寄送有关权威机构出具的证明。</w:t>
      </w:r>
    </w:p>
    <w:p w14:paraId="61A6B5A8">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.3 不可抗力事件延续120天以上，双方应通过友好协商，确定是否继续履行合同。</w:t>
      </w:r>
    </w:p>
    <w:p w14:paraId="0A9FE828">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三</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解决争议的方法</w:t>
      </w:r>
    </w:p>
    <w:p w14:paraId="0EB71498">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13.1双方在签订、履行合同中所发生的一切争议，应通过友好协商解决。如协商不成，由甲方住所地人民法院管辖。</w:t>
      </w:r>
    </w:p>
    <w:p w14:paraId="26F60CE0">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四</w:t>
      </w:r>
      <w:r>
        <w:rPr>
          <w:rFonts w:ascii="宋体" w:hAnsi="宋体" w:cs="Courier New"/>
          <w:b/>
          <w:color w:val="auto"/>
          <w:sz w:val="24"/>
          <w:szCs w:val="24"/>
          <w:highlight w:val="none"/>
        </w:rPr>
        <w:t>、合同生效及其它</w:t>
      </w:r>
    </w:p>
    <w:p w14:paraId="5BFCF7C2">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.1 合同经双方法定代表人或授权委托代</w:t>
      </w:r>
      <w:r>
        <w:rPr>
          <w:rFonts w:hint="eastAsia" w:ascii="宋体" w:hAnsi="宋体" w:cs="Courier New"/>
          <w:color w:val="auto"/>
          <w:sz w:val="24"/>
          <w:szCs w:val="24"/>
          <w:highlight w:val="none"/>
        </w:rPr>
        <w:t>表</w:t>
      </w:r>
      <w:r>
        <w:rPr>
          <w:rFonts w:ascii="宋体" w:hAnsi="宋体" w:cs="Courier New"/>
          <w:color w:val="auto"/>
          <w:sz w:val="24"/>
          <w:szCs w:val="24"/>
          <w:highlight w:val="none"/>
        </w:rPr>
        <w:t>人签字并加盖单位公章后生效。</w:t>
      </w:r>
    </w:p>
    <w:p w14:paraId="21B956DA">
      <w:pPr>
        <w:keepNext w:val="0"/>
        <w:keepLines w:val="0"/>
        <w:pageBreakBefore w:val="0"/>
        <w:widowControl w:val="0"/>
        <w:kinsoku/>
        <w:wordWrap/>
        <w:overflowPunct/>
        <w:topLinePunct w:val="0"/>
        <w:autoSpaceDE/>
        <w:autoSpaceDN/>
        <w:bidi w:val="0"/>
        <w:adjustRightInd/>
        <w:snapToGrid/>
        <w:spacing w:before="120" w:after="120" w:line="500" w:lineRule="exact"/>
        <w:textAlignment w:val="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.2本合同未尽事宜，遵照</w:t>
      </w:r>
      <w:r>
        <w:rPr>
          <w:rFonts w:hint="eastAsia" w:ascii="宋体" w:hAnsi="宋体" w:cs="Courier New"/>
          <w:color w:val="auto"/>
          <w:sz w:val="24"/>
          <w:szCs w:val="24"/>
          <w:highlight w:val="none"/>
          <w:lang w:eastAsia="zh-CN"/>
        </w:rPr>
        <w:t>《中华人民共和国民法典》</w:t>
      </w:r>
      <w:r>
        <w:rPr>
          <w:rFonts w:hint="eastAsia" w:ascii="宋体" w:hAnsi="宋体" w:cs="Courier New"/>
          <w:color w:val="auto"/>
          <w:sz w:val="24"/>
          <w:szCs w:val="24"/>
          <w:highlight w:val="none"/>
        </w:rPr>
        <w:t>、</w:t>
      </w:r>
      <w:r>
        <w:rPr>
          <w:rFonts w:hint="eastAsia" w:ascii="宋体" w:hAnsi="宋体" w:cs="Courier New"/>
          <w:color w:val="auto"/>
          <w:sz w:val="24"/>
          <w:szCs w:val="24"/>
          <w:highlight w:val="none"/>
          <w:lang w:eastAsia="zh-CN"/>
        </w:rPr>
        <w:t>《中华人民共和国政府采购法》等</w:t>
      </w:r>
      <w:r>
        <w:rPr>
          <w:rFonts w:ascii="宋体" w:hAnsi="宋体" w:cs="Courier New"/>
          <w:color w:val="auto"/>
          <w:sz w:val="24"/>
          <w:szCs w:val="24"/>
          <w:highlight w:val="none"/>
        </w:rPr>
        <w:t>有关条文执行。</w:t>
      </w:r>
    </w:p>
    <w:p w14:paraId="6F6DEE6E">
      <w:pPr>
        <w:keepNext w:val="0"/>
        <w:keepLines w:val="0"/>
        <w:pageBreakBefore w:val="0"/>
        <w:widowControl w:val="0"/>
        <w:kinsoku/>
        <w:wordWrap/>
        <w:overflowPunct/>
        <w:topLinePunct w:val="0"/>
        <w:autoSpaceDE/>
        <w:autoSpaceDN/>
        <w:bidi w:val="0"/>
        <w:adjustRightInd/>
        <w:snapToGrid/>
        <w:spacing w:before="120" w:after="120" w:line="500" w:lineRule="exact"/>
        <w:ind w:left="480" w:hanging="480"/>
        <w:textAlignment w:val="auto"/>
        <w:rPr>
          <w:color w:val="auto"/>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w:t>
      </w:r>
      <w:r>
        <w:rPr>
          <w:rFonts w:hint="eastAsia" w:ascii="宋体" w:hAnsi="宋体" w:cs="Courier New"/>
          <w:color w:val="auto"/>
          <w:sz w:val="24"/>
          <w:szCs w:val="24"/>
          <w:highlight w:val="none"/>
        </w:rPr>
        <w:t>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lang w:val="en-US" w:eastAsia="zh-CN"/>
        </w:rPr>
        <w:t>陆</w:t>
      </w:r>
      <w:r>
        <w:rPr>
          <w:rFonts w:ascii="宋体" w:hAnsi="宋体" w:cs="Courier New"/>
          <w:color w:val="auto"/>
          <w:sz w:val="24"/>
          <w:szCs w:val="24"/>
          <w:highlight w:val="none"/>
        </w:rPr>
        <w:t>份，具有同等法律效力，甲</w:t>
      </w:r>
      <w:r>
        <w:rPr>
          <w:rFonts w:hint="eastAsia" w:ascii="宋体" w:hAnsi="宋体" w:cs="Courier New"/>
          <w:color w:val="auto"/>
          <w:sz w:val="24"/>
          <w:szCs w:val="24"/>
          <w:highlight w:val="none"/>
        </w:rPr>
        <w:t>方、</w:t>
      </w:r>
      <w:r>
        <w:rPr>
          <w:rFonts w:ascii="宋体" w:hAnsi="宋体" w:cs="Courier New"/>
          <w:color w:val="auto"/>
          <w:sz w:val="24"/>
          <w:szCs w:val="24"/>
          <w:highlight w:val="none"/>
        </w:rPr>
        <w:t>乙方各执</w:t>
      </w:r>
      <w:r>
        <w:rPr>
          <w:rFonts w:hint="eastAsia" w:ascii="宋体" w:hAnsi="宋体" w:cs="Courier New"/>
          <w:color w:val="auto"/>
          <w:sz w:val="24"/>
          <w:szCs w:val="24"/>
          <w:highlight w:val="none"/>
          <w:lang w:val="en-US" w:eastAsia="zh-CN"/>
        </w:rPr>
        <w:t>叁</w:t>
      </w:r>
      <w:r>
        <w:rPr>
          <w:rFonts w:ascii="宋体" w:hAnsi="宋体" w:cs="Courier New"/>
          <w:color w:val="auto"/>
          <w:sz w:val="24"/>
          <w:szCs w:val="24"/>
          <w:highlight w:val="none"/>
        </w:rPr>
        <w:t>份。</w:t>
      </w:r>
    </w:p>
    <w:p w14:paraId="4C502108">
      <w:pPr>
        <w:spacing w:before="120" w:after="120" w:line="0" w:lineRule="atLeast"/>
        <w:ind w:left="480" w:hanging="480"/>
        <w:rPr>
          <w:rFonts w:ascii="宋体" w:hAnsi="宋体" w:cs="Courier New"/>
          <w:color w:val="auto"/>
          <w:sz w:val="24"/>
          <w:szCs w:val="24"/>
          <w:highlight w:val="none"/>
        </w:rPr>
      </w:pPr>
      <w:r>
        <w:rPr>
          <w:rFonts w:ascii="宋体" w:hAnsi="宋体" w:cs="Courier New"/>
          <w:color w:val="auto"/>
          <w:sz w:val="24"/>
          <w:szCs w:val="24"/>
          <w:highlight w:val="none"/>
        </w:rPr>
        <w:t xml:space="preserve"> </w:t>
      </w:r>
    </w:p>
    <w:p w14:paraId="169C7E14">
      <w:pPr>
        <w:spacing w:before="120" w:after="120" w:line="0" w:lineRule="atLeast"/>
        <w:ind w:left="480" w:hanging="480"/>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p>
    <w:p w14:paraId="19194C53">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p>
    <w:p w14:paraId="5EC18534">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w:t>
      </w:r>
    </w:p>
    <w:p w14:paraId="3859C939">
      <w:pPr>
        <w:spacing w:before="120" w:after="120" w:line="0" w:lineRule="atLeast"/>
        <w:ind w:firstLine="240"/>
        <w:rPr>
          <w:rFonts w:hint="eastAsia" w:ascii="宋体" w:hAnsi="Courier New" w:cs="Courier New"/>
          <w:color w:val="auto"/>
          <w:szCs w:val="21"/>
          <w:highlight w:val="none"/>
        </w:rPr>
      </w:pPr>
      <w:r>
        <w:rPr>
          <w:rFonts w:hint="eastAsia" w:ascii="宋体" w:hAnsi="宋体" w:cs="Courier New"/>
          <w:color w:val="auto"/>
          <w:sz w:val="24"/>
          <w:szCs w:val="24"/>
          <w:highlight w:val="none"/>
        </w:rPr>
        <w:t xml:space="preserve">联系电话：                    联系电话：          </w:t>
      </w:r>
    </w:p>
    <w:p w14:paraId="60FE2C40">
      <w:pPr>
        <w:spacing w:line="500" w:lineRule="exact"/>
        <w:ind w:firstLine="420"/>
        <w:rPr>
          <w:rFonts w:hint="eastAsia" w:ascii="宋体" w:hAnsi="宋体"/>
          <w:bCs/>
          <w:color w:val="auto"/>
          <w:sz w:val="24"/>
          <w:szCs w:val="21"/>
          <w:highlight w:val="none"/>
        </w:rPr>
      </w:pPr>
      <w:r>
        <w:rPr>
          <w:rFonts w:hint="eastAsia"/>
          <w:color w:val="auto"/>
          <w:szCs w:val="21"/>
          <w:highlight w:val="none"/>
        </w:rPr>
        <w:t xml:space="preserve">                                          </w:t>
      </w:r>
      <w:r>
        <w:rPr>
          <w:color w:val="auto"/>
          <w:szCs w:val="21"/>
          <w:highlight w:val="none"/>
        </w:rPr>
        <w:t xml:space="preserve">签订日期：      年  </w:t>
      </w:r>
      <w:r>
        <w:rPr>
          <w:rFonts w:hint="eastAsia"/>
          <w:color w:val="auto"/>
          <w:szCs w:val="21"/>
          <w:highlight w:val="none"/>
        </w:rPr>
        <w:t xml:space="preserve">  </w:t>
      </w:r>
      <w:r>
        <w:rPr>
          <w:color w:val="auto"/>
          <w:szCs w:val="21"/>
          <w:highlight w:val="none"/>
        </w:rPr>
        <w:t xml:space="preserve">月  </w:t>
      </w:r>
      <w:r>
        <w:rPr>
          <w:rFonts w:hint="eastAsia"/>
          <w:color w:val="auto"/>
          <w:szCs w:val="21"/>
          <w:highlight w:val="none"/>
        </w:rPr>
        <w:t xml:space="preserve"> </w:t>
      </w:r>
      <w:r>
        <w:rPr>
          <w:color w:val="auto"/>
          <w:szCs w:val="21"/>
          <w:highlight w:val="none"/>
        </w:rPr>
        <w:t>日</w:t>
      </w:r>
    </w:p>
    <w:p w14:paraId="72068B59">
      <w:pPr>
        <w:rPr>
          <w:rFonts w:asciiTheme="minorEastAsia" w:hAnsiTheme="minorEastAsia" w:eastAsiaTheme="minorEastAsia" w:cstheme="minorEastAsia"/>
          <w:color w:val="auto"/>
          <w:highlight w:val="none"/>
        </w:rPr>
      </w:pPr>
    </w:p>
    <w:p w14:paraId="3D432DBA">
      <w:pPr>
        <w:pStyle w:val="2"/>
        <w:spacing w:line="360" w:lineRule="auto"/>
        <w:jc w:val="center"/>
        <w:rPr>
          <w:rFonts w:asciiTheme="minorEastAsia" w:hAnsiTheme="minorEastAsia" w:eastAsiaTheme="minorEastAsia" w:cstheme="minorEastAsia"/>
          <w:color w:val="auto"/>
          <w:highlight w:val="none"/>
        </w:rPr>
      </w:pPr>
      <w:bookmarkStart w:id="141" w:name="_Toc109304974"/>
      <w:r>
        <w:rPr>
          <w:rFonts w:hint="eastAsia" w:asciiTheme="minorEastAsia" w:hAnsiTheme="minorEastAsia" w:eastAsiaTheme="minorEastAsia" w:cstheme="minorEastAsia"/>
          <w:color w:val="auto"/>
          <w:highlight w:val="none"/>
        </w:rPr>
        <w:t>第四章 项目需求</w:t>
      </w:r>
      <w:bookmarkEnd w:id="141"/>
    </w:p>
    <w:p w14:paraId="6F01BC3C">
      <w:pPr>
        <w:autoSpaceDE w:val="0"/>
        <w:autoSpaceDN w:val="0"/>
        <w:adjustRightInd w:val="0"/>
        <w:spacing w:line="440" w:lineRule="exact"/>
        <w:outlineLvl w:val="1"/>
        <w:rPr>
          <w:rFonts w:cs="宋体"/>
          <w:b/>
          <w:bCs/>
          <w:color w:val="auto"/>
          <w:kern w:val="0"/>
          <w:sz w:val="28"/>
          <w:szCs w:val="28"/>
          <w:highlight w:val="none"/>
          <w:lang w:val="zh-CN"/>
        </w:rPr>
      </w:pPr>
      <w:bookmarkStart w:id="142" w:name="_Toc125029385"/>
      <w:r>
        <w:rPr>
          <w:rFonts w:cs="宋体"/>
          <w:b/>
          <w:bCs/>
          <w:color w:val="auto"/>
          <w:kern w:val="0"/>
          <w:sz w:val="28"/>
          <w:szCs w:val="28"/>
          <w:highlight w:val="none"/>
          <w:lang w:val="zh-CN"/>
        </w:rPr>
        <w:t>一、项目说明：</w:t>
      </w:r>
      <w:bookmarkEnd w:id="142"/>
    </w:p>
    <w:p w14:paraId="56859734">
      <w:pPr>
        <w:spacing w:line="440" w:lineRule="exact"/>
        <w:ind w:firstLine="240" w:firstLineChars="100"/>
        <w:rPr>
          <w:rFonts w:hint="eastAsia"/>
          <w:color w:val="auto"/>
          <w:sz w:val="24"/>
          <w:highlight w:val="none"/>
        </w:rPr>
      </w:pPr>
      <w:r>
        <w:rPr>
          <w:rFonts w:hint="eastAsia"/>
          <w:color w:val="auto"/>
          <w:sz w:val="24"/>
          <w:szCs w:val="24"/>
          <w:highlight w:val="none"/>
          <w:lang w:eastAsia="zh-CN"/>
        </w:rPr>
        <w:t>1.</w:t>
      </w:r>
      <w:r>
        <w:rPr>
          <w:rFonts w:hint="eastAsia"/>
          <w:color w:val="auto"/>
          <w:sz w:val="24"/>
          <w:szCs w:val="24"/>
          <w:highlight w:val="none"/>
        </w:rPr>
        <w:t>本</w:t>
      </w:r>
      <w:r>
        <w:rPr>
          <w:color w:val="auto"/>
          <w:sz w:val="24"/>
          <w:highlight w:val="none"/>
        </w:rPr>
        <w:t>项目</w:t>
      </w:r>
      <w:r>
        <w:rPr>
          <w:rFonts w:hint="eastAsia"/>
          <w:color w:val="auto"/>
          <w:sz w:val="24"/>
          <w:highlight w:val="none"/>
        </w:rPr>
        <w:t>各</w:t>
      </w:r>
      <w:r>
        <w:rPr>
          <w:color w:val="auto"/>
          <w:sz w:val="24"/>
          <w:highlight w:val="none"/>
        </w:rPr>
        <w:t>分包</w:t>
      </w:r>
      <w:r>
        <w:rPr>
          <w:rFonts w:hint="eastAsia"/>
          <w:color w:val="auto"/>
          <w:sz w:val="24"/>
          <w:highlight w:val="none"/>
        </w:rPr>
        <w:t>服务范围：</w:t>
      </w:r>
    </w:p>
    <w:p w14:paraId="43FAF9C6">
      <w:pPr>
        <w:pStyle w:val="56"/>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采购包1：东阳路绿化养护管养</w:t>
      </w:r>
    </w:p>
    <w:tbl>
      <w:tblPr>
        <w:tblStyle w:val="41"/>
        <w:tblW w:w="82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5"/>
        <w:gridCol w:w="4633"/>
        <w:gridCol w:w="594"/>
        <w:gridCol w:w="780"/>
        <w:gridCol w:w="1595"/>
      </w:tblGrid>
      <w:tr w14:paraId="6DA77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6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75C9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4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6FCB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5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FA63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单位</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9CDB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养护等级</w:t>
            </w:r>
          </w:p>
        </w:tc>
        <w:tc>
          <w:tcPr>
            <w:tcW w:w="15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C9A7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实测面积</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（平方米）</w:t>
            </w:r>
          </w:p>
        </w:tc>
      </w:tr>
      <w:tr w14:paraId="19FCB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6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8B20D">
            <w:pPr>
              <w:jc w:val="center"/>
              <w:rPr>
                <w:rFonts w:hint="eastAsia" w:ascii="宋体" w:hAnsi="宋体" w:eastAsia="宋体" w:cs="宋体"/>
                <w:i w:val="0"/>
                <w:iCs w:val="0"/>
                <w:color w:val="auto"/>
                <w:sz w:val="18"/>
                <w:szCs w:val="18"/>
                <w:highlight w:val="none"/>
                <w:u w:val="none"/>
              </w:rPr>
            </w:pPr>
          </w:p>
        </w:tc>
        <w:tc>
          <w:tcPr>
            <w:tcW w:w="4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D392A">
            <w:pPr>
              <w:jc w:val="center"/>
              <w:rPr>
                <w:rFonts w:hint="eastAsia" w:ascii="宋体" w:hAnsi="宋体" w:eastAsia="宋体" w:cs="宋体"/>
                <w:i w:val="0"/>
                <w:iCs w:val="0"/>
                <w:color w:val="auto"/>
                <w:sz w:val="18"/>
                <w:szCs w:val="18"/>
                <w:highlight w:val="none"/>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628AD">
            <w:pPr>
              <w:jc w:val="center"/>
              <w:rPr>
                <w:rFonts w:hint="eastAsia" w:ascii="宋体" w:hAnsi="宋体" w:eastAsia="宋体" w:cs="宋体"/>
                <w:i w:val="0"/>
                <w:iCs w:val="0"/>
                <w:color w:val="auto"/>
                <w:sz w:val="18"/>
                <w:szCs w:val="18"/>
                <w:highlight w:val="none"/>
                <w:u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D9C13">
            <w:pPr>
              <w:jc w:val="center"/>
              <w:rPr>
                <w:rFonts w:hint="eastAsia" w:ascii="宋体" w:hAnsi="宋体" w:eastAsia="宋体" w:cs="宋体"/>
                <w:i w:val="0"/>
                <w:iCs w:val="0"/>
                <w:color w:val="auto"/>
                <w:sz w:val="18"/>
                <w:szCs w:val="18"/>
                <w:highlight w:val="none"/>
                <w:u w:val="none"/>
              </w:rPr>
            </w:pPr>
          </w:p>
        </w:tc>
        <w:tc>
          <w:tcPr>
            <w:tcW w:w="15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B1C35">
            <w:pPr>
              <w:jc w:val="center"/>
              <w:rPr>
                <w:rFonts w:hint="eastAsia" w:ascii="宋体" w:hAnsi="宋体" w:eastAsia="宋体" w:cs="宋体"/>
                <w:i w:val="0"/>
                <w:iCs w:val="0"/>
                <w:color w:val="auto"/>
                <w:sz w:val="18"/>
                <w:szCs w:val="18"/>
                <w:highlight w:val="none"/>
                <w:u w:val="none"/>
              </w:rPr>
            </w:pPr>
          </w:p>
        </w:tc>
      </w:tr>
      <w:tr w14:paraId="211C7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1"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32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97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东阳路</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D0F85">
            <w:pPr>
              <w:jc w:val="center"/>
              <w:rPr>
                <w:rFonts w:hint="eastAsia" w:ascii="宋体" w:hAnsi="宋体" w:eastAsia="宋体" w:cs="宋体"/>
                <w:i w:val="0"/>
                <w:iCs w:val="0"/>
                <w:color w:val="auto"/>
                <w:sz w:val="18"/>
                <w:szCs w:val="18"/>
                <w:highlight w:val="none"/>
                <w:u w:val="none"/>
              </w:rPr>
            </w:pPr>
          </w:p>
        </w:tc>
        <w:tc>
          <w:tcPr>
            <w:tcW w:w="780" w:type="dxa"/>
            <w:tcBorders>
              <w:top w:val="nil"/>
              <w:left w:val="single" w:color="000000" w:sz="4" w:space="0"/>
              <w:bottom w:val="single" w:color="000000" w:sz="4" w:space="0"/>
              <w:right w:val="single" w:color="000000" w:sz="4" w:space="0"/>
            </w:tcBorders>
            <w:shd w:val="clear" w:color="auto" w:fill="auto"/>
            <w:vAlign w:val="center"/>
          </w:tcPr>
          <w:p w14:paraId="46130D5C">
            <w:pPr>
              <w:jc w:val="center"/>
              <w:rPr>
                <w:rFonts w:hint="eastAsia" w:ascii="宋体" w:hAnsi="宋体" w:eastAsia="宋体" w:cs="宋体"/>
                <w:i w:val="0"/>
                <w:iCs w:val="0"/>
                <w:color w:val="auto"/>
                <w:sz w:val="18"/>
                <w:szCs w:val="18"/>
                <w:highlight w:val="none"/>
                <w:u w:val="none"/>
              </w:rPr>
            </w:pP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D0F6">
            <w:pPr>
              <w:jc w:val="center"/>
              <w:rPr>
                <w:rFonts w:hint="eastAsia" w:ascii="宋体" w:hAnsi="宋体" w:eastAsia="宋体" w:cs="宋体"/>
                <w:i w:val="0"/>
                <w:iCs w:val="0"/>
                <w:color w:val="auto"/>
                <w:sz w:val="18"/>
                <w:szCs w:val="18"/>
                <w:highlight w:val="none"/>
                <w:u w:val="none"/>
              </w:rPr>
            </w:pPr>
          </w:p>
        </w:tc>
      </w:tr>
      <w:tr w14:paraId="31CF4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98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4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941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路中</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高速以南</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40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780" w:type="dxa"/>
            <w:tcBorders>
              <w:top w:val="nil"/>
              <w:left w:val="single" w:color="000000" w:sz="4" w:space="0"/>
              <w:bottom w:val="single" w:color="000000" w:sz="4" w:space="0"/>
              <w:right w:val="single" w:color="000000" w:sz="4" w:space="0"/>
            </w:tcBorders>
            <w:shd w:val="clear" w:color="auto" w:fill="auto"/>
            <w:vAlign w:val="center"/>
          </w:tcPr>
          <w:p w14:paraId="764600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一级</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F4F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25958.28</w:t>
            </w:r>
          </w:p>
        </w:tc>
      </w:tr>
      <w:tr w14:paraId="4EBF7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6A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4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893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路中</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高速以北</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AB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780" w:type="dxa"/>
            <w:tcBorders>
              <w:top w:val="nil"/>
              <w:left w:val="single" w:color="000000" w:sz="4" w:space="0"/>
              <w:bottom w:val="single" w:color="000000" w:sz="4" w:space="0"/>
              <w:right w:val="single" w:color="000000" w:sz="4" w:space="0"/>
            </w:tcBorders>
            <w:shd w:val="clear" w:color="auto" w:fill="auto"/>
            <w:vAlign w:val="center"/>
          </w:tcPr>
          <w:p w14:paraId="4141ED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61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34274.01</w:t>
            </w:r>
          </w:p>
        </w:tc>
      </w:tr>
      <w:tr w14:paraId="1D769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77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4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31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机动车道两侧</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高速以南</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1B3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780" w:type="dxa"/>
            <w:tcBorders>
              <w:top w:val="nil"/>
              <w:left w:val="single" w:color="000000" w:sz="4" w:space="0"/>
              <w:bottom w:val="single" w:color="000000" w:sz="4" w:space="0"/>
              <w:right w:val="single" w:color="000000" w:sz="4" w:space="0"/>
            </w:tcBorders>
            <w:shd w:val="clear" w:color="auto" w:fill="auto"/>
            <w:vAlign w:val="center"/>
          </w:tcPr>
          <w:p w14:paraId="77D593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18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10356.37</w:t>
            </w:r>
          </w:p>
        </w:tc>
      </w:tr>
      <w:tr w14:paraId="5C41B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F5B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4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B6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机动车道两侧</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高速以北</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3C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780" w:type="dxa"/>
            <w:tcBorders>
              <w:top w:val="nil"/>
              <w:left w:val="single" w:color="000000" w:sz="4" w:space="0"/>
              <w:bottom w:val="single" w:color="000000" w:sz="4" w:space="0"/>
              <w:right w:val="single" w:color="000000" w:sz="4" w:space="0"/>
            </w:tcBorders>
            <w:shd w:val="clear" w:color="auto" w:fill="auto"/>
            <w:vAlign w:val="center"/>
          </w:tcPr>
          <w:p w14:paraId="3EAA72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424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66876.63</w:t>
            </w:r>
          </w:p>
        </w:tc>
      </w:tr>
      <w:tr w14:paraId="6EE57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21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4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E2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迎宾大道北侧</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0F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780" w:type="dxa"/>
            <w:tcBorders>
              <w:top w:val="nil"/>
              <w:left w:val="single" w:color="000000" w:sz="4" w:space="0"/>
              <w:bottom w:val="single" w:color="000000" w:sz="4" w:space="0"/>
              <w:right w:val="single" w:color="000000" w:sz="4" w:space="0"/>
            </w:tcBorders>
            <w:shd w:val="clear" w:color="auto" w:fill="auto"/>
            <w:vAlign w:val="center"/>
          </w:tcPr>
          <w:p w14:paraId="6FF2AC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A49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20328.62</w:t>
            </w:r>
          </w:p>
        </w:tc>
      </w:tr>
      <w:tr w14:paraId="4D9B3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C2F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4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2AA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非机动车两侧</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高速以南</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59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780" w:type="dxa"/>
            <w:tcBorders>
              <w:top w:val="nil"/>
              <w:left w:val="single" w:color="000000" w:sz="4" w:space="0"/>
              <w:bottom w:val="single" w:color="000000" w:sz="4" w:space="0"/>
              <w:right w:val="single" w:color="000000" w:sz="4" w:space="0"/>
            </w:tcBorders>
            <w:shd w:val="clear" w:color="auto" w:fill="auto"/>
            <w:vAlign w:val="center"/>
          </w:tcPr>
          <w:p w14:paraId="432931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62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33559.85</w:t>
            </w:r>
          </w:p>
        </w:tc>
      </w:tr>
      <w:tr w14:paraId="1CFDD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A71A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1.7</w:t>
            </w:r>
          </w:p>
        </w:tc>
        <w:tc>
          <w:tcPr>
            <w:tcW w:w="4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9FB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应急用工</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3982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工日</w:t>
            </w:r>
          </w:p>
        </w:tc>
        <w:tc>
          <w:tcPr>
            <w:tcW w:w="780" w:type="dxa"/>
            <w:tcBorders>
              <w:top w:val="nil"/>
              <w:left w:val="single" w:color="000000" w:sz="4" w:space="0"/>
              <w:bottom w:val="single" w:color="000000" w:sz="4" w:space="0"/>
              <w:right w:val="single" w:color="000000" w:sz="4" w:space="0"/>
            </w:tcBorders>
            <w:shd w:val="clear" w:color="auto" w:fill="auto"/>
            <w:vAlign w:val="center"/>
          </w:tcPr>
          <w:p w14:paraId="2CA6AC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A4B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100</w:t>
            </w:r>
          </w:p>
        </w:tc>
      </w:tr>
      <w:tr w14:paraId="74692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0AAAF">
            <w:pPr>
              <w:shd w:val="clear"/>
              <w:jc w:val="center"/>
              <w:rPr>
                <w:rFonts w:hint="eastAsia" w:ascii="宋体" w:hAnsi="宋体" w:eastAsia="宋体" w:cs="宋体"/>
                <w:i w:val="0"/>
                <w:iCs w:val="0"/>
                <w:color w:val="auto"/>
                <w:sz w:val="18"/>
                <w:szCs w:val="18"/>
                <w:highlight w:val="none"/>
                <w:u w:val="none"/>
              </w:rPr>
            </w:pPr>
          </w:p>
        </w:tc>
        <w:tc>
          <w:tcPr>
            <w:tcW w:w="4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FB1E">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合计</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48A4">
            <w:pPr>
              <w:shd w:val="clear"/>
              <w:jc w:val="center"/>
              <w:rPr>
                <w:rFonts w:hint="eastAsia" w:ascii="宋体" w:hAnsi="宋体" w:eastAsia="宋体" w:cs="宋体"/>
                <w:i w:val="0"/>
                <w:iCs w:val="0"/>
                <w:color w:val="auto"/>
                <w:sz w:val="18"/>
                <w:szCs w:val="18"/>
                <w:highlight w:val="none"/>
                <w:u w:val="none"/>
              </w:rPr>
            </w:pPr>
          </w:p>
        </w:tc>
        <w:tc>
          <w:tcPr>
            <w:tcW w:w="780" w:type="dxa"/>
            <w:tcBorders>
              <w:top w:val="nil"/>
              <w:left w:val="single" w:color="000000" w:sz="4" w:space="0"/>
              <w:bottom w:val="single" w:color="000000" w:sz="4" w:space="0"/>
              <w:right w:val="single" w:color="000000" w:sz="4" w:space="0"/>
            </w:tcBorders>
            <w:shd w:val="clear" w:color="auto" w:fill="auto"/>
            <w:vAlign w:val="center"/>
          </w:tcPr>
          <w:p w14:paraId="49B9CCE1">
            <w:pPr>
              <w:shd w:val="clear"/>
              <w:jc w:val="center"/>
              <w:rPr>
                <w:rFonts w:hint="eastAsia" w:ascii="宋体" w:hAnsi="宋体" w:eastAsia="宋体" w:cs="宋体"/>
                <w:i w:val="0"/>
                <w:iCs w:val="0"/>
                <w:color w:val="auto"/>
                <w:sz w:val="18"/>
                <w:szCs w:val="18"/>
                <w:highlight w:val="none"/>
                <w:u w:val="none"/>
              </w:rPr>
            </w:pP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2CC6">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191353.76</w:t>
            </w:r>
          </w:p>
        </w:tc>
      </w:tr>
    </w:tbl>
    <w:p w14:paraId="40B3184B">
      <w:pPr>
        <w:pStyle w:val="57"/>
        <w:shd w:val="clear"/>
        <w:rPr>
          <w:color w:val="auto"/>
          <w:highlight w:val="none"/>
        </w:rPr>
      </w:pPr>
    </w:p>
    <w:p w14:paraId="45BC9242">
      <w:pPr>
        <w:pStyle w:val="56"/>
        <w:shd w:val="clea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采购包2：高速公路以南片区绿化养护管养</w:t>
      </w:r>
    </w:p>
    <w:p w14:paraId="38D7DD11">
      <w:pPr>
        <w:shd w:val="clear"/>
        <w:rPr>
          <w:color w:val="auto"/>
          <w:highlight w:val="none"/>
        </w:rPr>
      </w:pPr>
    </w:p>
    <w:tbl>
      <w:tblPr>
        <w:tblStyle w:val="41"/>
        <w:tblW w:w="830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7"/>
        <w:gridCol w:w="4845"/>
        <w:gridCol w:w="621"/>
        <w:gridCol w:w="816"/>
        <w:gridCol w:w="1294"/>
      </w:tblGrid>
      <w:tr w14:paraId="77B5E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3CE654">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4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7CB401">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6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08A598">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单位</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508AD3">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养护等级</w:t>
            </w:r>
          </w:p>
        </w:tc>
        <w:tc>
          <w:tcPr>
            <w:tcW w:w="12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EDE367">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实测面积</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（平方米）</w:t>
            </w:r>
          </w:p>
        </w:tc>
      </w:tr>
      <w:tr w14:paraId="340B3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07ED7">
            <w:pPr>
              <w:shd w:val="clear"/>
              <w:jc w:val="center"/>
              <w:rPr>
                <w:rFonts w:hint="eastAsia" w:ascii="宋体" w:hAnsi="宋体" w:eastAsia="宋体" w:cs="宋体"/>
                <w:i w:val="0"/>
                <w:iCs w:val="0"/>
                <w:color w:val="auto"/>
                <w:sz w:val="18"/>
                <w:szCs w:val="18"/>
                <w:highlight w:val="none"/>
                <w:u w:val="none"/>
              </w:rPr>
            </w:pPr>
          </w:p>
        </w:tc>
        <w:tc>
          <w:tcPr>
            <w:tcW w:w="4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B2A84">
            <w:pPr>
              <w:shd w:val="clear"/>
              <w:jc w:val="center"/>
              <w:rPr>
                <w:rFonts w:hint="eastAsia" w:ascii="宋体" w:hAnsi="宋体" w:eastAsia="宋体" w:cs="宋体"/>
                <w:i w:val="0"/>
                <w:iCs w:val="0"/>
                <w:color w:val="auto"/>
                <w:sz w:val="18"/>
                <w:szCs w:val="18"/>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2D62A">
            <w:pPr>
              <w:shd w:val="clear"/>
              <w:jc w:val="center"/>
              <w:rPr>
                <w:rFonts w:hint="eastAsia" w:ascii="宋体" w:hAnsi="宋体" w:eastAsia="宋体" w:cs="宋体"/>
                <w:i w:val="0"/>
                <w:iCs w:val="0"/>
                <w:color w:val="auto"/>
                <w:sz w:val="18"/>
                <w:szCs w:val="18"/>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65654">
            <w:pPr>
              <w:shd w:val="clear"/>
              <w:jc w:val="center"/>
              <w:rPr>
                <w:rFonts w:hint="eastAsia" w:ascii="宋体" w:hAnsi="宋体" w:eastAsia="宋体" w:cs="宋体"/>
                <w:i w:val="0"/>
                <w:iCs w:val="0"/>
                <w:color w:val="auto"/>
                <w:sz w:val="18"/>
                <w:szCs w:val="18"/>
                <w:highlight w:val="none"/>
                <w:u w:val="none"/>
              </w:rPr>
            </w:pPr>
          </w:p>
        </w:tc>
        <w:tc>
          <w:tcPr>
            <w:tcW w:w="12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A7CB0">
            <w:pPr>
              <w:shd w:val="clear"/>
              <w:jc w:val="center"/>
              <w:rPr>
                <w:rFonts w:hint="eastAsia" w:ascii="宋体" w:hAnsi="宋体" w:eastAsia="宋体" w:cs="宋体"/>
                <w:i w:val="0"/>
                <w:iCs w:val="0"/>
                <w:color w:val="auto"/>
                <w:sz w:val="18"/>
                <w:szCs w:val="18"/>
                <w:highlight w:val="none"/>
                <w:u w:val="none"/>
              </w:rPr>
            </w:pPr>
          </w:p>
        </w:tc>
      </w:tr>
      <w:tr w14:paraId="0ECD8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514EA">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F9D92">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高速公路以南</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DB6F2">
            <w:pPr>
              <w:shd w:val="clear"/>
              <w:jc w:val="center"/>
              <w:rPr>
                <w:rFonts w:hint="eastAsia" w:ascii="宋体" w:hAnsi="宋体" w:eastAsia="宋体" w:cs="宋体"/>
                <w:i w:val="0"/>
                <w:iCs w:val="0"/>
                <w:color w:val="auto"/>
                <w:sz w:val="18"/>
                <w:szCs w:val="18"/>
                <w:highlight w:val="none"/>
                <w:u w:val="none"/>
              </w:rPr>
            </w:pPr>
          </w:p>
        </w:tc>
        <w:tc>
          <w:tcPr>
            <w:tcW w:w="816" w:type="dxa"/>
            <w:tcBorders>
              <w:top w:val="nil"/>
              <w:left w:val="single" w:color="000000" w:sz="4" w:space="0"/>
              <w:bottom w:val="single" w:color="000000" w:sz="4" w:space="0"/>
              <w:right w:val="single" w:color="000000" w:sz="4" w:space="0"/>
            </w:tcBorders>
            <w:shd w:val="clear" w:color="auto" w:fill="auto"/>
            <w:vAlign w:val="center"/>
          </w:tcPr>
          <w:p w14:paraId="475B7EE5">
            <w:pPr>
              <w:shd w:val="clea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F379">
            <w:pPr>
              <w:shd w:val="clear"/>
              <w:jc w:val="center"/>
              <w:rPr>
                <w:rFonts w:hint="eastAsia" w:ascii="宋体" w:hAnsi="宋体" w:eastAsia="宋体" w:cs="宋体"/>
                <w:i w:val="0"/>
                <w:iCs w:val="0"/>
                <w:color w:val="auto"/>
                <w:sz w:val="18"/>
                <w:szCs w:val="18"/>
                <w:highlight w:val="none"/>
                <w:u w:val="none"/>
              </w:rPr>
            </w:pPr>
          </w:p>
        </w:tc>
      </w:tr>
      <w:tr w14:paraId="12AE7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766C">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C5F4A">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南园路（金湾路西侧）</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机动车两侧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5D60">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5DB4966D">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A2257">
            <w:pPr>
              <w:keepNext w:val="0"/>
              <w:keepLines w:val="0"/>
              <w:widowControl/>
              <w:suppressLineNumbers w:val="0"/>
              <w:shd w:val="clear"/>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3465.19</w:t>
            </w:r>
          </w:p>
        </w:tc>
      </w:tr>
      <w:tr w14:paraId="47EC7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25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96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南园路（金湾路西侧）</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非机动车道两侧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BF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0D9967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51B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13920.41</w:t>
            </w:r>
          </w:p>
        </w:tc>
      </w:tr>
      <w:tr w14:paraId="23168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55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B31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南园路（金湾路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荷香路）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机动车两侧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24D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29E8B8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5A2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4794.27</w:t>
            </w:r>
          </w:p>
        </w:tc>
      </w:tr>
      <w:tr w14:paraId="2FFEF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13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0C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南园路（金湾路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荷香路）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非机动车道两侧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97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1FAE1B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48C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6432.79</w:t>
            </w:r>
          </w:p>
        </w:tc>
      </w:tr>
      <w:tr w14:paraId="53534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AC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5AD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金湾路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安宜路以南</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32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546DC6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BE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3366.93</w:t>
            </w:r>
          </w:p>
        </w:tc>
      </w:tr>
      <w:tr w14:paraId="38BA0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F5E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32D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金湾路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（安宜路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宝应大道）</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13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015AAC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D1D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2183.22</w:t>
            </w:r>
          </w:p>
        </w:tc>
      </w:tr>
      <w:tr w14:paraId="0C728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3F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5D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金湾路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（宝应大道</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宝胜路）</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56D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29EEA3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B50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34340.14</w:t>
            </w:r>
          </w:p>
        </w:tc>
      </w:tr>
      <w:tr w14:paraId="1E935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2F4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0E5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荷香路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机动车两侧（宝应大道以南）</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A50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17296E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9F2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4104.99</w:t>
            </w:r>
          </w:p>
        </w:tc>
      </w:tr>
      <w:tr w14:paraId="5C4CA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185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2E4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荷香路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非机动车道两侧（宝应大道以南）</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C65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0A1708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F4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1306.49</w:t>
            </w:r>
          </w:p>
        </w:tc>
      </w:tr>
      <w:tr w14:paraId="08263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E9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2.10 </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BEE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荷香路（宝应大道以北）</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D3F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28D365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FD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28645.73</w:t>
            </w:r>
          </w:p>
        </w:tc>
      </w:tr>
      <w:tr w14:paraId="1CF24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BE7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2.11</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2E9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安宜路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机动车两侧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28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vMerge w:val="restart"/>
            <w:tcBorders>
              <w:top w:val="nil"/>
              <w:left w:val="single" w:color="000000" w:sz="4" w:space="0"/>
              <w:bottom w:val="single" w:color="000000" w:sz="4" w:space="0"/>
              <w:right w:val="single" w:color="000000" w:sz="4" w:space="0"/>
            </w:tcBorders>
            <w:shd w:val="clear" w:color="auto" w:fill="auto"/>
            <w:vAlign w:val="center"/>
          </w:tcPr>
          <w:p w14:paraId="62F118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9E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11900.74</w:t>
            </w:r>
          </w:p>
        </w:tc>
      </w:tr>
      <w:tr w14:paraId="42B16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A6C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2.12 </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470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安宜路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非机动车道两侧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8F0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vMerge w:val="continue"/>
            <w:tcBorders>
              <w:top w:val="nil"/>
              <w:left w:val="single" w:color="000000" w:sz="4" w:space="0"/>
              <w:bottom w:val="single" w:color="000000" w:sz="4" w:space="0"/>
              <w:right w:val="single" w:color="000000" w:sz="4" w:space="0"/>
            </w:tcBorders>
            <w:shd w:val="clear" w:color="auto" w:fill="auto"/>
            <w:vAlign w:val="center"/>
          </w:tcPr>
          <w:p w14:paraId="1E0C7968">
            <w:pP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E2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505.35</w:t>
            </w:r>
          </w:p>
        </w:tc>
      </w:tr>
      <w:tr w14:paraId="3AC1C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2A7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2.13</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C45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画川路（仁政路交叉口）</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EA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373F0E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007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4060.13</w:t>
            </w:r>
          </w:p>
        </w:tc>
      </w:tr>
      <w:tr w14:paraId="1E610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F19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2.14 </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74D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仁政路</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3B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2AABAF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C99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9520.01</w:t>
            </w:r>
          </w:p>
        </w:tc>
      </w:tr>
      <w:tr w14:paraId="36482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263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C18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泰山路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机动车两侧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63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059276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C0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5566.27</w:t>
            </w:r>
          </w:p>
        </w:tc>
      </w:tr>
      <w:tr w14:paraId="70AEB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AF9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2.16 </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EC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泰山路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非机动车道两侧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95B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140FD7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3C0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5581.92</w:t>
            </w:r>
          </w:p>
        </w:tc>
      </w:tr>
      <w:tr w14:paraId="4EA6C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5275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2.17</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BDC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北河路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金湾路西侧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AE7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vMerge w:val="restart"/>
            <w:tcBorders>
              <w:top w:val="nil"/>
              <w:left w:val="single" w:color="000000" w:sz="4" w:space="0"/>
              <w:bottom w:val="single" w:color="000000" w:sz="4" w:space="0"/>
              <w:right w:val="single" w:color="000000" w:sz="4" w:space="0"/>
            </w:tcBorders>
            <w:shd w:val="clear" w:color="auto" w:fill="auto"/>
            <w:vAlign w:val="center"/>
          </w:tcPr>
          <w:p w14:paraId="0848DD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49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5220.59</w:t>
            </w:r>
          </w:p>
        </w:tc>
      </w:tr>
      <w:tr w14:paraId="55EEA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1A077">
            <w:pPr>
              <w:jc w:val="center"/>
              <w:rPr>
                <w:rFonts w:hint="eastAsia" w:ascii="宋体" w:hAnsi="宋体" w:eastAsia="宋体" w:cs="宋体"/>
                <w:i w:val="0"/>
                <w:iCs w:val="0"/>
                <w:color w:val="auto"/>
                <w:sz w:val="18"/>
                <w:szCs w:val="18"/>
                <w:highlight w:val="none"/>
                <w:u w:val="none"/>
              </w:rPr>
            </w:pP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8A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北河路（金湾路东侧）行道树</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2B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株</w:t>
            </w:r>
          </w:p>
        </w:tc>
        <w:tc>
          <w:tcPr>
            <w:tcW w:w="816" w:type="dxa"/>
            <w:vMerge w:val="continue"/>
            <w:tcBorders>
              <w:top w:val="nil"/>
              <w:left w:val="single" w:color="000000" w:sz="4" w:space="0"/>
              <w:bottom w:val="single" w:color="000000" w:sz="4" w:space="0"/>
              <w:right w:val="single" w:color="000000" w:sz="4" w:space="0"/>
            </w:tcBorders>
            <w:shd w:val="clear" w:color="auto" w:fill="auto"/>
            <w:vAlign w:val="center"/>
          </w:tcPr>
          <w:p w14:paraId="07F6BD67">
            <w:pP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91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233</w:t>
            </w:r>
          </w:p>
        </w:tc>
      </w:tr>
      <w:tr w14:paraId="165C3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0D70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2.18 </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FB9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柳河路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金湾路西侧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FF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vMerge w:val="restart"/>
            <w:tcBorders>
              <w:top w:val="nil"/>
              <w:left w:val="single" w:color="000000" w:sz="4" w:space="0"/>
              <w:bottom w:val="single" w:color="000000" w:sz="4" w:space="0"/>
              <w:right w:val="single" w:color="000000" w:sz="4" w:space="0"/>
            </w:tcBorders>
            <w:shd w:val="clear" w:color="auto" w:fill="auto"/>
            <w:vAlign w:val="center"/>
          </w:tcPr>
          <w:p w14:paraId="5F0578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68B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16405.24</w:t>
            </w:r>
          </w:p>
        </w:tc>
      </w:tr>
      <w:tr w14:paraId="709D0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D1C03">
            <w:pPr>
              <w:jc w:val="center"/>
              <w:rPr>
                <w:rFonts w:hint="eastAsia" w:ascii="宋体" w:hAnsi="宋体" w:eastAsia="宋体" w:cs="宋体"/>
                <w:i w:val="0"/>
                <w:iCs w:val="0"/>
                <w:color w:val="auto"/>
                <w:sz w:val="18"/>
                <w:szCs w:val="18"/>
                <w:highlight w:val="none"/>
                <w:u w:val="none"/>
              </w:rPr>
            </w:pP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09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柳河路（金湾路东侧）行道树</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41D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株</w:t>
            </w:r>
          </w:p>
        </w:tc>
        <w:tc>
          <w:tcPr>
            <w:tcW w:w="816" w:type="dxa"/>
            <w:vMerge w:val="continue"/>
            <w:tcBorders>
              <w:top w:val="nil"/>
              <w:left w:val="single" w:color="000000" w:sz="4" w:space="0"/>
              <w:bottom w:val="single" w:color="000000" w:sz="4" w:space="0"/>
              <w:right w:val="single" w:color="000000" w:sz="4" w:space="0"/>
            </w:tcBorders>
            <w:shd w:val="clear" w:color="auto" w:fill="auto"/>
            <w:vAlign w:val="center"/>
          </w:tcPr>
          <w:p w14:paraId="23F25D83">
            <w:pP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03A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156</w:t>
            </w:r>
          </w:p>
        </w:tc>
      </w:tr>
      <w:tr w14:paraId="1DC72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EF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2.19</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A7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光明路</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0E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3DB78F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DE4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241.1</w:t>
            </w:r>
          </w:p>
        </w:tc>
      </w:tr>
      <w:tr w14:paraId="42FC7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BBA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2.20 </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B0A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宝胜路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机动车两侧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0DB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2307CA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A0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8687.07</w:t>
            </w:r>
          </w:p>
        </w:tc>
      </w:tr>
      <w:tr w14:paraId="2240A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1AC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2.21</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1C9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宝胜路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非机动车道两侧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0E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1CA64C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1C1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14026.37</w:t>
            </w:r>
          </w:p>
        </w:tc>
      </w:tr>
      <w:tr w14:paraId="5660E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9D6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2.22 </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A7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金湾小区西侧</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9A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7F908E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01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5139.86</w:t>
            </w:r>
          </w:p>
        </w:tc>
      </w:tr>
      <w:tr w14:paraId="18DF4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9B2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2.23</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221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曙北路行道树</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2F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株</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10DE1475">
            <w:pP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573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r>
      <w:tr w14:paraId="78EA4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E6E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2.24 </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4A9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车站路行道树</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C2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株</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1034D950">
            <w:pP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70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r>
      <w:tr w14:paraId="53E0A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372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2.25</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0F3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七里区间路行道树</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27A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株</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71E9CFAC">
            <w:pP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51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w:t>
            </w:r>
          </w:p>
        </w:tc>
      </w:tr>
      <w:tr w14:paraId="68091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41F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2.26 </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910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荷花路行道树</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5CB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株</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4D3378AF">
            <w:pP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60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164</w:t>
            </w:r>
          </w:p>
        </w:tc>
      </w:tr>
      <w:tr w14:paraId="47890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02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2.27</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03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南园路（荷香路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车站路）行道树</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2F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株</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399877D9">
            <w:pP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83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196</w:t>
            </w:r>
          </w:p>
        </w:tc>
      </w:tr>
      <w:tr w14:paraId="75F2A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B01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2.28</w:t>
            </w: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CAF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应急用工</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9D5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工日</w:t>
            </w:r>
          </w:p>
        </w:tc>
        <w:tc>
          <w:tcPr>
            <w:tcW w:w="816" w:type="dxa"/>
            <w:tcBorders>
              <w:top w:val="nil"/>
              <w:left w:val="single" w:color="000000" w:sz="4" w:space="0"/>
              <w:bottom w:val="single" w:color="000000" w:sz="4" w:space="0"/>
              <w:right w:val="single" w:color="000000" w:sz="4" w:space="0"/>
            </w:tcBorders>
            <w:shd w:val="clear" w:color="auto" w:fill="auto"/>
            <w:vAlign w:val="center"/>
          </w:tcPr>
          <w:p w14:paraId="55B33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C6E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100</w:t>
            </w:r>
          </w:p>
        </w:tc>
      </w:tr>
      <w:tr w14:paraId="32CCD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65A6">
            <w:pPr>
              <w:jc w:val="center"/>
              <w:rPr>
                <w:rFonts w:hint="eastAsia" w:ascii="宋体" w:hAnsi="宋体" w:eastAsia="宋体" w:cs="宋体"/>
                <w:i w:val="0"/>
                <w:iCs w:val="0"/>
                <w:color w:val="auto"/>
                <w:sz w:val="18"/>
                <w:szCs w:val="18"/>
                <w:highlight w:val="none"/>
                <w:u w:val="none"/>
              </w:rPr>
            </w:pPr>
          </w:p>
        </w:tc>
        <w:tc>
          <w:tcPr>
            <w:tcW w:w="4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DF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合计</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9C3D">
            <w:pPr>
              <w:jc w:val="center"/>
              <w:rPr>
                <w:rFonts w:hint="eastAsia" w:ascii="宋体" w:hAnsi="宋体" w:eastAsia="宋体" w:cs="宋体"/>
                <w:i w:val="0"/>
                <w:iCs w:val="0"/>
                <w:color w:val="auto"/>
                <w:sz w:val="18"/>
                <w:szCs w:val="18"/>
                <w:highlight w:val="none"/>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9465F">
            <w:pPr>
              <w:jc w:val="center"/>
              <w:rPr>
                <w:rFonts w:hint="eastAsia" w:ascii="宋体" w:hAnsi="宋体" w:eastAsia="宋体" w:cs="宋体"/>
                <w:i w:val="0"/>
                <w:iCs w:val="0"/>
                <w:color w:val="auto"/>
                <w:sz w:val="18"/>
                <w:szCs w:val="18"/>
                <w:highlight w:val="none"/>
                <w:u w:val="none"/>
              </w:rPr>
            </w:pP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75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189414.81</w:t>
            </w:r>
          </w:p>
        </w:tc>
      </w:tr>
    </w:tbl>
    <w:p w14:paraId="2FC3ECFA">
      <w:pPr>
        <w:pStyle w:val="56"/>
        <w:rPr>
          <w:color w:val="auto"/>
          <w:highlight w:val="none"/>
        </w:rPr>
      </w:pPr>
    </w:p>
    <w:p w14:paraId="347053B4">
      <w:pPr>
        <w:pStyle w:val="56"/>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采购包3：高速公路以北片区绿化养护管养</w:t>
      </w:r>
    </w:p>
    <w:p w14:paraId="28B7B148">
      <w:pPr>
        <w:pStyle w:val="57"/>
        <w:rPr>
          <w:color w:val="auto"/>
          <w:highlight w:val="none"/>
        </w:rPr>
      </w:pPr>
    </w:p>
    <w:tbl>
      <w:tblPr>
        <w:tblStyle w:val="41"/>
        <w:tblW w:w="83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2"/>
        <w:gridCol w:w="4879"/>
        <w:gridCol w:w="625"/>
        <w:gridCol w:w="822"/>
        <w:gridCol w:w="1281"/>
      </w:tblGrid>
      <w:tr w14:paraId="0D23E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9198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4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9687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25B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单位</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F491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养护等级</w:t>
            </w:r>
          </w:p>
        </w:tc>
        <w:tc>
          <w:tcPr>
            <w:tcW w:w="12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BEB7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实测面积</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（平方米）</w:t>
            </w:r>
          </w:p>
        </w:tc>
      </w:tr>
      <w:tr w14:paraId="29556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3BA42">
            <w:pPr>
              <w:jc w:val="center"/>
              <w:rPr>
                <w:rFonts w:hint="eastAsia" w:ascii="宋体" w:hAnsi="宋体" w:eastAsia="宋体" w:cs="宋体"/>
                <w:i w:val="0"/>
                <w:iCs w:val="0"/>
                <w:color w:val="auto"/>
                <w:sz w:val="18"/>
                <w:szCs w:val="18"/>
                <w:highlight w:val="none"/>
                <w:u w:val="none"/>
              </w:rPr>
            </w:pPr>
          </w:p>
        </w:tc>
        <w:tc>
          <w:tcPr>
            <w:tcW w:w="4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ECF91">
            <w:pPr>
              <w:jc w:val="center"/>
              <w:rPr>
                <w:rFonts w:hint="eastAsia" w:ascii="宋体" w:hAnsi="宋体" w:eastAsia="宋体" w:cs="宋体"/>
                <w:i w:val="0"/>
                <w:iCs w:val="0"/>
                <w:color w:val="auto"/>
                <w:sz w:val="18"/>
                <w:szCs w:val="18"/>
                <w:highlight w:val="none"/>
                <w:u w:val="none"/>
              </w:rPr>
            </w:pP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424A7">
            <w:pPr>
              <w:jc w:val="center"/>
              <w:rPr>
                <w:rFonts w:hint="eastAsia" w:ascii="宋体" w:hAnsi="宋体" w:eastAsia="宋体" w:cs="宋体"/>
                <w:i w:val="0"/>
                <w:iCs w:val="0"/>
                <w:color w:val="auto"/>
                <w:sz w:val="18"/>
                <w:szCs w:val="18"/>
                <w:highlight w:val="none"/>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0B135">
            <w:pPr>
              <w:jc w:val="center"/>
              <w:rPr>
                <w:rFonts w:hint="eastAsia" w:ascii="宋体" w:hAnsi="宋体" w:eastAsia="宋体" w:cs="宋体"/>
                <w:i w:val="0"/>
                <w:iCs w:val="0"/>
                <w:color w:val="auto"/>
                <w:sz w:val="18"/>
                <w:szCs w:val="18"/>
                <w:highlight w:val="none"/>
                <w:u w:val="none"/>
              </w:rPr>
            </w:pPr>
          </w:p>
        </w:tc>
        <w:tc>
          <w:tcPr>
            <w:tcW w:w="12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DBDAF">
            <w:pPr>
              <w:jc w:val="center"/>
              <w:rPr>
                <w:rFonts w:hint="eastAsia" w:ascii="宋体" w:hAnsi="宋体" w:eastAsia="宋体" w:cs="宋体"/>
                <w:i w:val="0"/>
                <w:iCs w:val="0"/>
                <w:color w:val="auto"/>
                <w:sz w:val="18"/>
                <w:szCs w:val="18"/>
                <w:highlight w:val="none"/>
                <w:u w:val="none"/>
              </w:rPr>
            </w:pPr>
          </w:p>
        </w:tc>
      </w:tr>
      <w:tr w14:paraId="09D3D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AEB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D62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高速公路以北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6DF68">
            <w:pPr>
              <w:jc w:val="center"/>
              <w:rPr>
                <w:rFonts w:hint="eastAsia" w:ascii="宋体" w:hAnsi="宋体" w:eastAsia="宋体" w:cs="宋体"/>
                <w:i w:val="0"/>
                <w:iCs w:val="0"/>
                <w:color w:val="auto"/>
                <w:sz w:val="18"/>
                <w:szCs w:val="18"/>
                <w:highlight w:val="none"/>
                <w:u w:val="none"/>
              </w:rPr>
            </w:pPr>
          </w:p>
        </w:tc>
        <w:tc>
          <w:tcPr>
            <w:tcW w:w="822" w:type="dxa"/>
            <w:tcBorders>
              <w:top w:val="nil"/>
              <w:left w:val="single" w:color="000000" w:sz="4" w:space="0"/>
              <w:bottom w:val="single" w:color="000000" w:sz="4" w:space="0"/>
              <w:right w:val="single" w:color="000000" w:sz="4" w:space="0"/>
            </w:tcBorders>
            <w:shd w:val="clear" w:color="auto" w:fill="auto"/>
            <w:vAlign w:val="center"/>
          </w:tcPr>
          <w:p w14:paraId="2EB68658">
            <w:pPr>
              <w:jc w:val="center"/>
              <w:rPr>
                <w:rFonts w:hint="eastAsia" w:ascii="宋体" w:hAnsi="宋体" w:eastAsia="宋体" w:cs="宋体"/>
                <w:i w:val="0"/>
                <w:iCs w:val="0"/>
                <w:color w:val="auto"/>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4FB0C">
            <w:pPr>
              <w:jc w:val="center"/>
              <w:rPr>
                <w:rFonts w:hint="eastAsia" w:ascii="宋体" w:hAnsi="宋体" w:eastAsia="宋体" w:cs="宋体"/>
                <w:i w:val="0"/>
                <w:iCs w:val="0"/>
                <w:color w:val="auto"/>
                <w:sz w:val="18"/>
                <w:szCs w:val="18"/>
                <w:highlight w:val="none"/>
                <w:u w:val="none"/>
              </w:rPr>
            </w:pPr>
          </w:p>
        </w:tc>
      </w:tr>
      <w:tr w14:paraId="316F0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4D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7A8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康源路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东阳路西侧</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CE7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7D0D8B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D91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3819.95</w:t>
            </w:r>
          </w:p>
        </w:tc>
      </w:tr>
      <w:tr w14:paraId="76A04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D4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61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同心路行道树</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E8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株</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7101AE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09B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217</w:t>
            </w:r>
          </w:p>
        </w:tc>
      </w:tr>
      <w:tr w14:paraId="12D4E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BB4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7A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北园路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东阳路西侧</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78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1EE5F7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A04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28073.96</w:t>
            </w:r>
          </w:p>
        </w:tc>
      </w:tr>
      <w:tr w14:paraId="24674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A9E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80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北园路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东阳路东侧</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835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5C601D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D04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27068.31</w:t>
            </w:r>
          </w:p>
        </w:tc>
      </w:tr>
      <w:tr w14:paraId="70E54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3D8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DE2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幸福路</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191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00A99D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FE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21734.46</w:t>
            </w:r>
          </w:p>
        </w:tc>
      </w:tr>
      <w:tr w14:paraId="0A437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0B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3FC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幸福路西侧</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60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2DE7A2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25C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3741.64</w:t>
            </w:r>
          </w:p>
        </w:tc>
      </w:tr>
      <w:tr w14:paraId="54ED3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28A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1E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广场南路</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910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2305F9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18C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2738.16</w:t>
            </w:r>
          </w:p>
        </w:tc>
      </w:tr>
      <w:tr w14:paraId="130E7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996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674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名仁路</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9EB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0A1BDF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9B8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13124.88</w:t>
            </w:r>
          </w:p>
        </w:tc>
      </w:tr>
      <w:tr w14:paraId="4F62C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BCF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0C2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金源路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东阳路西侧</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711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38ED53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74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10410.9</w:t>
            </w:r>
          </w:p>
        </w:tc>
      </w:tr>
      <w:tr w14:paraId="6878E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5E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3.10 </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E29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金源路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东阳路东侧</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0B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6A45E1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F9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47538.71</w:t>
            </w:r>
          </w:p>
        </w:tc>
      </w:tr>
      <w:tr w14:paraId="76D84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DFB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3.11</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A4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联合路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幸福路西侧</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A7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vMerge w:val="restart"/>
            <w:tcBorders>
              <w:top w:val="nil"/>
              <w:left w:val="single" w:color="000000" w:sz="4" w:space="0"/>
              <w:bottom w:val="single" w:color="000000" w:sz="4" w:space="0"/>
              <w:right w:val="single" w:color="000000" w:sz="4" w:space="0"/>
            </w:tcBorders>
            <w:shd w:val="clear" w:color="auto" w:fill="auto"/>
            <w:vAlign w:val="center"/>
          </w:tcPr>
          <w:p w14:paraId="75252A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二级</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E08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28758.68</w:t>
            </w:r>
          </w:p>
        </w:tc>
      </w:tr>
      <w:tr w14:paraId="065A0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02F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3.12</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212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联合路</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幸福路东侧</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024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vMerge w:val="continue"/>
            <w:tcBorders>
              <w:top w:val="nil"/>
              <w:left w:val="single" w:color="000000" w:sz="4" w:space="0"/>
              <w:bottom w:val="single" w:color="000000" w:sz="4" w:space="0"/>
              <w:right w:val="single" w:color="000000" w:sz="4" w:space="0"/>
            </w:tcBorders>
            <w:shd w:val="clear" w:color="auto" w:fill="auto"/>
            <w:vAlign w:val="center"/>
          </w:tcPr>
          <w:p w14:paraId="74B80AFD">
            <w:pPr>
              <w:jc w:val="center"/>
              <w:rPr>
                <w:rFonts w:hint="eastAsia" w:ascii="宋体" w:hAnsi="宋体" w:eastAsia="宋体" w:cs="宋体"/>
                <w:i w:val="0"/>
                <w:iCs w:val="0"/>
                <w:color w:val="auto"/>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8F0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14106.83</w:t>
            </w:r>
          </w:p>
        </w:tc>
      </w:tr>
      <w:tr w14:paraId="5C332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B4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3.13</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8EF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苗圃</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21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2F35D58C">
            <w:pPr>
              <w:jc w:val="center"/>
              <w:rPr>
                <w:rFonts w:hint="eastAsia" w:ascii="宋体" w:hAnsi="宋体" w:eastAsia="宋体" w:cs="宋体"/>
                <w:i w:val="0"/>
                <w:iCs w:val="0"/>
                <w:color w:val="auto"/>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E0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92106.75</w:t>
            </w:r>
          </w:p>
        </w:tc>
      </w:tr>
      <w:tr w14:paraId="017C0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3B17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3.14</w:t>
            </w: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96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应急用工</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C058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工日</w:t>
            </w:r>
          </w:p>
        </w:tc>
        <w:tc>
          <w:tcPr>
            <w:tcW w:w="822" w:type="dxa"/>
            <w:tcBorders>
              <w:top w:val="nil"/>
              <w:left w:val="single" w:color="000000" w:sz="4" w:space="0"/>
              <w:bottom w:val="single" w:color="000000" w:sz="4" w:space="0"/>
              <w:right w:val="single" w:color="000000" w:sz="4" w:space="0"/>
            </w:tcBorders>
            <w:shd w:val="clear" w:color="auto" w:fill="auto"/>
            <w:vAlign w:val="center"/>
          </w:tcPr>
          <w:p w14:paraId="74CCC2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bidi="ar-SA"/>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FD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100</w:t>
            </w:r>
          </w:p>
        </w:tc>
      </w:tr>
      <w:tr w14:paraId="0B376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9724">
            <w:pPr>
              <w:jc w:val="center"/>
              <w:rPr>
                <w:rFonts w:hint="eastAsia" w:ascii="宋体" w:hAnsi="宋体" w:eastAsia="宋体" w:cs="宋体"/>
                <w:i w:val="0"/>
                <w:iCs w:val="0"/>
                <w:color w:val="auto"/>
                <w:sz w:val="18"/>
                <w:szCs w:val="18"/>
                <w:highlight w:val="none"/>
                <w:u w:val="none"/>
              </w:rPr>
            </w:pPr>
          </w:p>
        </w:tc>
        <w:tc>
          <w:tcPr>
            <w:tcW w:w="4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43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合计</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9A63F">
            <w:pPr>
              <w:jc w:val="center"/>
              <w:rPr>
                <w:rFonts w:hint="eastAsia" w:ascii="宋体" w:hAnsi="宋体" w:eastAsia="宋体" w:cs="宋体"/>
                <w:i w:val="0"/>
                <w:iCs w:val="0"/>
                <w:color w:val="auto"/>
                <w:sz w:val="18"/>
                <w:szCs w:val="18"/>
                <w:highlight w:val="none"/>
                <w:u w:val="none"/>
              </w:rPr>
            </w:pPr>
          </w:p>
        </w:tc>
        <w:tc>
          <w:tcPr>
            <w:tcW w:w="822" w:type="dxa"/>
            <w:tcBorders>
              <w:top w:val="nil"/>
              <w:left w:val="single" w:color="000000" w:sz="4" w:space="0"/>
              <w:bottom w:val="single" w:color="000000" w:sz="4" w:space="0"/>
              <w:right w:val="single" w:color="000000" w:sz="4" w:space="0"/>
            </w:tcBorders>
            <w:shd w:val="clear" w:color="auto" w:fill="auto"/>
            <w:vAlign w:val="center"/>
          </w:tcPr>
          <w:p w14:paraId="0A8F2FF1">
            <w:pPr>
              <w:jc w:val="center"/>
              <w:rPr>
                <w:rFonts w:hint="eastAsia" w:ascii="宋体" w:hAnsi="宋体" w:eastAsia="宋体" w:cs="宋体"/>
                <w:i w:val="0"/>
                <w:iCs w:val="0"/>
                <w:color w:val="auto"/>
                <w:sz w:val="18"/>
                <w:szCs w:val="18"/>
                <w:highlight w:val="none"/>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15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293223.23</w:t>
            </w:r>
          </w:p>
        </w:tc>
      </w:tr>
    </w:tbl>
    <w:p w14:paraId="39D00F53">
      <w:pPr>
        <w:rPr>
          <w:color w:val="auto"/>
          <w:highlight w:val="none"/>
        </w:rPr>
      </w:pPr>
    </w:p>
    <w:p w14:paraId="67444EB2">
      <w:pPr>
        <w:keepNext w:val="0"/>
        <w:keepLines w:val="0"/>
        <w:pageBreakBefore w:val="0"/>
        <w:widowControl w:val="0"/>
        <w:kinsoku/>
        <w:wordWrap/>
        <w:overflowPunct/>
        <w:topLinePunct w:val="0"/>
        <w:autoSpaceDE/>
        <w:autoSpaceDN/>
        <w:bidi w:val="0"/>
        <w:adjustRightInd/>
        <w:snapToGrid/>
        <w:spacing w:line="440" w:lineRule="exact"/>
        <w:textAlignment w:val="auto"/>
        <w:rPr>
          <w:color w:val="auto"/>
          <w:sz w:val="24"/>
          <w:szCs w:val="24"/>
          <w:highlight w:val="none"/>
        </w:rPr>
      </w:pPr>
      <w:r>
        <w:rPr>
          <w:color w:val="auto"/>
          <w:sz w:val="24"/>
          <w:szCs w:val="24"/>
          <w:highlight w:val="none"/>
        </w:rPr>
        <w:t xml:space="preserve">  </w:t>
      </w:r>
      <w:r>
        <w:rPr>
          <w:rFonts w:hint="eastAsia"/>
          <w:color w:val="auto"/>
          <w:sz w:val="24"/>
          <w:szCs w:val="24"/>
          <w:highlight w:val="none"/>
          <w:lang w:eastAsia="zh-CN"/>
        </w:rPr>
        <w:t>2.</w:t>
      </w:r>
      <w:r>
        <w:rPr>
          <w:rFonts w:hint="eastAsia"/>
          <w:color w:val="auto"/>
          <w:sz w:val="24"/>
          <w:szCs w:val="24"/>
          <w:highlight w:val="none"/>
        </w:rPr>
        <w:t>服务期限：</w:t>
      </w:r>
      <w:r>
        <w:rPr>
          <w:rFonts w:hint="eastAsia"/>
          <w:color w:val="auto"/>
          <w:sz w:val="24"/>
          <w:szCs w:val="24"/>
          <w:highlight w:val="none"/>
          <w:lang w:val="en-US" w:eastAsia="zh-CN"/>
        </w:rPr>
        <w:t>1</w:t>
      </w:r>
      <w:r>
        <w:rPr>
          <w:rFonts w:hint="eastAsia"/>
          <w:color w:val="auto"/>
          <w:sz w:val="24"/>
          <w:szCs w:val="24"/>
          <w:highlight w:val="none"/>
        </w:rPr>
        <w:t>年</w:t>
      </w:r>
      <w:r>
        <w:rPr>
          <w:color w:val="auto"/>
          <w:sz w:val="24"/>
          <w:szCs w:val="24"/>
          <w:highlight w:val="none"/>
        </w:rPr>
        <w:t>，</w:t>
      </w:r>
      <w:r>
        <w:rPr>
          <w:rFonts w:hint="eastAsia"/>
          <w:color w:val="auto"/>
          <w:sz w:val="24"/>
          <w:highlight w:val="none"/>
        </w:rPr>
        <w:t>自202</w:t>
      </w:r>
      <w:r>
        <w:rPr>
          <w:rFonts w:hint="eastAsia"/>
          <w:color w:val="auto"/>
          <w:sz w:val="24"/>
          <w:highlight w:val="none"/>
          <w:lang w:val="en-US" w:eastAsia="zh-CN"/>
        </w:rPr>
        <w:t>6</w:t>
      </w:r>
      <w:r>
        <w:rPr>
          <w:rFonts w:hint="eastAsia"/>
          <w:color w:val="auto"/>
          <w:sz w:val="24"/>
          <w:highlight w:val="none"/>
        </w:rPr>
        <w:t>年</w:t>
      </w:r>
      <w:r>
        <w:rPr>
          <w:rFonts w:hint="eastAsia"/>
          <w:color w:val="auto"/>
          <w:sz w:val="24"/>
          <w:highlight w:val="none"/>
          <w:lang w:val="en-US" w:eastAsia="zh-CN"/>
        </w:rPr>
        <w:t xml:space="preserve">  </w:t>
      </w:r>
      <w:r>
        <w:rPr>
          <w:rFonts w:hint="eastAsia"/>
          <w:color w:val="auto"/>
          <w:sz w:val="24"/>
          <w:highlight w:val="none"/>
        </w:rPr>
        <w:t>月</w:t>
      </w:r>
      <w:r>
        <w:rPr>
          <w:rFonts w:hint="eastAsia"/>
          <w:color w:val="auto"/>
          <w:sz w:val="24"/>
          <w:highlight w:val="none"/>
          <w:lang w:val="en-US" w:eastAsia="zh-CN"/>
        </w:rPr>
        <w:t xml:space="preserve">  </w:t>
      </w:r>
      <w:r>
        <w:rPr>
          <w:rFonts w:hint="eastAsia"/>
          <w:color w:val="auto"/>
          <w:sz w:val="24"/>
          <w:highlight w:val="none"/>
        </w:rPr>
        <w:t>日起至202</w:t>
      </w:r>
      <w:r>
        <w:rPr>
          <w:rFonts w:hint="eastAsia"/>
          <w:color w:val="auto"/>
          <w:sz w:val="24"/>
          <w:highlight w:val="none"/>
          <w:lang w:val="en-US" w:eastAsia="zh-CN"/>
        </w:rPr>
        <w:t>7</w:t>
      </w:r>
      <w:r>
        <w:rPr>
          <w:rFonts w:hint="eastAsia"/>
          <w:color w:val="auto"/>
          <w:sz w:val="24"/>
          <w:highlight w:val="none"/>
        </w:rPr>
        <w:t>年</w:t>
      </w:r>
      <w:r>
        <w:rPr>
          <w:rFonts w:hint="eastAsia"/>
          <w:color w:val="auto"/>
          <w:sz w:val="24"/>
          <w:highlight w:val="none"/>
          <w:lang w:val="en-US" w:eastAsia="zh-CN"/>
        </w:rPr>
        <w:t xml:space="preserve">  </w:t>
      </w:r>
      <w:r>
        <w:rPr>
          <w:rFonts w:hint="eastAsia"/>
          <w:color w:val="auto"/>
          <w:sz w:val="24"/>
          <w:highlight w:val="none"/>
        </w:rPr>
        <w:t>月</w:t>
      </w:r>
      <w:r>
        <w:rPr>
          <w:rFonts w:hint="eastAsia"/>
          <w:color w:val="auto"/>
          <w:sz w:val="24"/>
          <w:highlight w:val="none"/>
          <w:lang w:val="en-US" w:eastAsia="zh-CN"/>
        </w:rPr>
        <w:t xml:space="preserve">  </w:t>
      </w:r>
      <w:r>
        <w:rPr>
          <w:rFonts w:hint="eastAsia"/>
          <w:color w:val="auto"/>
          <w:sz w:val="24"/>
          <w:highlight w:val="none"/>
        </w:rPr>
        <w:t>日止</w:t>
      </w:r>
      <w:r>
        <w:rPr>
          <w:rFonts w:hint="eastAsia"/>
          <w:color w:val="auto"/>
          <w:sz w:val="24"/>
          <w:highlight w:val="none"/>
          <w:lang w:eastAsia="zh-CN"/>
        </w:rPr>
        <w:t>（</w:t>
      </w:r>
      <w:r>
        <w:rPr>
          <w:rFonts w:hint="eastAsia"/>
          <w:color w:val="auto"/>
          <w:sz w:val="24"/>
          <w:highlight w:val="none"/>
        </w:rPr>
        <w:t>具体以签订合同时间为准</w:t>
      </w:r>
      <w:r>
        <w:rPr>
          <w:rFonts w:hint="eastAsia"/>
          <w:color w:val="auto"/>
          <w:sz w:val="24"/>
          <w:highlight w:val="none"/>
          <w:lang w:eastAsia="zh-CN"/>
        </w:rPr>
        <w:t>）</w:t>
      </w:r>
      <w:r>
        <w:rPr>
          <w:rFonts w:hint="eastAsia"/>
          <w:color w:val="auto"/>
          <w:sz w:val="24"/>
          <w:highlight w:val="none"/>
        </w:rPr>
        <w:t>。</w:t>
      </w:r>
    </w:p>
    <w:p w14:paraId="78E0BCD2">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color w:val="auto"/>
          <w:sz w:val="24"/>
          <w:szCs w:val="24"/>
          <w:highlight w:val="none"/>
        </w:rPr>
      </w:pPr>
      <w:r>
        <w:rPr>
          <w:rFonts w:hint="eastAsia"/>
          <w:color w:val="auto"/>
          <w:sz w:val="24"/>
          <w:szCs w:val="24"/>
          <w:highlight w:val="none"/>
          <w:lang w:eastAsia="zh-CN"/>
        </w:rPr>
        <w:t>3.</w:t>
      </w:r>
      <w:r>
        <w:rPr>
          <w:rFonts w:hint="eastAsia"/>
          <w:color w:val="auto"/>
          <w:sz w:val="24"/>
          <w:szCs w:val="24"/>
          <w:highlight w:val="none"/>
        </w:rPr>
        <w:t>投标人应</w:t>
      </w:r>
      <w:r>
        <w:rPr>
          <w:rFonts w:hint="eastAsia"/>
          <w:color w:val="auto"/>
          <w:sz w:val="24"/>
          <w:szCs w:val="24"/>
          <w:highlight w:val="none"/>
          <w:lang w:val="en-US" w:eastAsia="zh-CN"/>
        </w:rPr>
        <w:t>自行</w:t>
      </w:r>
      <w:r>
        <w:rPr>
          <w:rFonts w:hint="eastAsia"/>
          <w:color w:val="auto"/>
          <w:sz w:val="24"/>
          <w:szCs w:val="24"/>
          <w:highlight w:val="none"/>
        </w:rPr>
        <w:t>对项目现场进行踏勘，</w:t>
      </w:r>
      <w:r>
        <w:rPr>
          <w:rFonts w:hint="eastAsia"/>
          <w:color w:val="auto"/>
          <w:sz w:val="24"/>
          <w:szCs w:val="24"/>
          <w:highlight w:val="none"/>
          <w:lang w:val="en-US" w:eastAsia="zh-CN"/>
        </w:rPr>
        <w:t>费用自理</w:t>
      </w:r>
      <w:r>
        <w:rPr>
          <w:rFonts w:hint="eastAsia"/>
          <w:color w:val="auto"/>
          <w:sz w:val="24"/>
          <w:szCs w:val="24"/>
          <w:highlight w:val="none"/>
        </w:rPr>
        <w:t>。投标人在投标时应充分考虑现场实际情况，采购人不负担因投标人对项目现场情况考虑不周而产生的其他任何费用</w:t>
      </w:r>
      <w:r>
        <w:rPr>
          <w:color w:val="auto"/>
          <w:sz w:val="24"/>
          <w:szCs w:val="24"/>
          <w:highlight w:val="none"/>
        </w:rPr>
        <w:t>。</w:t>
      </w:r>
    </w:p>
    <w:p w14:paraId="3BFA5CB6">
      <w:pPr>
        <w:spacing w:line="440" w:lineRule="exact"/>
        <w:ind w:firstLine="480"/>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本项目共分</w:t>
      </w:r>
      <w:r>
        <w:rPr>
          <w:rFonts w:hint="eastAsia" w:asciiTheme="minorEastAsia" w:hAnsiTheme="minorEastAsia" w:eastAsiaTheme="minorEastAsia" w:cstheme="minorEastAsia"/>
          <w:i/>
          <w:iCs/>
          <w:color w:val="auto"/>
          <w:sz w:val="24"/>
          <w:szCs w:val="24"/>
          <w:highlight w:val="none"/>
          <w:u w:val="single"/>
          <w:lang w:val="en-US" w:eastAsia="zh-CN"/>
        </w:rPr>
        <w:t>三</w:t>
      </w:r>
      <w:r>
        <w:rPr>
          <w:rFonts w:hint="eastAsia" w:asciiTheme="minorEastAsia" w:hAnsiTheme="minorEastAsia" w:eastAsiaTheme="minorEastAsia" w:cstheme="minorEastAsia"/>
          <w:i/>
          <w:iCs/>
          <w:color w:val="auto"/>
          <w:sz w:val="24"/>
          <w:szCs w:val="24"/>
          <w:highlight w:val="none"/>
          <w:u w:val="single"/>
          <w:lang w:eastAsia="zh-CN"/>
        </w:rPr>
        <w:t>个标</w:t>
      </w:r>
      <w:r>
        <w:rPr>
          <w:rFonts w:hint="eastAsia" w:asciiTheme="minorEastAsia" w:hAnsiTheme="minorEastAsia" w:eastAsiaTheme="minorEastAsia" w:cstheme="minorEastAsia"/>
          <w:i/>
          <w:iCs/>
          <w:color w:val="auto"/>
          <w:sz w:val="24"/>
          <w:szCs w:val="24"/>
          <w:highlight w:val="none"/>
          <w:u w:val="single"/>
          <w:lang w:val="en-US" w:eastAsia="zh-CN"/>
        </w:rPr>
        <w:t>包</w:t>
      </w:r>
      <w:r>
        <w:rPr>
          <w:rFonts w:hint="eastAsia" w:asciiTheme="minorEastAsia" w:hAnsiTheme="minorEastAsia" w:eastAsiaTheme="minorEastAsia" w:cstheme="minorEastAsia"/>
          <w:i/>
          <w:iCs/>
          <w:color w:val="auto"/>
          <w:sz w:val="24"/>
          <w:szCs w:val="24"/>
          <w:highlight w:val="none"/>
          <w:u w:val="single"/>
          <w:lang w:eastAsia="zh-CN"/>
        </w:rPr>
        <w:t>，投标单位可同时参与</w:t>
      </w:r>
      <w:r>
        <w:rPr>
          <w:rFonts w:hint="eastAsia" w:asciiTheme="minorEastAsia" w:hAnsiTheme="minorEastAsia" w:eastAsiaTheme="minorEastAsia" w:cstheme="minorEastAsia"/>
          <w:i/>
          <w:iCs/>
          <w:color w:val="auto"/>
          <w:sz w:val="24"/>
          <w:szCs w:val="24"/>
          <w:highlight w:val="none"/>
          <w:u w:val="single"/>
          <w:lang w:val="en-US" w:eastAsia="zh-CN"/>
        </w:rPr>
        <w:t>三</w:t>
      </w:r>
      <w:r>
        <w:rPr>
          <w:rFonts w:hint="eastAsia" w:asciiTheme="minorEastAsia" w:hAnsiTheme="minorEastAsia" w:eastAsiaTheme="minorEastAsia" w:cstheme="minorEastAsia"/>
          <w:i/>
          <w:iCs/>
          <w:color w:val="auto"/>
          <w:sz w:val="24"/>
          <w:szCs w:val="24"/>
          <w:highlight w:val="none"/>
          <w:u w:val="single"/>
          <w:lang w:eastAsia="zh-CN"/>
        </w:rPr>
        <w:t>个</w:t>
      </w:r>
      <w:r>
        <w:rPr>
          <w:rFonts w:hint="eastAsia" w:asciiTheme="minorEastAsia" w:hAnsiTheme="minorEastAsia" w:eastAsiaTheme="minorEastAsia" w:cstheme="minorEastAsia"/>
          <w:i/>
          <w:iCs/>
          <w:color w:val="auto"/>
          <w:sz w:val="24"/>
          <w:szCs w:val="24"/>
          <w:highlight w:val="none"/>
          <w:u w:val="single"/>
          <w:lang w:val="en-US" w:eastAsia="zh-CN"/>
        </w:rPr>
        <w:t>标包</w:t>
      </w:r>
      <w:r>
        <w:rPr>
          <w:rFonts w:hint="eastAsia" w:asciiTheme="minorEastAsia" w:hAnsiTheme="minorEastAsia" w:eastAsiaTheme="minorEastAsia" w:cstheme="minorEastAsia"/>
          <w:i/>
          <w:iCs/>
          <w:color w:val="auto"/>
          <w:sz w:val="24"/>
          <w:szCs w:val="24"/>
          <w:highlight w:val="none"/>
          <w:u w:val="single"/>
          <w:lang w:eastAsia="zh-CN"/>
        </w:rPr>
        <w:t>，但只能中一个标</w:t>
      </w:r>
      <w:r>
        <w:rPr>
          <w:rFonts w:hint="eastAsia" w:asciiTheme="minorEastAsia" w:hAnsiTheme="minorEastAsia" w:eastAsiaTheme="minorEastAsia" w:cstheme="minorEastAsia"/>
          <w:i/>
          <w:iCs/>
          <w:color w:val="auto"/>
          <w:sz w:val="24"/>
          <w:szCs w:val="24"/>
          <w:highlight w:val="none"/>
          <w:u w:val="single"/>
          <w:lang w:val="en-US" w:eastAsia="zh-CN"/>
        </w:rPr>
        <w:t>包</w:t>
      </w:r>
      <w:r>
        <w:rPr>
          <w:rFonts w:hint="eastAsia" w:asciiTheme="minorEastAsia" w:hAnsiTheme="minorEastAsia" w:eastAsiaTheme="minorEastAsia" w:cstheme="minorEastAsia"/>
          <w:i/>
          <w:iCs/>
          <w:color w:val="auto"/>
          <w:sz w:val="24"/>
          <w:szCs w:val="24"/>
          <w:highlight w:val="none"/>
          <w:u w:val="single"/>
          <w:lang w:eastAsia="zh-CN"/>
        </w:rPr>
        <w:t>。开标、评标、定标按</w:t>
      </w:r>
      <w:r>
        <w:rPr>
          <w:rFonts w:hint="eastAsia" w:asciiTheme="minorEastAsia" w:hAnsiTheme="minorEastAsia" w:eastAsiaTheme="minorEastAsia" w:cstheme="minorEastAsia"/>
          <w:i/>
          <w:iCs/>
          <w:color w:val="auto"/>
          <w:sz w:val="24"/>
          <w:szCs w:val="24"/>
          <w:highlight w:val="none"/>
          <w:u w:val="single"/>
          <w:lang w:val="en-US" w:eastAsia="zh-CN"/>
        </w:rPr>
        <w:t>1</w:t>
      </w:r>
      <w:r>
        <w:rPr>
          <w:rFonts w:hint="eastAsia" w:asciiTheme="minorEastAsia" w:hAnsiTheme="minorEastAsia" w:eastAsiaTheme="minorEastAsia" w:cstheme="minorEastAsia"/>
          <w:i/>
          <w:iCs/>
          <w:color w:val="auto"/>
          <w:sz w:val="24"/>
          <w:szCs w:val="24"/>
          <w:highlight w:val="none"/>
          <w:u w:val="single"/>
          <w:lang w:eastAsia="zh-CN"/>
        </w:rPr>
        <w:t>、</w:t>
      </w:r>
      <w:r>
        <w:rPr>
          <w:rFonts w:hint="eastAsia" w:asciiTheme="minorEastAsia" w:hAnsiTheme="minorEastAsia" w:eastAsiaTheme="minorEastAsia" w:cstheme="minorEastAsia"/>
          <w:i/>
          <w:iCs/>
          <w:color w:val="auto"/>
          <w:sz w:val="24"/>
          <w:szCs w:val="24"/>
          <w:highlight w:val="none"/>
          <w:u w:val="single"/>
          <w:lang w:val="en-US" w:eastAsia="zh-CN"/>
        </w:rPr>
        <w:t>2</w:t>
      </w:r>
      <w:r>
        <w:rPr>
          <w:rFonts w:hint="eastAsia" w:asciiTheme="minorEastAsia" w:hAnsiTheme="minorEastAsia" w:eastAsiaTheme="minorEastAsia" w:cstheme="minorEastAsia"/>
          <w:i/>
          <w:iCs/>
          <w:color w:val="auto"/>
          <w:sz w:val="24"/>
          <w:szCs w:val="24"/>
          <w:highlight w:val="none"/>
          <w:u w:val="single"/>
          <w:lang w:eastAsia="zh-CN"/>
        </w:rPr>
        <w:t>、</w:t>
      </w:r>
      <w:r>
        <w:rPr>
          <w:rFonts w:hint="eastAsia" w:asciiTheme="minorEastAsia" w:hAnsiTheme="minorEastAsia" w:eastAsiaTheme="minorEastAsia" w:cstheme="minorEastAsia"/>
          <w:i/>
          <w:iCs/>
          <w:color w:val="auto"/>
          <w:sz w:val="24"/>
          <w:szCs w:val="24"/>
          <w:highlight w:val="none"/>
          <w:u w:val="single"/>
          <w:lang w:val="en-US" w:eastAsia="zh-CN"/>
        </w:rPr>
        <w:t>3</w:t>
      </w:r>
      <w:r>
        <w:rPr>
          <w:rFonts w:hint="eastAsia" w:asciiTheme="minorEastAsia" w:hAnsiTheme="minorEastAsia" w:eastAsiaTheme="minorEastAsia" w:cstheme="minorEastAsia"/>
          <w:i/>
          <w:iCs/>
          <w:color w:val="auto"/>
          <w:sz w:val="24"/>
          <w:szCs w:val="24"/>
          <w:highlight w:val="none"/>
          <w:u w:val="single"/>
          <w:lang w:eastAsia="zh-CN"/>
        </w:rPr>
        <w:t>采购包的顺序进行，采购包1中标的投标人可参与后续标</w:t>
      </w:r>
      <w:r>
        <w:rPr>
          <w:rFonts w:hint="eastAsia" w:asciiTheme="minorEastAsia" w:hAnsiTheme="minorEastAsia" w:eastAsiaTheme="minorEastAsia" w:cstheme="minorEastAsia"/>
          <w:i/>
          <w:iCs/>
          <w:color w:val="auto"/>
          <w:sz w:val="24"/>
          <w:szCs w:val="24"/>
          <w:highlight w:val="none"/>
          <w:u w:val="single"/>
          <w:lang w:val="en-US" w:eastAsia="zh-CN"/>
        </w:rPr>
        <w:t>包</w:t>
      </w:r>
      <w:r>
        <w:rPr>
          <w:rFonts w:hint="eastAsia" w:asciiTheme="minorEastAsia" w:hAnsiTheme="minorEastAsia" w:eastAsiaTheme="minorEastAsia" w:cstheme="minorEastAsia"/>
          <w:i/>
          <w:iCs/>
          <w:color w:val="auto"/>
          <w:sz w:val="24"/>
          <w:szCs w:val="24"/>
          <w:highlight w:val="none"/>
          <w:u w:val="single"/>
          <w:lang w:eastAsia="zh-CN"/>
        </w:rPr>
        <w:t>的评审但不参与推荐中标候选人，以此类推。投标</w:t>
      </w:r>
      <w:r>
        <w:rPr>
          <w:rFonts w:hint="eastAsia" w:asciiTheme="minorEastAsia" w:hAnsiTheme="minorEastAsia" w:eastAsiaTheme="minorEastAsia" w:cstheme="minorEastAsia"/>
          <w:i/>
          <w:iCs/>
          <w:color w:val="auto"/>
          <w:sz w:val="24"/>
          <w:szCs w:val="24"/>
          <w:highlight w:val="none"/>
          <w:u w:val="single"/>
          <w:lang w:val="en-US" w:eastAsia="zh-CN"/>
        </w:rPr>
        <w:t>单位</w:t>
      </w:r>
      <w:r>
        <w:rPr>
          <w:rFonts w:hint="eastAsia" w:asciiTheme="minorEastAsia" w:hAnsiTheme="minorEastAsia" w:eastAsiaTheme="minorEastAsia" w:cstheme="minorEastAsia"/>
          <w:i/>
          <w:iCs/>
          <w:color w:val="auto"/>
          <w:sz w:val="24"/>
          <w:szCs w:val="24"/>
          <w:highlight w:val="none"/>
          <w:u w:val="single"/>
          <w:lang w:eastAsia="zh-CN"/>
        </w:rPr>
        <w:t>须同时对所有分包进行投报，不得漏报，否则将作无效投标处理。</w:t>
      </w:r>
    </w:p>
    <w:p w14:paraId="153CB72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color w:val="auto"/>
          <w:sz w:val="24"/>
          <w:szCs w:val="24"/>
          <w:highlight w:val="none"/>
        </w:rPr>
      </w:pPr>
      <w:r>
        <w:rPr>
          <w:rFonts w:hint="eastAsia"/>
          <w:color w:val="auto"/>
          <w:sz w:val="24"/>
          <w:szCs w:val="24"/>
          <w:highlight w:val="none"/>
          <w:lang w:eastAsia="zh-CN"/>
        </w:rPr>
        <w:t>4.</w:t>
      </w:r>
      <w:r>
        <w:rPr>
          <w:rFonts w:hint="eastAsia"/>
          <w:color w:val="auto"/>
          <w:sz w:val="24"/>
          <w:szCs w:val="24"/>
          <w:highlight w:val="none"/>
        </w:rPr>
        <w:t>服务内容</w:t>
      </w:r>
      <w:r>
        <w:rPr>
          <w:color w:val="auto"/>
          <w:sz w:val="24"/>
          <w:szCs w:val="24"/>
          <w:highlight w:val="none"/>
        </w:rPr>
        <w:t>：</w:t>
      </w:r>
    </w:p>
    <w:p w14:paraId="5E2578F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highlight w:val="none"/>
        </w:rPr>
        <w:t>4.1</w:t>
      </w:r>
      <w:r>
        <w:rPr>
          <w:rFonts w:hint="eastAsia"/>
          <w:color w:val="auto"/>
          <w:sz w:val="24"/>
          <w:szCs w:val="24"/>
          <w:highlight w:val="none"/>
        </w:rPr>
        <w:t>绿地、游园、广场等的绿化</w:t>
      </w:r>
      <w:r>
        <w:rPr>
          <w:color w:val="auto"/>
          <w:sz w:val="24"/>
          <w:szCs w:val="24"/>
          <w:highlight w:val="none"/>
        </w:rPr>
        <w:t>养护</w:t>
      </w:r>
      <w:r>
        <w:rPr>
          <w:rFonts w:hint="eastAsia"/>
          <w:color w:val="auto"/>
          <w:sz w:val="24"/>
          <w:szCs w:val="24"/>
          <w:highlight w:val="none"/>
        </w:rPr>
        <w:t>，主要包括绿化苗木修剪、杂草清理、病虫害防治、混播草坪、防冻抗旱防涝、绿化垃圾收集处理等；</w:t>
      </w:r>
    </w:p>
    <w:p w14:paraId="6B60DE8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highlight w:val="none"/>
        </w:rPr>
      </w:pPr>
      <w:r>
        <w:rPr>
          <w:rFonts w:hint="eastAsia"/>
          <w:color w:val="auto"/>
          <w:sz w:val="24"/>
          <w:highlight w:val="none"/>
        </w:rPr>
        <w:t>4.</w:t>
      </w:r>
      <w:r>
        <w:rPr>
          <w:color w:val="auto"/>
          <w:sz w:val="24"/>
          <w:highlight w:val="none"/>
        </w:rPr>
        <w:t>2</w:t>
      </w:r>
      <w:r>
        <w:rPr>
          <w:rFonts w:hint="eastAsia"/>
          <w:color w:val="auto"/>
          <w:sz w:val="24"/>
          <w:highlight w:val="none"/>
        </w:rPr>
        <w:t>绿地及园林设施日常保洁管理；</w:t>
      </w:r>
    </w:p>
    <w:p w14:paraId="0BC9BF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highlight w:val="none"/>
        </w:rPr>
      </w:pPr>
      <w:r>
        <w:rPr>
          <w:rFonts w:hint="eastAsia"/>
          <w:color w:val="auto"/>
          <w:sz w:val="24"/>
          <w:highlight w:val="none"/>
        </w:rPr>
        <w:t>4.3</w:t>
      </w:r>
      <w:r>
        <w:rPr>
          <w:color w:val="auto"/>
          <w:sz w:val="24"/>
          <w:highlight w:val="none"/>
        </w:rPr>
        <w:t>绿地保护</w:t>
      </w:r>
      <w:r>
        <w:rPr>
          <w:rFonts w:hint="eastAsia"/>
          <w:color w:val="auto"/>
          <w:sz w:val="24"/>
          <w:highlight w:val="none"/>
        </w:rPr>
        <w:t>；</w:t>
      </w:r>
    </w:p>
    <w:p w14:paraId="719C289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highlight w:val="none"/>
        </w:rPr>
      </w:pPr>
      <w:r>
        <w:rPr>
          <w:rFonts w:hint="eastAsia"/>
          <w:color w:val="auto"/>
          <w:sz w:val="24"/>
          <w:highlight w:val="none"/>
        </w:rPr>
        <w:t>4.</w:t>
      </w:r>
      <w:r>
        <w:rPr>
          <w:color w:val="auto"/>
          <w:sz w:val="24"/>
          <w:highlight w:val="none"/>
        </w:rPr>
        <w:t>4</w:t>
      </w:r>
      <w:r>
        <w:rPr>
          <w:rFonts w:hint="eastAsia"/>
          <w:color w:val="auto"/>
          <w:sz w:val="24"/>
          <w:highlight w:val="none"/>
        </w:rPr>
        <w:t>秩序管理；</w:t>
      </w:r>
    </w:p>
    <w:p w14:paraId="0C2AE21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highlight w:val="none"/>
        </w:rPr>
      </w:pPr>
      <w:r>
        <w:rPr>
          <w:rFonts w:hint="eastAsia"/>
          <w:color w:val="auto"/>
          <w:sz w:val="24"/>
          <w:highlight w:val="none"/>
        </w:rPr>
        <w:t>4.</w:t>
      </w:r>
      <w:r>
        <w:rPr>
          <w:color w:val="auto"/>
          <w:sz w:val="24"/>
          <w:highlight w:val="none"/>
        </w:rPr>
        <w:t>5</w:t>
      </w:r>
      <w:r>
        <w:rPr>
          <w:rFonts w:hint="eastAsia"/>
          <w:color w:val="auto"/>
          <w:sz w:val="24"/>
          <w:highlight w:val="none"/>
        </w:rPr>
        <w:t>应急抢险及活动保障；</w:t>
      </w:r>
    </w:p>
    <w:p w14:paraId="7AB53D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highlight w:val="none"/>
        </w:rPr>
      </w:pPr>
      <w:r>
        <w:rPr>
          <w:rFonts w:hint="eastAsia"/>
          <w:color w:val="auto"/>
          <w:sz w:val="24"/>
          <w:highlight w:val="none"/>
        </w:rPr>
        <w:t>4.6各类投诉案件处置；</w:t>
      </w:r>
    </w:p>
    <w:p w14:paraId="3B5FC3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highlight w:val="none"/>
        </w:rPr>
      </w:pPr>
      <w:r>
        <w:rPr>
          <w:rFonts w:hint="eastAsia"/>
          <w:color w:val="auto"/>
          <w:sz w:val="24"/>
          <w:highlight w:val="none"/>
        </w:rPr>
        <w:t>4.</w:t>
      </w:r>
      <w:r>
        <w:rPr>
          <w:color w:val="auto"/>
          <w:sz w:val="24"/>
          <w:highlight w:val="none"/>
        </w:rPr>
        <w:t>7</w:t>
      </w:r>
      <w:r>
        <w:rPr>
          <w:rFonts w:hint="eastAsia"/>
          <w:color w:val="auto"/>
          <w:sz w:val="24"/>
          <w:highlight w:val="none"/>
        </w:rPr>
        <w:t>安全生产、综合治理及其它。</w:t>
      </w:r>
    </w:p>
    <w:p w14:paraId="00E9E6A2">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color w:val="auto"/>
          <w:sz w:val="24"/>
          <w:szCs w:val="24"/>
          <w:highlight w:val="none"/>
        </w:rPr>
      </w:pPr>
      <w:r>
        <w:rPr>
          <w:rFonts w:hint="eastAsia"/>
          <w:color w:val="auto"/>
          <w:sz w:val="24"/>
          <w:szCs w:val="24"/>
          <w:highlight w:val="none"/>
          <w:lang w:eastAsia="zh-CN"/>
        </w:rPr>
        <w:t>5.</w:t>
      </w:r>
      <w:r>
        <w:rPr>
          <w:color w:val="auto"/>
          <w:sz w:val="24"/>
          <w:szCs w:val="24"/>
          <w:highlight w:val="none"/>
        </w:rPr>
        <w:t>付款方式：</w:t>
      </w:r>
    </w:p>
    <w:p w14:paraId="27B6B01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Courier New"/>
          <w:bCs/>
          <w:i/>
          <w:iCs/>
          <w:color w:val="auto"/>
          <w:sz w:val="24"/>
          <w:szCs w:val="24"/>
          <w:highlight w:val="none"/>
          <w:u w:val="single"/>
          <w:lang w:val="en-US" w:eastAsia="zh-CN" w:bidi="ar-SA"/>
        </w:rPr>
      </w:pPr>
      <w:r>
        <w:rPr>
          <w:rFonts w:hint="eastAsia"/>
          <w:i/>
          <w:iCs/>
          <w:color w:val="auto"/>
          <w:sz w:val="24"/>
          <w:szCs w:val="24"/>
          <w:highlight w:val="none"/>
          <w:u w:val="single"/>
        </w:rPr>
        <w:t>5.1</w:t>
      </w:r>
      <w:r>
        <w:rPr>
          <w:rFonts w:hint="eastAsia" w:ascii="宋体" w:hAnsi="宋体" w:eastAsia="宋体" w:cs="Courier New"/>
          <w:bCs/>
          <w:i/>
          <w:iCs/>
          <w:color w:val="auto"/>
          <w:sz w:val="24"/>
          <w:szCs w:val="24"/>
          <w:highlight w:val="none"/>
          <w:u w:val="single"/>
          <w:lang w:val="en-US" w:eastAsia="zh-CN" w:bidi="ar-SA"/>
        </w:rPr>
        <w:t>养护款</w:t>
      </w:r>
      <w:r>
        <w:rPr>
          <w:rFonts w:hint="eastAsia" w:ascii="宋体" w:hAnsi="宋体" w:cs="Courier New"/>
          <w:bCs/>
          <w:i/>
          <w:iCs/>
          <w:color w:val="auto"/>
          <w:sz w:val="24"/>
          <w:szCs w:val="24"/>
          <w:highlight w:val="none"/>
          <w:u w:val="single"/>
          <w:lang w:val="en-US" w:eastAsia="zh-CN" w:bidi="ar-SA"/>
        </w:rPr>
        <w:t>每半年</w:t>
      </w:r>
      <w:r>
        <w:rPr>
          <w:rFonts w:hint="eastAsia" w:ascii="宋体" w:hAnsi="宋体" w:eastAsia="宋体" w:cs="Courier New"/>
          <w:bCs/>
          <w:i/>
          <w:iCs/>
          <w:color w:val="auto"/>
          <w:sz w:val="24"/>
          <w:szCs w:val="24"/>
          <w:highlight w:val="none"/>
          <w:u w:val="single"/>
          <w:lang w:val="en-US" w:eastAsia="zh-CN" w:bidi="ar-SA"/>
        </w:rPr>
        <w:t>支付</w:t>
      </w:r>
      <w:r>
        <w:rPr>
          <w:rFonts w:hint="eastAsia" w:ascii="宋体" w:hAnsi="宋体" w:cs="Courier New"/>
          <w:bCs/>
          <w:i/>
          <w:iCs/>
          <w:color w:val="auto"/>
          <w:sz w:val="24"/>
          <w:szCs w:val="24"/>
          <w:highlight w:val="none"/>
          <w:u w:val="single"/>
          <w:lang w:val="en-US" w:eastAsia="zh-CN" w:bidi="ar-SA"/>
        </w:rPr>
        <w:t>一次</w:t>
      </w:r>
      <w:r>
        <w:rPr>
          <w:rFonts w:hint="eastAsia" w:ascii="宋体" w:hAnsi="宋体" w:eastAsia="宋体" w:cs="Courier New"/>
          <w:bCs/>
          <w:i/>
          <w:iCs/>
          <w:color w:val="auto"/>
          <w:sz w:val="24"/>
          <w:szCs w:val="24"/>
          <w:highlight w:val="none"/>
          <w:u w:val="single"/>
          <w:lang w:val="en-US" w:eastAsia="zh-CN" w:bidi="ar-SA"/>
        </w:rPr>
        <w:t>，</w:t>
      </w:r>
      <w:r>
        <w:rPr>
          <w:rFonts w:hint="eastAsia" w:ascii="宋体" w:hAnsi="宋体" w:cs="Courier New"/>
          <w:bCs/>
          <w:i/>
          <w:iCs/>
          <w:color w:val="auto"/>
          <w:sz w:val="24"/>
          <w:szCs w:val="24"/>
          <w:highlight w:val="none"/>
          <w:u w:val="single"/>
        </w:rPr>
        <w:t>合同签订后，乙方向甲方开具发票，甲方自收到发票之日起10个工作日内支付合同总价30%的预付款</w:t>
      </w:r>
      <w:r>
        <w:rPr>
          <w:rFonts w:hint="eastAsia" w:ascii="宋体" w:hAnsi="宋体" w:cs="Courier New"/>
          <w:bCs/>
          <w:i/>
          <w:iCs/>
          <w:color w:val="auto"/>
          <w:sz w:val="24"/>
          <w:szCs w:val="24"/>
          <w:highlight w:val="none"/>
          <w:u w:val="single"/>
          <w:lang w:eastAsia="zh-CN"/>
        </w:rPr>
        <w:t>，</w:t>
      </w:r>
      <w:r>
        <w:rPr>
          <w:rFonts w:hint="eastAsia" w:ascii="宋体" w:hAnsi="宋体" w:cs="Courier New"/>
          <w:bCs/>
          <w:i/>
          <w:iCs/>
          <w:color w:val="auto"/>
          <w:sz w:val="24"/>
          <w:szCs w:val="24"/>
          <w:highlight w:val="none"/>
          <w:u w:val="single"/>
          <w:lang w:val="en-US" w:eastAsia="zh-CN"/>
        </w:rPr>
        <w:t>服务期限满半年后</w:t>
      </w:r>
      <w:r>
        <w:rPr>
          <w:rFonts w:hint="eastAsia" w:ascii="宋体" w:hAnsi="宋体" w:cs="Courier New"/>
          <w:bCs/>
          <w:i/>
          <w:iCs/>
          <w:color w:val="auto"/>
          <w:sz w:val="24"/>
          <w:szCs w:val="24"/>
          <w:highlight w:val="none"/>
          <w:u w:val="single"/>
        </w:rPr>
        <w:t>甲方自收到发票之日起10个工作日内</w:t>
      </w:r>
      <w:r>
        <w:rPr>
          <w:rFonts w:hint="eastAsia" w:ascii="宋体" w:hAnsi="宋体" w:cs="Courier New"/>
          <w:bCs/>
          <w:i/>
          <w:iCs/>
          <w:color w:val="auto"/>
          <w:sz w:val="24"/>
          <w:szCs w:val="24"/>
          <w:highlight w:val="none"/>
          <w:u w:val="single"/>
          <w:lang w:val="en-US" w:eastAsia="zh-CN"/>
        </w:rPr>
        <w:t>支付20%</w:t>
      </w:r>
      <w:r>
        <w:rPr>
          <w:rFonts w:hint="eastAsia" w:ascii="宋体" w:hAnsi="宋体" w:eastAsia="宋体" w:cs="Courier New"/>
          <w:bCs/>
          <w:i/>
          <w:iCs/>
          <w:color w:val="auto"/>
          <w:sz w:val="24"/>
          <w:szCs w:val="24"/>
          <w:highlight w:val="none"/>
          <w:u w:val="single"/>
          <w:lang w:val="en-US" w:eastAsia="zh-CN" w:bidi="ar-SA"/>
        </w:rPr>
        <w:t>养护款</w:t>
      </w:r>
      <w:r>
        <w:rPr>
          <w:rFonts w:hint="eastAsia" w:ascii="宋体" w:hAnsi="宋体" w:cs="Courier New"/>
          <w:bCs/>
          <w:i/>
          <w:iCs/>
          <w:color w:val="auto"/>
          <w:sz w:val="24"/>
          <w:szCs w:val="24"/>
          <w:highlight w:val="none"/>
          <w:u w:val="single"/>
          <w:lang w:val="en-US" w:eastAsia="zh-CN" w:bidi="ar-SA"/>
        </w:rPr>
        <w:t>，</w:t>
      </w:r>
      <w:r>
        <w:rPr>
          <w:rFonts w:hint="eastAsia" w:ascii="宋体" w:hAnsi="宋体" w:cs="Courier New"/>
          <w:bCs/>
          <w:i/>
          <w:iCs/>
          <w:color w:val="auto"/>
          <w:sz w:val="24"/>
          <w:szCs w:val="24"/>
          <w:highlight w:val="none"/>
          <w:u w:val="single"/>
          <w:lang w:val="en-US" w:eastAsia="zh-CN"/>
        </w:rPr>
        <w:t>服务期限满一年后</w:t>
      </w:r>
      <w:r>
        <w:rPr>
          <w:rFonts w:hint="eastAsia" w:ascii="宋体" w:hAnsi="宋体" w:cs="Courier New"/>
          <w:bCs/>
          <w:i/>
          <w:iCs/>
          <w:color w:val="auto"/>
          <w:sz w:val="24"/>
          <w:szCs w:val="24"/>
          <w:highlight w:val="none"/>
          <w:u w:val="single"/>
        </w:rPr>
        <w:t>甲方自收到发票之日起10个工作日内</w:t>
      </w:r>
      <w:r>
        <w:rPr>
          <w:rFonts w:hint="eastAsia" w:ascii="宋体" w:hAnsi="宋体" w:cs="Courier New"/>
          <w:bCs/>
          <w:i/>
          <w:iCs/>
          <w:color w:val="auto"/>
          <w:sz w:val="24"/>
          <w:szCs w:val="24"/>
          <w:highlight w:val="none"/>
          <w:u w:val="single"/>
          <w:lang w:val="en-US" w:eastAsia="zh-CN"/>
        </w:rPr>
        <w:t>付清剩余</w:t>
      </w:r>
      <w:r>
        <w:rPr>
          <w:rFonts w:hint="eastAsia" w:ascii="宋体" w:hAnsi="宋体" w:eastAsia="宋体" w:cs="Courier New"/>
          <w:bCs/>
          <w:i/>
          <w:iCs/>
          <w:color w:val="auto"/>
          <w:sz w:val="24"/>
          <w:szCs w:val="24"/>
          <w:highlight w:val="none"/>
          <w:u w:val="single"/>
          <w:lang w:val="en-US" w:eastAsia="zh-CN" w:bidi="ar-SA"/>
        </w:rPr>
        <w:t>养护款。养护款计算公式为：</w:t>
      </w:r>
      <w:r>
        <w:rPr>
          <w:rFonts w:hint="eastAsia" w:ascii="宋体" w:hAnsi="宋体" w:cs="Courier New"/>
          <w:bCs/>
          <w:i/>
          <w:iCs/>
          <w:color w:val="auto"/>
          <w:sz w:val="24"/>
          <w:szCs w:val="24"/>
          <w:highlight w:val="none"/>
          <w:u w:val="single"/>
          <w:lang w:val="en-US" w:eastAsia="zh-CN" w:bidi="ar-SA"/>
        </w:rPr>
        <w:t>季度</w:t>
      </w:r>
      <w:r>
        <w:rPr>
          <w:rFonts w:hint="eastAsia" w:ascii="宋体" w:hAnsi="宋体" w:eastAsia="宋体" w:cs="Courier New"/>
          <w:bCs/>
          <w:i/>
          <w:iCs/>
          <w:color w:val="auto"/>
          <w:sz w:val="24"/>
          <w:szCs w:val="24"/>
          <w:highlight w:val="none"/>
          <w:u w:val="single"/>
          <w:lang w:val="en-US" w:eastAsia="zh-CN" w:bidi="ar-SA"/>
        </w:rPr>
        <w:t>考核</w:t>
      </w:r>
      <w:r>
        <w:rPr>
          <w:rFonts w:hint="eastAsia" w:ascii="宋体" w:hAnsi="宋体" w:cs="Courier New"/>
          <w:bCs/>
          <w:i/>
          <w:iCs/>
          <w:color w:val="auto"/>
          <w:sz w:val="24"/>
          <w:szCs w:val="24"/>
          <w:highlight w:val="none"/>
          <w:u w:val="single"/>
          <w:lang w:val="en-US" w:eastAsia="zh-CN" w:bidi="ar-SA"/>
        </w:rPr>
        <w:t>（三个月平均得分）</w:t>
      </w:r>
      <w:r>
        <w:rPr>
          <w:rFonts w:hint="eastAsia" w:ascii="宋体" w:hAnsi="宋体" w:eastAsia="宋体" w:cs="Courier New"/>
          <w:bCs/>
          <w:i/>
          <w:iCs/>
          <w:color w:val="auto"/>
          <w:sz w:val="24"/>
          <w:szCs w:val="24"/>
          <w:highlight w:val="none"/>
          <w:u w:val="single"/>
          <w:lang w:val="en-US" w:eastAsia="zh-CN" w:bidi="ar-SA"/>
        </w:rPr>
        <w:t>得分大于等于95分的，全额支付养护款；合同期内连续两个月考核低于</w:t>
      </w:r>
      <w:r>
        <w:rPr>
          <w:rFonts w:hint="eastAsia" w:ascii="宋体" w:hAnsi="宋体" w:cs="Courier New"/>
          <w:bCs/>
          <w:i/>
          <w:iCs/>
          <w:color w:val="auto"/>
          <w:sz w:val="24"/>
          <w:szCs w:val="24"/>
          <w:highlight w:val="none"/>
          <w:u w:val="single"/>
          <w:lang w:val="en-US" w:eastAsia="zh-CN" w:bidi="ar-SA"/>
        </w:rPr>
        <w:t>75</w:t>
      </w:r>
      <w:r>
        <w:rPr>
          <w:rFonts w:hint="eastAsia" w:ascii="宋体" w:hAnsi="宋体" w:eastAsia="宋体" w:cs="Courier New"/>
          <w:bCs/>
          <w:i/>
          <w:iCs/>
          <w:color w:val="auto"/>
          <w:sz w:val="24"/>
          <w:szCs w:val="24"/>
          <w:highlight w:val="none"/>
          <w:u w:val="single"/>
          <w:lang w:val="en-US" w:eastAsia="zh-CN" w:bidi="ar-SA"/>
        </w:rPr>
        <w:t>分，或合同期内累计三个月考核低于</w:t>
      </w:r>
      <w:r>
        <w:rPr>
          <w:rFonts w:hint="eastAsia" w:ascii="宋体" w:hAnsi="宋体" w:cs="Courier New"/>
          <w:bCs/>
          <w:i/>
          <w:iCs/>
          <w:color w:val="auto"/>
          <w:sz w:val="24"/>
          <w:szCs w:val="24"/>
          <w:highlight w:val="none"/>
          <w:u w:val="single"/>
          <w:lang w:val="en-US" w:eastAsia="zh-CN" w:bidi="ar-SA"/>
        </w:rPr>
        <w:t>75</w:t>
      </w:r>
      <w:r>
        <w:rPr>
          <w:rFonts w:hint="eastAsia" w:ascii="宋体" w:hAnsi="宋体" w:eastAsia="宋体" w:cs="Courier New"/>
          <w:bCs/>
          <w:i/>
          <w:iCs/>
          <w:color w:val="auto"/>
          <w:sz w:val="24"/>
          <w:szCs w:val="24"/>
          <w:highlight w:val="none"/>
          <w:u w:val="single"/>
          <w:lang w:val="en-US" w:eastAsia="zh-CN" w:bidi="ar-SA"/>
        </w:rPr>
        <w:t>分，则甲方有权解除合同。</w:t>
      </w:r>
    </w:p>
    <w:p w14:paraId="2DB1977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sz w:val="24"/>
          <w:szCs w:val="24"/>
          <w:highlight w:val="none"/>
        </w:rPr>
      </w:pPr>
      <w:r>
        <w:rPr>
          <w:rFonts w:hint="eastAsia"/>
          <w:color w:val="auto"/>
          <w:sz w:val="24"/>
          <w:szCs w:val="24"/>
          <w:highlight w:val="none"/>
          <w:lang w:eastAsia="zh-CN"/>
        </w:rPr>
        <w:t>6.</w:t>
      </w:r>
      <w:r>
        <w:rPr>
          <w:color w:val="auto"/>
          <w:sz w:val="24"/>
          <w:szCs w:val="24"/>
          <w:highlight w:val="none"/>
        </w:rPr>
        <w:t>养护</w:t>
      </w:r>
      <w:r>
        <w:rPr>
          <w:rFonts w:hint="eastAsia"/>
          <w:color w:val="auto"/>
          <w:sz w:val="24"/>
          <w:szCs w:val="24"/>
          <w:highlight w:val="none"/>
        </w:rPr>
        <w:t>服务期</w:t>
      </w:r>
      <w:r>
        <w:rPr>
          <w:color w:val="auto"/>
          <w:sz w:val="24"/>
          <w:szCs w:val="24"/>
          <w:highlight w:val="none"/>
        </w:rPr>
        <w:t>内相关调整原则</w:t>
      </w:r>
      <w:r>
        <w:rPr>
          <w:rFonts w:hint="eastAsia"/>
          <w:color w:val="auto"/>
          <w:sz w:val="24"/>
          <w:szCs w:val="24"/>
          <w:highlight w:val="none"/>
        </w:rPr>
        <w:t>：</w:t>
      </w:r>
    </w:p>
    <w:p w14:paraId="4076171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 w:val="24"/>
          <w:highlight w:val="none"/>
        </w:rPr>
      </w:pPr>
      <w:r>
        <w:rPr>
          <w:rFonts w:hint="eastAsia"/>
          <w:color w:val="auto"/>
          <w:sz w:val="24"/>
          <w:szCs w:val="24"/>
          <w:highlight w:val="none"/>
        </w:rPr>
        <w:t>6.1签订</w:t>
      </w:r>
      <w:r>
        <w:rPr>
          <w:color w:val="auto"/>
          <w:sz w:val="24"/>
          <w:szCs w:val="24"/>
          <w:highlight w:val="none"/>
        </w:rPr>
        <w:t>合同时</w:t>
      </w:r>
      <w:r>
        <w:rPr>
          <w:rFonts w:hint="eastAsia" w:hAnsi="宋体"/>
          <w:color w:val="auto"/>
          <w:sz w:val="24"/>
          <w:highlight w:val="none"/>
        </w:rPr>
        <w:t>，</w:t>
      </w:r>
      <w:r>
        <w:rPr>
          <w:rFonts w:hAnsi="宋体"/>
          <w:color w:val="auto"/>
          <w:sz w:val="24"/>
          <w:highlight w:val="none"/>
        </w:rPr>
        <w:t>绿地养护面积</w:t>
      </w:r>
      <w:r>
        <w:rPr>
          <w:rFonts w:hint="eastAsia" w:hAnsi="宋体"/>
          <w:color w:val="auto"/>
          <w:sz w:val="24"/>
          <w:highlight w:val="none"/>
        </w:rPr>
        <w:t>以</w:t>
      </w:r>
      <w:r>
        <w:rPr>
          <w:rFonts w:hAnsi="宋体"/>
          <w:color w:val="auto"/>
          <w:sz w:val="24"/>
          <w:highlight w:val="none"/>
        </w:rPr>
        <w:t>招标文件中</w:t>
      </w:r>
      <w:r>
        <w:rPr>
          <w:rFonts w:hint="eastAsia" w:hAnsi="宋体"/>
          <w:color w:val="auto"/>
          <w:sz w:val="24"/>
          <w:highlight w:val="none"/>
        </w:rPr>
        <w:t>提供</w:t>
      </w:r>
      <w:r>
        <w:rPr>
          <w:rFonts w:hAnsi="宋体"/>
          <w:color w:val="auto"/>
          <w:sz w:val="24"/>
          <w:highlight w:val="none"/>
        </w:rPr>
        <w:t>的养护</w:t>
      </w:r>
      <w:r>
        <w:rPr>
          <w:rFonts w:hint="eastAsia" w:hAnsi="宋体"/>
          <w:color w:val="auto"/>
          <w:sz w:val="24"/>
          <w:highlight w:val="none"/>
        </w:rPr>
        <w:t>总</w:t>
      </w:r>
      <w:r>
        <w:rPr>
          <w:rFonts w:hAnsi="宋体"/>
          <w:color w:val="auto"/>
          <w:sz w:val="24"/>
          <w:highlight w:val="none"/>
        </w:rPr>
        <w:t>面积为准</w:t>
      </w:r>
      <w:r>
        <w:rPr>
          <w:rFonts w:hint="eastAsia" w:hAnsi="宋体"/>
          <w:color w:val="auto"/>
          <w:sz w:val="24"/>
          <w:highlight w:val="none"/>
        </w:rPr>
        <w:t>。</w:t>
      </w:r>
    </w:p>
    <w:p w14:paraId="50FE739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b/>
          <w:bCs/>
          <w:color w:val="auto"/>
          <w:sz w:val="24"/>
          <w:szCs w:val="24"/>
          <w:highlight w:val="none"/>
        </w:rPr>
      </w:pPr>
      <w:r>
        <w:rPr>
          <w:rFonts w:hint="eastAsia" w:hAnsi="宋体"/>
          <w:b/>
          <w:bCs/>
          <w:color w:val="auto"/>
          <w:sz w:val="24"/>
          <w:highlight w:val="none"/>
        </w:rPr>
        <w:t>6.2</w:t>
      </w:r>
      <w:r>
        <w:rPr>
          <w:rFonts w:hint="eastAsia"/>
          <w:b/>
          <w:bCs/>
          <w:color w:val="auto"/>
          <w:sz w:val="24"/>
          <w:szCs w:val="24"/>
          <w:highlight w:val="none"/>
        </w:rPr>
        <w:t>区内进行道路及雨污分流改造，对部分绿化有破坏及补栽，中标人对该部分绿化有管护责任，结算时面积</w:t>
      </w:r>
      <w:r>
        <w:rPr>
          <w:rFonts w:hint="eastAsia"/>
          <w:b/>
          <w:bCs/>
          <w:color w:val="auto"/>
          <w:sz w:val="24"/>
          <w:szCs w:val="24"/>
          <w:highlight w:val="none"/>
          <w:lang w:val="en-US" w:eastAsia="zh-CN"/>
        </w:rPr>
        <w:t>不作调整</w:t>
      </w:r>
      <w:r>
        <w:rPr>
          <w:rFonts w:hint="eastAsia"/>
          <w:b/>
          <w:bCs/>
          <w:color w:val="auto"/>
          <w:sz w:val="24"/>
          <w:szCs w:val="24"/>
          <w:highlight w:val="none"/>
          <w:lang w:eastAsia="zh-CN"/>
        </w:rPr>
        <w:t>，</w:t>
      </w:r>
      <w:r>
        <w:rPr>
          <w:rFonts w:hint="eastAsia"/>
          <w:b/>
          <w:bCs/>
          <w:color w:val="auto"/>
          <w:sz w:val="24"/>
          <w:szCs w:val="24"/>
          <w:highlight w:val="none"/>
          <w:lang w:val="en-US" w:eastAsia="zh-CN"/>
        </w:rPr>
        <w:t>投标人报价自行考虑以上因素</w:t>
      </w:r>
      <w:r>
        <w:rPr>
          <w:rFonts w:hint="eastAsia"/>
          <w:b/>
          <w:bCs/>
          <w:color w:val="auto"/>
          <w:sz w:val="24"/>
          <w:szCs w:val="24"/>
          <w:highlight w:val="none"/>
        </w:rPr>
        <w:t>。</w:t>
      </w:r>
    </w:p>
    <w:p w14:paraId="099B30F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bCs/>
          <w:color w:val="auto"/>
          <w:sz w:val="24"/>
          <w:szCs w:val="24"/>
          <w:highlight w:val="none"/>
        </w:rPr>
      </w:pPr>
      <w:r>
        <w:rPr>
          <w:rFonts w:hint="eastAsia"/>
          <w:color w:val="auto"/>
          <w:sz w:val="24"/>
          <w:highlight w:val="none"/>
          <w:lang w:val="en-US" w:eastAsia="zh-CN"/>
        </w:rPr>
        <w:t>7.</w:t>
      </w:r>
      <w:r>
        <w:rPr>
          <w:color w:val="auto"/>
          <w:sz w:val="24"/>
          <w:highlight w:val="none"/>
        </w:rPr>
        <w:t>采购人不提供食宿</w:t>
      </w:r>
      <w:r>
        <w:rPr>
          <w:rFonts w:hint="eastAsia"/>
          <w:color w:val="auto"/>
          <w:sz w:val="24"/>
          <w:highlight w:val="none"/>
        </w:rPr>
        <w:t>、不提供服务人员办公场所及仓库</w:t>
      </w:r>
      <w:r>
        <w:rPr>
          <w:color w:val="auto"/>
          <w:sz w:val="24"/>
          <w:highlight w:val="none"/>
        </w:rPr>
        <w:t>。</w:t>
      </w:r>
    </w:p>
    <w:p w14:paraId="16BB998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sz w:val="24"/>
          <w:szCs w:val="24"/>
          <w:highlight w:val="none"/>
        </w:rPr>
      </w:pPr>
      <w:r>
        <w:rPr>
          <w:rFonts w:hint="eastAsia"/>
          <w:bCs/>
          <w:color w:val="auto"/>
          <w:sz w:val="24"/>
          <w:szCs w:val="24"/>
          <w:highlight w:val="none"/>
          <w:lang w:val="en-US" w:eastAsia="zh-CN"/>
        </w:rPr>
        <w:t>8.</w:t>
      </w:r>
      <w:r>
        <w:rPr>
          <w:bCs/>
          <w:color w:val="auto"/>
          <w:sz w:val="24"/>
          <w:szCs w:val="24"/>
          <w:highlight w:val="none"/>
        </w:rPr>
        <w:t>本项目</w:t>
      </w:r>
      <w:r>
        <w:rPr>
          <w:color w:val="auto"/>
          <w:sz w:val="24"/>
          <w:szCs w:val="24"/>
          <w:highlight w:val="none"/>
        </w:rPr>
        <w:t>不允许联合体投标</w:t>
      </w:r>
      <w:r>
        <w:rPr>
          <w:bCs/>
          <w:color w:val="auto"/>
          <w:sz w:val="24"/>
          <w:szCs w:val="24"/>
          <w:highlight w:val="none"/>
        </w:rPr>
        <w:t>，</w:t>
      </w:r>
      <w:r>
        <w:rPr>
          <w:color w:val="auto"/>
          <w:sz w:val="24"/>
          <w:highlight w:val="none"/>
        </w:rPr>
        <w:t>不得以任何形式进行转包及分包</w:t>
      </w:r>
      <w:r>
        <w:rPr>
          <w:bCs/>
          <w:color w:val="auto"/>
          <w:sz w:val="24"/>
          <w:szCs w:val="24"/>
          <w:highlight w:val="none"/>
        </w:rPr>
        <w:t>。</w:t>
      </w:r>
    </w:p>
    <w:p w14:paraId="739C39A0">
      <w:pPr>
        <w:autoSpaceDE w:val="0"/>
        <w:autoSpaceDN w:val="0"/>
        <w:adjustRightInd w:val="0"/>
        <w:spacing w:line="440" w:lineRule="exact"/>
        <w:outlineLvl w:val="1"/>
        <w:rPr>
          <w:rFonts w:cs="宋体"/>
          <w:b/>
          <w:bCs/>
          <w:color w:val="auto"/>
          <w:kern w:val="0"/>
          <w:sz w:val="28"/>
          <w:szCs w:val="28"/>
          <w:highlight w:val="none"/>
          <w:lang w:val="zh-CN"/>
        </w:rPr>
      </w:pPr>
      <w:bookmarkStart w:id="143" w:name="_Toc125029386"/>
      <w:r>
        <w:rPr>
          <w:rFonts w:cs="宋体"/>
          <w:b/>
          <w:bCs/>
          <w:color w:val="auto"/>
          <w:kern w:val="0"/>
          <w:sz w:val="28"/>
          <w:szCs w:val="28"/>
          <w:highlight w:val="none"/>
          <w:lang w:val="zh-CN"/>
        </w:rPr>
        <w:t>二、项目要求：</w:t>
      </w:r>
      <w:bookmarkEnd w:id="143"/>
    </w:p>
    <w:tbl>
      <w:tblPr>
        <w:tblStyle w:val="41"/>
        <w:tblW w:w="8940" w:type="dxa"/>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8"/>
        <w:gridCol w:w="2217"/>
        <w:gridCol w:w="2698"/>
        <w:gridCol w:w="917"/>
      </w:tblGrid>
      <w:tr w14:paraId="3B7AA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exact"/>
        </w:trPr>
        <w:tc>
          <w:tcPr>
            <w:tcW w:w="3108" w:type="dxa"/>
            <w:noWrap w:val="0"/>
            <w:vAlign w:val="center"/>
          </w:tcPr>
          <w:p w14:paraId="3D20759D">
            <w:pPr>
              <w:spacing w:line="360" w:lineRule="exact"/>
              <w:jc w:val="center"/>
              <w:rPr>
                <w:b/>
                <w:bCs/>
                <w:color w:val="auto"/>
                <w:sz w:val="24"/>
                <w:szCs w:val="24"/>
                <w:highlight w:val="none"/>
              </w:rPr>
            </w:pPr>
            <w:r>
              <w:rPr>
                <w:rFonts w:hint="eastAsia"/>
                <w:b/>
                <w:bCs/>
                <w:color w:val="auto"/>
                <w:sz w:val="24"/>
                <w:szCs w:val="24"/>
                <w:highlight w:val="none"/>
              </w:rPr>
              <w:t>分包</w:t>
            </w:r>
            <w:r>
              <w:rPr>
                <w:b/>
                <w:bCs/>
                <w:color w:val="auto"/>
                <w:sz w:val="24"/>
                <w:szCs w:val="24"/>
                <w:highlight w:val="none"/>
              </w:rPr>
              <w:t>名称</w:t>
            </w:r>
          </w:p>
        </w:tc>
        <w:tc>
          <w:tcPr>
            <w:tcW w:w="2217" w:type="dxa"/>
            <w:noWrap w:val="0"/>
            <w:vAlign w:val="center"/>
          </w:tcPr>
          <w:p w14:paraId="5673C371">
            <w:pPr>
              <w:spacing w:line="360" w:lineRule="exact"/>
              <w:jc w:val="center"/>
              <w:rPr>
                <w:b/>
                <w:bCs/>
                <w:color w:val="auto"/>
                <w:sz w:val="24"/>
                <w:szCs w:val="24"/>
                <w:highlight w:val="none"/>
              </w:rPr>
            </w:pPr>
            <w:r>
              <w:rPr>
                <w:rFonts w:hint="eastAsia"/>
                <w:b/>
                <w:bCs/>
                <w:color w:val="auto"/>
                <w:sz w:val="24"/>
                <w:szCs w:val="24"/>
                <w:highlight w:val="none"/>
              </w:rPr>
              <w:t>养护总面积</w:t>
            </w:r>
            <w:r>
              <w:rPr>
                <w:b/>
                <w:bCs/>
                <w:color w:val="auto"/>
                <w:sz w:val="24"/>
                <w:szCs w:val="24"/>
                <w:highlight w:val="none"/>
              </w:rPr>
              <w:t>（m²）</w:t>
            </w:r>
          </w:p>
        </w:tc>
        <w:tc>
          <w:tcPr>
            <w:tcW w:w="2698" w:type="dxa"/>
            <w:noWrap w:val="0"/>
            <w:vAlign w:val="center"/>
          </w:tcPr>
          <w:p w14:paraId="187AE651">
            <w:pPr>
              <w:spacing w:line="360" w:lineRule="exact"/>
              <w:jc w:val="center"/>
              <w:rPr>
                <w:b/>
                <w:bCs/>
                <w:color w:val="auto"/>
                <w:sz w:val="24"/>
                <w:szCs w:val="24"/>
                <w:highlight w:val="none"/>
              </w:rPr>
            </w:pPr>
            <w:r>
              <w:rPr>
                <w:b/>
                <w:bCs/>
                <w:color w:val="auto"/>
                <w:sz w:val="24"/>
                <w:szCs w:val="24"/>
                <w:highlight w:val="none"/>
              </w:rPr>
              <w:t>养护要求</w:t>
            </w:r>
          </w:p>
        </w:tc>
        <w:tc>
          <w:tcPr>
            <w:tcW w:w="917" w:type="dxa"/>
            <w:noWrap w:val="0"/>
            <w:vAlign w:val="center"/>
          </w:tcPr>
          <w:p w14:paraId="09609DDC">
            <w:pPr>
              <w:spacing w:line="360" w:lineRule="exact"/>
              <w:jc w:val="center"/>
              <w:rPr>
                <w:b/>
                <w:bCs/>
                <w:color w:val="auto"/>
                <w:sz w:val="24"/>
                <w:szCs w:val="24"/>
                <w:highlight w:val="none"/>
              </w:rPr>
            </w:pPr>
            <w:r>
              <w:rPr>
                <w:b/>
                <w:bCs/>
                <w:color w:val="auto"/>
                <w:sz w:val="24"/>
                <w:szCs w:val="24"/>
                <w:highlight w:val="none"/>
              </w:rPr>
              <w:t>备注</w:t>
            </w:r>
          </w:p>
        </w:tc>
      </w:tr>
      <w:tr w14:paraId="5500C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exact"/>
        </w:trPr>
        <w:tc>
          <w:tcPr>
            <w:tcW w:w="3108" w:type="dxa"/>
            <w:noWrap w:val="0"/>
            <w:vAlign w:val="center"/>
          </w:tcPr>
          <w:p w14:paraId="495DCA89">
            <w:pPr>
              <w:spacing w:line="400" w:lineRule="exact"/>
              <w:jc w:val="center"/>
              <w:rPr>
                <w:color w:val="auto"/>
                <w:kern w:val="0"/>
                <w:sz w:val="24"/>
                <w:szCs w:val="24"/>
                <w:highlight w:val="none"/>
                <w:lang w:bidi="ar"/>
              </w:rPr>
            </w:pPr>
            <w:r>
              <w:rPr>
                <w:rFonts w:hint="eastAsia" w:ascii="宋体" w:hAnsi="宋体" w:cs="宋体"/>
                <w:color w:val="auto"/>
                <w:sz w:val="21"/>
                <w:highlight w:val="none"/>
                <w:lang w:eastAsia="zh-CN"/>
              </w:rPr>
              <w:t>采购包1：</w:t>
            </w:r>
            <w:r>
              <w:rPr>
                <w:rFonts w:hint="eastAsia" w:ascii="宋体" w:hAnsi="宋体" w:cs="宋体"/>
                <w:color w:val="auto"/>
                <w:sz w:val="21"/>
                <w:highlight w:val="none"/>
                <w:lang w:val="en-US" w:eastAsia="zh-CN"/>
              </w:rPr>
              <w:t>东阳路</w:t>
            </w:r>
          </w:p>
        </w:tc>
        <w:tc>
          <w:tcPr>
            <w:tcW w:w="2217" w:type="dxa"/>
            <w:noWrap w:val="0"/>
            <w:vAlign w:val="center"/>
          </w:tcPr>
          <w:p w14:paraId="761E579D">
            <w:pPr>
              <w:spacing w:line="400" w:lineRule="exact"/>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191353.76</w:t>
            </w:r>
          </w:p>
        </w:tc>
        <w:tc>
          <w:tcPr>
            <w:tcW w:w="2698" w:type="dxa"/>
            <w:noWrap w:val="0"/>
            <w:vAlign w:val="center"/>
          </w:tcPr>
          <w:p w14:paraId="6249D33E">
            <w:pPr>
              <w:widowControl/>
              <w:jc w:val="left"/>
              <w:textAlignment w:val="center"/>
              <w:rPr>
                <w:rFonts w:hint="eastAsia"/>
                <w:color w:val="auto"/>
                <w:kern w:val="0"/>
                <w:sz w:val="24"/>
                <w:szCs w:val="24"/>
                <w:highlight w:val="none"/>
                <w:lang w:bidi="ar"/>
              </w:rPr>
            </w:pPr>
            <w:r>
              <w:rPr>
                <w:rFonts w:hint="eastAsia"/>
                <w:color w:val="auto"/>
                <w:kern w:val="0"/>
                <w:sz w:val="24"/>
                <w:szCs w:val="24"/>
                <w:highlight w:val="none"/>
                <w:lang w:bidi="ar"/>
              </w:rPr>
              <w:t>一级</w:t>
            </w:r>
            <w:r>
              <w:rPr>
                <w:rFonts w:hint="eastAsia"/>
                <w:color w:val="auto"/>
                <w:kern w:val="0"/>
                <w:sz w:val="24"/>
                <w:szCs w:val="24"/>
                <w:highlight w:val="none"/>
                <w:lang w:eastAsia="zh-CN" w:bidi="ar"/>
              </w:rPr>
              <w:t>、</w:t>
            </w:r>
            <w:r>
              <w:rPr>
                <w:rFonts w:hint="eastAsia"/>
                <w:color w:val="auto"/>
                <w:kern w:val="0"/>
                <w:sz w:val="24"/>
                <w:szCs w:val="24"/>
                <w:highlight w:val="none"/>
                <w:lang w:bidi="ar"/>
              </w:rPr>
              <w:t>二级、三</w:t>
            </w:r>
            <w:r>
              <w:rPr>
                <w:color w:val="auto"/>
                <w:kern w:val="0"/>
                <w:sz w:val="24"/>
                <w:szCs w:val="24"/>
                <w:highlight w:val="none"/>
                <w:lang w:bidi="ar"/>
              </w:rPr>
              <w:t>级养护</w:t>
            </w:r>
          </w:p>
        </w:tc>
        <w:tc>
          <w:tcPr>
            <w:tcW w:w="917" w:type="dxa"/>
            <w:noWrap w:val="0"/>
            <w:vAlign w:val="center"/>
          </w:tcPr>
          <w:p w14:paraId="61408671">
            <w:pPr>
              <w:widowControl/>
              <w:jc w:val="center"/>
              <w:textAlignment w:val="center"/>
              <w:rPr>
                <w:color w:val="auto"/>
                <w:sz w:val="24"/>
                <w:szCs w:val="24"/>
                <w:highlight w:val="none"/>
              </w:rPr>
            </w:pPr>
          </w:p>
        </w:tc>
      </w:tr>
      <w:tr w14:paraId="49B6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exact"/>
        </w:trPr>
        <w:tc>
          <w:tcPr>
            <w:tcW w:w="3108" w:type="dxa"/>
            <w:noWrap w:val="0"/>
            <w:vAlign w:val="center"/>
          </w:tcPr>
          <w:p w14:paraId="492BFEBB">
            <w:pPr>
              <w:spacing w:line="400" w:lineRule="exact"/>
              <w:jc w:val="center"/>
              <w:rPr>
                <w:color w:val="auto"/>
                <w:kern w:val="0"/>
                <w:sz w:val="24"/>
                <w:szCs w:val="24"/>
                <w:highlight w:val="none"/>
                <w:lang w:bidi="ar"/>
              </w:rPr>
            </w:pPr>
            <w:r>
              <w:rPr>
                <w:rFonts w:hint="eastAsia" w:ascii="宋体" w:hAnsi="宋体" w:cs="宋体"/>
                <w:color w:val="auto"/>
                <w:sz w:val="21"/>
                <w:highlight w:val="none"/>
                <w:lang w:eastAsia="zh-CN"/>
              </w:rPr>
              <w:t>采购包2：高速公路</w:t>
            </w:r>
            <w:r>
              <w:rPr>
                <w:rFonts w:hint="eastAsia" w:ascii="宋体" w:hAnsi="宋体" w:cs="宋体"/>
                <w:color w:val="auto"/>
                <w:sz w:val="21"/>
                <w:highlight w:val="none"/>
                <w:lang w:val="en-US" w:eastAsia="zh-CN"/>
              </w:rPr>
              <w:t>南</w:t>
            </w:r>
            <w:r>
              <w:rPr>
                <w:rFonts w:hint="eastAsia" w:ascii="宋体" w:hAnsi="宋体" w:cs="宋体"/>
                <w:color w:val="auto"/>
                <w:sz w:val="21"/>
                <w:highlight w:val="none"/>
                <w:lang w:eastAsia="zh-CN"/>
              </w:rPr>
              <w:t>片区</w:t>
            </w:r>
          </w:p>
        </w:tc>
        <w:tc>
          <w:tcPr>
            <w:tcW w:w="2217" w:type="dxa"/>
            <w:noWrap w:val="0"/>
            <w:vAlign w:val="center"/>
          </w:tcPr>
          <w:p w14:paraId="0361716F">
            <w:pPr>
              <w:spacing w:line="400" w:lineRule="exact"/>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189414.81</w:t>
            </w:r>
          </w:p>
        </w:tc>
        <w:tc>
          <w:tcPr>
            <w:tcW w:w="2698" w:type="dxa"/>
            <w:noWrap w:val="0"/>
            <w:vAlign w:val="center"/>
          </w:tcPr>
          <w:p w14:paraId="3E7338C8">
            <w:pPr>
              <w:widowControl/>
              <w:jc w:val="left"/>
              <w:textAlignment w:val="center"/>
              <w:rPr>
                <w:color w:val="auto"/>
                <w:kern w:val="0"/>
                <w:sz w:val="24"/>
                <w:szCs w:val="24"/>
                <w:highlight w:val="none"/>
                <w:lang w:bidi="ar"/>
              </w:rPr>
            </w:pPr>
            <w:r>
              <w:rPr>
                <w:rFonts w:hint="eastAsia"/>
                <w:color w:val="auto"/>
                <w:kern w:val="0"/>
                <w:sz w:val="24"/>
                <w:szCs w:val="24"/>
                <w:highlight w:val="none"/>
                <w:lang w:bidi="ar"/>
              </w:rPr>
              <w:t>一级</w:t>
            </w:r>
            <w:r>
              <w:rPr>
                <w:rFonts w:hint="eastAsia"/>
                <w:color w:val="auto"/>
                <w:kern w:val="0"/>
                <w:sz w:val="24"/>
                <w:szCs w:val="24"/>
                <w:highlight w:val="none"/>
                <w:lang w:eastAsia="zh-CN" w:bidi="ar"/>
              </w:rPr>
              <w:t>、</w:t>
            </w:r>
            <w:r>
              <w:rPr>
                <w:rFonts w:hint="eastAsia"/>
                <w:color w:val="auto"/>
                <w:kern w:val="0"/>
                <w:sz w:val="24"/>
                <w:szCs w:val="24"/>
                <w:highlight w:val="none"/>
                <w:lang w:bidi="ar"/>
              </w:rPr>
              <w:t>二级、三</w:t>
            </w:r>
            <w:r>
              <w:rPr>
                <w:color w:val="auto"/>
                <w:kern w:val="0"/>
                <w:sz w:val="24"/>
                <w:szCs w:val="24"/>
                <w:highlight w:val="none"/>
                <w:lang w:bidi="ar"/>
              </w:rPr>
              <w:t>级养护</w:t>
            </w:r>
          </w:p>
        </w:tc>
        <w:tc>
          <w:tcPr>
            <w:tcW w:w="917" w:type="dxa"/>
            <w:noWrap w:val="0"/>
            <w:vAlign w:val="center"/>
          </w:tcPr>
          <w:p w14:paraId="2754A3F9">
            <w:pPr>
              <w:widowControl/>
              <w:jc w:val="center"/>
              <w:textAlignment w:val="center"/>
              <w:rPr>
                <w:color w:val="auto"/>
                <w:sz w:val="24"/>
                <w:szCs w:val="24"/>
                <w:highlight w:val="none"/>
              </w:rPr>
            </w:pPr>
          </w:p>
        </w:tc>
      </w:tr>
      <w:tr w14:paraId="3D30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exact"/>
        </w:trPr>
        <w:tc>
          <w:tcPr>
            <w:tcW w:w="3108" w:type="dxa"/>
            <w:noWrap w:val="0"/>
            <w:vAlign w:val="center"/>
          </w:tcPr>
          <w:p w14:paraId="1DF39B63">
            <w:pPr>
              <w:spacing w:line="400" w:lineRule="exact"/>
              <w:jc w:val="center"/>
              <w:rPr>
                <w:color w:val="auto"/>
                <w:kern w:val="0"/>
                <w:sz w:val="24"/>
                <w:szCs w:val="24"/>
                <w:highlight w:val="none"/>
                <w:lang w:bidi="ar"/>
              </w:rPr>
            </w:pPr>
            <w:r>
              <w:rPr>
                <w:rFonts w:hint="eastAsia" w:ascii="宋体" w:hAnsi="宋体" w:cs="宋体"/>
                <w:color w:val="auto"/>
                <w:sz w:val="21"/>
                <w:highlight w:val="none"/>
                <w:lang w:eastAsia="zh-CN"/>
              </w:rPr>
              <w:t>采购包3：高速公路以</w:t>
            </w:r>
            <w:r>
              <w:rPr>
                <w:rFonts w:hint="eastAsia" w:ascii="宋体" w:hAnsi="宋体" w:cs="宋体"/>
                <w:color w:val="auto"/>
                <w:sz w:val="21"/>
                <w:highlight w:val="none"/>
                <w:lang w:val="en-US" w:eastAsia="zh-CN"/>
              </w:rPr>
              <w:t>北</w:t>
            </w:r>
            <w:r>
              <w:rPr>
                <w:rFonts w:hint="eastAsia" w:ascii="宋体" w:hAnsi="宋体" w:cs="宋体"/>
                <w:color w:val="auto"/>
                <w:sz w:val="21"/>
                <w:highlight w:val="none"/>
                <w:lang w:eastAsia="zh-CN"/>
              </w:rPr>
              <w:t>片区</w:t>
            </w:r>
          </w:p>
        </w:tc>
        <w:tc>
          <w:tcPr>
            <w:tcW w:w="2217" w:type="dxa"/>
            <w:noWrap w:val="0"/>
            <w:vAlign w:val="center"/>
          </w:tcPr>
          <w:p w14:paraId="40CC081A">
            <w:pPr>
              <w:spacing w:line="400" w:lineRule="exact"/>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293223.23</w:t>
            </w:r>
          </w:p>
        </w:tc>
        <w:tc>
          <w:tcPr>
            <w:tcW w:w="2698" w:type="dxa"/>
            <w:noWrap w:val="0"/>
            <w:vAlign w:val="center"/>
          </w:tcPr>
          <w:p w14:paraId="25F44ED6">
            <w:pPr>
              <w:widowControl/>
              <w:jc w:val="left"/>
              <w:textAlignment w:val="center"/>
              <w:rPr>
                <w:color w:val="auto"/>
                <w:kern w:val="0"/>
                <w:sz w:val="24"/>
                <w:szCs w:val="24"/>
                <w:highlight w:val="none"/>
                <w:lang w:bidi="ar"/>
              </w:rPr>
            </w:pPr>
            <w:r>
              <w:rPr>
                <w:rFonts w:hint="eastAsia"/>
                <w:color w:val="auto"/>
                <w:kern w:val="0"/>
                <w:sz w:val="24"/>
                <w:szCs w:val="24"/>
                <w:highlight w:val="none"/>
                <w:lang w:bidi="ar"/>
              </w:rPr>
              <w:t>一级</w:t>
            </w:r>
            <w:r>
              <w:rPr>
                <w:rFonts w:hint="eastAsia"/>
                <w:color w:val="auto"/>
                <w:kern w:val="0"/>
                <w:sz w:val="24"/>
                <w:szCs w:val="24"/>
                <w:highlight w:val="none"/>
                <w:lang w:eastAsia="zh-CN" w:bidi="ar"/>
              </w:rPr>
              <w:t>、</w:t>
            </w:r>
            <w:r>
              <w:rPr>
                <w:rFonts w:hint="eastAsia"/>
                <w:color w:val="auto"/>
                <w:kern w:val="0"/>
                <w:sz w:val="24"/>
                <w:szCs w:val="24"/>
                <w:highlight w:val="none"/>
                <w:lang w:bidi="ar"/>
              </w:rPr>
              <w:t>三</w:t>
            </w:r>
            <w:r>
              <w:rPr>
                <w:color w:val="auto"/>
                <w:kern w:val="0"/>
                <w:sz w:val="24"/>
                <w:szCs w:val="24"/>
                <w:highlight w:val="none"/>
                <w:lang w:bidi="ar"/>
              </w:rPr>
              <w:t>级养护</w:t>
            </w:r>
          </w:p>
        </w:tc>
        <w:tc>
          <w:tcPr>
            <w:tcW w:w="917" w:type="dxa"/>
            <w:noWrap w:val="0"/>
            <w:vAlign w:val="center"/>
          </w:tcPr>
          <w:p w14:paraId="4F487730">
            <w:pPr>
              <w:widowControl/>
              <w:jc w:val="center"/>
              <w:textAlignment w:val="center"/>
              <w:rPr>
                <w:rFonts w:hint="eastAsia"/>
                <w:color w:val="auto"/>
                <w:sz w:val="24"/>
                <w:szCs w:val="24"/>
                <w:highlight w:val="none"/>
              </w:rPr>
            </w:pPr>
          </w:p>
          <w:p w14:paraId="26456970">
            <w:pPr>
              <w:pStyle w:val="18"/>
              <w:rPr>
                <w:color w:val="auto"/>
                <w:highlight w:val="none"/>
              </w:rPr>
            </w:pPr>
          </w:p>
        </w:tc>
      </w:tr>
    </w:tbl>
    <w:p w14:paraId="1D6592E2">
      <w:pPr>
        <w:spacing w:line="440" w:lineRule="exact"/>
        <w:ind w:firstLine="482" w:firstLineChars="200"/>
        <w:rPr>
          <w:rFonts w:hint="eastAsia"/>
          <w:b/>
          <w:bCs/>
          <w:color w:val="auto"/>
          <w:sz w:val="24"/>
          <w:szCs w:val="24"/>
          <w:highlight w:val="none"/>
        </w:rPr>
      </w:pPr>
      <w:r>
        <w:rPr>
          <w:rFonts w:hint="eastAsia"/>
          <w:b/>
          <w:bCs/>
          <w:color w:val="auto"/>
          <w:sz w:val="24"/>
          <w:szCs w:val="24"/>
          <w:highlight w:val="none"/>
        </w:rPr>
        <w:t>备注：各分包绿化养护服务范围详见附件。</w:t>
      </w:r>
    </w:p>
    <w:p w14:paraId="4AE0FD24">
      <w:pPr>
        <w:autoSpaceDE w:val="0"/>
        <w:autoSpaceDN w:val="0"/>
        <w:adjustRightInd w:val="0"/>
        <w:spacing w:line="440" w:lineRule="exact"/>
        <w:outlineLvl w:val="1"/>
        <w:rPr>
          <w:rFonts w:cs="宋体"/>
          <w:b/>
          <w:bCs/>
          <w:color w:val="auto"/>
          <w:kern w:val="0"/>
          <w:sz w:val="28"/>
          <w:szCs w:val="28"/>
          <w:highlight w:val="none"/>
          <w:lang w:val="zh-CN"/>
        </w:rPr>
      </w:pPr>
      <w:bookmarkStart w:id="144" w:name="_Toc125029387"/>
      <w:r>
        <w:rPr>
          <w:rFonts w:hint="eastAsia" w:cs="宋体"/>
          <w:b/>
          <w:bCs/>
          <w:color w:val="auto"/>
          <w:kern w:val="0"/>
          <w:sz w:val="28"/>
          <w:szCs w:val="28"/>
          <w:highlight w:val="none"/>
          <w:lang w:val="zh-CN"/>
        </w:rPr>
        <w:t>三、项目服务</w:t>
      </w:r>
      <w:r>
        <w:rPr>
          <w:rFonts w:cs="宋体"/>
          <w:b/>
          <w:bCs/>
          <w:color w:val="auto"/>
          <w:kern w:val="0"/>
          <w:sz w:val="28"/>
          <w:szCs w:val="28"/>
          <w:highlight w:val="none"/>
          <w:lang w:val="zh-CN"/>
        </w:rPr>
        <w:t>要求：</w:t>
      </w:r>
      <w:bookmarkEnd w:id="144"/>
    </w:p>
    <w:p w14:paraId="02C952D5">
      <w:pPr>
        <w:spacing w:line="440" w:lineRule="exact"/>
        <w:rPr>
          <w:b/>
          <w:color w:val="auto"/>
          <w:sz w:val="28"/>
          <w:szCs w:val="28"/>
          <w:highlight w:val="none"/>
        </w:rPr>
      </w:pPr>
      <w:r>
        <w:rPr>
          <w:b/>
          <w:color w:val="auto"/>
          <w:sz w:val="24"/>
          <w:szCs w:val="24"/>
          <w:highlight w:val="none"/>
        </w:rPr>
        <w:t>（一）总体要求：</w:t>
      </w:r>
    </w:p>
    <w:p w14:paraId="7318953E">
      <w:pPr>
        <w:spacing w:line="440" w:lineRule="exact"/>
        <w:ind w:firstLine="240" w:firstLineChars="100"/>
        <w:rPr>
          <w:rFonts w:hint="eastAsia"/>
          <w:color w:val="auto"/>
          <w:sz w:val="24"/>
          <w:szCs w:val="24"/>
          <w:highlight w:val="none"/>
        </w:rPr>
      </w:pPr>
      <w:r>
        <w:rPr>
          <w:rFonts w:hint="eastAsia"/>
          <w:i/>
          <w:iCs/>
          <w:color w:val="auto"/>
          <w:sz w:val="24"/>
          <w:szCs w:val="24"/>
          <w:highlight w:val="none"/>
          <w:u w:val="single"/>
          <w:lang w:eastAsia="zh-CN"/>
        </w:rPr>
        <w:t>1.</w:t>
      </w:r>
      <w:r>
        <w:rPr>
          <w:i/>
          <w:iCs/>
          <w:color w:val="auto"/>
          <w:sz w:val="24"/>
          <w:szCs w:val="24"/>
          <w:highlight w:val="none"/>
          <w:u w:val="single"/>
        </w:rPr>
        <w:t>所有服务项目参照《</w:t>
      </w:r>
      <w:r>
        <w:rPr>
          <w:rFonts w:hint="eastAsia"/>
          <w:i/>
          <w:iCs/>
          <w:color w:val="auto"/>
          <w:sz w:val="24"/>
          <w:szCs w:val="24"/>
          <w:highlight w:val="none"/>
          <w:u w:val="single"/>
          <w:lang w:eastAsia="zh-CN"/>
        </w:rPr>
        <w:t>宝应经济开发区</w:t>
      </w:r>
      <w:r>
        <w:rPr>
          <w:rFonts w:hint="eastAsia"/>
          <w:i/>
          <w:iCs/>
          <w:color w:val="auto"/>
          <w:sz w:val="24"/>
          <w:szCs w:val="24"/>
          <w:highlight w:val="none"/>
          <w:u w:val="single"/>
        </w:rPr>
        <w:t>公共绿地养护要求</w:t>
      </w:r>
      <w:r>
        <w:rPr>
          <w:rFonts w:hint="eastAsia"/>
          <w:i/>
          <w:iCs/>
          <w:color w:val="auto"/>
          <w:sz w:val="24"/>
          <w:szCs w:val="24"/>
          <w:highlight w:val="none"/>
          <w:u w:val="single"/>
          <w:lang w:eastAsia="zh-CN"/>
        </w:rPr>
        <w:t>》《宝应经济开发区</w:t>
      </w:r>
      <w:r>
        <w:rPr>
          <w:rFonts w:hint="eastAsia"/>
          <w:i/>
          <w:iCs/>
          <w:color w:val="auto"/>
          <w:sz w:val="24"/>
          <w:szCs w:val="24"/>
          <w:highlight w:val="none"/>
          <w:u w:val="single"/>
        </w:rPr>
        <w:t>绿地养护管理检查考核办法（试行）</w:t>
      </w:r>
      <w:r>
        <w:rPr>
          <w:rFonts w:hint="eastAsia"/>
          <w:i/>
          <w:iCs/>
          <w:color w:val="auto"/>
          <w:sz w:val="24"/>
          <w:szCs w:val="24"/>
          <w:highlight w:val="none"/>
          <w:u w:val="single"/>
          <w:lang w:eastAsia="zh-CN"/>
        </w:rPr>
        <w:t>》《宝应经济开发区</w:t>
      </w:r>
      <w:r>
        <w:rPr>
          <w:rFonts w:hint="eastAsia"/>
          <w:i/>
          <w:iCs/>
          <w:color w:val="auto"/>
          <w:sz w:val="24"/>
          <w:szCs w:val="24"/>
          <w:highlight w:val="none"/>
          <w:u w:val="single"/>
        </w:rPr>
        <w:t>绿地养护管理检查考核细则</w:t>
      </w:r>
      <w:r>
        <w:rPr>
          <w:rFonts w:hint="eastAsia"/>
          <w:i/>
          <w:iCs/>
          <w:color w:val="auto"/>
          <w:sz w:val="24"/>
          <w:szCs w:val="24"/>
          <w:highlight w:val="none"/>
          <w:u w:val="single"/>
          <w:lang w:eastAsia="zh-CN"/>
        </w:rPr>
        <w:t>》《宝应经济开发区</w:t>
      </w:r>
      <w:r>
        <w:rPr>
          <w:rFonts w:hint="eastAsia"/>
          <w:i/>
          <w:iCs/>
          <w:color w:val="auto"/>
          <w:sz w:val="24"/>
          <w:szCs w:val="24"/>
          <w:highlight w:val="none"/>
          <w:u w:val="single"/>
        </w:rPr>
        <w:t>绿地养护质量标准》</w:t>
      </w:r>
      <w:r>
        <w:rPr>
          <w:i/>
          <w:iCs/>
          <w:color w:val="auto"/>
          <w:sz w:val="24"/>
          <w:szCs w:val="24"/>
          <w:highlight w:val="none"/>
          <w:u w:val="single"/>
        </w:rPr>
        <w:t>及各项规章制度等内容进行管理，并且不局限于以上要求内容。</w:t>
      </w:r>
    </w:p>
    <w:p w14:paraId="6A7BA50F">
      <w:pPr>
        <w:spacing w:line="440" w:lineRule="exact"/>
        <w:ind w:firstLine="240" w:firstLineChars="100"/>
        <w:rPr>
          <w:i/>
          <w:iCs/>
          <w:color w:val="auto"/>
          <w:sz w:val="24"/>
          <w:szCs w:val="24"/>
          <w:highlight w:val="none"/>
          <w:u w:val="single"/>
        </w:rPr>
      </w:pPr>
      <w:r>
        <w:rPr>
          <w:rFonts w:hint="eastAsia"/>
          <w:i/>
          <w:iCs/>
          <w:color w:val="auto"/>
          <w:sz w:val="24"/>
          <w:szCs w:val="24"/>
          <w:highlight w:val="none"/>
          <w:u w:val="single"/>
          <w:lang w:eastAsia="zh-CN"/>
        </w:rPr>
        <w:t>2.</w:t>
      </w:r>
      <w:r>
        <w:rPr>
          <w:i/>
          <w:iCs/>
          <w:color w:val="auto"/>
          <w:sz w:val="24"/>
          <w:szCs w:val="24"/>
          <w:highlight w:val="none"/>
          <w:u w:val="single"/>
          <w:lang w:val="zh-CN"/>
        </w:rPr>
        <w:t>投标人必须依法规范用工，</w:t>
      </w:r>
      <w:r>
        <w:rPr>
          <w:rFonts w:hint="eastAsia" w:ascii="宋体" w:hAnsi="宋体"/>
          <w:i/>
          <w:iCs/>
          <w:color w:val="auto"/>
          <w:kern w:val="0"/>
          <w:sz w:val="24"/>
          <w:szCs w:val="24"/>
          <w:highlight w:val="none"/>
          <w:u w:val="single"/>
        </w:rPr>
        <w:t>职龄内</w:t>
      </w:r>
      <w:r>
        <w:rPr>
          <w:rFonts w:hint="eastAsia"/>
          <w:i/>
          <w:iCs/>
          <w:color w:val="auto"/>
          <w:sz w:val="24"/>
          <w:szCs w:val="24"/>
          <w:highlight w:val="none"/>
          <w:u w:val="single"/>
        </w:rPr>
        <w:t>工作人员</w:t>
      </w:r>
      <w:r>
        <w:rPr>
          <w:rFonts w:hint="eastAsia" w:ascii="宋体" w:hAnsi="宋体"/>
          <w:i/>
          <w:iCs/>
          <w:color w:val="auto"/>
          <w:kern w:val="0"/>
          <w:sz w:val="24"/>
          <w:szCs w:val="24"/>
          <w:highlight w:val="none"/>
          <w:u w:val="single"/>
        </w:rPr>
        <w:t>全部缴纳社保，</w:t>
      </w:r>
      <w:r>
        <w:rPr>
          <w:rFonts w:hint="eastAsia"/>
          <w:i/>
          <w:iCs/>
          <w:color w:val="auto"/>
          <w:sz w:val="24"/>
          <w:szCs w:val="24"/>
          <w:highlight w:val="none"/>
          <w:u w:val="single"/>
        </w:rPr>
        <w:t>所有工作人员须</w:t>
      </w:r>
      <w:r>
        <w:rPr>
          <w:i/>
          <w:iCs/>
          <w:color w:val="auto"/>
          <w:sz w:val="24"/>
          <w:szCs w:val="24"/>
          <w:highlight w:val="none"/>
          <w:u w:val="single"/>
          <w:lang w:val="zh-CN"/>
        </w:rPr>
        <w:t>购买意外险</w:t>
      </w:r>
      <w:r>
        <w:rPr>
          <w:rFonts w:hint="eastAsia"/>
          <w:i/>
          <w:iCs/>
          <w:color w:val="auto"/>
          <w:sz w:val="24"/>
          <w:szCs w:val="24"/>
          <w:highlight w:val="none"/>
          <w:u w:val="single"/>
        </w:rPr>
        <w:t>。</w:t>
      </w:r>
    </w:p>
    <w:p w14:paraId="17CA2521">
      <w:pPr>
        <w:spacing w:line="440" w:lineRule="exact"/>
        <w:ind w:firstLine="240" w:firstLineChars="100"/>
        <w:rPr>
          <w:rFonts w:hint="eastAsia"/>
          <w:color w:val="auto"/>
          <w:sz w:val="24"/>
          <w:szCs w:val="24"/>
          <w:highlight w:val="none"/>
        </w:rPr>
      </w:pPr>
      <w:r>
        <w:rPr>
          <w:rFonts w:hint="eastAsia"/>
          <w:color w:val="auto"/>
          <w:sz w:val="24"/>
          <w:szCs w:val="24"/>
          <w:highlight w:val="none"/>
          <w:lang w:eastAsia="zh-CN"/>
        </w:rPr>
        <w:t>3.</w:t>
      </w:r>
      <w:r>
        <w:rPr>
          <w:color w:val="auto"/>
          <w:sz w:val="24"/>
          <w:szCs w:val="24"/>
          <w:highlight w:val="none"/>
        </w:rPr>
        <w:t>投标人需在合同履行日前</w:t>
      </w:r>
      <w:r>
        <w:rPr>
          <w:rFonts w:hint="eastAsia"/>
          <w:color w:val="auto"/>
          <w:sz w:val="24"/>
          <w:szCs w:val="24"/>
          <w:highlight w:val="none"/>
        </w:rPr>
        <w:t>5天</w:t>
      </w:r>
      <w:r>
        <w:rPr>
          <w:color w:val="auto"/>
          <w:sz w:val="24"/>
          <w:szCs w:val="24"/>
          <w:highlight w:val="none"/>
        </w:rPr>
        <w:t>派员对管理现场进行熟悉情况和办理交接手续，相关费用包含在投标总价中。</w:t>
      </w:r>
      <w:r>
        <w:rPr>
          <w:rFonts w:hint="eastAsia"/>
          <w:color w:val="auto"/>
          <w:sz w:val="24"/>
          <w:szCs w:val="24"/>
          <w:highlight w:val="none"/>
        </w:rPr>
        <w:t>投标人有义务对原有绿化养护路段相关工作进行验收，提醒采购人对上一轮养护周期的遗留问题进行整改，验收合格后一并签字确认；如投标人对上一轮养护未履行接管的前期验收或未提出相关整改要求，视作对新交接的养护路段无异议，后期出现可能遗留的养护工作均由投标人负责。</w:t>
      </w:r>
    </w:p>
    <w:p w14:paraId="0CA94B60">
      <w:pPr>
        <w:spacing w:line="440" w:lineRule="exact"/>
        <w:ind w:firstLine="480" w:firstLineChars="200"/>
        <w:rPr>
          <w:color w:val="auto"/>
          <w:sz w:val="24"/>
          <w:szCs w:val="24"/>
          <w:highlight w:val="none"/>
          <w:lang w:val="zh-CN"/>
        </w:rPr>
      </w:pPr>
      <w:r>
        <w:rPr>
          <w:rFonts w:hint="eastAsia"/>
          <w:color w:val="auto"/>
          <w:sz w:val="24"/>
          <w:szCs w:val="24"/>
          <w:highlight w:val="none"/>
          <w:lang w:eastAsia="zh-CN"/>
        </w:rPr>
        <w:t>4.</w:t>
      </w:r>
      <w:r>
        <w:rPr>
          <w:color w:val="auto"/>
          <w:sz w:val="24"/>
          <w:szCs w:val="24"/>
          <w:highlight w:val="none"/>
        </w:rPr>
        <w:t>绿化</w:t>
      </w:r>
      <w:r>
        <w:rPr>
          <w:color w:val="auto"/>
          <w:sz w:val="24"/>
          <w:szCs w:val="24"/>
          <w:highlight w:val="none"/>
          <w:lang w:val="zh-CN"/>
        </w:rPr>
        <w:t>养护必须由具有一定养护经验的专业队伍来承担。养护单位应</w:t>
      </w:r>
      <w:r>
        <w:rPr>
          <w:color w:val="auto"/>
          <w:sz w:val="24"/>
          <w:szCs w:val="24"/>
          <w:highlight w:val="none"/>
        </w:rPr>
        <w:t>配备</w:t>
      </w:r>
      <w:r>
        <w:rPr>
          <w:color w:val="auto"/>
          <w:sz w:val="24"/>
          <w:szCs w:val="24"/>
          <w:highlight w:val="none"/>
          <w:lang w:val="zh-CN"/>
        </w:rPr>
        <w:t>专业养护管理人员和专业技术工人进行作业，施工过程中无违章操作现象，无安全事故。</w:t>
      </w:r>
    </w:p>
    <w:p w14:paraId="2EB7C421">
      <w:pPr>
        <w:spacing w:line="440" w:lineRule="exact"/>
        <w:ind w:firstLine="480" w:firstLineChars="200"/>
        <w:rPr>
          <w:color w:val="auto"/>
          <w:sz w:val="24"/>
          <w:szCs w:val="24"/>
          <w:highlight w:val="none"/>
          <w:lang w:val="zh-CN"/>
        </w:rPr>
      </w:pPr>
      <w:r>
        <w:rPr>
          <w:rFonts w:hint="eastAsia"/>
          <w:color w:val="auto"/>
          <w:sz w:val="24"/>
          <w:szCs w:val="24"/>
          <w:highlight w:val="none"/>
          <w:lang w:val="zh-CN"/>
        </w:rPr>
        <w:t>5.涉及绿化养护区域内的补植工作，经采购人同意后组织实施。</w:t>
      </w:r>
    </w:p>
    <w:p w14:paraId="0BDE05FE">
      <w:pPr>
        <w:spacing w:line="440" w:lineRule="exact"/>
        <w:ind w:firstLine="480" w:firstLineChars="200"/>
        <w:rPr>
          <w:color w:val="auto"/>
          <w:sz w:val="24"/>
          <w:szCs w:val="24"/>
          <w:highlight w:val="none"/>
          <w:lang w:val="zh-CN"/>
        </w:rPr>
      </w:pPr>
      <w:r>
        <w:rPr>
          <w:rFonts w:hint="eastAsia"/>
          <w:color w:val="auto"/>
          <w:sz w:val="24"/>
          <w:szCs w:val="24"/>
          <w:highlight w:val="none"/>
          <w:lang w:eastAsia="zh-CN"/>
        </w:rPr>
        <w:t>6.</w:t>
      </w:r>
      <w:r>
        <w:rPr>
          <w:color w:val="auto"/>
          <w:sz w:val="24"/>
          <w:szCs w:val="24"/>
          <w:highlight w:val="none"/>
          <w:lang w:val="zh-CN"/>
        </w:rPr>
        <w:t>养护单位所提供的植物材料、生产资料、机械设备和工具必须满足</w:t>
      </w:r>
      <w:r>
        <w:rPr>
          <w:rFonts w:hint="eastAsia"/>
          <w:color w:val="auto"/>
          <w:sz w:val="24"/>
          <w:szCs w:val="24"/>
          <w:highlight w:val="none"/>
        </w:rPr>
        <w:t>绿化</w:t>
      </w:r>
      <w:r>
        <w:rPr>
          <w:color w:val="auto"/>
          <w:sz w:val="24"/>
          <w:szCs w:val="24"/>
          <w:highlight w:val="none"/>
          <w:lang w:val="zh-CN"/>
        </w:rPr>
        <w:t>养护的要求，并且对环境没有污染。</w:t>
      </w:r>
    </w:p>
    <w:p w14:paraId="779E6739">
      <w:pPr>
        <w:spacing w:line="440" w:lineRule="exact"/>
        <w:ind w:firstLine="480" w:firstLineChars="200"/>
        <w:rPr>
          <w:b/>
          <w:bCs/>
          <w:color w:val="auto"/>
          <w:sz w:val="24"/>
          <w:szCs w:val="24"/>
          <w:highlight w:val="none"/>
          <w:lang w:val="zh-CN"/>
        </w:rPr>
      </w:pPr>
      <w:r>
        <w:rPr>
          <w:rFonts w:hint="eastAsia"/>
          <w:color w:val="auto"/>
          <w:sz w:val="24"/>
          <w:szCs w:val="24"/>
          <w:highlight w:val="none"/>
          <w:lang w:eastAsia="zh-CN"/>
        </w:rPr>
        <w:t>7.</w:t>
      </w:r>
      <w:r>
        <w:rPr>
          <w:color w:val="auto"/>
          <w:sz w:val="24"/>
          <w:szCs w:val="24"/>
          <w:highlight w:val="none"/>
          <w:lang w:val="zh-CN"/>
        </w:rPr>
        <w:t>养护后的绿地应植物生长旺盛，设施完善，环境整洁美观。</w:t>
      </w:r>
    </w:p>
    <w:p w14:paraId="7BA353D1">
      <w:pPr>
        <w:spacing w:line="440" w:lineRule="exact"/>
        <w:ind w:firstLine="480" w:firstLineChars="200"/>
        <w:rPr>
          <w:rFonts w:hint="eastAsia"/>
          <w:color w:val="auto"/>
          <w:sz w:val="24"/>
          <w:highlight w:val="none"/>
        </w:rPr>
      </w:pPr>
      <w:r>
        <w:rPr>
          <w:rFonts w:hint="eastAsia"/>
          <w:color w:val="auto"/>
          <w:sz w:val="24"/>
          <w:szCs w:val="24"/>
          <w:highlight w:val="none"/>
          <w:lang w:eastAsia="zh-CN"/>
        </w:rPr>
        <w:t>8.</w:t>
      </w:r>
      <w:r>
        <w:rPr>
          <w:rFonts w:hint="eastAsia"/>
          <w:color w:val="auto"/>
          <w:sz w:val="24"/>
          <w:szCs w:val="24"/>
          <w:highlight w:val="none"/>
        </w:rPr>
        <w:t>绿化养护</w:t>
      </w:r>
      <w:r>
        <w:rPr>
          <w:color w:val="auto"/>
          <w:sz w:val="24"/>
          <w:szCs w:val="24"/>
          <w:highlight w:val="none"/>
          <w:lang w:val="zh-CN"/>
        </w:rPr>
        <w:t>服务主要内容：包括但不限于（1）绿地保洁、清除杂草、清理农作物、清除垃圾（白色漂浮物、生活垃圾、建筑垃圾、枯枝树叶）；（2）修剪剥芽；（3）清除枯死树木枝条及架空线、</w:t>
      </w:r>
      <w:r>
        <w:rPr>
          <w:color w:val="auto"/>
          <w:sz w:val="24"/>
          <w:szCs w:val="24"/>
          <w:highlight w:val="none"/>
        </w:rPr>
        <w:t>路灯、</w:t>
      </w:r>
      <w:r>
        <w:rPr>
          <w:color w:val="auto"/>
          <w:sz w:val="24"/>
          <w:szCs w:val="24"/>
          <w:highlight w:val="none"/>
          <w:lang w:val="zh-CN"/>
        </w:rPr>
        <w:t>交通信号灯、</w:t>
      </w:r>
      <w:r>
        <w:rPr>
          <w:color w:val="auto"/>
          <w:sz w:val="24"/>
          <w:szCs w:val="24"/>
          <w:highlight w:val="none"/>
        </w:rPr>
        <w:t>各类指示牌</w:t>
      </w:r>
      <w:r>
        <w:rPr>
          <w:color w:val="auto"/>
          <w:sz w:val="24"/>
          <w:szCs w:val="24"/>
          <w:highlight w:val="none"/>
          <w:lang w:val="zh-CN"/>
        </w:rPr>
        <w:t>下树木的修剪；（4）树桩绑扎、加土扶正，过期铁丝清理；（5）草坪切边、色块切边、树穴完整；（6）病虫防治；（7）抗旱排涝、浇水排水，排水沟清理；（8）设施维护；（9）松土施肥；（10）露地草花种植；（11）清除修剪下的枝条、树叶、草坪等（枝条粉碎）；（12）草坪控高；（13）施肥及药水</w:t>
      </w:r>
      <w:r>
        <w:rPr>
          <w:rFonts w:hint="eastAsia"/>
          <w:color w:val="auto"/>
          <w:sz w:val="24"/>
          <w:szCs w:val="24"/>
          <w:highlight w:val="none"/>
          <w:lang w:val="zh-CN"/>
        </w:rPr>
        <w:t>，</w:t>
      </w:r>
      <w:r>
        <w:rPr>
          <w:color w:val="auto"/>
          <w:sz w:val="24"/>
          <w:szCs w:val="24"/>
          <w:highlight w:val="none"/>
          <w:lang w:val="zh-CN"/>
        </w:rPr>
        <w:t>并考虑风险因素；（14）冬季防火、杂草芦苇的清理清运；（15）灾害性应急抢险；（16）苗木定期清点；（17）行道树修剪；</w:t>
      </w:r>
      <w:r>
        <w:rPr>
          <w:rFonts w:hint="eastAsia"/>
          <w:color w:val="auto"/>
          <w:sz w:val="24"/>
          <w:szCs w:val="24"/>
          <w:highlight w:val="none"/>
          <w:lang w:val="zh-CN"/>
        </w:rPr>
        <w:t>（18）</w:t>
      </w:r>
      <w:r>
        <w:rPr>
          <w:rFonts w:hint="eastAsia"/>
          <w:color w:val="auto"/>
          <w:sz w:val="24"/>
          <w:highlight w:val="none"/>
        </w:rPr>
        <w:t xml:space="preserve">秩序管理；（19）数字化案件处置；（20）安全生产、综合治理及其它。 </w:t>
      </w:r>
    </w:p>
    <w:p w14:paraId="462D9161">
      <w:pPr>
        <w:pStyle w:val="18"/>
        <w:spacing w:line="440" w:lineRule="exact"/>
        <w:ind w:left="0" w:leftChars="0" w:firstLine="480" w:firstLineChars="200"/>
        <w:rPr>
          <w:color w:val="auto"/>
          <w:highlight w:val="none"/>
        </w:rPr>
      </w:pPr>
      <w:r>
        <w:rPr>
          <w:rFonts w:hint="eastAsia"/>
          <w:color w:val="auto"/>
          <w:sz w:val="24"/>
          <w:szCs w:val="24"/>
          <w:highlight w:val="none"/>
          <w:lang w:eastAsia="zh-CN"/>
        </w:rPr>
        <w:t>9.</w:t>
      </w:r>
      <w:r>
        <w:rPr>
          <w:rFonts w:ascii="Times New Roman"/>
          <w:color w:val="auto"/>
          <w:kern w:val="2"/>
          <w:sz w:val="24"/>
          <w:szCs w:val="24"/>
          <w:highlight w:val="none"/>
          <w:lang w:val="zh-CN"/>
        </w:rPr>
        <w:t>因政府重大活动、灾害性天气及突发性事件而必须实施的应急任务，由采购人按相关规定落实相应养护单位实施，养护单位须无条件保质保量完成。遇到参观或者突击检查，必须按照采购人的提前</w:t>
      </w:r>
      <w:r>
        <w:rPr>
          <w:rFonts w:hint="eastAsia" w:ascii="Times New Roman"/>
          <w:color w:val="auto"/>
          <w:kern w:val="2"/>
          <w:sz w:val="24"/>
          <w:szCs w:val="24"/>
          <w:highlight w:val="none"/>
          <w:lang w:val="zh-CN"/>
        </w:rPr>
        <w:t>通知</w:t>
      </w:r>
      <w:r>
        <w:rPr>
          <w:rFonts w:ascii="Times New Roman"/>
          <w:color w:val="auto"/>
          <w:kern w:val="2"/>
          <w:sz w:val="24"/>
          <w:szCs w:val="24"/>
          <w:highlight w:val="none"/>
          <w:lang w:val="zh-CN"/>
        </w:rPr>
        <w:t>，增加养护频次。</w:t>
      </w:r>
    </w:p>
    <w:p w14:paraId="56E3F1D0">
      <w:pPr>
        <w:spacing w:line="440" w:lineRule="exact"/>
        <w:rPr>
          <w:b/>
          <w:color w:val="auto"/>
          <w:sz w:val="24"/>
          <w:szCs w:val="24"/>
          <w:highlight w:val="none"/>
        </w:rPr>
      </w:pPr>
      <w:r>
        <w:rPr>
          <w:b/>
          <w:color w:val="auto"/>
          <w:sz w:val="24"/>
          <w:szCs w:val="24"/>
          <w:highlight w:val="none"/>
        </w:rPr>
        <w:t>（二）人员要求：</w:t>
      </w:r>
    </w:p>
    <w:p w14:paraId="0F7F71C1">
      <w:pPr>
        <w:spacing w:line="440" w:lineRule="exact"/>
        <w:ind w:firstLine="240" w:firstLineChars="100"/>
        <w:rPr>
          <w:rFonts w:hint="eastAsia"/>
          <w:color w:val="auto"/>
          <w:sz w:val="24"/>
          <w:szCs w:val="24"/>
          <w:highlight w:val="none"/>
        </w:rPr>
      </w:pPr>
      <w:r>
        <w:rPr>
          <w:rFonts w:hint="eastAsia"/>
          <w:color w:val="auto"/>
          <w:sz w:val="24"/>
          <w:szCs w:val="24"/>
          <w:highlight w:val="none"/>
          <w:lang w:eastAsia="zh-CN"/>
        </w:rPr>
        <w:t>1.</w:t>
      </w:r>
      <w:r>
        <w:rPr>
          <w:rFonts w:hint="eastAsia"/>
          <w:i/>
          <w:iCs/>
          <w:color w:val="auto"/>
          <w:sz w:val="24"/>
          <w:szCs w:val="24"/>
          <w:highlight w:val="none"/>
          <w:u w:val="single"/>
        </w:rPr>
        <w:t>禁止使用65周岁以上人员，项目现场固定负责人须在60周岁以下。</w:t>
      </w:r>
    </w:p>
    <w:p w14:paraId="18D25E27">
      <w:pPr>
        <w:spacing w:line="440" w:lineRule="exact"/>
        <w:ind w:firstLine="240" w:firstLineChars="100"/>
        <w:rPr>
          <w:rFonts w:hint="eastAsia"/>
          <w:color w:val="auto"/>
          <w:sz w:val="24"/>
          <w:szCs w:val="24"/>
          <w:highlight w:val="none"/>
        </w:rPr>
      </w:pPr>
      <w:r>
        <w:rPr>
          <w:rFonts w:hint="eastAsia"/>
          <w:color w:val="auto"/>
          <w:sz w:val="24"/>
          <w:szCs w:val="24"/>
          <w:highlight w:val="none"/>
          <w:lang w:eastAsia="zh-CN"/>
        </w:rPr>
        <w:t>2.</w:t>
      </w:r>
      <w:r>
        <w:rPr>
          <w:rFonts w:hint="eastAsia"/>
          <w:color w:val="auto"/>
          <w:sz w:val="24"/>
          <w:szCs w:val="24"/>
          <w:highlight w:val="none"/>
        </w:rPr>
        <w:t>爱岗敬业，主人翁意识强，遵纪守法，文明礼貌。</w:t>
      </w:r>
    </w:p>
    <w:p w14:paraId="2EFCE0FD">
      <w:pPr>
        <w:spacing w:line="440" w:lineRule="exact"/>
        <w:ind w:firstLine="240" w:firstLineChars="100"/>
        <w:rPr>
          <w:rFonts w:hint="eastAsia"/>
          <w:color w:val="auto"/>
          <w:sz w:val="24"/>
          <w:szCs w:val="24"/>
          <w:highlight w:val="none"/>
        </w:rPr>
      </w:pPr>
      <w:r>
        <w:rPr>
          <w:rFonts w:hint="eastAsia"/>
          <w:color w:val="auto"/>
          <w:sz w:val="24"/>
          <w:szCs w:val="24"/>
          <w:highlight w:val="none"/>
          <w:lang w:eastAsia="zh-CN"/>
        </w:rPr>
        <w:t>3.</w:t>
      </w:r>
      <w:r>
        <w:rPr>
          <w:rFonts w:hint="eastAsia"/>
          <w:color w:val="auto"/>
          <w:sz w:val="24"/>
          <w:szCs w:val="24"/>
          <w:highlight w:val="none"/>
        </w:rPr>
        <w:t>团结协作意识、安全作业意识强，工作高质、高效。</w:t>
      </w:r>
    </w:p>
    <w:p w14:paraId="15EF96FE">
      <w:pPr>
        <w:spacing w:line="440" w:lineRule="exact"/>
        <w:ind w:firstLine="240" w:firstLineChars="100"/>
        <w:rPr>
          <w:rFonts w:hint="eastAsia"/>
          <w:color w:val="auto"/>
          <w:sz w:val="24"/>
          <w:szCs w:val="24"/>
          <w:highlight w:val="none"/>
        </w:rPr>
      </w:pPr>
      <w:r>
        <w:rPr>
          <w:rFonts w:hint="eastAsia"/>
          <w:color w:val="auto"/>
          <w:sz w:val="24"/>
          <w:szCs w:val="24"/>
          <w:highlight w:val="none"/>
          <w:lang w:eastAsia="zh-CN"/>
        </w:rPr>
        <w:t>4.</w:t>
      </w:r>
      <w:r>
        <w:rPr>
          <w:rFonts w:hint="eastAsia"/>
          <w:color w:val="auto"/>
          <w:sz w:val="24"/>
          <w:szCs w:val="24"/>
          <w:highlight w:val="none"/>
        </w:rPr>
        <w:t>统一服装，注重个人形象。</w:t>
      </w:r>
    </w:p>
    <w:p w14:paraId="11FB36F9">
      <w:pPr>
        <w:spacing w:line="440" w:lineRule="exact"/>
        <w:ind w:firstLine="240" w:firstLineChars="100"/>
        <w:rPr>
          <w:rFonts w:hint="eastAsia"/>
          <w:color w:val="auto"/>
          <w:sz w:val="24"/>
          <w:szCs w:val="24"/>
          <w:highlight w:val="none"/>
        </w:rPr>
      </w:pPr>
      <w:r>
        <w:rPr>
          <w:rFonts w:hint="eastAsia"/>
          <w:color w:val="auto"/>
          <w:sz w:val="24"/>
          <w:szCs w:val="24"/>
          <w:highlight w:val="none"/>
          <w:lang w:eastAsia="zh-CN"/>
        </w:rPr>
        <w:t>5.</w:t>
      </w:r>
      <w:r>
        <w:rPr>
          <w:rFonts w:hint="eastAsia"/>
          <w:color w:val="auto"/>
          <w:sz w:val="24"/>
          <w:szCs w:val="24"/>
          <w:highlight w:val="none"/>
        </w:rPr>
        <w:t>对养护单位所使用人员（包括项目负责人和现场固定负责人），若不能胜任所承担的养护工作，采购人有权要求养护单位更换人员。</w:t>
      </w:r>
    </w:p>
    <w:p w14:paraId="2BE4ADA6">
      <w:pPr>
        <w:spacing w:line="440" w:lineRule="exact"/>
        <w:ind w:firstLine="240" w:firstLineChars="100"/>
        <w:rPr>
          <w:b/>
          <w:color w:val="auto"/>
          <w:sz w:val="24"/>
          <w:szCs w:val="24"/>
          <w:highlight w:val="none"/>
        </w:rPr>
      </w:pPr>
      <w:r>
        <w:rPr>
          <w:rFonts w:hint="eastAsia"/>
          <w:color w:val="auto"/>
          <w:sz w:val="24"/>
          <w:szCs w:val="24"/>
          <w:highlight w:val="none"/>
          <w:lang w:eastAsia="zh-CN"/>
        </w:rPr>
        <w:t>6.</w:t>
      </w:r>
      <w:r>
        <w:rPr>
          <w:rFonts w:hint="eastAsia"/>
          <w:color w:val="auto"/>
          <w:sz w:val="24"/>
          <w:szCs w:val="24"/>
          <w:highlight w:val="none"/>
        </w:rPr>
        <w:t>无特殊原因，投标人不得随意更换项目人员，如需更换须提前5个工作日通知采购人，并征得采购人同意</w:t>
      </w:r>
      <w:r>
        <w:rPr>
          <w:rFonts w:hint="eastAsia"/>
          <w:color w:val="auto"/>
          <w:sz w:val="24"/>
          <w:szCs w:val="24"/>
          <w:highlight w:val="none"/>
          <w:lang w:eastAsia="zh-CN"/>
        </w:rPr>
        <w:t>方可</w:t>
      </w:r>
      <w:r>
        <w:rPr>
          <w:rFonts w:hint="eastAsia"/>
          <w:color w:val="auto"/>
          <w:sz w:val="24"/>
          <w:szCs w:val="24"/>
          <w:highlight w:val="none"/>
        </w:rPr>
        <w:t>更换</w:t>
      </w:r>
      <w:r>
        <w:rPr>
          <w:color w:val="auto"/>
          <w:sz w:val="24"/>
          <w:szCs w:val="24"/>
          <w:highlight w:val="none"/>
        </w:rPr>
        <w:t>。</w:t>
      </w:r>
    </w:p>
    <w:p w14:paraId="2094EBAE">
      <w:pPr>
        <w:spacing w:line="440" w:lineRule="exact"/>
        <w:rPr>
          <w:color w:val="auto"/>
          <w:sz w:val="24"/>
          <w:szCs w:val="24"/>
          <w:highlight w:val="none"/>
        </w:rPr>
      </w:pPr>
      <w:r>
        <w:rPr>
          <w:b/>
          <w:bCs/>
          <w:color w:val="auto"/>
          <w:sz w:val="24"/>
          <w:szCs w:val="24"/>
          <w:highlight w:val="none"/>
        </w:rPr>
        <w:t>（三）车辆、工具设备配置要求</w:t>
      </w:r>
      <w:r>
        <w:rPr>
          <w:color w:val="auto"/>
          <w:sz w:val="24"/>
          <w:szCs w:val="24"/>
          <w:highlight w:val="none"/>
        </w:rPr>
        <w:t>：</w:t>
      </w:r>
    </w:p>
    <w:p w14:paraId="6E2E5D68">
      <w:pPr>
        <w:spacing w:line="440" w:lineRule="exact"/>
        <w:ind w:firstLine="480" w:firstLineChars="200"/>
        <w:rPr>
          <w:rFonts w:hint="eastAsia"/>
          <w:color w:val="auto"/>
          <w:sz w:val="24"/>
          <w:szCs w:val="24"/>
          <w:highlight w:val="none"/>
          <w:lang w:val="zh-CN"/>
        </w:rPr>
      </w:pPr>
      <w:r>
        <w:rPr>
          <w:rFonts w:hint="eastAsia"/>
          <w:color w:val="auto"/>
          <w:sz w:val="24"/>
          <w:szCs w:val="22"/>
          <w:highlight w:val="none"/>
          <w:lang w:eastAsia="zh-CN"/>
        </w:rPr>
        <w:t>1.</w:t>
      </w:r>
      <w:r>
        <w:rPr>
          <w:color w:val="auto"/>
          <w:sz w:val="24"/>
          <w:szCs w:val="24"/>
          <w:highlight w:val="none"/>
          <w:lang w:val="zh-CN"/>
        </w:rPr>
        <w:t>投标人须为本项目配备专用车辆，</w:t>
      </w:r>
      <w:r>
        <w:rPr>
          <w:rFonts w:hint="eastAsia"/>
          <w:color w:val="auto"/>
          <w:sz w:val="24"/>
          <w:szCs w:val="24"/>
          <w:highlight w:val="none"/>
          <w:lang w:val="zh-CN"/>
        </w:rPr>
        <w:t>包括</w:t>
      </w:r>
      <w:r>
        <w:rPr>
          <w:color w:val="auto"/>
          <w:sz w:val="24"/>
          <w:szCs w:val="24"/>
          <w:highlight w:val="none"/>
        </w:rPr>
        <w:t>洒水车</w:t>
      </w:r>
      <w:r>
        <w:rPr>
          <w:rFonts w:hint="eastAsia"/>
          <w:color w:val="auto"/>
          <w:sz w:val="24"/>
          <w:szCs w:val="24"/>
          <w:highlight w:val="none"/>
        </w:rPr>
        <w:t>、登高作业车、客车</w:t>
      </w:r>
      <w:r>
        <w:rPr>
          <w:color w:val="auto"/>
          <w:sz w:val="24"/>
          <w:szCs w:val="24"/>
          <w:highlight w:val="none"/>
        </w:rPr>
        <w:t>、</w:t>
      </w:r>
      <w:r>
        <w:rPr>
          <w:rFonts w:hint="eastAsia"/>
          <w:color w:val="auto"/>
          <w:sz w:val="24"/>
          <w:szCs w:val="24"/>
          <w:highlight w:val="none"/>
        </w:rPr>
        <w:t>专项作业车、</w:t>
      </w:r>
      <w:r>
        <w:rPr>
          <w:color w:val="auto"/>
          <w:sz w:val="24"/>
          <w:szCs w:val="24"/>
          <w:highlight w:val="none"/>
        </w:rPr>
        <w:t>货车、</w:t>
      </w:r>
      <w:r>
        <w:rPr>
          <w:rFonts w:hint="eastAsia"/>
          <w:color w:val="auto"/>
          <w:sz w:val="24"/>
          <w:szCs w:val="24"/>
          <w:highlight w:val="none"/>
        </w:rPr>
        <w:t>皮卡</w:t>
      </w:r>
      <w:r>
        <w:rPr>
          <w:color w:val="auto"/>
          <w:sz w:val="24"/>
          <w:szCs w:val="24"/>
          <w:highlight w:val="none"/>
        </w:rPr>
        <w:t>、面包车</w:t>
      </w:r>
      <w:r>
        <w:rPr>
          <w:rFonts w:hint="eastAsia"/>
          <w:color w:val="auto"/>
          <w:sz w:val="24"/>
          <w:szCs w:val="24"/>
          <w:highlight w:val="none"/>
        </w:rPr>
        <w:t>等。</w:t>
      </w:r>
    </w:p>
    <w:p w14:paraId="6D615952">
      <w:pPr>
        <w:spacing w:line="440" w:lineRule="exact"/>
        <w:ind w:firstLine="480" w:firstLineChars="200"/>
        <w:rPr>
          <w:color w:val="auto"/>
          <w:sz w:val="24"/>
          <w:szCs w:val="24"/>
          <w:highlight w:val="none"/>
          <w:lang w:val="zh-CN"/>
        </w:rPr>
      </w:pPr>
      <w:r>
        <w:rPr>
          <w:rFonts w:hint="eastAsia"/>
          <w:color w:val="auto"/>
          <w:sz w:val="24"/>
          <w:szCs w:val="24"/>
          <w:highlight w:val="none"/>
          <w:lang w:val="zh-CN"/>
        </w:rPr>
        <w:t>2.</w:t>
      </w:r>
      <w:r>
        <w:rPr>
          <w:color w:val="auto"/>
          <w:sz w:val="24"/>
          <w:szCs w:val="24"/>
          <w:highlight w:val="none"/>
          <w:lang w:val="zh-CN"/>
        </w:rPr>
        <w:t>投标人须为本项目配备小型机械设备</w:t>
      </w:r>
      <w:r>
        <w:rPr>
          <w:rFonts w:hint="eastAsia"/>
          <w:color w:val="auto"/>
          <w:sz w:val="24"/>
          <w:szCs w:val="24"/>
          <w:highlight w:val="none"/>
          <w:lang w:val="zh-CN"/>
        </w:rPr>
        <w:t>，包括</w:t>
      </w:r>
      <w:r>
        <w:rPr>
          <w:rFonts w:cs="宋体"/>
          <w:color w:val="auto"/>
          <w:sz w:val="24"/>
          <w:szCs w:val="24"/>
          <w:highlight w:val="none"/>
        </w:rPr>
        <w:t>草坪机、割灌机、油锯、绿篱机、水泵、药水机</w:t>
      </w:r>
      <w:r>
        <w:rPr>
          <w:rFonts w:hint="eastAsia" w:cs="宋体"/>
          <w:color w:val="auto"/>
          <w:sz w:val="24"/>
          <w:szCs w:val="24"/>
          <w:highlight w:val="none"/>
        </w:rPr>
        <w:t>、粉碎机等</w:t>
      </w:r>
      <w:r>
        <w:rPr>
          <w:rFonts w:cs="宋体"/>
          <w:color w:val="auto"/>
          <w:sz w:val="24"/>
          <w:szCs w:val="24"/>
          <w:highlight w:val="none"/>
        </w:rPr>
        <w:t>设备</w:t>
      </w:r>
      <w:r>
        <w:rPr>
          <w:rFonts w:hint="eastAsia" w:cs="宋体"/>
          <w:color w:val="auto"/>
          <w:sz w:val="24"/>
          <w:szCs w:val="24"/>
          <w:highlight w:val="none"/>
        </w:rPr>
        <w:t>。</w:t>
      </w:r>
    </w:p>
    <w:p w14:paraId="65057E53">
      <w:pPr>
        <w:spacing w:line="440" w:lineRule="exact"/>
        <w:ind w:firstLine="480" w:firstLineChars="200"/>
        <w:rPr>
          <w:color w:val="auto"/>
          <w:sz w:val="24"/>
          <w:szCs w:val="24"/>
          <w:highlight w:val="none"/>
          <w:lang w:val="zh-CN"/>
        </w:rPr>
      </w:pPr>
      <w:r>
        <w:rPr>
          <w:rFonts w:hint="eastAsia"/>
          <w:color w:val="auto"/>
          <w:sz w:val="24"/>
          <w:szCs w:val="24"/>
          <w:highlight w:val="none"/>
          <w:lang w:val="zh-CN"/>
        </w:rPr>
        <w:t>3.</w:t>
      </w:r>
      <w:r>
        <w:rPr>
          <w:color w:val="auto"/>
          <w:sz w:val="24"/>
          <w:szCs w:val="24"/>
          <w:highlight w:val="none"/>
          <w:lang w:val="zh-CN"/>
        </w:rPr>
        <w:t>除上述配置要求外，投标人应按照服务内容要求配置满足绿化养护日常作业及应急服务需求的相关车辆、工具设备。</w:t>
      </w:r>
    </w:p>
    <w:p w14:paraId="0C07A0F2">
      <w:pPr>
        <w:spacing w:line="440" w:lineRule="exact"/>
        <w:ind w:firstLine="480" w:firstLineChars="200"/>
        <w:rPr>
          <w:color w:val="auto"/>
          <w:sz w:val="24"/>
          <w:szCs w:val="22"/>
          <w:highlight w:val="none"/>
        </w:rPr>
      </w:pPr>
      <w:r>
        <w:rPr>
          <w:rFonts w:hint="eastAsia"/>
          <w:color w:val="auto"/>
          <w:sz w:val="24"/>
          <w:szCs w:val="24"/>
          <w:highlight w:val="none"/>
          <w:lang w:val="zh-CN"/>
        </w:rPr>
        <w:t>4.</w:t>
      </w:r>
      <w:r>
        <w:rPr>
          <w:color w:val="auto"/>
          <w:sz w:val="24"/>
          <w:szCs w:val="24"/>
          <w:highlight w:val="none"/>
          <w:lang w:val="zh-CN"/>
        </w:rPr>
        <w:t>中标人必须在签订合同前将专用车辆、小型机械设备及其他工具全部准备到位，否则相关风险由其自行承担。</w:t>
      </w:r>
    </w:p>
    <w:p w14:paraId="6CD4F570">
      <w:pPr>
        <w:spacing w:line="440" w:lineRule="exact"/>
        <w:rPr>
          <w:b/>
          <w:color w:val="auto"/>
          <w:sz w:val="24"/>
          <w:szCs w:val="24"/>
          <w:highlight w:val="none"/>
        </w:rPr>
      </w:pPr>
      <w:r>
        <w:rPr>
          <w:b/>
          <w:color w:val="auto"/>
          <w:sz w:val="24"/>
          <w:szCs w:val="24"/>
          <w:highlight w:val="none"/>
        </w:rPr>
        <w:t>（</w:t>
      </w:r>
      <w:r>
        <w:rPr>
          <w:rFonts w:hint="eastAsia"/>
          <w:b/>
          <w:color w:val="auto"/>
          <w:sz w:val="24"/>
          <w:szCs w:val="24"/>
          <w:highlight w:val="none"/>
        </w:rPr>
        <w:t>四</w:t>
      </w:r>
      <w:r>
        <w:rPr>
          <w:b/>
          <w:color w:val="auto"/>
          <w:sz w:val="24"/>
          <w:szCs w:val="24"/>
          <w:highlight w:val="none"/>
        </w:rPr>
        <w:t>）</w:t>
      </w:r>
      <w:r>
        <w:rPr>
          <w:rFonts w:hint="eastAsia"/>
          <w:b/>
          <w:color w:val="auto"/>
          <w:sz w:val="24"/>
          <w:szCs w:val="24"/>
          <w:highlight w:val="none"/>
        </w:rPr>
        <w:t>服务要求：</w:t>
      </w:r>
    </w:p>
    <w:p w14:paraId="7C6A40F4">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投标人负责养护范围内的绿地及园林设施巡视看护、保洁，并按要求做到存在问题及安全隐患问题及时上报。</w:t>
      </w:r>
    </w:p>
    <w:p w14:paraId="19829B38">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因政府重大活动或突发性事件而必须实施的应急整治任务，由采购人按相关规定落实相应投标人实施的，投标人应保质保量完成。</w:t>
      </w:r>
    </w:p>
    <w:p w14:paraId="6CF77990">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突击工作服从采购人安排，增派人员和设备。</w:t>
      </w:r>
    </w:p>
    <w:p w14:paraId="4B7D7DD8">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养护工人工作服配备：春秋冬季绿</w:t>
      </w:r>
      <w:r>
        <w:rPr>
          <w:rFonts w:hint="eastAsia" w:ascii="宋体" w:hAnsi="宋体" w:cs="宋体"/>
          <w:color w:val="auto"/>
          <w:sz w:val="24"/>
          <w:szCs w:val="24"/>
          <w:highlight w:val="none"/>
          <w:lang w:eastAsia="zh-CN"/>
        </w:rPr>
        <w:t>马甲两件</w:t>
      </w:r>
      <w:r>
        <w:rPr>
          <w:rFonts w:hint="eastAsia" w:ascii="宋体" w:hAnsi="宋体" w:cs="宋体"/>
          <w:color w:val="auto"/>
          <w:sz w:val="24"/>
          <w:szCs w:val="24"/>
          <w:highlight w:val="none"/>
        </w:rPr>
        <w:t>、夏装二件、雨衣雨裤一套，且标明养护单位名称。</w:t>
      </w:r>
    </w:p>
    <w:p w14:paraId="3371BA83">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cs="宋体"/>
          <w:color w:val="auto"/>
          <w:sz w:val="24"/>
          <w:szCs w:val="24"/>
          <w:highlight w:val="none"/>
        </w:rPr>
        <w:t>养护开始之日前应将工作服发放到位，全部统一着装上岗，统一挂牌上岗，道路保洁人员必须加穿反光马甲。</w:t>
      </w:r>
    </w:p>
    <w:p w14:paraId="4DE01EB7">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cs="宋体"/>
          <w:color w:val="auto"/>
          <w:sz w:val="24"/>
          <w:szCs w:val="24"/>
          <w:highlight w:val="none"/>
        </w:rPr>
        <w:t>落实专人负责养护</w:t>
      </w:r>
      <w:r>
        <w:rPr>
          <w:rFonts w:hint="eastAsia" w:ascii="宋体" w:hAnsi="宋体" w:cs="宋体"/>
          <w:color w:val="auto"/>
          <w:sz w:val="24"/>
          <w:szCs w:val="24"/>
          <w:highlight w:val="none"/>
          <w:lang w:eastAsia="zh-CN"/>
        </w:rPr>
        <w:t>台账资料</w:t>
      </w:r>
      <w:r>
        <w:rPr>
          <w:rFonts w:hint="eastAsia" w:ascii="宋体" w:hAnsi="宋体" w:cs="宋体"/>
          <w:color w:val="auto"/>
          <w:sz w:val="24"/>
          <w:szCs w:val="24"/>
          <w:highlight w:val="none"/>
        </w:rPr>
        <w:t>的制作、管理，确保</w:t>
      </w:r>
      <w:r>
        <w:rPr>
          <w:rFonts w:hint="eastAsia" w:ascii="宋体" w:hAnsi="宋体" w:cs="宋体"/>
          <w:color w:val="auto"/>
          <w:sz w:val="24"/>
          <w:szCs w:val="24"/>
          <w:highlight w:val="none"/>
          <w:lang w:eastAsia="zh-CN"/>
        </w:rPr>
        <w:t>台账资料</w:t>
      </w:r>
      <w:r>
        <w:rPr>
          <w:rFonts w:hint="eastAsia" w:ascii="宋体" w:hAnsi="宋体" w:cs="宋体"/>
          <w:color w:val="auto"/>
          <w:sz w:val="24"/>
          <w:szCs w:val="24"/>
          <w:highlight w:val="none"/>
        </w:rPr>
        <w:t>记录详细，分类清楚，数据</w:t>
      </w:r>
      <w:r>
        <w:rPr>
          <w:rFonts w:hint="eastAsia" w:ascii="宋体" w:hAnsi="宋体" w:cs="宋体"/>
          <w:color w:val="auto"/>
          <w:sz w:val="24"/>
          <w:szCs w:val="24"/>
          <w:highlight w:val="none"/>
          <w:lang w:eastAsia="zh-CN"/>
        </w:rPr>
        <w:t>翔实</w:t>
      </w:r>
      <w:r>
        <w:rPr>
          <w:rFonts w:hint="eastAsia" w:ascii="宋体" w:hAnsi="宋体" w:cs="宋体"/>
          <w:color w:val="auto"/>
          <w:sz w:val="24"/>
          <w:szCs w:val="24"/>
          <w:highlight w:val="none"/>
        </w:rPr>
        <w:t>；建立养护范围内绿化苗木数据库，并根据实际情况进行动态更新。</w:t>
      </w:r>
    </w:p>
    <w:p w14:paraId="49BB351A">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cs="宋体"/>
          <w:color w:val="auto"/>
          <w:sz w:val="24"/>
          <w:szCs w:val="24"/>
          <w:highlight w:val="none"/>
        </w:rPr>
        <w:t>养护期内加强管理</w:t>
      </w:r>
    </w:p>
    <w:p w14:paraId="7B7D0E36">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①一旦出现枯枝现象，24小时内处理完毕，如出现树木、草坪等植物死亡，</w:t>
      </w:r>
      <w:r>
        <w:rPr>
          <w:rFonts w:hint="eastAsia" w:ascii="宋体" w:hAnsi="宋体" w:cs="宋体"/>
          <w:color w:val="auto"/>
          <w:sz w:val="24"/>
          <w:szCs w:val="24"/>
          <w:highlight w:val="none"/>
          <w:lang w:eastAsia="zh-CN"/>
        </w:rPr>
        <w:t>在第一时间</w:t>
      </w:r>
      <w:r>
        <w:rPr>
          <w:rFonts w:hint="eastAsia" w:ascii="宋体" w:hAnsi="宋体" w:cs="宋体"/>
          <w:color w:val="auto"/>
          <w:sz w:val="24"/>
          <w:szCs w:val="24"/>
          <w:highlight w:val="none"/>
        </w:rPr>
        <w:t>按规定格式及时上报。</w:t>
      </w:r>
    </w:p>
    <w:p w14:paraId="0861BDEC">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②根据采购方每月提出的工作要点进行及时处理；对于各类花灌木及时安排整形修剪。</w:t>
      </w:r>
    </w:p>
    <w:p w14:paraId="4BCDABBC">
      <w:pPr>
        <w:spacing w:line="440" w:lineRule="exact"/>
        <w:ind w:firstLine="240" w:firstLineChars="100"/>
        <w:rPr>
          <w:rFonts w:hint="eastAsia" w:ascii="Times New Roman"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③中标方应根据实际情况合理使用各类园林机械，一级养护区域绿地严禁使</w:t>
      </w:r>
      <w:r>
        <w:rPr>
          <w:rFonts w:hint="eastAsia" w:ascii="Times New Roman" w:hAnsi="宋体" w:eastAsia="宋体" w:cs="宋体"/>
          <w:color w:val="auto"/>
          <w:sz w:val="24"/>
          <w:szCs w:val="24"/>
          <w:highlight w:val="none"/>
          <w:lang w:val="en-US" w:eastAsia="zh-CN" w:bidi="ar-SA"/>
        </w:rPr>
        <w:t>用割灌机修剪草坪。</w:t>
      </w:r>
    </w:p>
    <w:p w14:paraId="1EA92D31">
      <w:pPr>
        <w:spacing w:line="440" w:lineRule="exact"/>
        <w:ind w:firstLine="240" w:firstLineChars="100"/>
        <w:rPr>
          <w:rFonts w:hint="eastAsia" w:ascii="Times New Roman" w:hAnsi="宋体" w:eastAsia="宋体" w:cs="宋体"/>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bidi="ar-SA"/>
        </w:rPr>
        <w:t>④按照采购方要求，行道树养护要求在养护合同期内对行道树进行一次重修整形，养护单位须具备机械，具体修剪时间和要求由采购方指定。</w:t>
      </w:r>
    </w:p>
    <w:p w14:paraId="7991BF70">
      <w:pPr>
        <w:spacing w:line="440" w:lineRule="exact"/>
        <w:ind w:firstLine="240" w:firstLineChars="100"/>
        <w:rPr>
          <w:rFonts w:hint="eastAsia" w:ascii="Times New Roman" w:hAnsi="宋体" w:eastAsia="宋体" w:cs="宋体"/>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bidi="ar-SA"/>
        </w:rPr>
        <w:t>⑤中标方应根据养护当月病虫害暴发情况和采购方要求进行病虫害重点防治工作。</w:t>
      </w:r>
    </w:p>
    <w:p w14:paraId="263A87E5">
      <w:pPr>
        <w:pStyle w:val="18"/>
        <w:spacing w:line="440" w:lineRule="exact"/>
        <w:ind w:left="0" w:leftChars="0" w:firstLine="480" w:firstLineChars="200"/>
        <w:rPr>
          <w:rFonts w:hint="eastAsia" w:ascii="Times New Roman" w:hAnsi="宋体" w:eastAsia="宋体" w:cs="宋体"/>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bidi="ar-SA"/>
        </w:rPr>
        <w:t>8.因中标人养护管理不善而死亡的植物，中标人应及时无偿补植，补植的苗木规格原则上不小于死亡苗木并确保成活。</w:t>
      </w:r>
    </w:p>
    <w:p w14:paraId="1E31A4EF">
      <w:pPr>
        <w:spacing w:line="440" w:lineRule="exact"/>
        <w:ind w:firstLine="480" w:firstLineChars="200"/>
        <w:rPr>
          <w:rFonts w:hint="eastAsia" w:ascii="Times New Roman" w:hAnsi="宋体" w:eastAsia="宋体" w:cs="宋体"/>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bidi="ar-SA"/>
        </w:rPr>
        <w:t>9.投标人应建立应急抢险预案，组织一支稳定的应急抢险队伍，配备必备的抢险车辆、工具设备，并落实专人负责抢险工作，保持全天24小时通信畅通，做到接到抢险任务于半小时内到达现场解除险情。</w:t>
      </w:r>
    </w:p>
    <w:p w14:paraId="3A24F7B3">
      <w:pPr>
        <w:spacing w:line="440" w:lineRule="exact"/>
        <w:ind w:firstLine="480" w:firstLineChars="200"/>
        <w:rPr>
          <w:rFonts w:hint="eastAsia" w:ascii="Times New Roman" w:hAnsi="宋体" w:eastAsia="宋体" w:cs="宋体"/>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bidi="ar-SA"/>
        </w:rPr>
        <w:t>10.随时关注天气，出现强对流等恶劣天气时，提前1～2天做好高大树木加固、危枝危膀剪除等防范措施，抢险应急队伍24小时值班待命；事中做到抢险人员主动上路巡视，主动发现问题、主动解除险情；事后及时清理现场做好善后工作。在做好本分包范围绿地内的应急抢险任务外，服从采购人的统一调度，确保完成采购人另行安排的其它应急抢险任务。</w:t>
      </w:r>
    </w:p>
    <w:p w14:paraId="3F309605">
      <w:pPr>
        <w:spacing w:line="440" w:lineRule="exact"/>
        <w:ind w:firstLine="480" w:firstLineChars="200"/>
        <w:rPr>
          <w:rFonts w:hint="eastAsia" w:ascii="Times New Roman" w:hAnsi="宋体" w:eastAsia="宋体" w:cs="宋体"/>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bidi="ar-SA"/>
        </w:rPr>
        <w:t>11.绿化养护及修剪产生的绿化弃料由养护单位自行清运处理，采购方不提供清运场地。</w:t>
      </w:r>
    </w:p>
    <w:p w14:paraId="58444A50">
      <w:pPr>
        <w:pStyle w:val="18"/>
        <w:spacing w:line="440" w:lineRule="exact"/>
        <w:ind w:left="0" w:leftChars="0" w:firstLine="480" w:firstLineChars="200"/>
        <w:rPr>
          <w:rFonts w:hint="eastAsia" w:ascii="Times New Roman" w:hAnsi="宋体" w:eastAsia="宋体" w:cs="宋体"/>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bidi="ar-SA"/>
        </w:rPr>
        <w:t>12.投标人如获得中标，应在签订合同前与采购人签订《安全生产协议》（详见附件7），并严格遵守执行。</w:t>
      </w:r>
    </w:p>
    <w:p w14:paraId="056EB527">
      <w:pPr>
        <w:spacing w:line="440" w:lineRule="exact"/>
        <w:ind w:firstLine="480" w:firstLineChars="200"/>
        <w:rPr>
          <w:rFonts w:hint="eastAsia" w:ascii="Times New Roman" w:hAnsi="宋体" w:eastAsia="宋体" w:cs="宋体"/>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bidi="ar-SA"/>
        </w:rPr>
        <w:t>13.《宝应经济开发区绿地养护管理检查考核办法（试行）》和《宝应经济开发区绿地养护管理检查考核细则》作为考核主要标准，考核分数与养护经费挂钩。</w:t>
      </w:r>
    </w:p>
    <w:p w14:paraId="14599C02">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14.</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rPr>
        <w:t>不提供垃圾的填埋场所，养护单位自行考虑绿化养护产生垃圾托运、填埋等处理方式及费用。</w:t>
      </w:r>
    </w:p>
    <w:p w14:paraId="3202A34B">
      <w:pPr>
        <w:autoSpaceDE w:val="0"/>
        <w:autoSpaceDN w:val="0"/>
        <w:adjustRightInd w:val="0"/>
        <w:spacing w:line="440" w:lineRule="exact"/>
        <w:outlineLvl w:val="1"/>
        <w:rPr>
          <w:rFonts w:hint="eastAsia" w:cs="宋体"/>
          <w:b/>
          <w:bCs/>
          <w:color w:val="auto"/>
          <w:kern w:val="0"/>
          <w:sz w:val="28"/>
          <w:szCs w:val="28"/>
          <w:highlight w:val="none"/>
          <w:lang w:val="zh-CN"/>
        </w:rPr>
      </w:pPr>
      <w:bookmarkStart w:id="145" w:name="_Toc120874294"/>
      <w:bookmarkStart w:id="146" w:name="_Toc125029388"/>
      <w:r>
        <w:rPr>
          <w:rFonts w:hint="eastAsia" w:cs="宋体"/>
          <w:b/>
          <w:bCs/>
          <w:color w:val="auto"/>
          <w:kern w:val="0"/>
          <w:sz w:val="28"/>
          <w:szCs w:val="28"/>
          <w:highlight w:val="none"/>
          <w:lang w:val="zh-CN"/>
        </w:rPr>
        <w:t>四、工作量清单说明</w:t>
      </w:r>
      <w:bookmarkEnd w:id="145"/>
      <w:bookmarkEnd w:id="146"/>
    </w:p>
    <w:p w14:paraId="2EC165CB">
      <w:pPr>
        <w:spacing w:line="440" w:lineRule="exact"/>
        <w:ind w:firstLine="480" w:firstLineChars="200"/>
        <w:rPr>
          <w:rFonts w:hint="eastAsia"/>
          <w:color w:val="auto"/>
          <w:sz w:val="24"/>
          <w:szCs w:val="24"/>
          <w:highlight w:val="none"/>
        </w:rPr>
      </w:pPr>
      <w:r>
        <w:rPr>
          <w:rFonts w:hint="eastAsia"/>
          <w:color w:val="auto"/>
          <w:sz w:val="24"/>
          <w:szCs w:val="24"/>
          <w:highlight w:val="none"/>
          <w:lang w:eastAsia="zh-CN"/>
        </w:rPr>
        <w:t>1.</w:t>
      </w:r>
      <w:r>
        <w:rPr>
          <w:rFonts w:hint="eastAsia"/>
          <w:color w:val="auto"/>
          <w:sz w:val="24"/>
          <w:szCs w:val="24"/>
          <w:highlight w:val="none"/>
        </w:rPr>
        <w:t>养护工作量清单为投标单位投标报价的依据，各投标单位投标时须落实专人踏勘现场，中标单位养护时以现场实有苗木、设施、绿地面积为准（与清单误差在±5%以内不调整）。</w:t>
      </w:r>
    </w:p>
    <w:p w14:paraId="2EE6BF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b/>
          <w:bCs/>
          <w:color w:val="auto"/>
          <w:sz w:val="24"/>
          <w:szCs w:val="24"/>
          <w:highlight w:val="none"/>
        </w:rPr>
      </w:pPr>
      <w:r>
        <w:rPr>
          <w:rFonts w:hint="eastAsia"/>
          <w:color w:val="auto"/>
          <w:sz w:val="24"/>
          <w:szCs w:val="24"/>
          <w:highlight w:val="none"/>
          <w:lang w:eastAsia="zh-CN"/>
        </w:rPr>
        <w:t>2.</w:t>
      </w:r>
      <w:r>
        <w:rPr>
          <w:rFonts w:hint="eastAsia"/>
          <w:b/>
          <w:bCs/>
          <w:color w:val="auto"/>
          <w:sz w:val="24"/>
          <w:szCs w:val="24"/>
          <w:highlight w:val="none"/>
        </w:rPr>
        <w:t>区内进行道路及雨污分流改造，对部分绿化有破坏及补栽，中标人对该部分绿化有管护责任，结算时面积不</w:t>
      </w:r>
      <w:r>
        <w:rPr>
          <w:rFonts w:hint="eastAsia"/>
          <w:b/>
          <w:bCs/>
          <w:color w:val="auto"/>
          <w:sz w:val="24"/>
          <w:szCs w:val="24"/>
          <w:highlight w:val="none"/>
          <w:lang w:val="en-US" w:eastAsia="zh-CN"/>
        </w:rPr>
        <w:t>作调整</w:t>
      </w:r>
      <w:r>
        <w:rPr>
          <w:rFonts w:hint="eastAsia"/>
          <w:b/>
          <w:bCs/>
          <w:color w:val="auto"/>
          <w:sz w:val="24"/>
          <w:szCs w:val="24"/>
          <w:highlight w:val="none"/>
          <w:lang w:eastAsia="zh-CN"/>
        </w:rPr>
        <w:t>，</w:t>
      </w:r>
      <w:r>
        <w:rPr>
          <w:rFonts w:hint="eastAsia"/>
          <w:b/>
          <w:bCs/>
          <w:color w:val="auto"/>
          <w:sz w:val="24"/>
          <w:szCs w:val="24"/>
          <w:highlight w:val="none"/>
          <w:lang w:val="en-US" w:eastAsia="zh-CN"/>
        </w:rPr>
        <w:t>投标人报价自行考虑以上因素</w:t>
      </w:r>
      <w:r>
        <w:rPr>
          <w:rFonts w:hint="eastAsia"/>
          <w:b/>
          <w:bCs/>
          <w:color w:val="auto"/>
          <w:sz w:val="24"/>
          <w:szCs w:val="24"/>
          <w:highlight w:val="none"/>
        </w:rPr>
        <w:t>。</w:t>
      </w:r>
    </w:p>
    <w:p w14:paraId="16920F82">
      <w:pPr>
        <w:autoSpaceDE w:val="0"/>
        <w:autoSpaceDN w:val="0"/>
        <w:adjustRightInd w:val="0"/>
        <w:spacing w:line="440" w:lineRule="exact"/>
        <w:outlineLvl w:val="1"/>
        <w:rPr>
          <w:rFonts w:hint="eastAsia" w:cs="宋体"/>
          <w:b/>
          <w:bCs/>
          <w:color w:val="auto"/>
          <w:kern w:val="0"/>
          <w:sz w:val="28"/>
          <w:szCs w:val="28"/>
          <w:highlight w:val="none"/>
          <w:lang w:val="zh-CN"/>
        </w:rPr>
      </w:pPr>
      <w:bookmarkStart w:id="147" w:name="_Toc125029389"/>
      <w:bookmarkStart w:id="148" w:name="_Toc120874295"/>
      <w:r>
        <w:rPr>
          <w:rFonts w:hint="eastAsia" w:cs="宋体"/>
          <w:b/>
          <w:bCs/>
          <w:color w:val="auto"/>
          <w:kern w:val="0"/>
          <w:sz w:val="28"/>
          <w:szCs w:val="28"/>
          <w:highlight w:val="none"/>
          <w:lang w:val="zh-CN"/>
        </w:rPr>
        <w:t>五、管护交接时间与管护期限</w:t>
      </w:r>
      <w:bookmarkEnd w:id="147"/>
      <w:bookmarkEnd w:id="148"/>
    </w:p>
    <w:p w14:paraId="7C04318F">
      <w:pPr>
        <w:spacing w:line="440" w:lineRule="exact"/>
        <w:ind w:firstLine="480" w:firstLineChars="200"/>
        <w:rPr>
          <w:rFonts w:hint="eastAsia"/>
          <w:color w:val="auto"/>
          <w:sz w:val="24"/>
          <w:szCs w:val="24"/>
          <w:highlight w:val="none"/>
        </w:rPr>
      </w:pPr>
      <w:r>
        <w:rPr>
          <w:rFonts w:hint="eastAsia"/>
          <w:color w:val="auto"/>
          <w:sz w:val="24"/>
          <w:szCs w:val="24"/>
          <w:highlight w:val="none"/>
          <w:lang w:eastAsia="zh-CN"/>
        </w:rPr>
        <w:t>1.</w:t>
      </w:r>
      <w:r>
        <w:rPr>
          <w:rFonts w:hint="eastAsia"/>
          <w:color w:val="auto"/>
          <w:sz w:val="24"/>
          <w:szCs w:val="24"/>
          <w:highlight w:val="none"/>
        </w:rPr>
        <w:t>管护交接时间：合同</w:t>
      </w:r>
      <w:r>
        <w:rPr>
          <w:rFonts w:hint="eastAsia"/>
          <w:color w:val="auto"/>
          <w:sz w:val="24"/>
          <w:szCs w:val="24"/>
          <w:highlight w:val="none"/>
          <w:lang w:eastAsia="zh-CN"/>
        </w:rPr>
        <w:t>签订</w:t>
      </w:r>
      <w:r>
        <w:rPr>
          <w:rFonts w:hint="eastAsia"/>
          <w:color w:val="auto"/>
          <w:sz w:val="24"/>
          <w:szCs w:val="24"/>
          <w:highlight w:val="none"/>
        </w:rPr>
        <w:t>生效之日起根据采购人统一安排接收管护。</w:t>
      </w:r>
    </w:p>
    <w:p w14:paraId="4FFB03BB">
      <w:pPr>
        <w:spacing w:line="440" w:lineRule="exact"/>
        <w:ind w:firstLine="480" w:firstLineChars="200"/>
        <w:rPr>
          <w:rFonts w:hint="eastAsia"/>
          <w:color w:val="auto"/>
          <w:highlight w:val="none"/>
        </w:rPr>
      </w:pPr>
      <w:r>
        <w:rPr>
          <w:rFonts w:hint="eastAsia"/>
          <w:color w:val="auto"/>
          <w:sz w:val="24"/>
          <w:szCs w:val="24"/>
          <w:highlight w:val="none"/>
          <w:lang w:eastAsia="zh-CN"/>
        </w:rPr>
        <w:t>2.</w:t>
      </w:r>
      <w:r>
        <w:rPr>
          <w:rFonts w:hint="eastAsia"/>
          <w:color w:val="auto"/>
          <w:sz w:val="24"/>
          <w:szCs w:val="24"/>
          <w:highlight w:val="none"/>
        </w:rPr>
        <w:t>管护期限：</w:t>
      </w:r>
      <w:r>
        <w:rPr>
          <w:rFonts w:hint="eastAsia"/>
          <w:color w:val="auto"/>
          <w:sz w:val="24"/>
          <w:szCs w:val="24"/>
          <w:highlight w:val="none"/>
          <w:lang w:eastAsia="zh-CN"/>
        </w:rPr>
        <w:t>一年</w:t>
      </w:r>
      <w:r>
        <w:rPr>
          <w:rFonts w:hint="eastAsia"/>
          <w:color w:val="auto"/>
          <w:sz w:val="24"/>
          <w:szCs w:val="24"/>
          <w:highlight w:val="none"/>
        </w:rPr>
        <w:t>（</w:t>
      </w:r>
      <w:r>
        <w:rPr>
          <w:rFonts w:hint="eastAsia"/>
          <w:color w:val="auto"/>
          <w:sz w:val="24"/>
          <w:highlight w:val="none"/>
        </w:rPr>
        <w:t>自202</w:t>
      </w:r>
      <w:r>
        <w:rPr>
          <w:rFonts w:hint="eastAsia"/>
          <w:color w:val="auto"/>
          <w:sz w:val="24"/>
          <w:highlight w:val="none"/>
          <w:lang w:val="en-US" w:eastAsia="zh-CN"/>
        </w:rPr>
        <w:t>6</w:t>
      </w:r>
      <w:r>
        <w:rPr>
          <w:rFonts w:hint="eastAsia"/>
          <w:color w:val="auto"/>
          <w:sz w:val="24"/>
          <w:highlight w:val="none"/>
        </w:rPr>
        <w:t>年</w:t>
      </w:r>
      <w:r>
        <w:rPr>
          <w:rFonts w:hint="eastAsia"/>
          <w:color w:val="auto"/>
          <w:sz w:val="24"/>
          <w:highlight w:val="none"/>
          <w:lang w:val="en-US" w:eastAsia="zh-CN"/>
        </w:rPr>
        <w:t xml:space="preserve">  </w:t>
      </w:r>
      <w:r>
        <w:rPr>
          <w:rFonts w:hint="eastAsia"/>
          <w:color w:val="auto"/>
          <w:sz w:val="24"/>
          <w:highlight w:val="none"/>
        </w:rPr>
        <w:t>月</w:t>
      </w:r>
      <w:r>
        <w:rPr>
          <w:rFonts w:hint="eastAsia"/>
          <w:color w:val="auto"/>
          <w:sz w:val="24"/>
          <w:highlight w:val="none"/>
          <w:lang w:val="en-US" w:eastAsia="zh-CN"/>
        </w:rPr>
        <w:t xml:space="preserve">  </w:t>
      </w:r>
      <w:r>
        <w:rPr>
          <w:rFonts w:hint="eastAsia"/>
          <w:color w:val="auto"/>
          <w:sz w:val="24"/>
          <w:highlight w:val="none"/>
        </w:rPr>
        <w:t>日起至202</w:t>
      </w:r>
      <w:r>
        <w:rPr>
          <w:rFonts w:hint="eastAsia"/>
          <w:color w:val="auto"/>
          <w:sz w:val="24"/>
          <w:highlight w:val="none"/>
          <w:lang w:val="en-US" w:eastAsia="zh-CN"/>
        </w:rPr>
        <w:t>7</w:t>
      </w:r>
      <w:r>
        <w:rPr>
          <w:rFonts w:hint="eastAsia"/>
          <w:color w:val="auto"/>
          <w:sz w:val="24"/>
          <w:highlight w:val="none"/>
        </w:rPr>
        <w:t>年</w:t>
      </w:r>
      <w:r>
        <w:rPr>
          <w:rFonts w:hint="eastAsia"/>
          <w:color w:val="auto"/>
          <w:sz w:val="24"/>
          <w:highlight w:val="none"/>
          <w:lang w:val="en-US" w:eastAsia="zh-CN"/>
        </w:rPr>
        <w:t xml:space="preserve">  </w:t>
      </w:r>
      <w:r>
        <w:rPr>
          <w:rFonts w:hint="eastAsia"/>
          <w:color w:val="auto"/>
          <w:sz w:val="24"/>
          <w:highlight w:val="none"/>
        </w:rPr>
        <w:t>月</w:t>
      </w:r>
      <w:r>
        <w:rPr>
          <w:rFonts w:hint="eastAsia"/>
          <w:color w:val="auto"/>
          <w:sz w:val="24"/>
          <w:highlight w:val="none"/>
          <w:lang w:val="en-US" w:eastAsia="zh-CN"/>
        </w:rPr>
        <w:t xml:space="preserve">  </w:t>
      </w:r>
      <w:r>
        <w:rPr>
          <w:rFonts w:hint="eastAsia"/>
          <w:color w:val="auto"/>
          <w:sz w:val="24"/>
          <w:highlight w:val="none"/>
        </w:rPr>
        <w:t>日止</w:t>
      </w:r>
      <w:r>
        <w:rPr>
          <w:rFonts w:hint="eastAsia"/>
          <w:color w:val="auto"/>
          <w:sz w:val="24"/>
          <w:szCs w:val="24"/>
          <w:highlight w:val="none"/>
        </w:rPr>
        <w:t>）</w:t>
      </w:r>
      <w:r>
        <w:rPr>
          <w:rFonts w:hint="eastAsia"/>
          <w:color w:val="auto"/>
          <w:sz w:val="24"/>
          <w:szCs w:val="24"/>
          <w:highlight w:val="none"/>
          <w:lang w:eastAsia="zh-CN"/>
        </w:rPr>
        <w:t>（</w:t>
      </w:r>
      <w:r>
        <w:rPr>
          <w:rFonts w:hint="eastAsia"/>
          <w:color w:val="auto"/>
          <w:sz w:val="24"/>
          <w:highlight w:val="none"/>
        </w:rPr>
        <w:t>具体以签订合同时间为准</w:t>
      </w:r>
      <w:r>
        <w:rPr>
          <w:rFonts w:hint="eastAsia"/>
          <w:color w:val="auto"/>
          <w:sz w:val="24"/>
          <w:highlight w:val="none"/>
          <w:lang w:eastAsia="zh-CN"/>
        </w:rPr>
        <w:t>）</w:t>
      </w:r>
      <w:r>
        <w:rPr>
          <w:rFonts w:hint="eastAsia"/>
          <w:color w:val="auto"/>
          <w:sz w:val="24"/>
          <w:szCs w:val="24"/>
          <w:highlight w:val="none"/>
        </w:rPr>
        <w:t>。</w:t>
      </w:r>
    </w:p>
    <w:p w14:paraId="7E38EDBE">
      <w:pPr>
        <w:autoSpaceDE w:val="0"/>
        <w:autoSpaceDN w:val="0"/>
        <w:adjustRightInd w:val="0"/>
        <w:spacing w:line="440" w:lineRule="exact"/>
        <w:outlineLvl w:val="1"/>
        <w:rPr>
          <w:rFonts w:cs="宋体"/>
          <w:b/>
          <w:bCs/>
          <w:color w:val="auto"/>
          <w:kern w:val="0"/>
          <w:sz w:val="28"/>
          <w:szCs w:val="28"/>
          <w:highlight w:val="none"/>
          <w:lang w:val="zh-CN"/>
        </w:rPr>
      </w:pPr>
      <w:bookmarkStart w:id="149" w:name="_Toc125029390"/>
      <w:r>
        <w:rPr>
          <w:rFonts w:hint="eastAsia" w:cs="宋体"/>
          <w:b/>
          <w:bCs/>
          <w:color w:val="auto"/>
          <w:kern w:val="0"/>
          <w:sz w:val="28"/>
          <w:szCs w:val="28"/>
          <w:highlight w:val="none"/>
          <w:lang w:val="zh-CN"/>
        </w:rPr>
        <w:t>六</w:t>
      </w:r>
      <w:r>
        <w:rPr>
          <w:rFonts w:cs="宋体"/>
          <w:b/>
          <w:bCs/>
          <w:color w:val="auto"/>
          <w:kern w:val="0"/>
          <w:sz w:val="28"/>
          <w:szCs w:val="28"/>
          <w:highlight w:val="none"/>
          <w:lang w:val="zh-CN"/>
        </w:rPr>
        <w:t>、投标报价要求：</w:t>
      </w:r>
      <w:bookmarkEnd w:id="149"/>
    </w:p>
    <w:p w14:paraId="12BA2F3C">
      <w:pPr>
        <w:spacing w:line="440" w:lineRule="exact"/>
        <w:ind w:firstLine="480" w:firstLineChars="200"/>
        <w:rPr>
          <w:color w:val="auto"/>
          <w:sz w:val="24"/>
          <w:szCs w:val="24"/>
          <w:highlight w:val="none"/>
        </w:rPr>
      </w:pPr>
      <w:r>
        <w:rPr>
          <w:rFonts w:hint="eastAsia"/>
          <w:color w:val="auto"/>
          <w:sz w:val="24"/>
          <w:szCs w:val="24"/>
          <w:highlight w:val="none"/>
          <w:lang w:eastAsia="zh-CN"/>
        </w:rPr>
        <w:t>1.</w:t>
      </w:r>
      <w:r>
        <w:rPr>
          <w:rFonts w:hint="eastAsia"/>
          <w:color w:val="auto"/>
          <w:sz w:val="24"/>
          <w:szCs w:val="24"/>
          <w:highlight w:val="none"/>
        </w:rPr>
        <w:t>投标人</w:t>
      </w:r>
      <w:r>
        <w:rPr>
          <w:color w:val="auto"/>
          <w:sz w:val="24"/>
          <w:szCs w:val="24"/>
          <w:highlight w:val="none"/>
        </w:rPr>
        <w:t>须对本项目中的所有分包进行</w:t>
      </w:r>
      <w:r>
        <w:rPr>
          <w:rFonts w:hint="eastAsia"/>
          <w:color w:val="auto"/>
          <w:sz w:val="24"/>
          <w:szCs w:val="24"/>
          <w:highlight w:val="none"/>
        </w:rPr>
        <w:t>投标报价</w:t>
      </w:r>
      <w:r>
        <w:rPr>
          <w:color w:val="auto"/>
          <w:sz w:val="24"/>
          <w:szCs w:val="24"/>
          <w:highlight w:val="none"/>
        </w:rPr>
        <w:t>，不得只对其中的部分分包进行</w:t>
      </w:r>
      <w:r>
        <w:rPr>
          <w:rFonts w:hint="eastAsia"/>
          <w:color w:val="auto"/>
          <w:sz w:val="24"/>
          <w:szCs w:val="24"/>
          <w:highlight w:val="none"/>
        </w:rPr>
        <w:t>投标</w:t>
      </w:r>
      <w:r>
        <w:rPr>
          <w:color w:val="auto"/>
          <w:sz w:val="24"/>
          <w:szCs w:val="24"/>
          <w:highlight w:val="none"/>
        </w:rPr>
        <w:t>报价，否则</w:t>
      </w:r>
      <w:r>
        <w:rPr>
          <w:rFonts w:hint="eastAsia"/>
          <w:color w:val="auto"/>
          <w:sz w:val="24"/>
          <w:szCs w:val="24"/>
          <w:highlight w:val="none"/>
        </w:rPr>
        <w:t>将作无效投标处理</w:t>
      </w:r>
      <w:r>
        <w:rPr>
          <w:color w:val="auto"/>
          <w:sz w:val="24"/>
          <w:szCs w:val="24"/>
          <w:highlight w:val="none"/>
        </w:rPr>
        <w:t>。</w:t>
      </w:r>
    </w:p>
    <w:p w14:paraId="6A421998">
      <w:pPr>
        <w:spacing w:line="440" w:lineRule="exact"/>
        <w:ind w:firstLine="482" w:firstLineChars="200"/>
        <w:rPr>
          <w:b/>
          <w:bCs/>
          <w:color w:val="auto"/>
          <w:sz w:val="24"/>
          <w:szCs w:val="24"/>
          <w:highlight w:val="none"/>
        </w:rPr>
      </w:pPr>
      <w:r>
        <w:rPr>
          <w:rFonts w:hint="eastAsia"/>
          <w:b/>
          <w:bCs/>
          <w:color w:val="auto"/>
          <w:sz w:val="24"/>
          <w:szCs w:val="24"/>
          <w:highlight w:val="none"/>
          <w:lang w:eastAsia="zh-CN"/>
        </w:rPr>
        <w:t>2.</w:t>
      </w:r>
      <w:r>
        <w:rPr>
          <w:rFonts w:hint="eastAsia"/>
          <w:b/>
          <w:bCs/>
          <w:i/>
          <w:iCs/>
          <w:color w:val="auto"/>
          <w:sz w:val="24"/>
          <w:szCs w:val="24"/>
          <w:highlight w:val="none"/>
          <w:u w:val="single"/>
        </w:rPr>
        <w:t>投标人投标</w:t>
      </w:r>
      <w:r>
        <w:rPr>
          <w:b/>
          <w:bCs/>
          <w:i/>
          <w:iCs/>
          <w:color w:val="auto"/>
          <w:sz w:val="24"/>
          <w:szCs w:val="24"/>
          <w:highlight w:val="none"/>
          <w:u w:val="single"/>
        </w:rPr>
        <w:t>报价时应以固定</w:t>
      </w:r>
      <w:r>
        <w:rPr>
          <w:rFonts w:hint="eastAsia"/>
          <w:b/>
          <w:bCs/>
          <w:i/>
          <w:iCs/>
          <w:color w:val="auto"/>
          <w:sz w:val="24"/>
          <w:szCs w:val="24"/>
          <w:highlight w:val="none"/>
          <w:u w:val="single"/>
          <w:lang w:val="en-US" w:eastAsia="zh-CN"/>
        </w:rPr>
        <w:t>总价报价</w:t>
      </w:r>
      <w:r>
        <w:rPr>
          <w:b/>
          <w:bCs/>
          <w:i/>
          <w:iCs/>
          <w:color w:val="auto"/>
          <w:sz w:val="24"/>
          <w:szCs w:val="24"/>
          <w:highlight w:val="none"/>
          <w:u w:val="single"/>
        </w:rPr>
        <w:t>。</w:t>
      </w:r>
      <w:r>
        <w:rPr>
          <w:rFonts w:hint="eastAsia"/>
          <w:b/>
          <w:bCs/>
          <w:i/>
          <w:iCs/>
          <w:color w:val="auto"/>
          <w:sz w:val="24"/>
          <w:szCs w:val="24"/>
          <w:highlight w:val="none"/>
          <w:u w:val="single"/>
          <w:lang w:val="en-US" w:eastAsia="zh-CN"/>
        </w:rPr>
        <w:t>投标报价高于最高投标限价的投标无效</w:t>
      </w:r>
      <w:r>
        <w:rPr>
          <w:b/>
          <w:bCs/>
          <w:i/>
          <w:iCs/>
          <w:color w:val="auto"/>
          <w:sz w:val="24"/>
          <w:szCs w:val="24"/>
          <w:highlight w:val="none"/>
          <w:u w:val="single"/>
        </w:rPr>
        <w:t>，否则</w:t>
      </w:r>
      <w:r>
        <w:rPr>
          <w:rFonts w:hint="eastAsia"/>
          <w:b/>
          <w:bCs/>
          <w:i/>
          <w:iCs/>
          <w:color w:val="auto"/>
          <w:sz w:val="24"/>
          <w:szCs w:val="24"/>
          <w:highlight w:val="none"/>
          <w:u w:val="single"/>
        </w:rPr>
        <w:t>将</w:t>
      </w:r>
      <w:r>
        <w:rPr>
          <w:b/>
          <w:bCs/>
          <w:i/>
          <w:iCs/>
          <w:color w:val="auto"/>
          <w:sz w:val="24"/>
          <w:szCs w:val="24"/>
          <w:highlight w:val="none"/>
          <w:u w:val="single"/>
        </w:rPr>
        <w:t>作无效</w:t>
      </w:r>
      <w:r>
        <w:rPr>
          <w:rFonts w:hint="eastAsia"/>
          <w:b/>
          <w:bCs/>
          <w:i/>
          <w:iCs/>
          <w:color w:val="auto"/>
          <w:sz w:val="24"/>
          <w:szCs w:val="24"/>
          <w:highlight w:val="none"/>
          <w:u w:val="single"/>
        </w:rPr>
        <w:t>投标</w:t>
      </w:r>
      <w:r>
        <w:rPr>
          <w:b/>
          <w:bCs/>
          <w:i/>
          <w:iCs/>
          <w:color w:val="auto"/>
          <w:sz w:val="24"/>
          <w:szCs w:val="24"/>
          <w:highlight w:val="none"/>
          <w:u w:val="single"/>
        </w:rPr>
        <w:t>处理。</w:t>
      </w:r>
    </w:p>
    <w:p w14:paraId="4CE83414">
      <w:pPr>
        <w:spacing w:line="440" w:lineRule="exact"/>
        <w:ind w:firstLine="480" w:firstLineChars="200"/>
        <w:rPr>
          <w:rFonts w:hint="eastAsia"/>
          <w:color w:val="auto"/>
          <w:sz w:val="24"/>
          <w:szCs w:val="24"/>
          <w:highlight w:val="none"/>
        </w:rPr>
      </w:pPr>
      <w:r>
        <w:rPr>
          <w:rFonts w:hint="eastAsia"/>
          <w:color w:val="auto"/>
          <w:sz w:val="24"/>
          <w:szCs w:val="24"/>
          <w:highlight w:val="none"/>
          <w:lang w:val="en-US" w:eastAsia="zh-CN"/>
        </w:rPr>
        <w:t>3.</w:t>
      </w:r>
      <w:r>
        <w:rPr>
          <w:color w:val="auto"/>
          <w:sz w:val="24"/>
          <w:szCs w:val="24"/>
          <w:highlight w:val="none"/>
        </w:rPr>
        <w:t>服务费用包括服务期限内完成该项目工作所需的所有费用，包括</w:t>
      </w:r>
      <w:r>
        <w:rPr>
          <w:rFonts w:hint="eastAsia"/>
          <w:color w:val="auto"/>
          <w:sz w:val="24"/>
          <w:szCs w:val="24"/>
          <w:highlight w:val="none"/>
        </w:rPr>
        <w:t>养护费、</w:t>
      </w:r>
      <w:r>
        <w:rPr>
          <w:color w:val="auto"/>
          <w:sz w:val="24"/>
          <w:szCs w:val="24"/>
          <w:highlight w:val="none"/>
        </w:rPr>
        <w:t>人工费（包括人员工资、福利费、加班费、人身意外伤害险等）、设备工具费、易耗品</w:t>
      </w:r>
      <w:r>
        <w:rPr>
          <w:rFonts w:hint="eastAsia"/>
          <w:color w:val="auto"/>
          <w:sz w:val="24"/>
          <w:szCs w:val="24"/>
          <w:highlight w:val="none"/>
        </w:rPr>
        <w:t>费</w:t>
      </w:r>
      <w:r>
        <w:rPr>
          <w:color w:val="auto"/>
          <w:sz w:val="24"/>
          <w:szCs w:val="24"/>
          <w:highlight w:val="none"/>
        </w:rPr>
        <w:t>、作业服装</w:t>
      </w:r>
      <w:r>
        <w:rPr>
          <w:rFonts w:hint="eastAsia"/>
          <w:color w:val="auto"/>
          <w:sz w:val="24"/>
          <w:szCs w:val="24"/>
          <w:highlight w:val="none"/>
        </w:rPr>
        <w:t>费</w:t>
      </w:r>
      <w:r>
        <w:rPr>
          <w:color w:val="auto"/>
          <w:sz w:val="24"/>
          <w:szCs w:val="24"/>
          <w:highlight w:val="none"/>
        </w:rPr>
        <w:t>、</w:t>
      </w:r>
      <w:r>
        <w:rPr>
          <w:rFonts w:hint="eastAsia"/>
          <w:color w:val="auto"/>
          <w:sz w:val="24"/>
          <w:szCs w:val="24"/>
          <w:highlight w:val="none"/>
        </w:rPr>
        <w:t>燃料费、</w:t>
      </w:r>
      <w:r>
        <w:rPr>
          <w:color w:val="auto"/>
          <w:sz w:val="24"/>
          <w:highlight w:val="none"/>
        </w:rPr>
        <w:t>养护所需</w:t>
      </w:r>
      <w:r>
        <w:rPr>
          <w:color w:val="auto"/>
          <w:sz w:val="24"/>
          <w:szCs w:val="24"/>
          <w:highlight w:val="none"/>
        </w:rPr>
        <w:t>的种子、苗木</w:t>
      </w:r>
      <w:r>
        <w:rPr>
          <w:rFonts w:hint="eastAsia"/>
          <w:color w:val="auto"/>
          <w:sz w:val="24"/>
          <w:szCs w:val="24"/>
          <w:highlight w:val="none"/>
        </w:rPr>
        <w:t>、肥料、农药</w:t>
      </w:r>
      <w:r>
        <w:rPr>
          <w:color w:val="auto"/>
          <w:sz w:val="24"/>
          <w:szCs w:val="24"/>
          <w:highlight w:val="none"/>
        </w:rPr>
        <w:t>及水电费用</w:t>
      </w:r>
      <w:r>
        <w:rPr>
          <w:bCs/>
          <w:color w:val="auto"/>
          <w:sz w:val="24"/>
          <w:szCs w:val="24"/>
          <w:highlight w:val="none"/>
        </w:rPr>
        <w:t>、</w:t>
      </w:r>
      <w:r>
        <w:rPr>
          <w:color w:val="auto"/>
          <w:sz w:val="24"/>
          <w:szCs w:val="24"/>
          <w:highlight w:val="none"/>
        </w:rPr>
        <w:t>税费及政策性文件规定和合同所包含的所有风险、责任等各项应有费用</w:t>
      </w:r>
      <w:r>
        <w:rPr>
          <w:rFonts w:hint="eastAsia"/>
          <w:color w:val="auto"/>
          <w:sz w:val="24"/>
          <w:szCs w:val="24"/>
          <w:highlight w:val="none"/>
        </w:rPr>
        <w:t>。（项目实施过程中采购人承担的项目及费用除外）</w:t>
      </w:r>
    </w:p>
    <w:p w14:paraId="3E51DDBE">
      <w:pPr>
        <w:spacing w:line="440" w:lineRule="exact"/>
        <w:ind w:firstLine="240" w:firstLineChars="100"/>
        <w:rPr>
          <w:rFonts w:hint="eastAsia"/>
          <w:color w:val="auto"/>
          <w:sz w:val="24"/>
          <w:highlight w:val="none"/>
        </w:rPr>
      </w:pPr>
      <w:r>
        <w:rPr>
          <w:rFonts w:hint="eastAsia"/>
          <w:color w:val="auto"/>
          <w:sz w:val="24"/>
          <w:highlight w:val="none"/>
          <w:lang w:val="en-US" w:eastAsia="zh-CN"/>
        </w:rPr>
        <w:t>4.</w:t>
      </w:r>
      <w:r>
        <w:rPr>
          <w:color w:val="auto"/>
          <w:sz w:val="24"/>
          <w:highlight w:val="none"/>
        </w:rPr>
        <w:t>项目实施过程中由采购人承担的项目及费用：</w:t>
      </w:r>
      <w:r>
        <w:rPr>
          <w:rFonts w:hint="eastAsia"/>
          <w:color w:val="auto"/>
          <w:sz w:val="24"/>
          <w:highlight w:val="none"/>
        </w:rPr>
        <w:t>绿地整治、灾害性天气、突发事件增加</w:t>
      </w:r>
      <w:r>
        <w:rPr>
          <w:color w:val="auto"/>
          <w:sz w:val="24"/>
          <w:highlight w:val="none"/>
        </w:rPr>
        <w:t>费用</w:t>
      </w:r>
      <w:r>
        <w:rPr>
          <w:rFonts w:hint="eastAsia"/>
          <w:color w:val="auto"/>
          <w:sz w:val="24"/>
          <w:highlight w:val="none"/>
        </w:rPr>
        <w:t>：因政府重大活动、灾害性天气及突发性事件而增加</w:t>
      </w:r>
      <w:r>
        <w:rPr>
          <w:color w:val="auto"/>
          <w:sz w:val="24"/>
          <w:highlight w:val="none"/>
        </w:rPr>
        <w:t>的</w:t>
      </w:r>
      <w:r>
        <w:rPr>
          <w:rFonts w:hint="eastAsia"/>
          <w:color w:val="auto"/>
          <w:sz w:val="24"/>
          <w:highlight w:val="none"/>
        </w:rPr>
        <w:t>必须实施的应急整治任务，由采购人按相关规定落实相应养护单位实施，养护单位保质保量完成后</w:t>
      </w:r>
      <w:r>
        <w:rPr>
          <w:rFonts w:hint="eastAsia"/>
          <w:color w:val="auto"/>
          <w:sz w:val="24"/>
          <w:highlight w:val="none"/>
          <w:lang w:eastAsia="zh-CN"/>
        </w:rPr>
        <w:t>，</w:t>
      </w:r>
      <w:r>
        <w:rPr>
          <w:rFonts w:hint="eastAsia"/>
          <w:color w:val="auto"/>
          <w:sz w:val="24"/>
          <w:highlight w:val="none"/>
          <w:lang w:val="en-US" w:eastAsia="zh-CN"/>
        </w:rPr>
        <w:t>用工在清单中应急用工中按实计算</w:t>
      </w:r>
      <w:r>
        <w:rPr>
          <w:rFonts w:hint="eastAsia"/>
          <w:color w:val="auto"/>
          <w:sz w:val="24"/>
          <w:highlight w:val="none"/>
        </w:rPr>
        <w:t>。</w:t>
      </w:r>
    </w:p>
    <w:p w14:paraId="685986AA">
      <w:pPr>
        <w:spacing w:line="440" w:lineRule="exact"/>
        <w:ind w:firstLine="283" w:firstLineChars="118"/>
        <w:rPr>
          <w:rFonts w:hint="eastAsia"/>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投标人在投标报价时应考虑各种风险因素，相关风险因素费用包含在投标价格中。风险因素包括但不限于最低工资调整、遇重大活动、检查、能源价格调整、物价调整、因违反公安交通环保规定引起的罚款、税费调整等。</w:t>
      </w:r>
    </w:p>
    <w:p w14:paraId="66569492">
      <w:pPr>
        <w:spacing w:line="440" w:lineRule="exact"/>
        <w:ind w:firstLine="480" w:firstLineChars="200"/>
        <w:rPr>
          <w:rStyle w:val="44"/>
          <w:b w:val="0"/>
          <w:color w:val="auto"/>
          <w:szCs w:val="24"/>
          <w:highlight w:val="none"/>
          <w:lang w:val="zh-CN"/>
        </w:rPr>
      </w:pPr>
      <w:r>
        <w:rPr>
          <w:rStyle w:val="44"/>
          <w:rFonts w:hint="eastAsia"/>
          <w:b w:val="0"/>
          <w:color w:val="auto"/>
          <w:sz w:val="24"/>
          <w:szCs w:val="24"/>
          <w:highlight w:val="none"/>
          <w:lang w:val="en-US" w:eastAsia="zh-CN"/>
        </w:rPr>
        <w:t>6.</w:t>
      </w:r>
      <w:r>
        <w:rPr>
          <w:rStyle w:val="44"/>
          <w:b w:val="0"/>
          <w:color w:val="auto"/>
          <w:sz w:val="24"/>
          <w:szCs w:val="24"/>
          <w:highlight w:val="none"/>
          <w:lang w:val="zh-CN"/>
        </w:rPr>
        <w:t>投标人在投报价格时应考虑</w:t>
      </w:r>
      <w:r>
        <w:rPr>
          <w:rStyle w:val="44"/>
          <w:b w:val="0"/>
          <w:color w:val="auto"/>
          <w:sz w:val="24"/>
          <w:szCs w:val="24"/>
          <w:highlight w:val="none"/>
        </w:rPr>
        <w:t>以下</w:t>
      </w:r>
      <w:r>
        <w:rPr>
          <w:rStyle w:val="44"/>
          <w:b w:val="0"/>
          <w:color w:val="auto"/>
          <w:sz w:val="24"/>
          <w:szCs w:val="24"/>
          <w:highlight w:val="none"/>
          <w:lang w:val="zh-CN"/>
        </w:rPr>
        <w:t>特殊因素（</w:t>
      </w:r>
      <w:r>
        <w:rPr>
          <w:rStyle w:val="44"/>
          <w:b w:val="0"/>
          <w:color w:val="auto"/>
          <w:sz w:val="24"/>
          <w:szCs w:val="24"/>
          <w:highlight w:val="none"/>
        </w:rPr>
        <w:t>包括但不限于</w:t>
      </w:r>
      <w:r>
        <w:rPr>
          <w:rStyle w:val="44"/>
          <w:b w:val="0"/>
          <w:color w:val="auto"/>
          <w:sz w:val="24"/>
          <w:szCs w:val="24"/>
          <w:highlight w:val="none"/>
          <w:lang w:val="zh-CN"/>
        </w:rPr>
        <w:t>）：</w:t>
      </w:r>
    </w:p>
    <w:p w14:paraId="4D4119A6">
      <w:pPr>
        <w:spacing w:line="440" w:lineRule="exact"/>
        <w:ind w:firstLine="720" w:firstLineChars="300"/>
        <w:rPr>
          <w:rStyle w:val="44"/>
          <w:b w:val="0"/>
          <w:color w:val="auto"/>
          <w:szCs w:val="24"/>
          <w:highlight w:val="none"/>
          <w:lang w:val="zh-CN"/>
        </w:rPr>
      </w:pPr>
      <w:r>
        <w:rPr>
          <w:rStyle w:val="44"/>
          <w:rFonts w:hint="eastAsia"/>
          <w:b w:val="0"/>
          <w:color w:val="auto"/>
          <w:sz w:val="24"/>
          <w:szCs w:val="24"/>
          <w:highlight w:val="none"/>
          <w:lang w:val="en-US" w:eastAsia="zh-CN"/>
        </w:rPr>
        <w:t>6</w:t>
      </w:r>
      <w:r>
        <w:rPr>
          <w:rStyle w:val="44"/>
          <w:b w:val="0"/>
          <w:color w:val="auto"/>
          <w:sz w:val="24"/>
          <w:szCs w:val="24"/>
          <w:highlight w:val="none"/>
        </w:rPr>
        <w:t>.1</w:t>
      </w:r>
      <w:r>
        <w:rPr>
          <w:rStyle w:val="44"/>
          <w:b w:val="0"/>
          <w:color w:val="auto"/>
          <w:sz w:val="24"/>
          <w:szCs w:val="24"/>
          <w:highlight w:val="none"/>
          <w:lang w:val="zh-CN"/>
        </w:rPr>
        <w:t>按规定需配置的项目管理部、统一着装配置所需费用。</w:t>
      </w:r>
    </w:p>
    <w:p w14:paraId="1CCB16DA">
      <w:pPr>
        <w:spacing w:line="440" w:lineRule="exact"/>
        <w:ind w:firstLine="720" w:firstLineChars="300"/>
        <w:rPr>
          <w:rStyle w:val="44"/>
          <w:b w:val="0"/>
          <w:color w:val="auto"/>
          <w:szCs w:val="24"/>
          <w:highlight w:val="none"/>
          <w:lang w:val="zh-CN"/>
        </w:rPr>
      </w:pPr>
      <w:r>
        <w:rPr>
          <w:rStyle w:val="44"/>
          <w:rFonts w:hint="eastAsia"/>
          <w:b w:val="0"/>
          <w:color w:val="auto"/>
          <w:sz w:val="24"/>
          <w:szCs w:val="24"/>
          <w:highlight w:val="none"/>
          <w:lang w:val="en-US" w:eastAsia="zh-CN"/>
        </w:rPr>
        <w:t>6</w:t>
      </w:r>
      <w:r>
        <w:rPr>
          <w:rStyle w:val="44"/>
          <w:b w:val="0"/>
          <w:color w:val="auto"/>
          <w:sz w:val="24"/>
          <w:szCs w:val="24"/>
          <w:highlight w:val="none"/>
        </w:rPr>
        <w:t>.2</w:t>
      </w:r>
      <w:r>
        <w:rPr>
          <w:rStyle w:val="44"/>
          <w:b w:val="0"/>
          <w:color w:val="auto"/>
          <w:sz w:val="24"/>
          <w:szCs w:val="24"/>
          <w:highlight w:val="none"/>
          <w:lang w:val="zh-CN"/>
        </w:rPr>
        <w:t>如出现病虫害未能得到有效控制，制定具体防治方案，由养护单位按要求实施，所增加的防治费用全部由养护单位承担</w:t>
      </w:r>
      <w:r>
        <w:rPr>
          <w:rStyle w:val="44"/>
          <w:rFonts w:hint="eastAsia"/>
          <w:b w:val="0"/>
          <w:color w:val="auto"/>
          <w:sz w:val="24"/>
          <w:szCs w:val="24"/>
          <w:highlight w:val="none"/>
          <w:lang w:val="zh-CN"/>
        </w:rPr>
        <w:t>，在</w:t>
      </w:r>
      <w:r>
        <w:rPr>
          <w:rStyle w:val="44"/>
          <w:b w:val="0"/>
          <w:color w:val="auto"/>
          <w:sz w:val="24"/>
          <w:szCs w:val="24"/>
          <w:highlight w:val="none"/>
          <w:lang w:val="zh-CN"/>
        </w:rPr>
        <w:t>投标单价中充分考虑由此可能增加的费用。若由于养护单位工作失误引起</w:t>
      </w:r>
      <w:r>
        <w:rPr>
          <w:rStyle w:val="44"/>
          <w:rFonts w:hint="eastAsia"/>
          <w:b w:val="0"/>
          <w:color w:val="auto"/>
          <w:sz w:val="24"/>
          <w:szCs w:val="24"/>
          <w:highlight w:val="none"/>
          <w:lang w:val="zh-CN"/>
        </w:rPr>
        <w:t>病虫害暴发</w:t>
      </w:r>
      <w:r>
        <w:rPr>
          <w:rStyle w:val="44"/>
          <w:b w:val="0"/>
          <w:color w:val="auto"/>
          <w:sz w:val="24"/>
          <w:szCs w:val="24"/>
          <w:highlight w:val="none"/>
          <w:lang w:val="zh-CN"/>
        </w:rPr>
        <w:t>并影响景观的，则按考核细则扣除相应的养护经费，并采取补救措施，由此所发生的费用由养护单位承担。</w:t>
      </w:r>
    </w:p>
    <w:p w14:paraId="4AB71329">
      <w:pPr>
        <w:spacing w:line="440" w:lineRule="exact"/>
        <w:ind w:firstLine="720" w:firstLineChars="300"/>
        <w:rPr>
          <w:rStyle w:val="44"/>
          <w:b w:val="0"/>
          <w:color w:val="auto"/>
          <w:szCs w:val="24"/>
          <w:highlight w:val="none"/>
          <w:lang w:val="zh-CN"/>
        </w:rPr>
      </w:pPr>
      <w:r>
        <w:rPr>
          <w:rStyle w:val="44"/>
          <w:rFonts w:hint="eastAsia"/>
          <w:b w:val="0"/>
          <w:color w:val="auto"/>
          <w:sz w:val="24"/>
          <w:szCs w:val="24"/>
          <w:highlight w:val="none"/>
          <w:lang w:val="en-US" w:eastAsia="zh-CN"/>
        </w:rPr>
        <w:t>6</w:t>
      </w:r>
      <w:r>
        <w:rPr>
          <w:rStyle w:val="44"/>
          <w:b w:val="0"/>
          <w:color w:val="auto"/>
          <w:sz w:val="24"/>
          <w:szCs w:val="24"/>
          <w:highlight w:val="none"/>
        </w:rPr>
        <w:t>.3</w:t>
      </w:r>
      <w:r>
        <w:rPr>
          <w:rStyle w:val="44"/>
          <w:b w:val="0"/>
          <w:color w:val="auto"/>
          <w:sz w:val="24"/>
          <w:szCs w:val="24"/>
          <w:highlight w:val="none"/>
          <w:lang w:val="zh-CN"/>
        </w:rPr>
        <w:t>确保</w:t>
      </w:r>
      <w:r>
        <w:rPr>
          <w:rStyle w:val="44"/>
          <w:b w:val="0"/>
          <w:color w:val="auto"/>
          <w:sz w:val="24"/>
          <w:szCs w:val="24"/>
          <w:highlight w:val="none"/>
        </w:rPr>
        <w:t>分包范围</w:t>
      </w:r>
      <w:r>
        <w:rPr>
          <w:rStyle w:val="44"/>
          <w:b w:val="0"/>
          <w:color w:val="auto"/>
          <w:sz w:val="24"/>
          <w:szCs w:val="24"/>
          <w:highlight w:val="none"/>
          <w:lang w:val="zh-CN"/>
        </w:rPr>
        <w:t>内所有苗木健康生长，出现树木死亡现象，经采购人认定，</w:t>
      </w:r>
      <w:r>
        <w:rPr>
          <w:rStyle w:val="44"/>
          <w:rFonts w:hint="eastAsia"/>
          <w:b w:val="0"/>
          <w:color w:val="auto"/>
          <w:sz w:val="24"/>
          <w:szCs w:val="24"/>
          <w:highlight w:val="none"/>
          <w:lang w:val="zh-CN"/>
        </w:rPr>
        <w:t>由于</w:t>
      </w:r>
      <w:r>
        <w:rPr>
          <w:rStyle w:val="44"/>
          <w:b w:val="0"/>
          <w:color w:val="auto"/>
          <w:sz w:val="24"/>
          <w:szCs w:val="24"/>
          <w:highlight w:val="none"/>
          <w:lang w:val="zh-CN"/>
        </w:rPr>
        <w:t>养护单位病虫害防治不力、未及时组织浇水或排水、支撑扶正、肥药危害等管护不当造成的，有权责令养护单位及时进行同规格、同品种、同数量补种；养护单位不能及时补植，采购人有权按同规格、同品种、同数量扣除苗木市场价及养护费。同时请投标人对</w:t>
      </w:r>
      <w:r>
        <w:rPr>
          <w:rStyle w:val="44"/>
          <w:b w:val="0"/>
          <w:color w:val="auto"/>
          <w:sz w:val="24"/>
          <w:szCs w:val="24"/>
          <w:highlight w:val="none"/>
        </w:rPr>
        <w:t>分包范围</w:t>
      </w:r>
      <w:r>
        <w:rPr>
          <w:rStyle w:val="44"/>
          <w:b w:val="0"/>
          <w:color w:val="auto"/>
          <w:sz w:val="24"/>
          <w:szCs w:val="24"/>
          <w:highlight w:val="none"/>
          <w:lang w:val="zh-CN"/>
        </w:rPr>
        <w:t>内所有生长不良、病虫害苗木进行成活率风险综合考虑。</w:t>
      </w:r>
    </w:p>
    <w:p w14:paraId="60A6967B">
      <w:pPr>
        <w:spacing w:line="440" w:lineRule="exact"/>
        <w:ind w:firstLine="720" w:firstLineChars="300"/>
        <w:rPr>
          <w:rStyle w:val="44"/>
          <w:b w:val="0"/>
          <w:color w:val="auto"/>
          <w:szCs w:val="24"/>
          <w:highlight w:val="none"/>
          <w:lang w:val="zh-CN"/>
        </w:rPr>
      </w:pPr>
      <w:r>
        <w:rPr>
          <w:rStyle w:val="44"/>
          <w:rFonts w:hint="eastAsia"/>
          <w:b w:val="0"/>
          <w:color w:val="auto"/>
          <w:sz w:val="24"/>
          <w:szCs w:val="24"/>
          <w:highlight w:val="none"/>
          <w:lang w:val="en-US" w:eastAsia="zh-CN"/>
        </w:rPr>
        <w:t>6</w:t>
      </w:r>
      <w:r>
        <w:rPr>
          <w:rStyle w:val="44"/>
          <w:b w:val="0"/>
          <w:color w:val="auto"/>
          <w:sz w:val="24"/>
          <w:szCs w:val="24"/>
          <w:highlight w:val="none"/>
        </w:rPr>
        <w:t>.4</w:t>
      </w:r>
      <w:r>
        <w:rPr>
          <w:rStyle w:val="44"/>
          <w:b w:val="0"/>
          <w:color w:val="auto"/>
          <w:sz w:val="24"/>
          <w:szCs w:val="24"/>
          <w:highlight w:val="none"/>
          <w:lang w:val="zh-CN"/>
        </w:rPr>
        <w:t>因雨雪台风等灾害性天气等因素，发生折枝清理、树木倒伏的扶正加固支撑、开沟排水或应急水泵排水、高温干旱天气抗旱浇水等应急抢险费用，由投标人在投标报价时综合考虑。</w:t>
      </w:r>
    </w:p>
    <w:p w14:paraId="76497367">
      <w:pPr>
        <w:spacing w:line="440" w:lineRule="exact"/>
        <w:ind w:firstLine="720" w:firstLineChars="300"/>
        <w:rPr>
          <w:rStyle w:val="44"/>
          <w:rFonts w:ascii="Times New Roman" w:hAnsi="Times New Roman" w:eastAsia="宋体" w:cs="Times New Roman"/>
          <w:b w:val="0"/>
          <w:color w:val="auto"/>
          <w:sz w:val="24"/>
          <w:szCs w:val="24"/>
          <w:highlight w:val="none"/>
          <w:lang w:val="zh-CN"/>
        </w:rPr>
      </w:pPr>
      <w:r>
        <w:rPr>
          <w:rStyle w:val="44"/>
          <w:rFonts w:hint="eastAsia" w:ascii="Times New Roman" w:hAnsi="Times New Roman" w:eastAsia="宋体" w:cs="Times New Roman"/>
          <w:b w:val="0"/>
          <w:color w:val="auto"/>
          <w:sz w:val="24"/>
          <w:szCs w:val="24"/>
          <w:highlight w:val="none"/>
          <w:lang w:val="en-US" w:eastAsia="zh-CN"/>
        </w:rPr>
        <w:t>6</w:t>
      </w:r>
      <w:r>
        <w:rPr>
          <w:rStyle w:val="44"/>
          <w:rFonts w:ascii="Times New Roman" w:hAnsi="Times New Roman" w:eastAsia="宋体" w:cs="Times New Roman"/>
          <w:b w:val="0"/>
          <w:color w:val="auto"/>
          <w:sz w:val="24"/>
          <w:szCs w:val="24"/>
          <w:highlight w:val="none"/>
          <w:lang w:val="zh-CN"/>
        </w:rPr>
        <w:t>.5清理农作物，及时劝阻、制止、清理围网养殖、占绿摊位、搭棚堆放等占绿行为和杂物。将绿地内农作物和杂物清理列入日常养护考核范围，相关费用由投标人在投标报价时综合考虑。</w:t>
      </w:r>
    </w:p>
    <w:p w14:paraId="134BFC1E">
      <w:pPr>
        <w:spacing w:line="440" w:lineRule="exact"/>
        <w:ind w:firstLine="720" w:firstLineChars="300"/>
        <w:rPr>
          <w:rStyle w:val="44"/>
          <w:rFonts w:ascii="Times New Roman" w:hAnsi="Times New Roman" w:eastAsia="宋体" w:cs="Times New Roman"/>
          <w:b w:val="0"/>
          <w:color w:val="auto"/>
          <w:sz w:val="24"/>
          <w:szCs w:val="24"/>
          <w:highlight w:val="none"/>
          <w:lang w:val="zh-CN"/>
        </w:rPr>
      </w:pPr>
      <w:r>
        <w:rPr>
          <w:rStyle w:val="44"/>
          <w:rFonts w:hint="eastAsia" w:ascii="Times New Roman" w:hAnsi="Times New Roman" w:eastAsia="宋体" w:cs="Times New Roman"/>
          <w:b w:val="0"/>
          <w:color w:val="auto"/>
          <w:sz w:val="24"/>
          <w:szCs w:val="24"/>
          <w:highlight w:val="none"/>
          <w:lang w:val="en-US" w:eastAsia="zh-CN"/>
        </w:rPr>
        <w:t>6</w:t>
      </w:r>
      <w:r>
        <w:rPr>
          <w:rStyle w:val="44"/>
          <w:rFonts w:ascii="Times New Roman" w:hAnsi="Times New Roman" w:eastAsia="宋体" w:cs="Times New Roman"/>
          <w:b w:val="0"/>
          <w:color w:val="auto"/>
          <w:sz w:val="24"/>
          <w:szCs w:val="24"/>
          <w:highlight w:val="none"/>
          <w:lang w:val="zh-CN"/>
        </w:rPr>
        <w:t>.6绿化修剪、建筑垃圾、生活垃圾及其他偷倒遗弃垃圾等处理。如遇该情况，养护单位影像取证，充分了解情况后及时处理并将结果上报采购人与监理单位，无法找到当事人或无法协调处理的由养护单位清理解决，保洁工作及费用由投标人负责，该费</w:t>
      </w:r>
      <w:r>
        <w:rPr>
          <w:rStyle w:val="44"/>
          <w:rFonts w:hint="eastAsia" w:ascii="Times New Roman" w:hAnsi="Times New Roman" w:eastAsia="宋体" w:cs="Times New Roman"/>
          <w:b w:val="0"/>
          <w:color w:val="auto"/>
          <w:sz w:val="24"/>
          <w:szCs w:val="24"/>
          <w:highlight w:val="none"/>
          <w:lang w:val="zh-CN"/>
        </w:rPr>
        <w:t>用由</w:t>
      </w:r>
      <w:r>
        <w:rPr>
          <w:rStyle w:val="44"/>
          <w:rFonts w:ascii="Times New Roman" w:hAnsi="Times New Roman" w:eastAsia="宋体" w:cs="Times New Roman"/>
          <w:b w:val="0"/>
          <w:color w:val="auto"/>
          <w:sz w:val="24"/>
          <w:szCs w:val="24"/>
          <w:highlight w:val="none"/>
          <w:lang w:val="zh-CN"/>
        </w:rPr>
        <w:t>投标人在投标报价时综合考虑。</w:t>
      </w:r>
    </w:p>
    <w:p w14:paraId="2C7126A3">
      <w:pPr>
        <w:spacing w:line="440" w:lineRule="exact"/>
        <w:ind w:firstLine="720" w:firstLineChars="300"/>
        <w:rPr>
          <w:rStyle w:val="44"/>
          <w:rFonts w:ascii="Times New Roman" w:hAnsi="Times New Roman" w:eastAsia="宋体" w:cs="Times New Roman"/>
          <w:b w:val="0"/>
          <w:color w:val="auto"/>
          <w:sz w:val="24"/>
          <w:szCs w:val="24"/>
          <w:highlight w:val="none"/>
          <w:lang w:val="zh-CN"/>
        </w:rPr>
      </w:pPr>
      <w:r>
        <w:rPr>
          <w:rStyle w:val="44"/>
          <w:rFonts w:hint="eastAsia" w:ascii="Times New Roman" w:hAnsi="Times New Roman" w:eastAsia="宋体" w:cs="Times New Roman"/>
          <w:b w:val="0"/>
          <w:color w:val="auto"/>
          <w:sz w:val="24"/>
          <w:szCs w:val="24"/>
          <w:highlight w:val="none"/>
          <w:lang w:val="en-US" w:eastAsia="zh-CN"/>
        </w:rPr>
        <w:t>6</w:t>
      </w:r>
      <w:r>
        <w:rPr>
          <w:rStyle w:val="44"/>
          <w:rFonts w:ascii="Times New Roman" w:hAnsi="Times New Roman" w:eastAsia="宋体" w:cs="Times New Roman"/>
          <w:b w:val="0"/>
          <w:color w:val="auto"/>
          <w:sz w:val="24"/>
          <w:szCs w:val="24"/>
          <w:highlight w:val="none"/>
          <w:lang w:val="zh-CN"/>
        </w:rPr>
        <w:t>.7区域内发生私自开挖和人为破坏苗木现象，发现问题应及时制止取证并上报采购人、监理单位，并由投标人负责处理，投标人可向毁绿个人或单位索赔，并按同规格、同品种、同数量进行补植，该费用由投标人在投标报价时综合考虑。</w:t>
      </w:r>
    </w:p>
    <w:p w14:paraId="019545AE">
      <w:pPr>
        <w:spacing w:line="440" w:lineRule="exact"/>
        <w:ind w:firstLine="720" w:firstLineChars="300"/>
        <w:rPr>
          <w:rStyle w:val="44"/>
          <w:rFonts w:ascii="Times New Roman" w:hAnsi="Times New Roman" w:eastAsia="宋体" w:cs="Times New Roman"/>
          <w:b w:val="0"/>
          <w:color w:val="auto"/>
          <w:sz w:val="24"/>
          <w:szCs w:val="24"/>
          <w:highlight w:val="none"/>
          <w:lang w:val="zh-CN"/>
        </w:rPr>
      </w:pPr>
      <w:r>
        <w:rPr>
          <w:rStyle w:val="44"/>
          <w:rFonts w:hint="eastAsia" w:ascii="Times New Roman" w:hAnsi="Times New Roman" w:eastAsia="宋体" w:cs="Times New Roman"/>
          <w:b w:val="0"/>
          <w:color w:val="auto"/>
          <w:sz w:val="24"/>
          <w:szCs w:val="24"/>
          <w:highlight w:val="none"/>
          <w:lang w:val="en-US" w:eastAsia="zh-CN"/>
        </w:rPr>
        <w:t>6</w:t>
      </w:r>
      <w:r>
        <w:rPr>
          <w:rStyle w:val="44"/>
          <w:rFonts w:ascii="Times New Roman" w:hAnsi="Times New Roman" w:eastAsia="宋体" w:cs="Times New Roman"/>
          <w:b w:val="0"/>
          <w:color w:val="auto"/>
          <w:sz w:val="24"/>
          <w:szCs w:val="24"/>
          <w:highlight w:val="none"/>
          <w:lang w:val="zh-CN"/>
        </w:rPr>
        <w:t>.8养护期内有热线投诉，如树木生长影响车辆、行人通行，影响交通信号灯及道路标志标识牌视线的，影响各类架空线路运行安全的各类情况，应按采购人要求组织人员及时进行搬迁修剪，所产生的费用由投标人在投标报价时综合考虑。</w:t>
      </w:r>
    </w:p>
    <w:p w14:paraId="40C8AD00">
      <w:pPr>
        <w:spacing w:line="440" w:lineRule="exact"/>
        <w:ind w:firstLine="720" w:firstLineChars="300"/>
        <w:rPr>
          <w:rStyle w:val="44"/>
          <w:rFonts w:ascii="Times New Roman" w:hAnsi="Times New Roman" w:eastAsia="宋体" w:cs="Times New Roman"/>
          <w:b w:val="0"/>
          <w:color w:val="auto"/>
          <w:sz w:val="24"/>
          <w:szCs w:val="24"/>
          <w:highlight w:val="none"/>
          <w:lang w:val="zh-CN"/>
        </w:rPr>
      </w:pPr>
    </w:p>
    <w:p w14:paraId="24FCB5F2">
      <w:pPr>
        <w:spacing w:before="0" w:after="0" w:line="312" w:lineRule="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7.苗圃养护具体要求</w:t>
      </w:r>
    </w:p>
    <w:p w14:paraId="2892AF0C">
      <w:pPr>
        <w:spacing w:line="360" w:lineRule="auto"/>
        <w:ind w:firstLine="21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7.1基础管理</w:t>
      </w:r>
    </w:p>
    <w:p w14:paraId="2CCDC202">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7.1.1成交供应商应坚持文明生产，保证圃容圃貌整齐、美观、卫生；提高圃地的利用率，无边角空闲地，倒茬地不得超过7%</w:t>
      </w:r>
      <w:r>
        <w:rPr>
          <w:rFonts w:hint="eastAsia" w:ascii="宋体" w:hAnsi="宋体" w:cs="宋体"/>
          <w:color w:val="auto"/>
          <w:sz w:val="24"/>
          <w:szCs w:val="24"/>
          <w:highlight w:val="none"/>
          <w:lang w:val="en-US" w:eastAsia="zh-CN"/>
        </w:rPr>
        <w:t>。</w:t>
      </w:r>
    </w:p>
    <w:p w14:paraId="11F92719">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7.1.2苗木、花卉要及时修剪、整形、定干，缩短苗木、花卉出圃周期；土地平整疏松，及时施肥，保持土壤肥力；圃地排、蓄、灌统筹，保证土壤墒情良好。</w:t>
      </w:r>
    </w:p>
    <w:p w14:paraId="1B2F5894">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日常工作中，成交供应商要及时做好完整的苗木进出场原始记录，指派人员做好苗圃日常防范工作，防止苗木被盗挖等情况发生。农药化肥等物资用完后，包装物需统一回收处理，不得随意丢弃污染苗圃环境。</w:t>
      </w:r>
    </w:p>
    <w:p w14:paraId="19112B30">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7.1.4成交供应商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需忠于职守，遵守苗圃管理制度，服从各级领导指挥，不得敷衍塞责，任何情况下不得做有损害苗圃形象和发表损坏苗圃形象的言论。</w:t>
      </w:r>
    </w:p>
    <w:p w14:paraId="0533B129">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7.1.5成交供应商要安排固定人员负责苗圃现场养护管理。</w:t>
      </w:r>
    </w:p>
    <w:p w14:paraId="19959405">
      <w:pPr>
        <w:spacing w:line="360" w:lineRule="auto"/>
        <w:ind w:firstLine="21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7.2养护管理</w:t>
      </w:r>
    </w:p>
    <w:p w14:paraId="720C347B">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7.2.1浇水遵循“不干不浇，浇则浇透”的浇水原则，保持树木的水分；对新种的树木先浇定根水，定根水一定要浇透；种植后保持其周围环境的湿润，特别是树干，根据具体情况对其采取喷雾式洒水。定期抽查土壤水分，不够水的给予补水，但要控制好湿度。</w:t>
      </w:r>
    </w:p>
    <w:p w14:paraId="7F473869">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7.2.2新种植的树发芽后定期追施叶面肥，以促进其发根；乔木、灌木每年冬季施基肥，春季施追肥各一次。</w:t>
      </w:r>
    </w:p>
    <w:p w14:paraId="5E15582D">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7.2.3新种植的树木要勤松土，保持其透气，以利于其发根；新种树木不宜种太深，否则不利于根的透气，阻止其发根，松土不宜太深，</w:t>
      </w:r>
      <w:r>
        <w:rPr>
          <w:rFonts w:hint="eastAsia" w:ascii="宋体" w:hAnsi="宋体" w:cs="宋体"/>
          <w:color w:val="auto"/>
          <w:sz w:val="24"/>
          <w:szCs w:val="24"/>
          <w:highlight w:val="none"/>
          <w:lang w:val="en-US" w:eastAsia="zh-CN"/>
        </w:rPr>
        <w:t>防止</w:t>
      </w:r>
      <w:r>
        <w:rPr>
          <w:rFonts w:hint="eastAsia" w:ascii="宋体" w:hAnsi="宋体" w:eastAsia="宋体" w:cs="宋体"/>
          <w:color w:val="auto"/>
          <w:sz w:val="24"/>
          <w:szCs w:val="24"/>
          <w:highlight w:val="none"/>
          <w:lang w:val="en-US" w:eastAsia="zh-CN"/>
        </w:rPr>
        <w:t>伤害树木的根部。</w:t>
      </w:r>
    </w:p>
    <w:p w14:paraId="5C7199D3">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7.2.4新种植的树发芽后要修剪其徒长枝、没必要的侧枝，有利于其正常生长；常规的修剪要保持树木的整形美观，形态完美，提高其经济价值。</w:t>
      </w:r>
    </w:p>
    <w:p w14:paraId="0B2D0415">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7.2.5应在每次灌溉或降雨后进行除草、</w:t>
      </w:r>
      <w:r>
        <w:rPr>
          <w:rFonts w:hint="eastAsia" w:ascii="宋体" w:hAnsi="宋体" w:cs="宋体"/>
          <w:color w:val="auto"/>
          <w:sz w:val="24"/>
          <w:szCs w:val="24"/>
          <w:highlight w:val="none"/>
          <w:lang w:val="en-US" w:eastAsia="zh-CN"/>
        </w:rPr>
        <w:t>松土</w:t>
      </w:r>
      <w:r>
        <w:rPr>
          <w:rFonts w:hint="eastAsia" w:ascii="宋体" w:hAnsi="宋体" w:eastAsia="宋体" w:cs="宋体"/>
          <w:color w:val="auto"/>
          <w:sz w:val="24"/>
          <w:szCs w:val="24"/>
          <w:highlight w:val="none"/>
          <w:lang w:val="en-US" w:eastAsia="zh-CN"/>
        </w:rPr>
        <w:t>；除草要掌握“除早、除小、除了”的原则；定期对树木周边的杂草进行清除，保证树头下无杂草，减少病虫害的发生。</w:t>
      </w:r>
    </w:p>
    <w:p w14:paraId="4AE468FD">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7.2.6病虫害防治要贯彻“以防为主，综合防治”的方针，发现虫害及时处理。根据植物病虫害的发生规律进行常态化防治，由点到面进行有效的预防。</w:t>
      </w:r>
    </w:p>
    <w:p w14:paraId="70587F7A">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7.2.7要坚持“安全第一，预防为主”的方针，</w:t>
      </w:r>
      <w:r>
        <w:rPr>
          <w:rFonts w:hint="eastAsia" w:ascii="宋体" w:hAnsi="宋体" w:cs="宋体"/>
          <w:color w:val="auto"/>
          <w:sz w:val="24"/>
          <w:szCs w:val="24"/>
          <w:highlight w:val="none"/>
          <w:lang w:val="en-US" w:eastAsia="zh-CN"/>
        </w:rPr>
        <w:t>增强</w:t>
      </w:r>
      <w:r>
        <w:rPr>
          <w:rFonts w:hint="eastAsia" w:ascii="宋体" w:hAnsi="宋体" w:eastAsia="宋体" w:cs="宋体"/>
          <w:color w:val="auto"/>
          <w:sz w:val="24"/>
          <w:szCs w:val="24"/>
          <w:highlight w:val="none"/>
          <w:lang w:val="en-US" w:eastAsia="zh-CN"/>
        </w:rPr>
        <w:t>苗圃管理人员安全意识，对苗圃可能出现的事故隐患，提前</w:t>
      </w:r>
      <w:r>
        <w:rPr>
          <w:rFonts w:hint="eastAsia" w:ascii="宋体" w:hAnsi="宋体" w:cs="宋体"/>
          <w:color w:val="auto"/>
          <w:sz w:val="24"/>
          <w:szCs w:val="24"/>
          <w:highlight w:val="none"/>
          <w:lang w:val="en-US" w:eastAsia="zh-CN"/>
        </w:rPr>
        <w:t>做好</w:t>
      </w:r>
      <w:r>
        <w:rPr>
          <w:rFonts w:hint="eastAsia" w:ascii="宋体" w:hAnsi="宋体" w:eastAsia="宋体" w:cs="宋体"/>
          <w:color w:val="auto"/>
          <w:sz w:val="24"/>
          <w:szCs w:val="24"/>
          <w:highlight w:val="none"/>
          <w:lang w:val="en-US" w:eastAsia="zh-CN"/>
        </w:rPr>
        <w:t>应急措施，一旦出现险情，就能采取有效的措施以最快的速度进行处理避免事故扩大，从而减少损失。</w:t>
      </w:r>
    </w:p>
    <w:p w14:paraId="4FEE587B">
      <w:pPr>
        <w:spacing w:line="360" w:lineRule="auto"/>
        <w:ind w:firstLine="21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7.3苗木进出圃管理</w:t>
      </w:r>
    </w:p>
    <w:p w14:paraId="3D550D12">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7.3.1苗木到场后，苗圃管理人员对苗木进行验收，经验收不合格的苗木应及时运离，不得留置现场。下列情形的，为验收不合格：</w:t>
      </w:r>
    </w:p>
    <w:p w14:paraId="45C64326">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（1）对于采购苗木：进场时不符合合同规定的规格尺寸的；有显著病虫害、折枝断干、裂干、肥害、药害、老衰、老化、树皮破损的；</w:t>
      </w:r>
      <w:r>
        <w:rPr>
          <w:rFonts w:hint="eastAsia" w:ascii="宋体" w:hAnsi="宋体" w:cs="宋体"/>
          <w:color w:val="auto"/>
          <w:sz w:val="24"/>
          <w:szCs w:val="24"/>
          <w:highlight w:val="none"/>
          <w:lang w:val="en-US" w:eastAsia="zh-CN"/>
        </w:rPr>
        <w:t>树形</w:t>
      </w:r>
      <w:r>
        <w:rPr>
          <w:rFonts w:hint="eastAsia" w:ascii="宋体" w:hAnsi="宋体" w:eastAsia="宋体" w:cs="宋体"/>
          <w:color w:val="auto"/>
          <w:sz w:val="24"/>
          <w:szCs w:val="24"/>
          <w:highlight w:val="none"/>
          <w:lang w:val="en-US" w:eastAsia="zh-CN"/>
        </w:rPr>
        <w:t>不端正、干过于弯曲、树冠过于稀疏、偏斜或畸形的；挖取后搁置过久、根部干涸、叶芽枯萎或过于掉落的或护根土球不够大、破裂、松散不完整或偏斜导致树木不能成活的；针叶树类失去原有端正形态，断枝断梢的。</w:t>
      </w:r>
    </w:p>
    <w:p w14:paraId="05083AE2">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（2）对道路改造移栽至苗圃的苗木：存在主干断裂、根系受损、土球缺失或其他明显移栽破坏造成苗木死亡或无再利用价值的。</w:t>
      </w:r>
    </w:p>
    <w:p w14:paraId="47A38377">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7.3.2项目调用苗圃苗木，需出具相关手续，不得私自调用；苗木领用前，用苗项目负责人需填写苗木领用申请单，报职能科室负责人确认审批，后交于苗圃现场养护管理人员，待苗圃现场养护管理人员确认苗木规格、数量后进行调苗；苗木出圃时，需要苗圃现场养护管理人员及用苗项目负责人确认调用苗木规格、数量，填写出苗清单，及时更新苗木台账。</w:t>
      </w:r>
    </w:p>
    <w:p w14:paraId="53A7A6BC">
      <w:pPr>
        <w:numPr>
          <w:ilvl w:val="0"/>
          <w:numId w:val="0"/>
        </w:numPr>
        <w:spacing w:line="440" w:lineRule="exact"/>
        <w:ind w:leftChars="0" w:firstLine="720" w:firstLineChars="300"/>
        <w:rPr>
          <w:rStyle w:val="44"/>
          <w:b w:val="0"/>
          <w:color w:val="auto"/>
          <w:szCs w:val="24"/>
          <w:highlight w:val="none"/>
        </w:rPr>
      </w:pPr>
      <w:r>
        <w:rPr>
          <w:rStyle w:val="44"/>
          <w:rFonts w:hint="eastAsia"/>
          <w:b w:val="0"/>
          <w:color w:val="auto"/>
          <w:sz w:val="24"/>
          <w:szCs w:val="24"/>
          <w:highlight w:val="none"/>
          <w:lang w:val="en-US" w:eastAsia="zh-CN"/>
        </w:rPr>
        <w:t>8.</w:t>
      </w:r>
      <w:r>
        <w:rPr>
          <w:rStyle w:val="44"/>
          <w:rFonts w:hint="eastAsia"/>
          <w:b w:val="0"/>
          <w:color w:val="auto"/>
          <w:sz w:val="24"/>
          <w:szCs w:val="24"/>
          <w:highlight w:val="none"/>
        </w:rPr>
        <w:t>项目实施过程中额外工作及其结算说明：</w:t>
      </w:r>
    </w:p>
    <w:p w14:paraId="7867DB0E">
      <w:pPr>
        <w:spacing w:line="440" w:lineRule="exact"/>
        <w:ind w:firstLine="720" w:firstLineChars="300"/>
        <w:rPr>
          <w:rStyle w:val="44"/>
          <w:rFonts w:hint="eastAsia"/>
          <w:b w:val="0"/>
          <w:color w:val="auto"/>
          <w:sz w:val="24"/>
          <w:szCs w:val="24"/>
          <w:highlight w:val="none"/>
        </w:rPr>
      </w:pPr>
      <w:r>
        <w:rPr>
          <w:rStyle w:val="44"/>
          <w:rFonts w:hint="eastAsia"/>
          <w:b w:val="0"/>
          <w:color w:val="auto"/>
          <w:sz w:val="24"/>
          <w:szCs w:val="24"/>
          <w:highlight w:val="none"/>
          <w:lang w:val="en-US" w:eastAsia="zh-CN"/>
        </w:rPr>
        <w:t>8</w:t>
      </w:r>
      <w:r>
        <w:rPr>
          <w:rStyle w:val="44"/>
          <w:rFonts w:hint="eastAsia"/>
          <w:b w:val="0"/>
          <w:color w:val="auto"/>
          <w:sz w:val="24"/>
          <w:szCs w:val="24"/>
          <w:highlight w:val="none"/>
        </w:rPr>
        <w:t>.1养护面积变更：在实际养护过程中，出现分包周边有同等养护等级、要求的绿化</w:t>
      </w:r>
      <w:r>
        <w:rPr>
          <w:rStyle w:val="44"/>
          <w:rFonts w:hint="eastAsia"/>
          <w:b w:val="0"/>
          <w:color w:val="auto"/>
          <w:sz w:val="24"/>
          <w:szCs w:val="24"/>
          <w:highlight w:val="none"/>
          <w:lang w:val="en-US" w:eastAsia="zh-CN"/>
        </w:rPr>
        <w:t>养护管养</w:t>
      </w:r>
      <w:r>
        <w:rPr>
          <w:rStyle w:val="44"/>
          <w:rFonts w:hint="eastAsia"/>
          <w:b w:val="0"/>
          <w:color w:val="auto"/>
          <w:sz w:val="24"/>
          <w:szCs w:val="24"/>
          <w:highlight w:val="none"/>
        </w:rPr>
        <w:t>竣工移交或原有标段内绿地性质变更，养护单价按该标段同类型绿地中标单价执行，养护费用根据实际养护面积结算，按年度核算支付，直至合同终止。</w:t>
      </w:r>
    </w:p>
    <w:p w14:paraId="0115FB57">
      <w:pPr>
        <w:spacing w:line="440" w:lineRule="exact"/>
        <w:ind w:firstLine="720" w:firstLineChars="300"/>
        <w:rPr>
          <w:rStyle w:val="44"/>
          <w:rFonts w:hint="eastAsia"/>
          <w:b/>
          <w:bCs/>
          <w:i/>
          <w:iCs/>
          <w:color w:val="auto"/>
          <w:sz w:val="24"/>
          <w:szCs w:val="24"/>
          <w:highlight w:val="none"/>
          <w:u w:val="single"/>
        </w:rPr>
      </w:pPr>
      <w:r>
        <w:rPr>
          <w:rStyle w:val="44"/>
          <w:rFonts w:hint="eastAsia"/>
          <w:b w:val="0"/>
          <w:color w:val="auto"/>
          <w:sz w:val="24"/>
          <w:szCs w:val="24"/>
          <w:highlight w:val="none"/>
          <w:lang w:val="en-US" w:eastAsia="zh-CN"/>
        </w:rPr>
        <w:t>8</w:t>
      </w:r>
      <w:r>
        <w:rPr>
          <w:rStyle w:val="44"/>
          <w:rFonts w:hint="eastAsia"/>
          <w:b w:val="0"/>
          <w:color w:val="auto"/>
          <w:sz w:val="24"/>
          <w:szCs w:val="24"/>
          <w:highlight w:val="none"/>
        </w:rPr>
        <w:t>.</w:t>
      </w:r>
      <w:r>
        <w:rPr>
          <w:rStyle w:val="44"/>
          <w:rFonts w:hint="eastAsia"/>
          <w:b w:val="0"/>
          <w:color w:val="auto"/>
          <w:sz w:val="24"/>
          <w:szCs w:val="24"/>
          <w:highlight w:val="none"/>
          <w:lang w:val="en-US" w:eastAsia="zh-CN"/>
        </w:rPr>
        <w:t>2</w:t>
      </w:r>
      <w:r>
        <w:rPr>
          <w:rStyle w:val="44"/>
          <w:rFonts w:hint="eastAsia"/>
          <w:b w:val="0"/>
          <w:color w:val="auto"/>
          <w:sz w:val="24"/>
          <w:szCs w:val="24"/>
          <w:highlight w:val="none"/>
        </w:rPr>
        <w:t>其他：管养期间，双方</w:t>
      </w:r>
      <w:r>
        <w:rPr>
          <w:rStyle w:val="44"/>
          <w:rFonts w:hint="eastAsia"/>
          <w:b w:val="0"/>
          <w:color w:val="auto"/>
          <w:sz w:val="24"/>
          <w:szCs w:val="24"/>
          <w:highlight w:val="none"/>
          <w:lang w:eastAsia="zh-CN"/>
        </w:rPr>
        <w:t>须</w:t>
      </w:r>
      <w:r>
        <w:rPr>
          <w:rStyle w:val="44"/>
          <w:rFonts w:hint="eastAsia"/>
          <w:b w:val="0"/>
          <w:color w:val="auto"/>
          <w:sz w:val="24"/>
          <w:szCs w:val="24"/>
          <w:highlight w:val="none"/>
        </w:rPr>
        <w:t>严格执行</w:t>
      </w:r>
      <w:r>
        <w:rPr>
          <w:rStyle w:val="44"/>
          <w:rFonts w:hint="eastAsia"/>
          <w:b w:val="0"/>
          <w:color w:val="auto"/>
          <w:sz w:val="24"/>
          <w:szCs w:val="24"/>
          <w:highlight w:val="none"/>
          <w:lang w:eastAsia="zh-CN"/>
        </w:rPr>
        <w:t>宝应经济开发区</w:t>
      </w:r>
      <w:r>
        <w:rPr>
          <w:rStyle w:val="44"/>
          <w:rFonts w:hint="eastAsia"/>
          <w:b w:val="0"/>
          <w:color w:val="auto"/>
          <w:sz w:val="24"/>
          <w:szCs w:val="24"/>
          <w:highlight w:val="none"/>
        </w:rPr>
        <w:t>绿化养护管理办法及考核细则；</w:t>
      </w:r>
      <w:r>
        <w:rPr>
          <w:rStyle w:val="44"/>
          <w:rFonts w:hint="eastAsia"/>
          <w:b/>
          <w:bCs/>
          <w:i/>
          <w:iCs/>
          <w:color w:val="auto"/>
          <w:sz w:val="24"/>
          <w:szCs w:val="24"/>
          <w:highlight w:val="none"/>
          <w:u w:val="single"/>
        </w:rPr>
        <w:t>承包方需确保养护区域内所有苗木成活率</w:t>
      </w:r>
      <w:r>
        <w:rPr>
          <w:rStyle w:val="44"/>
          <w:rFonts w:hint="eastAsia"/>
          <w:b/>
          <w:bCs/>
          <w:i/>
          <w:iCs/>
          <w:color w:val="auto"/>
          <w:sz w:val="24"/>
          <w:szCs w:val="24"/>
          <w:highlight w:val="none"/>
          <w:u w:val="single"/>
          <w:lang w:eastAsia="zh-CN"/>
        </w:rPr>
        <w:t>达到</w:t>
      </w:r>
      <w:r>
        <w:rPr>
          <w:rStyle w:val="44"/>
          <w:rFonts w:hint="eastAsia"/>
          <w:b/>
          <w:bCs/>
          <w:i/>
          <w:iCs/>
          <w:color w:val="auto"/>
          <w:sz w:val="24"/>
          <w:szCs w:val="24"/>
          <w:highlight w:val="none"/>
          <w:u w:val="single"/>
        </w:rPr>
        <w:t>100 %，在绿化管养期满之前</w:t>
      </w:r>
      <w:r>
        <w:rPr>
          <w:rStyle w:val="44"/>
          <w:rFonts w:hint="eastAsia"/>
          <w:b/>
          <w:bCs/>
          <w:i/>
          <w:iCs/>
          <w:color w:val="auto"/>
          <w:sz w:val="24"/>
          <w:szCs w:val="24"/>
          <w:highlight w:val="none"/>
          <w:u w:val="single"/>
          <w:lang w:val="en-US" w:eastAsia="zh-CN"/>
        </w:rPr>
        <w:t>三个月</w:t>
      </w:r>
      <w:r>
        <w:rPr>
          <w:rStyle w:val="44"/>
          <w:rFonts w:hint="eastAsia"/>
          <w:b/>
          <w:bCs/>
          <w:i/>
          <w:iCs/>
          <w:color w:val="auto"/>
          <w:sz w:val="24"/>
          <w:szCs w:val="24"/>
          <w:highlight w:val="none"/>
          <w:u w:val="single"/>
        </w:rPr>
        <w:t>内，停止补植苗木，如有苗木未达成活率标准的，最终按该苗木市场价在养护费中予以扣除。</w:t>
      </w:r>
    </w:p>
    <w:p w14:paraId="7DA25381">
      <w:pPr>
        <w:autoSpaceDE w:val="0"/>
        <w:autoSpaceDN w:val="0"/>
        <w:adjustRightInd w:val="0"/>
        <w:spacing w:line="440" w:lineRule="exact"/>
        <w:outlineLvl w:val="1"/>
        <w:rPr>
          <w:rFonts w:cs="宋体"/>
          <w:b/>
          <w:bCs/>
          <w:color w:val="auto"/>
          <w:kern w:val="0"/>
          <w:sz w:val="28"/>
          <w:szCs w:val="28"/>
          <w:highlight w:val="none"/>
          <w:lang w:val="zh-CN"/>
        </w:rPr>
      </w:pPr>
      <w:bookmarkStart w:id="150" w:name="_Toc125029391"/>
      <w:r>
        <w:rPr>
          <w:rFonts w:hint="eastAsia" w:cs="宋体"/>
          <w:b/>
          <w:bCs/>
          <w:color w:val="auto"/>
          <w:kern w:val="0"/>
          <w:sz w:val="28"/>
          <w:szCs w:val="28"/>
          <w:highlight w:val="none"/>
          <w:lang w:val="zh-CN"/>
        </w:rPr>
        <w:t>七</w:t>
      </w:r>
      <w:r>
        <w:rPr>
          <w:rFonts w:cs="宋体"/>
          <w:b/>
          <w:bCs/>
          <w:color w:val="auto"/>
          <w:kern w:val="0"/>
          <w:sz w:val="28"/>
          <w:szCs w:val="28"/>
          <w:highlight w:val="none"/>
          <w:lang w:val="zh-CN"/>
        </w:rPr>
        <w:t>、电子文档附件</w:t>
      </w:r>
      <w:bookmarkEnd w:id="150"/>
    </w:p>
    <w:p w14:paraId="6FC34CF7">
      <w:pPr>
        <w:spacing w:line="440" w:lineRule="exact"/>
        <w:ind w:firstLine="283" w:firstLineChars="118"/>
        <w:rPr>
          <w:color w:val="auto"/>
          <w:sz w:val="24"/>
          <w:szCs w:val="24"/>
          <w:highlight w:val="none"/>
        </w:rPr>
      </w:pPr>
      <w:r>
        <w:rPr>
          <w:rFonts w:hint="eastAsia"/>
          <w:color w:val="auto"/>
          <w:sz w:val="24"/>
          <w:szCs w:val="24"/>
          <w:highlight w:val="none"/>
          <w:lang w:eastAsia="zh-CN"/>
        </w:rPr>
        <w:t>1.</w:t>
      </w:r>
      <w:r>
        <w:rPr>
          <w:rFonts w:hint="eastAsia"/>
          <w:color w:val="auto"/>
          <w:sz w:val="24"/>
          <w:szCs w:val="24"/>
          <w:highlight w:val="none"/>
        </w:rPr>
        <w:t>附件1：各分包绿化养护服务范围及报价最高限价。</w:t>
      </w:r>
    </w:p>
    <w:p w14:paraId="6C1593CC">
      <w:pPr>
        <w:spacing w:line="440" w:lineRule="exact"/>
        <w:ind w:firstLine="283" w:firstLineChars="118"/>
        <w:rPr>
          <w:rFonts w:hint="eastAsia"/>
          <w:color w:val="auto"/>
          <w:sz w:val="24"/>
          <w:szCs w:val="24"/>
          <w:highlight w:val="none"/>
        </w:rPr>
      </w:pPr>
      <w:r>
        <w:rPr>
          <w:rFonts w:hint="eastAsia"/>
          <w:color w:val="auto"/>
          <w:sz w:val="24"/>
          <w:szCs w:val="24"/>
          <w:highlight w:val="none"/>
          <w:lang w:eastAsia="zh-CN"/>
        </w:rPr>
        <w:t>2.</w:t>
      </w:r>
      <w:r>
        <w:rPr>
          <w:rFonts w:hint="eastAsia"/>
          <w:color w:val="auto"/>
          <w:sz w:val="24"/>
          <w:szCs w:val="24"/>
          <w:highlight w:val="none"/>
        </w:rPr>
        <w:t>附件</w:t>
      </w:r>
      <w:r>
        <w:rPr>
          <w:color w:val="auto"/>
          <w:sz w:val="24"/>
          <w:szCs w:val="24"/>
          <w:highlight w:val="none"/>
        </w:rPr>
        <w:t>2</w:t>
      </w:r>
      <w:r>
        <w:rPr>
          <w:rFonts w:hint="eastAsia"/>
          <w:color w:val="auto"/>
          <w:sz w:val="24"/>
          <w:szCs w:val="24"/>
          <w:highlight w:val="none"/>
        </w:rPr>
        <w:t>：</w:t>
      </w:r>
      <w:r>
        <w:rPr>
          <w:rFonts w:hint="eastAsia"/>
          <w:color w:val="auto"/>
          <w:sz w:val="24"/>
          <w:szCs w:val="24"/>
          <w:highlight w:val="none"/>
          <w:lang w:eastAsia="zh-CN"/>
        </w:rPr>
        <w:t>宝应经济开发区</w:t>
      </w:r>
      <w:r>
        <w:rPr>
          <w:color w:val="auto"/>
          <w:sz w:val="24"/>
          <w:szCs w:val="24"/>
          <w:highlight w:val="none"/>
        </w:rPr>
        <w:t>公共绿地养护</w:t>
      </w:r>
      <w:r>
        <w:rPr>
          <w:rFonts w:hint="eastAsia"/>
          <w:color w:val="auto"/>
          <w:sz w:val="24"/>
          <w:szCs w:val="24"/>
          <w:highlight w:val="none"/>
        </w:rPr>
        <w:t>要求。</w:t>
      </w:r>
    </w:p>
    <w:p w14:paraId="299B2031">
      <w:pPr>
        <w:spacing w:line="440" w:lineRule="exact"/>
        <w:ind w:firstLine="283" w:firstLineChars="118"/>
        <w:rPr>
          <w:rFonts w:hint="eastAsia"/>
          <w:color w:val="auto"/>
          <w:sz w:val="24"/>
          <w:szCs w:val="24"/>
          <w:highlight w:val="none"/>
        </w:rPr>
      </w:pPr>
      <w:r>
        <w:rPr>
          <w:rFonts w:hint="eastAsia"/>
          <w:color w:val="auto"/>
          <w:sz w:val="24"/>
          <w:szCs w:val="24"/>
          <w:highlight w:val="none"/>
          <w:lang w:eastAsia="zh-CN"/>
        </w:rPr>
        <w:t>3.</w:t>
      </w:r>
      <w:r>
        <w:rPr>
          <w:rFonts w:hint="eastAsia"/>
          <w:color w:val="auto"/>
          <w:sz w:val="24"/>
          <w:szCs w:val="24"/>
          <w:highlight w:val="none"/>
        </w:rPr>
        <w:t>附件</w:t>
      </w:r>
      <w:r>
        <w:rPr>
          <w:color w:val="auto"/>
          <w:sz w:val="24"/>
          <w:szCs w:val="24"/>
          <w:highlight w:val="none"/>
        </w:rPr>
        <w:t>3</w:t>
      </w:r>
      <w:r>
        <w:rPr>
          <w:rFonts w:hint="eastAsia"/>
          <w:color w:val="auto"/>
          <w:sz w:val="24"/>
          <w:szCs w:val="24"/>
          <w:highlight w:val="none"/>
        </w:rPr>
        <w:t>：《</w:t>
      </w:r>
      <w:r>
        <w:rPr>
          <w:rFonts w:hint="eastAsia"/>
          <w:color w:val="auto"/>
          <w:sz w:val="24"/>
          <w:szCs w:val="24"/>
          <w:highlight w:val="none"/>
          <w:lang w:eastAsia="zh-CN"/>
        </w:rPr>
        <w:t>宝应经济开发区</w:t>
      </w:r>
      <w:r>
        <w:rPr>
          <w:rFonts w:hint="eastAsia"/>
          <w:color w:val="auto"/>
          <w:sz w:val="24"/>
          <w:szCs w:val="24"/>
          <w:highlight w:val="none"/>
        </w:rPr>
        <w:t>绿地养护管理检查考核办法（试行）》。</w:t>
      </w:r>
    </w:p>
    <w:p w14:paraId="22DA6D76">
      <w:pPr>
        <w:spacing w:line="440" w:lineRule="exact"/>
        <w:ind w:firstLine="283" w:firstLineChars="118"/>
        <w:rPr>
          <w:color w:val="auto"/>
          <w:sz w:val="24"/>
          <w:szCs w:val="24"/>
          <w:highlight w:val="none"/>
        </w:rPr>
      </w:pPr>
      <w:r>
        <w:rPr>
          <w:rFonts w:hint="eastAsia"/>
          <w:color w:val="auto"/>
          <w:sz w:val="24"/>
          <w:szCs w:val="24"/>
          <w:highlight w:val="none"/>
          <w:lang w:eastAsia="zh-CN"/>
        </w:rPr>
        <w:t>4.</w:t>
      </w:r>
      <w:r>
        <w:rPr>
          <w:rFonts w:hint="eastAsia"/>
          <w:color w:val="auto"/>
          <w:sz w:val="24"/>
          <w:szCs w:val="24"/>
          <w:highlight w:val="none"/>
        </w:rPr>
        <w:t>附件</w:t>
      </w:r>
      <w:r>
        <w:rPr>
          <w:color w:val="auto"/>
          <w:sz w:val="24"/>
          <w:szCs w:val="24"/>
          <w:highlight w:val="none"/>
        </w:rPr>
        <w:t>4</w:t>
      </w:r>
      <w:r>
        <w:rPr>
          <w:rFonts w:hint="eastAsia"/>
          <w:color w:val="auto"/>
          <w:sz w:val="24"/>
          <w:szCs w:val="24"/>
          <w:highlight w:val="none"/>
        </w:rPr>
        <w:t>：《</w:t>
      </w:r>
      <w:r>
        <w:rPr>
          <w:rFonts w:hint="eastAsia"/>
          <w:color w:val="auto"/>
          <w:sz w:val="24"/>
          <w:szCs w:val="24"/>
          <w:highlight w:val="none"/>
          <w:lang w:eastAsia="zh-CN"/>
        </w:rPr>
        <w:t>宝应经济开发区</w:t>
      </w:r>
      <w:r>
        <w:rPr>
          <w:rFonts w:hint="eastAsia"/>
          <w:color w:val="auto"/>
          <w:sz w:val="24"/>
          <w:szCs w:val="24"/>
          <w:highlight w:val="none"/>
        </w:rPr>
        <w:t>绿地养护管理检查考核细则》。</w:t>
      </w:r>
    </w:p>
    <w:p w14:paraId="29396210">
      <w:pPr>
        <w:spacing w:line="440" w:lineRule="exact"/>
        <w:ind w:firstLine="283" w:firstLineChars="118"/>
        <w:rPr>
          <w:rFonts w:hint="eastAsia"/>
          <w:color w:val="auto"/>
          <w:sz w:val="24"/>
          <w:szCs w:val="24"/>
          <w:highlight w:val="none"/>
        </w:rPr>
      </w:pPr>
      <w:r>
        <w:rPr>
          <w:rFonts w:hint="eastAsia"/>
          <w:color w:val="auto"/>
          <w:sz w:val="24"/>
          <w:szCs w:val="24"/>
          <w:highlight w:val="none"/>
          <w:lang w:eastAsia="zh-CN"/>
        </w:rPr>
        <w:t>5.</w:t>
      </w:r>
      <w:r>
        <w:rPr>
          <w:rFonts w:hint="eastAsia"/>
          <w:color w:val="auto"/>
          <w:sz w:val="24"/>
          <w:szCs w:val="24"/>
          <w:highlight w:val="none"/>
        </w:rPr>
        <w:t>附件5：</w:t>
      </w:r>
      <w:r>
        <w:rPr>
          <w:rFonts w:hint="eastAsia"/>
          <w:color w:val="auto"/>
          <w:sz w:val="24"/>
          <w:szCs w:val="24"/>
          <w:highlight w:val="none"/>
          <w:lang w:eastAsia="zh-CN"/>
        </w:rPr>
        <w:t>宝应经济开发区</w:t>
      </w:r>
      <w:r>
        <w:rPr>
          <w:rFonts w:hint="eastAsia"/>
          <w:color w:val="auto"/>
          <w:sz w:val="24"/>
          <w:szCs w:val="24"/>
          <w:highlight w:val="none"/>
        </w:rPr>
        <w:t>绿地养护质量标准。</w:t>
      </w:r>
    </w:p>
    <w:p w14:paraId="41FEABB0">
      <w:pPr>
        <w:spacing w:line="440" w:lineRule="exact"/>
        <w:ind w:firstLine="283" w:firstLineChars="118"/>
        <w:rPr>
          <w:rFonts w:hint="eastAsia" w:ascii="Times New Roman"/>
          <w:color w:val="auto"/>
          <w:sz w:val="24"/>
          <w:szCs w:val="24"/>
          <w:highlight w:val="none"/>
        </w:rPr>
      </w:pPr>
      <w:r>
        <w:rPr>
          <w:rFonts w:hint="eastAsia"/>
          <w:color w:val="auto"/>
          <w:sz w:val="24"/>
          <w:szCs w:val="24"/>
          <w:highlight w:val="none"/>
          <w:lang w:val="en-US" w:eastAsia="zh-CN"/>
        </w:rPr>
        <w:t>6.</w:t>
      </w:r>
      <w:r>
        <w:rPr>
          <w:rFonts w:hint="eastAsia" w:ascii="Times New Roman"/>
          <w:color w:val="auto"/>
          <w:sz w:val="24"/>
          <w:szCs w:val="24"/>
          <w:highlight w:val="none"/>
        </w:rPr>
        <w:t>附件</w:t>
      </w:r>
      <w:r>
        <w:rPr>
          <w:rFonts w:hint="eastAsia"/>
          <w:color w:val="auto"/>
          <w:sz w:val="24"/>
          <w:szCs w:val="24"/>
          <w:highlight w:val="none"/>
          <w:lang w:val="en-US" w:eastAsia="zh-CN"/>
        </w:rPr>
        <w:t>6</w:t>
      </w:r>
      <w:r>
        <w:rPr>
          <w:rFonts w:hint="eastAsia" w:ascii="Times New Roman"/>
          <w:color w:val="auto"/>
          <w:sz w:val="24"/>
          <w:szCs w:val="24"/>
          <w:highlight w:val="none"/>
        </w:rPr>
        <w:t>：安全生产协议。</w:t>
      </w:r>
    </w:p>
    <w:p w14:paraId="3393A078">
      <w:pPr>
        <w:autoSpaceDE w:val="0"/>
        <w:autoSpaceDN w:val="0"/>
        <w:adjustRightInd w:val="0"/>
        <w:spacing w:line="440" w:lineRule="exact"/>
        <w:outlineLvl w:val="1"/>
        <w:rPr>
          <w:rFonts w:hint="eastAsia" w:cs="宋体"/>
          <w:b/>
          <w:bCs/>
          <w:color w:val="auto"/>
          <w:kern w:val="0"/>
          <w:sz w:val="28"/>
          <w:szCs w:val="28"/>
          <w:highlight w:val="none"/>
          <w:lang w:val="zh-CN"/>
        </w:rPr>
      </w:pPr>
      <w:bookmarkStart w:id="151" w:name="_Toc125029392"/>
      <w:r>
        <w:rPr>
          <w:rFonts w:hint="eastAsia" w:cs="宋体"/>
          <w:b/>
          <w:bCs/>
          <w:color w:val="auto"/>
          <w:kern w:val="0"/>
          <w:sz w:val="28"/>
          <w:szCs w:val="28"/>
          <w:highlight w:val="none"/>
          <w:lang w:val="zh-CN"/>
        </w:rPr>
        <w:t>八</w:t>
      </w:r>
      <w:r>
        <w:rPr>
          <w:rFonts w:cs="宋体"/>
          <w:b/>
          <w:bCs/>
          <w:color w:val="auto"/>
          <w:kern w:val="0"/>
          <w:sz w:val="28"/>
          <w:szCs w:val="28"/>
          <w:highlight w:val="none"/>
          <w:lang w:val="zh-CN"/>
        </w:rPr>
        <w:t>、</w:t>
      </w:r>
      <w:r>
        <w:rPr>
          <w:rFonts w:hint="eastAsia" w:cs="宋体"/>
          <w:b/>
          <w:bCs/>
          <w:color w:val="auto"/>
          <w:kern w:val="0"/>
          <w:sz w:val="28"/>
          <w:szCs w:val="28"/>
          <w:highlight w:val="none"/>
          <w:lang w:val="zh-CN"/>
        </w:rPr>
        <w:t>其他</w:t>
      </w:r>
      <w:r>
        <w:rPr>
          <w:rFonts w:cs="宋体"/>
          <w:b/>
          <w:bCs/>
          <w:color w:val="auto"/>
          <w:kern w:val="0"/>
          <w:sz w:val="28"/>
          <w:szCs w:val="28"/>
          <w:highlight w:val="none"/>
          <w:lang w:val="zh-CN"/>
        </w:rPr>
        <w:t>要求</w:t>
      </w:r>
      <w:r>
        <w:rPr>
          <w:rFonts w:hint="eastAsia" w:cs="宋体"/>
          <w:b/>
          <w:bCs/>
          <w:color w:val="auto"/>
          <w:kern w:val="0"/>
          <w:sz w:val="28"/>
          <w:szCs w:val="28"/>
          <w:highlight w:val="none"/>
          <w:lang w:val="zh-CN"/>
        </w:rPr>
        <w:t>：</w:t>
      </w:r>
      <w:bookmarkEnd w:id="151"/>
    </w:p>
    <w:p w14:paraId="1FB781C3">
      <w:pPr>
        <w:spacing w:line="440" w:lineRule="exact"/>
        <w:ind w:firstLine="482" w:firstLineChars="200"/>
        <w:rPr>
          <w:rFonts w:hint="eastAsia" w:ascii="Times New Roman" w:hAnsi="Times New Roman" w:eastAsia="宋体" w:cs="Times New Roman"/>
          <w:b/>
          <w:bCs/>
          <w:color w:val="auto"/>
          <w:sz w:val="24"/>
          <w:szCs w:val="24"/>
          <w:highlight w:val="none"/>
          <w:lang w:val="zh-CN"/>
        </w:rPr>
      </w:pPr>
      <w:r>
        <w:rPr>
          <w:rFonts w:hint="eastAsia"/>
          <w:b/>
          <w:bCs/>
          <w:color w:val="auto"/>
          <w:sz w:val="24"/>
          <w:szCs w:val="24"/>
          <w:highlight w:val="none"/>
          <w:lang w:eastAsia="zh-CN"/>
        </w:rPr>
        <w:t>1.本</w:t>
      </w:r>
      <w:r>
        <w:rPr>
          <w:rFonts w:hint="eastAsia" w:ascii="Times New Roman" w:hAnsi="Times New Roman" w:eastAsia="宋体" w:cs="Times New Roman"/>
          <w:b/>
          <w:bCs/>
          <w:color w:val="auto"/>
          <w:sz w:val="24"/>
          <w:szCs w:val="24"/>
          <w:highlight w:val="none"/>
          <w:lang w:val="zh-CN"/>
        </w:rPr>
        <w:t>磋商文件中斜体且有下划线部分为实质性要求和条件</w:t>
      </w:r>
      <w:r>
        <w:rPr>
          <w:rFonts w:hint="eastAsia" w:ascii="Times New Roman" w:hAnsi="Times New Roman" w:eastAsia="宋体" w:cs="Times New Roman"/>
          <w:b/>
          <w:bCs/>
          <w:color w:val="auto"/>
          <w:sz w:val="24"/>
          <w:szCs w:val="24"/>
          <w:highlight w:val="none"/>
          <w:lang w:val="zh-CN" w:eastAsia="zh-CN"/>
        </w:rPr>
        <w:t>，</w:t>
      </w:r>
      <w:r>
        <w:rPr>
          <w:rFonts w:hint="eastAsia" w:ascii="Times New Roman" w:hAnsi="Times New Roman" w:eastAsia="宋体" w:cs="Times New Roman"/>
          <w:b/>
          <w:bCs/>
          <w:color w:val="auto"/>
          <w:sz w:val="24"/>
          <w:szCs w:val="24"/>
          <w:highlight w:val="none"/>
          <w:lang w:val="zh-CN"/>
        </w:rPr>
        <w:t>未满足的，将作无效</w:t>
      </w:r>
      <w:r>
        <w:rPr>
          <w:rFonts w:ascii="Times New Roman" w:hAnsi="Times New Roman" w:eastAsia="宋体" w:cs="Times New Roman"/>
          <w:b/>
          <w:bCs/>
          <w:color w:val="auto"/>
          <w:sz w:val="24"/>
          <w:szCs w:val="24"/>
          <w:highlight w:val="none"/>
          <w:lang w:val="zh-CN"/>
        </w:rPr>
        <w:t>投标处理</w:t>
      </w:r>
      <w:r>
        <w:rPr>
          <w:rFonts w:hint="eastAsia" w:ascii="Times New Roman" w:hAnsi="Times New Roman" w:eastAsia="宋体" w:cs="Times New Roman"/>
          <w:b/>
          <w:bCs/>
          <w:color w:val="auto"/>
          <w:sz w:val="24"/>
          <w:szCs w:val="24"/>
          <w:highlight w:val="none"/>
          <w:lang w:val="zh-CN"/>
        </w:rPr>
        <w:t>。</w:t>
      </w:r>
    </w:p>
    <w:p w14:paraId="39AA274E">
      <w:pPr>
        <w:spacing w:line="440" w:lineRule="exact"/>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2.绿化养护管养考核办法</w:t>
      </w:r>
    </w:p>
    <w:p w14:paraId="5850C751">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为提高绿地管理整体水平，建立正确评估绿化养护管养工作质量体系及优胜劣汰的绿化养护管养竞争机制，规范绿化养护管理管养考核行为，特制定本办法：</w:t>
      </w:r>
    </w:p>
    <w:p w14:paraId="451B56CF">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一、组织领导</w:t>
      </w:r>
    </w:p>
    <w:p w14:paraId="4369840A">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成立</w:t>
      </w:r>
      <w:r>
        <w:rPr>
          <w:rStyle w:val="44"/>
          <w:rFonts w:hint="eastAsia" w:cs="Times New Roman"/>
          <w:b w:val="0"/>
          <w:color w:val="auto"/>
          <w:sz w:val="24"/>
          <w:szCs w:val="24"/>
          <w:highlight w:val="none"/>
          <w:lang w:val="en-US" w:eastAsia="zh-CN"/>
        </w:rPr>
        <w:t>宝应经济开发区</w:t>
      </w:r>
      <w:r>
        <w:rPr>
          <w:rStyle w:val="44"/>
          <w:rFonts w:hint="eastAsia" w:ascii="Times New Roman" w:hAnsi="Times New Roman" w:eastAsia="宋体" w:cs="Times New Roman"/>
          <w:b w:val="0"/>
          <w:color w:val="auto"/>
          <w:sz w:val="24"/>
          <w:szCs w:val="24"/>
          <w:highlight w:val="none"/>
          <w:lang w:val="en-US" w:eastAsia="zh-CN"/>
        </w:rPr>
        <w:t>绿地管理考核小组。成员由</w:t>
      </w:r>
      <w:r>
        <w:rPr>
          <w:rStyle w:val="44"/>
          <w:rFonts w:hint="eastAsia" w:cs="Times New Roman"/>
          <w:b w:val="0"/>
          <w:color w:val="auto"/>
          <w:sz w:val="24"/>
          <w:szCs w:val="24"/>
          <w:highlight w:val="none"/>
          <w:lang w:val="en-US" w:eastAsia="zh-CN"/>
        </w:rPr>
        <w:t>招标人</w:t>
      </w:r>
      <w:r>
        <w:rPr>
          <w:rStyle w:val="44"/>
          <w:rFonts w:hint="eastAsia" w:ascii="Times New Roman" w:hAnsi="Times New Roman" w:eastAsia="宋体" w:cs="Times New Roman"/>
          <w:b w:val="0"/>
          <w:color w:val="auto"/>
          <w:sz w:val="24"/>
          <w:szCs w:val="24"/>
          <w:highlight w:val="none"/>
          <w:lang w:val="en-US" w:eastAsia="zh-CN"/>
        </w:rPr>
        <w:t>和有关专业人员组成。</w:t>
      </w:r>
    </w:p>
    <w:p w14:paraId="00C361F2">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二、基本原则</w:t>
      </w:r>
    </w:p>
    <w:p w14:paraId="790F609A">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坚持公正、公平、公开；坚持奖惩得当；坚持定期考核与平时督查相结合的原则。</w:t>
      </w:r>
    </w:p>
    <w:p w14:paraId="08E41140">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cs="Times New Roman"/>
          <w:b w:val="0"/>
          <w:color w:val="auto"/>
          <w:sz w:val="24"/>
          <w:szCs w:val="24"/>
          <w:highlight w:val="none"/>
          <w:lang w:val="en-US" w:eastAsia="zh-CN"/>
        </w:rPr>
        <w:t>三</w:t>
      </w:r>
      <w:r>
        <w:rPr>
          <w:rStyle w:val="44"/>
          <w:rFonts w:hint="eastAsia" w:ascii="Times New Roman" w:hAnsi="Times New Roman" w:eastAsia="宋体" w:cs="Times New Roman"/>
          <w:b w:val="0"/>
          <w:color w:val="auto"/>
          <w:sz w:val="24"/>
          <w:szCs w:val="24"/>
          <w:highlight w:val="none"/>
          <w:lang w:val="en-US" w:eastAsia="zh-CN"/>
        </w:rPr>
        <w:t>、考核内容</w:t>
      </w:r>
    </w:p>
    <w:p w14:paraId="4A5F6634">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2026开发区绿化养护管养工作，包括日常养护工作开展情况、养护效果、养护技术标准、工作整改落实效果（效率）、安全文明施工、迎检、应急抢险等。</w:t>
      </w:r>
    </w:p>
    <w:p w14:paraId="07A90037">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cs="Times New Roman"/>
          <w:b w:val="0"/>
          <w:color w:val="auto"/>
          <w:sz w:val="24"/>
          <w:szCs w:val="24"/>
          <w:highlight w:val="none"/>
          <w:lang w:val="en-US" w:eastAsia="zh-CN"/>
        </w:rPr>
        <w:t>四</w:t>
      </w:r>
      <w:r>
        <w:rPr>
          <w:rStyle w:val="44"/>
          <w:rFonts w:hint="eastAsia" w:ascii="Times New Roman" w:hAnsi="Times New Roman" w:eastAsia="宋体" w:cs="Times New Roman"/>
          <w:b w:val="0"/>
          <w:color w:val="auto"/>
          <w:sz w:val="24"/>
          <w:szCs w:val="24"/>
          <w:highlight w:val="none"/>
          <w:lang w:val="en-US" w:eastAsia="zh-CN"/>
        </w:rPr>
        <w:t>、考核方法</w:t>
      </w:r>
    </w:p>
    <w:p w14:paraId="231DCA22">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由考核小组每月进行定期考核、不定期考核。定期考核每月 1 次，一般安排在每月 20 日-28 日；日常不定期考核主要是结合日常巡查随时进行，主要从日常养护效果、工作整改落实效果（效率）、应急抢险、安全文明施工、迎检等工作完成情况等方面考核。</w:t>
      </w:r>
    </w:p>
    <w:p w14:paraId="5A8057BE">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cs="Times New Roman"/>
          <w:b w:val="0"/>
          <w:color w:val="auto"/>
          <w:sz w:val="24"/>
          <w:szCs w:val="24"/>
          <w:highlight w:val="none"/>
          <w:lang w:val="en-US" w:eastAsia="zh-CN"/>
        </w:rPr>
        <w:t>五</w:t>
      </w:r>
      <w:r>
        <w:rPr>
          <w:rStyle w:val="44"/>
          <w:rFonts w:hint="eastAsia" w:ascii="Times New Roman" w:hAnsi="Times New Roman" w:eastAsia="宋体" w:cs="Times New Roman"/>
          <w:b w:val="0"/>
          <w:color w:val="auto"/>
          <w:sz w:val="24"/>
          <w:szCs w:val="24"/>
          <w:highlight w:val="none"/>
          <w:lang w:val="en-US" w:eastAsia="zh-CN"/>
        </w:rPr>
        <w:t>、考核打分</w:t>
      </w:r>
    </w:p>
    <w:p w14:paraId="1367D789">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1.对考核中发现的问题通过现场打分、现场照相、现场指正等方式即时记录并以整改通知书的形式送至养护单位养护负责人。打分时按照月度检查中发现的问题，归入相应条款打分，扣分一般不超过标准得分。</w:t>
      </w:r>
    </w:p>
    <w:p w14:paraId="50E4469C">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2.对标段内出现的问题，经指正后不按要求整改的、多次整改达不到要求的；安全文明施工、迎检、应急抢险不到位的；相关部门及领导、市民反映的管护工作问题经核查属实的；以及通讯不畅等按规定直接扣分。</w:t>
      </w:r>
    </w:p>
    <w:p w14:paraId="5228B37F">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3.考核人员每月按实际绿化养护情况对照百分考核细则进行打分</w:t>
      </w:r>
      <w:r>
        <w:rPr>
          <w:rStyle w:val="44"/>
          <w:rFonts w:hint="eastAsia" w:cs="Times New Roman"/>
          <w:b w:val="0"/>
          <w:color w:val="auto"/>
          <w:sz w:val="24"/>
          <w:szCs w:val="24"/>
          <w:highlight w:val="none"/>
          <w:lang w:val="en-US" w:eastAsia="zh-CN"/>
        </w:rPr>
        <w:t>（总分100分）</w:t>
      </w:r>
      <w:r>
        <w:rPr>
          <w:rStyle w:val="44"/>
          <w:rFonts w:hint="eastAsia" w:ascii="Times New Roman" w:hAnsi="Times New Roman" w:eastAsia="宋体" w:cs="Times New Roman"/>
          <w:b w:val="0"/>
          <w:color w:val="auto"/>
          <w:sz w:val="24"/>
          <w:szCs w:val="24"/>
          <w:highlight w:val="none"/>
          <w:lang w:val="en-US" w:eastAsia="zh-CN"/>
        </w:rPr>
        <w:t>。</w:t>
      </w:r>
      <w:r>
        <w:rPr>
          <w:rStyle w:val="44"/>
          <w:rFonts w:hint="eastAsia" w:cs="Times New Roman"/>
          <w:b w:val="0"/>
          <w:color w:val="auto"/>
          <w:sz w:val="24"/>
          <w:szCs w:val="24"/>
          <w:highlight w:val="none"/>
          <w:lang w:val="en-US" w:eastAsia="zh-CN"/>
        </w:rPr>
        <w:t>95分</w:t>
      </w:r>
      <w:r>
        <w:rPr>
          <w:rStyle w:val="44"/>
          <w:rFonts w:hint="eastAsia" w:ascii="Times New Roman" w:hAnsi="Times New Roman" w:eastAsia="宋体" w:cs="Times New Roman"/>
          <w:b w:val="0"/>
          <w:color w:val="auto"/>
          <w:sz w:val="24"/>
          <w:szCs w:val="24"/>
          <w:highlight w:val="none"/>
          <w:lang w:val="en-US" w:eastAsia="zh-CN"/>
        </w:rPr>
        <w:t>（含）</w:t>
      </w:r>
      <w:r>
        <w:rPr>
          <w:rStyle w:val="44"/>
          <w:rFonts w:hint="eastAsia" w:cs="Times New Roman"/>
          <w:b w:val="0"/>
          <w:color w:val="auto"/>
          <w:sz w:val="24"/>
          <w:szCs w:val="24"/>
          <w:highlight w:val="none"/>
          <w:lang w:val="en-US" w:eastAsia="zh-CN"/>
        </w:rPr>
        <w:t>以上</w:t>
      </w:r>
      <w:r>
        <w:rPr>
          <w:rStyle w:val="44"/>
          <w:rFonts w:hint="eastAsia" w:ascii="Times New Roman" w:hAnsi="Times New Roman" w:eastAsia="宋体" w:cs="Times New Roman"/>
          <w:b w:val="0"/>
          <w:color w:val="auto"/>
          <w:sz w:val="24"/>
          <w:szCs w:val="24"/>
          <w:highlight w:val="none"/>
          <w:lang w:val="en-US" w:eastAsia="zh-CN"/>
        </w:rPr>
        <w:t>，本期款项</w:t>
      </w:r>
      <w:r>
        <w:rPr>
          <w:rStyle w:val="44"/>
          <w:rFonts w:hint="eastAsia" w:cs="Times New Roman"/>
          <w:b w:val="0"/>
          <w:color w:val="auto"/>
          <w:sz w:val="24"/>
          <w:szCs w:val="24"/>
          <w:highlight w:val="none"/>
          <w:lang w:val="en-US" w:eastAsia="zh-CN"/>
        </w:rPr>
        <w:t>全额支付</w:t>
      </w:r>
      <w:r>
        <w:rPr>
          <w:rStyle w:val="44"/>
          <w:rFonts w:hint="eastAsia" w:ascii="Times New Roman" w:hAnsi="Times New Roman" w:eastAsia="宋体" w:cs="Times New Roman"/>
          <w:b w:val="0"/>
          <w:color w:val="auto"/>
          <w:sz w:val="24"/>
          <w:szCs w:val="24"/>
          <w:highlight w:val="none"/>
          <w:lang w:val="en-US" w:eastAsia="zh-CN"/>
        </w:rPr>
        <w:t>；8</w:t>
      </w:r>
      <w:r>
        <w:rPr>
          <w:rStyle w:val="44"/>
          <w:rFonts w:hint="eastAsia" w:cs="Times New Roman"/>
          <w:b w:val="0"/>
          <w:color w:val="auto"/>
          <w:sz w:val="24"/>
          <w:szCs w:val="24"/>
          <w:highlight w:val="none"/>
          <w:lang w:val="en-US" w:eastAsia="zh-CN"/>
        </w:rPr>
        <w:t>5</w:t>
      </w:r>
      <w:r>
        <w:rPr>
          <w:rStyle w:val="44"/>
          <w:rFonts w:hint="eastAsia" w:ascii="Times New Roman" w:hAnsi="Times New Roman" w:eastAsia="宋体" w:cs="Times New Roman"/>
          <w:b w:val="0"/>
          <w:color w:val="auto"/>
          <w:sz w:val="24"/>
          <w:szCs w:val="24"/>
          <w:highlight w:val="none"/>
          <w:lang w:val="en-US" w:eastAsia="zh-CN"/>
        </w:rPr>
        <w:t>-9</w:t>
      </w:r>
      <w:r>
        <w:rPr>
          <w:rStyle w:val="44"/>
          <w:rFonts w:hint="eastAsia" w:cs="Times New Roman"/>
          <w:b w:val="0"/>
          <w:color w:val="auto"/>
          <w:sz w:val="24"/>
          <w:szCs w:val="24"/>
          <w:highlight w:val="none"/>
          <w:lang w:val="en-US" w:eastAsia="zh-CN"/>
        </w:rPr>
        <w:t>5</w:t>
      </w:r>
      <w:r>
        <w:rPr>
          <w:rStyle w:val="44"/>
          <w:rFonts w:hint="eastAsia" w:ascii="Times New Roman" w:hAnsi="Times New Roman" w:eastAsia="宋体" w:cs="Times New Roman"/>
          <w:b w:val="0"/>
          <w:color w:val="auto"/>
          <w:sz w:val="24"/>
          <w:szCs w:val="24"/>
          <w:highlight w:val="none"/>
          <w:lang w:val="en-US" w:eastAsia="zh-CN"/>
        </w:rPr>
        <w:t>（不含）分，以整数分为档，每低一档扣减本期款项的1%；</w:t>
      </w:r>
      <w:r>
        <w:rPr>
          <w:rStyle w:val="44"/>
          <w:rFonts w:hint="eastAsia" w:cs="Times New Roman"/>
          <w:b w:val="0"/>
          <w:color w:val="auto"/>
          <w:sz w:val="24"/>
          <w:szCs w:val="24"/>
          <w:highlight w:val="none"/>
          <w:lang w:val="en-US" w:eastAsia="zh-CN"/>
        </w:rPr>
        <w:t>75-85</w:t>
      </w:r>
      <w:r>
        <w:rPr>
          <w:rStyle w:val="44"/>
          <w:rFonts w:hint="eastAsia" w:ascii="Times New Roman" w:hAnsi="Times New Roman" w:eastAsia="宋体" w:cs="Times New Roman"/>
          <w:b w:val="0"/>
          <w:color w:val="auto"/>
          <w:sz w:val="24"/>
          <w:szCs w:val="24"/>
          <w:highlight w:val="none"/>
          <w:lang w:val="en-US" w:eastAsia="zh-CN"/>
        </w:rPr>
        <w:t>（不含）分，以整数分为档，每低一档扣减本期款项的1.</w:t>
      </w:r>
      <w:r>
        <w:rPr>
          <w:rStyle w:val="44"/>
          <w:rFonts w:hint="eastAsia" w:cs="Times New Roman"/>
          <w:b w:val="0"/>
          <w:color w:val="auto"/>
          <w:sz w:val="24"/>
          <w:szCs w:val="24"/>
          <w:highlight w:val="none"/>
          <w:lang w:val="en-US" w:eastAsia="zh-CN"/>
        </w:rPr>
        <w:t>2</w:t>
      </w:r>
      <w:r>
        <w:rPr>
          <w:rStyle w:val="44"/>
          <w:rFonts w:hint="eastAsia" w:ascii="Times New Roman" w:hAnsi="Times New Roman" w:eastAsia="宋体" w:cs="Times New Roman"/>
          <w:b w:val="0"/>
          <w:color w:val="auto"/>
          <w:sz w:val="24"/>
          <w:szCs w:val="24"/>
          <w:highlight w:val="none"/>
          <w:lang w:val="en-US" w:eastAsia="zh-CN"/>
        </w:rPr>
        <w:t>%；低于</w:t>
      </w:r>
      <w:r>
        <w:rPr>
          <w:rStyle w:val="44"/>
          <w:rFonts w:hint="eastAsia" w:cs="Times New Roman"/>
          <w:b w:val="0"/>
          <w:color w:val="auto"/>
          <w:sz w:val="24"/>
          <w:szCs w:val="24"/>
          <w:highlight w:val="none"/>
          <w:lang w:val="en-US" w:eastAsia="zh-CN"/>
        </w:rPr>
        <w:t>75</w:t>
      </w:r>
      <w:r>
        <w:rPr>
          <w:rStyle w:val="44"/>
          <w:rFonts w:hint="eastAsia" w:ascii="Times New Roman" w:hAnsi="Times New Roman" w:eastAsia="宋体" w:cs="Times New Roman"/>
          <w:b w:val="0"/>
          <w:color w:val="auto"/>
          <w:sz w:val="24"/>
          <w:szCs w:val="24"/>
          <w:highlight w:val="none"/>
          <w:lang w:val="en-US" w:eastAsia="zh-CN"/>
        </w:rPr>
        <w:t>分，则本期款项只支付应付金额的50%。</w:t>
      </w:r>
    </w:p>
    <w:p w14:paraId="5936848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Courier New"/>
          <w:bCs/>
          <w:i w:val="0"/>
          <w:iCs w:val="0"/>
          <w:color w:val="auto"/>
          <w:sz w:val="24"/>
          <w:szCs w:val="24"/>
          <w:highlight w:val="none"/>
          <w:u w:val="single"/>
          <w:lang w:val="en-US" w:eastAsia="zh-CN" w:bidi="ar-SA"/>
        </w:rPr>
      </w:pPr>
      <w:r>
        <w:rPr>
          <w:rFonts w:hint="eastAsia" w:ascii="宋体" w:hAnsi="宋体" w:eastAsia="宋体" w:cs="Courier New"/>
          <w:bCs/>
          <w:i w:val="0"/>
          <w:iCs w:val="0"/>
          <w:color w:val="auto"/>
          <w:sz w:val="24"/>
          <w:szCs w:val="24"/>
          <w:highlight w:val="none"/>
          <w:u w:val="single"/>
          <w:lang w:val="en-US" w:eastAsia="zh-CN" w:bidi="ar-SA"/>
        </w:rPr>
        <w:t>养护款计算公式为：</w:t>
      </w:r>
      <w:r>
        <w:rPr>
          <w:rFonts w:hint="eastAsia" w:ascii="宋体" w:hAnsi="宋体" w:cs="Courier New"/>
          <w:bCs/>
          <w:i w:val="0"/>
          <w:iCs w:val="0"/>
          <w:color w:val="auto"/>
          <w:sz w:val="24"/>
          <w:szCs w:val="24"/>
          <w:highlight w:val="none"/>
          <w:u w:val="single"/>
          <w:lang w:val="en-US" w:eastAsia="zh-CN" w:bidi="ar-SA"/>
        </w:rPr>
        <w:t>季度</w:t>
      </w:r>
      <w:r>
        <w:rPr>
          <w:rFonts w:hint="eastAsia" w:ascii="宋体" w:hAnsi="宋体" w:eastAsia="宋体" w:cs="Courier New"/>
          <w:bCs/>
          <w:i w:val="0"/>
          <w:iCs w:val="0"/>
          <w:color w:val="auto"/>
          <w:sz w:val="24"/>
          <w:szCs w:val="24"/>
          <w:highlight w:val="none"/>
          <w:u w:val="single"/>
          <w:lang w:val="en-US" w:eastAsia="zh-CN" w:bidi="ar-SA"/>
        </w:rPr>
        <w:t>考核</w:t>
      </w:r>
      <w:r>
        <w:rPr>
          <w:rFonts w:hint="eastAsia" w:ascii="宋体" w:hAnsi="宋体" w:cs="Courier New"/>
          <w:bCs/>
          <w:i w:val="0"/>
          <w:iCs w:val="0"/>
          <w:color w:val="auto"/>
          <w:sz w:val="24"/>
          <w:szCs w:val="24"/>
          <w:highlight w:val="none"/>
          <w:u w:val="single"/>
          <w:lang w:val="en-US" w:eastAsia="zh-CN" w:bidi="ar-SA"/>
        </w:rPr>
        <w:t>（三个月平均得分）</w:t>
      </w:r>
      <w:r>
        <w:rPr>
          <w:rFonts w:hint="eastAsia" w:ascii="宋体" w:hAnsi="宋体" w:eastAsia="宋体" w:cs="Courier New"/>
          <w:bCs/>
          <w:i w:val="0"/>
          <w:iCs w:val="0"/>
          <w:color w:val="auto"/>
          <w:sz w:val="24"/>
          <w:szCs w:val="24"/>
          <w:highlight w:val="none"/>
          <w:u w:val="single"/>
          <w:lang w:val="en-US" w:eastAsia="zh-CN" w:bidi="ar-SA"/>
        </w:rPr>
        <w:t>得分大于等于95分的，全额支付养护款；合同期内连续两个月考核低于</w:t>
      </w:r>
      <w:r>
        <w:rPr>
          <w:rFonts w:hint="eastAsia" w:ascii="宋体" w:hAnsi="宋体" w:cs="Courier New"/>
          <w:bCs/>
          <w:i w:val="0"/>
          <w:iCs w:val="0"/>
          <w:color w:val="auto"/>
          <w:sz w:val="24"/>
          <w:szCs w:val="24"/>
          <w:highlight w:val="none"/>
          <w:u w:val="single"/>
          <w:lang w:val="en-US" w:eastAsia="zh-CN" w:bidi="ar-SA"/>
        </w:rPr>
        <w:t>75</w:t>
      </w:r>
      <w:r>
        <w:rPr>
          <w:rFonts w:hint="eastAsia" w:ascii="宋体" w:hAnsi="宋体" w:eastAsia="宋体" w:cs="Courier New"/>
          <w:bCs/>
          <w:i w:val="0"/>
          <w:iCs w:val="0"/>
          <w:color w:val="auto"/>
          <w:sz w:val="24"/>
          <w:szCs w:val="24"/>
          <w:highlight w:val="none"/>
          <w:u w:val="single"/>
          <w:lang w:val="en-US" w:eastAsia="zh-CN" w:bidi="ar-SA"/>
        </w:rPr>
        <w:t>分，或合同期内累计三个月考核低于</w:t>
      </w:r>
      <w:r>
        <w:rPr>
          <w:rFonts w:hint="eastAsia" w:ascii="宋体" w:hAnsi="宋体" w:cs="Courier New"/>
          <w:bCs/>
          <w:i w:val="0"/>
          <w:iCs w:val="0"/>
          <w:color w:val="auto"/>
          <w:sz w:val="24"/>
          <w:szCs w:val="24"/>
          <w:highlight w:val="none"/>
          <w:u w:val="single"/>
          <w:lang w:val="en-US" w:eastAsia="zh-CN" w:bidi="ar-SA"/>
        </w:rPr>
        <w:t>75</w:t>
      </w:r>
      <w:r>
        <w:rPr>
          <w:rFonts w:hint="eastAsia" w:ascii="宋体" w:hAnsi="宋体" w:eastAsia="宋体" w:cs="Courier New"/>
          <w:bCs/>
          <w:i w:val="0"/>
          <w:iCs w:val="0"/>
          <w:color w:val="auto"/>
          <w:sz w:val="24"/>
          <w:szCs w:val="24"/>
          <w:highlight w:val="none"/>
          <w:u w:val="single"/>
          <w:lang w:val="en-US" w:eastAsia="zh-CN" w:bidi="ar-SA"/>
        </w:rPr>
        <w:t>分，则甲方有权解除合同。</w:t>
      </w:r>
    </w:p>
    <w:p w14:paraId="7725E2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Courier New"/>
          <w:bCs/>
          <w:i w:val="0"/>
          <w:iCs w:val="0"/>
          <w:color w:val="auto"/>
          <w:sz w:val="24"/>
          <w:szCs w:val="24"/>
          <w:highlight w:val="none"/>
          <w:u w:val="single"/>
          <w:lang w:val="en-US" w:eastAsia="zh-CN" w:bidi="ar-SA"/>
        </w:rPr>
      </w:pPr>
    </w:p>
    <w:p w14:paraId="191D3E5C">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cs="Times New Roman"/>
          <w:b w:val="0"/>
          <w:color w:val="auto"/>
          <w:sz w:val="24"/>
          <w:szCs w:val="24"/>
          <w:highlight w:val="none"/>
          <w:lang w:val="en-US" w:eastAsia="zh-CN"/>
        </w:rPr>
        <w:t>六</w:t>
      </w:r>
      <w:r>
        <w:rPr>
          <w:rStyle w:val="44"/>
          <w:rFonts w:hint="eastAsia" w:ascii="Times New Roman" w:hAnsi="Times New Roman" w:eastAsia="宋体" w:cs="Times New Roman"/>
          <w:b w:val="0"/>
          <w:color w:val="auto"/>
          <w:sz w:val="24"/>
          <w:szCs w:val="24"/>
          <w:highlight w:val="none"/>
          <w:lang w:val="en-US" w:eastAsia="zh-CN"/>
        </w:rPr>
        <w:t>、人员要求</w:t>
      </w:r>
    </w:p>
    <w:p w14:paraId="307DF35E">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为确保养护效果，本次采购各标段实行最低养护人员数量标准，各养护单位投入的养护人员应不低于甲方要求。已投入到其他项目中的养护人员不得作为本标段养护人员。中标后，中标单位应将养护人员身份证复印件及意外险购买凭证复印件上报甲方。</w:t>
      </w:r>
    </w:p>
    <w:p w14:paraId="7A755A0E">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cs="Times New Roman"/>
          <w:b w:val="0"/>
          <w:color w:val="auto"/>
          <w:sz w:val="24"/>
          <w:szCs w:val="24"/>
          <w:highlight w:val="none"/>
          <w:lang w:val="en-US" w:eastAsia="zh-CN"/>
        </w:rPr>
        <w:t>七</w:t>
      </w:r>
      <w:r>
        <w:rPr>
          <w:rStyle w:val="44"/>
          <w:rFonts w:hint="eastAsia" w:ascii="Times New Roman" w:hAnsi="Times New Roman" w:eastAsia="宋体" w:cs="Times New Roman"/>
          <w:b w:val="0"/>
          <w:color w:val="auto"/>
          <w:sz w:val="24"/>
          <w:szCs w:val="24"/>
          <w:highlight w:val="none"/>
          <w:lang w:val="en-US" w:eastAsia="zh-CN"/>
        </w:rPr>
        <w:t>、淘汰制度</w:t>
      </w:r>
    </w:p>
    <w:p w14:paraId="491F271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1.实行低分淘汰制度。主要从以下</w:t>
      </w:r>
      <w:r>
        <w:rPr>
          <w:rStyle w:val="44"/>
          <w:rFonts w:hint="eastAsia" w:cs="Times New Roman"/>
          <w:b w:val="0"/>
          <w:color w:val="auto"/>
          <w:sz w:val="24"/>
          <w:szCs w:val="24"/>
          <w:highlight w:val="none"/>
          <w:lang w:val="en-US" w:eastAsia="zh-CN"/>
        </w:rPr>
        <w:t>方式</w:t>
      </w:r>
      <w:r>
        <w:rPr>
          <w:rStyle w:val="44"/>
          <w:rFonts w:hint="eastAsia" w:ascii="Times New Roman" w:hAnsi="Times New Roman" w:eastAsia="宋体" w:cs="Times New Roman"/>
          <w:b w:val="0"/>
          <w:color w:val="auto"/>
          <w:sz w:val="24"/>
          <w:szCs w:val="24"/>
          <w:highlight w:val="none"/>
          <w:lang w:val="en-US" w:eastAsia="zh-CN"/>
        </w:rPr>
        <w:t>进行考核：季度考核</w:t>
      </w:r>
      <w:r>
        <w:rPr>
          <w:rStyle w:val="44"/>
          <w:rFonts w:hint="eastAsia" w:cs="Times New Roman"/>
          <w:b w:val="0"/>
          <w:color w:val="auto"/>
          <w:sz w:val="24"/>
          <w:szCs w:val="24"/>
          <w:highlight w:val="none"/>
          <w:lang w:val="en-US" w:eastAsia="zh-CN"/>
        </w:rPr>
        <w:t>，</w:t>
      </w:r>
      <w:r>
        <w:rPr>
          <w:rStyle w:val="44"/>
          <w:rFonts w:hint="eastAsia" w:ascii="Times New Roman" w:hAnsi="Times New Roman" w:eastAsia="宋体" w:cs="Times New Roman"/>
          <w:b w:val="0"/>
          <w:color w:val="auto"/>
          <w:sz w:val="24"/>
          <w:szCs w:val="24"/>
          <w:highlight w:val="none"/>
          <w:lang w:val="en-US" w:eastAsia="zh-CN"/>
        </w:rPr>
        <w:t>合同期内连续两个月考核低于75分，或合同期内累计三个月考核低于75分，则甲方有权解除合同。收回其养护权。</w:t>
      </w:r>
    </w:p>
    <w:p w14:paraId="10529E6F">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2.安全文明施工、迎检工作落实不到位，造成不良影响的，收回其养护权及取消下一轮</w:t>
      </w:r>
      <w:r>
        <w:rPr>
          <w:rStyle w:val="44"/>
          <w:rFonts w:hint="eastAsia" w:cs="Times New Roman"/>
          <w:b w:val="0"/>
          <w:color w:val="auto"/>
          <w:sz w:val="24"/>
          <w:szCs w:val="24"/>
          <w:highlight w:val="none"/>
          <w:lang w:val="en-US" w:eastAsia="zh-CN"/>
        </w:rPr>
        <w:t>招标人</w:t>
      </w:r>
      <w:r>
        <w:rPr>
          <w:rStyle w:val="44"/>
          <w:rFonts w:hint="eastAsia" w:ascii="Times New Roman" w:hAnsi="Times New Roman" w:eastAsia="宋体" w:cs="Times New Roman"/>
          <w:b w:val="0"/>
          <w:color w:val="auto"/>
          <w:sz w:val="24"/>
          <w:szCs w:val="24"/>
          <w:highlight w:val="none"/>
          <w:lang w:val="en-US" w:eastAsia="zh-CN"/>
        </w:rPr>
        <w:t>绿地养护政府采购。</w:t>
      </w:r>
    </w:p>
    <w:p w14:paraId="7BA133EE">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3.连续 2 次受到市、镇二级领导批评或造成不良影响的，收回其养护权及取消下一轮</w:t>
      </w:r>
      <w:r>
        <w:rPr>
          <w:rStyle w:val="44"/>
          <w:rFonts w:hint="eastAsia" w:cs="Times New Roman"/>
          <w:b w:val="0"/>
          <w:color w:val="auto"/>
          <w:sz w:val="24"/>
          <w:szCs w:val="24"/>
          <w:highlight w:val="none"/>
          <w:lang w:val="en-US" w:eastAsia="zh-CN"/>
        </w:rPr>
        <w:t>招标人</w:t>
      </w:r>
      <w:r>
        <w:rPr>
          <w:rStyle w:val="44"/>
          <w:rFonts w:hint="eastAsia" w:ascii="Times New Roman" w:hAnsi="Times New Roman" w:eastAsia="宋体" w:cs="Times New Roman"/>
          <w:b w:val="0"/>
          <w:color w:val="auto"/>
          <w:sz w:val="24"/>
          <w:szCs w:val="24"/>
          <w:highlight w:val="none"/>
          <w:lang w:val="en-US" w:eastAsia="zh-CN"/>
        </w:rPr>
        <w:t>绿地养护政府采购。</w:t>
      </w:r>
    </w:p>
    <w:p w14:paraId="41FD902C">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cs="Times New Roman"/>
          <w:b w:val="0"/>
          <w:color w:val="auto"/>
          <w:sz w:val="24"/>
          <w:szCs w:val="24"/>
          <w:highlight w:val="none"/>
          <w:lang w:val="en-US" w:eastAsia="zh-CN"/>
        </w:rPr>
        <w:t>八</w:t>
      </w:r>
      <w:r>
        <w:rPr>
          <w:rStyle w:val="44"/>
          <w:rFonts w:hint="eastAsia" w:ascii="Times New Roman" w:hAnsi="Times New Roman" w:eastAsia="宋体" w:cs="Times New Roman"/>
          <w:b w:val="0"/>
          <w:color w:val="auto"/>
          <w:sz w:val="24"/>
          <w:szCs w:val="24"/>
          <w:highlight w:val="none"/>
          <w:lang w:val="en-US" w:eastAsia="zh-CN"/>
        </w:rPr>
        <w:t>、养护要求</w:t>
      </w:r>
    </w:p>
    <w:p w14:paraId="3A872EC4">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1.承包方应于每月25日前将当月的养护小结及下月计划报送</w:t>
      </w:r>
      <w:r>
        <w:rPr>
          <w:rStyle w:val="44"/>
          <w:rFonts w:hint="eastAsia" w:cs="Times New Roman"/>
          <w:b w:val="0"/>
          <w:color w:val="auto"/>
          <w:sz w:val="24"/>
          <w:szCs w:val="24"/>
          <w:highlight w:val="none"/>
          <w:lang w:val="en-US" w:eastAsia="zh-CN"/>
        </w:rPr>
        <w:t>招标人</w:t>
      </w:r>
      <w:r>
        <w:rPr>
          <w:rStyle w:val="44"/>
          <w:rFonts w:hint="eastAsia" w:ascii="Times New Roman" w:hAnsi="Times New Roman" w:eastAsia="宋体" w:cs="Times New Roman"/>
          <w:b w:val="0"/>
          <w:color w:val="auto"/>
          <w:sz w:val="24"/>
          <w:szCs w:val="24"/>
          <w:highlight w:val="none"/>
          <w:lang w:val="en-US" w:eastAsia="zh-CN"/>
        </w:rPr>
        <w:t>，根据养护计划、百分考核细则及相关技术标准、甲方要求开展全年养护工作，并由</w:t>
      </w:r>
      <w:r>
        <w:rPr>
          <w:rStyle w:val="44"/>
          <w:rFonts w:hint="eastAsia" w:cs="Times New Roman"/>
          <w:b w:val="0"/>
          <w:color w:val="auto"/>
          <w:sz w:val="24"/>
          <w:szCs w:val="24"/>
          <w:highlight w:val="none"/>
          <w:lang w:val="en-US" w:eastAsia="zh-CN"/>
        </w:rPr>
        <w:t>招标人</w:t>
      </w:r>
      <w:r>
        <w:rPr>
          <w:rStyle w:val="44"/>
          <w:rFonts w:hint="eastAsia" w:ascii="Times New Roman" w:hAnsi="Times New Roman" w:eastAsia="宋体" w:cs="Times New Roman"/>
          <w:b w:val="0"/>
          <w:color w:val="auto"/>
          <w:sz w:val="24"/>
          <w:szCs w:val="24"/>
          <w:highlight w:val="none"/>
          <w:lang w:val="en-US" w:eastAsia="zh-CN"/>
        </w:rPr>
        <w:t>建立完整的养护技术档案。</w:t>
      </w:r>
    </w:p>
    <w:p w14:paraId="1C2173C5">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2.为确保养护质量，承包方养护的绿地要落实专人巡查，养护人员动态养护管理，全天候作业。发现重大问题时（如因交通事故造成的树木倾倒、损坏等）应及时汇报并采取相应措施。</w:t>
      </w:r>
    </w:p>
    <w:p w14:paraId="29D363A5">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3.承包方在养护期间，必须采取周密的安全措施，以避免对工作人员、公众和他人财产造成损害，若因承包方操作或养护不当（如蛀干虫害未及时防治，引起枝条砸落）造成人身及其它财产损失的，由承包方承担一切责任。</w:t>
      </w:r>
    </w:p>
    <w:p w14:paraId="54496078">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4.因不可抗拒因素（如树木突然倒塌、碰线、碰屋、非养护原因造成的树枝伤人、伤物）</w:t>
      </w:r>
      <w:r>
        <w:rPr>
          <w:rStyle w:val="44"/>
          <w:rFonts w:hint="eastAsia" w:cs="Times New Roman"/>
          <w:b w:val="0"/>
          <w:color w:val="auto"/>
          <w:sz w:val="24"/>
          <w:szCs w:val="24"/>
          <w:highlight w:val="none"/>
          <w:lang w:val="en-US" w:eastAsia="zh-CN"/>
        </w:rPr>
        <w:t>，</w:t>
      </w:r>
      <w:r>
        <w:rPr>
          <w:rStyle w:val="44"/>
          <w:rFonts w:hint="eastAsia" w:ascii="Times New Roman" w:hAnsi="Times New Roman" w:eastAsia="宋体" w:cs="Times New Roman"/>
          <w:b w:val="0"/>
          <w:color w:val="auto"/>
          <w:sz w:val="24"/>
          <w:szCs w:val="24"/>
          <w:highlight w:val="none"/>
          <w:lang w:val="en-US" w:eastAsia="zh-CN"/>
        </w:rPr>
        <w:t>承包方在接到规划建设条线（或其他领导）通知后，应迅速组织力量，</w:t>
      </w:r>
      <w:r>
        <w:rPr>
          <w:rStyle w:val="44"/>
          <w:rFonts w:hint="eastAsia" w:cs="Times New Roman"/>
          <w:b w:val="0"/>
          <w:color w:val="auto"/>
          <w:sz w:val="24"/>
          <w:szCs w:val="24"/>
          <w:highlight w:val="none"/>
          <w:lang w:val="en-US" w:eastAsia="zh-CN"/>
        </w:rPr>
        <w:t>1</w:t>
      </w:r>
      <w:r>
        <w:rPr>
          <w:rStyle w:val="44"/>
          <w:rFonts w:hint="eastAsia" w:ascii="Times New Roman" w:hAnsi="Times New Roman" w:eastAsia="宋体" w:cs="Times New Roman"/>
          <w:b w:val="0"/>
          <w:color w:val="auto"/>
          <w:sz w:val="24"/>
          <w:szCs w:val="24"/>
          <w:highlight w:val="none"/>
          <w:lang w:val="en-US" w:eastAsia="zh-CN"/>
        </w:rPr>
        <w:t>小时内到达现场及时处理。</w:t>
      </w:r>
    </w:p>
    <w:p w14:paraId="36DF758A">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5.绿地养护承包方若不能及时或不能按标准完成承包范围内的养护工作，规划建设条线有权安排第三方进行养护，所发生的费用，从承包方的月度养护费中扣除。对于含绿化补缺标段，养护期间苗木花草如有死亡，承包方必须按同规格的苗木及时补植，确保绿地内无空缺（草花更换每年不少于</w:t>
      </w:r>
      <w:r>
        <w:rPr>
          <w:rStyle w:val="44"/>
          <w:rFonts w:hint="eastAsia" w:cs="Times New Roman"/>
          <w:b w:val="0"/>
          <w:color w:val="auto"/>
          <w:sz w:val="24"/>
          <w:szCs w:val="24"/>
          <w:highlight w:val="none"/>
          <w:lang w:val="en-US" w:eastAsia="zh-CN"/>
        </w:rPr>
        <w:t>6</w:t>
      </w:r>
      <w:r>
        <w:rPr>
          <w:rStyle w:val="44"/>
          <w:rFonts w:hint="eastAsia" w:ascii="Times New Roman" w:hAnsi="Times New Roman" w:eastAsia="宋体" w:cs="Times New Roman"/>
          <w:b w:val="0"/>
          <w:color w:val="auto"/>
          <w:sz w:val="24"/>
          <w:szCs w:val="24"/>
          <w:highlight w:val="none"/>
          <w:lang w:val="en-US" w:eastAsia="zh-CN"/>
        </w:rPr>
        <w:t>次）。如遇市级道路养护标段调整，</w:t>
      </w:r>
      <w:r>
        <w:rPr>
          <w:rStyle w:val="44"/>
          <w:rFonts w:hint="eastAsia" w:cs="Times New Roman"/>
          <w:b w:val="0"/>
          <w:color w:val="auto"/>
          <w:sz w:val="24"/>
          <w:szCs w:val="24"/>
          <w:highlight w:val="none"/>
          <w:lang w:val="en-US" w:eastAsia="zh-CN"/>
        </w:rPr>
        <w:t>招标人</w:t>
      </w:r>
      <w:r>
        <w:rPr>
          <w:rStyle w:val="44"/>
          <w:rFonts w:hint="eastAsia" w:ascii="Times New Roman" w:hAnsi="Times New Roman" w:eastAsia="宋体" w:cs="Times New Roman"/>
          <w:b w:val="0"/>
          <w:color w:val="auto"/>
          <w:sz w:val="24"/>
          <w:szCs w:val="24"/>
          <w:highlight w:val="none"/>
          <w:lang w:val="en-US" w:eastAsia="zh-CN"/>
        </w:rPr>
        <w:t>有权对标段进行相应调整。</w:t>
      </w:r>
    </w:p>
    <w:p w14:paraId="1AA6FF41">
      <w:pPr>
        <w:spacing w:line="440" w:lineRule="exact"/>
        <w:ind w:firstLine="720" w:firstLineChars="300"/>
        <w:rPr>
          <w:rStyle w:val="44"/>
          <w:rFonts w:hint="eastAsia" w:ascii="Times New Roman" w:hAnsi="Times New Roman" w:eastAsia="宋体" w:cs="Times New Roman"/>
          <w:b w:val="0"/>
          <w:color w:val="auto"/>
          <w:sz w:val="24"/>
          <w:szCs w:val="24"/>
          <w:highlight w:val="none"/>
          <w:lang w:val="en-US" w:eastAsia="zh-CN"/>
        </w:rPr>
      </w:pPr>
      <w:r>
        <w:rPr>
          <w:rStyle w:val="44"/>
          <w:rFonts w:hint="eastAsia" w:ascii="Times New Roman" w:hAnsi="Times New Roman" w:eastAsia="宋体" w:cs="Times New Roman"/>
          <w:b w:val="0"/>
          <w:color w:val="auto"/>
          <w:sz w:val="24"/>
          <w:szCs w:val="24"/>
          <w:highlight w:val="none"/>
          <w:lang w:val="en-US" w:eastAsia="zh-CN"/>
        </w:rPr>
        <w:t>6.承包方养护期间，如未按协议进行养护或未经</w:t>
      </w:r>
      <w:r>
        <w:rPr>
          <w:rStyle w:val="44"/>
          <w:rFonts w:hint="eastAsia" w:cs="Times New Roman"/>
          <w:b w:val="0"/>
          <w:color w:val="auto"/>
          <w:sz w:val="24"/>
          <w:szCs w:val="24"/>
          <w:highlight w:val="none"/>
          <w:lang w:val="en-US" w:eastAsia="zh-CN"/>
        </w:rPr>
        <w:t>招标人</w:t>
      </w:r>
      <w:r>
        <w:rPr>
          <w:rStyle w:val="44"/>
          <w:rFonts w:hint="eastAsia" w:ascii="Times New Roman" w:hAnsi="Times New Roman" w:eastAsia="宋体" w:cs="Times New Roman"/>
          <w:b w:val="0"/>
          <w:color w:val="auto"/>
          <w:sz w:val="24"/>
          <w:szCs w:val="24"/>
          <w:highlight w:val="none"/>
          <w:lang w:val="en-US" w:eastAsia="zh-CN"/>
        </w:rPr>
        <w:t>批准，进行项目分包、转包，</w:t>
      </w:r>
      <w:r>
        <w:rPr>
          <w:rStyle w:val="44"/>
          <w:rFonts w:hint="eastAsia" w:cs="Times New Roman"/>
          <w:b w:val="0"/>
          <w:color w:val="auto"/>
          <w:sz w:val="24"/>
          <w:szCs w:val="24"/>
          <w:highlight w:val="none"/>
          <w:lang w:val="en-US" w:eastAsia="zh-CN"/>
        </w:rPr>
        <w:t>招标人</w:t>
      </w:r>
      <w:r>
        <w:rPr>
          <w:rStyle w:val="44"/>
          <w:rFonts w:hint="eastAsia" w:ascii="Times New Roman" w:hAnsi="Times New Roman" w:eastAsia="宋体" w:cs="Times New Roman"/>
          <w:b w:val="0"/>
          <w:color w:val="auto"/>
          <w:sz w:val="24"/>
          <w:szCs w:val="24"/>
          <w:highlight w:val="none"/>
          <w:lang w:val="en-US" w:eastAsia="zh-CN"/>
        </w:rPr>
        <w:t>有权单方面终止协议，所有损失由承包方承担。</w:t>
      </w:r>
    </w:p>
    <w:p w14:paraId="533F338E">
      <w:pPr>
        <w:spacing w:before="267" w:line="212" w:lineRule="auto"/>
        <w:jc w:val="center"/>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养护管理百分考核细则</w:t>
      </w:r>
    </w:p>
    <w:tbl>
      <w:tblPr>
        <w:tblStyle w:val="230"/>
        <w:tblW w:w="8854" w:type="dxa"/>
        <w:tblInd w:w="158"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766"/>
        <w:gridCol w:w="553"/>
        <w:gridCol w:w="1024"/>
        <w:gridCol w:w="707"/>
        <w:gridCol w:w="2478"/>
        <w:gridCol w:w="740"/>
        <w:gridCol w:w="2586"/>
      </w:tblGrid>
      <w:tr w14:paraId="1A660C62">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22" w:hRule="atLeast"/>
        </w:trPr>
        <w:tc>
          <w:tcPr>
            <w:tcW w:w="766" w:type="dxa"/>
            <w:vMerge w:val="restart"/>
            <w:tcBorders>
              <w:top w:val="single" w:color="000000" w:sz="6" w:space="0"/>
              <w:left w:val="single" w:color="000000" w:sz="6" w:space="0"/>
              <w:bottom w:val="nil"/>
              <w:right w:val="single" w:color="000000" w:sz="6" w:space="0"/>
            </w:tcBorders>
            <w:vAlign w:val="top"/>
          </w:tcPr>
          <w:p w14:paraId="7A29DFAA">
            <w:pPr>
              <w:spacing w:line="249" w:lineRule="auto"/>
              <w:rPr>
                <w:rFonts w:ascii="Arial"/>
                <w:color w:val="auto"/>
                <w:sz w:val="21"/>
                <w:highlight w:val="none"/>
              </w:rPr>
            </w:pPr>
          </w:p>
          <w:p w14:paraId="4352FAB6">
            <w:pPr>
              <w:spacing w:line="249" w:lineRule="auto"/>
              <w:rPr>
                <w:rFonts w:ascii="Arial"/>
                <w:color w:val="auto"/>
                <w:sz w:val="21"/>
                <w:highlight w:val="none"/>
              </w:rPr>
            </w:pPr>
          </w:p>
          <w:p w14:paraId="62A6BA2B">
            <w:pPr>
              <w:spacing w:line="249" w:lineRule="auto"/>
              <w:rPr>
                <w:rFonts w:ascii="Arial"/>
                <w:color w:val="auto"/>
                <w:sz w:val="21"/>
                <w:highlight w:val="none"/>
              </w:rPr>
            </w:pPr>
          </w:p>
          <w:p w14:paraId="2E9D3DD8">
            <w:pPr>
              <w:spacing w:line="249" w:lineRule="auto"/>
              <w:rPr>
                <w:rFonts w:ascii="Arial"/>
                <w:color w:val="auto"/>
                <w:sz w:val="21"/>
                <w:highlight w:val="none"/>
              </w:rPr>
            </w:pPr>
          </w:p>
          <w:p w14:paraId="57E85A89">
            <w:pPr>
              <w:spacing w:line="249" w:lineRule="auto"/>
              <w:rPr>
                <w:rFonts w:ascii="Arial"/>
                <w:color w:val="auto"/>
                <w:sz w:val="21"/>
                <w:highlight w:val="none"/>
              </w:rPr>
            </w:pPr>
          </w:p>
          <w:p w14:paraId="2C283281">
            <w:pPr>
              <w:spacing w:line="249" w:lineRule="auto"/>
              <w:rPr>
                <w:rFonts w:ascii="Arial"/>
                <w:color w:val="auto"/>
                <w:sz w:val="21"/>
                <w:highlight w:val="none"/>
              </w:rPr>
            </w:pPr>
          </w:p>
          <w:p w14:paraId="085A47B9">
            <w:pPr>
              <w:pStyle w:val="247"/>
              <w:spacing w:before="68" w:line="275" w:lineRule="auto"/>
              <w:ind w:left="170" w:right="168"/>
              <w:jc w:val="both"/>
              <w:rPr>
                <w:color w:val="auto"/>
                <w:sz w:val="21"/>
                <w:szCs w:val="21"/>
                <w:highlight w:val="none"/>
              </w:rPr>
            </w:pPr>
            <w:r>
              <w:rPr>
                <w:color w:val="auto"/>
                <w:spacing w:val="-4"/>
                <w:sz w:val="21"/>
                <w:szCs w:val="21"/>
                <w:highlight w:val="none"/>
              </w:rPr>
              <w:t>上岗人员数量</w:t>
            </w:r>
            <w:r>
              <w:rPr>
                <w:color w:val="auto"/>
                <w:spacing w:val="22"/>
                <w:sz w:val="21"/>
                <w:szCs w:val="21"/>
                <w:highlight w:val="none"/>
              </w:rPr>
              <w:t>（6</w:t>
            </w:r>
            <w:r>
              <w:rPr>
                <w:color w:val="auto"/>
                <w:spacing w:val="-6"/>
                <w:sz w:val="21"/>
                <w:szCs w:val="21"/>
                <w:highlight w:val="none"/>
              </w:rPr>
              <w:t>分）</w:t>
            </w:r>
          </w:p>
        </w:tc>
        <w:tc>
          <w:tcPr>
            <w:tcW w:w="553" w:type="dxa"/>
            <w:tcBorders>
              <w:left w:val="single" w:color="000000" w:sz="6" w:space="0"/>
            </w:tcBorders>
            <w:textDirection w:val="tbRlV"/>
            <w:vAlign w:val="top"/>
          </w:tcPr>
          <w:p w14:paraId="0AEC74AF">
            <w:pPr>
              <w:pStyle w:val="247"/>
              <w:spacing w:before="169" w:line="211" w:lineRule="auto"/>
              <w:ind w:left="149"/>
              <w:rPr>
                <w:color w:val="auto"/>
                <w:sz w:val="21"/>
                <w:szCs w:val="21"/>
                <w:highlight w:val="none"/>
              </w:rPr>
            </w:pPr>
            <w:r>
              <w:rPr>
                <w:b/>
                <w:bCs/>
                <w:color w:val="auto"/>
                <w:spacing w:val="-2"/>
                <w:sz w:val="21"/>
                <w:szCs w:val="21"/>
                <w:highlight w:val="none"/>
              </w:rPr>
              <w:t>序</w:t>
            </w:r>
            <w:r>
              <w:rPr>
                <w:color w:val="auto"/>
                <w:spacing w:val="-2"/>
                <w:sz w:val="21"/>
                <w:szCs w:val="21"/>
                <w:highlight w:val="none"/>
              </w:rPr>
              <w:t xml:space="preserve"> </w:t>
            </w:r>
            <w:r>
              <w:rPr>
                <w:b/>
                <w:bCs/>
                <w:color w:val="auto"/>
                <w:spacing w:val="-2"/>
                <w:sz w:val="21"/>
                <w:szCs w:val="21"/>
                <w:highlight w:val="none"/>
              </w:rPr>
              <w:t>号</w:t>
            </w:r>
          </w:p>
        </w:tc>
        <w:tc>
          <w:tcPr>
            <w:tcW w:w="1024" w:type="dxa"/>
            <w:vAlign w:val="top"/>
          </w:tcPr>
          <w:p w14:paraId="06F72172">
            <w:pPr>
              <w:pStyle w:val="247"/>
              <w:spacing w:before="304" w:line="221" w:lineRule="auto"/>
              <w:ind w:left="299"/>
              <w:rPr>
                <w:color w:val="auto"/>
                <w:sz w:val="21"/>
                <w:szCs w:val="21"/>
                <w:highlight w:val="none"/>
              </w:rPr>
            </w:pPr>
            <w:r>
              <w:rPr>
                <w:b/>
                <w:bCs/>
                <w:color w:val="auto"/>
                <w:spacing w:val="-5"/>
                <w:sz w:val="21"/>
                <w:szCs w:val="21"/>
                <w:highlight w:val="none"/>
              </w:rPr>
              <w:t>分类</w:t>
            </w:r>
          </w:p>
        </w:tc>
        <w:tc>
          <w:tcPr>
            <w:tcW w:w="707" w:type="dxa"/>
            <w:vAlign w:val="top"/>
          </w:tcPr>
          <w:p w14:paraId="23A9014F">
            <w:pPr>
              <w:pStyle w:val="247"/>
              <w:spacing w:before="304" w:line="221" w:lineRule="auto"/>
              <w:ind w:left="141"/>
              <w:rPr>
                <w:color w:val="auto"/>
                <w:sz w:val="21"/>
                <w:szCs w:val="21"/>
                <w:highlight w:val="none"/>
              </w:rPr>
            </w:pPr>
            <w:r>
              <w:rPr>
                <w:b/>
                <w:bCs/>
                <w:color w:val="auto"/>
                <w:spacing w:val="-5"/>
                <w:sz w:val="21"/>
                <w:szCs w:val="21"/>
                <w:highlight w:val="none"/>
              </w:rPr>
              <w:t>条目</w:t>
            </w:r>
          </w:p>
        </w:tc>
        <w:tc>
          <w:tcPr>
            <w:tcW w:w="2478" w:type="dxa"/>
            <w:vAlign w:val="top"/>
          </w:tcPr>
          <w:p w14:paraId="4E8E3C59">
            <w:pPr>
              <w:pStyle w:val="247"/>
              <w:spacing w:before="304" w:line="221" w:lineRule="auto"/>
              <w:ind w:left="289"/>
              <w:rPr>
                <w:color w:val="auto"/>
                <w:sz w:val="21"/>
                <w:szCs w:val="21"/>
                <w:highlight w:val="none"/>
              </w:rPr>
            </w:pPr>
            <w:r>
              <w:rPr>
                <w:b/>
                <w:bCs/>
                <w:color w:val="auto"/>
                <w:spacing w:val="-2"/>
                <w:sz w:val="21"/>
                <w:szCs w:val="21"/>
                <w:highlight w:val="none"/>
              </w:rPr>
              <w:t>考核内容及管护要求</w:t>
            </w:r>
          </w:p>
        </w:tc>
        <w:tc>
          <w:tcPr>
            <w:tcW w:w="740" w:type="dxa"/>
            <w:vAlign w:val="top"/>
          </w:tcPr>
          <w:p w14:paraId="436AC71A">
            <w:pPr>
              <w:pStyle w:val="247"/>
              <w:spacing w:before="148" w:line="277" w:lineRule="auto"/>
              <w:ind w:left="163" w:right="149" w:hanging="1"/>
              <w:rPr>
                <w:color w:val="auto"/>
                <w:sz w:val="21"/>
                <w:szCs w:val="21"/>
                <w:highlight w:val="none"/>
              </w:rPr>
            </w:pPr>
            <w:r>
              <w:rPr>
                <w:b/>
                <w:bCs/>
                <w:color w:val="auto"/>
                <w:spacing w:val="-6"/>
                <w:sz w:val="21"/>
                <w:szCs w:val="21"/>
                <w:highlight w:val="none"/>
              </w:rPr>
              <w:t>标准</w:t>
            </w:r>
            <w:r>
              <w:rPr>
                <w:b/>
                <w:bCs/>
                <w:color w:val="auto"/>
                <w:spacing w:val="-7"/>
                <w:sz w:val="21"/>
                <w:szCs w:val="21"/>
                <w:highlight w:val="none"/>
              </w:rPr>
              <w:t>分值</w:t>
            </w:r>
          </w:p>
        </w:tc>
        <w:tc>
          <w:tcPr>
            <w:tcW w:w="2586" w:type="dxa"/>
            <w:vAlign w:val="top"/>
          </w:tcPr>
          <w:p w14:paraId="1CABD2EC">
            <w:pPr>
              <w:pStyle w:val="247"/>
              <w:spacing w:before="305" w:line="221" w:lineRule="auto"/>
              <w:ind w:left="877"/>
              <w:rPr>
                <w:color w:val="auto"/>
                <w:sz w:val="21"/>
                <w:szCs w:val="21"/>
                <w:highlight w:val="none"/>
              </w:rPr>
            </w:pPr>
            <w:r>
              <w:rPr>
                <w:b/>
                <w:bCs/>
                <w:color w:val="auto"/>
                <w:spacing w:val="-4"/>
                <w:sz w:val="21"/>
                <w:szCs w:val="21"/>
                <w:highlight w:val="none"/>
              </w:rPr>
              <w:t>扣分细则</w:t>
            </w:r>
          </w:p>
        </w:tc>
      </w:tr>
      <w:tr w14:paraId="14B07CDF">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3774" w:hRule="atLeast"/>
        </w:trPr>
        <w:tc>
          <w:tcPr>
            <w:tcW w:w="766" w:type="dxa"/>
            <w:vMerge w:val="continue"/>
            <w:tcBorders>
              <w:top w:val="nil"/>
              <w:left w:val="single" w:color="000000" w:sz="6" w:space="0"/>
              <w:bottom w:val="single" w:color="000000" w:sz="6" w:space="0"/>
              <w:right w:val="single" w:color="000000" w:sz="6" w:space="0"/>
            </w:tcBorders>
            <w:vAlign w:val="top"/>
          </w:tcPr>
          <w:p w14:paraId="3B365672">
            <w:pPr>
              <w:rPr>
                <w:rFonts w:ascii="Arial"/>
                <w:color w:val="auto"/>
                <w:sz w:val="21"/>
                <w:highlight w:val="none"/>
              </w:rPr>
            </w:pPr>
          </w:p>
        </w:tc>
        <w:tc>
          <w:tcPr>
            <w:tcW w:w="553" w:type="dxa"/>
            <w:tcBorders>
              <w:left w:val="single" w:color="000000" w:sz="6" w:space="0"/>
            </w:tcBorders>
            <w:vAlign w:val="top"/>
          </w:tcPr>
          <w:p w14:paraId="744780CB">
            <w:pPr>
              <w:spacing w:line="243" w:lineRule="auto"/>
              <w:rPr>
                <w:rFonts w:ascii="Arial"/>
                <w:color w:val="auto"/>
                <w:sz w:val="21"/>
                <w:highlight w:val="none"/>
              </w:rPr>
            </w:pPr>
          </w:p>
          <w:p w14:paraId="1BC2B222">
            <w:pPr>
              <w:spacing w:line="243" w:lineRule="auto"/>
              <w:rPr>
                <w:rFonts w:ascii="Arial"/>
                <w:color w:val="auto"/>
                <w:sz w:val="21"/>
                <w:highlight w:val="none"/>
              </w:rPr>
            </w:pPr>
          </w:p>
          <w:p w14:paraId="18544CCB">
            <w:pPr>
              <w:spacing w:line="243" w:lineRule="auto"/>
              <w:rPr>
                <w:rFonts w:ascii="Arial"/>
                <w:color w:val="auto"/>
                <w:sz w:val="21"/>
                <w:highlight w:val="none"/>
              </w:rPr>
            </w:pPr>
          </w:p>
          <w:p w14:paraId="79DFC1D7">
            <w:pPr>
              <w:spacing w:line="243" w:lineRule="auto"/>
              <w:rPr>
                <w:rFonts w:ascii="Arial"/>
                <w:color w:val="auto"/>
                <w:sz w:val="21"/>
                <w:highlight w:val="none"/>
              </w:rPr>
            </w:pPr>
          </w:p>
          <w:p w14:paraId="6DDFC999">
            <w:pPr>
              <w:spacing w:line="243" w:lineRule="auto"/>
              <w:rPr>
                <w:rFonts w:ascii="Arial"/>
                <w:color w:val="auto"/>
                <w:sz w:val="21"/>
                <w:highlight w:val="none"/>
              </w:rPr>
            </w:pPr>
          </w:p>
          <w:p w14:paraId="3E6EBB29">
            <w:pPr>
              <w:spacing w:line="243" w:lineRule="auto"/>
              <w:rPr>
                <w:rFonts w:ascii="Arial"/>
                <w:color w:val="auto"/>
                <w:sz w:val="21"/>
                <w:highlight w:val="none"/>
              </w:rPr>
            </w:pPr>
          </w:p>
          <w:p w14:paraId="67BC2F64">
            <w:pPr>
              <w:spacing w:line="243" w:lineRule="auto"/>
              <w:rPr>
                <w:rFonts w:ascii="Arial"/>
                <w:color w:val="auto"/>
                <w:sz w:val="21"/>
                <w:highlight w:val="none"/>
              </w:rPr>
            </w:pPr>
          </w:p>
          <w:p w14:paraId="70A2742C">
            <w:pPr>
              <w:pStyle w:val="247"/>
              <w:spacing w:before="68" w:line="242" w:lineRule="auto"/>
              <w:ind w:left="233"/>
              <w:rPr>
                <w:color w:val="auto"/>
                <w:sz w:val="21"/>
                <w:szCs w:val="21"/>
                <w:highlight w:val="none"/>
              </w:rPr>
            </w:pPr>
            <w:r>
              <w:rPr>
                <w:color w:val="auto"/>
                <w:sz w:val="21"/>
                <w:szCs w:val="21"/>
                <w:highlight w:val="none"/>
              </w:rPr>
              <w:t>1</w:t>
            </w:r>
          </w:p>
        </w:tc>
        <w:tc>
          <w:tcPr>
            <w:tcW w:w="1024" w:type="dxa"/>
            <w:vAlign w:val="top"/>
          </w:tcPr>
          <w:p w14:paraId="7448D9AA">
            <w:pPr>
              <w:spacing w:line="257" w:lineRule="auto"/>
              <w:rPr>
                <w:rFonts w:ascii="Arial"/>
                <w:color w:val="auto"/>
                <w:sz w:val="21"/>
                <w:highlight w:val="none"/>
              </w:rPr>
            </w:pPr>
          </w:p>
          <w:p w14:paraId="3383429B">
            <w:pPr>
              <w:spacing w:line="257" w:lineRule="auto"/>
              <w:rPr>
                <w:rFonts w:ascii="Arial"/>
                <w:color w:val="auto"/>
                <w:sz w:val="21"/>
                <w:highlight w:val="none"/>
              </w:rPr>
            </w:pPr>
          </w:p>
          <w:p w14:paraId="0221CFD0">
            <w:pPr>
              <w:spacing w:line="257" w:lineRule="auto"/>
              <w:rPr>
                <w:rFonts w:ascii="Arial"/>
                <w:color w:val="auto"/>
                <w:sz w:val="21"/>
                <w:highlight w:val="none"/>
              </w:rPr>
            </w:pPr>
          </w:p>
          <w:p w14:paraId="73DE61FA">
            <w:pPr>
              <w:spacing w:line="258" w:lineRule="auto"/>
              <w:rPr>
                <w:rFonts w:ascii="Arial"/>
                <w:color w:val="auto"/>
                <w:sz w:val="21"/>
                <w:highlight w:val="none"/>
              </w:rPr>
            </w:pPr>
          </w:p>
          <w:p w14:paraId="69295849">
            <w:pPr>
              <w:spacing w:line="258" w:lineRule="auto"/>
              <w:rPr>
                <w:rFonts w:ascii="Arial"/>
                <w:color w:val="auto"/>
                <w:sz w:val="21"/>
                <w:highlight w:val="none"/>
              </w:rPr>
            </w:pPr>
          </w:p>
          <w:p w14:paraId="013F1501">
            <w:pPr>
              <w:spacing w:line="258" w:lineRule="auto"/>
              <w:rPr>
                <w:rFonts w:ascii="Arial"/>
                <w:color w:val="auto"/>
                <w:sz w:val="21"/>
                <w:highlight w:val="none"/>
              </w:rPr>
            </w:pPr>
          </w:p>
          <w:p w14:paraId="52EFA077">
            <w:pPr>
              <w:pStyle w:val="247"/>
              <w:spacing w:before="68" w:line="277" w:lineRule="auto"/>
              <w:ind w:left="193" w:right="189" w:firstLine="1"/>
              <w:rPr>
                <w:color w:val="auto"/>
                <w:sz w:val="21"/>
                <w:szCs w:val="21"/>
                <w:highlight w:val="none"/>
              </w:rPr>
            </w:pPr>
            <w:r>
              <w:rPr>
                <w:color w:val="auto"/>
                <w:spacing w:val="-3"/>
                <w:sz w:val="21"/>
                <w:szCs w:val="21"/>
                <w:highlight w:val="none"/>
              </w:rPr>
              <w:t>人员数</w:t>
            </w:r>
            <w:r>
              <w:rPr>
                <w:color w:val="auto"/>
                <w:spacing w:val="-9"/>
                <w:sz w:val="21"/>
                <w:szCs w:val="21"/>
                <w:highlight w:val="none"/>
              </w:rPr>
              <w:t>量</w:t>
            </w:r>
            <w:r>
              <w:rPr>
                <w:color w:val="auto"/>
                <w:spacing w:val="-43"/>
                <w:sz w:val="21"/>
                <w:szCs w:val="21"/>
                <w:highlight w:val="none"/>
              </w:rPr>
              <w:t xml:space="preserve"> </w:t>
            </w:r>
            <w:r>
              <w:rPr>
                <w:color w:val="auto"/>
                <w:spacing w:val="-9"/>
                <w:sz w:val="21"/>
                <w:szCs w:val="21"/>
                <w:highlight w:val="none"/>
              </w:rPr>
              <w:t>6</w:t>
            </w:r>
            <w:r>
              <w:rPr>
                <w:color w:val="auto"/>
                <w:spacing w:val="-41"/>
                <w:sz w:val="21"/>
                <w:szCs w:val="21"/>
                <w:highlight w:val="none"/>
              </w:rPr>
              <w:t xml:space="preserve"> </w:t>
            </w:r>
            <w:r>
              <w:rPr>
                <w:color w:val="auto"/>
                <w:spacing w:val="-9"/>
                <w:sz w:val="21"/>
                <w:szCs w:val="21"/>
                <w:highlight w:val="none"/>
              </w:rPr>
              <w:t>分</w:t>
            </w:r>
          </w:p>
        </w:tc>
        <w:tc>
          <w:tcPr>
            <w:tcW w:w="707" w:type="dxa"/>
            <w:vAlign w:val="top"/>
          </w:tcPr>
          <w:p w14:paraId="0E8414D7">
            <w:pPr>
              <w:spacing w:line="243" w:lineRule="auto"/>
              <w:rPr>
                <w:rFonts w:ascii="Arial"/>
                <w:color w:val="auto"/>
                <w:sz w:val="21"/>
                <w:highlight w:val="none"/>
              </w:rPr>
            </w:pPr>
          </w:p>
          <w:p w14:paraId="5DE7E6F6">
            <w:pPr>
              <w:spacing w:line="243" w:lineRule="auto"/>
              <w:rPr>
                <w:rFonts w:ascii="Arial"/>
                <w:color w:val="auto"/>
                <w:sz w:val="21"/>
                <w:highlight w:val="none"/>
              </w:rPr>
            </w:pPr>
          </w:p>
          <w:p w14:paraId="780F5094">
            <w:pPr>
              <w:spacing w:line="243" w:lineRule="auto"/>
              <w:rPr>
                <w:rFonts w:ascii="Arial"/>
                <w:color w:val="auto"/>
                <w:sz w:val="21"/>
                <w:highlight w:val="none"/>
              </w:rPr>
            </w:pPr>
          </w:p>
          <w:p w14:paraId="7F1B5BEC">
            <w:pPr>
              <w:spacing w:line="243" w:lineRule="auto"/>
              <w:rPr>
                <w:rFonts w:ascii="Arial"/>
                <w:color w:val="auto"/>
                <w:sz w:val="21"/>
                <w:highlight w:val="none"/>
              </w:rPr>
            </w:pPr>
          </w:p>
          <w:p w14:paraId="70F10A2D">
            <w:pPr>
              <w:spacing w:line="243" w:lineRule="auto"/>
              <w:rPr>
                <w:rFonts w:ascii="Arial"/>
                <w:color w:val="auto"/>
                <w:sz w:val="21"/>
                <w:highlight w:val="none"/>
              </w:rPr>
            </w:pPr>
          </w:p>
          <w:p w14:paraId="6F1456FA">
            <w:pPr>
              <w:spacing w:line="243" w:lineRule="auto"/>
              <w:rPr>
                <w:rFonts w:ascii="Arial"/>
                <w:color w:val="auto"/>
                <w:sz w:val="21"/>
                <w:highlight w:val="none"/>
              </w:rPr>
            </w:pPr>
          </w:p>
          <w:p w14:paraId="7F63D2FB">
            <w:pPr>
              <w:spacing w:line="243" w:lineRule="auto"/>
              <w:rPr>
                <w:rFonts w:ascii="Arial"/>
                <w:color w:val="auto"/>
                <w:sz w:val="21"/>
                <w:highlight w:val="none"/>
              </w:rPr>
            </w:pPr>
          </w:p>
          <w:p w14:paraId="7F7A81AC">
            <w:pPr>
              <w:pStyle w:val="247"/>
              <w:spacing w:before="68" w:line="242" w:lineRule="auto"/>
              <w:ind w:left="313"/>
              <w:rPr>
                <w:color w:val="auto"/>
                <w:sz w:val="21"/>
                <w:szCs w:val="21"/>
                <w:highlight w:val="none"/>
              </w:rPr>
            </w:pPr>
            <w:r>
              <w:rPr>
                <w:color w:val="auto"/>
                <w:sz w:val="21"/>
                <w:szCs w:val="21"/>
                <w:highlight w:val="none"/>
              </w:rPr>
              <w:t>1</w:t>
            </w:r>
          </w:p>
        </w:tc>
        <w:tc>
          <w:tcPr>
            <w:tcW w:w="2478" w:type="dxa"/>
            <w:vAlign w:val="top"/>
          </w:tcPr>
          <w:p w14:paraId="320D01C1">
            <w:pPr>
              <w:pStyle w:val="247"/>
              <w:spacing w:before="63" w:line="221" w:lineRule="auto"/>
              <w:ind w:left="189"/>
              <w:rPr>
                <w:color w:val="auto"/>
                <w:sz w:val="21"/>
                <w:szCs w:val="21"/>
                <w:highlight w:val="none"/>
              </w:rPr>
            </w:pPr>
            <w:r>
              <w:rPr>
                <w:color w:val="auto"/>
                <w:spacing w:val="-1"/>
                <w:sz w:val="21"/>
                <w:szCs w:val="21"/>
                <w:highlight w:val="none"/>
              </w:rPr>
              <w:t>养护单位每日按管护标</w:t>
            </w:r>
          </w:p>
          <w:p w14:paraId="04C73B41">
            <w:pPr>
              <w:pStyle w:val="247"/>
              <w:spacing w:before="60" w:line="221" w:lineRule="auto"/>
              <w:ind w:left="107"/>
              <w:rPr>
                <w:color w:val="auto"/>
                <w:sz w:val="21"/>
                <w:szCs w:val="21"/>
                <w:highlight w:val="none"/>
              </w:rPr>
            </w:pPr>
            <w:r>
              <w:rPr>
                <w:color w:val="auto"/>
                <w:spacing w:val="-4"/>
                <w:sz w:val="21"/>
                <w:szCs w:val="21"/>
                <w:highlight w:val="none"/>
              </w:rPr>
              <w:t>段面积配备养护人员，管</w:t>
            </w:r>
          </w:p>
          <w:p w14:paraId="5F83480D">
            <w:pPr>
              <w:pStyle w:val="247"/>
              <w:spacing w:before="60" w:line="221" w:lineRule="auto"/>
              <w:ind w:left="136"/>
              <w:rPr>
                <w:color w:val="auto"/>
                <w:sz w:val="21"/>
                <w:szCs w:val="21"/>
                <w:highlight w:val="none"/>
              </w:rPr>
            </w:pPr>
            <w:r>
              <w:rPr>
                <w:color w:val="auto"/>
                <w:spacing w:val="-2"/>
                <w:sz w:val="21"/>
                <w:szCs w:val="21"/>
                <w:highlight w:val="none"/>
              </w:rPr>
              <w:t>护旺季（3</w:t>
            </w:r>
            <w:r>
              <w:rPr>
                <w:color w:val="auto"/>
                <w:spacing w:val="-37"/>
                <w:sz w:val="21"/>
                <w:szCs w:val="21"/>
                <w:highlight w:val="none"/>
              </w:rPr>
              <w:t xml:space="preserve"> </w:t>
            </w:r>
            <w:r>
              <w:rPr>
                <w:color w:val="auto"/>
                <w:spacing w:val="-2"/>
                <w:sz w:val="21"/>
                <w:szCs w:val="21"/>
                <w:highlight w:val="none"/>
              </w:rPr>
              <w:t>月中旬-10</w:t>
            </w:r>
            <w:r>
              <w:rPr>
                <w:color w:val="auto"/>
                <w:spacing w:val="-39"/>
                <w:sz w:val="21"/>
                <w:szCs w:val="21"/>
                <w:highlight w:val="none"/>
              </w:rPr>
              <w:t xml:space="preserve"> </w:t>
            </w:r>
            <w:r>
              <w:rPr>
                <w:color w:val="auto"/>
                <w:spacing w:val="-2"/>
                <w:sz w:val="21"/>
                <w:szCs w:val="21"/>
                <w:highlight w:val="none"/>
              </w:rPr>
              <w:t>月</w:t>
            </w:r>
          </w:p>
          <w:p w14:paraId="6D9F38B1">
            <w:pPr>
              <w:pStyle w:val="247"/>
              <w:spacing w:before="60" w:line="221" w:lineRule="auto"/>
              <w:ind w:left="129"/>
              <w:rPr>
                <w:color w:val="auto"/>
                <w:sz w:val="21"/>
                <w:szCs w:val="21"/>
                <w:highlight w:val="none"/>
              </w:rPr>
            </w:pPr>
            <w:r>
              <w:rPr>
                <w:color w:val="auto"/>
                <w:spacing w:val="-4"/>
                <w:sz w:val="21"/>
                <w:szCs w:val="21"/>
                <w:highlight w:val="none"/>
              </w:rPr>
              <w:t>中旬）绿地、林地</w:t>
            </w:r>
            <w:r>
              <w:rPr>
                <w:color w:val="auto"/>
                <w:spacing w:val="-26"/>
                <w:sz w:val="21"/>
                <w:szCs w:val="21"/>
                <w:highlight w:val="none"/>
              </w:rPr>
              <w:t xml:space="preserve"> </w:t>
            </w:r>
            <w:r>
              <w:rPr>
                <w:color w:val="auto"/>
                <w:spacing w:val="-4"/>
                <w:sz w:val="21"/>
                <w:szCs w:val="21"/>
                <w:highlight w:val="none"/>
              </w:rPr>
              <w:t>18000</w:t>
            </w:r>
          </w:p>
          <w:p w14:paraId="09C63821">
            <w:pPr>
              <w:pStyle w:val="247"/>
              <w:spacing w:before="61" w:line="220" w:lineRule="auto"/>
              <w:ind w:left="106"/>
              <w:rPr>
                <w:color w:val="auto"/>
                <w:sz w:val="21"/>
                <w:szCs w:val="21"/>
                <w:highlight w:val="none"/>
              </w:rPr>
            </w:pPr>
            <w:r>
              <w:rPr>
                <w:color w:val="auto"/>
                <w:spacing w:val="-12"/>
                <w:sz w:val="21"/>
                <w:szCs w:val="21"/>
                <w:highlight w:val="none"/>
              </w:rPr>
              <w:t>平方米/人；管护淡季（10</w:t>
            </w:r>
          </w:p>
          <w:p w14:paraId="077D5AF6">
            <w:pPr>
              <w:pStyle w:val="247"/>
              <w:spacing w:before="61" w:line="221" w:lineRule="auto"/>
              <w:ind w:left="140"/>
              <w:rPr>
                <w:color w:val="auto"/>
                <w:sz w:val="21"/>
                <w:szCs w:val="21"/>
                <w:highlight w:val="none"/>
              </w:rPr>
            </w:pPr>
            <w:r>
              <w:rPr>
                <w:color w:val="auto"/>
                <w:spacing w:val="-4"/>
                <w:sz w:val="21"/>
                <w:szCs w:val="21"/>
                <w:highlight w:val="none"/>
              </w:rPr>
              <w:t>月下旬-次年</w:t>
            </w:r>
            <w:r>
              <w:rPr>
                <w:color w:val="auto"/>
                <w:spacing w:val="-38"/>
                <w:sz w:val="21"/>
                <w:szCs w:val="21"/>
                <w:highlight w:val="none"/>
              </w:rPr>
              <w:t xml:space="preserve"> </w:t>
            </w:r>
            <w:r>
              <w:rPr>
                <w:color w:val="auto"/>
                <w:spacing w:val="-4"/>
                <w:sz w:val="21"/>
                <w:szCs w:val="21"/>
                <w:highlight w:val="none"/>
              </w:rPr>
              <w:t>3</w:t>
            </w:r>
            <w:r>
              <w:rPr>
                <w:color w:val="auto"/>
                <w:spacing w:val="-42"/>
                <w:sz w:val="21"/>
                <w:szCs w:val="21"/>
                <w:highlight w:val="none"/>
              </w:rPr>
              <w:t xml:space="preserve"> </w:t>
            </w:r>
            <w:r>
              <w:rPr>
                <w:color w:val="auto"/>
                <w:spacing w:val="-4"/>
                <w:sz w:val="21"/>
                <w:szCs w:val="21"/>
                <w:highlight w:val="none"/>
              </w:rPr>
              <w:t>月上旬）</w:t>
            </w:r>
          </w:p>
          <w:p w14:paraId="5177E819">
            <w:pPr>
              <w:pStyle w:val="247"/>
              <w:spacing w:before="61" w:line="221" w:lineRule="auto"/>
              <w:ind w:left="108"/>
              <w:rPr>
                <w:color w:val="auto"/>
                <w:sz w:val="21"/>
                <w:szCs w:val="21"/>
                <w:highlight w:val="none"/>
              </w:rPr>
            </w:pPr>
            <w:r>
              <w:rPr>
                <w:color w:val="auto"/>
                <w:spacing w:val="-6"/>
                <w:sz w:val="21"/>
                <w:szCs w:val="21"/>
                <w:highlight w:val="none"/>
              </w:rPr>
              <w:t>绿地、林地</w:t>
            </w:r>
            <w:r>
              <w:rPr>
                <w:color w:val="auto"/>
                <w:spacing w:val="-35"/>
                <w:sz w:val="21"/>
                <w:szCs w:val="21"/>
                <w:highlight w:val="none"/>
              </w:rPr>
              <w:t xml:space="preserve"> </w:t>
            </w:r>
            <w:r>
              <w:rPr>
                <w:color w:val="auto"/>
                <w:spacing w:val="-6"/>
                <w:sz w:val="21"/>
                <w:szCs w:val="21"/>
                <w:highlight w:val="none"/>
              </w:rPr>
              <w:t>20000</w:t>
            </w:r>
            <w:r>
              <w:rPr>
                <w:color w:val="auto"/>
                <w:spacing w:val="-45"/>
                <w:sz w:val="21"/>
                <w:szCs w:val="21"/>
                <w:highlight w:val="none"/>
              </w:rPr>
              <w:t xml:space="preserve"> </w:t>
            </w:r>
            <w:r>
              <w:rPr>
                <w:color w:val="auto"/>
                <w:spacing w:val="-6"/>
                <w:sz w:val="21"/>
                <w:szCs w:val="21"/>
                <w:highlight w:val="none"/>
              </w:rPr>
              <w:t>平方米</w:t>
            </w:r>
          </w:p>
          <w:p w14:paraId="71D20B91">
            <w:pPr>
              <w:pStyle w:val="247"/>
              <w:spacing w:before="60" w:line="221" w:lineRule="auto"/>
              <w:ind w:left="134"/>
              <w:rPr>
                <w:color w:val="auto"/>
                <w:sz w:val="21"/>
                <w:szCs w:val="21"/>
                <w:highlight w:val="none"/>
              </w:rPr>
            </w:pPr>
            <w:r>
              <w:rPr>
                <w:color w:val="auto"/>
                <w:spacing w:val="-1"/>
                <w:sz w:val="21"/>
                <w:szCs w:val="21"/>
                <w:highlight w:val="none"/>
              </w:rPr>
              <w:t>/人。人员考核主要核查</w:t>
            </w:r>
          </w:p>
          <w:p w14:paraId="06332CF4">
            <w:pPr>
              <w:pStyle w:val="247"/>
              <w:spacing w:before="61" w:line="221" w:lineRule="auto"/>
              <w:ind w:left="190"/>
              <w:rPr>
                <w:color w:val="auto"/>
                <w:sz w:val="21"/>
                <w:szCs w:val="21"/>
                <w:highlight w:val="none"/>
              </w:rPr>
            </w:pPr>
            <w:r>
              <w:rPr>
                <w:color w:val="auto"/>
                <w:spacing w:val="-1"/>
                <w:sz w:val="21"/>
                <w:szCs w:val="21"/>
                <w:highlight w:val="none"/>
              </w:rPr>
              <w:t>人员数量是否按要求配</w:t>
            </w:r>
          </w:p>
          <w:p w14:paraId="443D4BEB">
            <w:pPr>
              <w:pStyle w:val="247"/>
              <w:spacing w:before="61" w:line="221" w:lineRule="auto"/>
              <w:ind w:left="109"/>
              <w:rPr>
                <w:color w:val="auto"/>
                <w:sz w:val="21"/>
                <w:szCs w:val="21"/>
                <w:highlight w:val="none"/>
              </w:rPr>
            </w:pPr>
            <w:r>
              <w:rPr>
                <w:color w:val="auto"/>
                <w:spacing w:val="-5"/>
                <w:sz w:val="21"/>
                <w:szCs w:val="21"/>
                <w:highlight w:val="none"/>
              </w:rPr>
              <w:t>备、养护人员是否穿着黄</w:t>
            </w:r>
          </w:p>
          <w:p w14:paraId="1BEA3FB8">
            <w:pPr>
              <w:pStyle w:val="247"/>
              <w:spacing w:before="61" w:line="221" w:lineRule="auto"/>
              <w:ind w:left="110"/>
              <w:rPr>
                <w:color w:val="auto"/>
                <w:sz w:val="21"/>
                <w:szCs w:val="21"/>
                <w:highlight w:val="none"/>
              </w:rPr>
            </w:pPr>
            <w:r>
              <w:rPr>
                <w:color w:val="auto"/>
                <w:spacing w:val="-5"/>
                <w:sz w:val="21"/>
                <w:szCs w:val="21"/>
                <w:highlight w:val="none"/>
              </w:rPr>
              <w:t>背心、黄马甲等醒目标示</w:t>
            </w:r>
          </w:p>
          <w:p w14:paraId="148EFAF9">
            <w:pPr>
              <w:pStyle w:val="247"/>
              <w:spacing w:before="60" w:line="221" w:lineRule="auto"/>
              <w:ind w:left="625"/>
              <w:rPr>
                <w:color w:val="auto"/>
                <w:sz w:val="21"/>
                <w:szCs w:val="21"/>
                <w:highlight w:val="none"/>
              </w:rPr>
            </w:pPr>
            <w:r>
              <w:rPr>
                <w:color w:val="auto"/>
                <w:spacing w:val="-4"/>
                <w:sz w:val="21"/>
                <w:szCs w:val="21"/>
                <w:highlight w:val="none"/>
              </w:rPr>
              <w:t>的劳动衣服。</w:t>
            </w:r>
          </w:p>
        </w:tc>
        <w:tc>
          <w:tcPr>
            <w:tcW w:w="740" w:type="dxa"/>
            <w:vAlign w:val="top"/>
          </w:tcPr>
          <w:p w14:paraId="555ED15E">
            <w:pPr>
              <w:spacing w:line="242" w:lineRule="auto"/>
              <w:rPr>
                <w:rFonts w:ascii="Arial"/>
                <w:color w:val="auto"/>
                <w:sz w:val="21"/>
                <w:highlight w:val="none"/>
              </w:rPr>
            </w:pPr>
          </w:p>
          <w:p w14:paraId="18387F2F">
            <w:pPr>
              <w:spacing w:line="243" w:lineRule="auto"/>
              <w:rPr>
                <w:rFonts w:ascii="Arial"/>
                <w:color w:val="auto"/>
                <w:sz w:val="21"/>
                <w:highlight w:val="none"/>
              </w:rPr>
            </w:pPr>
          </w:p>
          <w:p w14:paraId="5D4C67C5">
            <w:pPr>
              <w:spacing w:line="243" w:lineRule="auto"/>
              <w:rPr>
                <w:rFonts w:ascii="Arial"/>
                <w:color w:val="auto"/>
                <w:sz w:val="21"/>
                <w:highlight w:val="none"/>
              </w:rPr>
            </w:pPr>
          </w:p>
          <w:p w14:paraId="7F9FC8CE">
            <w:pPr>
              <w:spacing w:line="243" w:lineRule="auto"/>
              <w:rPr>
                <w:rFonts w:ascii="Arial"/>
                <w:color w:val="auto"/>
                <w:sz w:val="21"/>
                <w:highlight w:val="none"/>
              </w:rPr>
            </w:pPr>
          </w:p>
          <w:p w14:paraId="748405DE">
            <w:pPr>
              <w:spacing w:line="243" w:lineRule="auto"/>
              <w:rPr>
                <w:rFonts w:ascii="Arial"/>
                <w:color w:val="auto"/>
                <w:sz w:val="21"/>
                <w:highlight w:val="none"/>
              </w:rPr>
            </w:pPr>
          </w:p>
          <w:p w14:paraId="71015CED">
            <w:pPr>
              <w:spacing w:line="243" w:lineRule="auto"/>
              <w:rPr>
                <w:rFonts w:ascii="Arial"/>
                <w:color w:val="auto"/>
                <w:sz w:val="21"/>
                <w:highlight w:val="none"/>
              </w:rPr>
            </w:pPr>
          </w:p>
          <w:p w14:paraId="68FD5A63">
            <w:pPr>
              <w:spacing w:line="243" w:lineRule="auto"/>
              <w:rPr>
                <w:rFonts w:ascii="Arial"/>
                <w:color w:val="auto"/>
                <w:sz w:val="21"/>
                <w:highlight w:val="none"/>
              </w:rPr>
            </w:pPr>
          </w:p>
          <w:p w14:paraId="3D20CA90">
            <w:pPr>
              <w:pStyle w:val="247"/>
              <w:spacing w:before="69" w:line="241" w:lineRule="auto"/>
              <w:ind w:left="321"/>
              <w:rPr>
                <w:color w:val="auto"/>
                <w:sz w:val="21"/>
                <w:szCs w:val="21"/>
                <w:highlight w:val="none"/>
              </w:rPr>
            </w:pPr>
            <w:r>
              <w:rPr>
                <w:color w:val="auto"/>
                <w:sz w:val="21"/>
                <w:szCs w:val="21"/>
                <w:highlight w:val="none"/>
              </w:rPr>
              <w:t>6</w:t>
            </w:r>
          </w:p>
        </w:tc>
        <w:tc>
          <w:tcPr>
            <w:tcW w:w="2586" w:type="dxa"/>
            <w:vAlign w:val="top"/>
          </w:tcPr>
          <w:p w14:paraId="01A7775B">
            <w:pPr>
              <w:spacing w:line="307" w:lineRule="auto"/>
              <w:rPr>
                <w:rFonts w:ascii="Arial"/>
                <w:color w:val="auto"/>
                <w:sz w:val="21"/>
                <w:highlight w:val="none"/>
              </w:rPr>
            </w:pPr>
          </w:p>
          <w:p w14:paraId="437F6954">
            <w:pPr>
              <w:spacing w:line="308" w:lineRule="auto"/>
              <w:rPr>
                <w:rFonts w:ascii="Arial"/>
                <w:color w:val="auto"/>
                <w:sz w:val="21"/>
                <w:highlight w:val="none"/>
              </w:rPr>
            </w:pPr>
          </w:p>
          <w:p w14:paraId="0781D30C">
            <w:pPr>
              <w:pStyle w:val="247"/>
              <w:spacing w:before="68" w:line="221" w:lineRule="auto"/>
              <w:ind w:left="138"/>
              <w:rPr>
                <w:color w:val="auto"/>
                <w:sz w:val="21"/>
                <w:szCs w:val="21"/>
                <w:highlight w:val="none"/>
              </w:rPr>
            </w:pPr>
            <w:r>
              <w:rPr>
                <w:color w:val="auto"/>
                <w:spacing w:val="-1"/>
                <w:sz w:val="21"/>
                <w:szCs w:val="21"/>
                <w:highlight w:val="none"/>
              </w:rPr>
              <w:t>考核小组根据每月工作完</w:t>
            </w:r>
          </w:p>
          <w:p w14:paraId="109C738D">
            <w:pPr>
              <w:pStyle w:val="247"/>
              <w:spacing w:before="61" w:line="221" w:lineRule="auto"/>
              <w:ind w:left="140"/>
              <w:rPr>
                <w:color w:val="auto"/>
                <w:sz w:val="21"/>
                <w:szCs w:val="21"/>
                <w:highlight w:val="none"/>
              </w:rPr>
            </w:pPr>
            <w:r>
              <w:rPr>
                <w:color w:val="auto"/>
                <w:sz w:val="21"/>
                <w:szCs w:val="21"/>
                <w:highlight w:val="none"/>
              </w:rPr>
              <w:t>成情况不定期抽查，以人</w:t>
            </w:r>
          </w:p>
          <w:p w14:paraId="6370C10D">
            <w:pPr>
              <w:pStyle w:val="247"/>
              <w:spacing w:before="59" w:line="221" w:lineRule="auto"/>
              <w:ind w:left="147"/>
              <w:rPr>
                <w:color w:val="auto"/>
                <w:sz w:val="21"/>
                <w:szCs w:val="21"/>
                <w:highlight w:val="none"/>
              </w:rPr>
            </w:pPr>
            <w:r>
              <w:rPr>
                <w:color w:val="auto"/>
                <w:spacing w:val="-2"/>
                <w:sz w:val="21"/>
                <w:szCs w:val="21"/>
                <w:highlight w:val="none"/>
              </w:rPr>
              <w:t>员考核表确认的数字进行</w:t>
            </w:r>
          </w:p>
          <w:p w14:paraId="465CBF09">
            <w:pPr>
              <w:pStyle w:val="247"/>
              <w:spacing w:before="60" w:line="221" w:lineRule="auto"/>
              <w:ind w:left="138"/>
              <w:rPr>
                <w:color w:val="auto"/>
                <w:sz w:val="21"/>
                <w:szCs w:val="21"/>
                <w:highlight w:val="none"/>
              </w:rPr>
            </w:pPr>
            <w:r>
              <w:rPr>
                <w:color w:val="auto"/>
                <w:spacing w:val="-1"/>
                <w:sz w:val="21"/>
                <w:szCs w:val="21"/>
                <w:highlight w:val="none"/>
              </w:rPr>
              <w:t>汇总，每次按实点人员数</w:t>
            </w:r>
          </w:p>
          <w:p w14:paraId="1F67DC18">
            <w:pPr>
              <w:pStyle w:val="247"/>
              <w:spacing w:before="61" w:line="221" w:lineRule="auto"/>
              <w:ind w:left="138"/>
              <w:rPr>
                <w:color w:val="auto"/>
                <w:sz w:val="21"/>
                <w:szCs w:val="21"/>
                <w:highlight w:val="none"/>
              </w:rPr>
            </w:pPr>
            <w:r>
              <w:rPr>
                <w:color w:val="auto"/>
                <w:spacing w:val="-1"/>
                <w:sz w:val="21"/>
                <w:szCs w:val="21"/>
                <w:highlight w:val="none"/>
              </w:rPr>
              <w:t>量除以核定人员数量再乘</w:t>
            </w:r>
          </w:p>
          <w:p w14:paraId="3889F2D6">
            <w:pPr>
              <w:pStyle w:val="247"/>
              <w:spacing w:before="60" w:line="221" w:lineRule="auto"/>
              <w:ind w:left="162"/>
              <w:rPr>
                <w:color w:val="auto"/>
                <w:sz w:val="21"/>
                <w:szCs w:val="21"/>
                <w:highlight w:val="none"/>
              </w:rPr>
            </w:pPr>
            <w:r>
              <w:rPr>
                <w:color w:val="auto"/>
                <w:spacing w:val="-4"/>
                <w:sz w:val="21"/>
                <w:szCs w:val="21"/>
                <w:highlight w:val="none"/>
              </w:rPr>
              <w:t>以</w:t>
            </w:r>
            <w:r>
              <w:rPr>
                <w:color w:val="auto"/>
                <w:spacing w:val="-36"/>
                <w:sz w:val="21"/>
                <w:szCs w:val="21"/>
                <w:highlight w:val="none"/>
              </w:rPr>
              <w:t xml:space="preserve"> </w:t>
            </w:r>
            <w:r>
              <w:rPr>
                <w:color w:val="auto"/>
                <w:spacing w:val="-4"/>
                <w:sz w:val="21"/>
                <w:szCs w:val="21"/>
                <w:highlight w:val="none"/>
              </w:rPr>
              <w:t>6</w:t>
            </w:r>
            <w:r>
              <w:rPr>
                <w:color w:val="auto"/>
                <w:spacing w:val="-43"/>
                <w:sz w:val="21"/>
                <w:szCs w:val="21"/>
                <w:highlight w:val="none"/>
              </w:rPr>
              <w:t xml:space="preserve"> </w:t>
            </w:r>
            <w:r>
              <w:rPr>
                <w:color w:val="auto"/>
                <w:spacing w:val="-4"/>
                <w:sz w:val="21"/>
                <w:szCs w:val="21"/>
                <w:highlight w:val="none"/>
              </w:rPr>
              <w:t>得出单次分值，由考</w:t>
            </w:r>
          </w:p>
          <w:p w14:paraId="5F450F93">
            <w:pPr>
              <w:pStyle w:val="247"/>
              <w:spacing w:before="61" w:line="221" w:lineRule="auto"/>
              <w:ind w:left="141"/>
              <w:rPr>
                <w:color w:val="auto"/>
                <w:sz w:val="21"/>
                <w:szCs w:val="21"/>
                <w:highlight w:val="none"/>
              </w:rPr>
            </w:pPr>
            <w:r>
              <w:rPr>
                <w:color w:val="auto"/>
                <w:spacing w:val="-1"/>
                <w:sz w:val="21"/>
                <w:szCs w:val="21"/>
                <w:highlight w:val="none"/>
              </w:rPr>
              <w:t>核小组成员及养护单位管</w:t>
            </w:r>
          </w:p>
          <w:p w14:paraId="48F7A3C8">
            <w:pPr>
              <w:pStyle w:val="247"/>
              <w:spacing w:before="60" w:line="221" w:lineRule="auto"/>
              <w:ind w:left="348"/>
              <w:rPr>
                <w:color w:val="auto"/>
                <w:sz w:val="21"/>
                <w:szCs w:val="21"/>
                <w:highlight w:val="none"/>
              </w:rPr>
            </w:pPr>
            <w:r>
              <w:rPr>
                <w:color w:val="auto"/>
                <w:spacing w:val="-3"/>
                <w:sz w:val="21"/>
                <w:szCs w:val="21"/>
                <w:highlight w:val="none"/>
              </w:rPr>
              <w:t>护负责人签字确认。</w:t>
            </w:r>
          </w:p>
        </w:tc>
      </w:tr>
      <w:tr w14:paraId="3C235137">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2498" w:hRule="atLeast"/>
        </w:trPr>
        <w:tc>
          <w:tcPr>
            <w:tcW w:w="766" w:type="dxa"/>
            <w:vMerge w:val="restart"/>
            <w:tcBorders>
              <w:top w:val="single" w:color="000000" w:sz="6" w:space="0"/>
            </w:tcBorders>
            <w:vAlign w:val="top"/>
          </w:tcPr>
          <w:p w14:paraId="140F18BB">
            <w:pPr>
              <w:spacing w:line="265" w:lineRule="auto"/>
              <w:rPr>
                <w:rFonts w:ascii="Arial"/>
                <w:color w:val="auto"/>
                <w:sz w:val="21"/>
                <w:highlight w:val="none"/>
              </w:rPr>
            </w:pPr>
          </w:p>
          <w:p w14:paraId="6F166A34">
            <w:pPr>
              <w:spacing w:line="265" w:lineRule="auto"/>
              <w:rPr>
                <w:rFonts w:ascii="Arial"/>
                <w:color w:val="auto"/>
                <w:sz w:val="21"/>
                <w:highlight w:val="none"/>
              </w:rPr>
            </w:pPr>
          </w:p>
          <w:p w14:paraId="0F091DE7">
            <w:pPr>
              <w:spacing w:line="265" w:lineRule="auto"/>
              <w:rPr>
                <w:rFonts w:ascii="Arial"/>
                <w:color w:val="auto"/>
                <w:sz w:val="21"/>
                <w:highlight w:val="none"/>
              </w:rPr>
            </w:pPr>
          </w:p>
          <w:p w14:paraId="03103F9E">
            <w:pPr>
              <w:spacing w:line="266" w:lineRule="auto"/>
              <w:rPr>
                <w:rFonts w:ascii="Arial"/>
                <w:color w:val="auto"/>
                <w:sz w:val="21"/>
                <w:highlight w:val="none"/>
              </w:rPr>
            </w:pPr>
          </w:p>
          <w:p w14:paraId="2095942A">
            <w:pPr>
              <w:spacing w:line="266" w:lineRule="auto"/>
              <w:rPr>
                <w:rFonts w:ascii="Arial"/>
                <w:color w:val="auto"/>
                <w:sz w:val="21"/>
                <w:highlight w:val="none"/>
              </w:rPr>
            </w:pPr>
          </w:p>
          <w:p w14:paraId="1338149B">
            <w:pPr>
              <w:spacing w:line="266" w:lineRule="auto"/>
              <w:rPr>
                <w:rFonts w:ascii="Arial"/>
                <w:color w:val="auto"/>
                <w:sz w:val="21"/>
                <w:highlight w:val="none"/>
              </w:rPr>
            </w:pPr>
          </w:p>
          <w:p w14:paraId="2908053E">
            <w:pPr>
              <w:spacing w:line="266" w:lineRule="auto"/>
              <w:rPr>
                <w:rFonts w:ascii="Arial"/>
                <w:color w:val="auto"/>
                <w:sz w:val="21"/>
                <w:highlight w:val="none"/>
              </w:rPr>
            </w:pPr>
          </w:p>
          <w:p w14:paraId="20D0CA43">
            <w:pPr>
              <w:spacing w:line="269" w:lineRule="auto"/>
              <w:rPr>
                <w:rFonts w:ascii="Arial"/>
                <w:color w:val="auto"/>
                <w:sz w:val="21"/>
                <w:highlight w:val="none"/>
              </w:rPr>
            </w:pPr>
          </w:p>
          <w:p w14:paraId="55A17A39">
            <w:pPr>
              <w:spacing w:line="269" w:lineRule="auto"/>
              <w:rPr>
                <w:rFonts w:ascii="Arial"/>
                <w:color w:val="auto"/>
                <w:sz w:val="21"/>
                <w:highlight w:val="none"/>
              </w:rPr>
            </w:pPr>
          </w:p>
          <w:p w14:paraId="5B4022D5">
            <w:pPr>
              <w:spacing w:line="269" w:lineRule="auto"/>
              <w:rPr>
                <w:rFonts w:ascii="Arial"/>
                <w:color w:val="auto"/>
                <w:sz w:val="21"/>
                <w:highlight w:val="none"/>
              </w:rPr>
            </w:pPr>
          </w:p>
          <w:p w14:paraId="61FDE435">
            <w:pPr>
              <w:spacing w:line="269" w:lineRule="auto"/>
              <w:rPr>
                <w:rFonts w:ascii="Arial"/>
                <w:color w:val="auto"/>
                <w:sz w:val="21"/>
                <w:highlight w:val="none"/>
              </w:rPr>
            </w:pPr>
          </w:p>
          <w:p w14:paraId="30673986">
            <w:pPr>
              <w:spacing w:line="269" w:lineRule="auto"/>
              <w:rPr>
                <w:rFonts w:ascii="Arial"/>
                <w:color w:val="auto"/>
                <w:sz w:val="21"/>
                <w:highlight w:val="none"/>
              </w:rPr>
            </w:pPr>
          </w:p>
          <w:p w14:paraId="169F1F3D">
            <w:pPr>
              <w:spacing w:line="269" w:lineRule="auto"/>
              <w:rPr>
                <w:rFonts w:ascii="Arial"/>
                <w:color w:val="auto"/>
                <w:sz w:val="21"/>
                <w:highlight w:val="none"/>
              </w:rPr>
            </w:pPr>
          </w:p>
          <w:p w14:paraId="403A6F4C">
            <w:pPr>
              <w:spacing w:line="269" w:lineRule="auto"/>
              <w:rPr>
                <w:rFonts w:ascii="Arial"/>
                <w:color w:val="auto"/>
                <w:sz w:val="21"/>
                <w:highlight w:val="none"/>
              </w:rPr>
            </w:pPr>
          </w:p>
          <w:p w14:paraId="54049904">
            <w:pPr>
              <w:spacing w:line="269" w:lineRule="auto"/>
              <w:rPr>
                <w:rFonts w:ascii="Arial"/>
                <w:color w:val="auto"/>
                <w:sz w:val="21"/>
                <w:highlight w:val="none"/>
              </w:rPr>
            </w:pPr>
          </w:p>
          <w:p w14:paraId="18B703C8">
            <w:pPr>
              <w:spacing w:line="269" w:lineRule="auto"/>
              <w:rPr>
                <w:rFonts w:ascii="Arial"/>
                <w:color w:val="auto"/>
                <w:sz w:val="21"/>
                <w:highlight w:val="none"/>
              </w:rPr>
            </w:pPr>
          </w:p>
          <w:p w14:paraId="6C844EF7">
            <w:pPr>
              <w:spacing w:line="269" w:lineRule="auto"/>
              <w:rPr>
                <w:rFonts w:ascii="Arial"/>
                <w:color w:val="auto"/>
                <w:sz w:val="21"/>
                <w:highlight w:val="none"/>
              </w:rPr>
            </w:pPr>
          </w:p>
          <w:p w14:paraId="338EF446">
            <w:pPr>
              <w:spacing w:line="269" w:lineRule="auto"/>
              <w:rPr>
                <w:rFonts w:ascii="Arial"/>
                <w:color w:val="auto"/>
                <w:sz w:val="21"/>
                <w:highlight w:val="none"/>
              </w:rPr>
            </w:pPr>
          </w:p>
          <w:p w14:paraId="27B45BF8">
            <w:pPr>
              <w:spacing w:line="269" w:lineRule="auto"/>
              <w:rPr>
                <w:rFonts w:ascii="Arial"/>
                <w:color w:val="auto"/>
                <w:sz w:val="21"/>
                <w:highlight w:val="none"/>
              </w:rPr>
            </w:pPr>
          </w:p>
          <w:p w14:paraId="1470B6E2">
            <w:pPr>
              <w:spacing w:line="270" w:lineRule="auto"/>
              <w:rPr>
                <w:rFonts w:ascii="Arial"/>
                <w:color w:val="auto"/>
                <w:sz w:val="21"/>
                <w:highlight w:val="none"/>
              </w:rPr>
            </w:pPr>
          </w:p>
          <w:p w14:paraId="1990396A">
            <w:pPr>
              <w:pStyle w:val="247"/>
              <w:spacing w:before="68" w:line="275" w:lineRule="auto"/>
              <w:ind w:left="170" w:right="168" w:hanging="1"/>
              <w:jc w:val="both"/>
              <w:rPr>
                <w:color w:val="auto"/>
                <w:sz w:val="21"/>
                <w:szCs w:val="21"/>
                <w:highlight w:val="none"/>
              </w:rPr>
            </w:pPr>
            <w:r>
              <w:rPr>
                <w:color w:val="auto"/>
                <w:spacing w:val="-4"/>
                <w:sz w:val="21"/>
                <w:szCs w:val="21"/>
                <w:highlight w:val="none"/>
              </w:rPr>
              <w:t>技术</w:t>
            </w:r>
            <w:r>
              <w:rPr>
                <w:color w:val="auto"/>
                <w:spacing w:val="-5"/>
                <w:sz w:val="21"/>
                <w:szCs w:val="21"/>
                <w:highlight w:val="none"/>
              </w:rPr>
              <w:t>工作</w:t>
            </w:r>
            <w:r>
              <w:rPr>
                <w:color w:val="auto"/>
                <w:spacing w:val="-3"/>
                <w:sz w:val="21"/>
                <w:szCs w:val="21"/>
                <w:highlight w:val="none"/>
              </w:rPr>
              <w:t>（61</w:t>
            </w:r>
            <w:r>
              <w:rPr>
                <w:color w:val="auto"/>
                <w:spacing w:val="-6"/>
                <w:sz w:val="21"/>
                <w:szCs w:val="21"/>
                <w:highlight w:val="none"/>
              </w:rPr>
              <w:t>分）</w:t>
            </w:r>
          </w:p>
        </w:tc>
        <w:tc>
          <w:tcPr>
            <w:tcW w:w="553" w:type="dxa"/>
            <w:vAlign w:val="top"/>
          </w:tcPr>
          <w:p w14:paraId="3EEA7120">
            <w:pPr>
              <w:spacing w:line="268" w:lineRule="auto"/>
              <w:rPr>
                <w:rFonts w:ascii="Arial"/>
                <w:color w:val="auto"/>
                <w:sz w:val="21"/>
                <w:highlight w:val="none"/>
              </w:rPr>
            </w:pPr>
          </w:p>
          <w:p w14:paraId="28766323">
            <w:pPr>
              <w:spacing w:line="268" w:lineRule="auto"/>
              <w:rPr>
                <w:rFonts w:ascii="Arial"/>
                <w:color w:val="auto"/>
                <w:sz w:val="21"/>
                <w:highlight w:val="none"/>
              </w:rPr>
            </w:pPr>
          </w:p>
          <w:p w14:paraId="413C6296">
            <w:pPr>
              <w:spacing w:line="268" w:lineRule="auto"/>
              <w:rPr>
                <w:rFonts w:ascii="Arial"/>
                <w:color w:val="auto"/>
                <w:sz w:val="21"/>
                <w:highlight w:val="none"/>
              </w:rPr>
            </w:pPr>
          </w:p>
          <w:p w14:paraId="2CB2A041">
            <w:pPr>
              <w:spacing w:line="268" w:lineRule="auto"/>
              <w:rPr>
                <w:rFonts w:ascii="Arial"/>
                <w:color w:val="auto"/>
                <w:sz w:val="21"/>
                <w:highlight w:val="none"/>
              </w:rPr>
            </w:pPr>
          </w:p>
          <w:p w14:paraId="40629B90">
            <w:pPr>
              <w:pStyle w:val="247"/>
              <w:spacing w:before="69" w:line="242" w:lineRule="auto"/>
              <w:ind w:left="220"/>
              <w:rPr>
                <w:color w:val="auto"/>
                <w:sz w:val="21"/>
                <w:szCs w:val="21"/>
                <w:highlight w:val="none"/>
              </w:rPr>
            </w:pPr>
            <w:r>
              <w:rPr>
                <w:color w:val="auto"/>
                <w:sz w:val="21"/>
                <w:szCs w:val="21"/>
                <w:highlight w:val="none"/>
              </w:rPr>
              <w:t>2</w:t>
            </w:r>
          </w:p>
        </w:tc>
        <w:tc>
          <w:tcPr>
            <w:tcW w:w="1024" w:type="dxa"/>
            <w:vAlign w:val="top"/>
          </w:tcPr>
          <w:p w14:paraId="77A2B2D8">
            <w:pPr>
              <w:spacing w:line="268" w:lineRule="auto"/>
              <w:rPr>
                <w:rFonts w:ascii="Arial"/>
                <w:color w:val="auto"/>
                <w:sz w:val="21"/>
                <w:highlight w:val="none"/>
              </w:rPr>
            </w:pPr>
          </w:p>
          <w:p w14:paraId="100B900D">
            <w:pPr>
              <w:spacing w:line="268" w:lineRule="auto"/>
              <w:rPr>
                <w:rFonts w:ascii="Arial"/>
                <w:color w:val="auto"/>
                <w:sz w:val="21"/>
                <w:highlight w:val="none"/>
              </w:rPr>
            </w:pPr>
          </w:p>
          <w:p w14:paraId="16E0205A">
            <w:pPr>
              <w:spacing w:line="268" w:lineRule="auto"/>
              <w:rPr>
                <w:rFonts w:ascii="Arial"/>
                <w:color w:val="auto"/>
                <w:sz w:val="21"/>
                <w:highlight w:val="none"/>
              </w:rPr>
            </w:pPr>
          </w:p>
          <w:p w14:paraId="3E6302AA">
            <w:pPr>
              <w:spacing w:line="268" w:lineRule="auto"/>
              <w:rPr>
                <w:rFonts w:ascii="Arial"/>
                <w:color w:val="auto"/>
                <w:sz w:val="21"/>
                <w:highlight w:val="none"/>
              </w:rPr>
            </w:pPr>
          </w:p>
          <w:p w14:paraId="64DD50A4">
            <w:pPr>
              <w:pStyle w:val="247"/>
              <w:spacing w:before="68" w:line="220" w:lineRule="auto"/>
              <w:ind w:left="103"/>
              <w:rPr>
                <w:color w:val="auto"/>
                <w:sz w:val="21"/>
                <w:szCs w:val="21"/>
                <w:highlight w:val="none"/>
              </w:rPr>
            </w:pPr>
            <w:r>
              <w:rPr>
                <w:color w:val="auto"/>
                <w:spacing w:val="-3"/>
                <w:sz w:val="21"/>
                <w:szCs w:val="21"/>
                <w:highlight w:val="none"/>
              </w:rPr>
              <w:t>施肥</w:t>
            </w:r>
            <w:r>
              <w:rPr>
                <w:color w:val="auto"/>
                <w:spacing w:val="-62"/>
                <w:sz w:val="21"/>
                <w:szCs w:val="21"/>
                <w:highlight w:val="none"/>
              </w:rPr>
              <w:t xml:space="preserve"> </w:t>
            </w:r>
            <w:r>
              <w:rPr>
                <w:color w:val="auto"/>
                <w:spacing w:val="-3"/>
                <w:sz w:val="21"/>
                <w:szCs w:val="21"/>
                <w:highlight w:val="none"/>
              </w:rPr>
              <w:t>4</w:t>
            </w:r>
            <w:r>
              <w:rPr>
                <w:color w:val="auto"/>
                <w:spacing w:val="-59"/>
                <w:sz w:val="21"/>
                <w:szCs w:val="21"/>
                <w:highlight w:val="none"/>
              </w:rPr>
              <w:t xml:space="preserve"> </w:t>
            </w:r>
            <w:r>
              <w:rPr>
                <w:color w:val="auto"/>
                <w:spacing w:val="-3"/>
                <w:sz w:val="21"/>
                <w:szCs w:val="21"/>
                <w:highlight w:val="none"/>
              </w:rPr>
              <w:t>分</w:t>
            </w:r>
          </w:p>
        </w:tc>
        <w:tc>
          <w:tcPr>
            <w:tcW w:w="707" w:type="dxa"/>
            <w:vAlign w:val="top"/>
          </w:tcPr>
          <w:p w14:paraId="6196EEC6">
            <w:pPr>
              <w:spacing w:line="268" w:lineRule="auto"/>
              <w:rPr>
                <w:rFonts w:ascii="Arial"/>
                <w:color w:val="auto"/>
                <w:sz w:val="21"/>
                <w:highlight w:val="none"/>
              </w:rPr>
            </w:pPr>
          </w:p>
          <w:p w14:paraId="30EF0C3F">
            <w:pPr>
              <w:spacing w:line="268" w:lineRule="auto"/>
              <w:rPr>
                <w:rFonts w:ascii="Arial"/>
                <w:color w:val="auto"/>
                <w:sz w:val="21"/>
                <w:highlight w:val="none"/>
              </w:rPr>
            </w:pPr>
          </w:p>
          <w:p w14:paraId="72670C13">
            <w:pPr>
              <w:spacing w:line="268" w:lineRule="auto"/>
              <w:rPr>
                <w:rFonts w:ascii="Arial"/>
                <w:color w:val="auto"/>
                <w:sz w:val="21"/>
                <w:highlight w:val="none"/>
              </w:rPr>
            </w:pPr>
          </w:p>
          <w:p w14:paraId="469E0471">
            <w:pPr>
              <w:spacing w:line="268" w:lineRule="auto"/>
              <w:rPr>
                <w:rFonts w:ascii="Arial"/>
                <w:color w:val="auto"/>
                <w:sz w:val="21"/>
                <w:highlight w:val="none"/>
              </w:rPr>
            </w:pPr>
          </w:p>
          <w:p w14:paraId="6AEBE285">
            <w:pPr>
              <w:pStyle w:val="247"/>
              <w:spacing w:before="69" w:line="242" w:lineRule="auto"/>
              <w:ind w:left="300"/>
              <w:rPr>
                <w:color w:val="auto"/>
                <w:sz w:val="21"/>
                <w:szCs w:val="21"/>
                <w:highlight w:val="none"/>
              </w:rPr>
            </w:pPr>
            <w:r>
              <w:rPr>
                <w:color w:val="auto"/>
                <w:sz w:val="21"/>
                <w:szCs w:val="21"/>
                <w:highlight w:val="none"/>
              </w:rPr>
              <w:t>2</w:t>
            </w:r>
          </w:p>
        </w:tc>
        <w:tc>
          <w:tcPr>
            <w:tcW w:w="2478" w:type="dxa"/>
            <w:vAlign w:val="top"/>
          </w:tcPr>
          <w:p w14:paraId="5DF91280">
            <w:pPr>
              <w:pStyle w:val="247"/>
              <w:spacing w:before="54" w:line="221" w:lineRule="auto"/>
              <w:ind w:left="107"/>
              <w:rPr>
                <w:color w:val="auto"/>
                <w:sz w:val="21"/>
                <w:szCs w:val="21"/>
                <w:highlight w:val="none"/>
              </w:rPr>
            </w:pPr>
            <w:r>
              <w:rPr>
                <w:color w:val="auto"/>
                <w:spacing w:val="-5"/>
                <w:sz w:val="21"/>
                <w:szCs w:val="21"/>
                <w:highlight w:val="none"/>
              </w:rPr>
              <w:t>开花乔灌木、行道树按要</w:t>
            </w:r>
          </w:p>
          <w:p w14:paraId="29C4928B">
            <w:pPr>
              <w:pStyle w:val="247"/>
              <w:spacing w:before="60" w:line="220" w:lineRule="auto"/>
              <w:ind w:left="108"/>
              <w:rPr>
                <w:color w:val="auto"/>
                <w:sz w:val="21"/>
                <w:szCs w:val="21"/>
                <w:highlight w:val="none"/>
              </w:rPr>
            </w:pPr>
            <w:r>
              <w:rPr>
                <w:color w:val="auto"/>
                <w:spacing w:val="-5"/>
                <w:sz w:val="21"/>
                <w:szCs w:val="21"/>
                <w:highlight w:val="none"/>
              </w:rPr>
              <w:t>求施肥及时，每年休眠期</w:t>
            </w:r>
          </w:p>
          <w:p w14:paraId="1B510C3D">
            <w:pPr>
              <w:pStyle w:val="247"/>
              <w:spacing w:before="61" w:line="220" w:lineRule="auto"/>
              <w:ind w:left="113"/>
              <w:rPr>
                <w:color w:val="auto"/>
                <w:sz w:val="21"/>
                <w:szCs w:val="21"/>
                <w:highlight w:val="none"/>
              </w:rPr>
            </w:pPr>
            <w:r>
              <w:rPr>
                <w:color w:val="auto"/>
                <w:spacing w:val="-5"/>
                <w:sz w:val="21"/>
                <w:szCs w:val="21"/>
                <w:highlight w:val="none"/>
              </w:rPr>
              <w:t>（11</w:t>
            </w:r>
            <w:r>
              <w:rPr>
                <w:color w:val="auto"/>
                <w:spacing w:val="-35"/>
                <w:sz w:val="21"/>
                <w:szCs w:val="21"/>
                <w:highlight w:val="none"/>
              </w:rPr>
              <w:t xml:space="preserve"> </w:t>
            </w:r>
            <w:r>
              <w:rPr>
                <w:color w:val="auto"/>
                <w:spacing w:val="-5"/>
                <w:sz w:val="21"/>
                <w:szCs w:val="21"/>
                <w:highlight w:val="none"/>
              </w:rPr>
              <w:t>月--2</w:t>
            </w:r>
            <w:r>
              <w:rPr>
                <w:color w:val="auto"/>
                <w:spacing w:val="-41"/>
                <w:sz w:val="21"/>
                <w:szCs w:val="21"/>
                <w:highlight w:val="none"/>
              </w:rPr>
              <w:t xml:space="preserve"> </w:t>
            </w:r>
            <w:r>
              <w:rPr>
                <w:color w:val="auto"/>
                <w:spacing w:val="-5"/>
                <w:sz w:val="21"/>
                <w:szCs w:val="21"/>
                <w:highlight w:val="none"/>
              </w:rPr>
              <w:t>月）施基肥，</w:t>
            </w:r>
          </w:p>
          <w:p w14:paraId="42A954CE">
            <w:pPr>
              <w:pStyle w:val="247"/>
              <w:spacing w:before="62" w:line="221" w:lineRule="auto"/>
              <w:ind w:left="106"/>
              <w:rPr>
                <w:color w:val="auto"/>
                <w:sz w:val="21"/>
                <w:szCs w:val="21"/>
                <w:highlight w:val="none"/>
              </w:rPr>
            </w:pPr>
            <w:r>
              <w:rPr>
                <w:color w:val="auto"/>
                <w:spacing w:val="-5"/>
                <w:sz w:val="21"/>
                <w:szCs w:val="21"/>
                <w:highlight w:val="none"/>
              </w:rPr>
              <w:t>模纹、隔离带小灌木、地</w:t>
            </w:r>
          </w:p>
          <w:p w14:paraId="185CD5E7">
            <w:pPr>
              <w:pStyle w:val="247"/>
              <w:spacing w:before="60" w:line="221" w:lineRule="auto"/>
              <w:ind w:left="294"/>
              <w:rPr>
                <w:color w:val="auto"/>
                <w:sz w:val="21"/>
                <w:szCs w:val="21"/>
                <w:highlight w:val="none"/>
              </w:rPr>
            </w:pPr>
            <w:r>
              <w:rPr>
                <w:color w:val="auto"/>
                <w:spacing w:val="-1"/>
                <w:sz w:val="21"/>
                <w:szCs w:val="21"/>
                <w:highlight w:val="none"/>
              </w:rPr>
              <w:t>被等生长季节适时追</w:t>
            </w:r>
          </w:p>
          <w:p w14:paraId="3F89EDCF">
            <w:pPr>
              <w:pStyle w:val="247"/>
              <w:spacing w:before="61" w:line="220" w:lineRule="auto"/>
              <w:ind w:left="106"/>
              <w:rPr>
                <w:color w:val="auto"/>
                <w:sz w:val="21"/>
                <w:szCs w:val="21"/>
                <w:highlight w:val="none"/>
              </w:rPr>
            </w:pPr>
            <w:r>
              <w:rPr>
                <w:color w:val="auto"/>
                <w:spacing w:val="-5"/>
                <w:sz w:val="21"/>
                <w:szCs w:val="21"/>
                <w:highlight w:val="none"/>
              </w:rPr>
              <w:t>肥，规范操作，施肥后及</w:t>
            </w:r>
          </w:p>
          <w:p w14:paraId="747D5A2F">
            <w:pPr>
              <w:pStyle w:val="247"/>
              <w:spacing w:before="62" w:line="220" w:lineRule="auto"/>
              <w:ind w:left="116"/>
              <w:rPr>
                <w:color w:val="auto"/>
                <w:sz w:val="21"/>
                <w:szCs w:val="21"/>
                <w:highlight w:val="none"/>
              </w:rPr>
            </w:pPr>
            <w:r>
              <w:rPr>
                <w:color w:val="auto"/>
                <w:spacing w:val="-4"/>
                <w:sz w:val="21"/>
                <w:szCs w:val="21"/>
                <w:highlight w:val="none"/>
              </w:rPr>
              <w:t>时覆盖。施肥方法适当，</w:t>
            </w:r>
          </w:p>
          <w:p w14:paraId="7A51A7CB">
            <w:pPr>
              <w:pStyle w:val="247"/>
              <w:spacing w:before="61" w:line="219" w:lineRule="auto"/>
              <w:ind w:left="108"/>
              <w:rPr>
                <w:color w:val="auto"/>
                <w:sz w:val="21"/>
                <w:szCs w:val="21"/>
                <w:highlight w:val="none"/>
              </w:rPr>
            </w:pPr>
            <w:r>
              <w:rPr>
                <w:color w:val="auto"/>
                <w:spacing w:val="-2"/>
                <w:sz w:val="21"/>
                <w:szCs w:val="21"/>
                <w:highlight w:val="none"/>
              </w:rPr>
              <w:t>用量合理，不产生肥害。</w:t>
            </w:r>
          </w:p>
        </w:tc>
        <w:tc>
          <w:tcPr>
            <w:tcW w:w="740" w:type="dxa"/>
            <w:vAlign w:val="top"/>
          </w:tcPr>
          <w:p w14:paraId="5E6CEA98">
            <w:pPr>
              <w:spacing w:line="268" w:lineRule="auto"/>
              <w:rPr>
                <w:rFonts w:ascii="Arial"/>
                <w:color w:val="auto"/>
                <w:sz w:val="21"/>
                <w:highlight w:val="none"/>
              </w:rPr>
            </w:pPr>
          </w:p>
          <w:p w14:paraId="1752796D">
            <w:pPr>
              <w:spacing w:line="268" w:lineRule="auto"/>
              <w:rPr>
                <w:rFonts w:ascii="Arial"/>
                <w:color w:val="auto"/>
                <w:sz w:val="21"/>
                <w:highlight w:val="none"/>
              </w:rPr>
            </w:pPr>
          </w:p>
          <w:p w14:paraId="2F318F79">
            <w:pPr>
              <w:spacing w:line="268" w:lineRule="auto"/>
              <w:rPr>
                <w:rFonts w:ascii="Arial"/>
                <w:color w:val="auto"/>
                <w:sz w:val="21"/>
                <w:highlight w:val="none"/>
              </w:rPr>
            </w:pPr>
          </w:p>
          <w:p w14:paraId="333CA6EE">
            <w:pPr>
              <w:spacing w:line="268" w:lineRule="auto"/>
              <w:rPr>
                <w:rFonts w:ascii="Arial"/>
                <w:color w:val="auto"/>
                <w:sz w:val="21"/>
                <w:highlight w:val="none"/>
              </w:rPr>
            </w:pPr>
          </w:p>
          <w:p w14:paraId="3015C202">
            <w:pPr>
              <w:pStyle w:val="247"/>
              <w:spacing w:before="69" w:line="242" w:lineRule="auto"/>
              <w:ind w:left="318"/>
              <w:rPr>
                <w:color w:val="auto"/>
                <w:sz w:val="21"/>
                <w:szCs w:val="21"/>
                <w:highlight w:val="none"/>
              </w:rPr>
            </w:pPr>
            <w:r>
              <w:rPr>
                <w:color w:val="auto"/>
                <w:sz w:val="21"/>
                <w:szCs w:val="21"/>
                <w:highlight w:val="none"/>
              </w:rPr>
              <w:t>4</w:t>
            </w:r>
          </w:p>
        </w:tc>
        <w:tc>
          <w:tcPr>
            <w:tcW w:w="2586" w:type="dxa"/>
            <w:vAlign w:val="top"/>
          </w:tcPr>
          <w:p w14:paraId="7484569B">
            <w:pPr>
              <w:pStyle w:val="247"/>
              <w:spacing w:before="211" w:line="220" w:lineRule="auto"/>
              <w:ind w:left="168"/>
              <w:rPr>
                <w:color w:val="auto"/>
                <w:sz w:val="21"/>
                <w:szCs w:val="21"/>
                <w:highlight w:val="none"/>
              </w:rPr>
            </w:pPr>
            <w:r>
              <w:rPr>
                <w:color w:val="auto"/>
                <w:spacing w:val="-1"/>
                <w:sz w:val="21"/>
                <w:szCs w:val="21"/>
                <w:highlight w:val="none"/>
              </w:rPr>
              <w:t>不按规定及时施肥，扣</w:t>
            </w:r>
            <w:r>
              <w:rPr>
                <w:color w:val="auto"/>
                <w:spacing w:val="-27"/>
                <w:sz w:val="21"/>
                <w:szCs w:val="21"/>
                <w:highlight w:val="none"/>
              </w:rPr>
              <w:t xml:space="preserve"> </w:t>
            </w:r>
            <w:r>
              <w:rPr>
                <w:color w:val="auto"/>
                <w:spacing w:val="-1"/>
                <w:sz w:val="21"/>
                <w:szCs w:val="21"/>
                <w:highlight w:val="none"/>
              </w:rPr>
              <w:t>1</w:t>
            </w:r>
          </w:p>
          <w:p w14:paraId="43137127">
            <w:pPr>
              <w:pStyle w:val="247"/>
              <w:spacing w:before="61" w:line="220" w:lineRule="auto"/>
              <w:ind w:left="115"/>
              <w:rPr>
                <w:color w:val="auto"/>
                <w:sz w:val="21"/>
                <w:szCs w:val="21"/>
                <w:highlight w:val="none"/>
              </w:rPr>
            </w:pPr>
            <w:r>
              <w:rPr>
                <w:color w:val="auto"/>
                <w:spacing w:val="-5"/>
                <w:sz w:val="21"/>
                <w:szCs w:val="21"/>
                <w:highlight w:val="none"/>
              </w:rPr>
              <w:t>分/次；偷工减料，肥料挪</w:t>
            </w:r>
          </w:p>
          <w:p w14:paraId="36E28A44">
            <w:pPr>
              <w:pStyle w:val="247"/>
              <w:spacing w:before="61" w:line="220" w:lineRule="auto"/>
              <w:ind w:left="113"/>
              <w:rPr>
                <w:color w:val="auto"/>
                <w:sz w:val="21"/>
                <w:szCs w:val="21"/>
                <w:highlight w:val="none"/>
              </w:rPr>
            </w:pPr>
            <w:r>
              <w:rPr>
                <w:color w:val="auto"/>
                <w:spacing w:val="-8"/>
                <w:sz w:val="21"/>
                <w:szCs w:val="21"/>
                <w:highlight w:val="none"/>
              </w:rPr>
              <w:t>作他用（特指甲供肥料</w:t>
            </w:r>
            <w:r>
              <w:rPr>
                <w:color w:val="auto"/>
                <w:spacing w:val="-4"/>
                <w:sz w:val="21"/>
                <w:szCs w:val="21"/>
                <w:highlight w:val="none"/>
              </w:rPr>
              <w:t>），</w:t>
            </w:r>
          </w:p>
          <w:p w14:paraId="7BCCA5EC">
            <w:pPr>
              <w:pStyle w:val="247"/>
              <w:spacing w:before="61" w:line="221" w:lineRule="auto"/>
              <w:ind w:left="142"/>
              <w:rPr>
                <w:color w:val="auto"/>
                <w:sz w:val="21"/>
                <w:szCs w:val="21"/>
                <w:highlight w:val="none"/>
              </w:rPr>
            </w:pPr>
            <w:r>
              <w:rPr>
                <w:color w:val="auto"/>
                <w:spacing w:val="-3"/>
                <w:sz w:val="21"/>
                <w:szCs w:val="21"/>
                <w:highlight w:val="none"/>
              </w:rPr>
              <w:t>发现一次扣</w:t>
            </w:r>
            <w:r>
              <w:rPr>
                <w:color w:val="auto"/>
                <w:spacing w:val="-39"/>
                <w:sz w:val="21"/>
                <w:szCs w:val="21"/>
                <w:highlight w:val="none"/>
              </w:rPr>
              <w:t xml:space="preserve"> </w:t>
            </w:r>
            <w:r>
              <w:rPr>
                <w:color w:val="auto"/>
                <w:spacing w:val="-3"/>
                <w:sz w:val="21"/>
                <w:szCs w:val="21"/>
                <w:highlight w:val="none"/>
              </w:rPr>
              <w:t>2</w:t>
            </w:r>
            <w:r>
              <w:rPr>
                <w:color w:val="auto"/>
                <w:spacing w:val="-42"/>
                <w:sz w:val="21"/>
                <w:szCs w:val="21"/>
                <w:highlight w:val="none"/>
              </w:rPr>
              <w:t xml:space="preserve"> </w:t>
            </w:r>
            <w:r>
              <w:rPr>
                <w:color w:val="auto"/>
                <w:spacing w:val="-3"/>
                <w:sz w:val="21"/>
                <w:szCs w:val="21"/>
                <w:highlight w:val="none"/>
              </w:rPr>
              <w:t>分，不及时</w:t>
            </w:r>
          </w:p>
          <w:p w14:paraId="1662EB0C">
            <w:pPr>
              <w:pStyle w:val="247"/>
              <w:spacing w:before="61" w:line="221" w:lineRule="auto"/>
              <w:ind w:left="113"/>
              <w:rPr>
                <w:color w:val="auto"/>
                <w:sz w:val="21"/>
                <w:szCs w:val="21"/>
                <w:highlight w:val="none"/>
              </w:rPr>
            </w:pPr>
            <w:r>
              <w:rPr>
                <w:color w:val="auto"/>
                <w:spacing w:val="-11"/>
                <w:sz w:val="21"/>
                <w:szCs w:val="21"/>
                <w:highlight w:val="none"/>
              </w:rPr>
              <w:t>覆盖，发现一处扣</w:t>
            </w:r>
            <w:r>
              <w:rPr>
                <w:color w:val="auto"/>
                <w:spacing w:val="-31"/>
                <w:sz w:val="21"/>
                <w:szCs w:val="21"/>
                <w:highlight w:val="none"/>
              </w:rPr>
              <w:t xml:space="preserve"> </w:t>
            </w:r>
            <w:r>
              <w:rPr>
                <w:color w:val="auto"/>
                <w:spacing w:val="-11"/>
                <w:sz w:val="21"/>
                <w:szCs w:val="21"/>
                <w:highlight w:val="none"/>
              </w:rPr>
              <w:t>1</w:t>
            </w:r>
            <w:r>
              <w:rPr>
                <w:color w:val="auto"/>
                <w:spacing w:val="-41"/>
                <w:sz w:val="21"/>
                <w:szCs w:val="21"/>
                <w:highlight w:val="none"/>
              </w:rPr>
              <w:t xml:space="preserve"> </w:t>
            </w:r>
            <w:r>
              <w:rPr>
                <w:color w:val="auto"/>
                <w:spacing w:val="-11"/>
                <w:sz w:val="21"/>
                <w:szCs w:val="21"/>
                <w:highlight w:val="none"/>
              </w:rPr>
              <w:t>分</w:t>
            </w:r>
            <w:r>
              <w:rPr>
                <w:color w:val="auto"/>
                <w:spacing w:val="-63"/>
                <w:sz w:val="21"/>
                <w:szCs w:val="21"/>
                <w:highlight w:val="none"/>
              </w:rPr>
              <w:t xml:space="preserve"> </w:t>
            </w:r>
            <w:r>
              <w:rPr>
                <w:color w:val="auto"/>
                <w:spacing w:val="-11"/>
                <w:sz w:val="21"/>
                <w:szCs w:val="21"/>
                <w:highlight w:val="none"/>
              </w:rPr>
              <w:t>;发</w:t>
            </w:r>
          </w:p>
          <w:p w14:paraId="465433BB">
            <w:pPr>
              <w:pStyle w:val="247"/>
              <w:spacing w:before="60" w:line="220" w:lineRule="auto"/>
              <w:ind w:left="114"/>
              <w:rPr>
                <w:color w:val="auto"/>
                <w:sz w:val="21"/>
                <w:szCs w:val="21"/>
                <w:highlight w:val="none"/>
              </w:rPr>
            </w:pPr>
            <w:r>
              <w:rPr>
                <w:color w:val="auto"/>
                <w:spacing w:val="-8"/>
                <w:sz w:val="21"/>
                <w:szCs w:val="21"/>
                <w:highlight w:val="none"/>
              </w:rPr>
              <w:t>生肥害，扣</w:t>
            </w:r>
            <w:r>
              <w:rPr>
                <w:color w:val="auto"/>
                <w:spacing w:val="-26"/>
                <w:sz w:val="21"/>
                <w:szCs w:val="21"/>
                <w:highlight w:val="none"/>
              </w:rPr>
              <w:t xml:space="preserve"> </w:t>
            </w:r>
            <w:r>
              <w:rPr>
                <w:color w:val="auto"/>
                <w:spacing w:val="-8"/>
                <w:sz w:val="21"/>
                <w:szCs w:val="21"/>
                <w:highlight w:val="none"/>
              </w:rPr>
              <w:t>1</w:t>
            </w:r>
            <w:r>
              <w:rPr>
                <w:color w:val="auto"/>
                <w:spacing w:val="-41"/>
                <w:sz w:val="21"/>
                <w:szCs w:val="21"/>
                <w:highlight w:val="none"/>
              </w:rPr>
              <w:t xml:space="preserve"> </w:t>
            </w:r>
            <w:r>
              <w:rPr>
                <w:color w:val="auto"/>
                <w:spacing w:val="-8"/>
                <w:sz w:val="21"/>
                <w:szCs w:val="21"/>
                <w:highlight w:val="none"/>
              </w:rPr>
              <w:t>分/处，致使</w:t>
            </w:r>
          </w:p>
          <w:p w14:paraId="624BA262">
            <w:pPr>
              <w:pStyle w:val="247"/>
              <w:spacing w:before="62" w:line="221" w:lineRule="auto"/>
              <w:ind w:left="245"/>
              <w:rPr>
                <w:color w:val="auto"/>
                <w:sz w:val="21"/>
                <w:szCs w:val="21"/>
                <w:highlight w:val="none"/>
              </w:rPr>
            </w:pPr>
            <w:r>
              <w:rPr>
                <w:color w:val="auto"/>
                <w:spacing w:val="-1"/>
                <w:sz w:val="21"/>
                <w:szCs w:val="21"/>
                <w:highlight w:val="none"/>
              </w:rPr>
              <w:t>植物死亡，加倍扣分。</w:t>
            </w:r>
          </w:p>
        </w:tc>
      </w:tr>
      <w:tr w14:paraId="5D547532">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2521" w:hRule="atLeast"/>
        </w:trPr>
        <w:tc>
          <w:tcPr>
            <w:tcW w:w="766" w:type="dxa"/>
            <w:vMerge w:val="continue"/>
            <w:vAlign w:val="top"/>
          </w:tcPr>
          <w:p w14:paraId="12B7E715">
            <w:pPr>
              <w:rPr>
                <w:rFonts w:ascii="Arial"/>
                <w:color w:val="auto"/>
                <w:sz w:val="21"/>
                <w:highlight w:val="none"/>
              </w:rPr>
            </w:pPr>
          </w:p>
        </w:tc>
        <w:tc>
          <w:tcPr>
            <w:tcW w:w="553" w:type="dxa"/>
            <w:vAlign w:val="top"/>
          </w:tcPr>
          <w:p w14:paraId="69FE434C">
            <w:pPr>
              <w:spacing w:line="268" w:lineRule="auto"/>
              <w:rPr>
                <w:rFonts w:ascii="Arial"/>
                <w:color w:val="auto"/>
                <w:sz w:val="21"/>
                <w:highlight w:val="none"/>
              </w:rPr>
            </w:pPr>
          </w:p>
          <w:p w14:paraId="7DFDCF01">
            <w:pPr>
              <w:spacing w:line="269" w:lineRule="auto"/>
              <w:rPr>
                <w:rFonts w:ascii="Arial"/>
                <w:color w:val="auto"/>
                <w:sz w:val="21"/>
                <w:highlight w:val="none"/>
              </w:rPr>
            </w:pPr>
          </w:p>
          <w:p w14:paraId="1D8BCAAA">
            <w:pPr>
              <w:spacing w:line="269" w:lineRule="auto"/>
              <w:rPr>
                <w:rFonts w:ascii="Arial"/>
                <w:color w:val="auto"/>
                <w:sz w:val="21"/>
                <w:highlight w:val="none"/>
              </w:rPr>
            </w:pPr>
          </w:p>
          <w:p w14:paraId="18A7A55D">
            <w:pPr>
              <w:spacing w:line="269" w:lineRule="auto"/>
              <w:rPr>
                <w:rFonts w:ascii="Arial"/>
                <w:color w:val="auto"/>
                <w:sz w:val="21"/>
                <w:highlight w:val="none"/>
              </w:rPr>
            </w:pPr>
          </w:p>
          <w:p w14:paraId="05BBC656">
            <w:pPr>
              <w:pStyle w:val="247"/>
              <w:spacing w:before="68" w:line="241" w:lineRule="auto"/>
              <w:ind w:left="222"/>
              <w:rPr>
                <w:color w:val="auto"/>
                <w:sz w:val="21"/>
                <w:szCs w:val="21"/>
                <w:highlight w:val="none"/>
              </w:rPr>
            </w:pPr>
            <w:r>
              <w:rPr>
                <w:color w:val="auto"/>
                <w:sz w:val="21"/>
                <w:szCs w:val="21"/>
                <w:highlight w:val="none"/>
              </w:rPr>
              <w:t>3</w:t>
            </w:r>
          </w:p>
        </w:tc>
        <w:tc>
          <w:tcPr>
            <w:tcW w:w="1024" w:type="dxa"/>
            <w:vAlign w:val="top"/>
          </w:tcPr>
          <w:p w14:paraId="1B64FDD4">
            <w:pPr>
              <w:spacing w:line="306" w:lineRule="auto"/>
              <w:rPr>
                <w:rFonts w:ascii="Arial"/>
                <w:color w:val="auto"/>
                <w:sz w:val="21"/>
                <w:highlight w:val="none"/>
              </w:rPr>
            </w:pPr>
          </w:p>
          <w:p w14:paraId="2F592329">
            <w:pPr>
              <w:spacing w:line="307" w:lineRule="auto"/>
              <w:rPr>
                <w:rFonts w:ascii="Arial"/>
                <w:color w:val="auto"/>
                <w:sz w:val="21"/>
                <w:highlight w:val="none"/>
              </w:rPr>
            </w:pPr>
          </w:p>
          <w:p w14:paraId="61B14762">
            <w:pPr>
              <w:spacing w:line="307" w:lineRule="auto"/>
              <w:rPr>
                <w:rFonts w:ascii="Arial"/>
                <w:color w:val="auto"/>
                <w:sz w:val="21"/>
                <w:highlight w:val="none"/>
              </w:rPr>
            </w:pPr>
          </w:p>
          <w:p w14:paraId="29E29964">
            <w:pPr>
              <w:pStyle w:val="247"/>
              <w:spacing w:before="69" w:line="276" w:lineRule="auto"/>
              <w:ind w:left="145" w:right="139" w:firstLine="49"/>
              <w:rPr>
                <w:color w:val="auto"/>
                <w:sz w:val="21"/>
                <w:szCs w:val="21"/>
                <w:highlight w:val="none"/>
              </w:rPr>
            </w:pPr>
            <w:r>
              <w:rPr>
                <w:color w:val="auto"/>
                <w:spacing w:val="-3"/>
                <w:sz w:val="21"/>
                <w:szCs w:val="21"/>
                <w:highlight w:val="none"/>
              </w:rPr>
              <w:t>绿化长</w:t>
            </w:r>
            <w:r>
              <w:rPr>
                <w:color w:val="auto"/>
                <w:spacing w:val="-12"/>
                <w:sz w:val="21"/>
                <w:szCs w:val="21"/>
                <w:highlight w:val="none"/>
              </w:rPr>
              <w:t>势</w:t>
            </w:r>
            <w:r>
              <w:rPr>
                <w:color w:val="auto"/>
                <w:spacing w:val="-26"/>
                <w:sz w:val="21"/>
                <w:szCs w:val="21"/>
                <w:highlight w:val="none"/>
              </w:rPr>
              <w:t xml:space="preserve"> </w:t>
            </w:r>
            <w:r>
              <w:rPr>
                <w:color w:val="auto"/>
                <w:spacing w:val="-12"/>
                <w:sz w:val="21"/>
                <w:szCs w:val="21"/>
                <w:highlight w:val="none"/>
              </w:rPr>
              <w:t>17</w:t>
            </w:r>
            <w:r>
              <w:rPr>
                <w:color w:val="auto"/>
                <w:spacing w:val="-43"/>
                <w:sz w:val="21"/>
                <w:szCs w:val="21"/>
                <w:highlight w:val="none"/>
              </w:rPr>
              <w:t xml:space="preserve"> </w:t>
            </w:r>
            <w:r>
              <w:rPr>
                <w:color w:val="auto"/>
                <w:spacing w:val="-12"/>
                <w:sz w:val="21"/>
                <w:szCs w:val="21"/>
                <w:highlight w:val="none"/>
              </w:rPr>
              <w:t>分</w:t>
            </w:r>
          </w:p>
        </w:tc>
        <w:tc>
          <w:tcPr>
            <w:tcW w:w="707" w:type="dxa"/>
            <w:vAlign w:val="top"/>
          </w:tcPr>
          <w:p w14:paraId="7AB278ED">
            <w:pPr>
              <w:spacing w:line="268" w:lineRule="auto"/>
              <w:rPr>
                <w:rFonts w:ascii="Arial"/>
                <w:color w:val="auto"/>
                <w:sz w:val="21"/>
                <w:highlight w:val="none"/>
              </w:rPr>
            </w:pPr>
          </w:p>
          <w:p w14:paraId="69AE9A9B">
            <w:pPr>
              <w:spacing w:line="269" w:lineRule="auto"/>
              <w:rPr>
                <w:rFonts w:ascii="Arial"/>
                <w:color w:val="auto"/>
                <w:sz w:val="21"/>
                <w:highlight w:val="none"/>
              </w:rPr>
            </w:pPr>
          </w:p>
          <w:p w14:paraId="57B69091">
            <w:pPr>
              <w:spacing w:line="269" w:lineRule="auto"/>
              <w:rPr>
                <w:rFonts w:ascii="Arial"/>
                <w:color w:val="auto"/>
                <w:sz w:val="21"/>
                <w:highlight w:val="none"/>
              </w:rPr>
            </w:pPr>
          </w:p>
          <w:p w14:paraId="046A4C4B">
            <w:pPr>
              <w:spacing w:line="269" w:lineRule="auto"/>
              <w:rPr>
                <w:rFonts w:ascii="Arial"/>
                <w:color w:val="auto"/>
                <w:sz w:val="21"/>
                <w:highlight w:val="none"/>
              </w:rPr>
            </w:pPr>
          </w:p>
          <w:p w14:paraId="2ED8D447">
            <w:pPr>
              <w:pStyle w:val="247"/>
              <w:spacing w:before="68" w:line="241" w:lineRule="auto"/>
              <w:ind w:left="302"/>
              <w:rPr>
                <w:color w:val="auto"/>
                <w:sz w:val="21"/>
                <w:szCs w:val="21"/>
                <w:highlight w:val="none"/>
              </w:rPr>
            </w:pPr>
            <w:r>
              <w:rPr>
                <w:color w:val="auto"/>
                <w:sz w:val="21"/>
                <w:szCs w:val="21"/>
                <w:highlight w:val="none"/>
              </w:rPr>
              <w:t>3</w:t>
            </w:r>
          </w:p>
        </w:tc>
        <w:tc>
          <w:tcPr>
            <w:tcW w:w="2478" w:type="dxa"/>
            <w:vAlign w:val="top"/>
          </w:tcPr>
          <w:p w14:paraId="28E35F90">
            <w:pPr>
              <w:pStyle w:val="247"/>
              <w:spacing w:before="57" w:line="221" w:lineRule="auto"/>
              <w:ind w:left="108"/>
              <w:rPr>
                <w:color w:val="auto"/>
                <w:sz w:val="21"/>
                <w:szCs w:val="21"/>
                <w:highlight w:val="none"/>
              </w:rPr>
            </w:pPr>
            <w:r>
              <w:rPr>
                <w:color w:val="auto"/>
                <w:spacing w:val="-5"/>
                <w:sz w:val="21"/>
                <w:szCs w:val="21"/>
                <w:highlight w:val="none"/>
              </w:rPr>
              <w:t>绿地、林地及道路行道树</w:t>
            </w:r>
          </w:p>
          <w:p w14:paraId="0AD32E6D">
            <w:pPr>
              <w:pStyle w:val="247"/>
              <w:spacing w:before="60" w:line="221" w:lineRule="auto"/>
              <w:ind w:left="108"/>
              <w:rPr>
                <w:color w:val="auto"/>
                <w:sz w:val="21"/>
                <w:szCs w:val="21"/>
                <w:highlight w:val="none"/>
              </w:rPr>
            </w:pPr>
            <w:r>
              <w:rPr>
                <w:color w:val="auto"/>
                <w:spacing w:val="-5"/>
                <w:sz w:val="21"/>
                <w:szCs w:val="21"/>
                <w:highlight w:val="none"/>
              </w:rPr>
              <w:t>无死株、半截子树、断枝</w:t>
            </w:r>
          </w:p>
          <w:p w14:paraId="7ADDB527">
            <w:pPr>
              <w:pStyle w:val="247"/>
              <w:spacing w:before="61" w:line="221" w:lineRule="auto"/>
              <w:ind w:left="106"/>
              <w:rPr>
                <w:color w:val="auto"/>
                <w:sz w:val="21"/>
                <w:szCs w:val="21"/>
                <w:highlight w:val="none"/>
              </w:rPr>
            </w:pPr>
            <w:r>
              <w:rPr>
                <w:color w:val="auto"/>
                <w:spacing w:val="-5"/>
                <w:sz w:val="21"/>
                <w:szCs w:val="21"/>
                <w:highlight w:val="none"/>
              </w:rPr>
              <w:t>及明显枯枝，树木生长期</w:t>
            </w:r>
          </w:p>
          <w:p w14:paraId="29CECBCC">
            <w:pPr>
              <w:pStyle w:val="247"/>
              <w:spacing w:before="60" w:line="221" w:lineRule="auto"/>
              <w:ind w:left="108"/>
              <w:rPr>
                <w:color w:val="auto"/>
                <w:sz w:val="21"/>
                <w:szCs w:val="21"/>
                <w:highlight w:val="none"/>
              </w:rPr>
            </w:pPr>
            <w:r>
              <w:rPr>
                <w:color w:val="auto"/>
                <w:spacing w:val="-5"/>
                <w:sz w:val="21"/>
                <w:szCs w:val="21"/>
                <w:highlight w:val="none"/>
              </w:rPr>
              <w:t>无大片光秃落叶，乔木保</w:t>
            </w:r>
          </w:p>
          <w:p w14:paraId="6F295738">
            <w:pPr>
              <w:pStyle w:val="247"/>
              <w:spacing w:before="60" w:line="221" w:lineRule="auto"/>
              <w:ind w:left="108"/>
              <w:rPr>
                <w:color w:val="auto"/>
                <w:sz w:val="21"/>
                <w:szCs w:val="21"/>
                <w:highlight w:val="none"/>
              </w:rPr>
            </w:pPr>
            <w:r>
              <w:rPr>
                <w:color w:val="auto"/>
                <w:spacing w:val="-2"/>
                <w:sz w:val="21"/>
                <w:szCs w:val="21"/>
                <w:highlight w:val="none"/>
              </w:rPr>
              <w:t>存率</w:t>
            </w:r>
            <w:r>
              <w:rPr>
                <w:color w:val="auto"/>
                <w:spacing w:val="-34"/>
                <w:sz w:val="21"/>
                <w:szCs w:val="21"/>
                <w:highlight w:val="none"/>
              </w:rPr>
              <w:t xml:space="preserve"> </w:t>
            </w:r>
            <w:r>
              <w:rPr>
                <w:color w:val="auto"/>
                <w:spacing w:val="-2"/>
                <w:sz w:val="21"/>
                <w:szCs w:val="21"/>
                <w:highlight w:val="none"/>
              </w:rPr>
              <w:t>98%以上，灌木色块</w:t>
            </w:r>
          </w:p>
          <w:p w14:paraId="16E2551B">
            <w:pPr>
              <w:pStyle w:val="247"/>
              <w:spacing w:before="61" w:line="220" w:lineRule="auto"/>
              <w:ind w:left="108"/>
              <w:rPr>
                <w:color w:val="auto"/>
                <w:sz w:val="21"/>
                <w:szCs w:val="21"/>
                <w:highlight w:val="none"/>
              </w:rPr>
            </w:pPr>
            <w:r>
              <w:rPr>
                <w:color w:val="auto"/>
                <w:spacing w:val="-5"/>
                <w:sz w:val="21"/>
                <w:szCs w:val="21"/>
                <w:highlight w:val="none"/>
              </w:rPr>
              <w:t>草坪基本无空缺；行道树</w:t>
            </w:r>
          </w:p>
          <w:p w14:paraId="1EFEB785">
            <w:pPr>
              <w:pStyle w:val="247"/>
              <w:spacing w:before="61" w:line="220" w:lineRule="auto"/>
              <w:ind w:left="106"/>
              <w:rPr>
                <w:color w:val="auto"/>
                <w:sz w:val="21"/>
                <w:szCs w:val="21"/>
                <w:highlight w:val="none"/>
              </w:rPr>
            </w:pPr>
            <w:r>
              <w:rPr>
                <w:color w:val="auto"/>
                <w:spacing w:val="-2"/>
                <w:sz w:val="21"/>
                <w:szCs w:val="21"/>
                <w:highlight w:val="none"/>
              </w:rPr>
              <w:t>树干、树枝上无嵌入物、</w:t>
            </w:r>
          </w:p>
          <w:p w14:paraId="22A7179A">
            <w:pPr>
              <w:pStyle w:val="247"/>
              <w:spacing w:before="62" w:line="221" w:lineRule="auto"/>
              <w:ind w:left="402"/>
              <w:rPr>
                <w:color w:val="auto"/>
                <w:sz w:val="21"/>
                <w:szCs w:val="21"/>
                <w:highlight w:val="none"/>
              </w:rPr>
            </w:pPr>
            <w:r>
              <w:rPr>
                <w:color w:val="auto"/>
                <w:spacing w:val="-1"/>
                <w:sz w:val="21"/>
                <w:szCs w:val="21"/>
                <w:highlight w:val="none"/>
              </w:rPr>
              <w:t>悬挂物、张贴物。</w:t>
            </w:r>
          </w:p>
        </w:tc>
        <w:tc>
          <w:tcPr>
            <w:tcW w:w="740" w:type="dxa"/>
            <w:vAlign w:val="top"/>
          </w:tcPr>
          <w:p w14:paraId="7E91420C">
            <w:pPr>
              <w:spacing w:line="268" w:lineRule="auto"/>
              <w:rPr>
                <w:rFonts w:ascii="Arial"/>
                <w:color w:val="auto"/>
                <w:sz w:val="21"/>
                <w:highlight w:val="none"/>
              </w:rPr>
            </w:pPr>
          </w:p>
          <w:p w14:paraId="5B144F91">
            <w:pPr>
              <w:spacing w:line="269" w:lineRule="auto"/>
              <w:rPr>
                <w:rFonts w:ascii="Arial"/>
                <w:color w:val="auto"/>
                <w:sz w:val="21"/>
                <w:highlight w:val="none"/>
              </w:rPr>
            </w:pPr>
          </w:p>
          <w:p w14:paraId="61389205">
            <w:pPr>
              <w:spacing w:line="269" w:lineRule="auto"/>
              <w:rPr>
                <w:rFonts w:ascii="Arial"/>
                <w:color w:val="auto"/>
                <w:sz w:val="21"/>
                <w:highlight w:val="none"/>
              </w:rPr>
            </w:pPr>
          </w:p>
          <w:p w14:paraId="3711A6C9">
            <w:pPr>
              <w:spacing w:line="269" w:lineRule="auto"/>
              <w:rPr>
                <w:rFonts w:ascii="Arial"/>
                <w:color w:val="auto"/>
                <w:sz w:val="21"/>
                <w:highlight w:val="none"/>
              </w:rPr>
            </w:pPr>
          </w:p>
          <w:p w14:paraId="16EF0868">
            <w:pPr>
              <w:pStyle w:val="247"/>
              <w:spacing w:before="68" w:line="241" w:lineRule="auto"/>
              <w:ind w:left="323"/>
              <w:rPr>
                <w:color w:val="auto"/>
                <w:sz w:val="21"/>
                <w:szCs w:val="21"/>
                <w:highlight w:val="none"/>
              </w:rPr>
            </w:pPr>
            <w:r>
              <w:rPr>
                <w:color w:val="auto"/>
                <w:sz w:val="21"/>
                <w:szCs w:val="21"/>
                <w:highlight w:val="none"/>
              </w:rPr>
              <w:t>5</w:t>
            </w:r>
          </w:p>
        </w:tc>
        <w:tc>
          <w:tcPr>
            <w:tcW w:w="2586" w:type="dxa"/>
            <w:vMerge w:val="restart"/>
            <w:vAlign w:val="top"/>
          </w:tcPr>
          <w:p w14:paraId="1B3182B7">
            <w:pPr>
              <w:pStyle w:val="247"/>
              <w:spacing w:before="65" w:line="220" w:lineRule="auto"/>
              <w:ind w:left="191"/>
              <w:rPr>
                <w:color w:val="auto"/>
                <w:sz w:val="21"/>
                <w:szCs w:val="21"/>
                <w:highlight w:val="none"/>
              </w:rPr>
            </w:pPr>
            <w:r>
              <w:rPr>
                <w:color w:val="auto"/>
                <w:spacing w:val="-1"/>
                <w:sz w:val="21"/>
                <w:szCs w:val="21"/>
                <w:highlight w:val="none"/>
              </w:rPr>
              <w:t>绿化因管护不当造成乔灌</w:t>
            </w:r>
            <w:r>
              <w:rPr>
                <w:color w:val="auto"/>
                <w:spacing w:val="3"/>
                <w:sz w:val="21"/>
                <w:szCs w:val="21"/>
                <w:highlight w:val="none"/>
              </w:rPr>
              <w:t>木草坪成片死亡的，扣</w:t>
            </w:r>
            <w:r>
              <w:rPr>
                <w:color w:val="auto"/>
                <w:spacing w:val="-37"/>
                <w:sz w:val="21"/>
                <w:szCs w:val="21"/>
                <w:highlight w:val="none"/>
              </w:rPr>
              <w:t xml:space="preserve"> </w:t>
            </w:r>
            <w:r>
              <w:rPr>
                <w:color w:val="auto"/>
                <w:spacing w:val="3"/>
                <w:sz w:val="21"/>
                <w:szCs w:val="21"/>
                <w:highlight w:val="none"/>
              </w:rPr>
              <w:t>5</w:t>
            </w:r>
            <w:r>
              <w:rPr>
                <w:color w:val="auto"/>
                <w:spacing w:val="-5"/>
                <w:sz w:val="21"/>
                <w:szCs w:val="21"/>
                <w:highlight w:val="none"/>
              </w:rPr>
              <w:t>分/次；绿地内发现有死树</w:t>
            </w:r>
            <w:r>
              <w:rPr>
                <w:color w:val="auto"/>
                <w:spacing w:val="3"/>
                <w:sz w:val="21"/>
                <w:szCs w:val="21"/>
                <w:highlight w:val="none"/>
              </w:rPr>
              <w:t>枯枝未及时清除的扣</w:t>
            </w:r>
            <w:r>
              <w:rPr>
                <w:color w:val="auto"/>
                <w:spacing w:val="-40"/>
                <w:sz w:val="21"/>
                <w:szCs w:val="21"/>
                <w:highlight w:val="none"/>
              </w:rPr>
              <w:t xml:space="preserve"> </w:t>
            </w:r>
            <w:r>
              <w:rPr>
                <w:color w:val="auto"/>
                <w:spacing w:val="3"/>
                <w:sz w:val="21"/>
                <w:szCs w:val="21"/>
                <w:highlight w:val="none"/>
              </w:rPr>
              <w:t>0.5</w:t>
            </w:r>
            <w:r>
              <w:rPr>
                <w:color w:val="auto"/>
                <w:spacing w:val="-5"/>
                <w:sz w:val="21"/>
                <w:szCs w:val="21"/>
                <w:highlight w:val="none"/>
              </w:rPr>
              <w:t>分/处；绿化补缺标段对死</w:t>
            </w:r>
            <w:r>
              <w:rPr>
                <w:color w:val="auto"/>
                <w:spacing w:val="2"/>
                <w:sz w:val="21"/>
                <w:szCs w:val="21"/>
                <w:highlight w:val="none"/>
              </w:rPr>
              <w:t>亡空缺不主动按要求及时</w:t>
            </w:r>
            <w:r>
              <w:rPr>
                <w:color w:val="auto"/>
                <w:spacing w:val="-8"/>
                <w:sz w:val="21"/>
                <w:szCs w:val="21"/>
                <w:highlight w:val="none"/>
              </w:rPr>
              <w:t>进行补缺的，扣</w:t>
            </w:r>
            <w:r>
              <w:rPr>
                <w:color w:val="auto"/>
                <w:spacing w:val="-23"/>
                <w:sz w:val="21"/>
                <w:szCs w:val="21"/>
                <w:highlight w:val="none"/>
              </w:rPr>
              <w:t xml:space="preserve"> </w:t>
            </w:r>
            <w:r>
              <w:rPr>
                <w:color w:val="auto"/>
                <w:spacing w:val="-8"/>
                <w:sz w:val="21"/>
                <w:szCs w:val="21"/>
                <w:highlight w:val="none"/>
              </w:rPr>
              <w:t>1</w:t>
            </w:r>
            <w:r>
              <w:rPr>
                <w:color w:val="auto"/>
                <w:spacing w:val="-42"/>
                <w:sz w:val="21"/>
                <w:szCs w:val="21"/>
                <w:highlight w:val="none"/>
              </w:rPr>
              <w:t xml:space="preserve"> </w:t>
            </w:r>
            <w:r>
              <w:rPr>
                <w:color w:val="auto"/>
                <w:spacing w:val="-8"/>
                <w:sz w:val="21"/>
                <w:szCs w:val="21"/>
                <w:highlight w:val="none"/>
              </w:rPr>
              <w:t>分/次；</w:t>
            </w:r>
            <w:r>
              <w:rPr>
                <w:color w:val="auto"/>
                <w:spacing w:val="2"/>
                <w:sz w:val="21"/>
                <w:szCs w:val="21"/>
                <w:highlight w:val="none"/>
              </w:rPr>
              <w:t>正常情况下发现绿地内有</w:t>
            </w:r>
            <w:r>
              <w:rPr>
                <w:color w:val="auto"/>
                <w:spacing w:val="-2"/>
                <w:sz w:val="21"/>
                <w:szCs w:val="21"/>
                <w:highlight w:val="none"/>
              </w:rPr>
              <w:t>树木倒伏的，扣</w:t>
            </w:r>
            <w:r>
              <w:rPr>
                <w:color w:val="auto"/>
                <w:spacing w:val="-42"/>
                <w:sz w:val="21"/>
                <w:szCs w:val="21"/>
                <w:highlight w:val="none"/>
              </w:rPr>
              <w:t xml:space="preserve"> </w:t>
            </w:r>
            <w:r>
              <w:rPr>
                <w:color w:val="auto"/>
                <w:spacing w:val="-2"/>
                <w:sz w:val="21"/>
                <w:szCs w:val="21"/>
                <w:highlight w:val="none"/>
              </w:rPr>
              <w:t>0.5</w:t>
            </w:r>
            <w:r>
              <w:rPr>
                <w:color w:val="auto"/>
                <w:spacing w:val="-44"/>
                <w:sz w:val="21"/>
                <w:szCs w:val="21"/>
                <w:highlight w:val="none"/>
              </w:rPr>
              <w:t xml:space="preserve"> </w:t>
            </w:r>
            <w:r>
              <w:rPr>
                <w:color w:val="auto"/>
                <w:spacing w:val="-2"/>
                <w:sz w:val="21"/>
                <w:szCs w:val="21"/>
                <w:highlight w:val="none"/>
              </w:rPr>
              <w:t>分/</w:t>
            </w:r>
          </w:p>
          <w:p w14:paraId="75DBBEF7">
            <w:pPr>
              <w:pStyle w:val="247"/>
              <w:spacing w:before="62" w:line="220" w:lineRule="auto"/>
              <w:ind w:left="143"/>
              <w:rPr>
                <w:color w:val="auto"/>
                <w:sz w:val="21"/>
                <w:szCs w:val="21"/>
                <w:highlight w:val="none"/>
              </w:rPr>
            </w:pPr>
            <w:r>
              <w:rPr>
                <w:color w:val="auto"/>
                <w:spacing w:val="-1"/>
                <w:sz w:val="21"/>
                <w:szCs w:val="21"/>
                <w:highlight w:val="none"/>
              </w:rPr>
              <w:t>处；大风暴雨等自然灾害</w:t>
            </w:r>
          </w:p>
          <w:p w14:paraId="3A72F466">
            <w:pPr>
              <w:pStyle w:val="247"/>
              <w:spacing w:before="62" w:line="221" w:lineRule="auto"/>
              <w:ind w:left="142"/>
              <w:rPr>
                <w:color w:val="auto"/>
                <w:sz w:val="21"/>
                <w:szCs w:val="21"/>
                <w:highlight w:val="none"/>
              </w:rPr>
            </w:pPr>
            <w:r>
              <w:rPr>
                <w:color w:val="auto"/>
                <w:spacing w:val="-1"/>
                <w:sz w:val="21"/>
                <w:szCs w:val="21"/>
                <w:highlight w:val="none"/>
              </w:rPr>
              <w:t>发生时，不及时对绿化进</w:t>
            </w:r>
          </w:p>
          <w:p w14:paraId="7CCC5E37">
            <w:pPr>
              <w:pStyle w:val="247"/>
              <w:spacing w:before="59" w:line="221" w:lineRule="auto"/>
              <w:ind w:left="115"/>
              <w:rPr>
                <w:color w:val="auto"/>
                <w:sz w:val="21"/>
                <w:szCs w:val="21"/>
                <w:highlight w:val="none"/>
              </w:rPr>
            </w:pPr>
            <w:r>
              <w:rPr>
                <w:color w:val="auto"/>
                <w:spacing w:val="-6"/>
                <w:sz w:val="21"/>
                <w:szCs w:val="21"/>
                <w:highlight w:val="none"/>
              </w:rPr>
              <w:t>行抢险的，扣</w:t>
            </w:r>
            <w:r>
              <w:rPr>
                <w:color w:val="auto"/>
                <w:spacing w:val="-41"/>
                <w:sz w:val="21"/>
                <w:szCs w:val="21"/>
                <w:highlight w:val="none"/>
              </w:rPr>
              <w:t xml:space="preserve"> </w:t>
            </w:r>
            <w:r>
              <w:rPr>
                <w:color w:val="auto"/>
                <w:spacing w:val="-6"/>
                <w:sz w:val="21"/>
                <w:szCs w:val="21"/>
                <w:highlight w:val="none"/>
              </w:rPr>
              <w:t>2</w:t>
            </w:r>
            <w:r>
              <w:rPr>
                <w:color w:val="auto"/>
                <w:spacing w:val="-44"/>
                <w:sz w:val="21"/>
                <w:szCs w:val="21"/>
                <w:highlight w:val="none"/>
              </w:rPr>
              <w:t xml:space="preserve"> </w:t>
            </w:r>
            <w:r>
              <w:rPr>
                <w:color w:val="auto"/>
                <w:spacing w:val="-6"/>
                <w:sz w:val="21"/>
                <w:szCs w:val="21"/>
                <w:highlight w:val="none"/>
              </w:rPr>
              <w:t>分/次；对</w:t>
            </w:r>
          </w:p>
          <w:p w14:paraId="1F79FE25">
            <w:pPr>
              <w:pStyle w:val="247"/>
              <w:spacing w:before="60" w:line="220" w:lineRule="auto"/>
              <w:ind w:left="138"/>
              <w:rPr>
                <w:color w:val="auto"/>
                <w:sz w:val="21"/>
                <w:szCs w:val="21"/>
                <w:highlight w:val="none"/>
              </w:rPr>
            </w:pPr>
            <w:r>
              <w:rPr>
                <w:color w:val="auto"/>
                <w:spacing w:val="-1"/>
                <w:sz w:val="21"/>
                <w:szCs w:val="21"/>
                <w:highlight w:val="none"/>
              </w:rPr>
              <w:t>布置的临时突击性工作完</w:t>
            </w:r>
          </w:p>
          <w:p w14:paraId="0C9CE085">
            <w:pPr>
              <w:pStyle w:val="247"/>
              <w:spacing w:before="62" w:line="218" w:lineRule="auto"/>
              <w:ind w:left="140"/>
              <w:rPr>
                <w:color w:val="auto"/>
                <w:sz w:val="21"/>
                <w:szCs w:val="21"/>
                <w:highlight w:val="none"/>
              </w:rPr>
            </w:pPr>
            <w:r>
              <w:rPr>
                <w:color w:val="auto"/>
                <w:spacing w:val="-3"/>
                <w:sz w:val="21"/>
                <w:szCs w:val="21"/>
                <w:highlight w:val="none"/>
              </w:rPr>
              <w:t>成不力的，扣</w:t>
            </w:r>
            <w:r>
              <w:rPr>
                <w:color w:val="auto"/>
                <w:spacing w:val="-32"/>
                <w:sz w:val="21"/>
                <w:szCs w:val="21"/>
                <w:highlight w:val="none"/>
              </w:rPr>
              <w:t xml:space="preserve"> </w:t>
            </w:r>
            <w:r>
              <w:rPr>
                <w:color w:val="auto"/>
                <w:spacing w:val="-3"/>
                <w:sz w:val="21"/>
                <w:szCs w:val="21"/>
                <w:highlight w:val="none"/>
              </w:rPr>
              <w:t>2</w:t>
            </w:r>
            <w:r>
              <w:rPr>
                <w:color w:val="auto"/>
                <w:spacing w:val="-44"/>
                <w:sz w:val="21"/>
                <w:szCs w:val="21"/>
                <w:highlight w:val="none"/>
              </w:rPr>
              <w:t xml:space="preserve"> </w:t>
            </w:r>
            <w:r>
              <w:rPr>
                <w:color w:val="auto"/>
                <w:spacing w:val="-3"/>
                <w:sz w:val="21"/>
                <w:szCs w:val="21"/>
                <w:highlight w:val="none"/>
              </w:rPr>
              <w:t>分/次,行</w:t>
            </w:r>
          </w:p>
          <w:p w14:paraId="45867195">
            <w:pPr>
              <w:pStyle w:val="247"/>
              <w:spacing w:before="64" w:line="221" w:lineRule="auto"/>
              <w:ind w:left="138"/>
              <w:rPr>
                <w:color w:val="auto"/>
                <w:sz w:val="21"/>
                <w:szCs w:val="21"/>
                <w:highlight w:val="none"/>
              </w:rPr>
            </w:pPr>
            <w:r>
              <w:rPr>
                <w:color w:val="auto"/>
                <w:spacing w:val="-1"/>
                <w:sz w:val="21"/>
                <w:szCs w:val="21"/>
                <w:highlight w:val="none"/>
              </w:rPr>
              <w:t>道树上发现有嵌入物未及</w:t>
            </w:r>
          </w:p>
          <w:p w14:paraId="684765D2">
            <w:pPr>
              <w:pStyle w:val="247"/>
              <w:spacing w:before="61" w:line="220" w:lineRule="auto"/>
              <w:ind w:left="148"/>
              <w:rPr>
                <w:color w:val="auto"/>
                <w:sz w:val="21"/>
                <w:szCs w:val="21"/>
                <w:highlight w:val="none"/>
              </w:rPr>
            </w:pPr>
            <w:r>
              <w:rPr>
                <w:color w:val="auto"/>
                <w:spacing w:val="-2"/>
                <w:sz w:val="21"/>
                <w:szCs w:val="21"/>
                <w:highlight w:val="none"/>
              </w:rPr>
              <w:t>时采取措施影响树木生长</w:t>
            </w:r>
          </w:p>
          <w:p w14:paraId="36CA8ECB">
            <w:pPr>
              <w:pStyle w:val="247"/>
              <w:spacing w:before="53" w:line="270" w:lineRule="auto"/>
              <w:ind w:left="110" w:right="99" w:firstLine="29"/>
              <w:jc w:val="both"/>
              <w:rPr>
                <w:color w:val="auto"/>
                <w:sz w:val="21"/>
                <w:szCs w:val="21"/>
                <w:highlight w:val="none"/>
              </w:rPr>
            </w:pPr>
            <w:r>
              <w:rPr>
                <w:color w:val="auto"/>
                <w:spacing w:val="-7"/>
                <w:sz w:val="21"/>
                <w:szCs w:val="21"/>
                <w:highlight w:val="none"/>
              </w:rPr>
              <w:t>的扣</w:t>
            </w:r>
            <w:r>
              <w:rPr>
                <w:color w:val="auto"/>
                <w:spacing w:val="-41"/>
                <w:sz w:val="21"/>
                <w:szCs w:val="21"/>
                <w:highlight w:val="none"/>
              </w:rPr>
              <w:t xml:space="preserve"> </w:t>
            </w:r>
            <w:r>
              <w:rPr>
                <w:color w:val="auto"/>
                <w:spacing w:val="-7"/>
                <w:sz w:val="21"/>
                <w:szCs w:val="21"/>
                <w:highlight w:val="none"/>
              </w:rPr>
              <w:t>0.5</w:t>
            </w:r>
            <w:r>
              <w:rPr>
                <w:color w:val="auto"/>
                <w:spacing w:val="-41"/>
                <w:sz w:val="21"/>
                <w:szCs w:val="21"/>
                <w:highlight w:val="none"/>
              </w:rPr>
              <w:t xml:space="preserve"> </w:t>
            </w:r>
            <w:r>
              <w:rPr>
                <w:color w:val="auto"/>
                <w:spacing w:val="-7"/>
                <w:sz w:val="21"/>
                <w:szCs w:val="21"/>
                <w:highlight w:val="none"/>
              </w:rPr>
              <w:t>分/株。</w:t>
            </w:r>
          </w:p>
        </w:tc>
      </w:tr>
      <w:tr w14:paraId="063D6F6C">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839" w:hRule="atLeast"/>
        </w:trPr>
        <w:tc>
          <w:tcPr>
            <w:tcW w:w="766" w:type="dxa"/>
            <w:vMerge w:val="continue"/>
            <w:vAlign w:val="top"/>
          </w:tcPr>
          <w:p w14:paraId="1E666B06">
            <w:pPr>
              <w:rPr>
                <w:rFonts w:ascii="Arial"/>
                <w:color w:val="auto"/>
                <w:sz w:val="21"/>
                <w:highlight w:val="none"/>
              </w:rPr>
            </w:pPr>
          </w:p>
        </w:tc>
        <w:tc>
          <w:tcPr>
            <w:tcW w:w="553" w:type="dxa"/>
            <w:vMerge w:val="restart"/>
            <w:tcBorders>
              <w:top w:val="nil"/>
              <w:bottom w:val="nil"/>
            </w:tcBorders>
            <w:vAlign w:val="top"/>
          </w:tcPr>
          <w:p w14:paraId="231E6691">
            <w:pPr>
              <w:rPr>
                <w:rFonts w:ascii="Arial"/>
                <w:color w:val="auto"/>
                <w:sz w:val="21"/>
                <w:highlight w:val="none"/>
              </w:rPr>
            </w:pPr>
          </w:p>
        </w:tc>
        <w:tc>
          <w:tcPr>
            <w:tcW w:w="1024" w:type="dxa"/>
            <w:vMerge w:val="restart"/>
            <w:tcBorders>
              <w:top w:val="nil"/>
              <w:bottom w:val="nil"/>
            </w:tcBorders>
            <w:vAlign w:val="top"/>
          </w:tcPr>
          <w:p w14:paraId="2434D9A8">
            <w:pPr>
              <w:rPr>
                <w:rFonts w:ascii="Arial"/>
                <w:color w:val="auto"/>
                <w:sz w:val="21"/>
                <w:highlight w:val="none"/>
              </w:rPr>
            </w:pPr>
          </w:p>
        </w:tc>
        <w:tc>
          <w:tcPr>
            <w:tcW w:w="707" w:type="dxa"/>
            <w:tcBorders>
              <w:top w:val="nil"/>
            </w:tcBorders>
            <w:vAlign w:val="top"/>
          </w:tcPr>
          <w:p w14:paraId="09122A01">
            <w:pPr>
              <w:spacing w:line="245" w:lineRule="auto"/>
              <w:rPr>
                <w:rFonts w:ascii="Arial"/>
                <w:color w:val="auto"/>
                <w:sz w:val="21"/>
                <w:highlight w:val="none"/>
              </w:rPr>
            </w:pPr>
          </w:p>
          <w:p w14:paraId="7EEF69A4">
            <w:pPr>
              <w:spacing w:line="246" w:lineRule="auto"/>
              <w:rPr>
                <w:rFonts w:ascii="Arial"/>
                <w:color w:val="auto"/>
                <w:sz w:val="21"/>
                <w:highlight w:val="none"/>
              </w:rPr>
            </w:pPr>
          </w:p>
          <w:p w14:paraId="5CFDE217">
            <w:pPr>
              <w:spacing w:line="246" w:lineRule="auto"/>
              <w:rPr>
                <w:rFonts w:ascii="Arial"/>
                <w:color w:val="auto"/>
                <w:sz w:val="21"/>
                <w:highlight w:val="none"/>
              </w:rPr>
            </w:pPr>
          </w:p>
          <w:p w14:paraId="718D566B">
            <w:pPr>
              <w:pStyle w:val="247"/>
              <w:spacing w:before="68" w:line="242" w:lineRule="auto"/>
              <w:ind w:left="297"/>
              <w:rPr>
                <w:color w:val="auto"/>
                <w:sz w:val="21"/>
                <w:szCs w:val="21"/>
                <w:highlight w:val="none"/>
              </w:rPr>
            </w:pPr>
            <w:r>
              <w:rPr>
                <w:color w:val="auto"/>
                <w:sz w:val="21"/>
                <w:szCs w:val="21"/>
                <w:highlight w:val="none"/>
              </w:rPr>
              <w:t>4</w:t>
            </w:r>
          </w:p>
        </w:tc>
        <w:tc>
          <w:tcPr>
            <w:tcW w:w="2478" w:type="dxa"/>
            <w:tcBorders>
              <w:top w:val="nil"/>
            </w:tcBorders>
            <w:vAlign w:val="top"/>
          </w:tcPr>
          <w:p w14:paraId="4F9B3A1E">
            <w:pPr>
              <w:pStyle w:val="247"/>
              <w:spacing w:before="185" w:line="221" w:lineRule="auto"/>
              <w:ind w:left="295"/>
              <w:rPr>
                <w:color w:val="auto"/>
                <w:sz w:val="21"/>
                <w:szCs w:val="21"/>
                <w:highlight w:val="none"/>
              </w:rPr>
            </w:pPr>
            <w:r>
              <w:rPr>
                <w:color w:val="auto"/>
                <w:spacing w:val="-1"/>
                <w:sz w:val="21"/>
                <w:szCs w:val="21"/>
                <w:highlight w:val="none"/>
              </w:rPr>
              <w:t>绿地内地被灌木无缺</w:t>
            </w:r>
          </w:p>
          <w:p w14:paraId="0209A983">
            <w:pPr>
              <w:pStyle w:val="247"/>
              <w:spacing w:before="60" w:line="221" w:lineRule="auto"/>
              <w:ind w:left="106"/>
              <w:rPr>
                <w:color w:val="auto"/>
                <w:sz w:val="21"/>
                <w:szCs w:val="21"/>
                <w:highlight w:val="none"/>
              </w:rPr>
            </w:pPr>
            <w:r>
              <w:rPr>
                <w:color w:val="auto"/>
                <w:spacing w:val="-5"/>
                <w:sz w:val="21"/>
                <w:szCs w:val="21"/>
                <w:highlight w:val="none"/>
              </w:rPr>
              <w:t>损，绿篱及满种模纹有空</w:t>
            </w:r>
          </w:p>
          <w:p w14:paraId="1A8032BD">
            <w:pPr>
              <w:pStyle w:val="247"/>
              <w:spacing w:before="60" w:line="221" w:lineRule="auto"/>
              <w:ind w:left="188"/>
              <w:rPr>
                <w:color w:val="auto"/>
                <w:sz w:val="21"/>
                <w:szCs w:val="21"/>
                <w:highlight w:val="none"/>
              </w:rPr>
            </w:pPr>
            <w:r>
              <w:rPr>
                <w:color w:val="auto"/>
                <w:spacing w:val="-1"/>
                <w:sz w:val="21"/>
                <w:szCs w:val="21"/>
                <w:highlight w:val="none"/>
              </w:rPr>
              <w:t>缺应及时补缺，乔木类</w:t>
            </w:r>
          </w:p>
          <w:p w14:paraId="1E9BFEAA">
            <w:pPr>
              <w:pStyle w:val="247"/>
              <w:spacing w:before="60" w:line="221" w:lineRule="auto"/>
              <w:ind w:left="113"/>
              <w:rPr>
                <w:color w:val="auto"/>
                <w:sz w:val="21"/>
                <w:szCs w:val="21"/>
                <w:highlight w:val="none"/>
              </w:rPr>
            </w:pPr>
            <w:r>
              <w:rPr>
                <w:color w:val="auto"/>
                <w:spacing w:val="-6"/>
                <w:sz w:val="21"/>
                <w:szCs w:val="21"/>
                <w:highlight w:val="none"/>
              </w:rPr>
              <w:t>（含行道树）缺损应适时</w:t>
            </w:r>
          </w:p>
          <w:p w14:paraId="4D5C5A6E">
            <w:pPr>
              <w:pStyle w:val="247"/>
              <w:spacing w:before="61" w:line="221" w:lineRule="auto"/>
              <w:ind w:left="625"/>
              <w:rPr>
                <w:color w:val="auto"/>
                <w:sz w:val="21"/>
                <w:szCs w:val="21"/>
                <w:highlight w:val="none"/>
              </w:rPr>
            </w:pPr>
            <w:r>
              <w:rPr>
                <w:color w:val="auto"/>
                <w:spacing w:val="-4"/>
                <w:sz w:val="21"/>
                <w:szCs w:val="21"/>
                <w:highlight w:val="none"/>
              </w:rPr>
              <w:t>间苗、补种。</w:t>
            </w:r>
          </w:p>
        </w:tc>
        <w:tc>
          <w:tcPr>
            <w:tcW w:w="740" w:type="dxa"/>
            <w:tcBorders>
              <w:top w:val="nil"/>
            </w:tcBorders>
            <w:vAlign w:val="top"/>
          </w:tcPr>
          <w:p w14:paraId="69CFF431">
            <w:pPr>
              <w:spacing w:line="245" w:lineRule="auto"/>
              <w:rPr>
                <w:rFonts w:ascii="Arial"/>
                <w:color w:val="auto"/>
                <w:sz w:val="21"/>
                <w:highlight w:val="none"/>
              </w:rPr>
            </w:pPr>
          </w:p>
          <w:p w14:paraId="317844F7">
            <w:pPr>
              <w:spacing w:line="246" w:lineRule="auto"/>
              <w:rPr>
                <w:rFonts w:ascii="Arial"/>
                <w:color w:val="auto"/>
                <w:sz w:val="21"/>
                <w:highlight w:val="none"/>
              </w:rPr>
            </w:pPr>
          </w:p>
          <w:p w14:paraId="71AF0625">
            <w:pPr>
              <w:spacing w:line="246" w:lineRule="auto"/>
              <w:rPr>
                <w:rFonts w:ascii="Arial"/>
                <w:color w:val="auto"/>
                <w:sz w:val="21"/>
                <w:highlight w:val="none"/>
              </w:rPr>
            </w:pPr>
          </w:p>
          <w:p w14:paraId="1ADEEDF5">
            <w:pPr>
              <w:pStyle w:val="247"/>
              <w:spacing w:before="68" w:line="241" w:lineRule="auto"/>
              <w:ind w:left="323"/>
              <w:rPr>
                <w:color w:val="auto"/>
                <w:sz w:val="21"/>
                <w:szCs w:val="21"/>
                <w:highlight w:val="none"/>
              </w:rPr>
            </w:pPr>
            <w:r>
              <w:rPr>
                <w:color w:val="auto"/>
                <w:sz w:val="21"/>
                <w:szCs w:val="21"/>
                <w:highlight w:val="none"/>
              </w:rPr>
              <w:t>5</w:t>
            </w:r>
          </w:p>
        </w:tc>
        <w:tc>
          <w:tcPr>
            <w:tcW w:w="2586" w:type="dxa"/>
            <w:vMerge w:val="continue"/>
            <w:vAlign w:val="top"/>
          </w:tcPr>
          <w:p w14:paraId="2FBE90C7">
            <w:pPr>
              <w:pStyle w:val="247"/>
              <w:spacing w:before="61" w:line="221" w:lineRule="auto"/>
              <w:ind w:left="523"/>
              <w:rPr>
                <w:color w:val="auto"/>
                <w:sz w:val="21"/>
                <w:szCs w:val="21"/>
                <w:highlight w:val="none"/>
              </w:rPr>
            </w:pPr>
          </w:p>
        </w:tc>
      </w:tr>
      <w:tr w14:paraId="6816D476">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PrEx>
        <w:trPr>
          <w:trHeight w:val="2512" w:hRule="atLeast"/>
        </w:trPr>
        <w:tc>
          <w:tcPr>
            <w:tcW w:w="766" w:type="dxa"/>
            <w:vMerge w:val="continue"/>
            <w:vAlign w:val="top"/>
          </w:tcPr>
          <w:p w14:paraId="2268A2D5">
            <w:pPr>
              <w:rPr>
                <w:rFonts w:ascii="Arial"/>
                <w:color w:val="auto"/>
                <w:sz w:val="21"/>
                <w:highlight w:val="none"/>
              </w:rPr>
            </w:pPr>
          </w:p>
        </w:tc>
        <w:tc>
          <w:tcPr>
            <w:tcW w:w="553" w:type="dxa"/>
            <w:vMerge w:val="continue"/>
            <w:tcBorders>
              <w:top w:val="nil"/>
              <w:bottom w:val="nil"/>
            </w:tcBorders>
            <w:vAlign w:val="top"/>
          </w:tcPr>
          <w:p w14:paraId="0485E3CE">
            <w:pPr>
              <w:rPr>
                <w:rFonts w:ascii="Arial"/>
                <w:color w:val="auto"/>
                <w:sz w:val="21"/>
                <w:highlight w:val="none"/>
              </w:rPr>
            </w:pPr>
          </w:p>
        </w:tc>
        <w:tc>
          <w:tcPr>
            <w:tcW w:w="1024" w:type="dxa"/>
            <w:vMerge w:val="continue"/>
            <w:tcBorders>
              <w:top w:val="nil"/>
              <w:bottom w:val="nil"/>
            </w:tcBorders>
            <w:vAlign w:val="top"/>
          </w:tcPr>
          <w:p w14:paraId="33B87DC3">
            <w:pPr>
              <w:rPr>
                <w:rFonts w:ascii="Arial"/>
                <w:color w:val="auto"/>
                <w:sz w:val="21"/>
                <w:highlight w:val="none"/>
              </w:rPr>
            </w:pPr>
          </w:p>
        </w:tc>
        <w:tc>
          <w:tcPr>
            <w:tcW w:w="707" w:type="dxa"/>
            <w:vAlign w:val="top"/>
          </w:tcPr>
          <w:p w14:paraId="4A8353A1">
            <w:pPr>
              <w:spacing w:line="266" w:lineRule="auto"/>
              <w:rPr>
                <w:rFonts w:ascii="Arial"/>
                <w:color w:val="auto"/>
                <w:sz w:val="21"/>
                <w:highlight w:val="none"/>
              </w:rPr>
            </w:pPr>
          </w:p>
          <w:p w14:paraId="03FC2CA2">
            <w:pPr>
              <w:spacing w:line="266" w:lineRule="auto"/>
              <w:rPr>
                <w:rFonts w:ascii="Arial"/>
                <w:color w:val="auto"/>
                <w:sz w:val="21"/>
                <w:highlight w:val="none"/>
              </w:rPr>
            </w:pPr>
          </w:p>
          <w:p w14:paraId="25965106">
            <w:pPr>
              <w:spacing w:line="266" w:lineRule="auto"/>
              <w:rPr>
                <w:rFonts w:ascii="Arial"/>
                <w:color w:val="auto"/>
                <w:sz w:val="21"/>
                <w:highlight w:val="none"/>
              </w:rPr>
            </w:pPr>
          </w:p>
          <w:p w14:paraId="066DDB1B">
            <w:pPr>
              <w:spacing w:line="267" w:lineRule="auto"/>
              <w:rPr>
                <w:rFonts w:ascii="Arial"/>
                <w:color w:val="auto"/>
                <w:sz w:val="21"/>
                <w:highlight w:val="none"/>
              </w:rPr>
            </w:pPr>
          </w:p>
          <w:p w14:paraId="04899745">
            <w:pPr>
              <w:pStyle w:val="247"/>
              <w:spacing w:before="68" w:line="241" w:lineRule="auto"/>
              <w:ind w:left="302"/>
              <w:rPr>
                <w:color w:val="auto"/>
                <w:sz w:val="21"/>
                <w:szCs w:val="21"/>
                <w:highlight w:val="none"/>
              </w:rPr>
            </w:pPr>
            <w:r>
              <w:rPr>
                <w:color w:val="auto"/>
                <w:sz w:val="21"/>
                <w:szCs w:val="21"/>
                <w:highlight w:val="none"/>
              </w:rPr>
              <w:t>5</w:t>
            </w:r>
          </w:p>
        </w:tc>
        <w:tc>
          <w:tcPr>
            <w:tcW w:w="2478" w:type="dxa"/>
            <w:vAlign w:val="top"/>
          </w:tcPr>
          <w:p w14:paraId="2E9249D4">
            <w:pPr>
              <w:pStyle w:val="247"/>
              <w:spacing w:before="47" w:line="221" w:lineRule="auto"/>
              <w:ind w:left="106"/>
              <w:rPr>
                <w:color w:val="auto"/>
                <w:sz w:val="21"/>
                <w:szCs w:val="21"/>
                <w:highlight w:val="none"/>
              </w:rPr>
            </w:pPr>
            <w:r>
              <w:rPr>
                <w:color w:val="auto"/>
                <w:spacing w:val="-3"/>
                <w:sz w:val="21"/>
                <w:szCs w:val="21"/>
                <w:highlight w:val="none"/>
              </w:rPr>
              <w:t>树木无倾斜、倒歪现象，</w:t>
            </w:r>
          </w:p>
          <w:p w14:paraId="1E3DA613">
            <w:pPr>
              <w:pStyle w:val="247"/>
              <w:spacing w:before="60" w:line="220" w:lineRule="auto"/>
              <w:ind w:left="194"/>
              <w:rPr>
                <w:color w:val="auto"/>
                <w:sz w:val="21"/>
                <w:szCs w:val="21"/>
                <w:highlight w:val="none"/>
              </w:rPr>
            </w:pPr>
            <w:r>
              <w:rPr>
                <w:color w:val="auto"/>
                <w:spacing w:val="-2"/>
                <w:sz w:val="21"/>
                <w:szCs w:val="21"/>
                <w:highlight w:val="none"/>
              </w:rPr>
              <w:t>高大乔木应采取防倒有</w:t>
            </w:r>
          </w:p>
          <w:p w14:paraId="4C1C1D11">
            <w:pPr>
              <w:pStyle w:val="247"/>
              <w:spacing w:before="61" w:line="221" w:lineRule="auto"/>
              <w:ind w:left="112"/>
              <w:rPr>
                <w:color w:val="auto"/>
                <w:sz w:val="21"/>
                <w:szCs w:val="21"/>
                <w:highlight w:val="none"/>
              </w:rPr>
            </w:pPr>
            <w:r>
              <w:rPr>
                <w:color w:val="auto"/>
                <w:spacing w:val="-6"/>
                <w:sz w:val="21"/>
                <w:szCs w:val="21"/>
                <w:highlight w:val="none"/>
              </w:rPr>
              <w:t>效措施，因台风等灾害天</w:t>
            </w:r>
          </w:p>
          <w:p w14:paraId="03C4D9A4">
            <w:pPr>
              <w:pStyle w:val="247"/>
              <w:spacing w:before="60" w:line="220" w:lineRule="auto"/>
              <w:ind w:left="107"/>
              <w:rPr>
                <w:color w:val="auto"/>
                <w:sz w:val="21"/>
                <w:szCs w:val="21"/>
                <w:highlight w:val="none"/>
              </w:rPr>
            </w:pPr>
            <w:r>
              <w:rPr>
                <w:color w:val="auto"/>
                <w:spacing w:val="-5"/>
                <w:sz w:val="21"/>
                <w:szCs w:val="21"/>
                <w:highlight w:val="none"/>
              </w:rPr>
              <w:t>气造成树木倒伏时，应及</w:t>
            </w:r>
          </w:p>
          <w:p w14:paraId="0984122E">
            <w:pPr>
              <w:pStyle w:val="247"/>
              <w:spacing w:before="62" w:line="220" w:lineRule="auto"/>
              <w:ind w:left="116"/>
              <w:rPr>
                <w:color w:val="auto"/>
                <w:sz w:val="21"/>
                <w:szCs w:val="21"/>
                <w:highlight w:val="none"/>
              </w:rPr>
            </w:pPr>
            <w:r>
              <w:rPr>
                <w:color w:val="auto"/>
                <w:spacing w:val="-5"/>
                <w:sz w:val="21"/>
                <w:szCs w:val="21"/>
                <w:highlight w:val="none"/>
              </w:rPr>
              <w:t>时扶正支撑倒伏树木，并</w:t>
            </w:r>
          </w:p>
          <w:p w14:paraId="339BB611">
            <w:pPr>
              <w:pStyle w:val="247"/>
              <w:spacing w:before="62" w:line="221" w:lineRule="auto"/>
              <w:ind w:left="187"/>
              <w:rPr>
                <w:color w:val="auto"/>
                <w:sz w:val="21"/>
                <w:szCs w:val="21"/>
                <w:highlight w:val="none"/>
              </w:rPr>
            </w:pPr>
            <w:r>
              <w:rPr>
                <w:color w:val="auto"/>
                <w:spacing w:val="-3"/>
                <w:sz w:val="21"/>
                <w:szCs w:val="21"/>
                <w:highlight w:val="none"/>
              </w:rPr>
              <w:t>及时完成</w:t>
            </w:r>
            <w:r>
              <w:rPr>
                <w:color w:val="auto"/>
                <w:spacing w:val="-29"/>
                <w:sz w:val="21"/>
                <w:szCs w:val="21"/>
                <w:highlight w:val="none"/>
              </w:rPr>
              <w:t xml:space="preserve"> </w:t>
            </w:r>
            <w:r>
              <w:rPr>
                <w:color w:val="auto"/>
                <w:spacing w:val="-3"/>
                <w:sz w:val="21"/>
                <w:szCs w:val="21"/>
                <w:highlight w:val="none"/>
              </w:rPr>
              <w:t>12345</w:t>
            </w:r>
            <w:r>
              <w:rPr>
                <w:color w:val="auto"/>
                <w:spacing w:val="-45"/>
                <w:sz w:val="21"/>
                <w:szCs w:val="21"/>
                <w:highlight w:val="none"/>
              </w:rPr>
              <w:t xml:space="preserve"> </w:t>
            </w:r>
            <w:r>
              <w:rPr>
                <w:color w:val="auto"/>
                <w:spacing w:val="-3"/>
                <w:sz w:val="21"/>
                <w:szCs w:val="21"/>
                <w:highlight w:val="none"/>
              </w:rPr>
              <w:t>便民服</w:t>
            </w:r>
            <w:r>
              <w:rPr>
                <w:color w:val="auto"/>
                <w:spacing w:val="-5"/>
                <w:sz w:val="21"/>
                <w:szCs w:val="21"/>
                <w:highlight w:val="none"/>
              </w:rPr>
              <w:t>务、环境整治、抢险等临</w:t>
            </w:r>
          </w:p>
          <w:p w14:paraId="530DD5B5">
            <w:pPr>
              <w:pStyle w:val="247"/>
              <w:spacing w:before="61" w:line="221" w:lineRule="auto"/>
              <w:ind w:left="512"/>
              <w:rPr>
                <w:color w:val="auto"/>
                <w:sz w:val="21"/>
                <w:szCs w:val="21"/>
                <w:highlight w:val="none"/>
              </w:rPr>
            </w:pPr>
            <w:r>
              <w:rPr>
                <w:color w:val="auto"/>
                <w:spacing w:val="-5"/>
                <w:sz w:val="21"/>
                <w:szCs w:val="21"/>
                <w:highlight w:val="none"/>
              </w:rPr>
              <w:t>时性突击工作。</w:t>
            </w:r>
          </w:p>
        </w:tc>
        <w:tc>
          <w:tcPr>
            <w:tcW w:w="740" w:type="dxa"/>
            <w:vAlign w:val="top"/>
          </w:tcPr>
          <w:p w14:paraId="0F82159F">
            <w:pPr>
              <w:spacing w:line="266" w:lineRule="auto"/>
              <w:rPr>
                <w:rFonts w:ascii="Arial"/>
                <w:color w:val="auto"/>
                <w:sz w:val="21"/>
                <w:highlight w:val="none"/>
              </w:rPr>
            </w:pPr>
          </w:p>
          <w:p w14:paraId="5467C46B">
            <w:pPr>
              <w:spacing w:line="266" w:lineRule="auto"/>
              <w:rPr>
                <w:rFonts w:ascii="Arial"/>
                <w:color w:val="auto"/>
                <w:sz w:val="21"/>
                <w:highlight w:val="none"/>
              </w:rPr>
            </w:pPr>
          </w:p>
          <w:p w14:paraId="0AD06ACE">
            <w:pPr>
              <w:spacing w:line="266" w:lineRule="auto"/>
              <w:rPr>
                <w:rFonts w:ascii="Arial"/>
                <w:color w:val="auto"/>
                <w:sz w:val="21"/>
                <w:highlight w:val="none"/>
              </w:rPr>
            </w:pPr>
          </w:p>
          <w:p w14:paraId="0C330C1E">
            <w:pPr>
              <w:spacing w:line="267" w:lineRule="auto"/>
              <w:rPr>
                <w:rFonts w:ascii="Arial"/>
                <w:color w:val="auto"/>
                <w:sz w:val="21"/>
                <w:highlight w:val="none"/>
              </w:rPr>
            </w:pPr>
          </w:p>
          <w:p w14:paraId="28DF9399">
            <w:pPr>
              <w:pStyle w:val="247"/>
              <w:spacing w:before="68" w:line="241" w:lineRule="auto"/>
              <w:ind w:left="323"/>
              <w:rPr>
                <w:color w:val="auto"/>
                <w:sz w:val="21"/>
                <w:szCs w:val="21"/>
                <w:highlight w:val="none"/>
              </w:rPr>
            </w:pPr>
            <w:r>
              <w:rPr>
                <w:color w:val="auto"/>
                <w:sz w:val="21"/>
                <w:szCs w:val="21"/>
                <w:highlight w:val="none"/>
              </w:rPr>
              <w:t>5</w:t>
            </w:r>
          </w:p>
        </w:tc>
        <w:tc>
          <w:tcPr>
            <w:tcW w:w="2586" w:type="dxa"/>
            <w:vMerge w:val="continue"/>
            <w:vAlign w:val="top"/>
          </w:tcPr>
          <w:p w14:paraId="790505E0">
            <w:pPr>
              <w:rPr>
                <w:rFonts w:ascii="Arial"/>
                <w:color w:val="auto"/>
                <w:sz w:val="21"/>
                <w:highlight w:val="none"/>
              </w:rPr>
            </w:pPr>
          </w:p>
        </w:tc>
      </w:tr>
      <w:tr w14:paraId="4EDD62DD">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814" w:hRule="atLeast"/>
        </w:trPr>
        <w:tc>
          <w:tcPr>
            <w:tcW w:w="766" w:type="dxa"/>
            <w:vMerge w:val="continue"/>
            <w:vAlign w:val="top"/>
          </w:tcPr>
          <w:p w14:paraId="5D5901FD">
            <w:pPr>
              <w:rPr>
                <w:rFonts w:ascii="Arial"/>
                <w:color w:val="auto"/>
                <w:sz w:val="21"/>
                <w:highlight w:val="none"/>
              </w:rPr>
            </w:pPr>
          </w:p>
        </w:tc>
        <w:tc>
          <w:tcPr>
            <w:tcW w:w="553" w:type="dxa"/>
            <w:vMerge w:val="continue"/>
            <w:tcBorders>
              <w:top w:val="nil"/>
            </w:tcBorders>
            <w:vAlign w:val="top"/>
          </w:tcPr>
          <w:p w14:paraId="0E709F28">
            <w:pPr>
              <w:rPr>
                <w:rFonts w:ascii="Arial"/>
                <w:color w:val="auto"/>
                <w:sz w:val="21"/>
                <w:highlight w:val="none"/>
              </w:rPr>
            </w:pPr>
          </w:p>
        </w:tc>
        <w:tc>
          <w:tcPr>
            <w:tcW w:w="1024" w:type="dxa"/>
            <w:vMerge w:val="continue"/>
            <w:tcBorders>
              <w:top w:val="nil"/>
            </w:tcBorders>
            <w:vAlign w:val="top"/>
          </w:tcPr>
          <w:p w14:paraId="45C5A2E4">
            <w:pPr>
              <w:rPr>
                <w:rFonts w:ascii="Arial"/>
                <w:color w:val="auto"/>
                <w:sz w:val="21"/>
                <w:highlight w:val="none"/>
              </w:rPr>
            </w:pPr>
          </w:p>
        </w:tc>
        <w:tc>
          <w:tcPr>
            <w:tcW w:w="707" w:type="dxa"/>
            <w:vAlign w:val="top"/>
          </w:tcPr>
          <w:p w14:paraId="10A3A080">
            <w:pPr>
              <w:rPr>
                <w:rFonts w:ascii="Arial"/>
                <w:color w:val="auto"/>
                <w:sz w:val="21"/>
                <w:highlight w:val="none"/>
              </w:rPr>
            </w:pPr>
          </w:p>
          <w:p w14:paraId="4D772357">
            <w:pPr>
              <w:rPr>
                <w:rFonts w:ascii="Arial"/>
                <w:color w:val="auto"/>
                <w:sz w:val="21"/>
                <w:highlight w:val="none"/>
              </w:rPr>
            </w:pPr>
          </w:p>
          <w:p w14:paraId="7DD495E0">
            <w:pPr>
              <w:rPr>
                <w:rFonts w:ascii="Arial"/>
                <w:color w:val="auto"/>
                <w:sz w:val="21"/>
                <w:highlight w:val="none"/>
              </w:rPr>
            </w:pPr>
          </w:p>
          <w:p w14:paraId="7DA121CE">
            <w:pPr>
              <w:pStyle w:val="247"/>
              <w:spacing w:before="68" w:line="241" w:lineRule="auto"/>
              <w:ind w:left="299"/>
              <w:rPr>
                <w:color w:val="auto"/>
                <w:sz w:val="21"/>
                <w:szCs w:val="21"/>
                <w:highlight w:val="none"/>
              </w:rPr>
            </w:pPr>
            <w:r>
              <w:rPr>
                <w:color w:val="auto"/>
                <w:sz w:val="21"/>
                <w:szCs w:val="21"/>
                <w:highlight w:val="none"/>
              </w:rPr>
              <w:t>6</w:t>
            </w:r>
          </w:p>
        </w:tc>
        <w:tc>
          <w:tcPr>
            <w:tcW w:w="2478" w:type="dxa"/>
            <w:vAlign w:val="top"/>
          </w:tcPr>
          <w:p w14:paraId="0B0EEEBD">
            <w:pPr>
              <w:spacing w:line="254" w:lineRule="auto"/>
              <w:rPr>
                <w:rFonts w:ascii="Arial"/>
                <w:color w:val="auto"/>
                <w:sz w:val="21"/>
                <w:highlight w:val="none"/>
              </w:rPr>
            </w:pPr>
          </w:p>
          <w:p w14:paraId="018A7E3B">
            <w:pPr>
              <w:pStyle w:val="247"/>
              <w:spacing w:before="68" w:line="221" w:lineRule="auto"/>
              <w:ind w:left="108"/>
              <w:rPr>
                <w:color w:val="auto"/>
                <w:sz w:val="21"/>
                <w:szCs w:val="21"/>
                <w:highlight w:val="none"/>
              </w:rPr>
            </w:pPr>
            <w:r>
              <w:rPr>
                <w:color w:val="auto"/>
                <w:spacing w:val="-5"/>
                <w:sz w:val="21"/>
                <w:szCs w:val="21"/>
                <w:highlight w:val="none"/>
              </w:rPr>
              <w:t>草坪无空缺，如有空缺应</w:t>
            </w:r>
          </w:p>
          <w:p w14:paraId="6F2FB859">
            <w:pPr>
              <w:pStyle w:val="247"/>
              <w:spacing w:before="60" w:line="221" w:lineRule="auto"/>
              <w:ind w:left="106"/>
              <w:rPr>
                <w:color w:val="auto"/>
                <w:sz w:val="21"/>
                <w:szCs w:val="21"/>
                <w:highlight w:val="none"/>
              </w:rPr>
            </w:pPr>
            <w:r>
              <w:rPr>
                <w:color w:val="auto"/>
                <w:spacing w:val="-5"/>
                <w:sz w:val="21"/>
                <w:szCs w:val="21"/>
                <w:highlight w:val="none"/>
              </w:rPr>
              <w:t>及时重播或重铺，长势良</w:t>
            </w:r>
          </w:p>
          <w:p w14:paraId="02E66D23">
            <w:pPr>
              <w:pStyle w:val="247"/>
              <w:spacing w:before="60" w:line="221" w:lineRule="auto"/>
              <w:ind w:left="106"/>
              <w:rPr>
                <w:color w:val="auto"/>
                <w:sz w:val="21"/>
                <w:szCs w:val="21"/>
                <w:highlight w:val="none"/>
              </w:rPr>
            </w:pPr>
            <w:r>
              <w:rPr>
                <w:color w:val="auto"/>
                <w:spacing w:val="-5"/>
                <w:sz w:val="21"/>
                <w:szCs w:val="21"/>
                <w:highlight w:val="none"/>
              </w:rPr>
              <w:t>好，无黄化及明显杂草未</w:t>
            </w:r>
          </w:p>
          <w:p w14:paraId="3AC590A5">
            <w:pPr>
              <w:pStyle w:val="247"/>
              <w:spacing w:before="60" w:line="221" w:lineRule="auto"/>
              <w:ind w:left="714"/>
              <w:rPr>
                <w:color w:val="auto"/>
                <w:sz w:val="21"/>
                <w:szCs w:val="21"/>
                <w:highlight w:val="none"/>
              </w:rPr>
            </w:pPr>
            <w:r>
              <w:rPr>
                <w:color w:val="auto"/>
                <w:spacing w:val="-5"/>
                <w:sz w:val="21"/>
                <w:szCs w:val="21"/>
                <w:highlight w:val="none"/>
              </w:rPr>
              <w:t>拔除迹象。</w:t>
            </w:r>
          </w:p>
        </w:tc>
        <w:tc>
          <w:tcPr>
            <w:tcW w:w="740" w:type="dxa"/>
            <w:vAlign w:val="top"/>
          </w:tcPr>
          <w:p w14:paraId="63033C33">
            <w:pPr>
              <w:rPr>
                <w:rFonts w:ascii="Arial"/>
                <w:color w:val="auto"/>
                <w:sz w:val="21"/>
                <w:highlight w:val="none"/>
              </w:rPr>
            </w:pPr>
          </w:p>
          <w:p w14:paraId="7A9CE9E2">
            <w:pPr>
              <w:rPr>
                <w:rFonts w:ascii="Arial"/>
                <w:color w:val="auto"/>
                <w:sz w:val="21"/>
                <w:highlight w:val="none"/>
              </w:rPr>
            </w:pPr>
          </w:p>
          <w:p w14:paraId="3F389BFA">
            <w:pPr>
              <w:rPr>
                <w:rFonts w:ascii="Arial"/>
                <w:color w:val="auto"/>
                <w:sz w:val="21"/>
                <w:highlight w:val="none"/>
              </w:rPr>
            </w:pPr>
          </w:p>
          <w:p w14:paraId="46F24802">
            <w:pPr>
              <w:pStyle w:val="247"/>
              <w:spacing w:before="68" w:line="242" w:lineRule="auto"/>
              <w:ind w:left="322"/>
              <w:rPr>
                <w:color w:val="auto"/>
                <w:sz w:val="21"/>
                <w:szCs w:val="21"/>
                <w:highlight w:val="none"/>
              </w:rPr>
            </w:pPr>
            <w:r>
              <w:rPr>
                <w:color w:val="auto"/>
                <w:sz w:val="21"/>
                <w:szCs w:val="21"/>
                <w:highlight w:val="none"/>
              </w:rPr>
              <w:t>2</w:t>
            </w:r>
          </w:p>
        </w:tc>
        <w:tc>
          <w:tcPr>
            <w:tcW w:w="2586" w:type="dxa"/>
            <w:vMerge w:val="continue"/>
            <w:vAlign w:val="top"/>
          </w:tcPr>
          <w:p w14:paraId="6A750D1A">
            <w:pPr>
              <w:rPr>
                <w:rFonts w:ascii="Arial"/>
                <w:color w:val="auto"/>
                <w:sz w:val="21"/>
                <w:highlight w:val="none"/>
              </w:rPr>
            </w:pPr>
          </w:p>
        </w:tc>
      </w:tr>
      <w:tr w14:paraId="3A379CD3">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89" w:hRule="atLeast"/>
        </w:trPr>
        <w:tc>
          <w:tcPr>
            <w:tcW w:w="766" w:type="dxa"/>
            <w:vMerge w:val="continue"/>
            <w:vAlign w:val="top"/>
          </w:tcPr>
          <w:p w14:paraId="15E9F8FB">
            <w:pPr>
              <w:rPr>
                <w:rFonts w:ascii="Arial"/>
                <w:color w:val="auto"/>
                <w:sz w:val="21"/>
                <w:highlight w:val="none"/>
              </w:rPr>
            </w:pPr>
          </w:p>
        </w:tc>
        <w:tc>
          <w:tcPr>
            <w:tcW w:w="553" w:type="dxa"/>
            <w:vMerge w:val="restart"/>
            <w:tcBorders>
              <w:bottom w:val="nil"/>
            </w:tcBorders>
            <w:vAlign w:val="top"/>
          </w:tcPr>
          <w:p w14:paraId="7133C0C3">
            <w:pPr>
              <w:spacing w:line="263" w:lineRule="auto"/>
              <w:rPr>
                <w:rFonts w:ascii="Arial"/>
                <w:color w:val="auto"/>
                <w:sz w:val="21"/>
                <w:highlight w:val="none"/>
              </w:rPr>
            </w:pPr>
          </w:p>
          <w:p w14:paraId="51DD1297">
            <w:pPr>
              <w:spacing w:line="263" w:lineRule="auto"/>
              <w:rPr>
                <w:rFonts w:ascii="Arial"/>
                <w:color w:val="auto"/>
                <w:sz w:val="21"/>
                <w:highlight w:val="none"/>
              </w:rPr>
            </w:pPr>
          </w:p>
          <w:p w14:paraId="24AD9D5E">
            <w:pPr>
              <w:spacing w:line="264" w:lineRule="auto"/>
              <w:rPr>
                <w:rFonts w:ascii="Arial"/>
                <w:color w:val="auto"/>
                <w:sz w:val="21"/>
                <w:highlight w:val="none"/>
              </w:rPr>
            </w:pPr>
          </w:p>
          <w:p w14:paraId="13FAFAE9">
            <w:pPr>
              <w:spacing w:line="264" w:lineRule="auto"/>
              <w:rPr>
                <w:rFonts w:ascii="Arial"/>
                <w:color w:val="auto"/>
                <w:sz w:val="21"/>
                <w:highlight w:val="none"/>
              </w:rPr>
            </w:pPr>
          </w:p>
          <w:p w14:paraId="673336FF">
            <w:pPr>
              <w:spacing w:line="264" w:lineRule="auto"/>
              <w:rPr>
                <w:rFonts w:ascii="Arial"/>
                <w:color w:val="auto"/>
                <w:sz w:val="21"/>
                <w:highlight w:val="none"/>
              </w:rPr>
            </w:pPr>
          </w:p>
          <w:p w14:paraId="689F57BB">
            <w:pPr>
              <w:spacing w:line="264" w:lineRule="auto"/>
              <w:rPr>
                <w:rFonts w:ascii="Arial"/>
                <w:color w:val="auto"/>
                <w:sz w:val="21"/>
                <w:highlight w:val="none"/>
              </w:rPr>
            </w:pPr>
          </w:p>
          <w:p w14:paraId="137E9FB2">
            <w:pPr>
              <w:spacing w:line="264" w:lineRule="auto"/>
              <w:rPr>
                <w:rFonts w:ascii="Arial"/>
                <w:color w:val="auto"/>
                <w:sz w:val="21"/>
                <w:highlight w:val="none"/>
              </w:rPr>
            </w:pPr>
          </w:p>
          <w:p w14:paraId="1EB9056D">
            <w:pPr>
              <w:pStyle w:val="247"/>
              <w:spacing w:before="68" w:line="242" w:lineRule="auto"/>
              <w:ind w:left="217"/>
              <w:rPr>
                <w:color w:val="auto"/>
                <w:sz w:val="21"/>
                <w:szCs w:val="21"/>
                <w:highlight w:val="none"/>
              </w:rPr>
            </w:pPr>
            <w:r>
              <w:rPr>
                <w:color w:val="auto"/>
                <w:sz w:val="21"/>
                <w:szCs w:val="21"/>
                <w:highlight w:val="none"/>
              </w:rPr>
              <w:t>4</w:t>
            </w:r>
          </w:p>
        </w:tc>
        <w:tc>
          <w:tcPr>
            <w:tcW w:w="1024" w:type="dxa"/>
            <w:vMerge w:val="restart"/>
            <w:tcBorders>
              <w:bottom w:val="nil"/>
            </w:tcBorders>
            <w:vAlign w:val="top"/>
          </w:tcPr>
          <w:p w14:paraId="44C7B8A6">
            <w:pPr>
              <w:spacing w:line="241" w:lineRule="auto"/>
              <w:rPr>
                <w:rFonts w:ascii="Arial"/>
                <w:color w:val="auto"/>
                <w:sz w:val="21"/>
                <w:highlight w:val="none"/>
              </w:rPr>
            </w:pPr>
          </w:p>
          <w:p w14:paraId="4F8C385E">
            <w:pPr>
              <w:spacing w:line="241" w:lineRule="auto"/>
              <w:rPr>
                <w:rFonts w:ascii="Arial"/>
                <w:color w:val="auto"/>
                <w:sz w:val="21"/>
                <w:highlight w:val="none"/>
              </w:rPr>
            </w:pPr>
          </w:p>
          <w:p w14:paraId="7367D386">
            <w:pPr>
              <w:spacing w:line="241" w:lineRule="auto"/>
              <w:rPr>
                <w:rFonts w:ascii="Arial"/>
                <w:color w:val="auto"/>
                <w:sz w:val="21"/>
                <w:highlight w:val="none"/>
              </w:rPr>
            </w:pPr>
          </w:p>
          <w:p w14:paraId="47A8D47E">
            <w:pPr>
              <w:spacing w:line="241" w:lineRule="auto"/>
              <w:rPr>
                <w:rFonts w:ascii="Arial"/>
                <w:color w:val="auto"/>
                <w:sz w:val="21"/>
                <w:highlight w:val="none"/>
              </w:rPr>
            </w:pPr>
          </w:p>
          <w:p w14:paraId="5A926D11">
            <w:pPr>
              <w:spacing w:line="242" w:lineRule="auto"/>
              <w:rPr>
                <w:rFonts w:ascii="Arial"/>
                <w:color w:val="auto"/>
                <w:sz w:val="21"/>
                <w:highlight w:val="none"/>
              </w:rPr>
            </w:pPr>
          </w:p>
          <w:p w14:paraId="726E9774">
            <w:pPr>
              <w:spacing w:line="242" w:lineRule="auto"/>
              <w:rPr>
                <w:rFonts w:ascii="Arial"/>
                <w:color w:val="auto"/>
                <w:sz w:val="21"/>
                <w:highlight w:val="none"/>
              </w:rPr>
            </w:pPr>
          </w:p>
          <w:p w14:paraId="46B5ED69">
            <w:pPr>
              <w:spacing w:line="242" w:lineRule="auto"/>
              <w:rPr>
                <w:rFonts w:ascii="Arial"/>
                <w:color w:val="auto"/>
                <w:sz w:val="21"/>
                <w:highlight w:val="none"/>
              </w:rPr>
            </w:pPr>
          </w:p>
          <w:p w14:paraId="15184F97">
            <w:pPr>
              <w:pStyle w:val="247"/>
              <w:spacing w:before="68" w:line="277" w:lineRule="auto"/>
              <w:ind w:left="145" w:right="139" w:firstLine="46"/>
              <w:rPr>
                <w:color w:val="auto"/>
                <w:sz w:val="21"/>
                <w:szCs w:val="21"/>
                <w:highlight w:val="none"/>
              </w:rPr>
            </w:pPr>
            <w:r>
              <w:rPr>
                <w:color w:val="auto"/>
                <w:spacing w:val="-2"/>
                <w:sz w:val="21"/>
                <w:szCs w:val="21"/>
                <w:highlight w:val="none"/>
              </w:rPr>
              <w:t>病虫防</w:t>
            </w:r>
            <w:r>
              <w:rPr>
                <w:color w:val="auto"/>
                <w:spacing w:val="-8"/>
                <w:sz w:val="21"/>
                <w:szCs w:val="21"/>
                <w:highlight w:val="none"/>
              </w:rPr>
              <w:t>治</w:t>
            </w:r>
            <w:r>
              <w:rPr>
                <w:color w:val="auto"/>
                <w:spacing w:val="-42"/>
                <w:sz w:val="21"/>
                <w:szCs w:val="21"/>
                <w:highlight w:val="none"/>
              </w:rPr>
              <w:t xml:space="preserve"> </w:t>
            </w:r>
            <w:r>
              <w:rPr>
                <w:color w:val="auto"/>
                <w:spacing w:val="-8"/>
                <w:sz w:val="21"/>
                <w:szCs w:val="21"/>
                <w:highlight w:val="none"/>
              </w:rPr>
              <w:t>20</w:t>
            </w:r>
            <w:r>
              <w:rPr>
                <w:color w:val="auto"/>
                <w:spacing w:val="-43"/>
                <w:sz w:val="21"/>
                <w:szCs w:val="21"/>
                <w:highlight w:val="none"/>
              </w:rPr>
              <w:t xml:space="preserve"> </w:t>
            </w:r>
            <w:r>
              <w:rPr>
                <w:color w:val="auto"/>
                <w:spacing w:val="-8"/>
                <w:sz w:val="21"/>
                <w:szCs w:val="21"/>
                <w:highlight w:val="none"/>
              </w:rPr>
              <w:t>分</w:t>
            </w:r>
          </w:p>
        </w:tc>
        <w:tc>
          <w:tcPr>
            <w:tcW w:w="707" w:type="dxa"/>
            <w:vAlign w:val="top"/>
          </w:tcPr>
          <w:p w14:paraId="7C7B7827">
            <w:pPr>
              <w:spacing w:line="261" w:lineRule="auto"/>
              <w:rPr>
                <w:rFonts w:ascii="Arial"/>
                <w:color w:val="auto"/>
                <w:sz w:val="21"/>
                <w:highlight w:val="none"/>
              </w:rPr>
            </w:pPr>
          </w:p>
          <w:p w14:paraId="5A5AE289">
            <w:pPr>
              <w:pStyle w:val="247"/>
              <w:spacing w:before="69" w:line="241" w:lineRule="auto"/>
              <w:ind w:left="303"/>
              <w:rPr>
                <w:color w:val="auto"/>
                <w:sz w:val="21"/>
                <w:szCs w:val="21"/>
                <w:highlight w:val="none"/>
              </w:rPr>
            </w:pPr>
            <w:r>
              <w:rPr>
                <w:color w:val="auto"/>
                <w:sz w:val="21"/>
                <w:szCs w:val="21"/>
                <w:highlight w:val="none"/>
              </w:rPr>
              <w:t>7</w:t>
            </w:r>
          </w:p>
        </w:tc>
        <w:tc>
          <w:tcPr>
            <w:tcW w:w="2478" w:type="dxa"/>
            <w:vAlign w:val="top"/>
          </w:tcPr>
          <w:p w14:paraId="7A7D9261">
            <w:pPr>
              <w:pStyle w:val="247"/>
              <w:spacing w:before="176" w:line="276" w:lineRule="auto"/>
              <w:ind w:left="398" w:right="179" w:hanging="207"/>
              <w:rPr>
                <w:color w:val="auto"/>
                <w:sz w:val="21"/>
                <w:szCs w:val="21"/>
                <w:highlight w:val="none"/>
              </w:rPr>
            </w:pPr>
            <w:r>
              <w:rPr>
                <w:color w:val="auto"/>
                <w:spacing w:val="-1"/>
                <w:sz w:val="21"/>
                <w:szCs w:val="21"/>
                <w:highlight w:val="none"/>
              </w:rPr>
              <w:t>发现病虫害应主动及时汇报，积极防治。</w:t>
            </w:r>
          </w:p>
        </w:tc>
        <w:tc>
          <w:tcPr>
            <w:tcW w:w="740" w:type="dxa"/>
            <w:vAlign w:val="top"/>
          </w:tcPr>
          <w:p w14:paraId="72897ED0">
            <w:pPr>
              <w:spacing w:line="261" w:lineRule="auto"/>
              <w:rPr>
                <w:rFonts w:ascii="Arial"/>
                <w:color w:val="auto"/>
                <w:sz w:val="21"/>
                <w:highlight w:val="none"/>
              </w:rPr>
            </w:pPr>
          </w:p>
          <w:p w14:paraId="20E11F68">
            <w:pPr>
              <w:pStyle w:val="247"/>
              <w:spacing w:before="69" w:line="241" w:lineRule="auto"/>
              <w:ind w:left="323"/>
              <w:rPr>
                <w:color w:val="auto"/>
                <w:sz w:val="21"/>
                <w:szCs w:val="21"/>
                <w:highlight w:val="none"/>
              </w:rPr>
            </w:pPr>
            <w:r>
              <w:rPr>
                <w:color w:val="auto"/>
                <w:sz w:val="21"/>
                <w:szCs w:val="21"/>
                <w:highlight w:val="none"/>
              </w:rPr>
              <w:t>5</w:t>
            </w:r>
          </w:p>
        </w:tc>
        <w:tc>
          <w:tcPr>
            <w:tcW w:w="2586" w:type="dxa"/>
            <w:vMerge w:val="restart"/>
            <w:tcBorders>
              <w:bottom w:val="nil"/>
            </w:tcBorders>
            <w:vAlign w:val="top"/>
          </w:tcPr>
          <w:p w14:paraId="73895797">
            <w:pPr>
              <w:pStyle w:val="247"/>
              <w:spacing w:before="53" w:line="221" w:lineRule="auto"/>
              <w:ind w:left="157"/>
              <w:rPr>
                <w:color w:val="auto"/>
                <w:sz w:val="21"/>
                <w:szCs w:val="21"/>
                <w:highlight w:val="none"/>
              </w:rPr>
            </w:pPr>
            <w:r>
              <w:rPr>
                <w:color w:val="auto"/>
                <w:spacing w:val="-3"/>
                <w:sz w:val="21"/>
                <w:szCs w:val="21"/>
                <w:highlight w:val="none"/>
              </w:rPr>
              <w:t>出现蚧壳虫、蛾类、天牛</w:t>
            </w:r>
          </w:p>
          <w:p w14:paraId="19A8AD5B">
            <w:pPr>
              <w:pStyle w:val="247"/>
              <w:spacing w:before="60" w:line="221" w:lineRule="auto"/>
              <w:ind w:left="114"/>
              <w:rPr>
                <w:color w:val="auto"/>
                <w:sz w:val="21"/>
                <w:szCs w:val="21"/>
                <w:highlight w:val="none"/>
              </w:rPr>
            </w:pPr>
            <w:r>
              <w:rPr>
                <w:color w:val="auto"/>
                <w:spacing w:val="-10"/>
                <w:sz w:val="21"/>
                <w:szCs w:val="21"/>
                <w:highlight w:val="none"/>
              </w:rPr>
              <w:t>等重点害虫危害症状，扣</w:t>
            </w:r>
            <w:r>
              <w:rPr>
                <w:color w:val="auto"/>
                <w:spacing w:val="-33"/>
                <w:sz w:val="21"/>
                <w:szCs w:val="21"/>
                <w:highlight w:val="none"/>
              </w:rPr>
              <w:t xml:space="preserve"> </w:t>
            </w:r>
            <w:r>
              <w:rPr>
                <w:color w:val="auto"/>
                <w:spacing w:val="-10"/>
                <w:sz w:val="21"/>
                <w:szCs w:val="21"/>
                <w:highlight w:val="none"/>
              </w:rPr>
              <w:t>5</w:t>
            </w:r>
          </w:p>
          <w:p w14:paraId="35949017">
            <w:pPr>
              <w:pStyle w:val="247"/>
              <w:spacing w:before="60" w:line="221" w:lineRule="auto"/>
              <w:ind w:left="115"/>
              <w:rPr>
                <w:color w:val="auto"/>
                <w:sz w:val="21"/>
                <w:szCs w:val="21"/>
                <w:highlight w:val="none"/>
              </w:rPr>
            </w:pPr>
            <w:r>
              <w:rPr>
                <w:color w:val="auto"/>
                <w:spacing w:val="-1"/>
                <w:sz w:val="21"/>
                <w:szCs w:val="21"/>
                <w:highlight w:val="none"/>
              </w:rPr>
              <w:t>分/次，造成严重危害的，</w:t>
            </w:r>
          </w:p>
          <w:p w14:paraId="5DE50657">
            <w:pPr>
              <w:pStyle w:val="247"/>
              <w:spacing w:before="60" w:line="221" w:lineRule="auto"/>
              <w:ind w:left="115"/>
              <w:rPr>
                <w:color w:val="auto"/>
                <w:sz w:val="21"/>
                <w:szCs w:val="21"/>
                <w:highlight w:val="none"/>
              </w:rPr>
            </w:pPr>
            <w:r>
              <w:rPr>
                <w:color w:val="auto"/>
                <w:spacing w:val="-7"/>
                <w:sz w:val="21"/>
                <w:szCs w:val="21"/>
                <w:highlight w:val="none"/>
              </w:rPr>
              <w:t>扣</w:t>
            </w:r>
            <w:r>
              <w:rPr>
                <w:color w:val="auto"/>
                <w:spacing w:val="-39"/>
                <w:sz w:val="21"/>
                <w:szCs w:val="21"/>
                <w:highlight w:val="none"/>
              </w:rPr>
              <w:t xml:space="preserve"> </w:t>
            </w:r>
            <w:r>
              <w:rPr>
                <w:color w:val="auto"/>
                <w:spacing w:val="-7"/>
                <w:sz w:val="21"/>
                <w:szCs w:val="21"/>
                <w:highlight w:val="none"/>
              </w:rPr>
              <w:t>8</w:t>
            </w:r>
            <w:r>
              <w:rPr>
                <w:color w:val="auto"/>
                <w:spacing w:val="-42"/>
                <w:sz w:val="21"/>
                <w:szCs w:val="21"/>
                <w:highlight w:val="none"/>
              </w:rPr>
              <w:t xml:space="preserve"> </w:t>
            </w:r>
            <w:r>
              <w:rPr>
                <w:color w:val="auto"/>
                <w:spacing w:val="-7"/>
                <w:sz w:val="21"/>
                <w:szCs w:val="21"/>
                <w:highlight w:val="none"/>
              </w:rPr>
              <w:t>分/次，造成一定范围</w:t>
            </w:r>
          </w:p>
          <w:p w14:paraId="6FE4283B">
            <w:pPr>
              <w:pStyle w:val="247"/>
              <w:spacing w:before="61" w:line="221" w:lineRule="auto"/>
              <w:ind w:left="113"/>
              <w:rPr>
                <w:color w:val="auto"/>
                <w:sz w:val="21"/>
                <w:szCs w:val="21"/>
                <w:highlight w:val="none"/>
              </w:rPr>
            </w:pPr>
            <w:r>
              <w:rPr>
                <w:color w:val="auto"/>
                <w:spacing w:val="-13"/>
                <w:sz w:val="21"/>
                <w:szCs w:val="21"/>
                <w:highlight w:val="none"/>
              </w:rPr>
              <w:t>植株死亡的，扣</w:t>
            </w:r>
            <w:r>
              <w:rPr>
                <w:color w:val="auto"/>
                <w:spacing w:val="-17"/>
                <w:sz w:val="21"/>
                <w:szCs w:val="21"/>
                <w:highlight w:val="none"/>
              </w:rPr>
              <w:t xml:space="preserve"> </w:t>
            </w:r>
            <w:r>
              <w:rPr>
                <w:color w:val="auto"/>
                <w:spacing w:val="-13"/>
                <w:sz w:val="21"/>
                <w:szCs w:val="21"/>
                <w:highlight w:val="none"/>
              </w:rPr>
              <w:t>12</w:t>
            </w:r>
            <w:r>
              <w:rPr>
                <w:color w:val="auto"/>
                <w:spacing w:val="-42"/>
                <w:sz w:val="21"/>
                <w:szCs w:val="21"/>
                <w:highlight w:val="none"/>
              </w:rPr>
              <w:t xml:space="preserve"> </w:t>
            </w:r>
            <w:r>
              <w:rPr>
                <w:color w:val="auto"/>
                <w:spacing w:val="-13"/>
                <w:sz w:val="21"/>
                <w:szCs w:val="21"/>
                <w:highlight w:val="none"/>
              </w:rPr>
              <w:t>分/次；</w:t>
            </w:r>
          </w:p>
          <w:p w14:paraId="24FF5896">
            <w:pPr>
              <w:pStyle w:val="247"/>
              <w:spacing w:before="60" w:line="221" w:lineRule="auto"/>
              <w:ind w:left="154"/>
              <w:rPr>
                <w:color w:val="auto"/>
                <w:sz w:val="21"/>
                <w:szCs w:val="21"/>
                <w:highlight w:val="none"/>
              </w:rPr>
            </w:pPr>
            <w:r>
              <w:rPr>
                <w:color w:val="auto"/>
                <w:spacing w:val="-2"/>
                <w:sz w:val="21"/>
                <w:szCs w:val="21"/>
                <w:highlight w:val="none"/>
              </w:rPr>
              <w:t>区域内有检疫性害虫未及</w:t>
            </w:r>
          </w:p>
          <w:p w14:paraId="3950D095">
            <w:pPr>
              <w:pStyle w:val="247"/>
              <w:spacing w:before="61" w:line="219" w:lineRule="auto"/>
              <w:ind w:left="122"/>
              <w:rPr>
                <w:color w:val="auto"/>
                <w:sz w:val="21"/>
                <w:szCs w:val="21"/>
                <w:highlight w:val="none"/>
              </w:rPr>
            </w:pPr>
            <w:r>
              <w:rPr>
                <w:color w:val="auto"/>
                <w:spacing w:val="3"/>
                <w:sz w:val="21"/>
                <w:szCs w:val="21"/>
                <w:highlight w:val="none"/>
              </w:rPr>
              <w:t>时或发现不报告的扣5分/</w:t>
            </w:r>
          </w:p>
          <w:p w14:paraId="32E9ABEB">
            <w:pPr>
              <w:pStyle w:val="247"/>
              <w:spacing w:before="63" w:line="220" w:lineRule="auto"/>
              <w:ind w:left="144"/>
              <w:rPr>
                <w:color w:val="auto"/>
                <w:sz w:val="21"/>
                <w:szCs w:val="21"/>
                <w:highlight w:val="none"/>
              </w:rPr>
            </w:pPr>
            <w:r>
              <w:rPr>
                <w:color w:val="auto"/>
                <w:spacing w:val="-1"/>
                <w:sz w:val="21"/>
                <w:szCs w:val="21"/>
                <w:highlight w:val="none"/>
              </w:rPr>
              <w:t>次；防治不及时诱发社会</w:t>
            </w:r>
          </w:p>
          <w:p w14:paraId="341F8B90">
            <w:pPr>
              <w:pStyle w:val="247"/>
              <w:spacing w:before="62" w:line="220" w:lineRule="auto"/>
              <w:ind w:left="167"/>
              <w:rPr>
                <w:color w:val="auto"/>
                <w:sz w:val="21"/>
                <w:szCs w:val="21"/>
                <w:highlight w:val="none"/>
              </w:rPr>
            </w:pPr>
            <w:r>
              <w:rPr>
                <w:color w:val="auto"/>
                <w:spacing w:val="-1"/>
                <w:sz w:val="21"/>
                <w:szCs w:val="21"/>
                <w:highlight w:val="none"/>
              </w:rPr>
              <w:t>矛盾及居民投诉的，扣</w:t>
            </w:r>
            <w:r>
              <w:rPr>
                <w:color w:val="auto"/>
                <w:spacing w:val="-37"/>
                <w:sz w:val="21"/>
                <w:szCs w:val="21"/>
                <w:highlight w:val="none"/>
              </w:rPr>
              <w:t xml:space="preserve"> </w:t>
            </w:r>
            <w:r>
              <w:rPr>
                <w:color w:val="auto"/>
                <w:spacing w:val="-1"/>
                <w:sz w:val="21"/>
                <w:szCs w:val="21"/>
                <w:highlight w:val="none"/>
              </w:rPr>
              <w:t>5</w:t>
            </w:r>
          </w:p>
          <w:p w14:paraId="162B6C7F">
            <w:pPr>
              <w:pStyle w:val="247"/>
              <w:spacing w:before="61" w:line="221" w:lineRule="auto"/>
              <w:ind w:left="115"/>
              <w:rPr>
                <w:color w:val="auto"/>
                <w:sz w:val="21"/>
                <w:szCs w:val="21"/>
                <w:highlight w:val="none"/>
              </w:rPr>
            </w:pPr>
            <w:r>
              <w:rPr>
                <w:color w:val="auto"/>
                <w:spacing w:val="-5"/>
                <w:sz w:val="21"/>
                <w:szCs w:val="21"/>
                <w:highlight w:val="none"/>
              </w:rPr>
              <w:t>分/次；使用违禁农药的加</w:t>
            </w:r>
          </w:p>
          <w:p w14:paraId="07124EF0">
            <w:pPr>
              <w:pStyle w:val="247"/>
              <w:spacing w:before="61" w:line="221" w:lineRule="auto"/>
              <w:ind w:left="115"/>
              <w:rPr>
                <w:color w:val="auto"/>
                <w:sz w:val="21"/>
                <w:szCs w:val="21"/>
                <w:highlight w:val="none"/>
              </w:rPr>
            </w:pPr>
            <w:r>
              <w:rPr>
                <w:color w:val="auto"/>
                <w:spacing w:val="-7"/>
                <w:sz w:val="21"/>
                <w:szCs w:val="21"/>
                <w:highlight w:val="none"/>
              </w:rPr>
              <w:t>扣</w:t>
            </w:r>
            <w:r>
              <w:rPr>
                <w:color w:val="auto"/>
                <w:spacing w:val="-39"/>
                <w:sz w:val="21"/>
                <w:szCs w:val="21"/>
                <w:highlight w:val="none"/>
              </w:rPr>
              <w:t xml:space="preserve"> </w:t>
            </w:r>
            <w:r>
              <w:rPr>
                <w:color w:val="auto"/>
                <w:spacing w:val="-7"/>
                <w:sz w:val="21"/>
                <w:szCs w:val="21"/>
                <w:highlight w:val="none"/>
              </w:rPr>
              <w:t>5</w:t>
            </w:r>
            <w:r>
              <w:rPr>
                <w:color w:val="auto"/>
                <w:spacing w:val="-42"/>
                <w:sz w:val="21"/>
                <w:szCs w:val="21"/>
                <w:highlight w:val="none"/>
              </w:rPr>
              <w:t xml:space="preserve"> </w:t>
            </w:r>
            <w:r>
              <w:rPr>
                <w:color w:val="auto"/>
                <w:spacing w:val="-7"/>
                <w:sz w:val="21"/>
                <w:szCs w:val="21"/>
                <w:highlight w:val="none"/>
              </w:rPr>
              <w:t>分/次；冬季不按规定</w:t>
            </w:r>
          </w:p>
          <w:p w14:paraId="4F2B1B30">
            <w:pPr>
              <w:pStyle w:val="247"/>
              <w:spacing w:before="60" w:line="221" w:lineRule="auto"/>
              <w:ind w:left="139"/>
              <w:rPr>
                <w:color w:val="auto"/>
                <w:sz w:val="21"/>
                <w:szCs w:val="21"/>
                <w:highlight w:val="none"/>
              </w:rPr>
            </w:pPr>
            <w:r>
              <w:rPr>
                <w:color w:val="auto"/>
                <w:spacing w:val="-3"/>
                <w:sz w:val="21"/>
                <w:szCs w:val="21"/>
                <w:highlight w:val="none"/>
              </w:rPr>
              <w:t>要求对树木进行涂白的，</w:t>
            </w:r>
          </w:p>
          <w:p w14:paraId="48D1847D">
            <w:pPr>
              <w:pStyle w:val="247"/>
              <w:spacing w:before="62" w:line="221" w:lineRule="auto"/>
              <w:ind w:left="877"/>
              <w:rPr>
                <w:color w:val="auto"/>
                <w:sz w:val="21"/>
                <w:szCs w:val="21"/>
                <w:highlight w:val="none"/>
              </w:rPr>
            </w:pPr>
            <w:r>
              <w:rPr>
                <w:color w:val="auto"/>
                <w:spacing w:val="-11"/>
                <w:sz w:val="21"/>
                <w:szCs w:val="21"/>
                <w:highlight w:val="none"/>
              </w:rPr>
              <w:t>扣</w:t>
            </w:r>
            <w:r>
              <w:rPr>
                <w:color w:val="auto"/>
                <w:spacing w:val="-40"/>
                <w:sz w:val="21"/>
                <w:szCs w:val="21"/>
                <w:highlight w:val="none"/>
              </w:rPr>
              <w:t xml:space="preserve"> </w:t>
            </w:r>
            <w:r>
              <w:rPr>
                <w:color w:val="auto"/>
                <w:spacing w:val="-11"/>
                <w:sz w:val="21"/>
                <w:szCs w:val="21"/>
                <w:highlight w:val="none"/>
              </w:rPr>
              <w:t>5</w:t>
            </w:r>
            <w:r>
              <w:rPr>
                <w:color w:val="auto"/>
                <w:spacing w:val="-42"/>
                <w:sz w:val="21"/>
                <w:szCs w:val="21"/>
                <w:highlight w:val="none"/>
              </w:rPr>
              <w:t xml:space="preserve"> </w:t>
            </w:r>
            <w:r>
              <w:rPr>
                <w:color w:val="auto"/>
                <w:spacing w:val="-11"/>
                <w:sz w:val="21"/>
                <w:szCs w:val="21"/>
                <w:highlight w:val="none"/>
              </w:rPr>
              <w:t>分。</w:t>
            </w:r>
          </w:p>
        </w:tc>
      </w:tr>
      <w:tr w14:paraId="49F8F4E2">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577" w:hRule="atLeast"/>
        </w:trPr>
        <w:tc>
          <w:tcPr>
            <w:tcW w:w="766" w:type="dxa"/>
            <w:vMerge w:val="continue"/>
            <w:vAlign w:val="top"/>
          </w:tcPr>
          <w:p w14:paraId="319BED24">
            <w:pPr>
              <w:rPr>
                <w:rFonts w:ascii="Arial"/>
                <w:color w:val="auto"/>
                <w:sz w:val="21"/>
                <w:highlight w:val="none"/>
              </w:rPr>
            </w:pPr>
          </w:p>
        </w:tc>
        <w:tc>
          <w:tcPr>
            <w:tcW w:w="553" w:type="dxa"/>
            <w:vMerge w:val="continue"/>
            <w:tcBorders>
              <w:top w:val="nil"/>
              <w:bottom w:val="nil"/>
            </w:tcBorders>
            <w:vAlign w:val="top"/>
          </w:tcPr>
          <w:p w14:paraId="0F1125FE">
            <w:pPr>
              <w:rPr>
                <w:rFonts w:ascii="Arial"/>
                <w:color w:val="auto"/>
                <w:sz w:val="21"/>
                <w:highlight w:val="none"/>
              </w:rPr>
            </w:pPr>
          </w:p>
        </w:tc>
        <w:tc>
          <w:tcPr>
            <w:tcW w:w="1024" w:type="dxa"/>
            <w:vMerge w:val="continue"/>
            <w:tcBorders>
              <w:top w:val="nil"/>
              <w:bottom w:val="nil"/>
            </w:tcBorders>
            <w:vAlign w:val="top"/>
          </w:tcPr>
          <w:p w14:paraId="380B2DA0">
            <w:pPr>
              <w:rPr>
                <w:rFonts w:ascii="Arial"/>
                <w:color w:val="auto"/>
                <w:sz w:val="21"/>
                <w:highlight w:val="none"/>
              </w:rPr>
            </w:pPr>
          </w:p>
        </w:tc>
        <w:tc>
          <w:tcPr>
            <w:tcW w:w="707" w:type="dxa"/>
            <w:vAlign w:val="top"/>
          </w:tcPr>
          <w:p w14:paraId="30A69F0E">
            <w:pPr>
              <w:spacing w:line="303" w:lineRule="auto"/>
              <w:rPr>
                <w:rFonts w:ascii="Arial"/>
                <w:color w:val="auto"/>
                <w:sz w:val="21"/>
                <w:highlight w:val="none"/>
              </w:rPr>
            </w:pPr>
          </w:p>
          <w:p w14:paraId="2A957711">
            <w:pPr>
              <w:spacing w:line="303" w:lineRule="auto"/>
              <w:rPr>
                <w:rFonts w:ascii="Arial"/>
                <w:color w:val="auto"/>
                <w:sz w:val="21"/>
                <w:highlight w:val="none"/>
              </w:rPr>
            </w:pPr>
          </w:p>
          <w:p w14:paraId="2FBF62D2">
            <w:pPr>
              <w:pStyle w:val="247"/>
              <w:spacing w:before="68" w:line="241" w:lineRule="auto"/>
              <w:ind w:left="298"/>
              <w:rPr>
                <w:color w:val="auto"/>
                <w:sz w:val="21"/>
                <w:szCs w:val="21"/>
                <w:highlight w:val="none"/>
              </w:rPr>
            </w:pPr>
            <w:r>
              <w:rPr>
                <w:color w:val="auto"/>
                <w:sz w:val="21"/>
                <w:szCs w:val="21"/>
                <w:highlight w:val="none"/>
              </w:rPr>
              <w:t>8</w:t>
            </w:r>
          </w:p>
        </w:tc>
        <w:tc>
          <w:tcPr>
            <w:tcW w:w="2478" w:type="dxa"/>
            <w:vAlign w:val="top"/>
          </w:tcPr>
          <w:p w14:paraId="43103079">
            <w:pPr>
              <w:pStyle w:val="247"/>
              <w:spacing w:before="54" w:line="220" w:lineRule="auto"/>
              <w:ind w:left="108"/>
              <w:rPr>
                <w:color w:val="auto"/>
                <w:sz w:val="21"/>
                <w:szCs w:val="21"/>
                <w:highlight w:val="none"/>
              </w:rPr>
            </w:pPr>
            <w:r>
              <w:rPr>
                <w:color w:val="auto"/>
                <w:spacing w:val="-5"/>
                <w:sz w:val="21"/>
                <w:szCs w:val="21"/>
                <w:highlight w:val="none"/>
              </w:rPr>
              <w:t>按规定使用农药，科学防</w:t>
            </w:r>
          </w:p>
          <w:p w14:paraId="1FF8D3C2">
            <w:pPr>
              <w:pStyle w:val="247"/>
              <w:spacing w:before="61" w:line="221" w:lineRule="auto"/>
              <w:ind w:left="112"/>
              <w:rPr>
                <w:color w:val="auto"/>
                <w:sz w:val="21"/>
                <w:szCs w:val="21"/>
                <w:highlight w:val="none"/>
              </w:rPr>
            </w:pPr>
            <w:r>
              <w:rPr>
                <w:color w:val="auto"/>
                <w:spacing w:val="-6"/>
                <w:sz w:val="21"/>
                <w:szCs w:val="21"/>
                <w:highlight w:val="none"/>
              </w:rPr>
              <w:t>治，做到合理配比、选准</w:t>
            </w:r>
          </w:p>
          <w:p w14:paraId="34A4F434">
            <w:pPr>
              <w:pStyle w:val="247"/>
              <w:spacing w:before="61" w:line="221" w:lineRule="auto"/>
              <w:ind w:left="109"/>
              <w:rPr>
                <w:color w:val="auto"/>
                <w:sz w:val="21"/>
                <w:szCs w:val="21"/>
                <w:highlight w:val="none"/>
              </w:rPr>
            </w:pPr>
            <w:r>
              <w:rPr>
                <w:color w:val="auto"/>
                <w:spacing w:val="-5"/>
                <w:sz w:val="21"/>
                <w:szCs w:val="21"/>
                <w:highlight w:val="none"/>
              </w:rPr>
              <w:t>药品、用量正确，无药害</w:t>
            </w:r>
          </w:p>
          <w:p w14:paraId="48435AA7">
            <w:pPr>
              <w:pStyle w:val="247"/>
              <w:spacing w:before="60" w:line="220" w:lineRule="auto"/>
              <w:ind w:left="106"/>
              <w:rPr>
                <w:color w:val="auto"/>
                <w:sz w:val="21"/>
                <w:szCs w:val="21"/>
                <w:highlight w:val="none"/>
              </w:rPr>
            </w:pPr>
            <w:r>
              <w:rPr>
                <w:color w:val="auto"/>
                <w:spacing w:val="-5"/>
                <w:sz w:val="21"/>
                <w:szCs w:val="21"/>
                <w:highlight w:val="none"/>
              </w:rPr>
              <w:t>产生。（日常用药按政府</w:t>
            </w:r>
          </w:p>
          <w:p w14:paraId="1E27CD86">
            <w:pPr>
              <w:pStyle w:val="247"/>
              <w:spacing w:before="61" w:line="220" w:lineRule="auto"/>
              <w:ind w:left="400"/>
              <w:rPr>
                <w:color w:val="auto"/>
                <w:sz w:val="21"/>
                <w:szCs w:val="21"/>
                <w:highlight w:val="none"/>
              </w:rPr>
            </w:pPr>
            <w:r>
              <w:rPr>
                <w:color w:val="auto"/>
                <w:spacing w:val="-1"/>
                <w:sz w:val="21"/>
                <w:szCs w:val="21"/>
                <w:highlight w:val="none"/>
              </w:rPr>
              <w:t>规定定向采购）。</w:t>
            </w:r>
          </w:p>
        </w:tc>
        <w:tc>
          <w:tcPr>
            <w:tcW w:w="740" w:type="dxa"/>
            <w:vAlign w:val="top"/>
          </w:tcPr>
          <w:p w14:paraId="66042C1C">
            <w:pPr>
              <w:spacing w:line="303" w:lineRule="auto"/>
              <w:rPr>
                <w:rFonts w:ascii="Arial"/>
                <w:color w:val="auto"/>
                <w:sz w:val="21"/>
                <w:highlight w:val="none"/>
              </w:rPr>
            </w:pPr>
          </w:p>
          <w:p w14:paraId="2B760868">
            <w:pPr>
              <w:spacing w:line="303" w:lineRule="auto"/>
              <w:rPr>
                <w:rFonts w:ascii="Arial"/>
                <w:color w:val="auto"/>
                <w:sz w:val="21"/>
                <w:highlight w:val="none"/>
              </w:rPr>
            </w:pPr>
          </w:p>
          <w:p w14:paraId="0F1EAD49">
            <w:pPr>
              <w:pStyle w:val="247"/>
              <w:spacing w:before="68" w:line="241" w:lineRule="auto"/>
              <w:ind w:left="320"/>
              <w:rPr>
                <w:color w:val="auto"/>
                <w:sz w:val="21"/>
                <w:szCs w:val="21"/>
                <w:highlight w:val="none"/>
              </w:rPr>
            </w:pPr>
            <w:r>
              <w:rPr>
                <w:color w:val="auto"/>
                <w:sz w:val="21"/>
                <w:szCs w:val="21"/>
                <w:highlight w:val="none"/>
              </w:rPr>
              <w:t>8</w:t>
            </w:r>
          </w:p>
        </w:tc>
        <w:tc>
          <w:tcPr>
            <w:tcW w:w="2586" w:type="dxa"/>
            <w:vMerge w:val="continue"/>
            <w:tcBorders>
              <w:top w:val="nil"/>
              <w:bottom w:val="nil"/>
            </w:tcBorders>
            <w:vAlign w:val="top"/>
          </w:tcPr>
          <w:p w14:paraId="7AEA4DDE">
            <w:pPr>
              <w:rPr>
                <w:rFonts w:ascii="Arial"/>
                <w:color w:val="auto"/>
                <w:sz w:val="21"/>
                <w:highlight w:val="none"/>
              </w:rPr>
            </w:pPr>
          </w:p>
        </w:tc>
      </w:tr>
      <w:tr w14:paraId="4AA9365C">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575" w:hRule="atLeast"/>
        </w:trPr>
        <w:tc>
          <w:tcPr>
            <w:tcW w:w="766" w:type="dxa"/>
            <w:vMerge w:val="continue"/>
            <w:vAlign w:val="top"/>
          </w:tcPr>
          <w:p w14:paraId="301BCD4C">
            <w:pPr>
              <w:rPr>
                <w:rFonts w:ascii="Arial"/>
                <w:color w:val="auto"/>
                <w:sz w:val="21"/>
                <w:highlight w:val="none"/>
              </w:rPr>
            </w:pPr>
          </w:p>
        </w:tc>
        <w:tc>
          <w:tcPr>
            <w:tcW w:w="553" w:type="dxa"/>
            <w:vMerge w:val="continue"/>
            <w:tcBorders>
              <w:top w:val="nil"/>
            </w:tcBorders>
            <w:vAlign w:val="top"/>
          </w:tcPr>
          <w:p w14:paraId="34554470">
            <w:pPr>
              <w:rPr>
                <w:rFonts w:ascii="Arial"/>
                <w:color w:val="auto"/>
                <w:sz w:val="21"/>
                <w:highlight w:val="none"/>
              </w:rPr>
            </w:pPr>
          </w:p>
        </w:tc>
        <w:tc>
          <w:tcPr>
            <w:tcW w:w="1024" w:type="dxa"/>
            <w:vMerge w:val="continue"/>
            <w:tcBorders>
              <w:top w:val="nil"/>
            </w:tcBorders>
            <w:vAlign w:val="top"/>
          </w:tcPr>
          <w:p w14:paraId="5C074C40">
            <w:pPr>
              <w:rPr>
                <w:rFonts w:ascii="Arial"/>
                <w:color w:val="auto"/>
                <w:sz w:val="21"/>
                <w:highlight w:val="none"/>
              </w:rPr>
            </w:pPr>
          </w:p>
        </w:tc>
        <w:tc>
          <w:tcPr>
            <w:tcW w:w="707" w:type="dxa"/>
            <w:vAlign w:val="top"/>
          </w:tcPr>
          <w:p w14:paraId="49382E25">
            <w:pPr>
              <w:spacing w:line="304" w:lineRule="auto"/>
              <w:rPr>
                <w:rFonts w:ascii="Arial"/>
                <w:color w:val="auto"/>
                <w:sz w:val="21"/>
                <w:highlight w:val="none"/>
              </w:rPr>
            </w:pPr>
          </w:p>
          <w:p w14:paraId="0E4B19FA">
            <w:pPr>
              <w:spacing w:line="304" w:lineRule="auto"/>
              <w:rPr>
                <w:rFonts w:ascii="Arial"/>
                <w:color w:val="auto"/>
                <w:sz w:val="21"/>
                <w:highlight w:val="none"/>
              </w:rPr>
            </w:pPr>
          </w:p>
          <w:p w14:paraId="39E61F46">
            <w:pPr>
              <w:pStyle w:val="247"/>
              <w:spacing w:before="68" w:line="241" w:lineRule="auto"/>
              <w:ind w:left="298"/>
              <w:rPr>
                <w:color w:val="auto"/>
                <w:sz w:val="21"/>
                <w:szCs w:val="21"/>
                <w:highlight w:val="none"/>
              </w:rPr>
            </w:pPr>
            <w:r>
              <w:rPr>
                <w:color w:val="auto"/>
                <w:sz w:val="21"/>
                <w:szCs w:val="21"/>
                <w:highlight w:val="none"/>
              </w:rPr>
              <w:t>9</w:t>
            </w:r>
          </w:p>
        </w:tc>
        <w:tc>
          <w:tcPr>
            <w:tcW w:w="2478" w:type="dxa"/>
            <w:vAlign w:val="top"/>
          </w:tcPr>
          <w:p w14:paraId="1243D38C">
            <w:pPr>
              <w:spacing w:line="297" w:lineRule="auto"/>
              <w:rPr>
                <w:rFonts w:ascii="Arial"/>
                <w:color w:val="auto"/>
                <w:sz w:val="21"/>
                <w:highlight w:val="none"/>
              </w:rPr>
            </w:pPr>
          </w:p>
          <w:p w14:paraId="4289974E">
            <w:pPr>
              <w:pStyle w:val="247"/>
              <w:spacing w:before="69" w:line="221" w:lineRule="auto"/>
              <w:ind w:left="112"/>
              <w:rPr>
                <w:color w:val="auto"/>
                <w:sz w:val="21"/>
                <w:szCs w:val="21"/>
                <w:highlight w:val="none"/>
              </w:rPr>
            </w:pPr>
            <w:r>
              <w:rPr>
                <w:color w:val="auto"/>
                <w:spacing w:val="-5"/>
                <w:sz w:val="21"/>
                <w:szCs w:val="21"/>
                <w:highlight w:val="none"/>
              </w:rPr>
              <w:t>结合冬季树木涂白，及时</w:t>
            </w:r>
          </w:p>
          <w:p w14:paraId="0D1F450C">
            <w:pPr>
              <w:pStyle w:val="247"/>
              <w:spacing w:before="61" w:line="221" w:lineRule="auto"/>
              <w:ind w:left="106"/>
              <w:rPr>
                <w:color w:val="auto"/>
                <w:sz w:val="21"/>
                <w:szCs w:val="21"/>
                <w:highlight w:val="none"/>
              </w:rPr>
            </w:pPr>
            <w:r>
              <w:rPr>
                <w:color w:val="auto"/>
                <w:spacing w:val="-5"/>
                <w:sz w:val="21"/>
                <w:szCs w:val="21"/>
                <w:highlight w:val="none"/>
              </w:rPr>
              <w:t>清理消灭越冬虫蛹、虫茧</w:t>
            </w:r>
          </w:p>
          <w:p w14:paraId="4B2D5550">
            <w:pPr>
              <w:pStyle w:val="247"/>
              <w:spacing w:before="60" w:line="221" w:lineRule="auto"/>
              <w:ind w:left="502"/>
              <w:rPr>
                <w:color w:val="auto"/>
                <w:sz w:val="21"/>
                <w:szCs w:val="21"/>
                <w:highlight w:val="none"/>
              </w:rPr>
            </w:pPr>
            <w:r>
              <w:rPr>
                <w:color w:val="auto"/>
                <w:spacing w:val="-3"/>
                <w:sz w:val="21"/>
                <w:szCs w:val="21"/>
                <w:highlight w:val="none"/>
              </w:rPr>
              <w:t>及有关病原体。</w:t>
            </w:r>
          </w:p>
        </w:tc>
        <w:tc>
          <w:tcPr>
            <w:tcW w:w="740" w:type="dxa"/>
            <w:vAlign w:val="top"/>
          </w:tcPr>
          <w:p w14:paraId="6EF7D901">
            <w:pPr>
              <w:spacing w:line="304" w:lineRule="auto"/>
              <w:rPr>
                <w:rFonts w:ascii="Arial"/>
                <w:color w:val="auto"/>
                <w:sz w:val="21"/>
                <w:highlight w:val="none"/>
              </w:rPr>
            </w:pPr>
          </w:p>
          <w:p w14:paraId="1C01D649">
            <w:pPr>
              <w:spacing w:line="304" w:lineRule="auto"/>
              <w:rPr>
                <w:rFonts w:ascii="Arial"/>
                <w:color w:val="auto"/>
                <w:sz w:val="21"/>
                <w:highlight w:val="none"/>
              </w:rPr>
            </w:pPr>
          </w:p>
          <w:p w14:paraId="025C6070">
            <w:pPr>
              <w:pStyle w:val="247"/>
              <w:spacing w:before="68" w:line="241" w:lineRule="auto"/>
              <w:ind w:left="324"/>
              <w:rPr>
                <w:color w:val="auto"/>
                <w:sz w:val="21"/>
                <w:szCs w:val="21"/>
                <w:highlight w:val="none"/>
              </w:rPr>
            </w:pPr>
            <w:r>
              <w:rPr>
                <w:color w:val="auto"/>
                <w:sz w:val="21"/>
                <w:szCs w:val="21"/>
                <w:highlight w:val="none"/>
              </w:rPr>
              <w:t>7</w:t>
            </w:r>
          </w:p>
        </w:tc>
        <w:tc>
          <w:tcPr>
            <w:tcW w:w="2586" w:type="dxa"/>
            <w:vMerge w:val="continue"/>
            <w:tcBorders>
              <w:top w:val="nil"/>
            </w:tcBorders>
            <w:vAlign w:val="top"/>
          </w:tcPr>
          <w:p w14:paraId="70539423">
            <w:pPr>
              <w:rPr>
                <w:rFonts w:ascii="Arial"/>
                <w:color w:val="auto"/>
                <w:sz w:val="21"/>
                <w:highlight w:val="none"/>
              </w:rPr>
            </w:pPr>
          </w:p>
        </w:tc>
      </w:tr>
      <w:tr w14:paraId="57B0AA11">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3445" w:hRule="atLeast"/>
        </w:trPr>
        <w:tc>
          <w:tcPr>
            <w:tcW w:w="766" w:type="dxa"/>
            <w:vMerge w:val="continue"/>
            <w:vAlign w:val="top"/>
          </w:tcPr>
          <w:p w14:paraId="367884A1">
            <w:pPr>
              <w:pStyle w:val="247"/>
              <w:spacing w:before="68" w:line="275" w:lineRule="auto"/>
              <w:ind w:left="170" w:right="168" w:hanging="1"/>
              <w:jc w:val="both"/>
              <w:rPr>
                <w:color w:val="auto"/>
                <w:sz w:val="21"/>
                <w:szCs w:val="21"/>
                <w:highlight w:val="none"/>
              </w:rPr>
            </w:pPr>
          </w:p>
        </w:tc>
        <w:tc>
          <w:tcPr>
            <w:tcW w:w="553" w:type="dxa"/>
            <w:vAlign w:val="top"/>
          </w:tcPr>
          <w:p w14:paraId="212BE3C9">
            <w:pPr>
              <w:spacing w:line="256" w:lineRule="auto"/>
              <w:rPr>
                <w:rFonts w:ascii="Arial"/>
                <w:color w:val="auto"/>
                <w:sz w:val="21"/>
                <w:highlight w:val="none"/>
              </w:rPr>
            </w:pPr>
          </w:p>
          <w:p w14:paraId="127CBF74">
            <w:pPr>
              <w:spacing w:line="256" w:lineRule="auto"/>
              <w:rPr>
                <w:rFonts w:ascii="Arial"/>
                <w:color w:val="auto"/>
                <w:sz w:val="21"/>
                <w:highlight w:val="none"/>
              </w:rPr>
            </w:pPr>
          </w:p>
          <w:p w14:paraId="78356192">
            <w:pPr>
              <w:spacing w:line="257" w:lineRule="auto"/>
              <w:rPr>
                <w:rFonts w:ascii="Arial"/>
                <w:color w:val="auto"/>
                <w:sz w:val="21"/>
                <w:highlight w:val="none"/>
              </w:rPr>
            </w:pPr>
          </w:p>
          <w:p w14:paraId="7E4D9251">
            <w:pPr>
              <w:spacing w:line="257" w:lineRule="auto"/>
              <w:rPr>
                <w:rFonts w:ascii="Arial"/>
                <w:color w:val="auto"/>
                <w:sz w:val="21"/>
                <w:highlight w:val="none"/>
              </w:rPr>
            </w:pPr>
          </w:p>
          <w:p w14:paraId="01F9CA6F">
            <w:pPr>
              <w:spacing w:line="257" w:lineRule="auto"/>
              <w:rPr>
                <w:rFonts w:ascii="Arial"/>
                <w:color w:val="auto"/>
                <w:sz w:val="21"/>
                <w:highlight w:val="none"/>
              </w:rPr>
            </w:pPr>
          </w:p>
          <w:p w14:paraId="54AD7121">
            <w:pPr>
              <w:spacing w:line="257" w:lineRule="auto"/>
              <w:rPr>
                <w:rFonts w:ascii="Arial"/>
                <w:color w:val="auto"/>
                <w:sz w:val="21"/>
                <w:highlight w:val="none"/>
              </w:rPr>
            </w:pPr>
          </w:p>
          <w:p w14:paraId="51B529B3">
            <w:pPr>
              <w:pStyle w:val="247"/>
              <w:spacing w:before="68" w:line="241" w:lineRule="auto"/>
              <w:ind w:left="222"/>
              <w:rPr>
                <w:color w:val="auto"/>
                <w:sz w:val="21"/>
                <w:szCs w:val="21"/>
                <w:highlight w:val="none"/>
              </w:rPr>
            </w:pPr>
            <w:r>
              <w:rPr>
                <w:color w:val="auto"/>
                <w:sz w:val="21"/>
                <w:szCs w:val="21"/>
                <w:highlight w:val="none"/>
              </w:rPr>
              <w:t>5</w:t>
            </w:r>
          </w:p>
        </w:tc>
        <w:tc>
          <w:tcPr>
            <w:tcW w:w="1024" w:type="dxa"/>
            <w:vAlign w:val="top"/>
          </w:tcPr>
          <w:p w14:paraId="7DA28BDD">
            <w:pPr>
              <w:spacing w:line="268" w:lineRule="auto"/>
              <w:rPr>
                <w:rFonts w:ascii="Arial"/>
                <w:color w:val="auto"/>
                <w:sz w:val="21"/>
                <w:highlight w:val="none"/>
              </w:rPr>
            </w:pPr>
          </w:p>
          <w:p w14:paraId="6ECC64D2">
            <w:pPr>
              <w:spacing w:line="268" w:lineRule="auto"/>
              <w:rPr>
                <w:rFonts w:ascii="Arial"/>
                <w:color w:val="auto"/>
                <w:sz w:val="21"/>
                <w:highlight w:val="none"/>
              </w:rPr>
            </w:pPr>
          </w:p>
          <w:p w14:paraId="6D12A99B">
            <w:pPr>
              <w:spacing w:line="269" w:lineRule="auto"/>
              <w:rPr>
                <w:rFonts w:ascii="Arial"/>
                <w:color w:val="auto"/>
                <w:sz w:val="21"/>
                <w:highlight w:val="none"/>
              </w:rPr>
            </w:pPr>
          </w:p>
          <w:p w14:paraId="5595C4FF">
            <w:pPr>
              <w:spacing w:line="269" w:lineRule="auto"/>
              <w:rPr>
                <w:rFonts w:ascii="Arial"/>
                <w:color w:val="auto"/>
                <w:sz w:val="21"/>
                <w:highlight w:val="none"/>
              </w:rPr>
            </w:pPr>
          </w:p>
          <w:p w14:paraId="00B83DF0">
            <w:pPr>
              <w:pStyle w:val="247"/>
              <w:spacing w:before="69" w:line="221" w:lineRule="auto"/>
              <w:ind w:left="195"/>
              <w:rPr>
                <w:color w:val="auto"/>
                <w:sz w:val="21"/>
                <w:szCs w:val="21"/>
                <w:highlight w:val="none"/>
              </w:rPr>
            </w:pPr>
            <w:r>
              <w:rPr>
                <w:color w:val="auto"/>
                <w:spacing w:val="-2"/>
                <w:sz w:val="21"/>
                <w:szCs w:val="21"/>
                <w:highlight w:val="none"/>
              </w:rPr>
              <w:t>绿化修</w:t>
            </w:r>
          </w:p>
          <w:p w14:paraId="250ADA41">
            <w:pPr>
              <w:pStyle w:val="247"/>
              <w:spacing w:before="60" w:line="221" w:lineRule="auto"/>
              <w:ind w:left="105"/>
              <w:rPr>
                <w:color w:val="auto"/>
                <w:sz w:val="21"/>
                <w:szCs w:val="21"/>
                <w:highlight w:val="none"/>
              </w:rPr>
            </w:pPr>
            <w:r>
              <w:rPr>
                <w:color w:val="auto"/>
                <w:spacing w:val="-10"/>
                <w:sz w:val="21"/>
                <w:szCs w:val="21"/>
                <w:highlight w:val="none"/>
              </w:rPr>
              <w:t>剪、抹芽</w:t>
            </w:r>
          </w:p>
          <w:p w14:paraId="6E7FB928">
            <w:pPr>
              <w:pStyle w:val="247"/>
              <w:spacing w:before="60" w:line="221" w:lineRule="auto"/>
              <w:ind w:left="170"/>
              <w:rPr>
                <w:color w:val="auto"/>
                <w:sz w:val="21"/>
                <w:szCs w:val="21"/>
                <w:highlight w:val="none"/>
              </w:rPr>
            </w:pPr>
            <w:r>
              <w:rPr>
                <w:color w:val="auto"/>
                <w:spacing w:val="-4"/>
                <w:sz w:val="21"/>
                <w:szCs w:val="21"/>
                <w:highlight w:val="none"/>
              </w:rPr>
              <w:t>去孽</w:t>
            </w:r>
            <w:r>
              <w:rPr>
                <w:color w:val="auto"/>
                <w:spacing w:val="-41"/>
                <w:sz w:val="21"/>
                <w:szCs w:val="21"/>
                <w:highlight w:val="none"/>
              </w:rPr>
              <w:t xml:space="preserve"> </w:t>
            </w:r>
            <w:r>
              <w:rPr>
                <w:color w:val="auto"/>
                <w:spacing w:val="-4"/>
                <w:sz w:val="21"/>
                <w:szCs w:val="21"/>
                <w:highlight w:val="none"/>
              </w:rPr>
              <w:t>20</w:t>
            </w:r>
          </w:p>
          <w:p w14:paraId="5926A707">
            <w:pPr>
              <w:pStyle w:val="247"/>
              <w:spacing w:before="61" w:line="221" w:lineRule="auto"/>
              <w:ind w:left="404"/>
              <w:rPr>
                <w:color w:val="auto"/>
                <w:sz w:val="21"/>
                <w:szCs w:val="21"/>
                <w:highlight w:val="none"/>
              </w:rPr>
            </w:pPr>
            <w:r>
              <w:rPr>
                <w:color w:val="auto"/>
                <w:sz w:val="21"/>
                <w:szCs w:val="21"/>
                <w:highlight w:val="none"/>
              </w:rPr>
              <w:t>分</w:t>
            </w:r>
          </w:p>
        </w:tc>
        <w:tc>
          <w:tcPr>
            <w:tcW w:w="707" w:type="dxa"/>
            <w:vAlign w:val="top"/>
          </w:tcPr>
          <w:p w14:paraId="0B18B589">
            <w:pPr>
              <w:spacing w:line="256" w:lineRule="auto"/>
              <w:rPr>
                <w:rFonts w:ascii="Arial"/>
                <w:color w:val="auto"/>
                <w:sz w:val="21"/>
                <w:highlight w:val="none"/>
              </w:rPr>
            </w:pPr>
          </w:p>
          <w:p w14:paraId="7A8478BB">
            <w:pPr>
              <w:spacing w:line="256" w:lineRule="auto"/>
              <w:rPr>
                <w:rFonts w:ascii="Arial"/>
                <w:color w:val="auto"/>
                <w:sz w:val="21"/>
                <w:highlight w:val="none"/>
              </w:rPr>
            </w:pPr>
          </w:p>
          <w:p w14:paraId="37B2A5D4">
            <w:pPr>
              <w:spacing w:line="257" w:lineRule="auto"/>
              <w:rPr>
                <w:rFonts w:ascii="Arial"/>
                <w:color w:val="auto"/>
                <w:sz w:val="21"/>
                <w:highlight w:val="none"/>
              </w:rPr>
            </w:pPr>
          </w:p>
          <w:p w14:paraId="74CE3837">
            <w:pPr>
              <w:spacing w:line="257" w:lineRule="auto"/>
              <w:rPr>
                <w:rFonts w:ascii="Arial"/>
                <w:color w:val="auto"/>
                <w:sz w:val="21"/>
                <w:highlight w:val="none"/>
              </w:rPr>
            </w:pPr>
          </w:p>
          <w:p w14:paraId="52EBC718">
            <w:pPr>
              <w:spacing w:line="257" w:lineRule="auto"/>
              <w:rPr>
                <w:rFonts w:ascii="Arial"/>
                <w:color w:val="auto"/>
                <w:sz w:val="21"/>
                <w:highlight w:val="none"/>
              </w:rPr>
            </w:pPr>
          </w:p>
          <w:p w14:paraId="3A4C5FCE">
            <w:pPr>
              <w:spacing w:line="257" w:lineRule="auto"/>
              <w:rPr>
                <w:rFonts w:ascii="Arial"/>
                <w:color w:val="auto"/>
                <w:sz w:val="21"/>
                <w:highlight w:val="none"/>
              </w:rPr>
            </w:pPr>
          </w:p>
          <w:p w14:paraId="0B55B320">
            <w:pPr>
              <w:pStyle w:val="247"/>
              <w:spacing w:before="68" w:line="241" w:lineRule="auto"/>
              <w:ind w:left="260"/>
              <w:rPr>
                <w:color w:val="auto"/>
                <w:sz w:val="21"/>
                <w:szCs w:val="21"/>
                <w:highlight w:val="none"/>
              </w:rPr>
            </w:pPr>
            <w:r>
              <w:rPr>
                <w:color w:val="auto"/>
                <w:spacing w:val="-6"/>
                <w:sz w:val="21"/>
                <w:szCs w:val="21"/>
                <w:highlight w:val="none"/>
              </w:rPr>
              <w:t>10</w:t>
            </w:r>
          </w:p>
        </w:tc>
        <w:tc>
          <w:tcPr>
            <w:tcW w:w="2478" w:type="dxa"/>
            <w:vAlign w:val="top"/>
          </w:tcPr>
          <w:p w14:paraId="0DB10BC2">
            <w:pPr>
              <w:pStyle w:val="247"/>
              <w:spacing w:before="50" w:line="221" w:lineRule="auto"/>
              <w:ind w:left="107"/>
              <w:rPr>
                <w:color w:val="auto"/>
                <w:sz w:val="21"/>
                <w:szCs w:val="21"/>
                <w:highlight w:val="none"/>
              </w:rPr>
            </w:pPr>
            <w:r>
              <w:rPr>
                <w:color w:val="auto"/>
                <w:spacing w:val="-1"/>
                <w:sz w:val="21"/>
                <w:szCs w:val="21"/>
                <w:highlight w:val="none"/>
              </w:rPr>
              <w:t>绿地林地乔木修剪定</w:t>
            </w:r>
            <w:r>
              <w:rPr>
                <w:color w:val="auto"/>
                <w:spacing w:val="7"/>
                <w:sz w:val="21"/>
                <w:szCs w:val="21"/>
                <w:highlight w:val="none"/>
              </w:rPr>
              <w:t>期、整齐，整枝合理均</w:t>
            </w:r>
            <w:r>
              <w:rPr>
                <w:color w:val="auto"/>
                <w:spacing w:val="-5"/>
                <w:sz w:val="21"/>
                <w:szCs w:val="21"/>
                <w:highlight w:val="none"/>
              </w:rPr>
              <w:t>匀；根据树木习性及时修剪，整型符合要求，树木通风透光良好，花灌木根据特性修剪及时、准确；行道树统一高度，定杆修剪，不遮挡交通信号灯及交通指示牌。常绿行道树</w:t>
            </w:r>
            <w:r>
              <w:rPr>
                <w:color w:val="auto"/>
                <w:spacing w:val="-4"/>
                <w:sz w:val="21"/>
                <w:szCs w:val="21"/>
                <w:highlight w:val="none"/>
              </w:rPr>
              <w:t>每年不少于</w:t>
            </w:r>
            <w:r>
              <w:rPr>
                <w:color w:val="auto"/>
                <w:spacing w:val="-52"/>
                <w:sz w:val="21"/>
                <w:szCs w:val="21"/>
                <w:highlight w:val="none"/>
              </w:rPr>
              <w:t xml:space="preserve"> </w:t>
            </w:r>
            <w:r>
              <w:rPr>
                <w:color w:val="auto"/>
                <w:spacing w:val="-4"/>
                <w:sz w:val="21"/>
                <w:szCs w:val="21"/>
                <w:highlight w:val="none"/>
              </w:rPr>
              <w:t>1</w:t>
            </w:r>
            <w:r>
              <w:rPr>
                <w:color w:val="auto"/>
                <w:spacing w:val="-59"/>
                <w:sz w:val="21"/>
                <w:szCs w:val="21"/>
                <w:highlight w:val="none"/>
              </w:rPr>
              <w:t xml:space="preserve"> </w:t>
            </w:r>
            <w:r>
              <w:rPr>
                <w:color w:val="auto"/>
                <w:spacing w:val="-4"/>
                <w:sz w:val="21"/>
                <w:szCs w:val="21"/>
                <w:highlight w:val="none"/>
              </w:rPr>
              <w:t>次整树整形</w:t>
            </w:r>
            <w:r>
              <w:rPr>
                <w:color w:val="auto"/>
                <w:spacing w:val="-5"/>
                <w:sz w:val="21"/>
                <w:szCs w:val="21"/>
                <w:highlight w:val="none"/>
              </w:rPr>
              <w:t>疏枝修剪。落叶行道树每</w:t>
            </w:r>
            <w:r>
              <w:rPr>
                <w:color w:val="auto"/>
                <w:spacing w:val="-4"/>
                <w:sz w:val="21"/>
                <w:szCs w:val="21"/>
                <w:highlight w:val="none"/>
              </w:rPr>
              <w:t>年冬季进行</w:t>
            </w:r>
            <w:r>
              <w:rPr>
                <w:color w:val="auto"/>
                <w:spacing w:val="-53"/>
                <w:sz w:val="21"/>
                <w:szCs w:val="21"/>
                <w:highlight w:val="none"/>
              </w:rPr>
              <w:t xml:space="preserve"> </w:t>
            </w:r>
            <w:r>
              <w:rPr>
                <w:color w:val="auto"/>
                <w:spacing w:val="-4"/>
                <w:sz w:val="21"/>
                <w:szCs w:val="21"/>
                <w:highlight w:val="none"/>
              </w:rPr>
              <w:t>1</w:t>
            </w:r>
            <w:r>
              <w:rPr>
                <w:color w:val="auto"/>
                <w:spacing w:val="-60"/>
                <w:sz w:val="21"/>
                <w:szCs w:val="21"/>
                <w:highlight w:val="none"/>
              </w:rPr>
              <w:t xml:space="preserve"> </w:t>
            </w:r>
            <w:r>
              <w:rPr>
                <w:color w:val="auto"/>
                <w:spacing w:val="-4"/>
                <w:sz w:val="21"/>
                <w:szCs w:val="21"/>
                <w:highlight w:val="none"/>
              </w:rPr>
              <w:t>次整树整形</w:t>
            </w:r>
          </w:p>
          <w:p w14:paraId="32F4C35D">
            <w:pPr>
              <w:pStyle w:val="247"/>
              <w:spacing w:before="61" w:line="221" w:lineRule="auto"/>
              <w:ind w:left="107"/>
              <w:rPr>
                <w:color w:val="auto"/>
                <w:sz w:val="21"/>
                <w:szCs w:val="21"/>
                <w:highlight w:val="none"/>
              </w:rPr>
            </w:pPr>
            <w:r>
              <w:rPr>
                <w:color w:val="auto"/>
                <w:spacing w:val="-5"/>
                <w:sz w:val="21"/>
                <w:szCs w:val="21"/>
                <w:highlight w:val="none"/>
              </w:rPr>
              <w:t>疏枝修剪。修剪物及时清</w:t>
            </w:r>
          </w:p>
          <w:p w14:paraId="7C4BCA56">
            <w:pPr>
              <w:pStyle w:val="247"/>
              <w:spacing w:before="61" w:line="221" w:lineRule="auto"/>
              <w:ind w:left="106"/>
              <w:rPr>
                <w:color w:val="auto"/>
                <w:sz w:val="21"/>
                <w:szCs w:val="21"/>
                <w:highlight w:val="none"/>
              </w:rPr>
            </w:pPr>
            <w:r>
              <w:rPr>
                <w:color w:val="auto"/>
                <w:spacing w:val="-5"/>
                <w:sz w:val="21"/>
                <w:szCs w:val="21"/>
                <w:highlight w:val="none"/>
              </w:rPr>
              <w:t>运，作业时有保护和警示</w:t>
            </w:r>
          </w:p>
          <w:p w14:paraId="7E05F5A1">
            <w:pPr>
              <w:pStyle w:val="247"/>
              <w:spacing w:before="56" w:line="270" w:lineRule="auto"/>
              <w:ind w:left="106" w:right="95" w:firstLine="189"/>
              <w:rPr>
                <w:color w:val="auto"/>
                <w:sz w:val="21"/>
                <w:szCs w:val="21"/>
                <w:highlight w:val="none"/>
              </w:rPr>
            </w:pPr>
            <w:r>
              <w:rPr>
                <w:color w:val="auto"/>
                <w:spacing w:val="-9"/>
                <w:sz w:val="21"/>
                <w:szCs w:val="21"/>
                <w:highlight w:val="none"/>
              </w:rPr>
              <w:t>设施。</w:t>
            </w:r>
          </w:p>
        </w:tc>
        <w:tc>
          <w:tcPr>
            <w:tcW w:w="740" w:type="dxa"/>
            <w:vAlign w:val="top"/>
          </w:tcPr>
          <w:p w14:paraId="77151BEF">
            <w:pPr>
              <w:spacing w:line="256" w:lineRule="auto"/>
              <w:rPr>
                <w:rFonts w:ascii="Arial"/>
                <w:color w:val="auto"/>
                <w:sz w:val="21"/>
                <w:highlight w:val="none"/>
              </w:rPr>
            </w:pPr>
          </w:p>
          <w:p w14:paraId="0072222E">
            <w:pPr>
              <w:spacing w:line="256" w:lineRule="auto"/>
              <w:rPr>
                <w:rFonts w:ascii="Arial"/>
                <w:color w:val="auto"/>
                <w:sz w:val="21"/>
                <w:highlight w:val="none"/>
              </w:rPr>
            </w:pPr>
          </w:p>
          <w:p w14:paraId="2490B03B">
            <w:pPr>
              <w:spacing w:line="257" w:lineRule="auto"/>
              <w:rPr>
                <w:rFonts w:ascii="Arial"/>
                <w:color w:val="auto"/>
                <w:sz w:val="21"/>
                <w:highlight w:val="none"/>
              </w:rPr>
            </w:pPr>
          </w:p>
          <w:p w14:paraId="3C34D1EA">
            <w:pPr>
              <w:spacing w:line="257" w:lineRule="auto"/>
              <w:rPr>
                <w:rFonts w:ascii="Arial"/>
                <w:color w:val="auto"/>
                <w:sz w:val="21"/>
                <w:highlight w:val="none"/>
              </w:rPr>
            </w:pPr>
          </w:p>
          <w:p w14:paraId="4230A6B9">
            <w:pPr>
              <w:spacing w:line="257" w:lineRule="auto"/>
              <w:rPr>
                <w:rFonts w:ascii="Arial"/>
                <w:color w:val="auto"/>
                <w:sz w:val="21"/>
                <w:highlight w:val="none"/>
              </w:rPr>
            </w:pPr>
          </w:p>
          <w:p w14:paraId="56092437">
            <w:pPr>
              <w:spacing w:line="257" w:lineRule="auto"/>
              <w:rPr>
                <w:rFonts w:ascii="Arial"/>
                <w:color w:val="auto"/>
                <w:sz w:val="21"/>
                <w:highlight w:val="none"/>
              </w:rPr>
            </w:pPr>
          </w:p>
          <w:p w14:paraId="3F71CA6C">
            <w:pPr>
              <w:pStyle w:val="247"/>
              <w:spacing w:before="68" w:line="242" w:lineRule="auto"/>
              <w:ind w:left="318"/>
              <w:rPr>
                <w:color w:val="auto"/>
                <w:sz w:val="21"/>
                <w:szCs w:val="21"/>
                <w:highlight w:val="none"/>
              </w:rPr>
            </w:pPr>
            <w:r>
              <w:rPr>
                <w:color w:val="auto"/>
                <w:sz w:val="21"/>
                <w:szCs w:val="21"/>
                <w:highlight w:val="none"/>
              </w:rPr>
              <w:t>4</w:t>
            </w:r>
          </w:p>
        </w:tc>
        <w:tc>
          <w:tcPr>
            <w:tcW w:w="2586" w:type="dxa"/>
            <w:vMerge w:val="restart"/>
            <w:vAlign w:val="top"/>
          </w:tcPr>
          <w:p w14:paraId="20AF1E39">
            <w:pPr>
              <w:pStyle w:val="247"/>
              <w:spacing w:before="50" w:line="221" w:lineRule="auto"/>
              <w:ind w:left="112"/>
              <w:rPr>
                <w:color w:val="auto"/>
                <w:sz w:val="21"/>
                <w:szCs w:val="21"/>
                <w:highlight w:val="none"/>
              </w:rPr>
            </w:pPr>
            <w:r>
              <w:rPr>
                <w:color w:val="auto"/>
                <w:spacing w:val="-1"/>
                <w:sz w:val="21"/>
                <w:szCs w:val="21"/>
                <w:highlight w:val="none"/>
              </w:rPr>
              <w:t>行道树、片林乔木、花灌</w:t>
            </w:r>
            <w:r>
              <w:rPr>
                <w:color w:val="auto"/>
                <w:spacing w:val="4"/>
                <w:sz w:val="21"/>
                <w:szCs w:val="21"/>
                <w:highlight w:val="none"/>
              </w:rPr>
              <w:t>木不适时修剪，扣</w:t>
            </w:r>
            <w:r>
              <w:rPr>
                <w:color w:val="auto"/>
                <w:spacing w:val="-32"/>
                <w:sz w:val="21"/>
                <w:szCs w:val="21"/>
                <w:highlight w:val="none"/>
              </w:rPr>
              <w:t xml:space="preserve"> </w:t>
            </w:r>
            <w:r>
              <w:rPr>
                <w:color w:val="auto"/>
                <w:spacing w:val="4"/>
                <w:sz w:val="21"/>
                <w:szCs w:val="21"/>
                <w:highlight w:val="none"/>
              </w:rPr>
              <w:t>2</w:t>
            </w:r>
            <w:r>
              <w:rPr>
                <w:color w:val="auto"/>
                <w:spacing w:val="-44"/>
                <w:sz w:val="21"/>
                <w:szCs w:val="21"/>
                <w:highlight w:val="none"/>
              </w:rPr>
              <w:t xml:space="preserve"> </w:t>
            </w:r>
            <w:r>
              <w:rPr>
                <w:color w:val="auto"/>
                <w:spacing w:val="4"/>
                <w:sz w:val="21"/>
                <w:szCs w:val="21"/>
                <w:highlight w:val="none"/>
              </w:rPr>
              <w:t>分/</w:t>
            </w:r>
            <w:r>
              <w:rPr>
                <w:color w:val="auto"/>
                <w:spacing w:val="-12"/>
                <w:sz w:val="21"/>
                <w:szCs w:val="21"/>
                <w:highlight w:val="none"/>
              </w:rPr>
              <w:t>次；不按要求乱修剪，扣</w:t>
            </w:r>
            <w:r>
              <w:rPr>
                <w:color w:val="auto"/>
                <w:spacing w:val="-19"/>
                <w:sz w:val="21"/>
                <w:szCs w:val="21"/>
                <w:highlight w:val="none"/>
              </w:rPr>
              <w:t xml:space="preserve"> </w:t>
            </w:r>
            <w:r>
              <w:rPr>
                <w:color w:val="auto"/>
                <w:spacing w:val="-12"/>
                <w:sz w:val="21"/>
                <w:szCs w:val="21"/>
                <w:highlight w:val="none"/>
              </w:rPr>
              <w:t>1</w:t>
            </w:r>
            <w:r>
              <w:rPr>
                <w:color w:val="auto"/>
                <w:spacing w:val="-5"/>
                <w:sz w:val="21"/>
                <w:szCs w:val="21"/>
                <w:highlight w:val="none"/>
              </w:rPr>
              <w:t>分/处；树木未及时剥芽，</w:t>
            </w:r>
            <w:r>
              <w:rPr>
                <w:color w:val="auto"/>
                <w:spacing w:val="-6"/>
                <w:sz w:val="21"/>
                <w:szCs w:val="21"/>
                <w:highlight w:val="none"/>
              </w:rPr>
              <w:t>扣</w:t>
            </w:r>
            <w:r>
              <w:rPr>
                <w:color w:val="auto"/>
                <w:spacing w:val="-41"/>
                <w:sz w:val="21"/>
                <w:szCs w:val="21"/>
                <w:highlight w:val="none"/>
              </w:rPr>
              <w:t xml:space="preserve"> </w:t>
            </w:r>
            <w:r>
              <w:rPr>
                <w:color w:val="auto"/>
                <w:spacing w:val="-6"/>
                <w:sz w:val="21"/>
                <w:szCs w:val="21"/>
                <w:highlight w:val="none"/>
              </w:rPr>
              <w:t>0.5</w:t>
            </w:r>
            <w:r>
              <w:rPr>
                <w:color w:val="auto"/>
                <w:spacing w:val="-44"/>
                <w:sz w:val="21"/>
                <w:szCs w:val="21"/>
                <w:highlight w:val="none"/>
              </w:rPr>
              <w:t xml:space="preserve"> </w:t>
            </w:r>
            <w:r>
              <w:rPr>
                <w:color w:val="auto"/>
                <w:spacing w:val="-6"/>
                <w:sz w:val="21"/>
                <w:szCs w:val="21"/>
                <w:highlight w:val="none"/>
              </w:rPr>
              <w:t>分/处；草坪不及时</w:t>
            </w:r>
            <w:r>
              <w:rPr>
                <w:color w:val="auto"/>
                <w:spacing w:val="-8"/>
                <w:sz w:val="21"/>
                <w:szCs w:val="21"/>
                <w:highlight w:val="none"/>
              </w:rPr>
              <w:t>修剪，扣</w:t>
            </w:r>
            <w:r>
              <w:rPr>
                <w:color w:val="auto"/>
                <w:spacing w:val="-23"/>
                <w:sz w:val="21"/>
                <w:szCs w:val="21"/>
                <w:highlight w:val="none"/>
              </w:rPr>
              <w:t xml:space="preserve"> </w:t>
            </w:r>
            <w:r>
              <w:rPr>
                <w:color w:val="auto"/>
                <w:spacing w:val="-8"/>
                <w:sz w:val="21"/>
                <w:szCs w:val="21"/>
                <w:highlight w:val="none"/>
              </w:rPr>
              <w:t>1</w:t>
            </w:r>
            <w:r>
              <w:rPr>
                <w:color w:val="auto"/>
                <w:spacing w:val="-44"/>
                <w:sz w:val="21"/>
                <w:szCs w:val="21"/>
                <w:highlight w:val="none"/>
              </w:rPr>
              <w:t xml:space="preserve"> </w:t>
            </w:r>
            <w:r>
              <w:rPr>
                <w:color w:val="auto"/>
                <w:spacing w:val="-8"/>
                <w:sz w:val="21"/>
                <w:szCs w:val="21"/>
                <w:highlight w:val="none"/>
              </w:rPr>
              <w:t>分/处；修剪面</w:t>
            </w:r>
            <w:r>
              <w:rPr>
                <w:color w:val="auto"/>
                <w:spacing w:val="-10"/>
                <w:sz w:val="21"/>
                <w:szCs w:val="21"/>
                <w:highlight w:val="none"/>
              </w:rPr>
              <w:t>不平，边角有遗留，扣</w:t>
            </w:r>
            <w:r>
              <w:rPr>
                <w:color w:val="auto"/>
                <w:spacing w:val="-33"/>
                <w:sz w:val="21"/>
                <w:szCs w:val="21"/>
                <w:highlight w:val="none"/>
              </w:rPr>
              <w:t xml:space="preserve"> </w:t>
            </w:r>
            <w:r>
              <w:rPr>
                <w:color w:val="auto"/>
                <w:spacing w:val="-10"/>
                <w:sz w:val="21"/>
                <w:szCs w:val="21"/>
                <w:highlight w:val="none"/>
              </w:rPr>
              <w:t>0.5</w:t>
            </w:r>
            <w:r>
              <w:rPr>
                <w:color w:val="auto"/>
                <w:spacing w:val="-5"/>
                <w:sz w:val="21"/>
                <w:szCs w:val="21"/>
                <w:highlight w:val="none"/>
              </w:rPr>
              <w:t>分/处；模纹色块修剪无落</w:t>
            </w:r>
            <w:r>
              <w:rPr>
                <w:color w:val="auto"/>
                <w:spacing w:val="-6"/>
                <w:sz w:val="21"/>
                <w:szCs w:val="21"/>
                <w:highlight w:val="none"/>
              </w:rPr>
              <w:t>差扣</w:t>
            </w:r>
            <w:r>
              <w:rPr>
                <w:color w:val="auto"/>
                <w:spacing w:val="-43"/>
                <w:sz w:val="21"/>
                <w:szCs w:val="21"/>
                <w:highlight w:val="none"/>
              </w:rPr>
              <w:t xml:space="preserve"> </w:t>
            </w:r>
            <w:r>
              <w:rPr>
                <w:color w:val="auto"/>
                <w:spacing w:val="-6"/>
                <w:sz w:val="21"/>
                <w:szCs w:val="21"/>
                <w:highlight w:val="none"/>
              </w:rPr>
              <w:t>0.5</w:t>
            </w:r>
            <w:r>
              <w:rPr>
                <w:color w:val="auto"/>
                <w:spacing w:val="-41"/>
                <w:sz w:val="21"/>
                <w:szCs w:val="21"/>
                <w:highlight w:val="none"/>
              </w:rPr>
              <w:t xml:space="preserve"> </w:t>
            </w:r>
            <w:r>
              <w:rPr>
                <w:color w:val="auto"/>
                <w:spacing w:val="-6"/>
                <w:sz w:val="21"/>
                <w:szCs w:val="21"/>
                <w:highlight w:val="none"/>
              </w:rPr>
              <w:t>分/处；造型植物</w:t>
            </w:r>
            <w:r>
              <w:rPr>
                <w:color w:val="auto"/>
                <w:spacing w:val="-7"/>
                <w:sz w:val="21"/>
                <w:szCs w:val="21"/>
                <w:highlight w:val="none"/>
              </w:rPr>
              <w:t>修剪不当扣</w:t>
            </w:r>
            <w:r>
              <w:rPr>
                <w:color w:val="auto"/>
                <w:spacing w:val="-37"/>
                <w:sz w:val="21"/>
                <w:szCs w:val="21"/>
                <w:highlight w:val="none"/>
              </w:rPr>
              <w:t xml:space="preserve"> </w:t>
            </w:r>
            <w:r>
              <w:rPr>
                <w:color w:val="auto"/>
                <w:spacing w:val="-7"/>
                <w:sz w:val="21"/>
                <w:szCs w:val="21"/>
                <w:highlight w:val="none"/>
              </w:rPr>
              <w:t>2</w:t>
            </w:r>
            <w:r>
              <w:rPr>
                <w:color w:val="auto"/>
                <w:spacing w:val="-42"/>
                <w:sz w:val="21"/>
                <w:szCs w:val="21"/>
                <w:highlight w:val="none"/>
              </w:rPr>
              <w:t xml:space="preserve"> </w:t>
            </w:r>
            <w:r>
              <w:rPr>
                <w:color w:val="auto"/>
                <w:spacing w:val="-7"/>
                <w:sz w:val="21"/>
                <w:szCs w:val="21"/>
                <w:highlight w:val="none"/>
              </w:rPr>
              <w:t>分/处；伤口处理不及时扣</w:t>
            </w:r>
            <w:r>
              <w:rPr>
                <w:color w:val="auto"/>
                <w:spacing w:val="-35"/>
                <w:sz w:val="21"/>
                <w:szCs w:val="21"/>
                <w:highlight w:val="none"/>
              </w:rPr>
              <w:t xml:space="preserve"> </w:t>
            </w:r>
            <w:r>
              <w:rPr>
                <w:color w:val="auto"/>
                <w:spacing w:val="-7"/>
                <w:sz w:val="21"/>
                <w:szCs w:val="21"/>
                <w:highlight w:val="none"/>
              </w:rPr>
              <w:t>2</w:t>
            </w:r>
            <w:r>
              <w:rPr>
                <w:color w:val="auto"/>
                <w:spacing w:val="-44"/>
                <w:sz w:val="21"/>
                <w:szCs w:val="21"/>
                <w:highlight w:val="none"/>
              </w:rPr>
              <w:t xml:space="preserve"> </w:t>
            </w:r>
            <w:r>
              <w:rPr>
                <w:color w:val="auto"/>
                <w:spacing w:val="-7"/>
                <w:sz w:val="21"/>
                <w:szCs w:val="21"/>
                <w:highlight w:val="none"/>
              </w:rPr>
              <w:t>分/处；球</w:t>
            </w:r>
            <w:r>
              <w:rPr>
                <w:color w:val="auto"/>
                <w:spacing w:val="3"/>
                <w:sz w:val="21"/>
                <w:szCs w:val="21"/>
                <w:highlight w:val="none"/>
              </w:rPr>
              <w:t>类修剪面有缺损扣0.5分/</w:t>
            </w:r>
          </w:p>
          <w:p w14:paraId="3D4CD718">
            <w:pPr>
              <w:pStyle w:val="247"/>
              <w:spacing w:before="61" w:line="220" w:lineRule="auto"/>
              <w:ind w:left="143"/>
              <w:rPr>
                <w:color w:val="auto"/>
                <w:sz w:val="21"/>
                <w:szCs w:val="21"/>
                <w:highlight w:val="none"/>
              </w:rPr>
            </w:pPr>
            <w:r>
              <w:rPr>
                <w:color w:val="auto"/>
                <w:spacing w:val="-1"/>
                <w:sz w:val="21"/>
                <w:szCs w:val="21"/>
                <w:highlight w:val="none"/>
              </w:rPr>
              <w:t>处；下脚修剪高度不一致</w:t>
            </w:r>
          </w:p>
          <w:p w14:paraId="083B8887">
            <w:pPr>
              <w:pStyle w:val="247"/>
              <w:spacing w:before="61" w:line="221" w:lineRule="auto"/>
              <w:ind w:left="115"/>
              <w:rPr>
                <w:color w:val="auto"/>
                <w:sz w:val="21"/>
                <w:szCs w:val="21"/>
                <w:highlight w:val="none"/>
              </w:rPr>
            </w:pPr>
            <w:r>
              <w:rPr>
                <w:color w:val="auto"/>
                <w:spacing w:val="-6"/>
                <w:sz w:val="21"/>
                <w:szCs w:val="21"/>
                <w:highlight w:val="none"/>
              </w:rPr>
              <w:t>扣</w:t>
            </w:r>
            <w:r>
              <w:rPr>
                <w:color w:val="auto"/>
                <w:spacing w:val="-43"/>
                <w:sz w:val="21"/>
                <w:szCs w:val="21"/>
                <w:highlight w:val="none"/>
              </w:rPr>
              <w:t xml:space="preserve"> </w:t>
            </w:r>
            <w:r>
              <w:rPr>
                <w:color w:val="auto"/>
                <w:spacing w:val="-6"/>
                <w:sz w:val="21"/>
                <w:szCs w:val="21"/>
                <w:highlight w:val="none"/>
              </w:rPr>
              <w:t>0.5</w:t>
            </w:r>
            <w:r>
              <w:rPr>
                <w:color w:val="auto"/>
                <w:spacing w:val="-44"/>
                <w:sz w:val="21"/>
                <w:szCs w:val="21"/>
                <w:highlight w:val="none"/>
              </w:rPr>
              <w:t xml:space="preserve"> </w:t>
            </w:r>
            <w:r>
              <w:rPr>
                <w:color w:val="auto"/>
                <w:spacing w:val="-6"/>
                <w:sz w:val="21"/>
                <w:szCs w:val="21"/>
                <w:highlight w:val="none"/>
              </w:rPr>
              <w:t>分/处，未按要求在</w:t>
            </w:r>
          </w:p>
          <w:p w14:paraId="08208373">
            <w:pPr>
              <w:pStyle w:val="247"/>
              <w:spacing w:before="60" w:line="221" w:lineRule="auto"/>
              <w:ind w:left="139"/>
              <w:rPr>
                <w:color w:val="auto"/>
                <w:sz w:val="21"/>
                <w:szCs w:val="21"/>
                <w:highlight w:val="none"/>
              </w:rPr>
            </w:pPr>
            <w:r>
              <w:rPr>
                <w:color w:val="auto"/>
                <w:spacing w:val="-1"/>
                <w:sz w:val="21"/>
                <w:szCs w:val="21"/>
                <w:highlight w:val="none"/>
              </w:rPr>
              <w:t>规定期限内完成修剪的扣</w:t>
            </w:r>
          </w:p>
          <w:p w14:paraId="5F5B2925">
            <w:pPr>
              <w:pStyle w:val="247"/>
              <w:spacing w:before="56" w:line="270" w:lineRule="auto"/>
              <w:ind w:left="112" w:right="97" w:firstLine="29"/>
              <w:jc w:val="both"/>
              <w:rPr>
                <w:color w:val="auto"/>
                <w:sz w:val="21"/>
                <w:szCs w:val="21"/>
                <w:highlight w:val="none"/>
              </w:rPr>
            </w:pPr>
            <w:r>
              <w:rPr>
                <w:color w:val="auto"/>
                <w:spacing w:val="-10"/>
                <w:sz w:val="21"/>
                <w:szCs w:val="21"/>
                <w:highlight w:val="none"/>
              </w:rPr>
              <w:t>2</w:t>
            </w:r>
            <w:r>
              <w:rPr>
                <w:color w:val="auto"/>
                <w:spacing w:val="-42"/>
                <w:sz w:val="21"/>
                <w:szCs w:val="21"/>
                <w:highlight w:val="none"/>
              </w:rPr>
              <w:t xml:space="preserve"> </w:t>
            </w:r>
            <w:r>
              <w:rPr>
                <w:color w:val="auto"/>
                <w:spacing w:val="-10"/>
                <w:sz w:val="21"/>
                <w:szCs w:val="21"/>
                <w:highlight w:val="none"/>
              </w:rPr>
              <w:t>分。</w:t>
            </w:r>
          </w:p>
        </w:tc>
      </w:tr>
      <w:tr w14:paraId="42E6BDD7">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889" w:hRule="atLeast"/>
        </w:trPr>
        <w:tc>
          <w:tcPr>
            <w:tcW w:w="766" w:type="dxa"/>
            <w:vMerge w:val="continue"/>
            <w:vAlign w:val="top"/>
          </w:tcPr>
          <w:p w14:paraId="3D60203F">
            <w:pPr>
              <w:rPr>
                <w:rFonts w:ascii="Arial"/>
                <w:color w:val="auto"/>
                <w:sz w:val="21"/>
                <w:highlight w:val="none"/>
              </w:rPr>
            </w:pPr>
          </w:p>
        </w:tc>
        <w:tc>
          <w:tcPr>
            <w:tcW w:w="553" w:type="dxa"/>
            <w:vMerge w:val="restart"/>
            <w:tcBorders>
              <w:top w:val="nil"/>
            </w:tcBorders>
            <w:vAlign w:val="top"/>
          </w:tcPr>
          <w:p w14:paraId="3662D4BC">
            <w:pPr>
              <w:rPr>
                <w:rFonts w:ascii="Arial"/>
                <w:color w:val="auto"/>
                <w:sz w:val="21"/>
                <w:highlight w:val="none"/>
              </w:rPr>
            </w:pPr>
          </w:p>
        </w:tc>
        <w:tc>
          <w:tcPr>
            <w:tcW w:w="1024" w:type="dxa"/>
            <w:vMerge w:val="restart"/>
            <w:tcBorders>
              <w:top w:val="nil"/>
            </w:tcBorders>
            <w:vAlign w:val="top"/>
          </w:tcPr>
          <w:p w14:paraId="189FE85B">
            <w:pPr>
              <w:rPr>
                <w:rFonts w:ascii="Arial"/>
                <w:color w:val="auto"/>
                <w:sz w:val="21"/>
                <w:highlight w:val="none"/>
              </w:rPr>
            </w:pPr>
          </w:p>
        </w:tc>
        <w:tc>
          <w:tcPr>
            <w:tcW w:w="707" w:type="dxa"/>
            <w:vAlign w:val="top"/>
          </w:tcPr>
          <w:p w14:paraId="46E519B7">
            <w:pPr>
              <w:spacing w:line="251" w:lineRule="auto"/>
              <w:rPr>
                <w:rFonts w:ascii="Arial"/>
                <w:color w:val="auto"/>
                <w:sz w:val="21"/>
                <w:highlight w:val="none"/>
              </w:rPr>
            </w:pPr>
          </w:p>
          <w:p w14:paraId="63C706F7">
            <w:pPr>
              <w:spacing w:line="252" w:lineRule="auto"/>
              <w:rPr>
                <w:rFonts w:ascii="Arial"/>
                <w:color w:val="auto"/>
                <w:sz w:val="21"/>
                <w:highlight w:val="none"/>
              </w:rPr>
            </w:pPr>
          </w:p>
          <w:p w14:paraId="47B15EE0">
            <w:pPr>
              <w:spacing w:line="252" w:lineRule="auto"/>
              <w:rPr>
                <w:rFonts w:ascii="Arial"/>
                <w:color w:val="auto"/>
                <w:sz w:val="21"/>
                <w:highlight w:val="none"/>
              </w:rPr>
            </w:pPr>
          </w:p>
          <w:p w14:paraId="17B59455">
            <w:pPr>
              <w:pStyle w:val="247"/>
              <w:spacing w:before="69" w:line="242" w:lineRule="auto"/>
              <w:ind w:left="260"/>
              <w:rPr>
                <w:color w:val="auto"/>
                <w:sz w:val="21"/>
                <w:szCs w:val="21"/>
                <w:highlight w:val="none"/>
              </w:rPr>
            </w:pPr>
            <w:r>
              <w:rPr>
                <w:color w:val="auto"/>
                <w:spacing w:val="-6"/>
                <w:sz w:val="21"/>
                <w:szCs w:val="21"/>
                <w:highlight w:val="none"/>
              </w:rPr>
              <w:t>11</w:t>
            </w:r>
          </w:p>
        </w:tc>
        <w:tc>
          <w:tcPr>
            <w:tcW w:w="2478" w:type="dxa"/>
            <w:vAlign w:val="top"/>
          </w:tcPr>
          <w:p w14:paraId="652160AE">
            <w:pPr>
              <w:pStyle w:val="247"/>
              <w:spacing w:before="48" w:line="221" w:lineRule="auto"/>
              <w:ind w:left="108"/>
              <w:rPr>
                <w:color w:val="auto"/>
                <w:sz w:val="21"/>
                <w:szCs w:val="21"/>
                <w:highlight w:val="none"/>
              </w:rPr>
            </w:pPr>
            <w:r>
              <w:rPr>
                <w:color w:val="auto"/>
                <w:spacing w:val="-5"/>
                <w:sz w:val="21"/>
                <w:szCs w:val="21"/>
                <w:highlight w:val="none"/>
              </w:rPr>
              <w:t>草坪适时修剪，保持一定</w:t>
            </w:r>
          </w:p>
          <w:p w14:paraId="286C602E">
            <w:pPr>
              <w:pStyle w:val="247"/>
              <w:spacing w:before="60" w:line="221" w:lineRule="auto"/>
              <w:ind w:left="112"/>
              <w:rPr>
                <w:color w:val="auto"/>
                <w:sz w:val="21"/>
                <w:szCs w:val="21"/>
                <w:highlight w:val="none"/>
              </w:rPr>
            </w:pPr>
            <w:r>
              <w:rPr>
                <w:color w:val="auto"/>
                <w:spacing w:val="-6"/>
                <w:sz w:val="21"/>
                <w:szCs w:val="21"/>
                <w:highlight w:val="none"/>
              </w:rPr>
              <w:t>高度，生长季节修剪高度</w:t>
            </w:r>
          </w:p>
          <w:p w14:paraId="3FC0CF6F">
            <w:pPr>
              <w:pStyle w:val="247"/>
              <w:spacing w:before="60" w:line="218" w:lineRule="auto"/>
              <w:ind w:left="139"/>
              <w:rPr>
                <w:color w:val="auto"/>
                <w:sz w:val="21"/>
                <w:szCs w:val="21"/>
                <w:highlight w:val="none"/>
              </w:rPr>
            </w:pPr>
            <w:r>
              <w:rPr>
                <w:color w:val="auto"/>
                <w:spacing w:val="-1"/>
                <w:sz w:val="21"/>
                <w:szCs w:val="21"/>
                <w:highlight w:val="none"/>
              </w:rPr>
              <w:t>5-10cm,休眠期修剪高度</w:t>
            </w:r>
          </w:p>
          <w:p w14:paraId="5229F009">
            <w:pPr>
              <w:pStyle w:val="247"/>
              <w:spacing w:before="63" w:line="221" w:lineRule="auto"/>
              <w:ind w:left="218"/>
              <w:rPr>
                <w:color w:val="auto"/>
                <w:sz w:val="21"/>
                <w:szCs w:val="21"/>
                <w:highlight w:val="none"/>
              </w:rPr>
            </w:pPr>
            <w:r>
              <w:rPr>
                <w:color w:val="auto"/>
                <w:spacing w:val="-2"/>
                <w:sz w:val="21"/>
                <w:szCs w:val="21"/>
                <w:highlight w:val="none"/>
              </w:rPr>
              <w:t>不超过</w:t>
            </w:r>
            <w:r>
              <w:rPr>
                <w:color w:val="auto"/>
                <w:spacing w:val="-40"/>
                <w:sz w:val="21"/>
                <w:szCs w:val="21"/>
                <w:highlight w:val="none"/>
              </w:rPr>
              <w:t xml:space="preserve"> </w:t>
            </w:r>
            <w:r>
              <w:rPr>
                <w:color w:val="auto"/>
                <w:spacing w:val="-2"/>
                <w:sz w:val="21"/>
                <w:szCs w:val="21"/>
                <w:highlight w:val="none"/>
              </w:rPr>
              <w:t>5cm，修剪面平</w:t>
            </w:r>
          </w:p>
          <w:p w14:paraId="496F9566">
            <w:pPr>
              <w:pStyle w:val="247"/>
              <w:spacing w:before="61" w:line="220" w:lineRule="auto"/>
              <w:ind w:left="107"/>
              <w:rPr>
                <w:color w:val="auto"/>
                <w:sz w:val="21"/>
                <w:szCs w:val="21"/>
                <w:highlight w:val="none"/>
              </w:rPr>
            </w:pPr>
            <w:r>
              <w:rPr>
                <w:color w:val="auto"/>
                <w:spacing w:val="-5"/>
                <w:sz w:val="21"/>
                <w:szCs w:val="21"/>
                <w:highlight w:val="none"/>
              </w:rPr>
              <w:t>整，边角无遗留，草屑及</w:t>
            </w:r>
          </w:p>
          <w:p w14:paraId="6E40A99F">
            <w:pPr>
              <w:pStyle w:val="247"/>
              <w:spacing w:before="63" w:line="221" w:lineRule="auto"/>
              <w:ind w:left="618"/>
              <w:rPr>
                <w:color w:val="auto"/>
                <w:sz w:val="21"/>
                <w:szCs w:val="21"/>
                <w:highlight w:val="none"/>
              </w:rPr>
            </w:pPr>
            <w:r>
              <w:rPr>
                <w:color w:val="auto"/>
                <w:spacing w:val="-3"/>
                <w:sz w:val="21"/>
                <w:szCs w:val="21"/>
                <w:highlight w:val="none"/>
              </w:rPr>
              <w:t>时扫净运出。</w:t>
            </w:r>
          </w:p>
        </w:tc>
        <w:tc>
          <w:tcPr>
            <w:tcW w:w="740" w:type="dxa"/>
            <w:vAlign w:val="top"/>
          </w:tcPr>
          <w:p w14:paraId="0297B723">
            <w:pPr>
              <w:spacing w:line="251" w:lineRule="auto"/>
              <w:rPr>
                <w:rFonts w:ascii="Arial"/>
                <w:color w:val="auto"/>
                <w:sz w:val="21"/>
                <w:highlight w:val="none"/>
              </w:rPr>
            </w:pPr>
          </w:p>
          <w:p w14:paraId="6E78B4E0">
            <w:pPr>
              <w:spacing w:line="252" w:lineRule="auto"/>
              <w:rPr>
                <w:rFonts w:ascii="Arial"/>
                <w:color w:val="auto"/>
                <w:sz w:val="21"/>
                <w:highlight w:val="none"/>
              </w:rPr>
            </w:pPr>
          </w:p>
          <w:p w14:paraId="2CF3D495">
            <w:pPr>
              <w:spacing w:line="252" w:lineRule="auto"/>
              <w:rPr>
                <w:rFonts w:ascii="Arial"/>
                <w:color w:val="auto"/>
                <w:sz w:val="21"/>
                <w:highlight w:val="none"/>
              </w:rPr>
            </w:pPr>
          </w:p>
          <w:p w14:paraId="1DF2C648">
            <w:pPr>
              <w:pStyle w:val="247"/>
              <w:spacing w:before="69" w:line="242" w:lineRule="auto"/>
              <w:ind w:left="318"/>
              <w:rPr>
                <w:color w:val="auto"/>
                <w:sz w:val="21"/>
                <w:szCs w:val="21"/>
                <w:highlight w:val="none"/>
              </w:rPr>
            </w:pPr>
            <w:r>
              <w:rPr>
                <w:color w:val="auto"/>
                <w:sz w:val="21"/>
                <w:szCs w:val="21"/>
                <w:highlight w:val="none"/>
              </w:rPr>
              <w:t>4</w:t>
            </w:r>
          </w:p>
        </w:tc>
        <w:tc>
          <w:tcPr>
            <w:tcW w:w="2586" w:type="dxa"/>
            <w:vMerge w:val="continue"/>
            <w:vAlign w:val="top"/>
          </w:tcPr>
          <w:p w14:paraId="0F6E44FC">
            <w:pPr>
              <w:rPr>
                <w:rFonts w:ascii="Arial"/>
                <w:color w:val="auto"/>
                <w:sz w:val="21"/>
                <w:highlight w:val="none"/>
              </w:rPr>
            </w:pPr>
          </w:p>
        </w:tc>
      </w:tr>
      <w:tr w14:paraId="2BA8EA0A">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891" w:hRule="atLeast"/>
        </w:trPr>
        <w:tc>
          <w:tcPr>
            <w:tcW w:w="766" w:type="dxa"/>
            <w:vMerge w:val="continue"/>
            <w:vAlign w:val="top"/>
          </w:tcPr>
          <w:p w14:paraId="4AC0402C">
            <w:pPr>
              <w:rPr>
                <w:rFonts w:ascii="Arial"/>
                <w:color w:val="auto"/>
                <w:sz w:val="21"/>
                <w:highlight w:val="none"/>
              </w:rPr>
            </w:pPr>
          </w:p>
        </w:tc>
        <w:tc>
          <w:tcPr>
            <w:tcW w:w="553" w:type="dxa"/>
            <w:vMerge w:val="continue"/>
            <w:tcBorders>
              <w:top w:val="nil"/>
              <w:bottom w:val="nil"/>
            </w:tcBorders>
            <w:vAlign w:val="top"/>
          </w:tcPr>
          <w:p w14:paraId="2D4AE34C">
            <w:pPr>
              <w:rPr>
                <w:rFonts w:ascii="Arial"/>
                <w:color w:val="auto"/>
                <w:sz w:val="21"/>
                <w:highlight w:val="none"/>
              </w:rPr>
            </w:pPr>
          </w:p>
        </w:tc>
        <w:tc>
          <w:tcPr>
            <w:tcW w:w="1024" w:type="dxa"/>
            <w:vMerge w:val="continue"/>
            <w:tcBorders>
              <w:top w:val="nil"/>
              <w:bottom w:val="nil"/>
            </w:tcBorders>
            <w:vAlign w:val="top"/>
          </w:tcPr>
          <w:p w14:paraId="7284F108">
            <w:pPr>
              <w:rPr>
                <w:rFonts w:ascii="Arial"/>
                <w:color w:val="auto"/>
                <w:sz w:val="21"/>
                <w:highlight w:val="none"/>
              </w:rPr>
            </w:pPr>
          </w:p>
        </w:tc>
        <w:tc>
          <w:tcPr>
            <w:tcW w:w="707" w:type="dxa"/>
            <w:vAlign w:val="top"/>
          </w:tcPr>
          <w:p w14:paraId="35A8B08D">
            <w:pPr>
              <w:spacing w:line="253" w:lineRule="auto"/>
              <w:rPr>
                <w:rFonts w:ascii="Arial"/>
                <w:color w:val="auto"/>
                <w:sz w:val="21"/>
                <w:highlight w:val="none"/>
              </w:rPr>
            </w:pPr>
          </w:p>
          <w:p w14:paraId="6141E25A">
            <w:pPr>
              <w:spacing w:line="253" w:lineRule="auto"/>
              <w:rPr>
                <w:rFonts w:ascii="Arial"/>
                <w:color w:val="auto"/>
                <w:sz w:val="21"/>
                <w:highlight w:val="none"/>
              </w:rPr>
            </w:pPr>
          </w:p>
          <w:p w14:paraId="35B27447">
            <w:pPr>
              <w:spacing w:line="254" w:lineRule="auto"/>
              <w:rPr>
                <w:rFonts w:ascii="Arial"/>
                <w:color w:val="auto"/>
                <w:sz w:val="21"/>
                <w:highlight w:val="none"/>
              </w:rPr>
            </w:pPr>
          </w:p>
          <w:p w14:paraId="2F514094">
            <w:pPr>
              <w:pStyle w:val="247"/>
              <w:spacing w:before="68" w:line="242" w:lineRule="auto"/>
              <w:ind w:left="260"/>
              <w:rPr>
                <w:color w:val="auto"/>
                <w:sz w:val="21"/>
                <w:szCs w:val="21"/>
                <w:highlight w:val="none"/>
              </w:rPr>
            </w:pPr>
            <w:r>
              <w:rPr>
                <w:color w:val="auto"/>
                <w:spacing w:val="-6"/>
                <w:sz w:val="21"/>
                <w:szCs w:val="21"/>
                <w:highlight w:val="none"/>
              </w:rPr>
              <w:t>12</w:t>
            </w:r>
          </w:p>
        </w:tc>
        <w:tc>
          <w:tcPr>
            <w:tcW w:w="2478" w:type="dxa"/>
            <w:vAlign w:val="top"/>
          </w:tcPr>
          <w:p w14:paraId="0BD12AD0">
            <w:pPr>
              <w:pStyle w:val="247"/>
              <w:spacing w:before="52" w:line="221" w:lineRule="auto"/>
              <w:ind w:left="293"/>
              <w:rPr>
                <w:color w:val="auto"/>
                <w:sz w:val="21"/>
                <w:szCs w:val="21"/>
                <w:highlight w:val="none"/>
              </w:rPr>
            </w:pPr>
            <w:r>
              <w:rPr>
                <w:color w:val="auto"/>
                <w:spacing w:val="-1"/>
                <w:sz w:val="21"/>
                <w:szCs w:val="21"/>
                <w:highlight w:val="none"/>
              </w:rPr>
              <w:t>模纹色块修剪层次分</w:t>
            </w:r>
          </w:p>
          <w:p w14:paraId="4CFD0F35">
            <w:pPr>
              <w:pStyle w:val="247"/>
              <w:spacing w:before="60" w:line="221" w:lineRule="auto"/>
              <w:ind w:left="129"/>
              <w:rPr>
                <w:color w:val="auto"/>
                <w:sz w:val="21"/>
                <w:szCs w:val="21"/>
                <w:highlight w:val="none"/>
              </w:rPr>
            </w:pPr>
            <w:r>
              <w:rPr>
                <w:color w:val="auto"/>
                <w:spacing w:val="-3"/>
                <w:sz w:val="21"/>
                <w:szCs w:val="21"/>
                <w:highlight w:val="none"/>
              </w:rPr>
              <w:t>明，各品种保持</w:t>
            </w:r>
            <w:r>
              <w:rPr>
                <w:color w:val="auto"/>
                <w:spacing w:val="-36"/>
                <w:sz w:val="21"/>
                <w:szCs w:val="21"/>
                <w:highlight w:val="none"/>
              </w:rPr>
              <w:t xml:space="preserve"> </w:t>
            </w:r>
            <w:r>
              <w:rPr>
                <w:color w:val="auto"/>
                <w:spacing w:val="-3"/>
                <w:sz w:val="21"/>
                <w:szCs w:val="21"/>
                <w:highlight w:val="none"/>
              </w:rPr>
              <w:t>20-30cm</w:t>
            </w:r>
          </w:p>
          <w:p w14:paraId="68F202EE">
            <w:pPr>
              <w:pStyle w:val="247"/>
              <w:spacing w:before="60" w:line="221" w:lineRule="auto"/>
              <w:ind w:left="106"/>
              <w:rPr>
                <w:color w:val="auto"/>
                <w:sz w:val="21"/>
                <w:szCs w:val="21"/>
                <w:highlight w:val="none"/>
              </w:rPr>
            </w:pPr>
            <w:r>
              <w:rPr>
                <w:color w:val="auto"/>
                <w:spacing w:val="-2"/>
                <w:sz w:val="21"/>
                <w:szCs w:val="21"/>
                <w:highlight w:val="none"/>
              </w:rPr>
              <w:t>修剪落差，单品种色块、</w:t>
            </w:r>
          </w:p>
          <w:p w14:paraId="634D7888">
            <w:pPr>
              <w:pStyle w:val="247"/>
              <w:spacing w:before="60" w:line="221" w:lineRule="auto"/>
              <w:ind w:left="504"/>
              <w:rPr>
                <w:color w:val="auto"/>
                <w:sz w:val="21"/>
                <w:szCs w:val="21"/>
                <w:highlight w:val="none"/>
              </w:rPr>
            </w:pPr>
            <w:r>
              <w:rPr>
                <w:color w:val="auto"/>
                <w:spacing w:val="-1"/>
                <w:sz w:val="21"/>
                <w:szCs w:val="21"/>
                <w:highlight w:val="none"/>
              </w:rPr>
              <w:t>绿篱修剪高度为</w:t>
            </w:r>
          </w:p>
          <w:p w14:paraId="0070CB99">
            <w:pPr>
              <w:pStyle w:val="247"/>
              <w:spacing w:before="61" w:line="221" w:lineRule="auto"/>
              <w:ind w:left="134"/>
              <w:rPr>
                <w:color w:val="auto"/>
                <w:sz w:val="21"/>
                <w:szCs w:val="21"/>
                <w:highlight w:val="none"/>
              </w:rPr>
            </w:pPr>
            <w:r>
              <w:rPr>
                <w:color w:val="auto"/>
                <w:spacing w:val="-1"/>
                <w:sz w:val="21"/>
                <w:szCs w:val="21"/>
                <w:highlight w:val="none"/>
              </w:rPr>
              <w:t>40-60cm，生长季每月修</w:t>
            </w:r>
          </w:p>
          <w:p w14:paraId="0B7D5FEF">
            <w:pPr>
              <w:pStyle w:val="247"/>
              <w:spacing w:before="60" w:line="221" w:lineRule="auto"/>
              <w:ind w:left="820"/>
              <w:rPr>
                <w:color w:val="auto"/>
                <w:sz w:val="21"/>
                <w:szCs w:val="21"/>
                <w:highlight w:val="none"/>
              </w:rPr>
            </w:pPr>
            <w:r>
              <w:rPr>
                <w:color w:val="auto"/>
                <w:spacing w:val="-14"/>
                <w:sz w:val="21"/>
                <w:szCs w:val="21"/>
                <w:highlight w:val="none"/>
              </w:rPr>
              <w:t>剪</w:t>
            </w:r>
            <w:r>
              <w:rPr>
                <w:color w:val="auto"/>
                <w:spacing w:val="-28"/>
                <w:sz w:val="21"/>
                <w:szCs w:val="21"/>
                <w:highlight w:val="none"/>
              </w:rPr>
              <w:t xml:space="preserve"> </w:t>
            </w:r>
            <w:r>
              <w:rPr>
                <w:color w:val="auto"/>
                <w:spacing w:val="-14"/>
                <w:sz w:val="21"/>
                <w:szCs w:val="21"/>
                <w:highlight w:val="none"/>
              </w:rPr>
              <w:t>1</w:t>
            </w:r>
            <w:r>
              <w:rPr>
                <w:color w:val="auto"/>
                <w:spacing w:val="-38"/>
                <w:sz w:val="21"/>
                <w:szCs w:val="21"/>
                <w:highlight w:val="none"/>
              </w:rPr>
              <w:t xml:space="preserve"> </w:t>
            </w:r>
            <w:r>
              <w:rPr>
                <w:color w:val="auto"/>
                <w:spacing w:val="-14"/>
                <w:sz w:val="21"/>
                <w:szCs w:val="21"/>
                <w:highlight w:val="none"/>
              </w:rPr>
              <w:t>次。</w:t>
            </w:r>
          </w:p>
        </w:tc>
        <w:tc>
          <w:tcPr>
            <w:tcW w:w="740" w:type="dxa"/>
            <w:vAlign w:val="top"/>
          </w:tcPr>
          <w:p w14:paraId="1FBFBD44">
            <w:pPr>
              <w:spacing w:line="253" w:lineRule="auto"/>
              <w:rPr>
                <w:rFonts w:ascii="Arial"/>
                <w:color w:val="auto"/>
                <w:sz w:val="21"/>
                <w:highlight w:val="none"/>
              </w:rPr>
            </w:pPr>
          </w:p>
          <w:p w14:paraId="59CD84DA">
            <w:pPr>
              <w:spacing w:line="253" w:lineRule="auto"/>
              <w:rPr>
                <w:rFonts w:ascii="Arial"/>
                <w:color w:val="auto"/>
                <w:sz w:val="21"/>
                <w:highlight w:val="none"/>
              </w:rPr>
            </w:pPr>
          </w:p>
          <w:p w14:paraId="51306165">
            <w:pPr>
              <w:spacing w:line="254" w:lineRule="auto"/>
              <w:rPr>
                <w:rFonts w:ascii="Arial"/>
                <w:color w:val="auto"/>
                <w:sz w:val="21"/>
                <w:highlight w:val="none"/>
              </w:rPr>
            </w:pPr>
          </w:p>
          <w:p w14:paraId="2400BD24">
            <w:pPr>
              <w:pStyle w:val="247"/>
              <w:spacing w:before="68" w:line="242" w:lineRule="auto"/>
              <w:ind w:left="318"/>
              <w:rPr>
                <w:color w:val="auto"/>
                <w:sz w:val="21"/>
                <w:szCs w:val="21"/>
                <w:highlight w:val="none"/>
              </w:rPr>
            </w:pPr>
            <w:r>
              <w:rPr>
                <w:color w:val="auto"/>
                <w:sz w:val="21"/>
                <w:szCs w:val="21"/>
                <w:highlight w:val="none"/>
              </w:rPr>
              <w:t>4</w:t>
            </w:r>
          </w:p>
        </w:tc>
        <w:tc>
          <w:tcPr>
            <w:tcW w:w="2586" w:type="dxa"/>
            <w:vMerge w:val="continue"/>
            <w:vAlign w:val="top"/>
          </w:tcPr>
          <w:p w14:paraId="27D9E80C">
            <w:pPr>
              <w:rPr>
                <w:rFonts w:ascii="Arial"/>
                <w:color w:val="auto"/>
                <w:sz w:val="21"/>
                <w:highlight w:val="none"/>
              </w:rPr>
            </w:pPr>
          </w:p>
        </w:tc>
      </w:tr>
      <w:tr w14:paraId="7F256978">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337" w:hRule="atLeast"/>
        </w:trPr>
        <w:tc>
          <w:tcPr>
            <w:tcW w:w="766" w:type="dxa"/>
            <w:vMerge w:val="continue"/>
            <w:vAlign w:val="top"/>
          </w:tcPr>
          <w:p w14:paraId="2EFB4E91">
            <w:pPr>
              <w:rPr>
                <w:rFonts w:ascii="Arial"/>
                <w:color w:val="auto"/>
                <w:sz w:val="21"/>
                <w:highlight w:val="none"/>
              </w:rPr>
            </w:pPr>
          </w:p>
        </w:tc>
        <w:tc>
          <w:tcPr>
            <w:tcW w:w="553" w:type="dxa"/>
            <w:vMerge w:val="continue"/>
            <w:tcBorders>
              <w:top w:val="nil"/>
              <w:bottom w:val="nil"/>
            </w:tcBorders>
            <w:vAlign w:val="top"/>
          </w:tcPr>
          <w:p w14:paraId="57484823">
            <w:pPr>
              <w:rPr>
                <w:rFonts w:ascii="Arial"/>
                <w:color w:val="auto"/>
                <w:sz w:val="21"/>
                <w:highlight w:val="none"/>
              </w:rPr>
            </w:pPr>
          </w:p>
        </w:tc>
        <w:tc>
          <w:tcPr>
            <w:tcW w:w="1024" w:type="dxa"/>
            <w:vMerge w:val="continue"/>
            <w:tcBorders>
              <w:top w:val="nil"/>
              <w:bottom w:val="nil"/>
            </w:tcBorders>
            <w:vAlign w:val="top"/>
          </w:tcPr>
          <w:p w14:paraId="161AD30B">
            <w:pPr>
              <w:rPr>
                <w:rFonts w:ascii="Arial"/>
                <w:color w:val="auto"/>
                <w:sz w:val="21"/>
                <w:highlight w:val="none"/>
              </w:rPr>
            </w:pPr>
          </w:p>
        </w:tc>
        <w:tc>
          <w:tcPr>
            <w:tcW w:w="707" w:type="dxa"/>
            <w:vAlign w:val="top"/>
          </w:tcPr>
          <w:p w14:paraId="7ABCD02B">
            <w:pPr>
              <w:spacing w:line="242" w:lineRule="auto"/>
              <w:rPr>
                <w:rFonts w:ascii="Arial"/>
                <w:color w:val="auto"/>
                <w:sz w:val="21"/>
                <w:highlight w:val="none"/>
              </w:rPr>
            </w:pPr>
          </w:p>
          <w:p w14:paraId="6AE96DC7">
            <w:pPr>
              <w:spacing w:line="243" w:lineRule="auto"/>
              <w:rPr>
                <w:rFonts w:ascii="Arial"/>
                <w:color w:val="auto"/>
                <w:sz w:val="21"/>
                <w:highlight w:val="none"/>
              </w:rPr>
            </w:pPr>
          </w:p>
          <w:p w14:paraId="1C9D19A5">
            <w:pPr>
              <w:pStyle w:val="247"/>
              <w:spacing w:before="68" w:line="241" w:lineRule="auto"/>
              <w:ind w:left="260"/>
              <w:rPr>
                <w:color w:val="auto"/>
                <w:sz w:val="21"/>
                <w:szCs w:val="21"/>
                <w:highlight w:val="none"/>
              </w:rPr>
            </w:pPr>
            <w:r>
              <w:rPr>
                <w:color w:val="auto"/>
                <w:spacing w:val="-6"/>
                <w:sz w:val="21"/>
                <w:szCs w:val="21"/>
                <w:highlight w:val="none"/>
              </w:rPr>
              <w:t>13</w:t>
            </w:r>
          </w:p>
        </w:tc>
        <w:tc>
          <w:tcPr>
            <w:tcW w:w="2478" w:type="dxa"/>
            <w:vAlign w:val="top"/>
          </w:tcPr>
          <w:p w14:paraId="586BE111">
            <w:pPr>
              <w:pStyle w:val="247"/>
              <w:spacing w:before="88" w:line="221" w:lineRule="auto"/>
              <w:ind w:left="190"/>
              <w:rPr>
                <w:color w:val="auto"/>
                <w:sz w:val="21"/>
                <w:szCs w:val="21"/>
                <w:highlight w:val="none"/>
              </w:rPr>
            </w:pPr>
            <w:r>
              <w:rPr>
                <w:color w:val="auto"/>
                <w:spacing w:val="-1"/>
                <w:sz w:val="21"/>
                <w:szCs w:val="21"/>
                <w:highlight w:val="none"/>
              </w:rPr>
              <w:t>生长季节保持常态化抹</w:t>
            </w:r>
          </w:p>
          <w:p w14:paraId="72C6216F">
            <w:pPr>
              <w:pStyle w:val="247"/>
              <w:spacing w:before="60" w:line="221" w:lineRule="auto"/>
              <w:ind w:left="192"/>
              <w:rPr>
                <w:color w:val="auto"/>
                <w:sz w:val="21"/>
                <w:szCs w:val="21"/>
                <w:highlight w:val="none"/>
              </w:rPr>
            </w:pPr>
            <w:r>
              <w:rPr>
                <w:color w:val="auto"/>
                <w:spacing w:val="-1"/>
                <w:sz w:val="21"/>
                <w:szCs w:val="21"/>
                <w:highlight w:val="none"/>
              </w:rPr>
              <w:t>芽去孽，控制好主杆分</w:t>
            </w:r>
          </w:p>
          <w:p w14:paraId="21EE0D08">
            <w:pPr>
              <w:pStyle w:val="247"/>
              <w:spacing w:before="60" w:line="221" w:lineRule="auto"/>
              <w:ind w:left="108"/>
              <w:rPr>
                <w:color w:val="auto"/>
                <w:sz w:val="21"/>
                <w:szCs w:val="21"/>
                <w:highlight w:val="none"/>
              </w:rPr>
            </w:pPr>
            <w:r>
              <w:rPr>
                <w:color w:val="auto"/>
                <w:spacing w:val="-5"/>
                <w:sz w:val="21"/>
                <w:szCs w:val="21"/>
                <w:highlight w:val="none"/>
              </w:rPr>
              <w:t>枝；常绿树树身及树根部</w:t>
            </w:r>
          </w:p>
          <w:p w14:paraId="6EB9BAEF">
            <w:pPr>
              <w:pStyle w:val="247"/>
              <w:spacing w:before="60" w:line="221" w:lineRule="auto"/>
              <w:ind w:left="610"/>
              <w:rPr>
                <w:color w:val="auto"/>
                <w:sz w:val="21"/>
                <w:szCs w:val="21"/>
                <w:highlight w:val="none"/>
              </w:rPr>
            </w:pPr>
            <w:r>
              <w:rPr>
                <w:color w:val="auto"/>
                <w:spacing w:val="-2"/>
                <w:sz w:val="21"/>
                <w:szCs w:val="21"/>
                <w:highlight w:val="none"/>
              </w:rPr>
              <w:t>无蘖生枝叶。</w:t>
            </w:r>
          </w:p>
        </w:tc>
        <w:tc>
          <w:tcPr>
            <w:tcW w:w="740" w:type="dxa"/>
            <w:vAlign w:val="top"/>
          </w:tcPr>
          <w:p w14:paraId="1A31011E">
            <w:pPr>
              <w:spacing w:line="242" w:lineRule="auto"/>
              <w:rPr>
                <w:rFonts w:ascii="Arial"/>
                <w:color w:val="auto"/>
                <w:sz w:val="21"/>
                <w:highlight w:val="none"/>
              </w:rPr>
            </w:pPr>
          </w:p>
          <w:p w14:paraId="56BF4B06">
            <w:pPr>
              <w:spacing w:line="243" w:lineRule="auto"/>
              <w:rPr>
                <w:rFonts w:ascii="Arial"/>
                <w:color w:val="auto"/>
                <w:sz w:val="21"/>
                <w:highlight w:val="none"/>
              </w:rPr>
            </w:pPr>
          </w:p>
          <w:p w14:paraId="5251397F">
            <w:pPr>
              <w:pStyle w:val="247"/>
              <w:spacing w:before="69" w:line="242" w:lineRule="auto"/>
              <w:ind w:left="318"/>
              <w:rPr>
                <w:color w:val="auto"/>
                <w:sz w:val="21"/>
                <w:szCs w:val="21"/>
                <w:highlight w:val="none"/>
              </w:rPr>
            </w:pPr>
            <w:r>
              <w:rPr>
                <w:color w:val="auto"/>
                <w:sz w:val="21"/>
                <w:szCs w:val="21"/>
                <w:highlight w:val="none"/>
              </w:rPr>
              <w:t>4</w:t>
            </w:r>
          </w:p>
        </w:tc>
        <w:tc>
          <w:tcPr>
            <w:tcW w:w="2586" w:type="dxa"/>
            <w:vMerge w:val="continue"/>
            <w:vAlign w:val="top"/>
          </w:tcPr>
          <w:p w14:paraId="7C24B736">
            <w:pPr>
              <w:rPr>
                <w:rFonts w:ascii="Arial"/>
                <w:color w:val="auto"/>
                <w:sz w:val="21"/>
                <w:highlight w:val="none"/>
              </w:rPr>
            </w:pPr>
          </w:p>
        </w:tc>
      </w:tr>
      <w:tr w14:paraId="39ADAB1E">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2203" w:hRule="atLeast"/>
        </w:trPr>
        <w:tc>
          <w:tcPr>
            <w:tcW w:w="766" w:type="dxa"/>
            <w:vMerge w:val="continue"/>
            <w:vAlign w:val="top"/>
          </w:tcPr>
          <w:p w14:paraId="29AC5AD6">
            <w:pPr>
              <w:rPr>
                <w:rFonts w:ascii="Arial"/>
                <w:color w:val="auto"/>
                <w:sz w:val="21"/>
                <w:highlight w:val="none"/>
              </w:rPr>
            </w:pPr>
          </w:p>
        </w:tc>
        <w:tc>
          <w:tcPr>
            <w:tcW w:w="553" w:type="dxa"/>
            <w:vMerge w:val="continue"/>
            <w:tcBorders>
              <w:top w:val="nil"/>
            </w:tcBorders>
            <w:vAlign w:val="top"/>
          </w:tcPr>
          <w:p w14:paraId="03D31BC9">
            <w:pPr>
              <w:rPr>
                <w:rFonts w:ascii="Arial"/>
                <w:color w:val="auto"/>
                <w:sz w:val="21"/>
                <w:highlight w:val="none"/>
              </w:rPr>
            </w:pPr>
          </w:p>
        </w:tc>
        <w:tc>
          <w:tcPr>
            <w:tcW w:w="1024" w:type="dxa"/>
            <w:vMerge w:val="continue"/>
            <w:tcBorders>
              <w:top w:val="nil"/>
            </w:tcBorders>
            <w:vAlign w:val="top"/>
          </w:tcPr>
          <w:p w14:paraId="4E289C0C">
            <w:pPr>
              <w:rPr>
                <w:rFonts w:ascii="Arial"/>
                <w:color w:val="auto"/>
                <w:sz w:val="21"/>
                <w:highlight w:val="none"/>
              </w:rPr>
            </w:pPr>
          </w:p>
        </w:tc>
        <w:tc>
          <w:tcPr>
            <w:tcW w:w="707" w:type="dxa"/>
            <w:vAlign w:val="top"/>
          </w:tcPr>
          <w:p w14:paraId="6953BC02">
            <w:pPr>
              <w:spacing w:line="306" w:lineRule="auto"/>
              <w:rPr>
                <w:rFonts w:ascii="Arial"/>
                <w:color w:val="auto"/>
                <w:sz w:val="21"/>
                <w:highlight w:val="none"/>
              </w:rPr>
            </w:pPr>
          </w:p>
          <w:p w14:paraId="19498505">
            <w:pPr>
              <w:spacing w:line="306" w:lineRule="auto"/>
              <w:rPr>
                <w:rFonts w:ascii="Arial"/>
                <w:color w:val="auto"/>
                <w:sz w:val="21"/>
                <w:highlight w:val="none"/>
              </w:rPr>
            </w:pPr>
          </w:p>
          <w:p w14:paraId="4406263F">
            <w:pPr>
              <w:spacing w:line="307" w:lineRule="auto"/>
              <w:rPr>
                <w:rFonts w:ascii="Arial"/>
                <w:color w:val="auto"/>
                <w:sz w:val="21"/>
                <w:highlight w:val="none"/>
              </w:rPr>
            </w:pPr>
          </w:p>
          <w:p w14:paraId="0F9C86B6">
            <w:pPr>
              <w:pStyle w:val="247"/>
              <w:spacing w:before="68" w:line="242" w:lineRule="auto"/>
              <w:ind w:left="260"/>
              <w:rPr>
                <w:color w:val="auto"/>
                <w:sz w:val="21"/>
                <w:szCs w:val="21"/>
                <w:highlight w:val="none"/>
              </w:rPr>
            </w:pPr>
            <w:r>
              <w:rPr>
                <w:color w:val="auto"/>
                <w:spacing w:val="-6"/>
                <w:sz w:val="21"/>
                <w:szCs w:val="21"/>
                <w:highlight w:val="none"/>
              </w:rPr>
              <w:t>14</w:t>
            </w:r>
          </w:p>
        </w:tc>
        <w:tc>
          <w:tcPr>
            <w:tcW w:w="2478" w:type="dxa"/>
            <w:vAlign w:val="top"/>
          </w:tcPr>
          <w:p w14:paraId="5365BA85">
            <w:pPr>
              <w:pStyle w:val="247"/>
              <w:spacing w:before="56" w:line="221" w:lineRule="auto"/>
              <w:ind w:left="192"/>
              <w:rPr>
                <w:color w:val="auto"/>
                <w:sz w:val="21"/>
                <w:szCs w:val="21"/>
                <w:highlight w:val="none"/>
              </w:rPr>
            </w:pPr>
            <w:r>
              <w:rPr>
                <w:color w:val="auto"/>
                <w:spacing w:val="-1"/>
                <w:sz w:val="21"/>
                <w:szCs w:val="21"/>
                <w:highlight w:val="none"/>
              </w:rPr>
              <w:t>列植式球类及柱状小乔</w:t>
            </w:r>
          </w:p>
          <w:p w14:paraId="22350A2B">
            <w:pPr>
              <w:pStyle w:val="247"/>
              <w:spacing w:before="60" w:line="221" w:lineRule="auto"/>
              <w:ind w:left="107"/>
              <w:rPr>
                <w:color w:val="auto"/>
                <w:sz w:val="21"/>
                <w:szCs w:val="21"/>
                <w:highlight w:val="none"/>
              </w:rPr>
            </w:pPr>
            <w:r>
              <w:rPr>
                <w:color w:val="auto"/>
                <w:spacing w:val="-3"/>
                <w:sz w:val="21"/>
                <w:szCs w:val="21"/>
                <w:highlight w:val="none"/>
              </w:rPr>
              <w:t>木修剪圆润饱满，顶部、</w:t>
            </w:r>
          </w:p>
          <w:p w14:paraId="29D7159A">
            <w:pPr>
              <w:pStyle w:val="247"/>
              <w:spacing w:before="60" w:line="220" w:lineRule="auto"/>
              <w:ind w:left="113"/>
              <w:rPr>
                <w:color w:val="auto"/>
                <w:sz w:val="21"/>
                <w:szCs w:val="21"/>
                <w:highlight w:val="none"/>
              </w:rPr>
            </w:pPr>
            <w:r>
              <w:rPr>
                <w:color w:val="auto"/>
                <w:spacing w:val="-5"/>
                <w:sz w:val="21"/>
                <w:szCs w:val="21"/>
                <w:highlight w:val="none"/>
              </w:rPr>
              <w:t>下脚修剪高度一致；组团</w:t>
            </w:r>
          </w:p>
          <w:p w14:paraId="314506E5">
            <w:pPr>
              <w:pStyle w:val="247"/>
              <w:spacing w:before="61" w:line="221" w:lineRule="auto"/>
              <w:ind w:left="111"/>
              <w:rPr>
                <w:color w:val="auto"/>
                <w:sz w:val="21"/>
                <w:szCs w:val="21"/>
                <w:highlight w:val="none"/>
              </w:rPr>
            </w:pPr>
            <w:r>
              <w:rPr>
                <w:color w:val="auto"/>
                <w:spacing w:val="-5"/>
                <w:sz w:val="21"/>
                <w:szCs w:val="21"/>
                <w:highlight w:val="none"/>
              </w:rPr>
              <w:t>式球类修剪错落有致，大</w:t>
            </w:r>
          </w:p>
          <w:p w14:paraId="22332F87">
            <w:pPr>
              <w:pStyle w:val="247"/>
              <w:spacing w:before="61" w:line="221" w:lineRule="auto"/>
              <w:ind w:left="112"/>
              <w:rPr>
                <w:color w:val="auto"/>
                <w:sz w:val="21"/>
                <w:szCs w:val="21"/>
                <w:highlight w:val="none"/>
              </w:rPr>
            </w:pPr>
            <w:r>
              <w:rPr>
                <w:color w:val="auto"/>
                <w:spacing w:val="-6"/>
                <w:sz w:val="21"/>
                <w:szCs w:val="21"/>
                <w:highlight w:val="none"/>
              </w:rPr>
              <w:t>小均匀，道路隔离带拼球</w:t>
            </w:r>
          </w:p>
          <w:p w14:paraId="087A4A3B">
            <w:pPr>
              <w:pStyle w:val="247"/>
              <w:spacing w:before="60" w:line="221" w:lineRule="auto"/>
              <w:ind w:left="106"/>
              <w:rPr>
                <w:color w:val="auto"/>
                <w:sz w:val="21"/>
                <w:szCs w:val="21"/>
                <w:highlight w:val="none"/>
              </w:rPr>
            </w:pPr>
            <w:r>
              <w:rPr>
                <w:color w:val="auto"/>
                <w:spacing w:val="-4"/>
                <w:sz w:val="21"/>
                <w:szCs w:val="21"/>
                <w:highlight w:val="none"/>
              </w:rPr>
              <w:t>种植灌木控制生长，同区</w:t>
            </w:r>
          </w:p>
          <w:p w14:paraId="200145F3">
            <w:pPr>
              <w:pStyle w:val="247"/>
              <w:spacing w:before="62" w:line="221" w:lineRule="auto"/>
              <w:ind w:left="609"/>
              <w:rPr>
                <w:color w:val="auto"/>
                <w:sz w:val="21"/>
                <w:szCs w:val="21"/>
                <w:highlight w:val="none"/>
              </w:rPr>
            </w:pPr>
            <w:r>
              <w:rPr>
                <w:color w:val="auto"/>
                <w:spacing w:val="-1"/>
                <w:sz w:val="21"/>
                <w:szCs w:val="21"/>
                <w:highlight w:val="none"/>
              </w:rPr>
              <w:t>域大小一致。</w:t>
            </w:r>
          </w:p>
        </w:tc>
        <w:tc>
          <w:tcPr>
            <w:tcW w:w="740" w:type="dxa"/>
            <w:vAlign w:val="top"/>
          </w:tcPr>
          <w:p w14:paraId="67211697">
            <w:pPr>
              <w:spacing w:line="306" w:lineRule="auto"/>
              <w:rPr>
                <w:rFonts w:ascii="Arial"/>
                <w:color w:val="auto"/>
                <w:sz w:val="21"/>
                <w:highlight w:val="none"/>
              </w:rPr>
            </w:pPr>
          </w:p>
          <w:p w14:paraId="3EDB1146">
            <w:pPr>
              <w:spacing w:line="306" w:lineRule="auto"/>
              <w:rPr>
                <w:rFonts w:ascii="Arial"/>
                <w:color w:val="auto"/>
                <w:sz w:val="21"/>
                <w:highlight w:val="none"/>
              </w:rPr>
            </w:pPr>
          </w:p>
          <w:p w14:paraId="7E37D5E5">
            <w:pPr>
              <w:spacing w:line="307" w:lineRule="auto"/>
              <w:rPr>
                <w:rFonts w:ascii="Arial"/>
                <w:color w:val="auto"/>
                <w:sz w:val="21"/>
                <w:highlight w:val="none"/>
              </w:rPr>
            </w:pPr>
          </w:p>
          <w:p w14:paraId="12FD79E2">
            <w:pPr>
              <w:pStyle w:val="247"/>
              <w:spacing w:before="68" w:line="242" w:lineRule="auto"/>
              <w:ind w:left="318"/>
              <w:rPr>
                <w:color w:val="auto"/>
                <w:sz w:val="21"/>
                <w:szCs w:val="21"/>
                <w:highlight w:val="none"/>
              </w:rPr>
            </w:pPr>
            <w:r>
              <w:rPr>
                <w:color w:val="auto"/>
                <w:sz w:val="21"/>
                <w:szCs w:val="21"/>
                <w:highlight w:val="none"/>
              </w:rPr>
              <w:t>4</w:t>
            </w:r>
          </w:p>
        </w:tc>
        <w:tc>
          <w:tcPr>
            <w:tcW w:w="2586" w:type="dxa"/>
            <w:vMerge w:val="continue"/>
            <w:vAlign w:val="top"/>
          </w:tcPr>
          <w:p w14:paraId="7B6BDB12">
            <w:pPr>
              <w:rPr>
                <w:rFonts w:ascii="Arial"/>
                <w:color w:val="auto"/>
                <w:sz w:val="21"/>
                <w:highlight w:val="none"/>
              </w:rPr>
            </w:pPr>
          </w:p>
        </w:tc>
      </w:tr>
      <w:tr w14:paraId="358E9DBB">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875" w:hRule="atLeast"/>
        </w:trPr>
        <w:tc>
          <w:tcPr>
            <w:tcW w:w="766" w:type="dxa"/>
            <w:vMerge w:val="restart"/>
            <w:vAlign w:val="top"/>
          </w:tcPr>
          <w:p w14:paraId="350D8936">
            <w:pPr>
              <w:spacing w:line="279" w:lineRule="auto"/>
              <w:rPr>
                <w:rFonts w:ascii="Arial"/>
                <w:color w:val="auto"/>
                <w:sz w:val="21"/>
                <w:highlight w:val="none"/>
              </w:rPr>
            </w:pPr>
          </w:p>
          <w:p w14:paraId="1D55BFAC">
            <w:pPr>
              <w:spacing w:line="279" w:lineRule="auto"/>
              <w:rPr>
                <w:rFonts w:ascii="Arial"/>
                <w:color w:val="auto"/>
                <w:sz w:val="21"/>
                <w:highlight w:val="none"/>
              </w:rPr>
            </w:pPr>
          </w:p>
          <w:p w14:paraId="603495D2">
            <w:pPr>
              <w:spacing w:line="280" w:lineRule="auto"/>
              <w:rPr>
                <w:rFonts w:ascii="Arial"/>
                <w:color w:val="auto"/>
                <w:sz w:val="21"/>
                <w:highlight w:val="none"/>
              </w:rPr>
            </w:pPr>
          </w:p>
          <w:p w14:paraId="7735F66E">
            <w:pPr>
              <w:spacing w:line="280" w:lineRule="auto"/>
              <w:rPr>
                <w:rFonts w:ascii="Arial"/>
                <w:color w:val="auto"/>
                <w:sz w:val="21"/>
                <w:highlight w:val="none"/>
              </w:rPr>
            </w:pPr>
          </w:p>
          <w:p w14:paraId="3C2A2908">
            <w:pPr>
              <w:spacing w:line="280" w:lineRule="auto"/>
              <w:rPr>
                <w:rFonts w:ascii="Arial"/>
                <w:color w:val="auto"/>
                <w:sz w:val="21"/>
                <w:highlight w:val="none"/>
              </w:rPr>
            </w:pPr>
          </w:p>
          <w:p w14:paraId="061F7F74">
            <w:pPr>
              <w:spacing w:line="242" w:lineRule="auto"/>
              <w:rPr>
                <w:rFonts w:ascii="Arial"/>
                <w:color w:val="auto"/>
                <w:sz w:val="21"/>
                <w:highlight w:val="none"/>
              </w:rPr>
            </w:pPr>
          </w:p>
          <w:p w14:paraId="1E8A3770">
            <w:pPr>
              <w:spacing w:line="242" w:lineRule="auto"/>
              <w:rPr>
                <w:rFonts w:ascii="Arial"/>
                <w:color w:val="auto"/>
                <w:sz w:val="21"/>
                <w:highlight w:val="none"/>
              </w:rPr>
            </w:pPr>
          </w:p>
          <w:p w14:paraId="5C21FF91">
            <w:pPr>
              <w:spacing w:line="242" w:lineRule="auto"/>
              <w:rPr>
                <w:rFonts w:ascii="Arial"/>
                <w:color w:val="auto"/>
                <w:sz w:val="21"/>
                <w:highlight w:val="none"/>
              </w:rPr>
            </w:pPr>
          </w:p>
          <w:p w14:paraId="1BAC0CD4">
            <w:pPr>
              <w:spacing w:line="243" w:lineRule="auto"/>
              <w:rPr>
                <w:rFonts w:ascii="Arial"/>
                <w:color w:val="auto"/>
                <w:sz w:val="21"/>
                <w:highlight w:val="none"/>
              </w:rPr>
            </w:pPr>
          </w:p>
          <w:p w14:paraId="5CDF7A15">
            <w:pPr>
              <w:spacing w:line="243" w:lineRule="auto"/>
              <w:rPr>
                <w:rFonts w:ascii="Arial"/>
                <w:color w:val="auto"/>
                <w:sz w:val="21"/>
                <w:highlight w:val="none"/>
              </w:rPr>
            </w:pPr>
          </w:p>
          <w:p w14:paraId="451D943D">
            <w:pPr>
              <w:pStyle w:val="247"/>
              <w:spacing w:before="68" w:line="275" w:lineRule="auto"/>
              <w:ind w:left="170" w:right="168" w:firstLine="2"/>
              <w:jc w:val="both"/>
              <w:rPr>
                <w:color w:val="auto"/>
                <w:sz w:val="21"/>
                <w:szCs w:val="21"/>
                <w:highlight w:val="none"/>
              </w:rPr>
            </w:pPr>
            <w:r>
              <w:rPr>
                <w:color w:val="auto"/>
                <w:spacing w:val="-6"/>
                <w:sz w:val="21"/>
                <w:szCs w:val="21"/>
                <w:highlight w:val="none"/>
              </w:rPr>
              <w:t>常规</w:t>
            </w:r>
            <w:r>
              <w:rPr>
                <w:color w:val="auto"/>
                <w:spacing w:val="-5"/>
                <w:sz w:val="21"/>
                <w:szCs w:val="21"/>
                <w:highlight w:val="none"/>
              </w:rPr>
              <w:t>工作</w:t>
            </w:r>
            <w:r>
              <w:rPr>
                <w:color w:val="auto"/>
                <w:spacing w:val="-3"/>
                <w:sz w:val="21"/>
                <w:szCs w:val="21"/>
                <w:highlight w:val="none"/>
              </w:rPr>
              <w:t>（28</w:t>
            </w:r>
            <w:r>
              <w:rPr>
                <w:color w:val="auto"/>
                <w:spacing w:val="-6"/>
                <w:sz w:val="21"/>
                <w:szCs w:val="21"/>
                <w:highlight w:val="none"/>
              </w:rPr>
              <w:t>分）</w:t>
            </w:r>
          </w:p>
        </w:tc>
        <w:tc>
          <w:tcPr>
            <w:tcW w:w="553" w:type="dxa"/>
            <w:vAlign w:val="top"/>
          </w:tcPr>
          <w:p w14:paraId="4B6B72B2">
            <w:pPr>
              <w:spacing w:line="254" w:lineRule="auto"/>
              <w:rPr>
                <w:rFonts w:ascii="Arial"/>
                <w:color w:val="auto"/>
                <w:sz w:val="21"/>
                <w:highlight w:val="none"/>
              </w:rPr>
            </w:pPr>
          </w:p>
          <w:p w14:paraId="52B16CAC">
            <w:pPr>
              <w:spacing w:line="254" w:lineRule="auto"/>
              <w:rPr>
                <w:rFonts w:ascii="Arial"/>
                <w:color w:val="auto"/>
                <w:sz w:val="21"/>
                <w:highlight w:val="none"/>
              </w:rPr>
            </w:pPr>
          </w:p>
          <w:p w14:paraId="3013C520">
            <w:pPr>
              <w:spacing w:line="255" w:lineRule="auto"/>
              <w:rPr>
                <w:rFonts w:ascii="Arial"/>
                <w:color w:val="auto"/>
                <w:sz w:val="21"/>
                <w:highlight w:val="none"/>
              </w:rPr>
            </w:pPr>
          </w:p>
          <w:p w14:paraId="7A966861">
            <w:pPr>
              <w:pStyle w:val="247"/>
              <w:spacing w:before="68" w:line="241" w:lineRule="auto"/>
              <w:ind w:left="220"/>
              <w:rPr>
                <w:color w:val="auto"/>
                <w:sz w:val="21"/>
                <w:szCs w:val="21"/>
                <w:highlight w:val="none"/>
              </w:rPr>
            </w:pPr>
            <w:r>
              <w:rPr>
                <w:color w:val="auto"/>
                <w:sz w:val="21"/>
                <w:szCs w:val="21"/>
                <w:highlight w:val="none"/>
              </w:rPr>
              <w:t>6</w:t>
            </w:r>
          </w:p>
        </w:tc>
        <w:tc>
          <w:tcPr>
            <w:tcW w:w="1024" w:type="dxa"/>
            <w:vAlign w:val="top"/>
          </w:tcPr>
          <w:p w14:paraId="534B0DB6">
            <w:pPr>
              <w:spacing w:line="303" w:lineRule="auto"/>
              <w:rPr>
                <w:rFonts w:ascii="Arial"/>
                <w:color w:val="auto"/>
                <w:sz w:val="21"/>
                <w:highlight w:val="none"/>
              </w:rPr>
            </w:pPr>
          </w:p>
          <w:p w14:paraId="0174380F">
            <w:pPr>
              <w:spacing w:line="304" w:lineRule="auto"/>
              <w:rPr>
                <w:rFonts w:ascii="Arial"/>
                <w:color w:val="auto"/>
                <w:sz w:val="21"/>
                <w:highlight w:val="none"/>
              </w:rPr>
            </w:pPr>
          </w:p>
          <w:p w14:paraId="3770273E">
            <w:pPr>
              <w:pStyle w:val="247"/>
              <w:spacing w:before="69" w:line="277" w:lineRule="auto"/>
              <w:ind w:left="194" w:right="189"/>
              <w:rPr>
                <w:color w:val="auto"/>
                <w:sz w:val="21"/>
                <w:szCs w:val="21"/>
                <w:highlight w:val="none"/>
              </w:rPr>
            </w:pPr>
            <w:r>
              <w:rPr>
                <w:color w:val="auto"/>
                <w:spacing w:val="-3"/>
                <w:sz w:val="21"/>
                <w:szCs w:val="21"/>
                <w:highlight w:val="none"/>
              </w:rPr>
              <w:t>绿地维</w:t>
            </w:r>
            <w:r>
              <w:rPr>
                <w:color w:val="auto"/>
                <w:spacing w:val="-10"/>
                <w:sz w:val="21"/>
                <w:szCs w:val="21"/>
                <w:highlight w:val="none"/>
              </w:rPr>
              <w:t>护</w:t>
            </w:r>
            <w:r>
              <w:rPr>
                <w:color w:val="auto"/>
                <w:spacing w:val="-40"/>
                <w:sz w:val="21"/>
                <w:szCs w:val="21"/>
                <w:highlight w:val="none"/>
              </w:rPr>
              <w:t xml:space="preserve"> </w:t>
            </w:r>
            <w:r>
              <w:rPr>
                <w:color w:val="auto"/>
                <w:spacing w:val="-10"/>
                <w:sz w:val="21"/>
                <w:szCs w:val="21"/>
                <w:highlight w:val="none"/>
              </w:rPr>
              <w:t>5</w:t>
            </w:r>
            <w:r>
              <w:rPr>
                <w:color w:val="auto"/>
                <w:spacing w:val="-41"/>
                <w:sz w:val="21"/>
                <w:szCs w:val="21"/>
                <w:highlight w:val="none"/>
              </w:rPr>
              <w:t xml:space="preserve"> </w:t>
            </w:r>
            <w:r>
              <w:rPr>
                <w:color w:val="auto"/>
                <w:spacing w:val="-10"/>
                <w:sz w:val="21"/>
                <w:szCs w:val="21"/>
                <w:highlight w:val="none"/>
              </w:rPr>
              <w:t>分</w:t>
            </w:r>
          </w:p>
        </w:tc>
        <w:tc>
          <w:tcPr>
            <w:tcW w:w="707" w:type="dxa"/>
            <w:vAlign w:val="top"/>
          </w:tcPr>
          <w:p w14:paraId="15ADE3A7">
            <w:pPr>
              <w:spacing w:line="254" w:lineRule="auto"/>
              <w:rPr>
                <w:rFonts w:ascii="Arial"/>
                <w:color w:val="auto"/>
                <w:sz w:val="21"/>
                <w:highlight w:val="none"/>
              </w:rPr>
            </w:pPr>
          </w:p>
          <w:p w14:paraId="6319F113">
            <w:pPr>
              <w:spacing w:line="254" w:lineRule="auto"/>
              <w:rPr>
                <w:rFonts w:ascii="Arial"/>
                <w:color w:val="auto"/>
                <w:sz w:val="21"/>
                <w:highlight w:val="none"/>
              </w:rPr>
            </w:pPr>
          </w:p>
          <w:p w14:paraId="1A096048">
            <w:pPr>
              <w:spacing w:line="255" w:lineRule="auto"/>
              <w:rPr>
                <w:rFonts w:ascii="Arial"/>
                <w:color w:val="auto"/>
                <w:sz w:val="21"/>
                <w:highlight w:val="none"/>
              </w:rPr>
            </w:pPr>
          </w:p>
          <w:p w14:paraId="029AB173">
            <w:pPr>
              <w:pStyle w:val="247"/>
              <w:spacing w:before="68" w:line="241" w:lineRule="auto"/>
              <w:ind w:left="260"/>
              <w:rPr>
                <w:color w:val="auto"/>
                <w:sz w:val="21"/>
                <w:szCs w:val="21"/>
                <w:highlight w:val="none"/>
              </w:rPr>
            </w:pPr>
            <w:r>
              <w:rPr>
                <w:color w:val="auto"/>
                <w:spacing w:val="-6"/>
                <w:sz w:val="21"/>
                <w:szCs w:val="21"/>
                <w:highlight w:val="none"/>
              </w:rPr>
              <w:t>15</w:t>
            </w:r>
          </w:p>
        </w:tc>
        <w:tc>
          <w:tcPr>
            <w:tcW w:w="2478" w:type="dxa"/>
            <w:vAlign w:val="top"/>
          </w:tcPr>
          <w:p w14:paraId="5E607686">
            <w:pPr>
              <w:pStyle w:val="247"/>
              <w:spacing w:before="56" w:line="221" w:lineRule="auto"/>
              <w:ind w:left="106"/>
              <w:rPr>
                <w:color w:val="auto"/>
                <w:sz w:val="21"/>
                <w:szCs w:val="21"/>
                <w:highlight w:val="none"/>
              </w:rPr>
            </w:pPr>
            <w:r>
              <w:rPr>
                <w:color w:val="auto"/>
                <w:spacing w:val="-5"/>
                <w:sz w:val="21"/>
                <w:szCs w:val="21"/>
                <w:highlight w:val="none"/>
              </w:rPr>
              <w:t>及时清理绿地内枯枝、断</w:t>
            </w:r>
          </w:p>
          <w:p w14:paraId="77C432F7">
            <w:pPr>
              <w:pStyle w:val="247"/>
              <w:spacing w:before="60" w:line="221" w:lineRule="auto"/>
              <w:ind w:left="108"/>
              <w:rPr>
                <w:color w:val="auto"/>
                <w:sz w:val="21"/>
                <w:szCs w:val="21"/>
                <w:highlight w:val="none"/>
              </w:rPr>
            </w:pPr>
            <w:r>
              <w:rPr>
                <w:color w:val="auto"/>
                <w:spacing w:val="-5"/>
                <w:sz w:val="21"/>
                <w:szCs w:val="21"/>
                <w:highlight w:val="none"/>
              </w:rPr>
              <w:t>枝等。树木、草坪修剪后</w:t>
            </w:r>
          </w:p>
          <w:p w14:paraId="4B00FCFA">
            <w:pPr>
              <w:pStyle w:val="247"/>
              <w:spacing w:before="60" w:line="221" w:lineRule="auto"/>
              <w:ind w:left="108"/>
              <w:rPr>
                <w:color w:val="auto"/>
                <w:sz w:val="21"/>
                <w:szCs w:val="21"/>
                <w:highlight w:val="none"/>
              </w:rPr>
            </w:pPr>
            <w:r>
              <w:rPr>
                <w:color w:val="auto"/>
                <w:spacing w:val="-5"/>
                <w:sz w:val="21"/>
                <w:szCs w:val="21"/>
                <w:highlight w:val="none"/>
              </w:rPr>
              <w:t>枝叶、垃圾应及时清运不</w:t>
            </w:r>
          </w:p>
          <w:p w14:paraId="2D61A313">
            <w:pPr>
              <w:pStyle w:val="247"/>
              <w:spacing w:before="60" w:line="221" w:lineRule="auto"/>
              <w:ind w:left="107"/>
              <w:rPr>
                <w:color w:val="auto"/>
                <w:sz w:val="21"/>
                <w:szCs w:val="21"/>
                <w:highlight w:val="none"/>
              </w:rPr>
            </w:pPr>
            <w:r>
              <w:rPr>
                <w:color w:val="auto"/>
                <w:spacing w:val="-3"/>
                <w:sz w:val="21"/>
                <w:szCs w:val="21"/>
                <w:highlight w:val="none"/>
              </w:rPr>
              <w:t>过夜，做到不乱丢乱抛，</w:t>
            </w:r>
          </w:p>
          <w:p w14:paraId="68C1DFE6">
            <w:pPr>
              <w:pStyle w:val="247"/>
              <w:spacing w:before="61" w:line="221" w:lineRule="auto"/>
              <w:ind w:left="191"/>
              <w:rPr>
                <w:color w:val="auto"/>
                <w:sz w:val="21"/>
                <w:szCs w:val="21"/>
                <w:highlight w:val="none"/>
              </w:rPr>
            </w:pPr>
            <w:r>
              <w:rPr>
                <w:color w:val="auto"/>
                <w:spacing w:val="-1"/>
                <w:sz w:val="21"/>
                <w:szCs w:val="21"/>
                <w:highlight w:val="none"/>
              </w:rPr>
              <w:t>水生植物冬季清理按规</w:t>
            </w:r>
          </w:p>
          <w:p w14:paraId="710D3BFC">
            <w:pPr>
              <w:pStyle w:val="247"/>
              <w:spacing w:before="61" w:line="218" w:lineRule="auto"/>
              <w:ind w:left="613"/>
              <w:rPr>
                <w:color w:val="auto"/>
                <w:sz w:val="21"/>
                <w:szCs w:val="21"/>
                <w:highlight w:val="none"/>
              </w:rPr>
            </w:pPr>
            <w:r>
              <w:rPr>
                <w:color w:val="auto"/>
                <w:spacing w:val="-2"/>
                <w:sz w:val="21"/>
                <w:szCs w:val="21"/>
                <w:highlight w:val="none"/>
              </w:rPr>
              <w:t>定时限完成。</w:t>
            </w:r>
          </w:p>
        </w:tc>
        <w:tc>
          <w:tcPr>
            <w:tcW w:w="740" w:type="dxa"/>
            <w:vAlign w:val="top"/>
          </w:tcPr>
          <w:p w14:paraId="46A60CB8">
            <w:pPr>
              <w:spacing w:line="254" w:lineRule="auto"/>
              <w:rPr>
                <w:rFonts w:ascii="Arial"/>
                <w:color w:val="auto"/>
                <w:sz w:val="21"/>
                <w:highlight w:val="none"/>
              </w:rPr>
            </w:pPr>
          </w:p>
          <w:p w14:paraId="349269B7">
            <w:pPr>
              <w:spacing w:line="254" w:lineRule="auto"/>
              <w:rPr>
                <w:rFonts w:ascii="Arial"/>
                <w:color w:val="auto"/>
                <w:sz w:val="21"/>
                <w:highlight w:val="none"/>
              </w:rPr>
            </w:pPr>
          </w:p>
          <w:p w14:paraId="2F43EFF4">
            <w:pPr>
              <w:spacing w:line="255" w:lineRule="auto"/>
              <w:rPr>
                <w:rFonts w:ascii="Arial"/>
                <w:color w:val="auto"/>
                <w:sz w:val="21"/>
                <w:highlight w:val="none"/>
              </w:rPr>
            </w:pPr>
          </w:p>
          <w:p w14:paraId="49332405">
            <w:pPr>
              <w:pStyle w:val="247"/>
              <w:spacing w:before="68" w:line="241" w:lineRule="auto"/>
              <w:ind w:left="323"/>
              <w:rPr>
                <w:color w:val="auto"/>
                <w:sz w:val="21"/>
                <w:szCs w:val="21"/>
                <w:highlight w:val="none"/>
              </w:rPr>
            </w:pPr>
            <w:r>
              <w:rPr>
                <w:color w:val="auto"/>
                <w:sz w:val="21"/>
                <w:szCs w:val="21"/>
                <w:highlight w:val="none"/>
              </w:rPr>
              <w:t>5</w:t>
            </w:r>
          </w:p>
        </w:tc>
        <w:tc>
          <w:tcPr>
            <w:tcW w:w="2586" w:type="dxa"/>
            <w:vAlign w:val="top"/>
          </w:tcPr>
          <w:p w14:paraId="7B9B3D63">
            <w:pPr>
              <w:pStyle w:val="247"/>
              <w:spacing w:before="56" w:line="221" w:lineRule="auto"/>
              <w:ind w:left="142"/>
              <w:rPr>
                <w:color w:val="auto"/>
                <w:sz w:val="21"/>
                <w:szCs w:val="21"/>
                <w:highlight w:val="none"/>
              </w:rPr>
            </w:pPr>
            <w:r>
              <w:rPr>
                <w:color w:val="auto"/>
                <w:spacing w:val="-1"/>
                <w:sz w:val="21"/>
                <w:szCs w:val="21"/>
                <w:highlight w:val="none"/>
              </w:rPr>
              <w:t>发现有大量枯枝、断枝未</w:t>
            </w:r>
          </w:p>
          <w:p w14:paraId="16185132">
            <w:pPr>
              <w:pStyle w:val="247"/>
              <w:spacing w:before="61" w:line="221" w:lineRule="auto"/>
              <w:ind w:left="112"/>
              <w:rPr>
                <w:color w:val="auto"/>
                <w:sz w:val="21"/>
                <w:szCs w:val="21"/>
                <w:highlight w:val="none"/>
              </w:rPr>
            </w:pPr>
            <w:r>
              <w:rPr>
                <w:color w:val="auto"/>
                <w:spacing w:val="-6"/>
                <w:sz w:val="21"/>
                <w:szCs w:val="21"/>
                <w:highlight w:val="none"/>
              </w:rPr>
              <w:t>清理，扣</w:t>
            </w:r>
            <w:r>
              <w:rPr>
                <w:color w:val="auto"/>
                <w:spacing w:val="-42"/>
                <w:sz w:val="21"/>
                <w:szCs w:val="21"/>
                <w:highlight w:val="none"/>
              </w:rPr>
              <w:t xml:space="preserve"> </w:t>
            </w:r>
            <w:r>
              <w:rPr>
                <w:color w:val="auto"/>
                <w:spacing w:val="-6"/>
                <w:sz w:val="21"/>
                <w:szCs w:val="21"/>
                <w:highlight w:val="none"/>
              </w:rPr>
              <w:t>0.5</w:t>
            </w:r>
            <w:r>
              <w:rPr>
                <w:color w:val="auto"/>
                <w:spacing w:val="-42"/>
                <w:sz w:val="21"/>
                <w:szCs w:val="21"/>
                <w:highlight w:val="none"/>
              </w:rPr>
              <w:t xml:space="preserve"> </w:t>
            </w:r>
            <w:r>
              <w:rPr>
                <w:color w:val="auto"/>
                <w:spacing w:val="-6"/>
                <w:sz w:val="21"/>
                <w:szCs w:val="21"/>
                <w:highlight w:val="none"/>
              </w:rPr>
              <w:t>分/处；绿化</w:t>
            </w:r>
          </w:p>
          <w:p w14:paraId="5CC3F7A0">
            <w:pPr>
              <w:pStyle w:val="247"/>
              <w:spacing w:before="60" w:line="221" w:lineRule="auto"/>
              <w:ind w:left="193"/>
              <w:rPr>
                <w:color w:val="auto"/>
                <w:sz w:val="21"/>
                <w:szCs w:val="21"/>
                <w:highlight w:val="none"/>
              </w:rPr>
            </w:pPr>
            <w:r>
              <w:rPr>
                <w:color w:val="auto"/>
                <w:spacing w:val="-3"/>
                <w:sz w:val="21"/>
                <w:szCs w:val="21"/>
                <w:highlight w:val="none"/>
              </w:rPr>
              <w:t>垃圾乱堆乱放扣</w:t>
            </w:r>
            <w:r>
              <w:rPr>
                <w:color w:val="auto"/>
                <w:spacing w:val="-33"/>
                <w:sz w:val="21"/>
                <w:szCs w:val="21"/>
                <w:highlight w:val="none"/>
              </w:rPr>
              <w:t xml:space="preserve"> </w:t>
            </w:r>
            <w:r>
              <w:rPr>
                <w:color w:val="auto"/>
                <w:spacing w:val="-3"/>
                <w:sz w:val="21"/>
                <w:szCs w:val="21"/>
                <w:highlight w:val="none"/>
              </w:rPr>
              <w:t>0.5</w:t>
            </w:r>
            <w:r>
              <w:rPr>
                <w:color w:val="auto"/>
                <w:spacing w:val="-44"/>
                <w:sz w:val="21"/>
                <w:szCs w:val="21"/>
                <w:highlight w:val="none"/>
              </w:rPr>
              <w:t xml:space="preserve"> </w:t>
            </w:r>
            <w:r>
              <w:rPr>
                <w:color w:val="auto"/>
                <w:spacing w:val="-3"/>
                <w:sz w:val="21"/>
                <w:szCs w:val="21"/>
                <w:highlight w:val="none"/>
              </w:rPr>
              <w:t>分/</w:t>
            </w:r>
          </w:p>
          <w:p w14:paraId="7AFEA72B">
            <w:pPr>
              <w:pStyle w:val="247"/>
              <w:spacing w:before="59" w:line="221" w:lineRule="auto"/>
              <w:ind w:left="143"/>
              <w:rPr>
                <w:color w:val="auto"/>
                <w:sz w:val="21"/>
                <w:szCs w:val="21"/>
                <w:highlight w:val="none"/>
              </w:rPr>
            </w:pPr>
            <w:r>
              <w:rPr>
                <w:color w:val="auto"/>
                <w:spacing w:val="-1"/>
                <w:sz w:val="21"/>
                <w:szCs w:val="21"/>
                <w:highlight w:val="none"/>
              </w:rPr>
              <w:t>处。水生植物未按要求清</w:t>
            </w:r>
          </w:p>
          <w:p w14:paraId="5C36697E">
            <w:pPr>
              <w:pStyle w:val="247"/>
              <w:spacing w:before="62" w:line="221" w:lineRule="auto"/>
              <w:ind w:left="115"/>
              <w:rPr>
                <w:color w:val="auto"/>
                <w:sz w:val="21"/>
                <w:szCs w:val="21"/>
                <w:highlight w:val="none"/>
              </w:rPr>
            </w:pPr>
            <w:r>
              <w:rPr>
                <w:color w:val="auto"/>
                <w:spacing w:val="-8"/>
                <w:sz w:val="21"/>
                <w:szCs w:val="21"/>
                <w:highlight w:val="none"/>
              </w:rPr>
              <w:t>理的扣</w:t>
            </w:r>
            <w:r>
              <w:rPr>
                <w:color w:val="auto"/>
                <w:spacing w:val="-27"/>
                <w:sz w:val="21"/>
                <w:szCs w:val="21"/>
                <w:highlight w:val="none"/>
              </w:rPr>
              <w:t xml:space="preserve"> </w:t>
            </w:r>
            <w:r>
              <w:rPr>
                <w:color w:val="auto"/>
                <w:spacing w:val="-8"/>
                <w:sz w:val="21"/>
                <w:szCs w:val="21"/>
                <w:highlight w:val="none"/>
              </w:rPr>
              <w:t>1</w:t>
            </w:r>
            <w:r>
              <w:rPr>
                <w:color w:val="auto"/>
                <w:spacing w:val="-41"/>
                <w:sz w:val="21"/>
                <w:szCs w:val="21"/>
                <w:highlight w:val="none"/>
              </w:rPr>
              <w:t xml:space="preserve"> </w:t>
            </w:r>
            <w:r>
              <w:rPr>
                <w:color w:val="auto"/>
                <w:spacing w:val="-8"/>
                <w:sz w:val="21"/>
                <w:szCs w:val="21"/>
                <w:highlight w:val="none"/>
              </w:rPr>
              <w:t>分/处、当天未及</w:t>
            </w:r>
          </w:p>
          <w:p w14:paraId="55B77117">
            <w:pPr>
              <w:pStyle w:val="247"/>
              <w:spacing w:before="60" w:line="218" w:lineRule="auto"/>
              <w:ind w:left="463"/>
              <w:rPr>
                <w:color w:val="auto"/>
                <w:sz w:val="21"/>
                <w:szCs w:val="21"/>
                <w:highlight w:val="none"/>
              </w:rPr>
            </w:pPr>
            <w:r>
              <w:rPr>
                <w:color w:val="auto"/>
                <w:spacing w:val="-6"/>
                <w:sz w:val="21"/>
                <w:szCs w:val="21"/>
                <w:highlight w:val="none"/>
              </w:rPr>
              <w:t>时清运扣</w:t>
            </w:r>
            <w:r>
              <w:rPr>
                <w:color w:val="auto"/>
                <w:spacing w:val="-36"/>
                <w:sz w:val="21"/>
                <w:szCs w:val="21"/>
                <w:highlight w:val="none"/>
              </w:rPr>
              <w:t xml:space="preserve"> </w:t>
            </w:r>
            <w:r>
              <w:rPr>
                <w:color w:val="auto"/>
                <w:spacing w:val="-6"/>
                <w:sz w:val="21"/>
                <w:szCs w:val="21"/>
                <w:highlight w:val="none"/>
              </w:rPr>
              <w:t>0.5</w:t>
            </w:r>
            <w:r>
              <w:rPr>
                <w:color w:val="auto"/>
                <w:spacing w:val="-42"/>
                <w:sz w:val="21"/>
                <w:szCs w:val="21"/>
                <w:highlight w:val="none"/>
              </w:rPr>
              <w:t xml:space="preserve"> </w:t>
            </w:r>
            <w:r>
              <w:rPr>
                <w:color w:val="auto"/>
                <w:spacing w:val="-6"/>
                <w:sz w:val="21"/>
                <w:szCs w:val="21"/>
                <w:highlight w:val="none"/>
              </w:rPr>
              <w:t>分。</w:t>
            </w:r>
          </w:p>
        </w:tc>
      </w:tr>
      <w:tr w14:paraId="0F6AFCCC">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56" w:hRule="atLeast"/>
        </w:trPr>
        <w:tc>
          <w:tcPr>
            <w:tcW w:w="766" w:type="dxa"/>
            <w:vMerge w:val="continue"/>
            <w:vAlign w:val="top"/>
          </w:tcPr>
          <w:p w14:paraId="2A4AB14F">
            <w:pPr>
              <w:rPr>
                <w:rFonts w:ascii="Arial"/>
                <w:color w:val="auto"/>
                <w:sz w:val="21"/>
                <w:highlight w:val="none"/>
              </w:rPr>
            </w:pPr>
          </w:p>
        </w:tc>
        <w:tc>
          <w:tcPr>
            <w:tcW w:w="553" w:type="dxa"/>
            <w:vMerge w:val="restart"/>
            <w:tcBorders>
              <w:bottom w:val="nil"/>
            </w:tcBorders>
            <w:vAlign w:val="top"/>
          </w:tcPr>
          <w:p w14:paraId="41FBD05D">
            <w:pPr>
              <w:spacing w:line="307" w:lineRule="auto"/>
              <w:rPr>
                <w:rFonts w:ascii="Arial"/>
                <w:color w:val="auto"/>
                <w:sz w:val="21"/>
                <w:highlight w:val="none"/>
              </w:rPr>
            </w:pPr>
          </w:p>
          <w:p w14:paraId="07672C51">
            <w:pPr>
              <w:spacing w:line="307" w:lineRule="auto"/>
              <w:rPr>
                <w:rFonts w:ascii="Arial"/>
                <w:color w:val="auto"/>
                <w:sz w:val="21"/>
                <w:highlight w:val="none"/>
              </w:rPr>
            </w:pPr>
          </w:p>
          <w:p w14:paraId="66A58B52">
            <w:pPr>
              <w:spacing w:line="308" w:lineRule="auto"/>
              <w:rPr>
                <w:rFonts w:ascii="Arial"/>
                <w:color w:val="auto"/>
                <w:sz w:val="21"/>
                <w:highlight w:val="none"/>
              </w:rPr>
            </w:pPr>
          </w:p>
          <w:p w14:paraId="6577F135">
            <w:pPr>
              <w:pStyle w:val="247"/>
              <w:spacing w:before="69" w:line="241" w:lineRule="auto"/>
              <w:ind w:left="223"/>
              <w:rPr>
                <w:color w:val="auto"/>
                <w:sz w:val="21"/>
                <w:szCs w:val="21"/>
                <w:highlight w:val="none"/>
              </w:rPr>
            </w:pPr>
            <w:r>
              <w:rPr>
                <w:color w:val="auto"/>
                <w:sz w:val="21"/>
                <w:szCs w:val="21"/>
                <w:highlight w:val="none"/>
              </w:rPr>
              <w:t>7</w:t>
            </w:r>
          </w:p>
        </w:tc>
        <w:tc>
          <w:tcPr>
            <w:tcW w:w="1024" w:type="dxa"/>
            <w:vMerge w:val="restart"/>
            <w:tcBorders>
              <w:bottom w:val="nil"/>
            </w:tcBorders>
            <w:vAlign w:val="top"/>
          </w:tcPr>
          <w:p w14:paraId="02F17212">
            <w:pPr>
              <w:spacing w:line="256" w:lineRule="auto"/>
              <w:rPr>
                <w:rFonts w:ascii="Arial"/>
                <w:color w:val="auto"/>
                <w:sz w:val="21"/>
                <w:highlight w:val="none"/>
              </w:rPr>
            </w:pPr>
          </w:p>
          <w:p w14:paraId="69475515">
            <w:pPr>
              <w:spacing w:line="256" w:lineRule="auto"/>
              <w:rPr>
                <w:rFonts w:ascii="Arial"/>
                <w:color w:val="auto"/>
                <w:sz w:val="21"/>
                <w:highlight w:val="none"/>
              </w:rPr>
            </w:pPr>
          </w:p>
          <w:p w14:paraId="65B071B7">
            <w:pPr>
              <w:spacing w:line="256" w:lineRule="auto"/>
              <w:rPr>
                <w:rFonts w:ascii="Arial"/>
                <w:color w:val="auto"/>
                <w:sz w:val="21"/>
                <w:highlight w:val="none"/>
              </w:rPr>
            </w:pPr>
          </w:p>
          <w:p w14:paraId="33729985">
            <w:pPr>
              <w:pStyle w:val="247"/>
              <w:spacing w:before="68" w:line="276" w:lineRule="auto"/>
              <w:ind w:left="194" w:right="189"/>
              <w:rPr>
                <w:color w:val="auto"/>
                <w:sz w:val="21"/>
                <w:szCs w:val="21"/>
                <w:highlight w:val="none"/>
              </w:rPr>
            </w:pPr>
            <w:r>
              <w:rPr>
                <w:color w:val="auto"/>
                <w:spacing w:val="-2"/>
                <w:sz w:val="21"/>
                <w:szCs w:val="21"/>
                <w:highlight w:val="none"/>
              </w:rPr>
              <w:t>松土除</w:t>
            </w:r>
            <w:r>
              <w:rPr>
                <w:color w:val="auto"/>
                <w:spacing w:val="-10"/>
                <w:sz w:val="21"/>
                <w:szCs w:val="21"/>
                <w:highlight w:val="none"/>
              </w:rPr>
              <w:t>草</w:t>
            </w:r>
            <w:r>
              <w:rPr>
                <w:color w:val="auto"/>
                <w:spacing w:val="-41"/>
                <w:sz w:val="21"/>
                <w:szCs w:val="21"/>
                <w:highlight w:val="none"/>
              </w:rPr>
              <w:t xml:space="preserve"> </w:t>
            </w:r>
            <w:r>
              <w:rPr>
                <w:color w:val="auto"/>
                <w:spacing w:val="-10"/>
                <w:sz w:val="21"/>
                <w:szCs w:val="21"/>
                <w:highlight w:val="none"/>
              </w:rPr>
              <w:t>6</w:t>
            </w:r>
            <w:r>
              <w:rPr>
                <w:color w:val="auto"/>
                <w:spacing w:val="-41"/>
                <w:sz w:val="21"/>
                <w:szCs w:val="21"/>
                <w:highlight w:val="none"/>
              </w:rPr>
              <w:t xml:space="preserve"> </w:t>
            </w:r>
            <w:r>
              <w:rPr>
                <w:color w:val="auto"/>
                <w:spacing w:val="-10"/>
                <w:sz w:val="21"/>
                <w:szCs w:val="21"/>
                <w:highlight w:val="none"/>
              </w:rPr>
              <w:t>分</w:t>
            </w:r>
          </w:p>
        </w:tc>
        <w:tc>
          <w:tcPr>
            <w:tcW w:w="707" w:type="dxa"/>
            <w:vAlign w:val="top"/>
          </w:tcPr>
          <w:p w14:paraId="55E15C48">
            <w:pPr>
              <w:spacing w:line="302" w:lineRule="auto"/>
              <w:rPr>
                <w:rFonts w:ascii="Arial"/>
                <w:color w:val="auto"/>
                <w:sz w:val="21"/>
                <w:highlight w:val="none"/>
              </w:rPr>
            </w:pPr>
          </w:p>
          <w:p w14:paraId="24237E32">
            <w:pPr>
              <w:pStyle w:val="247"/>
              <w:spacing w:before="68" w:line="241" w:lineRule="auto"/>
              <w:ind w:left="260"/>
              <w:rPr>
                <w:color w:val="auto"/>
                <w:sz w:val="21"/>
                <w:szCs w:val="21"/>
                <w:highlight w:val="none"/>
              </w:rPr>
            </w:pPr>
            <w:r>
              <w:rPr>
                <w:color w:val="auto"/>
                <w:spacing w:val="-6"/>
                <w:sz w:val="21"/>
                <w:szCs w:val="21"/>
                <w:highlight w:val="none"/>
              </w:rPr>
              <w:t>16</w:t>
            </w:r>
          </w:p>
        </w:tc>
        <w:tc>
          <w:tcPr>
            <w:tcW w:w="2478" w:type="dxa"/>
            <w:vAlign w:val="top"/>
          </w:tcPr>
          <w:p w14:paraId="2CE69A49">
            <w:pPr>
              <w:pStyle w:val="247"/>
              <w:spacing w:before="60" w:line="221" w:lineRule="auto"/>
              <w:ind w:left="108"/>
              <w:rPr>
                <w:color w:val="auto"/>
                <w:sz w:val="21"/>
                <w:szCs w:val="21"/>
                <w:highlight w:val="none"/>
              </w:rPr>
            </w:pPr>
            <w:r>
              <w:rPr>
                <w:color w:val="auto"/>
                <w:spacing w:val="-4"/>
                <w:sz w:val="21"/>
                <w:szCs w:val="21"/>
                <w:highlight w:val="none"/>
              </w:rPr>
              <w:t>绿地及时松土除杂草，保</w:t>
            </w:r>
          </w:p>
          <w:p w14:paraId="6F9DAE18">
            <w:pPr>
              <w:pStyle w:val="247"/>
              <w:spacing w:before="60" w:line="221" w:lineRule="auto"/>
              <w:ind w:left="109"/>
              <w:rPr>
                <w:color w:val="auto"/>
                <w:sz w:val="21"/>
                <w:szCs w:val="21"/>
                <w:highlight w:val="none"/>
              </w:rPr>
            </w:pPr>
            <w:r>
              <w:rPr>
                <w:color w:val="auto"/>
                <w:spacing w:val="-5"/>
                <w:sz w:val="21"/>
                <w:szCs w:val="21"/>
                <w:highlight w:val="none"/>
              </w:rPr>
              <w:t>持土壤疏松，松土深度不</w:t>
            </w:r>
          </w:p>
          <w:p w14:paraId="72F61A3F">
            <w:pPr>
              <w:pStyle w:val="247"/>
              <w:spacing w:before="60" w:line="221" w:lineRule="auto"/>
              <w:ind w:left="819"/>
              <w:rPr>
                <w:color w:val="auto"/>
                <w:sz w:val="21"/>
                <w:szCs w:val="21"/>
                <w:highlight w:val="none"/>
              </w:rPr>
            </w:pPr>
            <w:r>
              <w:rPr>
                <w:color w:val="auto"/>
                <w:spacing w:val="-2"/>
                <w:sz w:val="21"/>
                <w:szCs w:val="21"/>
                <w:highlight w:val="none"/>
              </w:rPr>
              <w:t>伤根系。</w:t>
            </w:r>
          </w:p>
        </w:tc>
        <w:tc>
          <w:tcPr>
            <w:tcW w:w="740" w:type="dxa"/>
            <w:vAlign w:val="top"/>
          </w:tcPr>
          <w:p w14:paraId="3F42A14F">
            <w:pPr>
              <w:spacing w:line="302" w:lineRule="auto"/>
              <w:rPr>
                <w:rFonts w:ascii="Arial"/>
                <w:color w:val="auto"/>
                <w:sz w:val="21"/>
                <w:highlight w:val="none"/>
              </w:rPr>
            </w:pPr>
          </w:p>
          <w:p w14:paraId="52A19175">
            <w:pPr>
              <w:pStyle w:val="247"/>
              <w:spacing w:before="68" w:line="241" w:lineRule="auto"/>
              <w:ind w:left="323"/>
              <w:rPr>
                <w:color w:val="auto"/>
                <w:sz w:val="21"/>
                <w:szCs w:val="21"/>
                <w:highlight w:val="none"/>
              </w:rPr>
            </w:pPr>
            <w:r>
              <w:rPr>
                <w:color w:val="auto"/>
                <w:sz w:val="21"/>
                <w:szCs w:val="21"/>
                <w:highlight w:val="none"/>
              </w:rPr>
              <w:t>3</w:t>
            </w:r>
          </w:p>
        </w:tc>
        <w:tc>
          <w:tcPr>
            <w:tcW w:w="2586" w:type="dxa"/>
            <w:vMerge w:val="restart"/>
            <w:tcBorders>
              <w:bottom w:val="nil"/>
            </w:tcBorders>
            <w:vAlign w:val="top"/>
          </w:tcPr>
          <w:p w14:paraId="48A7C70A">
            <w:pPr>
              <w:pStyle w:val="247"/>
              <w:spacing w:before="60" w:line="221" w:lineRule="auto"/>
              <w:ind w:left="140"/>
              <w:rPr>
                <w:color w:val="auto"/>
                <w:sz w:val="21"/>
                <w:szCs w:val="21"/>
                <w:highlight w:val="none"/>
              </w:rPr>
            </w:pPr>
            <w:r>
              <w:rPr>
                <w:color w:val="auto"/>
                <w:spacing w:val="-1"/>
                <w:sz w:val="21"/>
                <w:szCs w:val="21"/>
                <w:highlight w:val="none"/>
              </w:rPr>
              <w:t>绿地内杂草不及时清除扣</w:t>
            </w:r>
          </w:p>
          <w:p w14:paraId="1530DDBB">
            <w:pPr>
              <w:pStyle w:val="247"/>
              <w:spacing w:before="60" w:line="221" w:lineRule="auto"/>
              <w:ind w:left="128"/>
              <w:rPr>
                <w:color w:val="auto"/>
                <w:sz w:val="21"/>
                <w:szCs w:val="21"/>
                <w:highlight w:val="none"/>
              </w:rPr>
            </w:pPr>
            <w:r>
              <w:rPr>
                <w:color w:val="auto"/>
                <w:spacing w:val="-3"/>
                <w:sz w:val="21"/>
                <w:szCs w:val="21"/>
                <w:highlight w:val="none"/>
              </w:rPr>
              <w:t>1</w:t>
            </w:r>
            <w:r>
              <w:rPr>
                <w:color w:val="auto"/>
                <w:spacing w:val="-39"/>
                <w:sz w:val="21"/>
                <w:szCs w:val="21"/>
                <w:highlight w:val="none"/>
              </w:rPr>
              <w:t xml:space="preserve"> </w:t>
            </w:r>
            <w:r>
              <w:rPr>
                <w:color w:val="auto"/>
                <w:spacing w:val="-3"/>
                <w:sz w:val="21"/>
                <w:szCs w:val="21"/>
                <w:highlight w:val="none"/>
              </w:rPr>
              <w:t>分/次，树穴、地被土壤</w:t>
            </w:r>
          </w:p>
          <w:p w14:paraId="343DFEF9">
            <w:pPr>
              <w:pStyle w:val="247"/>
              <w:spacing w:before="60" w:line="220" w:lineRule="auto"/>
              <w:ind w:left="113"/>
              <w:rPr>
                <w:color w:val="auto"/>
                <w:sz w:val="21"/>
                <w:szCs w:val="21"/>
                <w:highlight w:val="none"/>
              </w:rPr>
            </w:pPr>
            <w:r>
              <w:rPr>
                <w:color w:val="auto"/>
                <w:spacing w:val="-10"/>
                <w:sz w:val="21"/>
                <w:szCs w:val="21"/>
                <w:highlight w:val="none"/>
              </w:rPr>
              <w:t>板结，长期不疏松，扣</w:t>
            </w:r>
            <w:r>
              <w:rPr>
                <w:color w:val="auto"/>
                <w:spacing w:val="-33"/>
                <w:sz w:val="21"/>
                <w:szCs w:val="21"/>
                <w:highlight w:val="none"/>
              </w:rPr>
              <w:t xml:space="preserve"> </w:t>
            </w:r>
            <w:r>
              <w:rPr>
                <w:color w:val="auto"/>
                <w:spacing w:val="-10"/>
                <w:sz w:val="21"/>
                <w:szCs w:val="21"/>
                <w:highlight w:val="none"/>
              </w:rPr>
              <w:t>0.5</w:t>
            </w:r>
          </w:p>
          <w:p w14:paraId="27ACAFF1">
            <w:pPr>
              <w:pStyle w:val="247"/>
              <w:spacing w:before="61" w:line="221" w:lineRule="auto"/>
              <w:ind w:left="115"/>
              <w:rPr>
                <w:color w:val="auto"/>
                <w:sz w:val="21"/>
                <w:szCs w:val="21"/>
                <w:highlight w:val="none"/>
              </w:rPr>
            </w:pPr>
            <w:r>
              <w:rPr>
                <w:color w:val="auto"/>
                <w:spacing w:val="-5"/>
                <w:sz w:val="21"/>
                <w:szCs w:val="21"/>
                <w:highlight w:val="none"/>
              </w:rPr>
              <w:t>分/处。树穴、绿篱等不及</w:t>
            </w:r>
          </w:p>
          <w:p w14:paraId="30B9290B">
            <w:pPr>
              <w:pStyle w:val="247"/>
              <w:spacing w:before="61" w:line="221" w:lineRule="auto"/>
              <w:ind w:left="148"/>
              <w:rPr>
                <w:color w:val="auto"/>
                <w:sz w:val="21"/>
                <w:szCs w:val="21"/>
                <w:highlight w:val="none"/>
              </w:rPr>
            </w:pPr>
            <w:r>
              <w:rPr>
                <w:color w:val="auto"/>
                <w:spacing w:val="-2"/>
                <w:sz w:val="21"/>
                <w:szCs w:val="21"/>
                <w:highlight w:val="none"/>
              </w:rPr>
              <w:t>时切边，草坪与树木、绿</w:t>
            </w:r>
          </w:p>
          <w:p w14:paraId="211669BF">
            <w:pPr>
              <w:pStyle w:val="247"/>
              <w:spacing w:before="60" w:line="221" w:lineRule="auto"/>
              <w:ind w:left="169"/>
              <w:rPr>
                <w:color w:val="auto"/>
                <w:sz w:val="21"/>
                <w:szCs w:val="21"/>
                <w:highlight w:val="none"/>
              </w:rPr>
            </w:pPr>
            <w:r>
              <w:rPr>
                <w:color w:val="auto"/>
                <w:spacing w:val="-2"/>
                <w:sz w:val="21"/>
                <w:szCs w:val="21"/>
                <w:highlight w:val="none"/>
              </w:rPr>
              <w:t>篱等无明显分隔沟扣</w:t>
            </w:r>
            <w:r>
              <w:rPr>
                <w:color w:val="auto"/>
                <w:spacing w:val="-36"/>
                <w:sz w:val="21"/>
                <w:szCs w:val="21"/>
                <w:highlight w:val="none"/>
              </w:rPr>
              <w:t xml:space="preserve"> </w:t>
            </w:r>
            <w:r>
              <w:rPr>
                <w:color w:val="auto"/>
                <w:spacing w:val="-2"/>
                <w:sz w:val="21"/>
                <w:szCs w:val="21"/>
                <w:highlight w:val="none"/>
              </w:rPr>
              <w:t>0.5</w:t>
            </w:r>
          </w:p>
          <w:p w14:paraId="55C17329">
            <w:pPr>
              <w:pStyle w:val="247"/>
              <w:spacing w:before="62" w:line="221" w:lineRule="auto"/>
              <w:ind w:left="929"/>
              <w:rPr>
                <w:color w:val="auto"/>
                <w:sz w:val="21"/>
                <w:szCs w:val="21"/>
                <w:highlight w:val="none"/>
              </w:rPr>
            </w:pPr>
            <w:r>
              <w:rPr>
                <w:color w:val="auto"/>
                <w:spacing w:val="-7"/>
                <w:sz w:val="21"/>
                <w:szCs w:val="21"/>
                <w:highlight w:val="none"/>
              </w:rPr>
              <w:t>分/处。</w:t>
            </w:r>
          </w:p>
        </w:tc>
      </w:tr>
      <w:tr w14:paraId="41676A50">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43" w:hRule="atLeast"/>
        </w:trPr>
        <w:tc>
          <w:tcPr>
            <w:tcW w:w="766" w:type="dxa"/>
            <w:vMerge w:val="continue"/>
            <w:vAlign w:val="top"/>
          </w:tcPr>
          <w:p w14:paraId="03B70FE6">
            <w:pPr>
              <w:rPr>
                <w:rFonts w:ascii="Arial"/>
                <w:color w:val="auto"/>
                <w:sz w:val="21"/>
                <w:highlight w:val="none"/>
              </w:rPr>
            </w:pPr>
          </w:p>
        </w:tc>
        <w:tc>
          <w:tcPr>
            <w:tcW w:w="553" w:type="dxa"/>
            <w:vMerge w:val="continue"/>
            <w:tcBorders>
              <w:top w:val="nil"/>
            </w:tcBorders>
            <w:vAlign w:val="top"/>
          </w:tcPr>
          <w:p w14:paraId="55135D8A">
            <w:pPr>
              <w:rPr>
                <w:rFonts w:ascii="Arial"/>
                <w:color w:val="auto"/>
                <w:sz w:val="21"/>
                <w:highlight w:val="none"/>
              </w:rPr>
            </w:pPr>
          </w:p>
        </w:tc>
        <w:tc>
          <w:tcPr>
            <w:tcW w:w="1024" w:type="dxa"/>
            <w:vMerge w:val="continue"/>
            <w:tcBorders>
              <w:top w:val="nil"/>
            </w:tcBorders>
            <w:vAlign w:val="top"/>
          </w:tcPr>
          <w:p w14:paraId="102A9DED">
            <w:pPr>
              <w:rPr>
                <w:rFonts w:ascii="Arial"/>
                <w:color w:val="auto"/>
                <w:sz w:val="21"/>
                <w:highlight w:val="none"/>
              </w:rPr>
            </w:pPr>
          </w:p>
        </w:tc>
        <w:tc>
          <w:tcPr>
            <w:tcW w:w="707" w:type="dxa"/>
            <w:vAlign w:val="top"/>
          </w:tcPr>
          <w:p w14:paraId="642F73A0">
            <w:pPr>
              <w:spacing w:line="439" w:lineRule="auto"/>
              <w:rPr>
                <w:rFonts w:ascii="Arial"/>
                <w:color w:val="auto"/>
                <w:sz w:val="21"/>
                <w:highlight w:val="none"/>
              </w:rPr>
            </w:pPr>
          </w:p>
          <w:p w14:paraId="38EC2114">
            <w:pPr>
              <w:pStyle w:val="247"/>
              <w:spacing w:before="68" w:line="241" w:lineRule="auto"/>
              <w:ind w:left="260"/>
              <w:rPr>
                <w:color w:val="auto"/>
                <w:sz w:val="21"/>
                <w:szCs w:val="21"/>
                <w:highlight w:val="none"/>
              </w:rPr>
            </w:pPr>
            <w:r>
              <w:rPr>
                <w:color w:val="auto"/>
                <w:spacing w:val="-6"/>
                <w:sz w:val="21"/>
                <w:szCs w:val="21"/>
                <w:highlight w:val="none"/>
              </w:rPr>
              <w:t>17</w:t>
            </w:r>
          </w:p>
        </w:tc>
        <w:tc>
          <w:tcPr>
            <w:tcW w:w="2478" w:type="dxa"/>
            <w:vAlign w:val="top"/>
          </w:tcPr>
          <w:p w14:paraId="00574AA9">
            <w:pPr>
              <w:pStyle w:val="247"/>
              <w:spacing w:before="198" w:line="221" w:lineRule="auto"/>
              <w:ind w:left="106"/>
              <w:rPr>
                <w:color w:val="auto"/>
                <w:sz w:val="21"/>
                <w:szCs w:val="21"/>
                <w:highlight w:val="none"/>
              </w:rPr>
            </w:pPr>
            <w:r>
              <w:rPr>
                <w:color w:val="auto"/>
                <w:spacing w:val="-5"/>
                <w:sz w:val="21"/>
                <w:szCs w:val="21"/>
                <w:highlight w:val="none"/>
              </w:rPr>
              <w:t>树穴整修，草坪内树穴与</w:t>
            </w:r>
          </w:p>
          <w:p w14:paraId="68F801B0">
            <w:pPr>
              <w:pStyle w:val="247"/>
              <w:spacing w:before="60" w:line="221" w:lineRule="auto"/>
              <w:ind w:left="108"/>
              <w:rPr>
                <w:color w:val="auto"/>
                <w:sz w:val="21"/>
                <w:szCs w:val="21"/>
                <w:highlight w:val="none"/>
              </w:rPr>
            </w:pPr>
            <w:r>
              <w:rPr>
                <w:color w:val="auto"/>
                <w:spacing w:val="-5"/>
                <w:sz w:val="21"/>
                <w:szCs w:val="21"/>
                <w:highlight w:val="none"/>
              </w:rPr>
              <w:t>绿篱及时切边，草坪与树</w:t>
            </w:r>
          </w:p>
          <w:p w14:paraId="13D9F661">
            <w:pPr>
              <w:pStyle w:val="247"/>
              <w:spacing w:before="60" w:line="221" w:lineRule="auto"/>
              <w:ind w:left="295"/>
              <w:rPr>
                <w:color w:val="auto"/>
                <w:sz w:val="21"/>
                <w:szCs w:val="21"/>
                <w:highlight w:val="none"/>
              </w:rPr>
            </w:pPr>
            <w:r>
              <w:rPr>
                <w:color w:val="auto"/>
                <w:spacing w:val="-3"/>
                <w:sz w:val="21"/>
                <w:szCs w:val="21"/>
                <w:highlight w:val="none"/>
              </w:rPr>
              <w:t>木绿篱应有分隔沟。</w:t>
            </w:r>
          </w:p>
        </w:tc>
        <w:tc>
          <w:tcPr>
            <w:tcW w:w="740" w:type="dxa"/>
            <w:vAlign w:val="top"/>
          </w:tcPr>
          <w:p w14:paraId="7E25D50C">
            <w:pPr>
              <w:spacing w:line="439" w:lineRule="auto"/>
              <w:rPr>
                <w:rFonts w:ascii="Arial"/>
                <w:color w:val="auto"/>
                <w:sz w:val="21"/>
                <w:highlight w:val="none"/>
              </w:rPr>
            </w:pPr>
          </w:p>
          <w:p w14:paraId="3FFF3AA2">
            <w:pPr>
              <w:pStyle w:val="247"/>
              <w:spacing w:before="68" w:line="241" w:lineRule="auto"/>
              <w:ind w:left="323"/>
              <w:rPr>
                <w:color w:val="auto"/>
                <w:sz w:val="21"/>
                <w:szCs w:val="21"/>
                <w:highlight w:val="none"/>
              </w:rPr>
            </w:pPr>
            <w:r>
              <w:rPr>
                <w:color w:val="auto"/>
                <w:sz w:val="21"/>
                <w:szCs w:val="21"/>
                <w:highlight w:val="none"/>
              </w:rPr>
              <w:t>3</w:t>
            </w:r>
          </w:p>
        </w:tc>
        <w:tc>
          <w:tcPr>
            <w:tcW w:w="2586" w:type="dxa"/>
            <w:vMerge w:val="continue"/>
            <w:tcBorders>
              <w:top w:val="nil"/>
            </w:tcBorders>
            <w:vAlign w:val="top"/>
          </w:tcPr>
          <w:p w14:paraId="7584E260">
            <w:pPr>
              <w:rPr>
                <w:rFonts w:ascii="Arial"/>
                <w:color w:val="auto"/>
                <w:sz w:val="21"/>
                <w:highlight w:val="none"/>
              </w:rPr>
            </w:pPr>
          </w:p>
        </w:tc>
      </w:tr>
      <w:tr w14:paraId="36417C74">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2220" w:hRule="atLeast"/>
        </w:trPr>
        <w:tc>
          <w:tcPr>
            <w:tcW w:w="766" w:type="dxa"/>
            <w:vMerge w:val="continue"/>
            <w:vAlign w:val="top"/>
          </w:tcPr>
          <w:p w14:paraId="2D8581F5">
            <w:pPr>
              <w:rPr>
                <w:rFonts w:ascii="Arial"/>
                <w:color w:val="auto"/>
                <w:sz w:val="21"/>
                <w:highlight w:val="none"/>
              </w:rPr>
            </w:pPr>
          </w:p>
        </w:tc>
        <w:tc>
          <w:tcPr>
            <w:tcW w:w="553" w:type="dxa"/>
            <w:tcBorders>
              <w:top w:val="nil"/>
            </w:tcBorders>
            <w:vAlign w:val="top"/>
          </w:tcPr>
          <w:p w14:paraId="30F600E3">
            <w:pPr>
              <w:spacing w:line="309" w:lineRule="auto"/>
              <w:rPr>
                <w:rFonts w:ascii="Arial"/>
                <w:color w:val="auto"/>
                <w:sz w:val="21"/>
                <w:highlight w:val="none"/>
              </w:rPr>
            </w:pPr>
          </w:p>
          <w:p w14:paraId="20441366">
            <w:pPr>
              <w:spacing w:line="309" w:lineRule="auto"/>
              <w:rPr>
                <w:rFonts w:ascii="Arial"/>
                <w:color w:val="auto"/>
                <w:sz w:val="21"/>
                <w:highlight w:val="none"/>
              </w:rPr>
            </w:pPr>
          </w:p>
          <w:p w14:paraId="5B91423A">
            <w:pPr>
              <w:spacing w:line="309" w:lineRule="auto"/>
              <w:rPr>
                <w:rFonts w:ascii="Arial"/>
                <w:color w:val="auto"/>
                <w:sz w:val="21"/>
                <w:highlight w:val="none"/>
              </w:rPr>
            </w:pPr>
          </w:p>
          <w:p w14:paraId="02D2B761">
            <w:pPr>
              <w:pStyle w:val="247"/>
              <w:spacing w:before="69" w:line="241" w:lineRule="auto"/>
              <w:ind w:left="219"/>
              <w:rPr>
                <w:color w:val="auto"/>
                <w:sz w:val="21"/>
                <w:szCs w:val="21"/>
                <w:highlight w:val="none"/>
              </w:rPr>
            </w:pPr>
            <w:r>
              <w:rPr>
                <w:color w:val="auto"/>
                <w:sz w:val="21"/>
                <w:szCs w:val="21"/>
                <w:highlight w:val="none"/>
              </w:rPr>
              <w:t>8</w:t>
            </w:r>
          </w:p>
        </w:tc>
        <w:tc>
          <w:tcPr>
            <w:tcW w:w="1024" w:type="dxa"/>
            <w:tcBorders>
              <w:top w:val="nil"/>
            </w:tcBorders>
            <w:vAlign w:val="top"/>
          </w:tcPr>
          <w:p w14:paraId="1C9D5666">
            <w:pPr>
              <w:spacing w:line="257" w:lineRule="auto"/>
              <w:rPr>
                <w:rFonts w:ascii="Arial"/>
                <w:color w:val="auto"/>
                <w:sz w:val="21"/>
                <w:highlight w:val="none"/>
              </w:rPr>
            </w:pPr>
          </w:p>
          <w:p w14:paraId="0E2A44D4">
            <w:pPr>
              <w:spacing w:line="257" w:lineRule="auto"/>
              <w:rPr>
                <w:rFonts w:ascii="Arial"/>
                <w:color w:val="auto"/>
                <w:sz w:val="21"/>
                <w:highlight w:val="none"/>
              </w:rPr>
            </w:pPr>
          </w:p>
          <w:p w14:paraId="1A2E36F9">
            <w:pPr>
              <w:spacing w:line="258" w:lineRule="auto"/>
              <w:rPr>
                <w:rFonts w:ascii="Arial"/>
                <w:color w:val="auto"/>
                <w:sz w:val="21"/>
                <w:highlight w:val="none"/>
              </w:rPr>
            </w:pPr>
          </w:p>
          <w:p w14:paraId="677D25DD">
            <w:pPr>
              <w:pStyle w:val="247"/>
              <w:spacing w:before="68" w:line="277" w:lineRule="auto"/>
              <w:ind w:left="194" w:right="189" w:firstLine="2"/>
              <w:rPr>
                <w:color w:val="auto"/>
                <w:sz w:val="21"/>
                <w:szCs w:val="21"/>
                <w:highlight w:val="none"/>
              </w:rPr>
            </w:pPr>
            <w:r>
              <w:rPr>
                <w:color w:val="auto"/>
                <w:spacing w:val="-3"/>
                <w:sz w:val="21"/>
                <w:szCs w:val="21"/>
                <w:highlight w:val="none"/>
              </w:rPr>
              <w:t>设施维</w:t>
            </w:r>
            <w:r>
              <w:rPr>
                <w:color w:val="auto"/>
                <w:spacing w:val="-10"/>
                <w:sz w:val="21"/>
                <w:szCs w:val="21"/>
                <w:highlight w:val="none"/>
              </w:rPr>
              <w:t>护</w:t>
            </w:r>
            <w:r>
              <w:rPr>
                <w:color w:val="auto"/>
                <w:spacing w:val="-40"/>
                <w:sz w:val="21"/>
                <w:szCs w:val="21"/>
                <w:highlight w:val="none"/>
              </w:rPr>
              <w:t xml:space="preserve"> </w:t>
            </w:r>
            <w:r>
              <w:rPr>
                <w:color w:val="auto"/>
                <w:spacing w:val="-10"/>
                <w:sz w:val="21"/>
                <w:szCs w:val="21"/>
                <w:highlight w:val="none"/>
              </w:rPr>
              <w:t>5</w:t>
            </w:r>
            <w:r>
              <w:rPr>
                <w:color w:val="auto"/>
                <w:spacing w:val="-41"/>
                <w:sz w:val="21"/>
                <w:szCs w:val="21"/>
                <w:highlight w:val="none"/>
              </w:rPr>
              <w:t xml:space="preserve"> </w:t>
            </w:r>
            <w:r>
              <w:rPr>
                <w:color w:val="auto"/>
                <w:spacing w:val="-10"/>
                <w:sz w:val="21"/>
                <w:szCs w:val="21"/>
                <w:highlight w:val="none"/>
              </w:rPr>
              <w:t>分</w:t>
            </w:r>
          </w:p>
        </w:tc>
        <w:tc>
          <w:tcPr>
            <w:tcW w:w="707" w:type="dxa"/>
            <w:tcBorders>
              <w:top w:val="nil"/>
            </w:tcBorders>
            <w:vAlign w:val="top"/>
          </w:tcPr>
          <w:p w14:paraId="1353E137">
            <w:pPr>
              <w:spacing w:line="309" w:lineRule="auto"/>
              <w:rPr>
                <w:rFonts w:ascii="Arial"/>
                <w:color w:val="auto"/>
                <w:sz w:val="21"/>
                <w:highlight w:val="none"/>
              </w:rPr>
            </w:pPr>
          </w:p>
          <w:p w14:paraId="6A7B87EE">
            <w:pPr>
              <w:spacing w:line="309" w:lineRule="auto"/>
              <w:rPr>
                <w:rFonts w:ascii="Arial"/>
                <w:color w:val="auto"/>
                <w:sz w:val="21"/>
                <w:highlight w:val="none"/>
              </w:rPr>
            </w:pPr>
          </w:p>
          <w:p w14:paraId="4B209007">
            <w:pPr>
              <w:spacing w:line="309" w:lineRule="auto"/>
              <w:rPr>
                <w:rFonts w:ascii="Arial"/>
                <w:color w:val="auto"/>
                <w:sz w:val="21"/>
                <w:highlight w:val="none"/>
              </w:rPr>
            </w:pPr>
          </w:p>
          <w:p w14:paraId="61139915">
            <w:pPr>
              <w:pStyle w:val="247"/>
              <w:spacing w:before="69" w:line="241" w:lineRule="auto"/>
              <w:ind w:left="260"/>
              <w:rPr>
                <w:color w:val="auto"/>
                <w:sz w:val="21"/>
                <w:szCs w:val="21"/>
                <w:highlight w:val="none"/>
              </w:rPr>
            </w:pPr>
            <w:r>
              <w:rPr>
                <w:color w:val="auto"/>
                <w:spacing w:val="-6"/>
                <w:sz w:val="21"/>
                <w:szCs w:val="21"/>
                <w:highlight w:val="none"/>
              </w:rPr>
              <w:t>18</w:t>
            </w:r>
          </w:p>
        </w:tc>
        <w:tc>
          <w:tcPr>
            <w:tcW w:w="2478" w:type="dxa"/>
            <w:tcBorders>
              <w:top w:val="nil"/>
            </w:tcBorders>
            <w:vAlign w:val="top"/>
          </w:tcPr>
          <w:p w14:paraId="492ADB09">
            <w:pPr>
              <w:pStyle w:val="247"/>
              <w:spacing w:before="68" w:line="269" w:lineRule="auto"/>
              <w:ind w:left="106" w:right="81" w:firstLine="82"/>
              <w:jc w:val="both"/>
              <w:rPr>
                <w:color w:val="auto"/>
                <w:sz w:val="21"/>
                <w:szCs w:val="21"/>
                <w:highlight w:val="none"/>
              </w:rPr>
            </w:pPr>
            <w:r>
              <w:rPr>
                <w:color w:val="auto"/>
                <w:spacing w:val="-1"/>
                <w:sz w:val="21"/>
                <w:szCs w:val="21"/>
                <w:highlight w:val="none"/>
              </w:rPr>
              <w:t>地面铺装、园路保持完</w:t>
            </w:r>
            <w:r>
              <w:rPr>
                <w:color w:val="auto"/>
                <w:spacing w:val="-5"/>
                <w:sz w:val="21"/>
                <w:szCs w:val="21"/>
                <w:highlight w:val="none"/>
              </w:rPr>
              <w:t>好，有缺损及时修复；景</w:t>
            </w:r>
            <w:r>
              <w:rPr>
                <w:color w:val="auto"/>
                <w:spacing w:val="-4"/>
                <w:sz w:val="21"/>
                <w:szCs w:val="21"/>
                <w:highlight w:val="none"/>
              </w:rPr>
              <w:t>石、挡墙、雕塑、廊架、</w:t>
            </w:r>
            <w:r>
              <w:rPr>
                <w:color w:val="auto"/>
                <w:spacing w:val="-5"/>
                <w:sz w:val="21"/>
                <w:szCs w:val="21"/>
                <w:highlight w:val="none"/>
              </w:rPr>
              <w:t>园凳、铁索、围栏、木栈道等每日检查，存在安全</w:t>
            </w:r>
            <w:r>
              <w:rPr>
                <w:color w:val="auto"/>
                <w:spacing w:val="7"/>
                <w:sz w:val="21"/>
                <w:szCs w:val="21"/>
                <w:highlight w:val="none"/>
              </w:rPr>
              <w:t>隐患的要及时采取临时</w:t>
            </w:r>
            <w:r>
              <w:rPr>
                <w:color w:val="auto"/>
                <w:spacing w:val="-4"/>
                <w:sz w:val="21"/>
                <w:szCs w:val="21"/>
                <w:highlight w:val="none"/>
              </w:rPr>
              <w:t>性安全措施并马上上报。</w:t>
            </w:r>
          </w:p>
        </w:tc>
        <w:tc>
          <w:tcPr>
            <w:tcW w:w="740" w:type="dxa"/>
            <w:tcBorders>
              <w:top w:val="nil"/>
            </w:tcBorders>
            <w:vAlign w:val="top"/>
          </w:tcPr>
          <w:p w14:paraId="45640094">
            <w:pPr>
              <w:spacing w:line="309" w:lineRule="auto"/>
              <w:rPr>
                <w:rFonts w:ascii="Arial"/>
                <w:color w:val="auto"/>
                <w:sz w:val="21"/>
                <w:highlight w:val="none"/>
              </w:rPr>
            </w:pPr>
          </w:p>
          <w:p w14:paraId="0F6E779E">
            <w:pPr>
              <w:spacing w:line="309" w:lineRule="auto"/>
              <w:rPr>
                <w:rFonts w:ascii="Arial"/>
                <w:color w:val="auto"/>
                <w:sz w:val="21"/>
                <w:highlight w:val="none"/>
              </w:rPr>
            </w:pPr>
          </w:p>
          <w:p w14:paraId="387C1746">
            <w:pPr>
              <w:spacing w:line="309" w:lineRule="auto"/>
              <w:rPr>
                <w:rFonts w:ascii="Arial"/>
                <w:color w:val="auto"/>
                <w:sz w:val="21"/>
                <w:highlight w:val="none"/>
              </w:rPr>
            </w:pPr>
          </w:p>
          <w:p w14:paraId="51C27A2E">
            <w:pPr>
              <w:pStyle w:val="247"/>
              <w:spacing w:before="69" w:line="241" w:lineRule="auto"/>
              <w:ind w:left="323"/>
              <w:rPr>
                <w:color w:val="auto"/>
                <w:sz w:val="21"/>
                <w:szCs w:val="21"/>
                <w:highlight w:val="none"/>
              </w:rPr>
            </w:pPr>
            <w:r>
              <w:rPr>
                <w:color w:val="auto"/>
                <w:sz w:val="21"/>
                <w:szCs w:val="21"/>
                <w:highlight w:val="none"/>
              </w:rPr>
              <w:t>5</w:t>
            </w:r>
          </w:p>
        </w:tc>
        <w:tc>
          <w:tcPr>
            <w:tcW w:w="2586" w:type="dxa"/>
            <w:tcBorders>
              <w:top w:val="nil"/>
            </w:tcBorders>
            <w:vAlign w:val="top"/>
          </w:tcPr>
          <w:p w14:paraId="0787233C">
            <w:pPr>
              <w:spacing w:line="308" w:lineRule="auto"/>
              <w:rPr>
                <w:rFonts w:ascii="Arial"/>
                <w:color w:val="auto"/>
                <w:sz w:val="21"/>
                <w:highlight w:val="none"/>
              </w:rPr>
            </w:pPr>
          </w:p>
          <w:p w14:paraId="028C93D9">
            <w:pPr>
              <w:pStyle w:val="247"/>
              <w:spacing w:before="68" w:line="221" w:lineRule="auto"/>
              <w:ind w:left="142"/>
              <w:rPr>
                <w:color w:val="auto"/>
                <w:sz w:val="21"/>
                <w:szCs w:val="21"/>
                <w:highlight w:val="none"/>
              </w:rPr>
            </w:pPr>
            <w:r>
              <w:rPr>
                <w:color w:val="auto"/>
                <w:spacing w:val="-1"/>
                <w:sz w:val="21"/>
                <w:szCs w:val="21"/>
                <w:highlight w:val="none"/>
              </w:rPr>
              <w:t>发现有地面铺装设施缺损</w:t>
            </w:r>
          </w:p>
          <w:p w14:paraId="2E599936">
            <w:pPr>
              <w:pStyle w:val="247"/>
              <w:spacing w:before="59" w:line="221" w:lineRule="auto"/>
              <w:ind w:left="115"/>
              <w:rPr>
                <w:color w:val="auto"/>
                <w:sz w:val="21"/>
                <w:szCs w:val="21"/>
                <w:highlight w:val="none"/>
              </w:rPr>
            </w:pPr>
            <w:r>
              <w:rPr>
                <w:color w:val="auto"/>
                <w:spacing w:val="-5"/>
                <w:sz w:val="21"/>
                <w:szCs w:val="21"/>
                <w:highlight w:val="none"/>
              </w:rPr>
              <w:t>未修复的扣</w:t>
            </w:r>
            <w:r>
              <w:rPr>
                <w:color w:val="auto"/>
                <w:spacing w:val="-40"/>
                <w:sz w:val="21"/>
                <w:szCs w:val="21"/>
                <w:highlight w:val="none"/>
              </w:rPr>
              <w:t xml:space="preserve"> </w:t>
            </w:r>
            <w:r>
              <w:rPr>
                <w:color w:val="auto"/>
                <w:spacing w:val="-5"/>
                <w:sz w:val="21"/>
                <w:szCs w:val="21"/>
                <w:highlight w:val="none"/>
              </w:rPr>
              <w:t>0.5</w:t>
            </w:r>
            <w:r>
              <w:rPr>
                <w:color w:val="auto"/>
                <w:spacing w:val="-44"/>
                <w:sz w:val="21"/>
                <w:szCs w:val="21"/>
                <w:highlight w:val="none"/>
              </w:rPr>
              <w:t xml:space="preserve"> </w:t>
            </w:r>
            <w:r>
              <w:rPr>
                <w:color w:val="auto"/>
                <w:spacing w:val="-5"/>
                <w:sz w:val="21"/>
                <w:szCs w:val="21"/>
                <w:highlight w:val="none"/>
              </w:rPr>
              <w:t>分/处；有</w:t>
            </w:r>
          </w:p>
          <w:p w14:paraId="1AF0EB82">
            <w:pPr>
              <w:pStyle w:val="247"/>
              <w:spacing w:before="60" w:line="220" w:lineRule="auto"/>
              <w:ind w:left="143"/>
              <w:rPr>
                <w:color w:val="auto"/>
                <w:sz w:val="21"/>
                <w:szCs w:val="21"/>
                <w:highlight w:val="none"/>
              </w:rPr>
            </w:pPr>
            <w:r>
              <w:rPr>
                <w:color w:val="auto"/>
                <w:spacing w:val="-1"/>
                <w:sz w:val="21"/>
                <w:szCs w:val="21"/>
                <w:highlight w:val="none"/>
              </w:rPr>
              <w:t>安全隐患未及时采取临时</w:t>
            </w:r>
          </w:p>
          <w:p w14:paraId="641FFD0F">
            <w:pPr>
              <w:pStyle w:val="247"/>
              <w:spacing w:before="61" w:line="221" w:lineRule="auto"/>
              <w:ind w:left="194"/>
              <w:rPr>
                <w:color w:val="auto"/>
                <w:sz w:val="21"/>
                <w:szCs w:val="21"/>
                <w:highlight w:val="none"/>
              </w:rPr>
            </w:pPr>
            <w:r>
              <w:rPr>
                <w:color w:val="auto"/>
                <w:spacing w:val="-3"/>
                <w:sz w:val="21"/>
                <w:szCs w:val="21"/>
                <w:highlight w:val="none"/>
              </w:rPr>
              <w:t>性措施及上报的扣</w:t>
            </w:r>
            <w:r>
              <w:rPr>
                <w:color w:val="auto"/>
                <w:spacing w:val="-37"/>
                <w:sz w:val="21"/>
                <w:szCs w:val="21"/>
                <w:highlight w:val="none"/>
              </w:rPr>
              <w:t xml:space="preserve"> </w:t>
            </w:r>
            <w:r>
              <w:rPr>
                <w:color w:val="auto"/>
                <w:spacing w:val="-3"/>
                <w:sz w:val="21"/>
                <w:szCs w:val="21"/>
                <w:highlight w:val="none"/>
              </w:rPr>
              <w:t>3</w:t>
            </w:r>
            <w:r>
              <w:rPr>
                <w:color w:val="auto"/>
                <w:spacing w:val="-44"/>
                <w:sz w:val="21"/>
                <w:szCs w:val="21"/>
                <w:highlight w:val="none"/>
              </w:rPr>
              <w:t xml:space="preserve"> </w:t>
            </w:r>
            <w:r>
              <w:rPr>
                <w:color w:val="auto"/>
                <w:spacing w:val="-3"/>
                <w:sz w:val="21"/>
                <w:szCs w:val="21"/>
                <w:highlight w:val="none"/>
              </w:rPr>
              <w:t>分/</w:t>
            </w:r>
          </w:p>
          <w:p w14:paraId="79C06ED6">
            <w:pPr>
              <w:pStyle w:val="247"/>
              <w:spacing w:before="61" w:line="221" w:lineRule="auto"/>
              <w:ind w:left="1090"/>
              <w:rPr>
                <w:color w:val="auto"/>
                <w:sz w:val="21"/>
                <w:szCs w:val="21"/>
                <w:highlight w:val="none"/>
              </w:rPr>
            </w:pPr>
            <w:r>
              <w:rPr>
                <w:color w:val="auto"/>
                <w:spacing w:val="-11"/>
                <w:sz w:val="21"/>
                <w:szCs w:val="21"/>
                <w:highlight w:val="none"/>
              </w:rPr>
              <w:t>次。</w:t>
            </w:r>
          </w:p>
        </w:tc>
      </w:tr>
      <w:tr w14:paraId="2DA696B9">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2105" w:hRule="atLeast"/>
        </w:trPr>
        <w:tc>
          <w:tcPr>
            <w:tcW w:w="766" w:type="dxa"/>
            <w:vMerge w:val="continue"/>
            <w:vAlign w:val="top"/>
          </w:tcPr>
          <w:p w14:paraId="1FF66840">
            <w:pPr>
              <w:rPr>
                <w:rFonts w:ascii="Arial"/>
                <w:color w:val="auto"/>
                <w:sz w:val="21"/>
                <w:highlight w:val="none"/>
              </w:rPr>
            </w:pPr>
          </w:p>
        </w:tc>
        <w:tc>
          <w:tcPr>
            <w:tcW w:w="553" w:type="dxa"/>
            <w:vAlign w:val="top"/>
          </w:tcPr>
          <w:p w14:paraId="73B8A1D5">
            <w:pPr>
              <w:spacing w:line="287" w:lineRule="auto"/>
              <w:rPr>
                <w:rFonts w:ascii="Arial"/>
                <w:color w:val="auto"/>
                <w:sz w:val="21"/>
                <w:highlight w:val="none"/>
              </w:rPr>
            </w:pPr>
          </w:p>
          <w:p w14:paraId="5B02D504">
            <w:pPr>
              <w:spacing w:line="287" w:lineRule="auto"/>
              <w:rPr>
                <w:rFonts w:ascii="Arial"/>
                <w:color w:val="auto"/>
                <w:sz w:val="21"/>
                <w:highlight w:val="none"/>
              </w:rPr>
            </w:pPr>
          </w:p>
          <w:p w14:paraId="20508C9D">
            <w:pPr>
              <w:spacing w:line="288" w:lineRule="auto"/>
              <w:rPr>
                <w:rFonts w:ascii="Arial"/>
                <w:color w:val="auto"/>
                <w:sz w:val="21"/>
                <w:highlight w:val="none"/>
              </w:rPr>
            </w:pPr>
          </w:p>
          <w:p w14:paraId="74CCB95F">
            <w:pPr>
              <w:pStyle w:val="247"/>
              <w:spacing w:before="69" w:line="241" w:lineRule="auto"/>
              <w:ind w:left="219"/>
              <w:rPr>
                <w:color w:val="auto"/>
                <w:sz w:val="21"/>
                <w:szCs w:val="21"/>
                <w:highlight w:val="none"/>
              </w:rPr>
            </w:pPr>
            <w:r>
              <w:rPr>
                <w:color w:val="auto"/>
                <w:sz w:val="21"/>
                <w:szCs w:val="21"/>
                <w:highlight w:val="none"/>
              </w:rPr>
              <w:t>9</w:t>
            </w:r>
          </w:p>
        </w:tc>
        <w:tc>
          <w:tcPr>
            <w:tcW w:w="1024" w:type="dxa"/>
            <w:vAlign w:val="top"/>
          </w:tcPr>
          <w:p w14:paraId="5E7C7650">
            <w:pPr>
              <w:spacing w:line="354" w:lineRule="auto"/>
              <w:rPr>
                <w:rFonts w:ascii="Arial"/>
                <w:color w:val="auto"/>
                <w:sz w:val="21"/>
                <w:highlight w:val="none"/>
              </w:rPr>
            </w:pPr>
          </w:p>
          <w:p w14:paraId="22B06F43">
            <w:pPr>
              <w:spacing w:line="354" w:lineRule="auto"/>
              <w:rPr>
                <w:rFonts w:ascii="Arial"/>
                <w:color w:val="auto"/>
                <w:sz w:val="21"/>
                <w:highlight w:val="none"/>
              </w:rPr>
            </w:pPr>
          </w:p>
          <w:p w14:paraId="12C045A7">
            <w:pPr>
              <w:pStyle w:val="247"/>
              <w:spacing w:before="69" w:line="276" w:lineRule="auto"/>
              <w:ind w:left="195" w:right="189" w:hanging="1"/>
              <w:rPr>
                <w:color w:val="auto"/>
                <w:sz w:val="21"/>
                <w:szCs w:val="21"/>
                <w:highlight w:val="none"/>
              </w:rPr>
            </w:pPr>
            <w:r>
              <w:rPr>
                <w:color w:val="auto"/>
                <w:spacing w:val="-2"/>
                <w:sz w:val="21"/>
                <w:szCs w:val="21"/>
                <w:highlight w:val="none"/>
              </w:rPr>
              <w:t>浇灌排</w:t>
            </w:r>
            <w:r>
              <w:rPr>
                <w:color w:val="auto"/>
                <w:spacing w:val="-9"/>
                <w:sz w:val="21"/>
                <w:szCs w:val="21"/>
                <w:highlight w:val="none"/>
              </w:rPr>
              <w:t>水</w:t>
            </w:r>
            <w:r>
              <w:rPr>
                <w:color w:val="auto"/>
                <w:spacing w:val="-45"/>
                <w:sz w:val="21"/>
                <w:szCs w:val="21"/>
                <w:highlight w:val="none"/>
              </w:rPr>
              <w:t xml:space="preserve"> </w:t>
            </w:r>
            <w:r>
              <w:rPr>
                <w:color w:val="auto"/>
                <w:spacing w:val="-9"/>
                <w:sz w:val="21"/>
                <w:szCs w:val="21"/>
                <w:highlight w:val="none"/>
              </w:rPr>
              <w:t>4</w:t>
            </w:r>
            <w:r>
              <w:rPr>
                <w:color w:val="auto"/>
                <w:spacing w:val="-41"/>
                <w:sz w:val="21"/>
                <w:szCs w:val="21"/>
                <w:highlight w:val="none"/>
              </w:rPr>
              <w:t xml:space="preserve"> </w:t>
            </w:r>
            <w:r>
              <w:rPr>
                <w:color w:val="auto"/>
                <w:spacing w:val="-9"/>
                <w:sz w:val="21"/>
                <w:szCs w:val="21"/>
                <w:highlight w:val="none"/>
              </w:rPr>
              <w:t>分</w:t>
            </w:r>
          </w:p>
        </w:tc>
        <w:tc>
          <w:tcPr>
            <w:tcW w:w="707" w:type="dxa"/>
            <w:vAlign w:val="top"/>
          </w:tcPr>
          <w:p w14:paraId="41ABFCD6">
            <w:pPr>
              <w:spacing w:line="287" w:lineRule="auto"/>
              <w:rPr>
                <w:rFonts w:ascii="Arial"/>
                <w:color w:val="auto"/>
                <w:sz w:val="21"/>
                <w:highlight w:val="none"/>
              </w:rPr>
            </w:pPr>
          </w:p>
          <w:p w14:paraId="6EE49B5F">
            <w:pPr>
              <w:spacing w:line="287" w:lineRule="auto"/>
              <w:rPr>
                <w:rFonts w:ascii="Arial"/>
                <w:color w:val="auto"/>
                <w:sz w:val="21"/>
                <w:highlight w:val="none"/>
              </w:rPr>
            </w:pPr>
          </w:p>
          <w:p w14:paraId="325A428C">
            <w:pPr>
              <w:spacing w:line="288" w:lineRule="auto"/>
              <w:rPr>
                <w:rFonts w:ascii="Arial"/>
                <w:color w:val="auto"/>
                <w:sz w:val="21"/>
                <w:highlight w:val="none"/>
              </w:rPr>
            </w:pPr>
          </w:p>
          <w:p w14:paraId="4E4555A9">
            <w:pPr>
              <w:pStyle w:val="247"/>
              <w:spacing w:before="69" w:line="241" w:lineRule="auto"/>
              <w:ind w:left="260"/>
              <w:rPr>
                <w:color w:val="auto"/>
                <w:sz w:val="21"/>
                <w:szCs w:val="21"/>
                <w:highlight w:val="none"/>
              </w:rPr>
            </w:pPr>
            <w:r>
              <w:rPr>
                <w:color w:val="auto"/>
                <w:spacing w:val="-6"/>
                <w:sz w:val="21"/>
                <w:szCs w:val="21"/>
                <w:highlight w:val="none"/>
              </w:rPr>
              <w:t>19</w:t>
            </w:r>
          </w:p>
        </w:tc>
        <w:tc>
          <w:tcPr>
            <w:tcW w:w="2478" w:type="dxa"/>
            <w:vAlign w:val="top"/>
          </w:tcPr>
          <w:p w14:paraId="0E6BB0FD">
            <w:pPr>
              <w:pStyle w:val="247"/>
              <w:spacing w:before="156" w:line="221" w:lineRule="auto"/>
              <w:ind w:left="106"/>
              <w:rPr>
                <w:color w:val="auto"/>
                <w:sz w:val="21"/>
                <w:szCs w:val="21"/>
                <w:highlight w:val="none"/>
              </w:rPr>
            </w:pPr>
            <w:r>
              <w:rPr>
                <w:color w:val="auto"/>
                <w:spacing w:val="-5"/>
                <w:sz w:val="21"/>
                <w:szCs w:val="21"/>
                <w:highlight w:val="none"/>
              </w:rPr>
              <w:t>根据实际，对绿化树木及</w:t>
            </w:r>
          </w:p>
          <w:p w14:paraId="07C1F68C">
            <w:pPr>
              <w:pStyle w:val="247"/>
              <w:spacing w:before="60" w:line="221" w:lineRule="auto"/>
              <w:ind w:left="295"/>
              <w:rPr>
                <w:color w:val="auto"/>
                <w:sz w:val="21"/>
                <w:szCs w:val="21"/>
                <w:highlight w:val="none"/>
              </w:rPr>
            </w:pPr>
            <w:r>
              <w:rPr>
                <w:color w:val="auto"/>
                <w:spacing w:val="-1"/>
                <w:sz w:val="21"/>
                <w:szCs w:val="21"/>
                <w:highlight w:val="none"/>
              </w:rPr>
              <w:t>草坪进行适期适量浇</w:t>
            </w:r>
          </w:p>
          <w:p w14:paraId="0FE6A7D0">
            <w:pPr>
              <w:pStyle w:val="247"/>
              <w:spacing w:before="60" w:line="221" w:lineRule="auto"/>
              <w:ind w:left="109"/>
              <w:rPr>
                <w:color w:val="auto"/>
                <w:sz w:val="21"/>
                <w:szCs w:val="21"/>
                <w:highlight w:val="none"/>
              </w:rPr>
            </w:pPr>
            <w:r>
              <w:rPr>
                <w:color w:val="auto"/>
                <w:spacing w:val="-5"/>
                <w:sz w:val="21"/>
                <w:szCs w:val="21"/>
                <w:highlight w:val="none"/>
              </w:rPr>
              <w:t>水、喷水，夏秋季节连续</w:t>
            </w:r>
          </w:p>
          <w:p w14:paraId="669EA7AA">
            <w:pPr>
              <w:pStyle w:val="247"/>
              <w:spacing w:before="60" w:line="221" w:lineRule="auto"/>
              <w:ind w:left="189"/>
              <w:rPr>
                <w:color w:val="auto"/>
                <w:sz w:val="21"/>
                <w:szCs w:val="21"/>
                <w:highlight w:val="none"/>
              </w:rPr>
            </w:pPr>
            <w:r>
              <w:rPr>
                <w:color w:val="auto"/>
                <w:spacing w:val="-1"/>
                <w:sz w:val="21"/>
                <w:szCs w:val="21"/>
                <w:highlight w:val="none"/>
              </w:rPr>
              <w:t>两周无降雨必须启动抗</w:t>
            </w:r>
          </w:p>
          <w:p w14:paraId="59F06230">
            <w:pPr>
              <w:pStyle w:val="247"/>
              <w:spacing w:before="60" w:line="221" w:lineRule="auto"/>
              <w:ind w:left="109"/>
              <w:rPr>
                <w:color w:val="auto"/>
                <w:sz w:val="21"/>
                <w:szCs w:val="21"/>
                <w:highlight w:val="none"/>
              </w:rPr>
            </w:pPr>
            <w:r>
              <w:rPr>
                <w:color w:val="auto"/>
                <w:spacing w:val="-5"/>
                <w:sz w:val="21"/>
                <w:szCs w:val="21"/>
                <w:highlight w:val="none"/>
              </w:rPr>
              <w:t>旱应急预案，确保各类植</w:t>
            </w:r>
          </w:p>
          <w:p w14:paraId="04717402">
            <w:pPr>
              <w:pStyle w:val="247"/>
              <w:spacing w:before="62" w:line="220" w:lineRule="auto"/>
              <w:ind w:left="106"/>
              <w:rPr>
                <w:color w:val="auto"/>
                <w:sz w:val="21"/>
                <w:szCs w:val="21"/>
                <w:highlight w:val="none"/>
              </w:rPr>
            </w:pPr>
            <w:r>
              <w:rPr>
                <w:color w:val="auto"/>
                <w:spacing w:val="-2"/>
                <w:sz w:val="21"/>
                <w:szCs w:val="21"/>
                <w:highlight w:val="none"/>
              </w:rPr>
              <w:t>物无干旱致死情况发生。</w:t>
            </w:r>
          </w:p>
        </w:tc>
        <w:tc>
          <w:tcPr>
            <w:tcW w:w="740" w:type="dxa"/>
            <w:vAlign w:val="top"/>
          </w:tcPr>
          <w:p w14:paraId="0E5D4FE2">
            <w:pPr>
              <w:spacing w:line="287" w:lineRule="auto"/>
              <w:rPr>
                <w:rFonts w:ascii="Arial"/>
                <w:color w:val="auto"/>
                <w:sz w:val="21"/>
                <w:highlight w:val="none"/>
              </w:rPr>
            </w:pPr>
          </w:p>
          <w:p w14:paraId="76E53EF8">
            <w:pPr>
              <w:spacing w:line="288" w:lineRule="auto"/>
              <w:rPr>
                <w:rFonts w:ascii="Arial"/>
                <w:color w:val="auto"/>
                <w:sz w:val="21"/>
                <w:highlight w:val="none"/>
              </w:rPr>
            </w:pPr>
          </w:p>
          <w:p w14:paraId="513E3172">
            <w:pPr>
              <w:spacing w:line="288" w:lineRule="auto"/>
              <w:rPr>
                <w:rFonts w:ascii="Arial"/>
                <w:color w:val="auto"/>
                <w:sz w:val="21"/>
                <w:highlight w:val="none"/>
              </w:rPr>
            </w:pPr>
          </w:p>
          <w:p w14:paraId="4FC4F2A9">
            <w:pPr>
              <w:pStyle w:val="247"/>
              <w:spacing w:before="68" w:line="242" w:lineRule="auto"/>
              <w:ind w:left="322"/>
              <w:rPr>
                <w:color w:val="auto"/>
                <w:sz w:val="21"/>
                <w:szCs w:val="21"/>
                <w:highlight w:val="none"/>
              </w:rPr>
            </w:pPr>
            <w:r>
              <w:rPr>
                <w:color w:val="auto"/>
                <w:sz w:val="21"/>
                <w:szCs w:val="21"/>
                <w:highlight w:val="none"/>
              </w:rPr>
              <w:t>2</w:t>
            </w:r>
          </w:p>
        </w:tc>
        <w:tc>
          <w:tcPr>
            <w:tcW w:w="2586" w:type="dxa"/>
            <w:vAlign w:val="top"/>
          </w:tcPr>
          <w:p w14:paraId="72739982">
            <w:pPr>
              <w:spacing w:line="244" w:lineRule="auto"/>
              <w:rPr>
                <w:rFonts w:ascii="Arial"/>
                <w:color w:val="auto"/>
                <w:sz w:val="21"/>
                <w:highlight w:val="none"/>
              </w:rPr>
            </w:pPr>
          </w:p>
          <w:p w14:paraId="1F008489">
            <w:pPr>
              <w:pStyle w:val="247"/>
              <w:spacing w:before="68" w:line="275" w:lineRule="auto"/>
              <w:ind w:left="114" w:right="78" w:firstLine="28"/>
              <w:rPr>
                <w:color w:val="auto"/>
                <w:sz w:val="21"/>
                <w:szCs w:val="21"/>
                <w:highlight w:val="none"/>
              </w:rPr>
            </w:pPr>
            <w:r>
              <w:rPr>
                <w:color w:val="auto"/>
                <w:spacing w:val="-1"/>
                <w:sz w:val="21"/>
                <w:szCs w:val="21"/>
                <w:highlight w:val="none"/>
              </w:rPr>
              <w:t>未及时浇水、喷水，致使</w:t>
            </w:r>
            <w:r>
              <w:rPr>
                <w:color w:val="auto"/>
                <w:spacing w:val="1"/>
                <w:sz w:val="21"/>
                <w:szCs w:val="21"/>
                <w:highlight w:val="none"/>
              </w:rPr>
              <w:t>树木、草坪生长不良的，</w:t>
            </w:r>
            <w:r>
              <w:rPr>
                <w:color w:val="auto"/>
                <w:spacing w:val="-6"/>
                <w:sz w:val="21"/>
                <w:szCs w:val="21"/>
                <w:highlight w:val="none"/>
              </w:rPr>
              <w:t>扣</w:t>
            </w:r>
            <w:r>
              <w:rPr>
                <w:color w:val="auto"/>
                <w:spacing w:val="-43"/>
                <w:sz w:val="21"/>
                <w:szCs w:val="21"/>
                <w:highlight w:val="none"/>
              </w:rPr>
              <w:t xml:space="preserve"> </w:t>
            </w:r>
            <w:r>
              <w:rPr>
                <w:color w:val="auto"/>
                <w:spacing w:val="-6"/>
                <w:sz w:val="21"/>
                <w:szCs w:val="21"/>
                <w:highlight w:val="none"/>
              </w:rPr>
              <w:t>0.5</w:t>
            </w:r>
            <w:r>
              <w:rPr>
                <w:color w:val="auto"/>
                <w:spacing w:val="-43"/>
                <w:sz w:val="21"/>
                <w:szCs w:val="21"/>
                <w:highlight w:val="none"/>
              </w:rPr>
              <w:t xml:space="preserve"> </w:t>
            </w:r>
            <w:r>
              <w:rPr>
                <w:color w:val="auto"/>
                <w:spacing w:val="-6"/>
                <w:sz w:val="21"/>
                <w:szCs w:val="21"/>
                <w:highlight w:val="none"/>
              </w:rPr>
              <w:t>分/处，致植物枯死</w:t>
            </w:r>
            <w:r>
              <w:rPr>
                <w:color w:val="auto"/>
                <w:spacing w:val="-1"/>
                <w:sz w:val="21"/>
                <w:szCs w:val="21"/>
                <w:highlight w:val="none"/>
              </w:rPr>
              <w:t>的加倍扣分。雨后绿地、</w:t>
            </w:r>
            <w:r>
              <w:rPr>
                <w:color w:val="auto"/>
                <w:spacing w:val="-11"/>
                <w:sz w:val="21"/>
                <w:szCs w:val="21"/>
                <w:highlight w:val="none"/>
              </w:rPr>
              <w:t>草坪有积水，扣0.5分/处。</w:t>
            </w:r>
          </w:p>
        </w:tc>
      </w:tr>
      <w:tr w14:paraId="5CD2DD11">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594" w:hRule="atLeast"/>
        </w:trPr>
        <w:tc>
          <w:tcPr>
            <w:tcW w:w="766" w:type="dxa"/>
            <w:vMerge w:val="continue"/>
            <w:vAlign w:val="top"/>
          </w:tcPr>
          <w:p w14:paraId="751AE6A4">
            <w:pPr>
              <w:pStyle w:val="247"/>
              <w:spacing w:before="68" w:line="275" w:lineRule="auto"/>
              <w:ind w:left="170" w:right="168" w:firstLine="2"/>
              <w:jc w:val="both"/>
              <w:rPr>
                <w:color w:val="auto"/>
                <w:sz w:val="21"/>
                <w:szCs w:val="21"/>
                <w:highlight w:val="none"/>
              </w:rPr>
            </w:pPr>
          </w:p>
        </w:tc>
        <w:tc>
          <w:tcPr>
            <w:tcW w:w="553" w:type="dxa"/>
            <w:vAlign w:val="top"/>
          </w:tcPr>
          <w:p w14:paraId="286C732C">
            <w:pPr>
              <w:spacing w:line="308" w:lineRule="auto"/>
              <w:rPr>
                <w:rFonts w:ascii="Arial"/>
                <w:color w:val="auto"/>
                <w:sz w:val="21"/>
                <w:highlight w:val="none"/>
              </w:rPr>
            </w:pPr>
          </w:p>
          <w:p w14:paraId="7FEF8E5F">
            <w:pPr>
              <w:spacing w:line="309" w:lineRule="auto"/>
              <w:rPr>
                <w:rFonts w:ascii="Arial"/>
                <w:color w:val="auto"/>
                <w:sz w:val="21"/>
                <w:highlight w:val="none"/>
              </w:rPr>
            </w:pPr>
          </w:p>
          <w:p w14:paraId="4616B799">
            <w:pPr>
              <w:pStyle w:val="247"/>
              <w:spacing w:before="68" w:line="241" w:lineRule="auto"/>
              <w:ind w:left="219"/>
              <w:rPr>
                <w:color w:val="auto"/>
                <w:sz w:val="21"/>
                <w:szCs w:val="21"/>
                <w:highlight w:val="none"/>
              </w:rPr>
            </w:pPr>
            <w:r>
              <w:rPr>
                <w:color w:val="auto"/>
                <w:sz w:val="21"/>
                <w:szCs w:val="21"/>
                <w:highlight w:val="none"/>
              </w:rPr>
              <w:t>9</w:t>
            </w:r>
          </w:p>
        </w:tc>
        <w:tc>
          <w:tcPr>
            <w:tcW w:w="1024" w:type="dxa"/>
            <w:vAlign w:val="top"/>
          </w:tcPr>
          <w:p w14:paraId="461ADB01">
            <w:pPr>
              <w:spacing w:line="462" w:lineRule="auto"/>
              <w:rPr>
                <w:rFonts w:ascii="Arial"/>
                <w:color w:val="auto"/>
                <w:sz w:val="21"/>
                <w:highlight w:val="none"/>
              </w:rPr>
            </w:pPr>
          </w:p>
          <w:p w14:paraId="0087B364">
            <w:pPr>
              <w:pStyle w:val="247"/>
              <w:spacing w:before="69" w:line="276" w:lineRule="auto"/>
              <w:ind w:left="195" w:right="189" w:hanging="1"/>
              <w:rPr>
                <w:color w:val="auto"/>
                <w:sz w:val="21"/>
                <w:szCs w:val="21"/>
                <w:highlight w:val="none"/>
              </w:rPr>
            </w:pPr>
            <w:r>
              <w:rPr>
                <w:color w:val="auto"/>
                <w:spacing w:val="-2"/>
                <w:sz w:val="21"/>
                <w:szCs w:val="21"/>
                <w:highlight w:val="none"/>
              </w:rPr>
              <w:t>浇灌排</w:t>
            </w:r>
            <w:r>
              <w:rPr>
                <w:color w:val="auto"/>
                <w:spacing w:val="-9"/>
                <w:sz w:val="21"/>
                <w:szCs w:val="21"/>
                <w:highlight w:val="none"/>
              </w:rPr>
              <w:t>水</w:t>
            </w:r>
            <w:r>
              <w:rPr>
                <w:color w:val="auto"/>
                <w:spacing w:val="-45"/>
                <w:sz w:val="21"/>
                <w:szCs w:val="21"/>
                <w:highlight w:val="none"/>
              </w:rPr>
              <w:t xml:space="preserve"> </w:t>
            </w:r>
            <w:r>
              <w:rPr>
                <w:color w:val="auto"/>
                <w:spacing w:val="-9"/>
                <w:sz w:val="21"/>
                <w:szCs w:val="21"/>
                <w:highlight w:val="none"/>
              </w:rPr>
              <w:t>4</w:t>
            </w:r>
            <w:r>
              <w:rPr>
                <w:color w:val="auto"/>
                <w:spacing w:val="-41"/>
                <w:sz w:val="21"/>
                <w:szCs w:val="21"/>
                <w:highlight w:val="none"/>
              </w:rPr>
              <w:t xml:space="preserve"> </w:t>
            </w:r>
            <w:r>
              <w:rPr>
                <w:color w:val="auto"/>
                <w:spacing w:val="-9"/>
                <w:sz w:val="21"/>
                <w:szCs w:val="21"/>
                <w:highlight w:val="none"/>
              </w:rPr>
              <w:t>分</w:t>
            </w:r>
          </w:p>
        </w:tc>
        <w:tc>
          <w:tcPr>
            <w:tcW w:w="707" w:type="dxa"/>
            <w:vAlign w:val="top"/>
          </w:tcPr>
          <w:p w14:paraId="58EBF25F">
            <w:pPr>
              <w:spacing w:line="308" w:lineRule="auto"/>
              <w:rPr>
                <w:rFonts w:ascii="Arial"/>
                <w:color w:val="auto"/>
                <w:sz w:val="21"/>
                <w:highlight w:val="none"/>
              </w:rPr>
            </w:pPr>
          </w:p>
          <w:p w14:paraId="476C3AC1">
            <w:pPr>
              <w:spacing w:line="309" w:lineRule="auto"/>
              <w:rPr>
                <w:rFonts w:ascii="Arial"/>
                <w:color w:val="auto"/>
                <w:sz w:val="21"/>
                <w:highlight w:val="none"/>
              </w:rPr>
            </w:pPr>
          </w:p>
          <w:p w14:paraId="2F2E055A">
            <w:pPr>
              <w:pStyle w:val="247"/>
              <w:spacing w:before="68" w:line="241" w:lineRule="auto"/>
              <w:ind w:left="247"/>
              <w:rPr>
                <w:color w:val="auto"/>
                <w:sz w:val="21"/>
                <w:szCs w:val="21"/>
                <w:highlight w:val="none"/>
              </w:rPr>
            </w:pPr>
            <w:r>
              <w:rPr>
                <w:color w:val="auto"/>
                <w:spacing w:val="-3"/>
                <w:sz w:val="21"/>
                <w:szCs w:val="21"/>
                <w:highlight w:val="none"/>
              </w:rPr>
              <w:t>20</w:t>
            </w:r>
          </w:p>
        </w:tc>
        <w:tc>
          <w:tcPr>
            <w:tcW w:w="2478" w:type="dxa"/>
            <w:vAlign w:val="top"/>
          </w:tcPr>
          <w:p w14:paraId="505AABC4">
            <w:pPr>
              <w:pStyle w:val="247"/>
              <w:spacing w:before="64" w:line="221" w:lineRule="auto"/>
              <w:ind w:left="115"/>
              <w:rPr>
                <w:color w:val="auto"/>
                <w:sz w:val="21"/>
                <w:szCs w:val="21"/>
                <w:highlight w:val="none"/>
              </w:rPr>
            </w:pPr>
            <w:r>
              <w:rPr>
                <w:color w:val="auto"/>
                <w:spacing w:val="-6"/>
                <w:sz w:val="21"/>
                <w:szCs w:val="21"/>
                <w:highlight w:val="none"/>
              </w:rPr>
              <w:t>雨季绿地内无积水，坑洼</w:t>
            </w:r>
          </w:p>
          <w:p w14:paraId="22041DA6">
            <w:pPr>
              <w:pStyle w:val="247"/>
              <w:spacing w:before="60" w:line="221" w:lineRule="auto"/>
              <w:ind w:left="111"/>
              <w:rPr>
                <w:color w:val="auto"/>
                <w:sz w:val="21"/>
                <w:szCs w:val="21"/>
                <w:highlight w:val="none"/>
              </w:rPr>
            </w:pPr>
            <w:r>
              <w:rPr>
                <w:color w:val="auto"/>
                <w:spacing w:val="-5"/>
                <w:sz w:val="21"/>
                <w:szCs w:val="21"/>
                <w:highlight w:val="none"/>
              </w:rPr>
              <w:t>处必须及时填平修补，确</w:t>
            </w:r>
          </w:p>
          <w:p w14:paraId="10680ADD">
            <w:pPr>
              <w:pStyle w:val="247"/>
              <w:spacing w:before="60" w:line="221" w:lineRule="auto"/>
              <w:ind w:left="107"/>
              <w:rPr>
                <w:color w:val="auto"/>
                <w:sz w:val="21"/>
                <w:szCs w:val="21"/>
                <w:highlight w:val="none"/>
              </w:rPr>
            </w:pPr>
            <w:r>
              <w:rPr>
                <w:color w:val="auto"/>
                <w:spacing w:val="-5"/>
                <w:sz w:val="21"/>
                <w:szCs w:val="21"/>
                <w:highlight w:val="none"/>
              </w:rPr>
              <w:t>保雨后积水及时排除，道</w:t>
            </w:r>
          </w:p>
          <w:p w14:paraId="28EF9DC6">
            <w:pPr>
              <w:pStyle w:val="247"/>
              <w:spacing w:before="60" w:line="221" w:lineRule="auto"/>
              <w:ind w:left="190"/>
              <w:rPr>
                <w:color w:val="auto"/>
                <w:sz w:val="21"/>
                <w:szCs w:val="21"/>
                <w:highlight w:val="none"/>
              </w:rPr>
            </w:pPr>
            <w:r>
              <w:rPr>
                <w:color w:val="auto"/>
                <w:spacing w:val="-1"/>
                <w:sz w:val="21"/>
                <w:szCs w:val="21"/>
                <w:highlight w:val="none"/>
              </w:rPr>
              <w:t>路景观林带内沟渠畅通</w:t>
            </w:r>
          </w:p>
          <w:p w14:paraId="5862B856">
            <w:pPr>
              <w:pStyle w:val="247"/>
              <w:spacing w:before="61" w:line="221" w:lineRule="auto"/>
              <w:ind w:left="610"/>
              <w:rPr>
                <w:color w:val="auto"/>
                <w:sz w:val="21"/>
                <w:szCs w:val="21"/>
                <w:highlight w:val="none"/>
              </w:rPr>
            </w:pPr>
            <w:r>
              <w:rPr>
                <w:color w:val="auto"/>
                <w:spacing w:val="-2"/>
                <w:sz w:val="21"/>
                <w:szCs w:val="21"/>
                <w:highlight w:val="none"/>
              </w:rPr>
              <w:t>无堵塞现象。</w:t>
            </w:r>
          </w:p>
        </w:tc>
        <w:tc>
          <w:tcPr>
            <w:tcW w:w="740" w:type="dxa"/>
            <w:vAlign w:val="top"/>
          </w:tcPr>
          <w:p w14:paraId="5EE4FAE2">
            <w:pPr>
              <w:spacing w:line="308" w:lineRule="auto"/>
              <w:rPr>
                <w:rFonts w:ascii="Arial"/>
                <w:color w:val="auto"/>
                <w:sz w:val="21"/>
                <w:highlight w:val="none"/>
              </w:rPr>
            </w:pPr>
          </w:p>
          <w:p w14:paraId="4CB52E6F">
            <w:pPr>
              <w:spacing w:line="309" w:lineRule="auto"/>
              <w:rPr>
                <w:rFonts w:ascii="Arial"/>
                <w:color w:val="auto"/>
                <w:sz w:val="21"/>
                <w:highlight w:val="none"/>
              </w:rPr>
            </w:pPr>
          </w:p>
          <w:p w14:paraId="0E26EC1B">
            <w:pPr>
              <w:pStyle w:val="247"/>
              <w:spacing w:before="68" w:line="242" w:lineRule="auto"/>
              <w:ind w:left="322"/>
              <w:rPr>
                <w:color w:val="auto"/>
                <w:sz w:val="21"/>
                <w:szCs w:val="21"/>
                <w:highlight w:val="none"/>
              </w:rPr>
            </w:pPr>
            <w:r>
              <w:rPr>
                <w:color w:val="auto"/>
                <w:sz w:val="21"/>
                <w:szCs w:val="21"/>
                <w:highlight w:val="none"/>
              </w:rPr>
              <w:t>2</w:t>
            </w:r>
          </w:p>
        </w:tc>
        <w:tc>
          <w:tcPr>
            <w:tcW w:w="2586" w:type="dxa"/>
            <w:vAlign w:val="top"/>
          </w:tcPr>
          <w:p w14:paraId="4431E4E4">
            <w:pPr>
              <w:pStyle w:val="247"/>
              <w:spacing w:before="65" w:line="267" w:lineRule="auto"/>
              <w:ind w:left="114" w:right="78" w:firstLine="28"/>
              <w:rPr>
                <w:color w:val="auto"/>
                <w:sz w:val="21"/>
                <w:szCs w:val="21"/>
                <w:highlight w:val="none"/>
              </w:rPr>
            </w:pPr>
            <w:r>
              <w:rPr>
                <w:color w:val="auto"/>
                <w:spacing w:val="-1"/>
                <w:sz w:val="21"/>
                <w:szCs w:val="21"/>
                <w:highlight w:val="none"/>
              </w:rPr>
              <w:t>未及时浇水、喷水，致使</w:t>
            </w:r>
            <w:r>
              <w:rPr>
                <w:color w:val="auto"/>
                <w:spacing w:val="1"/>
                <w:sz w:val="21"/>
                <w:szCs w:val="21"/>
                <w:highlight w:val="none"/>
              </w:rPr>
              <w:t>树木、草坪生长不良的，</w:t>
            </w:r>
            <w:r>
              <w:rPr>
                <w:color w:val="auto"/>
                <w:spacing w:val="-6"/>
                <w:sz w:val="21"/>
                <w:szCs w:val="21"/>
                <w:highlight w:val="none"/>
              </w:rPr>
              <w:t>扣</w:t>
            </w:r>
            <w:r>
              <w:rPr>
                <w:color w:val="auto"/>
                <w:spacing w:val="-43"/>
                <w:sz w:val="21"/>
                <w:szCs w:val="21"/>
                <w:highlight w:val="none"/>
              </w:rPr>
              <w:t xml:space="preserve"> </w:t>
            </w:r>
            <w:r>
              <w:rPr>
                <w:color w:val="auto"/>
                <w:spacing w:val="-6"/>
                <w:sz w:val="21"/>
                <w:szCs w:val="21"/>
                <w:highlight w:val="none"/>
              </w:rPr>
              <w:t>0.5</w:t>
            </w:r>
            <w:r>
              <w:rPr>
                <w:color w:val="auto"/>
                <w:spacing w:val="-43"/>
                <w:sz w:val="21"/>
                <w:szCs w:val="21"/>
                <w:highlight w:val="none"/>
              </w:rPr>
              <w:t xml:space="preserve"> </w:t>
            </w:r>
            <w:r>
              <w:rPr>
                <w:color w:val="auto"/>
                <w:spacing w:val="-6"/>
                <w:sz w:val="21"/>
                <w:szCs w:val="21"/>
                <w:highlight w:val="none"/>
              </w:rPr>
              <w:t>分/处，致植物枯死</w:t>
            </w:r>
            <w:r>
              <w:rPr>
                <w:color w:val="auto"/>
                <w:spacing w:val="-1"/>
                <w:sz w:val="21"/>
                <w:szCs w:val="21"/>
                <w:highlight w:val="none"/>
              </w:rPr>
              <w:t>的加倍扣分。雨后绿地、</w:t>
            </w:r>
            <w:r>
              <w:rPr>
                <w:color w:val="auto"/>
                <w:spacing w:val="-11"/>
                <w:sz w:val="21"/>
                <w:szCs w:val="21"/>
                <w:highlight w:val="none"/>
              </w:rPr>
              <w:t>草坪有积水，扣0.5分/处。</w:t>
            </w:r>
          </w:p>
        </w:tc>
      </w:tr>
      <w:tr w14:paraId="1EF209D4">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2611" w:hRule="atLeast"/>
        </w:trPr>
        <w:tc>
          <w:tcPr>
            <w:tcW w:w="766" w:type="dxa"/>
            <w:vMerge w:val="continue"/>
            <w:vAlign w:val="top"/>
          </w:tcPr>
          <w:p w14:paraId="1E8FBED3">
            <w:pPr>
              <w:rPr>
                <w:rFonts w:ascii="Arial"/>
                <w:color w:val="auto"/>
                <w:sz w:val="21"/>
                <w:highlight w:val="none"/>
              </w:rPr>
            </w:pPr>
          </w:p>
        </w:tc>
        <w:tc>
          <w:tcPr>
            <w:tcW w:w="553" w:type="dxa"/>
            <w:vAlign w:val="top"/>
          </w:tcPr>
          <w:p w14:paraId="2E8D7E57">
            <w:pPr>
              <w:spacing w:line="279" w:lineRule="auto"/>
              <w:rPr>
                <w:rFonts w:ascii="Arial"/>
                <w:color w:val="auto"/>
                <w:sz w:val="21"/>
                <w:highlight w:val="none"/>
              </w:rPr>
            </w:pPr>
          </w:p>
          <w:p w14:paraId="3E465A3B">
            <w:pPr>
              <w:spacing w:line="280" w:lineRule="auto"/>
              <w:rPr>
                <w:rFonts w:ascii="Arial"/>
                <w:color w:val="auto"/>
                <w:sz w:val="21"/>
                <w:highlight w:val="none"/>
              </w:rPr>
            </w:pPr>
          </w:p>
          <w:p w14:paraId="3E7587A0">
            <w:pPr>
              <w:spacing w:line="280" w:lineRule="auto"/>
              <w:rPr>
                <w:rFonts w:ascii="Arial"/>
                <w:color w:val="auto"/>
                <w:sz w:val="21"/>
                <w:highlight w:val="none"/>
              </w:rPr>
            </w:pPr>
          </w:p>
          <w:p w14:paraId="28DCF992">
            <w:pPr>
              <w:spacing w:line="280" w:lineRule="auto"/>
              <w:rPr>
                <w:rFonts w:ascii="Arial"/>
                <w:color w:val="auto"/>
                <w:sz w:val="21"/>
                <w:highlight w:val="none"/>
              </w:rPr>
            </w:pPr>
          </w:p>
          <w:p w14:paraId="798C2DD3">
            <w:pPr>
              <w:pStyle w:val="247"/>
              <w:spacing w:before="68" w:line="241" w:lineRule="auto"/>
              <w:ind w:left="181"/>
              <w:rPr>
                <w:color w:val="auto"/>
                <w:sz w:val="21"/>
                <w:szCs w:val="21"/>
                <w:highlight w:val="none"/>
              </w:rPr>
            </w:pPr>
            <w:r>
              <w:rPr>
                <w:color w:val="auto"/>
                <w:spacing w:val="-6"/>
                <w:sz w:val="21"/>
                <w:szCs w:val="21"/>
                <w:highlight w:val="none"/>
              </w:rPr>
              <w:t>10</w:t>
            </w:r>
          </w:p>
        </w:tc>
        <w:tc>
          <w:tcPr>
            <w:tcW w:w="1024" w:type="dxa"/>
            <w:vAlign w:val="top"/>
          </w:tcPr>
          <w:p w14:paraId="6A4A55E6">
            <w:pPr>
              <w:spacing w:line="326" w:lineRule="auto"/>
              <w:rPr>
                <w:rFonts w:ascii="Arial"/>
                <w:color w:val="auto"/>
                <w:sz w:val="21"/>
                <w:highlight w:val="none"/>
              </w:rPr>
            </w:pPr>
          </w:p>
          <w:p w14:paraId="25740876">
            <w:pPr>
              <w:spacing w:line="326" w:lineRule="auto"/>
              <w:rPr>
                <w:rFonts w:ascii="Arial"/>
                <w:color w:val="auto"/>
                <w:sz w:val="21"/>
                <w:highlight w:val="none"/>
              </w:rPr>
            </w:pPr>
          </w:p>
          <w:p w14:paraId="6B1749F5">
            <w:pPr>
              <w:pStyle w:val="247"/>
              <w:spacing w:before="68" w:line="276" w:lineRule="auto"/>
              <w:ind w:left="120" w:right="101" w:hanging="14"/>
              <w:jc w:val="both"/>
              <w:rPr>
                <w:color w:val="auto"/>
                <w:sz w:val="21"/>
                <w:szCs w:val="21"/>
                <w:highlight w:val="none"/>
              </w:rPr>
            </w:pPr>
            <w:r>
              <w:rPr>
                <w:color w:val="auto"/>
                <w:spacing w:val="-10"/>
                <w:sz w:val="21"/>
                <w:szCs w:val="21"/>
                <w:highlight w:val="none"/>
              </w:rPr>
              <w:t>绿地、林</w:t>
            </w:r>
            <w:r>
              <w:rPr>
                <w:color w:val="auto"/>
                <w:spacing w:val="22"/>
                <w:sz w:val="21"/>
                <w:szCs w:val="21"/>
                <w:highlight w:val="none"/>
              </w:rPr>
              <w:t>地完整性防护</w:t>
            </w:r>
            <w:r>
              <w:rPr>
                <w:color w:val="auto"/>
                <w:spacing w:val="-7"/>
                <w:sz w:val="21"/>
                <w:szCs w:val="21"/>
                <w:highlight w:val="none"/>
              </w:rPr>
              <w:t>（8</w:t>
            </w:r>
            <w:r>
              <w:rPr>
                <w:color w:val="auto"/>
                <w:spacing w:val="-40"/>
                <w:sz w:val="21"/>
                <w:szCs w:val="21"/>
                <w:highlight w:val="none"/>
              </w:rPr>
              <w:t xml:space="preserve"> </w:t>
            </w:r>
            <w:r>
              <w:rPr>
                <w:color w:val="auto"/>
                <w:spacing w:val="-7"/>
                <w:sz w:val="21"/>
                <w:szCs w:val="21"/>
                <w:highlight w:val="none"/>
              </w:rPr>
              <w:t>分）</w:t>
            </w:r>
          </w:p>
        </w:tc>
        <w:tc>
          <w:tcPr>
            <w:tcW w:w="707" w:type="dxa"/>
            <w:vAlign w:val="top"/>
          </w:tcPr>
          <w:p w14:paraId="3152870E">
            <w:pPr>
              <w:spacing w:line="279" w:lineRule="auto"/>
              <w:rPr>
                <w:rFonts w:ascii="Arial"/>
                <w:color w:val="auto"/>
                <w:sz w:val="21"/>
                <w:highlight w:val="none"/>
              </w:rPr>
            </w:pPr>
          </w:p>
          <w:p w14:paraId="6B6F42AE">
            <w:pPr>
              <w:spacing w:line="280" w:lineRule="auto"/>
              <w:rPr>
                <w:rFonts w:ascii="Arial"/>
                <w:color w:val="auto"/>
                <w:sz w:val="21"/>
                <w:highlight w:val="none"/>
              </w:rPr>
            </w:pPr>
          </w:p>
          <w:p w14:paraId="4A25F139">
            <w:pPr>
              <w:spacing w:line="280" w:lineRule="auto"/>
              <w:rPr>
                <w:rFonts w:ascii="Arial"/>
                <w:color w:val="auto"/>
                <w:sz w:val="21"/>
                <w:highlight w:val="none"/>
              </w:rPr>
            </w:pPr>
          </w:p>
          <w:p w14:paraId="48510723">
            <w:pPr>
              <w:spacing w:line="280" w:lineRule="auto"/>
              <w:rPr>
                <w:rFonts w:ascii="Arial"/>
                <w:color w:val="auto"/>
                <w:sz w:val="21"/>
                <w:highlight w:val="none"/>
              </w:rPr>
            </w:pPr>
          </w:p>
          <w:p w14:paraId="52A77501">
            <w:pPr>
              <w:pStyle w:val="247"/>
              <w:spacing w:before="69" w:line="242" w:lineRule="auto"/>
              <w:ind w:left="247"/>
              <w:rPr>
                <w:color w:val="auto"/>
                <w:sz w:val="21"/>
                <w:szCs w:val="21"/>
                <w:highlight w:val="none"/>
              </w:rPr>
            </w:pPr>
            <w:r>
              <w:rPr>
                <w:color w:val="auto"/>
                <w:spacing w:val="-3"/>
                <w:sz w:val="21"/>
                <w:szCs w:val="21"/>
                <w:highlight w:val="none"/>
              </w:rPr>
              <w:t>21</w:t>
            </w:r>
          </w:p>
        </w:tc>
        <w:tc>
          <w:tcPr>
            <w:tcW w:w="2478" w:type="dxa"/>
            <w:vAlign w:val="top"/>
          </w:tcPr>
          <w:p w14:paraId="0D9943B3">
            <w:pPr>
              <w:spacing w:line="343" w:lineRule="auto"/>
              <w:rPr>
                <w:rFonts w:ascii="Arial"/>
                <w:color w:val="auto"/>
                <w:sz w:val="21"/>
                <w:highlight w:val="none"/>
              </w:rPr>
            </w:pPr>
          </w:p>
          <w:p w14:paraId="3DBE084C">
            <w:pPr>
              <w:pStyle w:val="247"/>
              <w:spacing w:before="69" w:line="221" w:lineRule="auto"/>
              <w:ind w:left="107"/>
              <w:rPr>
                <w:color w:val="auto"/>
                <w:sz w:val="21"/>
                <w:szCs w:val="21"/>
                <w:highlight w:val="none"/>
              </w:rPr>
            </w:pPr>
            <w:r>
              <w:rPr>
                <w:color w:val="auto"/>
                <w:spacing w:val="-4"/>
                <w:sz w:val="21"/>
                <w:szCs w:val="21"/>
                <w:highlight w:val="none"/>
              </w:rPr>
              <w:t>保持绿地、林地完整，发</w:t>
            </w:r>
          </w:p>
          <w:p w14:paraId="38362693">
            <w:pPr>
              <w:pStyle w:val="247"/>
              <w:spacing w:before="60" w:line="221" w:lineRule="auto"/>
              <w:ind w:left="190"/>
              <w:rPr>
                <w:color w:val="auto"/>
                <w:sz w:val="21"/>
                <w:szCs w:val="21"/>
                <w:highlight w:val="none"/>
              </w:rPr>
            </w:pPr>
            <w:r>
              <w:rPr>
                <w:color w:val="auto"/>
                <w:spacing w:val="-1"/>
                <w:sz w:val="21"/>
                <w:szCs w:val="21"/>
                <w:highlight w:val="none"/>
              </w:rPr>
              <w:t>现破坏绿地林地及无手</w:t>
            </w:r>
          </w:p>
          <w:p w14:paraId="518EDC99">
            <w:pPr>
              <w:pStyle w:val="247"/>
              <w:spacing w:before="60" w:line="221" w:lineRule="auto"/>
              <w:ind w:left="191"/>
              <w:rPr>
                <w:color w:val="auto"/>
                <w:sz w:val="21"/>
                <w:szCs w:val="21"/>
                <w:highlight w:val="none"/>
              </w:rPr>
            </w:pPr>
            <w:r>
              <w:rPr>
                <w:color w:val="auto"/>
                <w:spacing w:val="-2"/>
                <w:sz w:val="21"/>
                <w:szCs w:val="21"/>
                <w:highlight w:val="none"/>
              </w:rPr>
              <w:t>续开挖现象要</w:t>
            </w:r>
            <w:r>
              <w:rPr>
                <w:b/>
                <w:bCs/>
                <w:color w:val="auto"/>
                <w:spacing w:val="-2"/>
                <w:sz w:val="21"/>
                <w:szCs w:val="21"/>
                <w:highlight w:val="none"/>
              </w:rPr>
              <w:t>及时制止</w:t>
            </w:r>
          </w:p>
          <w:p w14:paraId="649B2304">
            <w:pPr>
              <w:pStyle w:val="247"/>
              <w:spacing w:before="61" w:line="221" w:lineRule="auto"/>
              <w:ind w:left="112"/>
              <w:rPr>
                <w:color w:val="auto"/>
                <w:sz w:val="21"/>
                <w:szCs w:val="21"/>
                <w:highlight w:val="none"/>
              </w:rPr>
            </w:pPr>
            <w:r>
              <w:rPr>
                <w:b/>
                <w:bCs/>
                <w:color w:val="auto"/>
                <w:spacing w:val="-6"/>
                <w:sz w:val="21"/>
                <w:szCs w:val="21"/>
                <w:highlight w:val="none"/>
              </w:rPr>
              <w:t>并上报，</w:t>
            </w:r>
            <w:r>
              <w:rPr>
                <w:color w:val="auto"/>
                <w:spacing w:val="-6"/>
                <w:sz w:val="21"/>
                <w:szCs w:val="21"/>
                <w:highlight w:val="none"/>
              </w:rPr>
              <w:t>严防绿地林地被</w:t>
            </w:r>
          </w:p>
          <w:p w14:paraId="61FAAF28">
            <w:pPr>
              <w:pStyle w:val="247"/>
              <w:spacing w:before="60" w:line="221" w:lineRule="auto"/>
              <w:ind w:left="137"/>
              <w:rPr>
                <w:color w:val="auto"/>
                <w:sz w:val="21"/>
                <w:szCs w:val="21"/>
                <w:highlight w:val="none"/>
              </w:rPr>
            </w:pPr>
            <w:r>
              <w:rPr>
                <w:color w:val="auto"/>
                <w:spacing w:val="-5"/>
                <w:sz w:val="21"/>
                <w:szCs w:val="21"/>
                <w:highlight w:val="none"/>
              </w:rPr>
              <w:t>无故侵占。</w:t>
            </w:r>
            <w:r>
              <w:rPr>
                <w:color w:val="auto"/>
                <w:spacing w:val="-58"/>
                <w:sz w:val="21"/>
                <w:szCs w:val="21"/>
                <w:highlight w:val="none"/>
              </w:rPr>
              <w:t xml:space="preserve"> </w:t>
            </w:r>
            <w:r>
              <w:rPr>
                <w:color w:val="auto"/>
                <w:spacing w:val="-5"/>
                <w:sz w:val="21"/>
                <w:szCs w:val="21"/>
                <w:highlight w:val="none"/>
              </w:rPr>
              <w:t>(制止和上报</w:t>
            </w:r>
          </w:p>
          <w:p w14:paraId="568A8B20">
            <w:pPr>
              <w:pStyle w:val="247"/>
              <w:spacing w:before="61" w:line="221" w:lineRule="auto"/>
              <w:ind w:left="925"/>
              <w:rPr>
                <w:color w:val="auto"/>
                <w:sz w:val="21"/>
                <w:szCs w:val="21"/>
                <w:highlight w:val="none"/>
              </w:rPr>
            </w:pPr>
            <w:r>
              <w:rPr>
                <w:color w:val="auto"/>
                <w:spacing w:val="-5"/>
                <w:sz w:val="21"/>
                <w:szCs w:val="21"/>
                <w:highlight w:val="none"/>
              </w:rPr>
              <w:t>分开）</w:t>
            </w:r>
          </w:p>
        </w:tc>
        <w:tc>
          <w:tcPr>
            <w:tcW w:w="740" w:type="dxa"/>
            <w:vAlign w:val="top"/>
          </w:tcPr>
          <w:p w14:paraId="09B30130">
            <w:pPr>
              <w:spacing w:line="279" w:lineRule="auto"/>
              <w:rPr>
                <w:rFonts w:ascii="Arial"/>
                <w:color w:val="auto"/>
                <w:sz w:val="21"/>
                <w:highlight w:val="none"/>
              </w:rPr>
            </w:pPr>
          </w:p>
          <w:p w14:paraId="19663166">
            <w:pPr>
              <w:spacing w:line="280" w:lineRule="auto"/>
              <w:rPr>
                <w:rFonts w:ascii="Arial"/>
                <w:color w:val="auto"/>
                <w:sz w:val="21"/>
                <w:highlight w:val="none"/>
              </w:rPr>
            </w:pPr>
          </w:p>
          <w:p w14:paraId="59F8B9DD">
            <w:pPr>
              <w:spacing w:line="280" w:lineRule="auto"/>
              <w:rPr>
                <w:rFonts w:ascii="Arial"/>
                <w:color w:val="auto"/>
                <w:sz w:val="21"/>
                <w:highlight w:val="none"/>
              </w:rPr>
            </w:pPr>
          </w:p>
          <w:p w14:paraId="3B349580">
            <w:pPr>
              <w:spacing w:line="280" w:lineRule="auto"/>
              <w:rPr>
                <w:rFonts w:ascii="Arial"/>
                <w:color w:val="auto"/>
                <w:sz w:val="21"/>
                <w:highlight w:val="none"/>
              </w:rPr>
            </w:pPr>
          </w:p>
          <w:p w14:paraId="66593BE6">
            <w:pPr>
              <w:pStyle w:val="247"/>
              <w:spacing w:before="68" w:line="241" w:lineRule="auto"/>
              <w:ind w:left="320"/>
              <w:rPr>
                <w:color w:val="auto"/>
                <w:sz w:val="21"/>
                <w:szCs w:val="21"/>
                <w:highlight w:val="none"/>
              </w:rPr>
            </w:pPr>
            <w:r>
              <w:rPr>
                <w:color w:val="auto"/>
                <w:sz w:val="21"/>
                <w:szCs w:val="21"/>
                <w:highlight w:val="none"/>
              </w:rPr>
              <w:t>8</w:t>
            </w:r>
          </w:p>
        </w:tc>
        <w:tc>
          <w:tcPr>
            <w:tcW w:w="2586" w:type="dxa"/>
            <w:vAlign w:val="top"/>
          </w:tcPr>
          <w:p w14:paraId="60240FE6">
            <w:pPr>
              <w:spacing w:line="327" w:lineRule="auto"/>
              <w:rPr>
                <w:rFonts w:ascii="Arial"/>
                <w:color w:val="auto"/>
                <w:sz w:val="21"/>
                <w:highlight w:val="none"/>
              </w:rPr>
            </w:pPr>
          </w:p>
          <w:p w14:paraId="53CD59EE">
            <w:pPr>
              <w:spacing w:line="327" w:lineRule="auto"/>
              <w:rPr>
                <w:rFonts w:ascii="Arial"/>
                <w:color w:val="auto"/>
                <w:sz w:val="21"/>
                <w:highlight w:val="none"/>
              </w:rPr>
            </w:pPr>
          </w:p>
          <w:p w14:paraId="1D23875F">
            <w:pPr>
              <w:pStyle w:val="247"/>
              <w:spacing w:before="68" w:line="221" w:lineRule="auto"/>
              <w:ind w:left="142"/>
              <w:rPr>
                <w:color w:val="auto"/>
                <w:sz w:val="21"/>
                <w:szCs w:val="21"/>
                <w:highlight w:val="none"/>
              </w:rPr>
            </w:pPr>
            <w:r>
              <w:rPr>
                <w:color w:val="auto"/>
                <w:spacing w:val="-1"/>
                <w:sz w:val="21"/>
                <w:szCs w:val="21"/>
                <w:highlight w:val="none"/>
              </w:rPr>
              <w:t>发现绿地林地破坏未及时</w:t>
            </w:r>
          </w:p>
          <w:p w14:paraId="7DCA200C">
            <w:pPr>
              <w:pStyle w:val="247"/>
              <w:spacing w:before="60" w:line="221" w:lineRule="auto"/>
              <w:ind w:left="113"/>
              <w:rPr>
                <w:color w:val="auto"/>
                <w:sz w:val="21"/>
                <w:szCs w:val="21"/>
                <w:highlight w:val="none"/>
              </w:rPr>
            </w:pPr>
            <w:r>
              <w:rPr>
                <w:color w:val="auto"/>
                <w:spacing w:val="-6"/>
                <w:sz w:val="21"/>
                <w:szCs w:val="21"/>
                <w:highlight w:val="none"/>
              </w:rPr>
              <w:t>制止上报的扣</w:t>
            </w:r>
            <w:r>
              <w:rPr>
                <w:color w:val="auto"/>
                <w:spacing w:val="-31"/>
                <w:sz w:val="21"/>
                <w:szCs w:val="21"/>
                <w:highlight w:val="none"/>
              </w:rPr>
              <w:t xml:space="preserve"> </w:t>
            </w:r>
            <w:r>
              <w:rPr>
                <w:color w:val="auto"/>
                <w:spacing w:val="-6"/>
                <w:sz w:val="21"/>
                <w:szCs w:val="21"/>
                <w:highlight w:val="none"/>
              </w:rPr>
              <w:t>3</w:t>
            </w:r>
            <w:r>
              <w:rPr>
                <w:color w:val="auto"/>
                <w:spacing w:val="-43"/>
                <w:sz w:val="21"/>
                <w:szCs w:val="21"/>
                <w:highlight w:val="none"/>
              </w:rPr>
              <w:t xml:space="preserve"> </w:t>
            </w:r>
            <w:r>
              <w:rPr>
                <w:color w:val="auto"/>
                <w:spacing w:val="-6"/>
                <w:sz w:val="21"/>
                <w:szCs w:val="21"/>
                <w:highlight w:val="none"/>
              </w:rPr>
              <w:t>分/次；无</w:t>
            </w:r>
          </w:p>
          <w:p w14:paraId="40610F23">
            <w:pPr>
              <w:pStyle w:val="247"/>
              <w:spacing w:before="61" w:line="221" w:lineRule="auto"/>
              <w:ind w:left="168"/>
              <w:rPr>
                <w:color w:val="auto"/>
                <w:sz w:val="21"/>
                <w:szCs w:val="21"/>
                <w:highlight w:val="none"/>
              </w:rPr>
            </w:pPr>
            <w:r>
              <w:rPr>
                <w:color w:val="auto"/>
                <w:spacing w:val="-1"/>
                <w:sz w:val="21"/>
                <w:szCs w:val="21"/>
                <w:highlight w:val="none"/>
              </w:rPr>
              <w:t>故侵占未及时恢复的扣</w:t>
            </w:r>
            <w:r>
              <w:rPr>
                <w:color w:val="auto"/>
                <w:spacing w:val="-27"/>
                <w:sz w:val="21"/>
                <w:szCs w:val="21"/>
                <w:highlight w:val="none"/>
              </w:rPr>
              <w:t xml:space="preserve"> </w:t>
            </w:r>
            <w:r>
              <w:rPr>
                <w:color w:val="auto"/>
                <w:spacing w:val="-1"/>
                <w:sz w:val="21"/>
                <w:szCs w:val="21"/>
                <w:highlight w:val="none"/>
              </w:rPr>
              <w:t>1</w:t>
            </w:r>
          </w:p>
          <w:p w14:paraId="1AFA796E">
            <w:pPr>
              <w:pStyle w:val="247"/>
              <w:spacing w:before="60" w:line="221" w:lineRule="auto"/>
              <w:ind w:left="929"/>
              <w:rPr>
                <w:color w:val="auto"/>
                <w:sz w:val="21"/>
                <w:szCs w:val="21"/>
                <w:highlight w:val="none"/>
              </w:rPr>
            </w:pPr>
            <w:r>
              <w:rPr>
                <w:color w:val="auto"/>
                <w:spacing w:val="-7"/>
                <w:sz w:val="21"/>
                <w:szCs w:val="21"/>
                <w:highlight w:val="none"/>
              </w:rPr>
              <w:t>分/处。</w:t>
            </w:r>
          </w:p>
        </w:tc>
      </w:tr>
      <w:tr w14:paraId="466B79BF">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41" w:hRule="atLeast"/>
        </w:trPr>
        <w:tc>
          <w:tcPr>
            <w:tcW w:w="766" w:type="dxa"/>
            <w:vMerge w:val="restart"/>
            <w:tcBorders>
              <w:bottom w:val="nil"/>
            </w:tcBorders>
            <w:vAlign w:val="top"/>
          </w:tcPr>
          <w:p w14:paraId="2D4F4404">
            <w:pPr>
              <w:spacing w:line="250" w:lineRule="auto"/>
              <w:rPr>
                <w:rFonts w:ascii="Arial"/>
                <w:color w:val="auto"/>
                <w:sz w:val="21"/>
                <w:highlight w:val="none"/>
              </w:rPr>
            </w:pPr>
          </w:p>
          <w:p w14:paraId="72FF31B4">
            <w:pPr>
              <w:spacing w:line="250" w:lineRule="auto"/>
              <w:rPr>
                <w:rFonts w:ascii="Arial"/>
                <w:color w:val="auto"/>
                <w:sz w:val="21"/>
                <w:highlight w:val="none"/>
              </w:rPr>
            </w:pPr>
          </w:p>
          <w:p w14:paraId="48B2D1B8">
            <w:pPr>
              <w:spacing w:line="250" w:lineRule="auto"/>
              <w:rPr>
                <w:rFonts w:ascii="Arial"/>
                <w:color w:val="auto"/>
                <w:sz w:val="21"/>
                <w:highlight w:val="none"/>
              </w:rPr>
            </w:pPr>
          </w:p>
          <w:p w14:paraId="5B9ECD48">
            <w:pPr>
              <w:spacing w:line="250" w:lineRule="auto"/>
              <w:rPr>
                <w:rFonts w:ascii="Arial"/>
                <w:color w:val="auto"/>
                <w:sz w:val="21"/>
                <w:highlight w:val="none"/>
              </w:rPr>
            </w:pPr>
          </w:p>
          <w:p w14:paraId="73AE9B18">
            <w:pPr>
              <w:spacing w:line="250" w:lineRule="auto"/>
              <w:rPr>
                <w:rFonts w:ascii="Arial"/>
                <w:color w:val="auto"/>
                <w:sz w:val="21"/>
                <w:highlight w:val="none"/>
              </w:rPr>
            </w:pPr>
          </w:p>
          <w:p w14:paraId="6D7BF3C8">
            <w:pPr>
              <w:spacing w:line="250" w:lineRule="auto"/>
              <w:rPr>
                <w:rFonts w:ascii="Arial"/>
                <w:color w:val="auto"/>
                <w:sz w:val="21"/>
                <w:highlight w:val="none"/>
              </w:rPr>
            </w:pPr>
          </w:p>
          <w:p w14:paraId="4FD4D970">
            <w:pPr>
              <w:spacing w:line="251" w:lineRule="auto"/>
              <w:rPr>
                <w:rFonts w:ascii="Arial"/>
                <w:color w:val="auto"/>
                <w:sz w:val="21"/>
                <w:highlight w:val="none"/>
              </w:rPr>
            </w:pPr>
          </w:p>
          <w:p w14:paraId="6595A95B">
            <w:pPr>
              <w:spacing w:line="251" w:lineRule="auto"/>
              <w:rPr>
                <w:rFonts w:ascii="Arial"/>
                <w:color w:val="auto"/>
                <w:sz w:val="21"/>
                <w:highlight w:val="none"/>
              </w:rPr>
            </w:pPr>
          </w:p>
          <w:p w14:paraId="79BCEE43">
            <w:pPr>
              <w:pStyle w:val="247"/>
              <w:spacing w:before="69" w:line="276" w:lineRule="auto"/>
              <w:ind w:left="170" w:right="168"/>
              <w:jc w:val="both"/>
              <w:rPr>
                <w:color w:val="auto"/>
                <w:sz w:val="21"/>
                <w:szCs w:val="21"/>
                <w:highlight w:val="none"/>
              </w:rPr>
            </w:pPr>
            <w:r>
              <w:rPr>
                <w:color w:val="auto"/>
                <w:spacing w:val="-5"/>
                <w:sz w:val="21"/>
                <w:szCs w:val="21"/>
                <w:highlight w:val="none"/>
              </w:rPr>
              <w:t>组织管理</w:t>
            </w:r>
            <w:r>
              <w:rPr>
                <w:color w:val="auto"/>
                <w:spacing w:val="21"/>
                <w:sz w:val="21"/>
                <w:szCs w:val="21"/>
                <w:highlight w:val="none"/>
              </w:rPr>
              <w:t>（5</w:t>
            </w:r>
            <w:r>
              <w:rPr>
                <w:color w:val="auto"/>
                <w:spacing w:val="-6"/>
                <w:sz w:val="21"/>
                <w:szCs w:val="21"/>
                <w:highlight w:val="none"/>
              </w:rPr>
              <w:t>分）</w:t>
            </w:r>
          </w:p>
        </w:tc>
        <w:tc>
          <w:tcPr>
            <w:tcW w:w="553" w:type="dxa"/>
            <w:vMerge w:val="restart"/>
            <w:tcBorders>
              <w:bottom w:val="nil"/>
            </w:tcBorders>
            <w:vAlign w:val="top"/>
          </w:tcPr>
          <w:p w14:paraId="31F3294E">
            <w:pPr>
              <w:spacing w:line="247" w:lineRule="auto"/>
              <w:rPr>
                <w:rFonts w:ascii="Arial"/>
                <w:color w:val="auto"/>
                <w:sz w:val="21"/>
                <w:highlight w:val="none"/>
              </w:rPr>
            </w:pPr>
          </w:p>
          <w:p w14:paraId="4691E1E0">
            <w:pPr>
              <w:spacing w:line="247" w:lineRule="auto"/>
              <w:rPr>
                <w:rFonts w:ascii="Arial"/>
                <w:color w:val="auto"/>
                <w:sz w:val="21"/>
                <w:highlight w:val="none"/>
              </w:rPr>
            </w:pPr>
          </w:p>
          <w:p w14:paraId="48EE9DDD">
            <w:pPr>
              <w:spacing w:line="247" w:lineRule="auto"/>
              <w:rPr>
                <w:rFonts w:ascii="Arial"/>
                <w:color w:val="auto"/>
                <w:sz w:val="21"/>
                <w:highlight w:val="none"/>
              </w:rPr>
            </w:pPr>
          </w:p>
          <w:p w14:paraId="1F9FF1A6">
            <w:pPr>
              <w:spacing w:line="247" w:lineRule="auto"/>
              <w:rPr>
                <w:rFonts w:ascii="Arial"/>
                <w:color w:val="auto"/>
                <w:sz w:val="21"/>
                <w:highlight w:val="none"/>
              </w:rPr>
            </w:pPr>
          </w:p>
          <w:p w14:paraId="29C7FAAE">
            <w:pPr>
              <w:spacing w:line="247" w:lineRule="auto"/>
              <w:rPr>
                <w:rFonts w:ascii="Arial"/>
                <w:color w:val="auto"/>
                <w:sz w:val="21"/>
                <w:highlight w:val="none"/>
              </w:rPr>
            </w:pPr>
          </w:p>
          <w:p w14:paraId="1032C9BA">
            <w:pPr>
              <w:spacing w:line="247" w:lineRule="auto"/>
              <w:rPr>
                <w:rFonts w:ascii="Arial"/>
                <w:color w:val="auto"/>
                <w:sz w:val="21"/>
                <w:highlight w:val="none"/>
              </w:rPr>
            </w:pPr>
          </w:p>
          <w:p w14:paraId="0152F682">
            <w:pPr>
              <w:spacing w:line="247" w:lineRule="auto"/>
              <w:rPr>
                <w:rFonts w:ascii="Arial"/>
                <w:color w:val="auto"/>
                <w:sz w:val="21"/>
                <w:highlight w:val="none"/>
              </w:rPr>
            </w:pPr>
          </w:p>
          <w:p w14:paraId="1B942151">
            <w:pPr>
              <w:spacing w:line="247" w:lineRule="auto"/>
              <w:rPr>
                <w:rFonts w:ascii="Arial"/>
                <w:color w:val="auto"/>
                <w:sz w:val="21"/>
                <w:highlight w:val="none"/>
              </w:rPr>
            </w:pPr>
          </w:p>
          <w:p w14:paraId="6C14231E">
            <w:pPr>
              <w:spacing w:line="247" w:lineRule="auto"/>
              <w:rPr>
                <w:rFonts w:ascii="Arial"/>
                <w:color w:val="auto"/>
                <w:sz w:val="21"/>
                <w:highlight w:val="none"/>
              </w:rPr>
            </w:pPr>
          </w:p>
          <w:p w14:paraId="07A0FE1D">
            <w:pPr>
              <w:spacing w:line="247" w:lineRule="auto"/>
              <w:rPr>
                <w:rFonts w:ascii="Arial"/>
                <w:color w:val="auto"/>
                <w:sz w:val="21"/>
                <w:highlight w:val="none"/>
              </w:rPr>
            </w:pPr>
          </w:p>
          <w:p w14:paraId="4A75BAEC">
            <w:pPr>
              <w:pStyle w:val="247"/>
              <w:spacing w:before="68" w:line="242" w:lineRule="auto"/>
              <w:ind w:left="181"/>
              <w:rPr>
                <w:color w:val="auto"/>
                <w:sz w:val="21"/>
                <w:szCs w:val="21"/>
                <w:highlight w:val="none"/>
              </w:rPr>
            </w:pPr>
            <w:r>
              <w:rPr>
                <w:color w:val="auto"/>
                <w:spacing w:val="-6"/>
                <w:sz w:val="21"/>
                <w:szCs w:val="21"/>
                <w:highlight w:val="none"/>
              </w:rPr>
              <w:t>11</w:t>
            </w:r>
          </w:p>
        </w:tc>
        <w:tc>
          <w:tcPr>
            <w:tcW w:w="1024" w:type="dxa"/>
            <w:vMerge w:val="restart"/>
            <w:tcBorders>
              <w:bottom w:val="nil"/>
            </w:tcBorders>
            <w:vAlign w:val="top"/>
          </w:tcPr>
          <w:p w14:paraId="2B3456E6">
            <w:pPr>
              <w:spacing w:line="247" w:lineRule="auto"/>
              <w:rPr>
                <w:rFonts w:ascii="Arial"/>
                <w:color w:val="auto"/>
                <w:sz w:val="21"/>
                <w:highlight w:val="none"/>
              </w:rPr>
            </w:pPr>
          </w:p>
          <w:p w14:paraId="6F70013B">
            <w:pPr>
              <w:spacing w:line="247" w:lineRule="auto"/>
              <w:rPr>
                <w:rFonts w:ascii="Arial"/>
                <w:color w:val="auto"/>
                <w:sz w:val="21"/>
                <w:highlight w:val="none"/>
              </w:rPr>
            </w:pPr>
          </w:p>
          <w:p w14:paraId="0D92379A">
            <w:pPr>
              <w:spacing w:line="247" w:lineRule="auto"/>
              <w:rPr>
                <w:rFonts w:ascii="Arial"/>
                <w:color w:val="auto"/>
                <w:sz w:val="21"/>
                <w:highlight w:val="none"/>
              </w:rPr>
            </w:pPr>
          </w:p>
          <w:p w14:paraId="55EA07CE">
            <w:pPr>
              <w:spacing w:line="247" w:lineRule="auto"/>
              <w:rPr>
                <w:rFonts w:ascii="Arial"/>
                <w:color w:val="auto"/>
                <w:sz w:val="21"/>
                <w:highlight w:val="none"/>
              </w:rPr>
            </w:pPr>
          </w:p>
          <w:p w14:paraId="2354AD74">
            <w:pPr>
              <w:spacing w:line="247" w:lineRule="auto"/>
              <w:rPr>
                <w:rFonts w:ascii="Arial"/>
                <w:color w:val="auto"/>
                <w:sz w:val="21"/>
                <w:highlight w:val="none"/>
              </w:rPr>
            </w:pPr>
          </w:p>
          <w:p w14:paraId="442039B2">
            <w:pPr>
              <w:spacing w:line="247" w:lineRule="auto"/>
              <w:rPr>
                <w:rFonts w:ascii="Arial"/>
                <w:color w:val="auto"/>
                <w:sz w:val="21"/>
                <w:highlight w:val="none"/>
              </w:rPr>
            </w:pPr>
          </w:p>
          <w:p w14:paraId="28F18389">
            <w:pPr>
              <w:spacing w:line="247" w:lineRule="auto"/>
              <w:rPr>
                <w:rFonts w:ascii="Arial"/>
                <w:color w:val="auto"/>
                <w:sz w:val="21"/>
                <w:highlight w:val="none"/>
              </w:rPr>
            </w:pPr>
          </w:p>
          <w:p w14:paraId="402D027D">
            <w:pPr>
              <w:spacing w:line="247" w:lineRule="auto"/>
              <w:rPr>
                <w:rFonts w:ascii="Arial"/>
                <w:color w:val="auto"/>
                <w:sz w:val="21"/>
                <w:highlight w:val="none"/>
              </w:rPr>
            </w:pPr>
          </w:p>
          <w:p w14:paraId="4DC500EF">
            <w:pPr>
              <w:spacing w:line="247" w:lineRule="auto"/>
              <w:rPr>
                <w:rFonts w:ascii="Arial"/>
                <w:color w:val="auto"/>
                <w:sz w:val="21"/>
                <w:highlight w:val="none"/>
              </w:rPr>
            </w:pPr>
          </w:p>
          <w:p w14:paraId="5488F7E8">
            <w:pPr>
              <w:spacing w:line="247" w:lineRule="auto"/>
              <w:rPr>
                <w:rFonts w:ascii="Arial"/>
                <w:color w:val="auto"/>
                <w:sz w:val="21"/>
                <w:highlight w:val="none"/>
              </w:rPr>
            </w:pPr>
          </w:p>
          <w:p w14:paraId="349B1F88">
            <w:pPr>
              <w:pStyle w:val="247"/>
              <w:spacing w:before="68" w:line="221" w:lineRule="auto"/>
              <w:ind w:left="105"/>
              <w:rPr>
                <w:color w:val="auto"/>
                <w:sz w:val="21"/>
                <w:szCs w:val="21"/>
                <w:highlight w:val="none"/>
              </w:rPr>
            </w:pPr>
            <w:r>
              <w:rPr>
                <w:color w:val="auto"/>
                <w:spacing w:val="-5"/>
                <w:sz w:val="21"/>
                <w:szCs w:val="21"/>
                <w:highlight w:val="none"/>
              </w:rPr>
              <w:t>其它</w:t>
            </w:r>
            <w:r>
              <w:rPr>
                <w:color w:val="auto"/>
                <w:spacing w:val="-56"/>
                <w:sz w:val="21"/>
                <w:szCs w:val="21"/>
                <w:highlight w:val="none"/>
              </w:rPr>
              <w:t xml:space="preserve"> </w:t>
            </w:r>
            <w:r>
              <w:rPr>
                <w:color w:val="auto"/>
                <w:spacing w:val="-5"/>
                <w:sz w:val="21"/>
                <w:szCs w:val="21"/>
                <w:highlight w:val="none"/>
              </w:rPr>
              <w:t>5</w:t>
            </w:r>
            <w:r>
              <w:rPr>
                <w:color w:val="auto"/>
                <w:spacing w:val="-58"/>
                <w:sz w:val="21"/>
                <w:szCs w:val="21"/>
                <w:highlight w:val="none"/>
              </w:rPr>
              <w:t xml:space="preserve"> </w:t>
            </w:r>
            <w:r>
              <w:rPr>
                <w:color w:val="auto"/>
                <w:spacing w:val="-5"/>
                <w:sz w:val="21"/>
                <w:szCs w:val="21"/>
                <w:highlight w:val="none"/>
              </w:rPr>
              <w:t>分</w:t>
            </w:r>
          </w:p>
        </w:tc>
        <w:tc>
          <w:tcPr>
            <w:tcW w:w="707" w:type="dxa"/>
            <w:vAlign w:val="top"/>
          </w:tcPr>
          <w:p w14:paraId="1465A9CA">
            <w:pPr>
              <w:spacing w:line="299" w:lineRule="auto"/>
              <w:rPr>
                <w:rFonts w:ascii="Arial"/>
                <w:color w:val="auto"/>
                <w:sz w:val="21"/>
                <w:highlight w:val="none"/>
              </w:rPr>
            </w:pPr>
          </w:p>
          <w:p w14:paraId="39CDAB44">
            <w:pPr>
              <w:pStyle w:val="247"/>
              <w:spacing w:before="68" w:line="242" w:lineRule="auto"/>
              <w:ind w:left="247"/>
              <w:rPr>
                <w:color w:val="auto"/>
                <w:sz w:val="21"/>
                <w:szCs w:val="21"/>
                <w:highlight w:val="none"/>
              </w:rPr>
            </w:pPr>
            <w:r>
              <w:rPr>
                <w:color w:val="auto"/>
                <w:spacing w:val="-3"/>
                <w:sz w:val="21"/>
                <w:szCs w:val="21"/>
                <w:highlight w:val="none"/>
              </w:rPr>
              <w:t>22</w:t>
            </w:r>
          </w:p>
        </w:tc>
        <w:tc>
          <w:tcPr>
            <w:tcW w:w="2478" w:type="dxa"/>
            <w:vAlign w:val="top"/>
          </w:tcPr>
          <w:p w14:paraId="5AB0AA51">
            <w:pPr>
              <w:pStyle w:val="247"/>
              <w:spacing w:before="56" w:line="221" w:lineRule="auto"/>
              <w:ind w:left="112"/>
              <w:rPr>
                <w:color w:val="auto"/>
                <w:sz w:val="21"/>
                <w:szCs w:val="21"/>
                <w:highlight w:val="none"/>
              </w:rPr>
            </w:pPr>
            <w:r>
              <w:rPr>
                <w:color w:val="auto"/>
                <w:spacing w:val="-5"/>
                <w:sz w:val="21"/>
                <w:szCs w:val="21"/>
                <w:highlight w:val="none"/>
              </w:rPr>
              <w:t>管护组织制度健全，工作</w:t>
            </w:r>
          </w:p>
          <w:p w14:paraId="68B38CF3">
            <w:pPr>
              <w:pStyle w:val="247"/>
              <w:spacing w:before="60" w:line="221" w:lineRule="auto"/>
              <w:ind w:left="107"/>
              <w:rPr>
                <w:color w:val="auto"/>
                <w:sz w:val="21"/>
                <w:szCs w:val="21"/>
                <w:highlight w:val="none"/>
              </w:rPr>
            </w:pPr>
            <w:r>
              <w:rPr>
                <w:rFonts w:hint="eastAsia"/>
                <w:color w:val="auto"/>
                <w:spacing w:val="-4"/>
                <w:sz w:val="21"/>
                <w:szCs w:val="21"/>
                <w:highlight w:val="none"/>
                <w:lang w:eastAsia="zh-CN"/>
              </w:rPr>
              <w:t>有台账</w:t>
            </w:r>
            <w:r>
              <w:rPr>
                <w:color w:val="auto"/>
                <w:spacing w:val="-4"/>
                <w:sz w:val="21"/>
                <w:szCs w:val="21"/>
                <w:highlight w:val="none"/>
              </w:rPr>
              <w:t>，记录完整，内容</w:t>
            </w:r>
          </w:p>
          <w:p w14:paraId="31613DA1">
            <w:pPr>
              <w:pStyle w:val="247"/>
              <w:spacing w:before="60" w:line="220" w:lineRule="auto"/>
              <w:ind w:left="402"/>
              <w:rPr>
                <w:color w:val="auto"/>
                <w:sz w:val="21"/>
                <w:szCs w:val="21"/>
                <w:highlight w:val="none"/>
              </w:rPr>
            </w:pPr>
            <w:r>
              <w:rPr>
                <w:color w:val="auto"/>
                <w:spacing w:val="-1"/>
                <w:sz w:val="21"/>
                <w:szCs w:val="21"/>
                <w:highlight w:val="none"/>
              </w:rPr>
              <w:t>详实并及时上报。</w:t>
            </w:r>
          </w:p>
        </w:tc>
        <w:tc>
          <w:tcPr>
            <w:tcW w:w="740" w:type="dxa"/>
            <w:vAlign w:val="top"/>
          </w:tcPr>
          <w:p w14:paraId="4084285D">
            <w:pPr>
              <w:spacing w:line="299" w:lineRule="auto"/>
              <w:rPr>
                <w:rFonts w:ascii="Arial"/>
                <w:color w:val="auto"/>
                <w:sz w:val="21"/>
                <w:highlight w:val="none"/>
              </w:rPr>
            </w:pPr>
          </w:p>
          <w:p w14:paraId="5E63B35E">
            <w:pPr>
              <w:pStyle w:val="247"/>
              <w:spacing w:before="68" w:line="242" w:lineRule="auto"/>
              <w:ind w:left="335"/>
              <w:rPr>
                <w:color w:val="auto"/>
                <w:sz w:val="21"/>
                <w:szCs w:val="21"/>
                <w:highlight w:val="none"/>
              </w:rPr>
            </w:pPr>
            <w:r>
              <w:rPr>
                <w:color w:val="auto"/>
                <w:sz w:val="21"/>
                <w:szCs w:val="21"/>
                <w:highlight w:val="none"/>
              </w:rPr>
              <w:t>1</w:t>
            </w:r>
          </w:p>
        </w:tc>
        <w:tc>
          <w:tcPr>
            <w:tcW w:w="2586" w:type="dxa"/>
            <w:vMerge w:val="restart"/>
            <w:tcBorders>
              <w:bottom w:val="nil"/>
            </w:tcBorders>
            <w:vAlign w:val="top"/>
          </w:tcPr>
          <w:p w14:paraId="785FA080">
            <w:pPr>
              <w:pStyle w:val="247"/>
              <w:spacing w:before="56" w:line="221" w:lineRule="auto"/>
              <w:ind w:left="144"/>
              <w:rPr>
                <w:color w:val="auto"/>
                <w:sz w:val="21"/>
                <w:szCs w:val="21"/>
                <w:highlight w:val="none"/>
              </w:rPr>
            </w:pPr>
            <w:r>
              <w:rPr>
                <w:color w:val="auto"/>
                <w:spacing w:val="-4"/>
                <w:sz w:val="21"/>
                <w:szCs w:val="21"/>
                <w:highlight w:val="none"/>
              </w:rPr>
              <w:t>管护小结及记录不及时，</w:t>
            </w:r>
          </w:p>
          <w:p w14:paraId="62E6B8E1">
            <w:pPr>
              <w:pStyle w:val="247"/>
              <w:spacing w:before="60" w:line="221" w:lineRule="auto"/>
              <w:ind w:left="138"/>
              <w:rPr>
                <w:color w:val="auto"/>
                <w:sz w:val="21"/>
                <w:szCs w:val="21"/>
                <w:highlight w:val="none"/>
              </w:rPr>
            </w:pPr>
            <w:r>
              <w:rPr>
                <w:color w:val="auto"/>
                <w:spacing w:val="-13"/>
                <w:sz w:val="21"/>
                <w:szCs w:val="21"/>
                <w:highlight w:val="none"/>
              </w:rPr>
              <w:t>内容不全，每次扣</w:t>
            </w:r>
            <w:r>
              <w:rPr>
                <w:color w:val="auto"/>
                <w:spacing w:val="-35"/>
                <w:sz w:val="21"/>
                <w:szCs w:val="21"/>
                <w:highlight w:val="none"/>
              </w:rPr>
              <w:t xml:space="preserve"> </w:t>
            </w:r>
            <w:r>
              <w:rPr>
                <w:color w:val="auto"/>
                <w:spacing w:val="-13"/>
                <w:sz w:val="21"/>
                <w:szCs w:val="21"/>
                <w:highlight w:val="none"/>
              </w:rPr>
              <w:t>0.5</w:t>
            </w:r>
            <w:r>
              <w:rPr>
                <w:color w:val="auto"/>
                <w:spacing w:val="-44"/>
                <w:sz w:val="21"/>
                <w:szCs w:val="21"/>
                <w:highlight w:val="none"/>
              </w:rPr>
              <w:t xml:space="preserve"> </w:t>
            </w:r>
            <w:r>
              <w:rPr>
                <w:color w:val="auto"/>
                <w:spacing w:val="-13"/>
                <w:sz w:val="21"/>
                <w:szCs w:val="21"/>
                <w:highlight w:val="none"/>
              </w:rPr>
              <w:t>分；</w:t>
            </w:r>
          </w:p>
          <w:p w14:paraId="195DB9BC">
            <w:pPr>
              <w:pStyle w:val="247"/>
              <w:spacing w:before="60" w:line="221" w:lineRule="auto"/>
              <w:ind w:left="140"/>
              <w:rPr>
                <w:color w:val="auto"/>
                <w:sz w:val="21"/>
                <w:szCs w:val="21"/>
                <w:highlight w:val="none"/>
              </w:rPr>
            </w:pPr>
            <w:r>
              <w:rPr>
                <w:color w:val="auto"/>
                <w:spacing w:val="-1"/>
                <w:sz w:val="21"/>
                <w:szCs w:val="21"/>
                <w:highlight w:val="none"/>
              </w:rPr>
              <w:t>无管护</w:t>
            </w:r>
            <w:r>
              <w:rPr>
                <w:rFonts w:hint="eastAsia"/>
                <w:color w:val="auto"/>
                <w:spacing w:val="-1"/>
                <w:sz w:val="21"/>
                <w:szCs w:val="21"/>
                <w:highlight w:val="none"/>
                <w:lang w:eastAsia="zh-CN"/>
              </w:rPr>
              <w:t>台账</w:t>
            </w:r>
            <w:r>
              <w:rPr>
                <w:color w:val="auto"/>
                <w:spacing w:val="-1"/>
                <w:sz w:val="21"/>
                <w:szCs w:val="21"/>
                <w:highlight w:val="none"/>
              </w:rPr>
              <w:t>，不得分。无</w:t>
            </w:r>
          </w:p>
          <w:p w14:paraId="6E827911">
            <w:pPr>
              <w:pStyle w:val="247"/>
              <w:spacing w:before="60" w:line="221" w:lineRule="auto"/>
              <w:ind w:left="139"/>
              <w:rPr>
                <w:color w:val="auto"/>
                <w:sz w:val="21"/>
                <w:szCs w:val="21"/>
                <w:highlight w:val="none"/>
              </w:rPr>
            </w:pPr>
            <w:r>
              <w:rPr>
                <w:color w:val="auto"/>
                <w:spacing w:val="-3"/>
                <w:sz w:val="21"/>
                <w:szCs w:val="21"/>
                <w:highlight w:val="none"/>
              </w:rPr>
              <w:t>养护计划，现场管理乱，</w:t>
            </w:r>
          </w:p>
          <w:p w14:paraId="71A9ABB0">
            <w:pPr>
              <w:pStyle w:val="247"/>
              <w:spacing w:before="61" w:line="221" w:lineRule="auto"/>
              <w:ind w:left="142"/>
              <w:rPr>
                <w:color w:val="auto"/>
                <w:sz w:val="21"/>
                <w:szCs w:val="21"/>
                <w:highlight w:val="none"/>
              </w:rPr>
            </w:pPr>
            <w:r>
              <w:rPr>
                <w:color w:val="auto"/>
                <w:spacing w:val="-4"/>
                <w:sz w:val="21"/>
                <w:szCs w:val="21"/>
                <w:highlight w:val="none"/>
              </w:rPr>
              <w:t>发现一次扣</w:t>
            </w:r>
            <w:r>
              <w:rPr>
                <w:color w:val="auto"/>
                <w:spacing w:val="-28"/>
                <w:sz w:val="21"/>
                <w:szCs w:val="21"/>
                <w:highlight w:val="none"/>
              </w:rPr>
              <w:t xml:space="preserve"> </w:t>
            </w:r>
            <w:r>
              <w:rPr>
                <w:color w:val="auto"/>
                <w:spacing w:val="-4"/>
                <w:sz w:val="21"/>
                <w:szCs w:val="21"/>
                <w:highlight w:val="none"/>
              </w:rPr>
              <w:t>1</w:t>
            </w:r>
            <w:r>
              <w:rPr>
                <w:color w:val="auto"/>
                <w:spacing w:val="-42"/>
                <w:sz w:val="21"/>
                <w:szCs w:val="21"/>
                <w:highlight w:val="none"/>
              </w:rPr>
              <w:t xml:space="preserve"> </w:t>
            </w:r>
            <w:r>
              <w:rPr>
                <w:color w:val="auto"/>
                <w:spacing w:val="-4"/>
                <w:sz w:val="21"/>
                <w:szCs w:val="21"/>
                <w:highlight w:val="none"/>
              </w:rPr>
              <w:t>分，管护工</w:t>
            </w:r>
          </w:p>
          <w:p w14:paraId="4A68E429">
            <w:pPr>
              <w:pStyle w:val="247"/>
              <w:spacing w:before="60" w:line="221" w:lineRule="auto"/>
              <w:ind w:left="140"/>
              <w:rPr>
                <w:color w:val="auto"/>
                <w:sz w:val="21"/>
                <w:szCs w:val="21"/>
                <w:highlight w:val="none"/>
              </w:rPr>
            </w:pPr>
            <w:r>
              <w:rPr>
                <w:color w:val="auto"/>
                <w:spacing w:val="-1"/>
                <w:sz w:val="21"/>
                <w:szCs w:val="21"/>
                <w:highlight w:val="none"/>
              </w:rPr>
              <w:t>人不穿着安全警示服装每</w:t>
            </w:r>
          </w:p>
          <w:p w14:paraId="21B29B47">
            <w:pPr>
              <w:pStyle w:val="247"/>
              <w:spacing w:before="61" w:line="221" w:lineRule="auto"/>
              <w:ind w:left="144"/>
              <w:rPr>
                <w:color w:val="auto"/>
                <w:sz w:val="21"/>
                <w:szCs w:val="21"/>
                <w:highlight w:val="none"/>
              </w:rPr>
            </w:pPr>
            <w:r>
              <w:rPr>
                <w:color w:val="auto"/>
                <w:spacing w:val="-3"/>
                <w:sz w:val="21"/>
                <w:szCs w:val="21"/>
                <w:highlight w:val="none"/>
              </w:rPr>
              <w:t>次每人扣</w:t>
            </w:r>
            <w:r>
              <w:rPr>
                <w:color w:val="auto"/>
                <w:spacing w:val="-39"/>
                <w:sz w:val="21"/>
                <w:szCs w:val="21"/>
                <w:highlight w:val="none"/>
              </w:rPr>
              <w:t xml:space="preserve"> </w:t>
            </w:r>
            <w:r>
              <w:rPr>
                <w:color w:val="auto"/>
                <w:spacing w:val="-3"/>
                <w:sz w:val="21"/>
                <w:szCs w:val="21"/>
                <w:highlight w:val="none"/>
              </w:rPr>
              <w:t>0.5</w:t>
            </w:r>
            <w:r>
              <w:rPr>
                <w:color w:val="auto"/>
                <w:spacing w:val="-41"/>
                <w:sz w:val="21"/>
                <w:szCs w:val="21"/>
                <w:highlight w:val="none"/>
              </w:rPr>
              <w:t xml:space="preserve"> </w:t>
            </w:r>
            <w:r>
              <w:rPr>
                <w:color w:val="auto"/>
                <w:spacing w:val="-3"/>
                <w:sz w:val="21"/>
                <w:szCs w:val="21"/>
                <w:highlight w:val="none"/>
              </w:rPr>
              <w:t>分，不按要</w:t>
            </w:r>
          </w:p>
          <w:p w14:paraId="4EF9118D">
            <w:pPr>
              <w:pStyle w:val="247"/>
              <w:spacing w:before="60" w:line="221" w:lineRule="auto"/>
              <w:ind w:left="140"/>
              <w:rPr>
                <w:color w:val="auto"/>
                <w:sz w:val="21"/>
                <w:szCs w:val="21"/>
                <w:highlight w:val="none"/>
              </w:rPr>
            </w:pPr>
            <w:r>
              <w:rPr>
                <w:color w:val="auto"/>
                <w:spacing w:val="-2"/>
                <w:sz w:val="21"/>
                <w:szCs w:val="21"/>
                <w:highlight w:val="none"/>
              </w:rPr>
              <w:t>求安全作业，不得分。管</w:t>
            </w:r>
          </w:p>
          <w:p w14:paraId="00799B9C">
            <w:pPr>
              <w:pStyle w:val="247"/>
              <w:spacing w:before="62" w:line="220" w:lineRule="auto"/>
              <w:ind w:left="271"/>
              <w:rPr>
                <w:color w:val="auto"/>
                <w:sz w:val="21"/>
                <w:szCs w:val="21"/>
                <w:highlight w:val="none"/>
              </w:rPr>
            </w:pPr>
            <w:r>
              <w:rPr>
                <w:color w:val="auto"/>
                <w:spacing w:val="-2"/>
                <w:sz w:val="21"/>
                <w:szCs w:val="21"/>
                <w:highlight w:val="none"/>
              </w:rPr>
              <w:t>护例会迟到一次扣</w:t>
            </w:r>
            <w:r>
              <w:rPr>
                <w:color w:val="auto"/>
                <w:spacing w:val="-38"/>
                <w:sz w:val="21"/>
                <w:szCs w:val="21"/>
                <w:highlight w:val="none"/>
              </w:rPr>
              <w:t xml:space="preserve"> </w:t>
            </w:r>
            <w:r>
              <w:rPr>
                <w:color w:val="auto"/>
                <w:spacing w:val="-2"/>
                <w:sz w:val="21"/>
                <w:szCs w:val="21"/>
                <w:highlight w:val="none"/>
              </w:rPr>
              <w:t>0.5</w:t>
            </w:r>
          </w:p>
          <w:p w14:paraId="6F6972FA">
            <w:pPr>
              <w:pStyle w:val="247"/>
              <w:spacing w:before="61" w:line="221" w:lineRule="auto"/>
              <w:ind w:left="115"/>
              <w:rPr>
                <w:color w:val="auto"/>
                <w:sz w:val="21"/>
                <w:szCs w:val="21"/>
                <w:highlight w:val="none"/>
              </w:rPr>
            </w:pPr>
            <w:r>
              <w:rPr>
                <w:color w:val="auto"/>
                <w:spacing w:val="-13"/>
                <w:sz w:val="21"/>
                <w:szCs w:val="21"/>
                <w:highlight w:val="none"/>
              </w:rPr>
              <w:t>分；无故缺席一次扣</w:t>
            </w:r>
            <w:r>
              <w:rPr>
                <w:color w:val="auto"/>
                <w:spacing w:val="-25"/>
                <w:sz w:val="21"/>
                <w:szCs w:val="21"/>
                <w:highlight w:val="none"/>
              </w:rPr>
              <w:t xml:space="preserve"> </w:t>
            </w:r>
            <w:r>
              <w:rPr>
                <w:color w:val="auto"/>
                <w:spacing w:val="-13"/>
                <w:sz w:val="21"/>
                <w:szCs w:val="21"/>
                <w:highlight w:val="none"/>
              </w:rPr>
              <w:t>1</w:t>
            </w:r>
            <w:r>
              <w:rPr>
                <w:color w:val="auto"/>
                <w:spacing w:val="-44"/>
                <w:sz w:val="21"/>
                <w:szCs w:val="21"/>
                <w:highlight w:val="none"/>
              </w:rPr>
              <w:t xml:space="preserve"> </w:t>
            </w:r>
            <w:r>
              <w:rPr>
                <w:color w:val="auto"/>
                <w:spacing w:val="-13"/>
                <w:sz w:val="21"/>
                <w:szCs w:val="21"/>
                <w:highlight w:val="none"/>
              </w:rPr>
              <w:t>分；</w:t>
            </w:r>
          </w:p>
          <w:p w14:paraId="08FE7BBB">
            <w:pPr>
              <w:pStyle w:val="247"/>
              <w:spacing w:before="61" w:line="220" w:lineRule="auto"/>
              <w:ind w:left="272"/>
              <w:rPr>
                <w:color w:val="auto"/>
                <w:sz w:val="21"/>
                <w:szCs w:val="21"/>
                <w:highlight w:val="none"/>
              </w:rPr>
            </w:pPr>
            <w:r>
              <w:rPr>
                <w:color w:val="auto"/>
                <w:spacing w:val="-2"/>
                <w:sz w:val="21"/>
                <w:szCs w:val="21"/>
                <w:highlight w:val="none"/>
              </w:rPr>
              <w:t>无故替开会一次扣</w:t>
            </w:r>
            <w:r>
              <w:rPr>
                <w:color w:val="auto"/>
                <w:spacing w:val="-39"/>
                <w:sz w:val="21"/>
                <w:szCs w:val="21"/>
                <w:highlight w:val="none"/>
              </w:rPr>
              <w:t xml:space="preserve"> </w:t>
            </w:r>
            <w:r>
              <w:rPr>
                <w:color w:val="auto"/>
                <w:spacing w:val="-2"/>
                <w:sz w:val="21"/>
                <w:szCs w:val="21"/>
                <w:highlight w:val="none"/>
              </w:rPr>
              <w:t>0.5</w:t>
            </w:r>
          </w:p>
          <w:p w14:paraId="7917BC61">
            <w:pPr>
              <w:pStyle w:val="247"/>
              <w:spacing w:before="62" w:line="221" w:lineRule="auto"/>
              <w:ind w:left="141"/>
              <w:rPr>
                <w:color w:val="auto"/>
                <w:sz w:val="21"/>
                <w:szCs w:val="21"/>
                <w:highlight w:val="none"/>
              </w:rPr>
            </w:pPr>
            <w:r>
              <w:rPr>
                <w:color w:val="auto"/>
                <w:spacing w:val="-1"/>
                <w:sz w:val="21"/>
                <w:szCs w:val="21"/>
                <w:highlight w:val="none"/>
              </w:rPr>
              <w:t>分。养护管理责任人经常</w:t>
            </w:r>
          </w:p>
          <w:p w14:paraId="15592EEA">
            <w:pPr>
              <w:pStyle w:val="247"/>
              <w:spacing w:before="60" w:line="221" w:lineRule="auto"/>
              <w:ind w:left="138"/>
              <w:rPr>
                <w:color w:val="auto"/>
                <w:sz w:val="21"/>
                <w:szCs w:val="21"/>
                <w:highlight w:val="none"/>
              </w:rPr>
            </w:pPr>
            <w:r>
              <w:rPr>
                <w:color w:val="auto"/>
                <w:spacing w:val="-4"/>
                <w:sz w:val="21"/>
                <w:szCs w:val="21"/>
                <w:highlight w:val="none"/>
              </w:rPr>
              <w:t>变更不明确扣</w:t>
            </w:r>
            <w:r>
              <w:rPr>
                <w:color w:val="auto"/>
                <w:spacing w:val="-20"/>
                <w:sz w:val="21"/>
                <w:szCs w:val="21"/>
                <w:highlight w:val="none"/>
              </w:rPr>
              <w:t xml:space="preserve"> </w:t>
            </w:r>
            <w:r>
              <w:rPr>
                <w:color w:val="auto"/>
                <w:spacing w:val="-4"/>
                <w:sz w:val="21"/>
                <w:szCs w:val="21"/>
                <w:highlight w:val="none"/>
              </w:rPr>
              <w:t>1</w:t>
            </w:r>
            <w:r>
              <w:rPr>
                <w:color w:val="auto"/>
                <w:spacing w:val="-44"/>
                <w:sz w:val="21"/>
                <w:szCs w:val="21"/>
                <w:highlight w:val="none"/>
              </w:rPr>
              <w:t xml:space="preserve"> </w:t>
            </w:r>
            <w:r>
              <w:rPr>
                <w:color w:val="auto"/>
                <w:spacing w:val="-4"/>
                <w:sz w:val="21"/>
                <w:szCs w:val="21"/>
                <w:highlight w:val="none"/>
              </w:rPr>
              <w:t>分；通讯</w:t>
            </w:r>
          </w:p>
          <w:p w14:paraId="7BD3EF55">
            <w:pPr>
              <w:pStyle w:val="247"/>
              <w:spacing w:before="61" w:line="221" w:lineRule="auto"/>
              <w:ind w:left="115"/>
              <w:rPr>
                <w:color w:val="auto"/>
                <w:sz w:val="21"/>
                <w:szCs w:val="21"/>
                <w:highlight w:val="none"/>
              </w:rPr>
            </w:pPr>
            <w:r>
              <w:rPr>
                <w:color w:val="auto"/>
                <w:spacing w:val="-7"/>
                <w:sz w:val="21"/>
                <w:szCs w:val="21"/>
                <w:highlight w:val="none"/>
              </w:rPr>
              <w:t>不畅有一次扣</w:t>
            </w:r>
            <w:r>
              <w:rPr>
                <w:color w:val="auto"/>
                <w:spacing w:val="-24"/>
                <w:sz w:val="21"/>
                <w:szCs w:val="21"/>
                <w:highlight w:val="none"/>
              </w:rPr>
              <w:t xml:space="preserve"> </w:t>
            </w:r>
            <w:r>
              <w:rPr>
                <w:color w:val="auto"/>
                <w:spacing w:val="-7"/>
                <w:sz w:val="21"/>
                <w:szCs w:val="21"/>
                <w:highlight w:val="none"/>
              </w:rPr>
              <w:t>1</w:t>
            </w:r>
            <w:r>
              <w:rPr>
                <w:color w:val="auto"/>
                <w:spacing w:val="-43"/>
                <w:sz w:val="21"/>
                <w:szCs w:val="21"/>
                <w:highlight w:val="none"/>
              </w:rPr>
              <w:t xml:space="preserve"> </w:t>
            </w:r>
            <w:r>
              <w:rPr>
                <w:color w:val="auto"/>
                <w:spacing w:val="-7"/>
                <w:sz w:val="21"/>
                <w:szCs w:val="21"/>
                <w:highlight w:val="none"/>
              </w:rPr>
              <w:t>分。12345</w:t>
            </w:r>
          </w:p>
          <w:p w14:paraId="0F3086B5">
            <w:pPr>
              <w:pStyle w:val="247"/>
              <w:spacing w:before="61" w:line="221" w:lineRule="auto"/>
              <w:ind w:left="139"/>
              <w:rPr>
                <w:color w:val="auto"/>
                <w:sz w:val="21"/>
                <w:szCs w:val="21"/>
                <w:highlight w:val="none"/>
              </w:rPr>
            </w:pPr>
            <w:r>
              <w:rPr>
                <w:color w:val="auto"/>
                <w:spacing w:val="-1"/>
                <w:sz w:val="21"/>
                <w:szCs w:val="21"/>
                <w:highlight w:val="none"/>
              </w:rPr>
              <w:t>便民服务、市民来电投诉</w:t>
            </w:r>
          </w:p>
          <w:p w14:paraId="3E66F528">
            <w:pPr>
              <w:pStyle w:val="247"/>
              <w:spacing w:before="60" w:line="220" w:lineRule="auto"/>
              <w:ind w:left="140"/>
              <w:rPr>
                <w:color w:val="auto"/>
                <w:sz w:val="21"/>
                <w:szCs w:val="21"/>
                <w:highlight w:val="none"/>
              </w:rPr>
            </w:pPr>
            <w:r>
              <w:rPr>
                <w:color w:val="auto"/>
                <w:spacing w:val="-1"/>
                <w:sz w:val="21"/>
                <w:szCs w:val="21"/>
                <w:highlight w:val="none"/>
              </w:rPr>
              <w:t>经绿化科现场核实情况属</w:t>
            </w:r>
          </w:p>
          <w:p w14:paraId="3B96A421">
            <w:pPr>
              <w:pStyle w:val="247"/>
              <w:spacing w:before="65" w:line="221" w:lineRule="auto"/>
              <w:ind w:left="249"/>
              <w:rPr>
                <w:color w:val="auto"/>
                <w:sz w:val="21"/>
                <w:szCs w:val="21"/>
                <w:highlight w:val="none"/>
              </w:rPr>
            </w:pPr>
            <w:r>
              <w:rPr>
                <w:color w:val="auto"/>
                <w:spacing w:val="-7"/>
                <w:sz w:val="21"/>
                <w:szCs w:val="21"/>
                <w:highlight w:val="none"/>
              </w:rPr>
              <w:t>实的扣</w:t>
            </w:r>
            <w:r>
              <w:rPr>
                <w:color w:val="auto"/>
                <w:spacing w:val="-32"/>
                <w:sz w:val="21"/>
                <w:szCs w:val="21"/>
                <w:highlight w:val="none"/>
              </w:rPr>
              <w:t xml:space="preserve"> </w:t>
            </w:r>
            <w:r>
              <w:rPr>
                <w:color w:val="auto"/>
                <w:spacing w:val="-7"/>
                <w:sz w:val="21"/>
                <w:szCs w:val="21"/>
                <w:highlight w:val="none"/>
              </w:rPr>
              <w:t>0.5</w:t>
            </w:r>
            <w:r>
              <w:rPr>
                <w:color w:val="auto"/>
                <w:spacing w:val="-44"/>
                <w:sz w:val="21"/>
                <w:szCs w:val="21"/>
                <w:highlight w:val="none"/>
              </w:rPr>
              <w:t xml:space="preserve"> </w:t>
            </w:r>
            <w:r>
              <w:rPr>
                <w:color w:val="auto"/>
                <w:spacing w:val="-7"/>
                <w:sz w:val="21"/>
                <w:szCs w:val="21"/>
                <w:highlight w:val="none"/>
              </w:rPr>
              <w:t>分/次。当月因</w:t>
            </w:r>
            <w:r>
              <w:rPr>
                <w:color w:val="auto"/>
                <w:spacing w:val="-1"/>
                <w:sz w:val="21"/>
                <w:szCs w:val="21"/>
                <w:highlight w:val="none"/>
              </w:rPr>
              <w:t>管护不当收到整改通知</w:t>
            </w:r>
          </w:p>
          <w:p w14:paraId="0D5EAFDF">
            <w:pPr>
              <w:pStyle w:val="247"/>
              <w:spacing w:before="61" w:line="220" w:lineRule="auto"/>
              <w:ind w:left="118"/>
              <w:rPr>
                <w:color w:val="auto"/>
                <w:sz w:val="21"/>
                <w:szCs w:val="21"/>
                <w:highlight w:val="none"/>
              </w:rPr>
            </w:pPr>
            <w:r>
              <w:rPr>
                <w:color w:val="auto"/>
                <w:spacing w:val="-10"/>
                <w:sz w:val="21"/>
                <w:szCs w:val="21"/>
                <w:highlight w:val="none"/>
              </w:rPr>
              <w:t>（电话或书面）两次的扣</w:t>
            </w:r>
            <w:r>
              <w:rPr>
                <w:color w:val="auto"/>
                <w:spacing w:val="-26"/>
                <w:sz w:val="21"/>
                <w:szCs w:val="21"/>
                <w:highlight w:val="none"/>
              </w:rPr>
              <w:t xml:space="preserve"> </w:t>
            </w:r>
            <w:r>
              <w:rPr>
                <w:color w:val="auto"/>
                <w:spacing w:val="-10"/>
                <w:sz w:val="21"/>
                <w:szCs w:val="21"/>
                <w:highlight w:val="none"/>
              </w:rPr>
              <w:t>1</w:t>
            </w:r>
          </w:p>
          <w:p w14:paraId="11D8F399">
            <w:pPr>
              <w:pStyle w:val="247"/>
              <w:spacing w:before="62" w:line="221" w:lineRule="auto"/>
              <w:ind w:left="117"/>
              <w:rPr>
                <w:color w:val="auto"/>
                <w:sz w:val="21"/>
                <w:szCs w:val="21"/>
                <w:highlight w:val="none"/>
              </w:rPr>
            </w:pPr>
            <w:r>
              <w:rPr>
                <w:color w:val="auto"/>
                <w:spacing w:val="-4"/>
                <w:sz w:val="21"/>
                <w:szCs w:val="21"/>
                <w:highlight w:val="none"/>
              </w:rPr>
              <w:t>分，以此类推。</w:t>
            </w:r>
          </w:p>
        </w:tc>
      </w:tr>
      <w:tr w14:paraId="3896B934">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5" w:hRule="atLeast"/>
        </w:trPr>
        <w:tc>
          <w:tcPr>
            <w:tcW w:w="766" w:type="dxa"/>
            <w:vMerge w:val="continue"/>
            <w:tcBorders>
              <w:top w:val="nil"/>
              <w:bottom w:val="nil"/>
            </w:tcBorders>
            <w:vAlign w:val="top"/>
          </w:tcPr>
          <w:p w14:paraId="276FEAC3">
            <w:pPr>
              <w:rPr>
                <w:rFonts w:ascii="Arial"/>
                <w:color w:val="auto"/>
                <w:sz w:val="21"/>
                <w:highlight w:val="none"/>
              </w:rPr>
            </w:pPr>
          </w:p>
        </w:tc>
        <w:tc>
          <w:tcPr>
            <w:tcW w:w="553" w:type="dxa"/>
            <w:vMerge w:val="continue"/>
            <w:tcBorders>
              <w:top w:val="nil"/>
              <w:bottom w:val="nil"/>
            </w:tcBorders>
            <w:vAlign w:val="top"/>
          </w:tcPr>
          <w:p w14:paraId="2FDA3344">
            <w:pPr>
              <w:rPr>
                <w:rFonts w:ascii="Arial"/>
                <w:color w:val="auto"/>
                <w:sz w:val="21"/>
                <w:highlight w:val="none"/>
              </w:rPr>
            </w:pPr>
          </w:p>
        </w:tc>
        <w:tc>
          <w:tcPr>
            <w:tcW w:w="1024" w:type="dxa"/>
            <w:vMerge w:val="continue"/>
            <w:tcBorders>
              <w:top w:val="nil"/>
              <w:bottom w:val="nil"/>
            </w:tcBorders>
            <w:vAlign w:val="top"/>
          </w:tcPr>
          <w:p w14:paraId="5E095101">
            <w:pPr>
              <w:rPr>
                <w:rFonts w:ascii="Arial"/>
                <w:color w:val="auto"/>
                <w:sz w:val="21"/>
                <w:highlight w:val="none"/>
              </w:rPr>
            </w:pPr>
          </w:p>
        </w:tc>
        <w:tc>
          <w:tcPr>
            <w:tcW w:w="707" w:type="dxa"/>
            <w:vAlign w:val="top"/>
          </w:tcPr>
          <w:p w14:paraId="5E09A8AD">
            <w:pPr>
              <w:spacing w:line="453" w:lineRule="auto"/>
              <w:rPr>
                <w:rFonts w:ascii="Arial"/>
                <w:color w:val="auto"/>
                <w:sz w:val="21"/>
                <w:highlight w:val="none"/>
              </w:rPr>
            </w:pPr>
          </w:p>
          <w:p w14:paraId="747CB028">
            <w:pPr>
              <w:pStyle w:val="247"/>
              <w:spacing w:before="68" w:line="241" w:lineRule="auto"/>
              <w:ind w:left="247"/>
              <w:rPr>
                <w:color w:val="auto"/>
                <w:sz w:val="21"/>
                <w:szCs w:val="21"/>
                <w:highlight w:val="none"/>
              </w:rPr>
            </w:pPr>
            <w:r>
              <w:rPr>
                <w:color w:val="auto"/>
                <w:spacing w:val="-3"/>
                <w:sz w:val="21"/>
                <w:szCs w:val="21"/>
                <w:highlight w:val="none"/>
              </w:rPr>
              <w:t>23</w:t>
            </w:r>
          </w:p>
        </w:tc>
        <w:tc>
          <w:tcPr>
            <w:tcW w:w="2478" w:type="dxa"/>
            <w:vAlign w:val="top"/>
          </w:tcPr>
          <w:p w14:paraId="791DA424">
            <w:pPr>
              <w:pStyle w:val="247"/>
              <w:spacing w:before="55" w:line="221" w:lineRule="auto"/>
              <w:ind w:left="299"/>
              <w:rPr>
                <w:color w:val="auto"/>
                <w:sz w:val="21"/>
                <w:szCs w:val="21"/>
                <w:highlight w:val="none"/>
              </w:rPr>
            </w:pPr>
            <w:r>
              <w:rPr>
                <w:color w:val="auto"/>
                <w:spacing w:val="-2"/>
                <w:sz w:val="21"/>
                <w:szCs w:val="21"/>
                <w:highlight w:val="none"/>
              </w:rPr>
              <w:t>统一穿着安全警示服</w:t>
            </w:r>
          </w:p>
          <w:p w14:paraId="240A27C1">
            <w:pPr>
              <w:pStyle w:val="247"/>
              <w:spacing w:before="60" w:line="221" w:lineRule="auto"/>
              <w:ind w:left="106"/>
              <w:rPr>
                <w:color w:val="auto"/>
                <w:sz w:val="21"/>
                <w:szCs w:val="21"/>
                <w:highlight w:val="none"/>
              </w:rPr>
            </w:pPr>
            <w:r>
              <w:rPr>
                <w:color w:val="auto"/>
                <w:spacing w:val="-5"/>
                <w:sz w:val="21"/>
                <w:szCs w:val="21"/>
                <w:highlight w:val="none"/>
              </w:rPr>
              <w:t>装、标志上岗，严格按安</w:t>
            </w:r>
          </w:p>
          <w:p w14:paraId="06E3E813">
            <w:pPr>
              <w:pStyle w:val="247"/>
              <w:spacing w:before="60" w:line="221" w:lineRule="auto"/>
              <w:ind w:left="188"/>
              <w:rPr>
                <w:color w:val="auto"/>
                <w:sz w:val="21"/>
                <w:szCs w:val="21"/>
                <w:highlight w:val="none"/>
              </w:rPr>
            </w:pPr>
            <w:r>
              <w:rPr>
                <w:color w:val="auto"/>
                <w:spacing w:val="-1"/>
                <w:sz w:val="21"/>
                <w:szCs w:val="21"/>
                <w:highlight w:val="none"/>
              </w:rPr>
              <w:t>全生产操作流程组织作</w:t>
            </w:r>
          </w:p>
          <w:p w14:paraId="061ABAD8">
            <w:pPr>
              <w:pStyle w:val="247"/>
              <w:spacing w:before="60" w:line="221" w:lineRule="auto"/>
              <w:ind w:left="293"/>
              <w:rPr>
                <w:color w:val="auto"/>
                <w:sz w:val="21"/>
                <w:szCs w:val="21"/>
                <w:highlight w:val="none"/>
              </w:rPr>
            </w:pPr>
            <w:r>
              <w:rPr>
                <w:color w:val="auto"/>
                <w:spacing w:val="-3"/>
                <w:sz w:val="21"/>
                <w:szCs w:val="21"/>
                <w:highlight w:val="none"/>
              </w:rPr>
              <w:t>业，养护管理规范。</w:t>
            </w:r>
          </w:p>
        </w:tc>
        <w:tc>
          <w:tcPr>
            <w:tcW w:w="740" w:type="dxa"/>
            <w:vAlign w:val="top"/>
          </w:tcPr>
          <w:p w14:paraId="3CE018A9">
            <w:pPr>
              <w:spacing w:line="453" w:lineRule="auto"/>
              <w:rPr>
                <w:rFonts w:ascii="Arial"/>
                <w:color w:val="auto"/>
                <w:sz w:val="21"/>
                <w:highlight w:val="none"/>
              </w:rPr>
            </w:pPr>
          </w:p>
          <w:p w14:paraId="29FC2FA6">
            <w:pPr>
              <w:pStyle w:val="247"/>
              <w:spacing w:before="68" w:line="242" w:lineRule="auto"/>
              <w:ind w:left="335"/>
              <w:rPr>
                <w:color w:val="auto"/>
                <w:sz w:val="21"/>
                <w:szCs w:val="21"/>
                <w:highlight w:val="none"/>
              </w:rPr>
            </w:pPr>
            <w:r>
              <w:rPr>
                <w:color w:val="auto"/>
                <w:sz w:val="21"/>
                <w:szCs w:val="21"/>
                <w:highlight w:val="none"/>
              </w:rPr>
              <w:t>1</w:t>
            </w:r>
          </w:p>
        </w:tc>
        <w:tc>
          <w:tcPr>
            <w:tcW w:w="2586" w:type="dxa"/>
            <w:vMerge w:val="continue"/>
            <w:tcBorders>
              <w:top w:val="nil"/>
              <w:bottom w:val="nil"/>
            </w:tcBorders>
            <w:vAlign w:val="top"/>
          </w:tcPr>
          <w:p w14:paraId="3415EB93">
            <w:pPr>
              <w:rPr>
                <w:rFonts w:ascii="Arial"/>
                <w:color w:val="auto"/>
                <w:sz w:val="21"/>
                <w:highlight w:val="none"/>
              </w:rPr>
            </w:pPr>
          </w:p>
        </w:tc>
      </w:tr>
      <w:tr w14:paraId="5920EF49">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47" w:hRule="atLeast"/>
        </w:trPr>
        <w:tc>
          <w:tcPr>
            <w:tcW w:w="766" w:type="dxa"/>
            <w:vMerge w:val="continue"/>
            <w:tcBorders>
              <w:top w:val="nil"/>
              <w:bottom w:val="nil"/>
            </w:tcBorders>
            <w:vAlign w:val="top"/>
          </w:tcPr>
          <w:p w14:paraId="4E1BC0B1">
            <w:pPr>
              <w:rPr>
                <w:rFonts w:ascii="Arial"/>
                <w:color w:val="auto"/>
                <w:sz w:val="21"/>
                <w:highlight w:val="none"/>
              </w:rPr>
            </w:pPr>
          </w:p>
        </w:tc>
        <w:tc>
          <w:tcPr>
            <w:tcW w:w="553" w:type="dxa"/>
            <w:vMerge w:val="continue"/>
            <w:tcBorders>
              <w:top w:val="nil"/>
              <w:bottom w:val="nil"/>
            </w:tcBorders>
            <w:vAlign w:val="top"/>
          </w:tcPr>
          <w:p w14:paraId="0B98D364">
            <w:pPr>
              <w:rPr>
                <w:rFonts w:ascii="Arial"/>
                <w:color w:val="auto"/>
                <w:sz w:val="21"/>
                <w:highlight w:val="none"/>
              </w:rPr>
            </w:pPr>
          </w:p>
        </w:tc>
        <w:tc>
          <w:tcPr>
            <w:tcW w:w="1024" w:type="dxa"/>
            <w:vMerge w:val="continue"/>
            <w:tcBorders>
              <w:top w:val="nil"/>
              <w:bottom w:val="nil"/>
            </w:tcBorders>
            <w:vAlign w:val="top"/>
          </w:tcPr>
          <w:p w14:paraId="11389432">
            <w:pPr>
              <w:rPr>
                <w:rFonts w:ascii="Arial"/>
                <w:color w:val="auto"/>
                <w:sz w:val="21"/>
                <w:highlight w:val="none"/>
              </w:rPr>
            </w:pPr>
          </w:p>
        </w:tc>
        <w:tc>
          <w:tcPr>
            <w:tcW w:w="707" w:type="dxa"/>
            <w:vAlign w:val="top"/>
          </w:tcPr>
          <w:p w14:paraId="291EEB83">
            <w:pPr>
              <w:spacing w:line="298" w:lineRule="auto"/>
              <w:rPr>
                <w:rFonts w:ascii="Arial"/>
                <w:color w:val="auto"/>
                <w:sz w:val="21"/>
                <w:highlight w:val="none"/>
              </w:rPr>
            </w:pPr>
          </w:p>
          <w:p w14:paraId="53AAF64C">
            <w:pPr>
              <w:pStyle w:val="247"/>
              <w:spacing w:before="68" w:line="242" w:lineRule="auto"/>
              <w:ind w:left="247"/>
              <w:rPr>
                <w:color w:val="auto"/>
                <w:sz w:val="21"/>
                <w:szCs w:val="21"/>
                <w:highlight w:val="none"/>
              </w:rPr>
            </w:pPr>
            <w:r>
              <w:rPr>
                <w:color w:val="auto"/>
                <w:spacing w:val="-3"/>
                <w:sz w:val="21"/>
                <w:szCs w:val="21"/>
                <w:highlight w:val="none"/>
              </w:rPr>
              <w:t>24</w:t>
            </w:r>
          </w:p>
        </w:tc>
        <w:tc>
          <w:tcPr>
            <w:tcW w:w="2478" w:type="dxa"/>
            <w:vAlign w:val="top"/>
          </w:tcPr>
          <w:p w14:paraId="6D2F364D">
            <w:pPr>
              <w:pStyle w:val="247"/>
              <w:spacing w:before="212" w:line="276" w:lineRule="auto"/>
              <w:ind w:left="294" w:right="96" w:hanging="186"/>
              <w:rPr>
                <w:color w:val="auto"/>
                <w:sz w:val="21"/>
                <w:szCs w:val="21"/>
                <w:highlight w:val="none"/>
              </w:rPr>
            </w:pPr>
            <w:r>
              <w:rPr>
                <w:color w:val="auto"/>
                <w:spacing w:val="-5"/>
                <w:sz w:val="21"/>
                <w:szCs w:val="21"/>
                <w:highlight w:val="none"/>
              </w:rPr>
              <w:t>按要求准时参加会议、活</w:t>
            </w:r>
            <w:r>
              <w:rPr>
                <w:color w:val="auto"/>
                <w:spacing w:val="-3"/>
                <w:sz w:val="21"/>
                <w:szCs w:val="21"/>
                <w:highlight w:val="none"/>
              </w:rPr>
              <w:t>动及各类业务培训。</w:t>
            </w:r>
          </w:p>
        </w:tc>
        <w:tc>
          <w:tcPr>
            <w:tcW w:w="740" w:type="dxa"/>
            <w:vAlign w:val="top"/>
          </w:tcPr>
          <w:p w14:paraId="2FDD19D0">
            <w:pPr>
              <w:spacing w:line="298" w:lineRule="auto"/>
              <w:rPr>
                <w:rFonts w:ascii="Arial"/>
                <w:color w:val="auto"/>
                <w:sz w:val="21"/>
                <w:highlight w:val="none"/>
              </w:rPr>
            </w:pPr>
          </w:p>
          <w:p w14:paraId="38FBDF36">
            <w:pPr>
              <w:pStyle w:val="247"/>
              <w:spacing w:before="68" w:line="242" w:lineRule="auto"/>
              <w:ind w:left="335"/>
              <w:rPr>
                <w:color w:val="auto"/>
                <w:sz w:val="21"/>
                <w:szCs w:val="21"/>
                <w:highlight w:val="none"/>
              </w:rPr>
            </w:pPr>
            <w:r>
              <w:rPr>
                <w:color w:val="auto"/>
                <w:sz w:val="21"/>
                <w:szCs w:val="21"/>
                <w:highlight w:val="none"/>
              </w:rPr>
              <w:t>1</w:t>
            </w:r>
          </w:p>
        </w:tc>
        <w:tc>
          <w:tcPr>
            <w:tcW w:w="2586" w:type="dxa"/>
            <w:vMerge w:val="continue"/>
            <w:tcBorders>
              <w:top w:val="nil"/>
              <w:bottom w:val="nil"/>
            </w:tcBorders>
            <w:vAlign w:val="top"/>
          </w:tcPr>
          <w:p w14:paraId="35575231">
            <w:pPr>
              <w:rPr>
                <w:rFonts w:ascii="Arial"/>
                <w:color w:val="auto"/>
                <w:sz w:val="21"/>
                <w:highlight w:val="none"/>
              </w:rPr>
            </w:pPr>
          </w:p>
        </w:tc>
      </w:tr>
      <w:tr w14:paraId="7D7DA67B">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70" w:hRule="atLeast"/>
        </w:trPr>
        <w:tc>
          <w:tcPr>
            <w:tcW w:w="766" w:type="dxa"/>
            <w:vMerge w:val="continue"/>
            <w:tcBorders>
              <w:top w:val="nil"/>
              <w:bottom w:val="nil"/>
            </w:tcBorders>
            <w:vAlign w:val="top"/>
          </w:tcPr>
          <w:p w14:paraId="7CE96CEA">
            <w:pPr>
              <w:rPr>
                <w:rFonts w:ascii="Arial"/>
                <w:color w:val="auto"/>
                <w:sz w:val="21"/>
                <w:highlight w:val="none"/>
              </w:rPr>
            </w:pPr>
          </w:p>
        </w:tc>
        <w:tc>
          <w:tcPr>
            <w:tcW w:w="553" w:type="dxa"/>
            <w:vMerge w:val="continue"/>
            <w:tcBorders>
              <w:top w:val="nil"/>
              <w:bottom w:val="nil"/>
            </w:tcBorders>
            <w:vAlign w:val="top"/>
          </w:tcPr>
          <w:p w14:paraId="3454FC6C">
            <w:pPr>
              <w:rPr>
                <w:rFonts w:ascii="Arial"/>
                <w:color w:val="auto"/>
                <w:sz w:val="21"/>
                <w:highlight w:val="none"/>
              </w:rPr>
            </w:pPr>
          </w:p>
        </w:tc>
        <w:tc>
          <w:tcPr>
            <w:tcW w:w="1024" w:type="dxa"/>
            <w:vMerge w:val="continue"/>
            <w:tcBorders>
              <w:top w:val="nil"/>
              <w:bottom w:val="nil"/>
            </w:tcBorders>
            <w:vAlign w:val="top"/>
          </w:tcPr>
          <w:p w14:paraId="2CB11E6D">
            <w:pPr>
              <w:rPr>
                <w:rFonts w:ascii="Arial"/>
                <w:color w:val="auto"/>
                <w:sz w:val="21"/>
                <w:highlight w:val="none"/>
              </w:rPr>
            </w:pPr>
          </w:p>
        </w:tc>
        <w:tc>
          <w:tcPr>
            <w:tcW w:w="707" w:type="dxa"/>
            <w:vAlign w:val="top"/>
          </w:tcPr>
          <w:p w14:paraId="7300D757">
            <w:pPr>
              <w:spacing w:line="310" w:lineRule="auto"/>
              <w:rPr>
                <w:rFonts w:ascii="Arial"/>
                <w:color w:val="auto"/>
                <w:sz w:val="21"/>
                <w:highlight w:val="none"/>
              </w:rPr>
            </w:pPr>
          </w:p>
          <w:p w14:paraId="439D98A0">
            <w:pPr>
              <w:pStyle w:val="247"/>
              <w:spacing w:before="68" w:line="241" w:lineRule="auto"/>
              <w:ind w:left="247"/>
              <w:rPr>
                <w:color w:val="auto"/>
                <w:sz w:val="21"/>
                <w:szCs w:val="21"/>
                <w:highlight w:val="none"/>
              </w:rPr>
            </w:pPr>
            <w:r>
              <w:rPr>
                <w:color w:val="auto"/>
                <w:spacing w:val="-3"/>
                <w:sz w:val="21"/>
                <w:szCs w:val="21"/>
                <w:highlight w:val="none"/>
              </w:rPr>
              <w:t>25</w:t>
            </w:r>
          </w:p>
        </w:tc>
        <w:tc>
          <w:tcPr>
            <w:tcW w:w="2478" w:type="dxa"/>
            <w:vAlign w:val="top"/>
          </w:tcPr>
          <w:p w14:paraId="2C0F9A2E">
            <w:pPr>
              <w:pStyle w:val="247"/>
              <w:spacing w:before="69" w:line="261" w:lineRule="auto"/>
              <w:ind w:left="108" w:right="96" w:hanging="1"/>
              <w:jc w:val="both"/>
              <w:rPr>
                <w:color w:val="auto"/>
                <w:sz w:val="21"/>
                <w:szCs w:val="21"/>
                <w:highlight w:val="none"/>
              </w:rPr>
            </w:pPr>
            <w:r>
              <w:rPr>
                <w:color w:val="auto"/>
                <w:spacing w:val="-5"/>
                <w:sz w:val="21"/>
                <w:szCs w:val="21"/>
                <w:highlight w:val="none"/>
              </w:rPr>
              <w:t>养护管理负责人到位，通讯畅通，工作群各类通知</w:t>
            </w:r>
            <w:r>
              <w:rPr>
                <w:color w:val="auto"/>
                <w:spacing w:val="7"/>
                <w:sz w:val="21"/>
                <w:szCs w:val="21"/>
                <w:highlight w:val="none"/>
              </w:rPr>
              <w:t>说明及时收取、回复。</w:t>
            </w:r>
          </w:p>
        </w:tc>
        <w:tc>
          <w:tcPr>
            <w:tcW w:w="740" w:type="dxa"/>
            <w:vAlign w:val="top"/>
          </w:tcPr>
          <w:p w14:paraId="24CF1A54">
            <w:pPr>
              <w:spacing w:line="310" w:lineRule="auto"/>
              <w:rPr>
                <w:rFonts w:ascii="Arial"/>
                <w:color w:val="auto"/>
                <w:sz w:val="21"/>
                <w:highlight w:val="none"/>
              </w:rPr>
            </w:pPr>
          </w:p>
          <w:p w14:paraId="69C2924B">
            <w:pPr>
              <w:pStyle w:val="247"/>
              <w:spacing w:before="68" w:line="242" w:lineRule="auto"/>
              <w:ind w:left="335"/>
              <w:rPr>
                <w:color w:val="auto"/>
                <w:sz w:val="21"/>
                <w:szCs w:val="21"/>
                <w:highlight w:val="none"/>
              </w:rPr>
            </w:pPr>
            <w:r>
              <w:rPr>
                <w:color w:val="auto"/>
                <w:sz w:val="21"/>
                <w:szCs w:val="21"/>
                <w:highlight w:val="none"/>
              </w:rPr>
              <w:t>1</w:t>
            </w:r>
          </w:p>
        </w:tc>
        <w:tc>
          <w:tcPr>
            <w:tcW w:w="2586" w:type="dxa"/>
            <w:vMerge w:val="continue"/>
            <w:tcBorders>
              <w:top w:val="nil"/>
              <w:bottom w:val="nil"/>
            </w:tcBorders>
            <w:vAlign w:val="top"/>
          </w:tcPr>
          <w:p w14:paraId="089D6FA0">
            <w:pPr>
              <w:rPr>
                <w:rFonts w:ascii="Arial"/>
                <w:color w:val="auto"/>
                <w:sz w:val="21"/>
                <w:highlight w:val="none"/>
              </w:rPr>
            </w:pPr>
          </w:p>
        </w:tc>
      </w:tr>
      <w:tr w14:paraId="74AA9594">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145" w:hRule="atLeast"/>
        </w:trPr>
        <w:tc>
          <w:tcPr>
            <w:tcW w:w="766" w:type="dxa"/>
            <w:vMerge w:val="continue"/>
            <w:tcBorders>
              <w:top w:val="nil"/>
            </w:tcBorders>
            <w:vAlign w:val="top"/>
          </w:tcPr>
          <w:p w14:paraId="44E4E25A">
            <w:pPr>
              <w:rPr>
                <w:rFonts w:ascii="Arial"/>
                <w:color w:val="auto"/>
                <w:sz w:val="21"/>
                <w:highlight w:val="none"/>
              </w:rPr>
            </w:pPr>
          </w:p>
        </w:tc>
        <w:tc>
          <w:tcPr>
            <w:tcW w:w="553" w:type="dxa"/>
            <w:vMerge w:val="continue"/>
            <w:tcBorders>
              <w:top w:val="nil"/>
            </w:tcBorders>
            <w:vAlign w:val="top"/>
          </w:tcPr>
          <w:p w14:paraId="091F5EA5">
            <w:pPr>
              <w:rPr>
                <w:rFonts w:ascii="Arial"/>
                <w:color w:val="auto"/>
                <w:sz w:val="21"/>
                <w:highlight w:val="none"/>
              </w:rPr>
            </w:pPr>
          </w:p>
        </w:tc>
        <w:tc>
          <w:tcPr>
            <w:tcW w:w="1024" w:type="dxa"/>
            <w:vMerge w:val="continue"/>
            <w:tcBorders>
              <w:top w:val="nil"/>
            </w:tcBorders>
            <w:vAlign w:val="top"/>
          </w:tcPr>
          <w:p w14:paraId="5F225478">
            <w:pPr>
              <w:rPr>
                <w:rFonts w:ascii="Arial"/>
                <w:color w:val="auto"/>
                <w:sz w:val="21"/>
                <w:highlight w:val="none"/>
              </w:rPr>
            </w:pPr>
          </w:p>
        </w:tc>
        <w:tc>
          <w:tcPr>
            <w:tcW w:w="707" w:type="dxa"/>
            <w:vAlign w:val="top"/>
          </w:tcPr>
          <w:p w14:paraId="48F470F1">
            <w:pPr>
              <w:spacing w:line="392" w:lineRule="auto"/>
              <w:rPr>
                <w:rFonts w:ascii="Arial"/>
                <w:color w:val="auto"/>
                <w:sz w:val="21"/>
                <w:highlight w:val="none"/>
              </w:rPr>
            </w:pPr>
          </w:p>
          <w:p w14:paraId="16C7C626">
            <w:pPr>
              <w:pStyle w:val="247"/>
              <w:spacing w:before="68" w:line="241" w:lineRule="auto"/>
              <w:ind w:left="247"/>
              <w:rPr>
                <w:color w:val="auto"/>
                <w:sz w:val="21"/>
                <w:szCs w:val="21"/>
                <w:highlight w:val="none"/>
              </w:rPr>
            </w:pPr>
            <w:r>
              <w:rPr>
                <w:color w:val="auto"/>
                <w:spacing w:val="-3"/>
                <w:sz w:val="21"/>
                <w:szCs w:val="21"/>
                <w:highlight w:val="none"/>
              </w:rPr>
              <w:t>26</w:t>
            </w:r>
          </w:p>
        </w:tc>
        <w:tc>
          <w:tcPr>
            <w:tcW w:w="2478" w:type="dxa"/>
            <w:vAlign w:val="top"/>
          </w:tcPr>
          <w:p w14:paraId="2A473666">
            <w:pPr>
              <w:pStyle w:val="247"/>
              <w:spacing w:before="308" w:line="276" w:lineRule="auto"/>
              <w:ind w:left="411" w:right="179" w:hanging="221"/>
              <w:rPr>
                <w:color w:val="auto"/>
                <w:sz w:val="21"/>
                <w:szCs w:val="21"/>
                <w:highlight w:val="none"/>
              </w:rPr>
            </w:pPr>
            <w:r>
              <w:rPr>
                <w:color w:val="auto"/>
                <w:spacing w:val="-1"/>
                <w:sz w:val="21"/>
                <w:szCs w:val="21"/>
                <w:highlight w:val="none"/>
              </w:rPr>
              <w:t>上级领导及相关部门反</w:t>
            </w:r>
            <w:r>
              <w:rPr>
                <w:color w:val="auto"/>
                <w:spacing w:val="-3"/>
                <w:sz w:val="21"/>
                <w:szCs w:val="21"/>
                <w:highlight w:val="none"/>
              </w:rPr>
              <w:t>映管护存在问题。</w:t>
            </w:r>
          </w:p>
        </w:tc>
        <w:tc>
          <w:tcPr>
            <w:tcW w:w="740" w:type="dxa"/>
            <w:vAlign w:val="top"/>
          </w:tcPr>
          <w:p w14:paraId="220170FC">
            <w:pPr>
              <w:spacing w:line="393" w:lineRule="auto"/>
              <w:rPr>
                <w:rFonts w:ascii="Arial"/>
                <w:color w:val="auto"/>
                <w:sz w:val="21"/>
                <w:highlight w:val="none"/>
              </w:rPr>
            </w:pPr>
          </w:p>
          <w:p w14:paraId="333FFF93">
            <w:pPr>
              <w:pStyle w:val="247"/>
              <w:spacing w:before="68" w:line="242" w:lineRule="auto"/>
              <w:ind w:left="335"/>
              <w:rPr>
                <w:color w:val="auto"/>
                <w:sz w:val="21"/>
                <w:szCs w:val="21"/>
                <w:highlight w:val="none"/>
              </w:rPr>
            </w:pPr>
            <w:r>
              <w:rPr>
                <w:color w:val="auto"/>
                <w:sz w:val="21"/>
                <w:szCs w:val="21"/>
                <w:highlight w:val="none"/>
              </w:rPr>
              <w:t>1</w:t>
            </w:r>
          </w:p>
        </w:tc>
        <w:tc>
          <w:tcPr>
            <w:tcW w:w="2586" w:type="dxa"/>
            <w:vMerge w:val="continue"/>
            <w:tcBorders>
              <w:top w:val="nil"/>
            </w:tcBorders>
            <w:vAlign w:val="top"/>
          </w:tcPr>
          <w:p w14:paraId="74A288AB">
            <w:pPr>
              <w:rPr>
                <w:rFonts w:ascii="Arial"/>
                <w:color w:val="auto"/>
                <w:sz w:val="21"/>
                <w:highlight w:val="none"/>
              </w:rPr>
            </w:pPr>
          </w:p>
        </w:tc>
      </w:tr>
    </w:tbl>
    <w:p w14:paraId="4DBC5C20">
      <w:pPr>
        <w:pStyle w:val="56"/>
        <w:rPr>
          <w:rFonts w:hint="default" w:eastAsia="宋体"/>
          <w:color w:val="auto"/>
          <w:highlight w:val="none"/>
          <w:lang w:val="en-US" w:eastAsia="zh-CN"/>
        </w:rPr>
      </w:pPr>
    </w:p>
    <w:p w14:paraId="7363C8A3">
      <w:pPr>
        <w:spacing w:line="440" w:lineRule="exact"/>
        <w:ind w:firstLine="482" w:firstLineChars="200"/>
        <w:rPr>
          <w:rFonts w:ascii="Times New Roman" w:hAnsi="Times New Roman" w:eastAsia="宋体" w:cs="Times New Roman"/>
          <w:b/>
          <w:bCs/>
          <w:color w:val="auto"/>
          <w:sz w:val="24"/>
          <w:szCs w:val="24"/>
          <w:highlight w:val="none"/>
          <w:lang w:val="zh-CN"/>
        </w:rPr>
      </w:pPr>
    </w:p>
    <w:p w14:paraId="1A1458F0">
      <w:pPr>
        <w:rPr>
          <w:color w:val="auto"/>
          <w:highlight w:val="none"/>
        </w:rPr>
      </w:pPr>
    </w:p>
    <w:p w14:paraId="4FF1F1F2">
      <w:pPr>
        <w:rPr>
          <w:color w:val="auto"/>
          <w:highlight w:val="none"/>
        </w:rPr>
      </w:pPr>
    </w:p>
    <w:p w14:paraId="74D6C1A2">
      <w:pPr>
        <w:rPr>
          <w:color w:val="auto"/>
          <w:highlight w:val="none"/>
        </w:rPr>
      </w:pPr>
    </w:p>
    <w:p w14:paraId="47DB00B7">
      <w:pPr>
        <w:rPr>
          <w:rFonts w:hint="eastAsia" w:asciiTheme="minorEastAsia" w:hAnsiTheme="minorEastAsia" w:eastAsiaTheme="minorEastAsia" w:cstheme="minorEastAsia"/>
          <w:color w:val="auto"/>
          <w:highlight w:val="none"/>
        </w:rPr>
      </w:pPr>
      <w:bookmarkStart w:id="152" w:name="_Toc109304975"/>
      <w:r>
        <w:rPr>
          <w:rFonts w:hint="eastAsia" w:asciiTheme="minorEastAsia" w:hAnsiTheme="minorEastAsia" w:eastAsiaTheme="minorEastAsia" w:cstheme="minorEastAsia"/>
          <w:color w:val="auto"/>
          <w:highlight w:val="none"/>
        </w:rPr>
        <w:br w:type="page"/>
      </w:r>
    </w:p>
    <w:p w14:paraId="7A0231C9">
      <w:pPr>
        <w:pStyle w:val="2"/>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第五章 评审方法及评审标准</w:t>
      </w:r>
      <w:bookmarkEnd w:id="1"/>
      <w:bookmarkEnd w:id="152"/>
    </w:p>
    <w:p w14:paraId="418B307A">
      <w:pPr>
        <w:pStyle w:val="226"/>
        <w:ind w:firstLine="42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一、评审方法</w:t>
      </w:r>
    </w:p>
    <w:p w14:paraId="66A7C39B">
      <w:pPr>
        <w:spacing w:line="360" w:lineRule="auto"/>
        <w:ind w:firstLine="42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75133699">
      <w:pPr>
        <w:spacing w:line="360" w:lineRule="auto"/>
        <w:ind w:firstLine="422"/>
        <w:rPr>
          <w:rFonts w:asciiTheme="minorEastAsia" w:hAnsiTheme="minorEastAsia" w:eastAsiaTheme="minorEastAsia" w:cstheme="minorEastAsia"/>
          <w:b/>
          <w:color w:val="auto"/>
          <w:sz w:val="24"/>
          <w:szCs w:val="24"/>
          <w:highlight w:val="none"/>
        </w:rPr>
      </w:pPr>
      <w:bookmarkStart w:id="153" w:name="_Toc449017024"/>
      <w:bookmarkStart w:id="154" w:name="_Toc449016388"/>
      <w:r>
        <w:rPr>
          <w:rFonts w:hint="eastAsia" w:asciiTheme="minorEastAsia" w:hAnsiTheme="minorEastAsia" w:eastAsiaTheme="minorEastAsia" w:cstheme="minorEastAsia"/>
          <w:b/>
          <w:color w:val="auto"/>
          <w:sz w:val="24"/>
          <w:szCs w:val="24"/>
          <w:highlight w:val="none"/>
        </w:rPr>
        <w:t>二、政府采购政策功能落实</w:t>
      </w:r>
      <w:bookmarkEnd w:id="153"/>
      <w:bookmarkEnd w:id="154"/>
    </w:p>
    <w:p w14:paraId="075DBF03">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501C976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1、本项目专门面向中小企业采购</w:t>
      </w:r>
    </w:p>
    <w:p w14:paraId="309413E1">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（1）供应商需按照采购文件的要求提供相应的《中小企业声明函》，《中小企业声明函》不符合要求或未提供的，投标文件无效。</w:t>
      </w:r>
    </w:p>
    <w:p w14:paraId="28FC06FB">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（2）企业标准请参照《关于印发中小企业划型标准规定的通知》（工信部联企业〔2011〕300号）文件规定自行填写。</w:t>
      </w:r>
    </w:p>
    <w:p w14:paraId="7F5292A8">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2、残疾人福利单位价格扣除</w:t>
      </w:r>
    </w:p>
    <w:p w14:paraId="446EFD0B">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（1）残疾人福利性单位视同小型、微型企业。</w:t>
      </w:r>
    </w:p>
    <w:p w14:paraId="40574E93">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（2）残疾人福利单位需按照采购文件的要求提供《残疾人福利性单位声明函》。</w:t>
      </w:r>
    </w:p>
    <w:p w14:paraId="7B92C9C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（3）残疾人福利单位标准请参照《关于促进残疾人就业政府采购政策的通知》（财库〔2017〕141 号）。</w:t>
      </w:r>
    </w:p>
    <w:p w14:paraId="3041A084">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3、监狱和戒毒企业价格扣除</w:t>
      </w:r>
    </w:p>
    <w:p w14:paraId="51CAC2DB">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（1）监狱和戒毒企业（简称监狱企业）视同小型、微型企业。</w:t>
      </w:r>
    </w:p>
    <w:p w14:paraId="40BFD15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436AE36D">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（3）监狱企业标准请参照《关于政府采购支持监狱企业发展有关问题的通知》（财库〔2014〕68 号）。</w:t>
      </w:r>
    </w:p>
    <w:p w14:paraId="45B2472F">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4、残疾人福利单位、监狱企业属于小型、微型企业的，不重复享受政策。</w:t>
      </w:r>
    </w:p>
    <w:p w14:paraId="5C35B537">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p>
    <w:p w14:paraId="1C754DA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p>
    <w:p w14:paraId="03B23D1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p>
    <w:p w14:paraId="19CA9A35">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80"/>
        <w:rPr>
          <w:rFonts w:hint="eastAsia" w:asciiTheme="minorEastAsia" w:hAnsiTheme="minorEastAsia" w:eastAsiaTheme="minorEastAsia" w:cstheme="minorEastAsia"/>
          <w:color w:val="auto"/>
          <w:sz w:val="24"/>
          <w:szCs w:val="24"/>
          <w:highlight w:val="none"/>
          <w:lang w:val="en-US" w:eastAsia="zh-CN" w:bidi="ar-SA"/>
        </w:rPr>
      </w:pPr>
    </w:p>
    <w:p w14:paraId="529891C4">
      <w:pPr>
        <w:pStyle w:val="226"/>
        <w:ind w:firstLine="420"/>
        <w:rPr>
          <w:rFonts w:asciiTheme="minorEastAsia" w:hAnsiTheme="minorEastAsia" w:eastAsiaTheme="minorEastAsia" w:cstheme="minorEastAsia"/>
          <w:color w:val="auto"/>
          <w:sz w:val="21"/>
          <w:szCs w:val="21"/>
          <w:highlight w:val="none"/>
        </w:rPr>
      </w:pPr>
    </w:p>
    <w:p w14:paraId="013FE10C">
      <w:pPr>
        <w:pStyle w:val="226"/>
        <w:ind w:firstLine="420"/>
        <w:rPr>
          <w:rFonts w:asciiTheme="minorEastAsia" w:hAnsiTheme="minorEastAsia" w:eastAsiaTheme="minorEastAsia" w:cstheme="minorEastAsia"/>
          <w:color w:val="auto"/>
          <w:sz w:val="21"/>
          <w:szCs w:val="21"/>
          <w:highlight w:val="none"/>
        </w:rPr>
      </w:pPr>
    </w:p>
    <w:p w14:paraId="70107C83">
      <w:pPr>
        <w:pStyle w:val="226"/>
        <w:ind w:firstLine="420"/>
        <w:rPr>
          <w:rFonts w:asciiTheme="minorEastAsia" w:hAnsiTheme="minorEastAsia" w:eastAsiaTheme="minorEastAsia" w:cstheme="minorEastAsia"/>
          <w:color w:val="auto"/>
          <w:sz w:val="21"/>
          <w:szCs w:val="21"/>
          <w:highlight w:val="none"/>
        </w:rPr>
      </w:pPr>
    </w:p>
    <w:p w14:paraId="4AEA6379">
      <w:pPr>
        <w:pStyle w:val="226"/>
        <w:ind w:firstLine="420"/>
        <w:rPr>
          <w:rFonts w:asciiTheme="minorEastAsia" w:hAnsiTheme="minorEastAsia" w:eastAsiaTheme="minorEastAsia" w:cstheme="minorEastAsia"/>
          <w:color w:val="auto"/>
          <w:sz w:val="21"/>
          <w:szCs w:val="21"/>
          <w:highlight w:val="none"/>
        </w:rPr>
      </w:pPr>
    </w:p>
    <w:p w14:paraId="1BE81CAD">
      <w:pPr>
        <w:pStyle w:val="226"/>
        <w:ind w:firstLine="420"/>
        <w:rPr>
          <w:rFonts w:asciiTheme="minorEastAsia" w:hAnsiTheme="minorEastAsia" w:eastAsiaTheme="minorEastAsia" w:cstheme="minorEastAsia"/>
          <w:color w:val="auto"/>
          <w:sz w:val="21"/>
          <w:szCs w:val="21"/>
          <w:highlight w:val="none"/>
        </w:rPr>
      </w:pPr>
    </w:p>
    <w:p w14:paraId="420EC5F5">
      <w:pPr>
        <w:pStyle w:val="226"/>
        <w:ind w:firstLine="420"/>
        <w:rPr>
          <w:rFonts w:asciiTheme="minorEastAsia" w:hAnsiTheme="minorEastAsia" w:eastAsiaTheme="minorEastAsia" w:cstheme="minorEastAsia"/>
          <w:color w:val="auto"/>
          <w:sz w:val="21"/>
          <w:szCs w:val="21"/>
          <w:highlight w:val="none"/>
        </w:rPr>
      </w:pPr>
    </w:p>
    <w:p w14:paraId="4CD4984E">
      <w:pPr>
        <w:pStyle w:val="226"/>
        <w:ind w:firstLine="420"/>
        <w:rPr>
          <w:rFonts w:asciiTheme="minorEastAsia" w:hAnsiTheme="minorEastAsia" w:eastAsiaTheme="minorEastAsia" w:cstheme="minorEastAsia"/>
          <w:color w:val="auto"/>
          <w:sz w:val="21"/>
          <w:szCs w:val="21"/>
          <w:highlight w:val="none"/>
        </w:rPr>
      </w:pPr>
    </w:p>
    <w:p w14:paraId="24CDD2AF">
      <w:pP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r>
    </w:p>
    <w:p w14:paraId="530F8720">
      <w:pPr>
        <w:pStyle w:val="226"/>
        <w:ind w:firstLine="422"/>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三、评审标准</w:t>
      </w:r>
    </w:p>
    <w:p w14:paraId="315A8DB8">
      <w:pPr>
        <w:pStyle w:val="226"/>
        <w:ind w:left="0" w:leftChars="0" w:firstLine="0" w:firstLineChars="0"/>
        <w:rPr>
          <w:rFonts w:hint="eastAsia" w:asciiTheme="minorEastAsia" w:hAnsiTheme="minorEastAsia" w:eastAsiaTheme="minorEastAsia" w:cstheme="minorEastAsia"/>
          <w:b/>
          <w:color w:val="auto"/>
          <w:sz w:val="21"/>
          <w:szCs w:val="21"/>
          <w:highlight w:val="none"/>
          <w:lang w:eastAsia="zh-CN"/>
        </w:rPr>
      </w:pPr>
      <w:r>
        <w:rPr>
          <w:rFonts w:hint="eastAsia" w:eastAsia="宋体" w:asciiTheme="minorEastAsia" w:hAnsiTheme="minorEastAsia" w:cstheme="minorEastAsia"/>
          <w:b/>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lang w:eastAsia="zh-CN"/>
        </w:rPr>
        <w:t>采购包1</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lang w:eastAsia="zh-CN"/>
        </w:rPr>
        <w:t>采购包2</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lang w:eastAsia="zh-CN"/>
        </w:rPr>
        <w:t>采购包3</w:t>
      </w:r>
      <w:r>
        <w:rPr>
          <w:rFonts w:hint="eastAsia" w:eastAsia="宋体" w:asciiTheme="minorEastAsia" w:hAnsiTheme="minorEastAsia" w:cstheme="minorEastAsia"/>
          <w:b/>
          <w:color w:val="auto"/>
          <w:sz w:val="21"/>
          <w:szCs w:val="21"/>
          <w:highlight w:val="none"/>
          <w:lang w:eastAsia="zh-CN"/>
        </w:rPr>
        <w:t>）</w:t>
      </w:r>
    </w:p>
    <w:tbl>
      <w:tblPr>
        <w:tblStyle w:val="41"/>
        <w:tblW w:w="8895" w:type="dxa"/>
        <w:tblInd w:w="-28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919"/>
        <w:gridCol w:w="1199"/>
        <w:gridCol w:w="1092"/>
        <w:gridCol w:w="5685"/>
      </w:tblGrid>
      <w:tr w14:paraId="5F316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c>
          <w:tcPr>
            <w:tcW w:w="919" w:type="dxa"/>
            <w:tcBorders>
              <w:top w:val="single" w:color="auto" w:sz="6" w:space="0"/>
              <w:left w:val="single" w:color="auto" w:sz="4" w:space="0"/>
              <w:bottom w:val="single" w:color="auto" w:sz="6" w:space="0"/>
              <w:right w:val="single" w:color="auto" w:sz="6" w:space="0"/>
            </w:tcBorders>
            <w:shd w:val="clear" w:color="auto" w:fill="auto"/>
            <w:noWrap w:val="0"/>
            <w:vAlign w:val="center"/>
          </w:tcPr>
          <w:p w14:paraId="6A352FBA">
            <w:pPr>
              <w:jc w:val="center"/>
              <w:rPr>
                <w:rFonts w:ascii="宋体" w:hAnsi="宋体" w:cs="宋体"/>
                <w:color w:val="auto"/>
                <w:sz w:val="21"/>
                <w:szCs w:val="21"/>
                <w:highlight w:val="none"/>
              </w:rPr>
            </w:pPr>
            <w:r>
              <w:rPr>
                <w:rFonts w:hint="eastAsia" w:ascii="宋体" w:hAnsi="宋体" w:cs="宋体"/>
                <w:color w:val="auto"/>
                <w:sz w:val="21"/>
                <w:szCs w:val="21"/>
                <w:highlight w:val="none"/>
              </w:rPr>
              <w:t>项 目</w:t>
            </w:r>
          </w:p>
        </w:tc>
        <w:tc>
          <w:tcPr>
            <w:tcW w:w="1199"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6930955B">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评分项</w:t>
            </w:r>
          </w:p>
        </w:tc>
        <w:tc>
          <w:tcPr>
            <w:tcW w:w="1092" w:type="dxa"/>
            <w:tcBorders>
              <w:top w:val="single" w:color="auto" w:sz="6" w:space="0"/>
              <w:left w:val="single" w:color="auto" w:sz="4" w:space="0"/>
              <w:bottom w:val="single" w:color="auto" w:sz="6" w:space="0"/>
              <w:right w:val="single" w:color="auto" w:sz="6" w:space="0"/>
            </w:tcBorders>
            <w:shd w:val="clear" w:color="auto" w:fill="auto"/>
            <w:noWrap w:val="0"/>
            <w:vAlign w:val="center"/>
          </w:tcPr>
          <w:p w14:paraId="182A25D5">
            <w:pPr>
              <w:jc w:val="center"/>
              <w:rPr>
                <w:rFonts w:hint="eastAsia" w:ascii="宋体" w:hAnsi="宋体" w:cs="宋体"/>
                <w:color w:val="auto"/>
                <w:sz w:val="21"/>
                <w:szCs w:val="21"/>
                <w:highlight w:val="none"/>
              </w:rPr>
            </w:pPr>
          </w:p>
        </w:tc>
        <w:tc>
          <w:tcPr>
            <w:tcW w:w="56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C072173">
            <w:pPr>
              <w:jc w:val="center"/>
              <w:rPr>
                <w:rFonts w:ascii="宋体" w:hAnsi="宋体" w:cs="宋体"/>
                <w:color w:val="auto"/>
                <w:sz w:val="21"/>
                <w:szCs w:val="21"/>
                <w:highlight w:val="none"/>
              </w:rPr>
            </w:pPr>
            <w:r>
              <w:rPr>
                <w:rFonts w:hint="eastAsia" w:ascii="宋体" w:hAnsi="宋体" w:cs="宋体"/>
                <w:color w:val="auto"/>
                <w:sz w:val="21"/>
                <w:szCs w:val="21"/>
                <w:highlight w:val="none"/>
              </w:rPr>
              <w:t>评审标准</w:t>
            </w:r>
          </w:p>
        </w:tc>
      </w:tr>
      <w:tr w14:paraId="427113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188" w:hRule="atLeast"/>
        </w:trPr>
        <w:tc>
          <w:tcPr>
            <w:tcW w:w="91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451487C">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投标报价</w:t>
            </w:r>
          </w:p>
          <w:p w14:paraId="08BA6240">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分</w:t>
            </w:r>
          </w:p>
        </w:tc>
        <w:tc>
          <w:tcPr>
            <w:tcW w:w="1199"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6CD8CAAF">
            <w:pPr>
              <w:jc w:val="center"/>
              <w:rPr>
                <w:rFonts w:ascii="宋体" w:hAnsi="宋体" w:cs="宋体"/>
                <w:color w:val="auto"/>
                <w:sz w:val="21"/>
                <w:szCs w:val="21"/>
                <w:highlight w:val="none"/>
              </w:rPr>
            </w:pPr>
            <w:r>
              <w:rPr>
                <w:rFonts w:hint="eastAsia" w:ascii="宋体" w:hAnsi="宋体" w:cs="宋体"/>
                <w:color w:val="auto"/>
                <w:sz w:val="21"/>
                <w:szCs w:val="21"/>
                <w:highlight w:val="none"/>
              </w:rPr>
              <w:t>投标报价</w:t>
            </w:r>
          </w:p>
        </w:tc>
        <w:tc>
          <w:tcPr>
            <w:tcW w:w="1092" w:type="dxa"/>
            <w:tcBorders>
              <w:top w:val="single" w:color="auto" w:sz="6" w:space="0"/>
              <w:left w:val="single" w:color="auto" w:sz="4" w:space="0"/>
              <w:bottom w:val="single" w:color="auto" w:sz="6" w:space="0"/>
              <w:right w:val="single" w:color="auto" w:sz="6" w:space="0"/>
            </w:tcBorders>
            <w:shd w:val="clear" w:color="auto" w:fill="auto"/>
            <w:noWrap w:val="0"/>
            <w:vAlign w:val="center"/>
          </w:tcPr>
          <w:p w14:paraId="6B41FA8F">
            <w:pPr>
              <w:jc w:val="center"/>
              <w:rPr>
                <w:rFonts w:hint="eastAsia" w:ascii="宋体" w:hAnsi="宋体" w:cs="宋体"/>
                <w:color w:val="auto"/>
                <w:sz w:val="21"/>
                <w:szCs w:val="21"/>
                <w:highlight w:val="none"/>
                <w:lang w:val="en-US" w:eastAsia="zh-CN"/>
              </w:rPr>
            </w:pPr>
            <w:bookmarkStart w:id="155" w:name="OLE_LINK16"/>
            <w:bookmarkStart w:id="156" w:name="OLE_LINK15"/>
            <w:bookmarkStart w:id="157" w:name="OLE_LINK17"/>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分</w:t>
            </w:r>
          </w:p>
        </w:tc>
        <w:tc>
          <w:tcPr>
            <w:tcW w:w="56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1090A0E">
            <w:pPr>
              <w:spacing w:line="400" w:lineRule="exact"/>
              <w:jc w:val="left"/>
              <w:rPr>
                <w:rFonts w:ascii="宋体" w:hAnsi="宋体" w:cs="宋体"/>
                <w:b w:val="0"/>
                <w:bCs w:val="0"/>
                <w:color w:val="auto"/>
                <w:sz w:val="21"/>
                <w:szCs w:val="21"/>
                <w:highlight w:val="none"/>
              </w:rPr>
            </w:pPr>
            <w:r>
              <w:rPr>
                <w:rFonts w:hint="eastAsia" w:ascii="宋体" w:hAnsi="宋体" w:cs="宋体"/>
                <w:color w:val="auto"/>
                <w:sz w:val="21"/>
                <w:szCs w:val="21"/>
                <w:highlight w:val="none"/>
              </w:rPr>
              <w:t>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0分</w:t>
            </w:r>
            <w:r>
              <w:rPr>
                <w:rFonts w:hint="eastAsia" w:ascii="宋体" w:hAnsi="宋体" w:cs="宋体"/>
                <w:b w:val="0"/>
                <w:bCs w:val="0"/>
                <w:color w:val="auto"/>
                <w:sz w:val="21"/>
                <w:szCs w:val="21"/>
                <w:highlight w:val="none"/>
              </w:rPr>
              <w:t>。</w:t>
            </w:r>
          </w:p>
          <w:p w14:paraId="6B4C231E">
            <w:pPr>
              <w:pStyle w:val="38"/>
              <w:spacing w:line="400" w:lineRule="exact"/>
              <w:jc w:val="both"/>
              <w:rPr>
                <w:rFonts w:ascii="宋体" w:hAnsi="宋体" w:cs="宋体"/>
                <w:color w:val="auto"/>
                <w:sz w:val="21"/>
                <w:szCs w:val="21"/>
                <w:highlight w:val="none"/>
              </w:rPr>
            </w:pPr>
            <w:r>
              <w:rPr>
                <w:rFonts w:hint="eastAsia" w:ascii="宋体" w:hAnsi="宋体" w:cs="宋体"/>
                <w:b w:val="0"/>
                <w:bCs w:val="0"/>
                <w:color w:val="auto"/>
                <w:sz w:val="21"/>
                <w:szCs w:val="21"/>
                <w:highlight w:val="none"/>
              </w:rPr>
              <w:t>注：评标委员会认为供应商的报价明显低于其他通过符合性审查供应商的报价，有可能影响</w:t>
            </w:r>
            <w:r>
              <w:rPr>
                <w:rFonts w:hint="eastAsia" w:ascii="宋体" w:hAnsi="宋体" w:cs="宋体"/>
                <w:b w:val="0"/>
                <w:bCs w:val="0"/>
                <w:color w:val="auto"/>
                <w:sz w:val="21"/>
                <w:szCs w:val="21"/>
                <w:highlight w:val="none"/>
                <w:lang w:val="en-US" w:eastAsia="zh-CN"/>
              </w:rPr>
              <w:t>养护管养</w:t>
            </w:r>
            <w:r>
              <w:rPr>
                <w:rFonts w:hint="eastAsia" w:ascii="宋体" w:hAnsi="宋体" w:cs="宋体"/>
                <w:b w:val="0"/>
                <w:bCs w:val="0"/>
                <w:color w:val="auto"/>
                <w:sz w:val="21"/>
                <w:szCs w:val="21"/>
                <w:highlight w:val="none"/>
              </w:rPr>
              <w:t>质量或者不能诚信履约的，应当要求其在评标现场合理的时间内提供书面说明，必要时提交相关证明材料；供应商不能证明其报价合理性的，评标委员会应当将其作为无效投标处理。</w:t>
            </w:r>
            <w:bookmarkEnd w:id="155"/>
            <w:bookmarkEnd w:id="156"/>
            <w:bookmarkEnd w:id="157"/>
          </w:p>
        </w:tc>
      </w:tr>
      <w:tr w14:paraId="43B0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9" w:hRule="atLeast"/>
        </w:trPr>
        <w:tc>
          <w:tcPr>
            <w:tcW w:w="919" w:type="dxa"/>
            <w:vMerge w:val="restart"/>
            <w:noWrap w:val="0"/>
            <w:vAlign w:val="center"/>
          </w:tcPr>
          <w:p w14:paraId="4661D5D8">
            <w:pPr>
              <w:spacing w:line="520" w:lineRule="exact"/>
              <w:jc w:val="center"/>
              <w:rPr>
                <w:color w:val="auto"/>
                <w:sz w:val="21"/>
                <w:szCs w:val="21"/>
                <w:highlight w:val="none"/>
              </w:rPr>
            </w:pPr>
            <w:bookmarkStart w:id="158" w:name="_Toc109304976"/>
            <w:r>
              <w:rPr>
                <w:b w:val="0"/>
                <w:bCs w:val="0"/>
                <w:color w:val="auto"/>
                <w:sz w:val="21"/>
                <w:szCs w:val="21"/>
                <w:highlight w:val="none"/>
              </w:rPr>
              <w:t>养护作业服务</w:t>
            </w:r>
            <w:r>
              <w:rPr>
                <w:rFonts w:hint="eastAsia"/>
                <w:b w:val="0"/>
                <w:bCs w:val="0"/>
                <w:color w:val="auto"/>
                <w:sz w:val="21"/>
                <w:szCs w:val="21"/>
                <w:highlight w:val="none"/>
                <w:lang w:val="en-US" w:eastAsia="zh-CN"/>
              </w:rPr>
              <w:t>60</w:t>
            </w:r>
            <w:r>
              <w:rPr>
                <w:b w:val="0"/>
                <w:bCs w:val="0"/>
                <w:color w:val="auto"/>
                <w:sz w:val="21"/>
                <w:szCs w:val="21"/>
                <w:highlight w:val="none"/>
              </w:rPr>
              <w:t>分</w:t>
            </w:r>
          </w:p>
        </w:tc>
        <w:tc>
          <w:tcPr>
            <w:tcW w:w="1199" w:type="dxa"/>
            <w:noWrap w:val="0"/>
            <w:vAlign w:val="center"/>
          </w:tcPr>
          <w:p w14:paraId="71B60086">
            <w:pPr>
              <w:jc w:val="center"/>
              <w:rPr>
                <w:color w:val="auto"/>
                <w:sz w:val="21"/>
                <w:szCs w:val="21"/>
                <w:highlight w:val="none"/>
              </w:rPr>
            </w:pPr>
            <w:r>
              <w:rPr>
                <w:color w:val="auto"/>
                <w:sz w:val="21"/>
                <w:szCs w:val="21"/>
                <w:highlight w:val="none"/>
              </w:rPr>
              <w:t>管理目标设想</w:t>
            </w:r>
            <w:r>
              <w:rPr>
                <w:rFonts w:hint="eastAsia"/>
                <w:color w:val="auto"/>
                <w:sz w:val="21"/>
                <w:szCs w:val="21"/>
                <w:highlight w:val="none"/>
              </w:rPr>
              <w:t>、</w:t>
            </w:r>
          </w:p>
          <w:p w14:paraId="26B2DCD0">
            <w:pPr>
              <w:jc w:val="center"/>
              <w:rPr>
                <w:color w:val="auto"/>
                <w:sz w:val="21"/>
                <w:szCs w:val="21"/>
                <w:highlight w:val="none"/>
              </w:rPr>
            </w:pPr>
            <w:r>
              <w:rPr>
                <w:color w:val="auto"/>
                <w:sz w:val="21"/>
                <w:szCs w:val="21"/>
                <w:highlight w:val="none"/>
              </w:rPr>
              <w:t>内部规章制度及人员培训方案</w:t>
            </w:r>
          </w:p>
        </w:tc>
        <w:tc>
          <w:tcPr>
            <w:tcW w:w="1092" w:type="dxa"/>
            <w:noWrap w:val="0"/>
            <w:vAlign w:val="center"/>
          </w:tcPr>
          <w:p w14:paraId="698C01B4">
            <w:pPr>
              <w:jc w:val="center"/>
              <w:rPr>
                <w:color w:val="auto"/>
                <w:sz w:val="21"/>
                <w:szCs w:val="21"/>
                <w:highlight w:val="none"/>
              </w:rPr>
            </w:pPr>
            <w:r>
              <w:rPr>
                <w:rFonts w:hint="eastAsia"/>
                <w:color w:val="auto"/>
                <w:sz w:val="21"/>
                <w:szCs w:val="21"/>
                <w:highlight w:val="none"/>
                <w:lang w:val="en-US" w:eastAsia="zh-CN"/>
              </w:rPr>
              <w:t>8</w:t>
            </w:r>
            <w:r>
              <w:rPr>
                <w:color w:val="auto"/>
                <w:sz w:val="21"/>
                <w:szCs w:val="21"/>
                <w:highlight w:val="none"/>
              </w:rPr>
              <w:t>分</w:t>
            </w:r>
          </w:p>
        </w:tc>
        <w:tc>
          <w:tcPr>
            <w:tcW w:w="5685" w:type="dxa"/>
            <w:noWrap w:val="0"/>
            <w:vAlign w:val="center"/>
          </w:tcPr>
          <w:p w14:paraId="43F2B924">
            <w:pPr>
              <w:tabs>
                <w:tab w:val="left" w:pos="360"/>
              </w:tabs>
              <w:rPr>
                <w:color w:val="auto"/>
                <w:sz w:val="21"/>
                <w:szCs w:val="21"/>
                <w:highlight w:val="none"/>
              </w:rPr>
            </w:pPr>
            <w:r>
              <w:rPr>
                <w:color w:val="auto"/>
                <w:sz w:val="21"/>
                <w:szCs w:val="21"/>
                <w:highlight w:val="none"/>
              </w:rPr>
              <w:t>根据投标人</w:t>
            </w:r>
            <w:r>
              <w:rPr>
                <w:rFonts w:hint="eastAsia"/>
                <w:color w:val="auto"/>
                <w:sz w:val="21"/>
                <w:szCs w:val="21"/>
                <w:highlight w:val="none"/>
              </w:rPr>
              <w:t>绿地养护</w:t>
            </w:r>
            <w:r>
              <w:rPr>
                <w:color w:val="auto"/>
                <w:sz w:val="21"/>
                <w:szCs w:val="21"/>
                <w:highlight w:val="none"/>
              </w:rPr>
              <w:t>服务管理目标、整体设想和内部规章制度、人员培训方案</w:t>
            </w:r>
            <w:r>
              <w:rPr>
                <w:rFonts w:hint="eastAsia"/>
                <w:color w:val="auto"/>
                <w:sz w:val="21"/>
                <w:szCs w:val="21"/>
                <w:highlight w:val="none"/>
              </w:rPr>
              <w:t>措施组织科学严密、考虑周全，先进可行的，得</w:t>
            </w:r>
            <w:r>
              <w:rPr>
                <w:rFonts w:hint="eastAsia"/>
                <w:color w:val="auto"/>
                <w:sz w:val="21"/>
                <w:szCs w:val="21"/>
                <w:highlight w:val="none"/>
                <w:lang w:val="en-US" w:eastAsia="zh-CN"/>
              </w:rPr>
              <w:t>8</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rPr>
              <w:t>措施完整，可行性尚可得，得</w:t>
            </w:r>
            <w:r>
              <w:rPr>
                <w:rFonts w:hint="eastAsia"/>
                <w:color w:val="auto"/>
                <w:sz w:val="21"/>
                <w:szCs w:val="21"/>
                <w:highlight w:val="none"/>
                <w:lang w:val="en-US" w:eastAsia="zh-CN"/>
              </w:rPr>
              <w:t>6</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rPr>
              <w:t>措施不明确，方案针对性一般性的，得</w:t>
            </w:r>
            <w:r>
              <w:rPr>
                <w:rFonts w:hint="eastAsia"/>
                <w:color w:val="auto"/>
                <w:sz w:val="21"/>
                <w:szCs w:val="21"/>
                <w:highlight w:val="none"/>
                <w:lang w:val="en-US" w:eastAsia="zh-CN"/>
              </w:rPr>
              <w:t>4</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rPr>
              <w:t>措施较差，方案针对性较差的，或无方案的不得分。</w:t>
            </w:r>
          </w:p>
        </w:tc>
      </w:tr>
      <w:tr w14:paraId="7AE7A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trPr>
        <w:tc>
          <w:tcPr>
            <w:tcW w:w="919" w:type="dxa"/>
            <w:vMerge w:val="continue"/>
            <w:noWrap w:val="0"/>
            <w:vAlign w:val="center"/>
          </w:tcPr>
          <w:p w14:paraId="422C2F39">
            <w:pPr>
              <w:spacing w:line="520" w:lineRule="exact"/>
              <w:jc w:val="center"/>
              <w:rPr>
                <w:rFonts w:hint="eastAsia"/>
                <w:color w:val="auto"/>
                <w:sz w:val="21"/>
                <w:szCs w:val="21"/>
                <w:highlight w:val="none"/>
              </w:rPr>
            </w:pPr>
          </w:p>
        </w:tc>
        <w:tc>
          <w:tcPr>
            <w:tcW w:w="1199" w:type="dxa"/>
            <w:noWrap w:val="0"/>
            <w:vAlign w:val="center"/>
          </w:tcPr>
          <w:p w14:paraId="6C980CA2">
            <w:pPr>
              <w:jc w:val="center"/>
              <w:rPr>
                <w:color w:val="auto"/>
                <w:sz w:val="21"/>
                <w:szCs w:val="21"/>
                <w:highlight w:val="none"/>
              </w:rPr>
            </w:pPr>
            <w:r>
              <w:rPr>
                <w:rFonts w:hint="eastAsia"/>
                <w:color w:val="auto"/>
                <w:sz w:val="21"/>
                <w:szCs w:val="21"/>
                <w:highlight w:val="none"/>
              </w:rPr>
              <w:t>绿化养护技术方案</w:t>
            </w:r>
          </w:p>
        </w:tc>
        <w:tc>
          <w:tcPr>
            <w:tcW w:w="1092" w:type="dxa"/>
            <w:noWrap w:val="0"/>
            <w:vAlign w:val="center"/>
          </w:tcPr>
          <w:p w14:paraId="55750F67">
            <w:pPr>
              <w:jc w:val="center"/>
              <w:rPr>
                <w:rFonts w:hint="eastAsia"/>
                <w:color w:val="auto"/>
                <w:sz w:val="21"/>
                <w:szCs w:val="21"/>
                <w:highlight w:val="none"/>
              </w:rPr>
            </w:pPr>
            <w:r>
              <w:rPr>
                <w:rFonts w:hint="eastAsia"/>
                <w:color w:val="auto"/>
                <w:sz w:val="21"/>
                <w:szCs w:val="21"/>
                <w:highlight w:val="none"/>
                <w:lang w:val="en-US" w:eastAsia="zh-CN"/>
              </w:rPr>
              <w:t>10</w:t>
            </w:r>
            <w:r>
              <w:rPr>
                <w:rFonts w:hint="eastAsia"/>
                <w:color w:val="auto"/>
                <w:sz w:val="21"/>
                <w:szCs w:val="21"/>
                <w:highlight w:val="none"/>
              </w:rPr>
              <w:t>分</w:t>
            </w:r>
          </w:p>
        </w:tc>
        <w:tc>
          <w:tcPr>
            <w:tcW w:w="5685" w:type="dxa"/>
            <w:noWrap w:val="0"/>
            <w:vAlign w:val="center"/>
          </w:tcPr>
          <w:p w14:paraId="378E3C42">
            <w:pPr>
              <w:tabs>
                <w:tab w:val="left" w:pos="360"/>
              </w:tabs>
              <w:rPr>
                <w:rFonts w:hint="eastAsia"/>
                <w:color w:val="auto"/>
                <w:sz w:val="21"/>
                <w:szCs w:val="21"/>
                <w:highlight w:val="none"/>
              </w:rPr>
            </w:pPr>
            <w:r>
              <w:rPr>
                <w:rFonts w:cs="宋体"/>
                <w:color w:val="auto"/>
                <w:sz w:val="21"/>
                <w:szCs w:val="21"/>
                <w:highlight w:val="none"/>
              </w:rPr>
              <w:t>根据</w:t>
            </w:r>
            <w:r>
              <w:rPr>
                <w:rFonts w:hint="eastAsia" w:cs="宋体"/>
                <w:color w:val="auto"/>
                <w:sz w:val="21"/>
                <w:szCs w:val="21"/>
                <w:highlight w:val="none"/>
              </w:rPr>
              <w:t>投标人</w:t>
            </w:r>
            <w:r>
              <w:rPr>
                <w:rFonts w:cs="宋体"/>
                <w:color w:val="auto"/>
                <w:sz w:val="21"/>
                <w:szCs w:val="21"/>
                <w:highlight w:val="none"/>
              </w:rPr>
              <w:t>提供的</w:t>
            </w:r>
            <w:r>
              <w:rPr>
                <w:rFonts w:hint="eastAsia"/>
                <w:color w:val="auto"/>
                <w:sz w:val="21"/>
                <w:szCs w:val="21"/>
                <w:highlight w:val="none"/>
              </w:rPr>
              <w:t>绿化养护技术方案</w:t>
            </w:r>
            <w:r>
              <w:rPr>
                <w:rFonts w:hint="eastAsia" w:cs="宋体"/>
                <w:color w:val="auto"/>
                <w:sz w:val="21"/>
                <w:szCs w:val="21"/>
                <w:highlight w:val="none"/>
              </w:rPr>
              <w:t>，</w:t>
            </w:r>
            <w:r>
              <w:rPr>
                <w:rFonts w:hint="eastAsia"/>
                <w:color w:val="auto"/>
                <w:sz w:val="21"/>
                <w:szCs w:val="21"/>
                <w:highlight w:val="none"/>
              </w:rPr>
              <w:t>包括但不限于养护计划、植物养护、景观树造型、设施维护、病虫害防治、树木修剪、抗旱排涝、安全作业、绿地保洁</w:t>
            </w:r>
            <w:r>
              <w:rPr>
                <w:rFonts w:hint="eastAsia" w:cs="宋体"/>
                <w:color w:val="auto"/>
                <w:sz w:val="21"/>
                <w:szCs w:val="21"/>
                <w:highlight w:val="none"/>
              </w:rPr>
              <w:t>等</w:t>
            </w:r>
            <w:r>
              <w:rPr>
                <w:rFonts w:cs="宋体"/>
                <w:color w:val="auto"/>
                <w:sz w:val="21"/>
                <w:szCs w:val="21"/>
                <w:highlight w:val="none"/>
              </w:rPr>
              <w:t>养护方案及质量保证措施进行综合评定</w:t>
            </w:r>
            <w:r>
              <w:rPr>
                <w:rFonts w:hint="eastAsia"/>
                <w:color w:val="auto"/>
                <w:sz w:val="21"/>
                <w:szCs w:val="21"/>
                <w:highlight w:val="none"/>
              </w:rPr>
              <w:t>：各分部分项</w:t>
            </w:r>
            <w:r>
              <w:rPr>
                <w:rFonts w:hint="eastAsia"/>
                <w:color w:val="auto"/>
                <w:sz w:val="21"/>
                <w:szCs w:val="21"/>
                <w:highlight w:val="none"/>
                <w:lang w:val="en-US" w:eastAsia="zh-CN"/>
              </w:rPr>
              <w:t>养护技术</w:t>
            </w:r>
            <w:r>
              <w:rPr>
                <w:rFonts w:hint="eastAsia"/>
                <w:color w:val="auto"/>
                <w:sz w:val="21"/>
                <w:szCs w:val="21"/>
                <w:highlight w:val="none"/>
              </w:rPr>
              <w:t>方案一一对应，科学完善，质量保证措施切实可行的，得</w:t>
            </w:r>
            <w:r>
              <w:rPr>
                <w:rFonts w:hint="eastAsia"/>
                <w:color w:val="auto"/>
                <w:sz w:val="21"/>
                <w:szCs w:val="21"/>
                <w:highlight w:val="none"/>
                <w:lang w:val="en-US" w:eastAsia="zh-CN"/>
              </w:rPr>
              <w:t>10</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rPr>
              <w:t>各分部分项</w:t>
            </w:r>
            <w:r>
              <w:rPr>
                <w:rFonts w:hint="eastAsia"/>
                <w:color w:val="auto"/>
                <w:sz w:val="21"/>
                <w:szCs w:val="21"/>
                <w:highlight w:val="none"/>
                <w:lang w:val="en-US" w:eastAsia="zh-CN"/>
              </w:rPr>
              <w:t>养护技术</w:t>
            </w:r>
            <w:r>
              <w:rPr>
                <w:rFonts w:hint="eastAsia"/>
                <w:color w:val="auto"/>
                <w:sz w:val="21"/>
                <w:szCs w:val="21"/>
                <w:highlight w:val="none"/>
              </w:rPr>
              <w:t>方案完整，质量保证措施可行的，得</w:t>
            </w:r>
            <w:r>
              <w:rPr>
                <w:rFonts w:hint="eastAsia"/>
                <w:color w:val="auto"/>
                <w:sz w:val="21"/>
                <w:szCs w:val="21"/>
                <w:highlight w:val="none"/>
                <w:lang w:val="en-US" w:eastAsia="zh-CN"/>
              </w:rPr>
              <w:t>8</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rPr>
              <w:t>各分部分项</w:t>
            </w:r>
            <w:r>
              <w:rPr>
                <w:rFonts w:hint="eastAsia"/>
                <w:color w:val="auto"/>
                <w:sz w:val="21"/>
                <w:szCs w:val="21"/>
                <w:highlight w:val="none"/>
                <w:lang w:val="en-US" w:eastAsia="zh-CN"/>
              </w:rPr>
              <w:t>养护技术</w:t>
            </w:r>
            <w:r>
              <w:rPr>
                <w:rFonts w:hint="eastAsia"/>
                <w:color w:val="auto"/>
                <w:sz w:val="21"/>
                <w:szCs w:val="21"/>
                <w:highlight w:val="none"/>
              </w:rPr>
              <w:t>方案较完整，质量保证措施基本满足项目需求的，得</w:t>
            </w:r>
            <w:r>
              <w:rPr>
                <w:rFonts w:hint="eastAsia"/>
                <w:color w:val="auto"/>
                <w:sz w:val="21"/>
                <w:szCs w:val="21"/>
                <w:highlight w:val="none"/>
                <w:lang w:val="en-US" w:eastAsia="zh-CN"/>
              </w:rPr>
              <w:t>5</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rPr>
              <w:t>各分部分项</w:t>
            </w:r>
            <w:r>
              <w:rPr>
                <w:rFonts w:hint="eastAsia"/>
                <w:color w:val="auto"/>
                <w:sz w:val="21"/>
                <w:szCs w:val="21"/>
                <w:highlight w:val="none"/>
                <w:lang w:val="en-US" w:eastAsia="zh-CN"/>
              </w:rPr>
              <w:t>养护技术</w:t>
            </w:r>
            <w:r>
              <w:rPr>
                <w:rFonts w:hint="eastAsia"/>
                <w:color w:val="auto"/>
                <w:sz w:val="21"/>
                <w:szCs w:val="21"/>
                <w:highlight w:val="none"/>
              </w:rPr>
              <w:t>方案方案存在漏洞，质量保证措施不完整，无法满足项目需求的，或无方案的不得分。</w:t>
            </w:r>
          </w:p>
          <w:p w14:paraId="00687917">
            <w:pPr>
              <w:pStyle w:val="18"/>
              <w:rPr>
                <w:color w:val="auto"/>
              </w:rPr>
            </w:pPr>
          </w:p>
        </w:tc>
      </w:tr>
      <w:tr w14:paraId="3C54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919" w:type="dxa"/>
            <w:vMerge w:val="continue"/>
            <w:noWrap w:val="0"/>
            <w:vAlign w:val="center"/>
          </w:tcPr>
          <w:p w14:paraId="6B517485">
            <w:pPr>
              <w:spacing w:line="520" w:lineRule="exact"/>
              <w:jc w:val="center"/>
              <w:rPr>
                <w:rFonts w:hint="eastAsia"/>
                <w:color w:val="auto"/>
                <w:sz w:val="21"/>
                <w:szCs w:val="21"/>
                <w:highlight w:val="none"/>
              </w:rPr>
            </w:pPr>
          </w:p>
        </w:tc>
        <w:tc>
          <w:tcPr>
            <w:tcW w:w="1199" w:type="dxa"/>
            <w:noWrap w:val="0"/>
            <w:vAlign w:val="center"/>
          </w:tcPr>
          <w:p w14:paraId="7BF5B6E5">
            <w:pPr>
              <w:jc w:val="center"/>
              <w:rPr>
                <w:rFonts w:hint="eastAsia"/>
                <w:color w:val="auto"/>
                <w:sz w:val="21"/>
                <w:szCs w:val="21"/>
                <w:highlight w:val="none"/>
              </w:rPr>
            </w:pPr>
            <w:r>
              <w:rPr>
                <w:rFonts w:hint="eastAsia"/>
                <w:color w:val="auto"/>
                <w:sz w:val="21"/>
                <w:szCs w:val="21"/>
                <w:highlight w:val="none"/>
              </w:rPr>
              <w:t>安全管理方案</w:t>
            </w:r>
          </w:p>
        </w:tc>
        <w:tc>
          <w:tcPr>
            <w:tcW w:w="1092" w:type="dxa"/>
            <w:noWrap w:val="0"/>
            <w:vAlign w:val="center"/>
          </w:tcPr>
          <w:p w14:paraId="0063A5EE">
            <w:pPr>
              <w:jc w:val="center"/>
              <w:rPr>
                <w:rFonts w:hint="eastAsia"/>
                <w:color w:val="auto"/>
                <w:sz w:val="21"/>
                <w:szCs w:val="21"/>
                <w:highlight w:val="none"/>
              </w:rPr>
            </w:pPr>
            <w:r>
              <w:rPr>
                <w:rFonts w:hint="eastAsia"/>
                <w:color w:val="auto"/>
                <w:sz w:val="21"/>
                <w:szCs w:val="21"/>
                <w:highlight w:val="none"/>
                <w:lang w:val="en-US" w:eastAsia="zh-CN"/>
              </w:rPr>
              <w:t>8</w:t>
            </w:r>
            <w:r>
              <w:rPr>
                <w:rFonts w:hint="eastAsia"/>
                <w:color w:val="auto"/>
                <w:sz w:val="21"/>
                <w:szCs w:val="21"/>
                <w:highlight w:val="none"/>
              </w:rPr>
              <w:t>分</w:t>
            </w:r>
          </w:p>
        </w:tc>
        <w:tc>
          <w:tcPr>
            <w:tcW w:w="5685" w:type="dxa"/>
            <w:noWrap w:val="0"/>
            <w:vAlign w:val="center"/>
          </w:tcPr>
          <w:p w14:paraId="1FD5BD4E">
            <w:pPr>
              <w:rPr>
                <w:rFonts w:hint="eastAsia"/>
                <w:color w:val="auto"/>
                <w:sz w:val="21"/>
                <w:szCs w:val="21"/>
                <w:highlight w:val="none"/>
              </w:rPr>
            </w:pPr>
            <w:r>
              <w:rPr>
                <w:rFonts w:hint="eastAsia"/>
                <w:color w:val="auto"/>
                <w:sz w:val="21"/>
                <w:szCs w:val="21"/>
                <w:highlight w:val="none"/>
              </w:rPr>
              <w:t>根据投标人提供的针对本项目的安全管理方案及安全管理措施进行综合评定，方案及措施科学合理、切实可行的得</w:t>
            </w:r>
            <w:r>
              <w:rPr>
                <w:rFonts w:hint="eastAsia"/>
                <w:color w:val="auto"/>
                <w:sz w:val="21"/>
                <w:szCs w:val="21"/>
                <w:highlight w:val="none"/>
                <w:lang w:val="en-US" w:eastAsia="zh-CN"/>
              </w:rPr>
              <w:t>8</w:t>
            </w:r>
            <w:r>
              <w:rPr>
                <w:rFonts w:hint="eastAsia"/>
                <w:color w:val="auto"/>
                <w:sz w:val="21"/>
                <w:szCs w:val="21"/>
                <w:highlight w:val="none"/>
              </w:rPr>
              <w:t>分；方案及措施合理可行的得</w:t>
            </w:r>
            <w:r>
              <w:rPr>
                <w:rFonts w:hint="eastAsia"/>
                <w:color w:val="auto"/>
                <w:sz w:val="21"/>
                <w:szCs w:val="21"/>
                <w:highlight w:val="none"/>
                <w:lang w:val="en-US" w:eastAsia="zh-CN"/>
              </w:rPr>
              <w:t>6</w:t>
            </w:r>
            <w:r>
              <w:rPr>
                <w:rFonts w:hint="eastAsia"/>
                <w:color w:val="auto"/>
                <w:sz w:val="21"/>
                <w:szCs w:val="21"/>
                <w:highlight w:val="none"/>
              </w:rPr>
              <w:t>分；有所欠缺的得</w:t>
            </w:r>
            <w:r>
              <w:rPr>
                <w:rFonts w:hint="eastAsia"/>
                <w:color w:val="auto"/>
                <w:sz w:val="21"/>
                <w:szCs w:val="21"/>
                <w:highlight w:val="none"/>
                <w:lang w:val="en-US" w:eastAsia="zh-CN"/>
              </w:rPr>
              <w:t>4</w:t>
            </w:r>
            <w:r>
              <w:rPr>
                <w:rFonts w:hint="eastAsia"/>
                <w:color w:val="auto"/>
                <w:sz w:val="21"/>
                <w:szCs w:val="21"/>
                <w:highlight w:val="none"/>
              </w:rPr>
              <w:t>分。未作说明的不得分。</w:t>
            </w:r>
          </w:p>
        </w:tc>
      </w:tr>
      <w:tr w14:paraId="34B3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19" w:type="dxa"/>
            <w:vMerge w:val="continue"/>
            <w:noWrap w:val="0"/>
            <w:vAlign w:val="center"/>
          </w:tcPr>
          <w:p w14:paraId="7780D505">
            <w:pPr>
              <w:spacing w:line="520" w:lineRule="exact"/>
              <w:jc w:val="center"/>
              <w:rPr>
                <w:rFonts w:hint="eastAsia"/>
                <w:color w:val="auto"/>
                <w:sz w:val="21"/>
                <w:szCs w:val="21"/>
                <w:highlight w:val="none"/>
              </w:rPr>
            </w:pPr>
          </w:p>
        </w:tc>
        <w:tc>
          <w:tcPr>
            <w:tcW w:w="1199" w:type="dxa"/>
            <w:noWrap w:val="0"/>
            <w:vAlign w:val="center"/>
          </w:tcPr>
          <w:p w14:paraId="38D7E6D8">
            <w:pPr>
              <w:jc w:val="center"/>
              <w:rPr>
                <w:rFonts w:hint="eastAsia"/>
                <w:color w:val="auto"/>
                <w:sz w:val="21"/>
                <w:szCs w:val="21"/>
                <w:highlight w:val="none"/>
              </w:rPr>
            </w:pPr>
            <w:r>
              <w:rPr>
                <w:rFonts w:hint="eastAsia"/>
                <w:color w:val="auto"/>
                <w:sz w:val="21"/>
                <w:szCs w:val="21"/>
                <w:highlight w:val="none"/>
              </w:rPr>
              <w:t>文明安全作业</w:t>
            </w:r>
          </w:p>
        </w:tc>
        <w:tc>
          <w:tcPr>
            <w:tcW w:w="1092" w:type="dxa"/>
            <w:noWrap w:val="0"/>
            <w:vAlign w:val="center"/>
          </w:tcPr>
          <w:p w14:paraId="507F9829">
            <w:pPr>
              <w:jc w:val="center"/>
              <w:rPr>
                <w:rFonts w:hint="eastAsia"/>
                <w:color w:val="auto"/>
                <w:sz w:val="21"/>
                <w:szCs w:val="21"/>
                <w:highlight w:val="none"/>
              </w:rPr>
            </w:pPr>
            <w:r>
              <w:rPr>
                <w:rFonts w:hint="eastAsia"/>
                <w:color w:val="auto"/>
                <w:sz w:val="21"/>
                <w:szCs w:val="21"/>
                <w:highlight w:val="none"/>
                <w:lang w:val="en-US" w:eastAsia="zh-CN"/>
              </w:rPr>
              <w:t>8</w:t>
            </w:r>
            <w:r>
              <w:rPr>
                <w:rFonts w:hint="eastAsia"/>
                <w:color w:val="auto"/>
                <w:sz w:val="21"/>
                <w:szCs w:val="21"/>
                <w:highlight w:val="none"/>
              </w:rPr>
              <w:t>分</w:t>
            </w:r>
          </w:p>
        </w:tc>
        <w:tc>
          <w:tcPr>
            <w:tcW w:w="5685" w:type="dxa"/>
            <w:noWrap w:val="0"/>
            <w:vAlign w:val="center"/>
          </w:tcPr>
          <w:p w14:paraId="55DB6788">
            <w:pPr>
              <w:pStyle w:val="19"/>
              <w:rPr>
                <w:rFonts w:hint="eastAsia"/>
                <w:color w:val="auto"/>
                <w:lang w:eastAsia="zh-CN"/>
              </w:rPr>
            </w:pPr>
            <w:r>
              <w:rPr>
                <w:rFonts w:hint="eastAsia" w:eastAsia="宋体"/>
                <w:color w:val="auto"/>
                <w:sz w:val="21"/>
                <w:szCs w:val="21"/>
                <w:highlight w:val="none"/>
                <w:lang w:eastAsia="zh-CN"/>
              </w:rPr>
              <w:t>根据投标人提供的针对本项目的文明安全作业保障措施</w:t>
            </w:r>
            <w:r>
              <w:rPr>
                <w:rFonts w:hint="eastAsia"/>
                <w:color w:val="auto"/>
                <w:lang w:eastAsia="zh-CN"/>
              </w:rPr>
              <w:t>组织科学严密、考虑周全，先进可行的，得</w:t>
            </w:r>
            <w:r>
              <w:rPr>
                <w:rFonts w:hint="eastAsia"/>
                <w:color w:val="auto"/>
                <w:lang w:val="en-US" w:eastAsia="zh-CN"/>
              </w:rPr>
              <w:t>8</w:t>
            </w:r>
            <w:r>
              <w:rPr>
                <w:rFonts w:hint="eastAsia"/>
                <w:color w:val="auto"/>
                <w:lang w:eastAsia="zh-CN"/>
              </w:rPr>
              <w:t>分；</w:t>
            </w:r>
            <w:r>
              <w:rPr>
                <w:rFonts w:hint="eastAsia"/>
                <w:color w:val="auto"/>
                <w:lang w:val="en-US" w:eastAsia="zh-CN"/>
              </w:rPr>
              <w:t>实施过程中</w:t>
            </w:r>
            <w:r>
              <w:rPr>
                <w:rFonts w:hint="eastAsia"/>
                <w:color w:val="auto"/>
                <w:lang w:eastAsia="zh-CN"/>
              </w:rPr>
              <w:t>安全措施完整，可行性尚可得，得</w:t>
            </w:r>
            <w:r>
              <w:rPr>
                <w:rFonts w:hint="eastAsia"/>
                <w:color w:val="auto"/>
                <w:lang w:val="en-US" w:eastAsia="zh-CN"/>
              </w:rPr>
              <w:t>6</w:t>
            </w:r>
            <w:r>
              <w:rPr>
                <w:rFonts w:hint="eastAsia"/>
                <w:color w:val="auto"/>
                <w:lang w:eastAsia="zh-CN"/>
              </w:rPr>
              <w:t>分；</w:t>
            </w:r>
            <w:r>
              <w:rPr>
                <w:rFonts w:hint="eastAsia"/>
                <w:color w:val="auto"/>
                <w:lang w:val="en-US" w:eastAsia="zh-CN"/>
              </w:rPr>
              <w:t>实施过程中</w:t>
            </w:r>
            <w:r>
              <w:rPr>
                <w:rFonts w:hint="eastAsia"/>
                <w:color w:val="auto"/>
                <w:lang w:eastAsia="zh-CN"/>
              </w:rPr>
              <w:t>安全措施不明确，方案针对性一般性的，得</w:t>
            </w:r>
            <w:r>
              <w:rPr>
                <w:rFonts w:hint="eastAsia"/>
                <w:color w:val="auto"/>
                <w:lang w:val="en-US" w:eastAsia="zh-CN"/>
              </w:rPr>
              <w:t>4</w:t>
            </w:r>
            <w:r>
              <w:rPr>
                <w:rFonts w:hint="eastAsia"/>
                <w:color w:val="auto"/>
                <w:lang w:eastAsia="zh-CN"/>
              </w:rPr>
              <w:t>分；</w:t>
            </w:r>
            <w:r>
              <w:rPr>
                <w:rFonts w:hint="eastAsia"/>
                <w:color w:val="auto"/>
                <w:lang w:val="en-US" w:eastAsia="zh-CN"/>
              </w:rPr>
              <w:t>实施过程中</w:t>
            </w:r>
            <w:r>
              <w:rPr>
                <w:rFonts w:hint="eastAsia"/>
                <w:color w:val="auto"/>
                <w:lang w:eastAsia="zh-CN"/>
              </w:rPr>
              <w:t>安全措施较差，方案针对性较差的，或无方案的不得分。</w:t>
            </w:r>
          </w:p>
        </w:tc>
      </w:tr>
      <w:tr w14:paraId="0F589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919" w:type="dxa"/>
            <w:vMerge w:val="continue"/>
            <w:noWrap w:val="0"/>
            <w:vAlign w:val="center"/>
          </w:tcPr>
          <w:p w14:paraId="1048D519">
            <w:pPr>
              <w:spacing w:line="520" w:lineRule="exact"/>
              <w:jc w:val="center"/>
              <w:rPr>
                <w:rFonts w:hint="eastAsia"/>
                <w:color w:val="auto"/>
                <w:sz w:val="21"/>
                <w:szCs w:val="21"/>
                <w:highlight w:val="none"/>
              </w:rPr>
            </w:pPr>
          </w:p>
        </w:tc>
        <w:tc>
          <w:tcPr>
            <w:tcW w:w="1199" w:type="dxa"/>
            <w:noWrap w:val="0"/>
            <w:vAlign w:val="center"/>
          </w:tcPr>
          <w:p w14:paraId="55211348">
            <w:pPr>
              <w:jc w:val="center"/>
              <w:rPr>
                <w:rFonts w:hint="eastAsia"/>
                <w:color w:val="auto"/>
                <w:sz w:val="21"/>
                <w:szCs w:val="21"/>
                <w:highlight w:val="none"/>
              </w:rPr>
            </w:pPr>
            <w:r>
              <w:rPr>
                <w:rFonts w:hint="eastAsia"/>
                <w:color w:val="auto"/>
                <w:sz w:val="21"/>
                <w:szCs w:val="21"/>
                <w:highlight w:val="none"/>
              </w:rPr>
              <w:t>迎检预案</w:t>
            </w:r>
          </w:p>
        </w:tc>
        <w:tc>
          <w:tcPr>
            <w:tcW w:w="1092" w:type="dxa"/>
            <w:noWrap w:val="0"/>
            <w:vAlign w:val="center"/>
          </w:tcPr>
          <w:p w14:paraId="19C40F84">
            <w:pPr>
              <w:jc w:val="center"/>
              <w:rPr>
                <w:rFonts w:hint="eastAsia"/>
                <w:color w:val="auto"/>
                <w:sz w:val="21"/>
                <w:szCs w:val="21"/>
                <w:highlight w:val="none"/>
              </w:rPr>
            </w:pPr>
            <w:r>
              <w:rPr>
                <w:rFonts w:hint="eastAsia"/>
                <w:color w:val="auto"/>
                <w:sz w:val="21"/>
                <w:szCs w:val="21"/>
                <w:highlight w:val="none"/>
                <w:lang w:val="en-US" w:eastAsia="zh-CN"/>
              </w:rPr>
              <w:t>8</w:t>
            </w:r>
            <w:r>
              <w:rPr>
                <w:rFonts w:hint="eastAsia"/>
                <w:color w:val="auto"/>
                <w:sz w:val="21"/>
                <w:szCs w:val="21"/>
                <w:highlight w:val="none"/>
              </w:rPr>
              <w:t>分</w:t>
            </w:r>
          </w:p>
        </w:tc>
        <w:tc>
          <w:tcPr>
            <w:tcW w:w="5685" w:type="dxa"/>
            <w:noWrap w:val="0"/>
            <w:vAlign w:val="center"/>
          </w:tcPr>
          <w:p w14:paraId="0DE6287A">
            <w:pPr>
              <w:rPr>
                <w:rFonts w:hint="eastAsia" w:eastAsia="宋体"/>
                <w:color w:val="auto"/>
                <w:sz w:val="21"/>
                <w:szCs w:val="21"/>
                <w:highlight w:val="none"/>
                <w:lang w:eastAsia="zh-CN"/>
              </w:rPr>
            </w:pPr>
            <w:r>
              <w:rPr>
                <w:rFonts w:hint="eastAsia" w:ascii="Arial" w:hAnsi="Arial" w:eastAsia="宋体" w:cs="Times New Roman"/>
                <w:color w:val="auto"/>
                <w:sz w:val="21"/>
                <w:szCs w:val="22"/>
                <w:lang w:val="en-US" w:eastAsia="zh-CN" w:bidi="ar-SA"/>
              </w:rPr>
              <w:t>根据投标人提供的针对本项目的迎接重大活动和检查评比保障措施、节假日期间预案进行综合评定，预案详细完善、科学合理的得8分；预案合理可行的得6分；有所欠缺的得4分。未作说明的不得分。</w:t>
            </w:r>
          </w:p>
        </w:tc>
      </w:tr>
      <w:tr w14:paraId="377AF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919" w:type="dxa"/>
            <w:vMerge w:val="continue"/>
            <w:noWrap w:val="0"/>
            <w:vAlign w:val="center"/>
          </w:tcPr>
          <w:p w14:paraId="7CD3F7A2">
            <w:pPr>
              <w:spacing w:line="520" w:lineRule="exact"/>
              <w:jc w:val="center"/>
              <w:rPr>
                <w:rFonts w:hint="eastAsia"/>
                <w:color w:val="auto"/>
                <w:sz w:val="21"/>
                <w:szCs w:val="21"/>
                <w:highlight w:val="none"/>
              </w:rPr>
            </w:pPr>
          </w:p>
        </w:tc>
        <w:tc>
          <w:tcPr>
            <w:tcW w:w="1199" w:type="dxa"/>
            <w:noWrap w:val="0"/>
            <w:vAlign w:val="center"/>
          </w:tcPr>
          <w:p w14:paraId="6135FEE0">
            <w:pPr>
              <w:jc w:val="center"/>
              <w:rPr>
                <w:rFonts w:hint="eastAsia"/>
                <w:color w:val="auto"/>
                <w:sz w:val="21"/>
                <w:szCs w:val="21"/>
                <w:highlight w:val="none"/>
              </w:rPr>
            </w:pPr>
            <w:r>
              <w:rPr>
                <w:rFonts w:hint="eastAsia"/>
                <w:color w:val="auto"/>
                <w:sz w:val="21"/>
                <w:szCs w:val="21"/>
                <w:highlight w:val="none"/>
              </w:rPr>
              <w:t>养护垃圾处理措施</w:t>
            </w:r>
          </w:p>
        </w:tc>
        <w:tc>
          <w:tcPr>
            <w:tcW w:w="1092" w:type="dxa"/>
            <w:noWrap w:val="0"/>
            <w:vAlign w:val="center"/>
          </w:tcPr>
          <w:p w14:paraId="671EB75C">
            <w:pPr>
              <w:jc w:val="center"/>
              <w:rPr>
                <w:rFonts w:hint="eastAsia"/>
                <w:color w:val="auto"/>
                <w:sz w:val="21"/>
                <w:szCs w:val="21"/>
                <w:highlight w:val="none"/>
              </w:rPr>
            </w:pPr>
            <w:r>
              <w:rPr>
                <w:rFonts w:hint="eastAsia"/>
                <w:color w:val="auto"/>
                <w:sz w:val="21"/>
                <w:szCs w:val="21"/>
                <w:highlight w:val="none"/>
                <w:lang w:val="en-US" w:eastAsia="zh-CN"/>
              </w:rPr>
              <w:t>6</w:t>
            </w:r>
            <w:r>
              <w:rPr>
                <w:rFonts w:hint="eastAsia"/>
                <w:color w:val="auto"/>
                <w:sz w:val="21"/>
                <w:szCs w:val="21"/>
                <w:highlight w:val="none"/>
              </w:rPr>
              <w:t>分</w:t>
            </w:r>
          </w:p>
        </w:tc>
        <w:tc>
          <w:tcPr>
            <w:tcW w:w="5685" w:type="dxa"/>
            <w:noWrap w:val="0"/>
            <w:vAlign w:val="center"/>
          </w:tcPr>
          <w:p w14:paraId="3AE4A8F4">
            <w:pPr>
              <w:rPr>
                <w:rFonts w:hint="eastAsia"/>
                <w:color w:val="auto"/>
                <w:sz w:val="21"/>
                <w:szCs w:val="21"/>
                <w:highlight w:val="none"/>
              </w:rPr>
            </w:pPr>
            <w:r>
              <w:rPr>
                <w:rFonts w:hint="eastAsia"/>
                <w:color w:val="auto"/>
                <w:sz w:val="21"/>
                <w:szCs w:val="21"/>
                <w:highlight w:val="none"/>
              </w:rPr>
              <w:t>根据投标人提供的绿化养护垃圾集中收集分类处理措施进行综合评定，措施科学合理、切实可行的得</w:t>
            </w:r>
            <w:r>
              <w:rPr>
                <w:rFonts w:hint="eastAsia"/>
                <w:color w:val="auto"/>
                <w:sz w:val="21"/>
                <w:szCs w:val="21"/>
                <w:highlight w:val="none"/>
                <w:lang w:val="en-US" w:eastAsia="zh-CN"/>
              </w:rPr>
              <w:t>6</w:t>
            </w:r>
            <w:r>
              <w:rPr>
                <w:rFonts w:hint="eastAsia"/>
                <w:color w:val="auto"/>
                <w:sz w:val="21"/>
                <w:szCs w:val="21"/>
                <w:highlight w:val="none"/>
              </w:rPr>
              <w:t>分；措施合理可行的得</w:t>
            </w:r>
            <w:r>
              <w:rPr>
                <w:rFonts w:hint="eastAsia"/>
                <w:color w:val="auto"/>
                <w:sz w:val="21"/>
                <w:szCs w:val="21"/>
                <w:highlight w:val="none"/>
                <w:lang w:val="en-US" w:eastAsia="zh-CN"/>
              </w:rPr>
              <w:t>4</w:t>
            </w:r>
            <w:r>
              <w:rPr>
                <w:rFonts w:hint="eastAsia"/>
                <w:color w:val="auto"/>
                <w:sz w:val="21"/>
                <w:szCs w:val="21"/>
                <w:highlight w:val="none"/>
              </w:rPr>
              <w:t>分；有所欠缺的得</w:t>
            </w:r>
            <w:r>
              <w:rPr>
                <w:rFonts w:hint="eastAsia"/>
                <w:color w:val="auto"/>
                <w:sz w:val="21"/>
                <w:szCs w:val="21"/>
                <w:highlight w:val="none"/>
                <w:lang w:val="en-US" w:eastAsia="zh-CN"/>
              </w:rPr>
              <w:t>2</w:t>
            </w:r>
            <w:r>
              <w:rPr>
                <w:rFonts w:hint="eastAsia"/>
                <w:color w:val="auto"/>
                <w:sz w:val="21"/>
                <w:szCs w:val="21"/>
                <w:highlight w:val="none"/>
              </w:rPr>
              <w:t>分。未作说明的不得分。</w:t>
            </w:r>
          </w:p>
        </w:tc>
      </w:tr>
      <w:tr w14:paraId="7EF0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919" w:type="dxa"/>
            <w:vMerge w:val="continue"/>
            <w:noWrap w:val="0"/>
            <w:vAlign w:val="center"/>
          </w:tcPr>
          <w:p w14:paraId="73F6CCBF">
            <w:pPr>
              <w:spacing w:line="520" w:lineRule="exact"/>
              <w:jc w:val="center"/>
              <w:rPr>
                <w:rFonts w:hint="eastAsia"/>
                <w:color w:val="auto"/>
                <w:sz w:val="21"/>
                <w:szCs w:val="21"/>
                <w:highlight w:val="none"/>
              </w:rPr>
            </w:pPr>
          </w:p>
        </w:tc>
        <w:tc>
          <w:tcPr>
            <w:tcW w:w="1199" w:type="dxa"/>
            <w:noWrap w:val="0"/>
            <w:vAlign w:val="center"/>
          </w:tcPr>
          <w:p w14:paraId="533DDEA2">
            <w:pPr>
              <w:jc w:val="center"/>
              <w:rPr>
                <w:rFonts w:hint="eastAsia"/>
                <w:color w:val="auto"/>
                <w:sz w:val="21"/>
                <w:szCs w:val="21"/>
                <w:highlight w:val="none"/>
              </w:rPr>
            </w:pPr>
            <w:r>
              <w:rPr>
                <w:rFonts w:hint="eastAsia"/>
                <w:color w:val="auto"/>
                <w:sz w:val="21"/>
                <w:szCs w:val="21"/>
                <w:highlight w:val="none"/>
              </w:rPr>
              <w:t>绿化养护应急方案</w:t>
            </w:r>
          </w:p>
        </w:tc>
        <w:tc>
          <w:tcPr>
            <w:tcW w:w="1092" w:type="dxa"/>
            <w:noWrap w:val="0"/>
            <w:vAlign w:val="center"/>
          </w:tcPr>
          <w:p w14:paraId="78E1F53E">
            <w:pPr>
              <w:jc w:val="center"/>
              <w:rPr>
                <w:rFonts w:hint="eastAsia"/>
                <w:color w:val="auto"/>
                <w:sz w:val="21"/>
                <w:szCs w:val="21"/>
                <w:highlight w:val="none"/>
              </w:rPr>
            </w:pPr>
            <w:r>
              <w:rPr>
                <w:rFonts w:hint="eastAsia"/>
                <w:color w:val="auto"/>
                <w:sz w:val="21"/>
                <w:szCs w:val="21"/>
                <w:highlight w:val="none"/>
                <w:lang w:val="en-US" w:eastAsia="zh-CN"/>
              </w:rPr>
              <w:t>6</w:t>
            </w:r>
            <w:r>
              <w:rPr>
                <w:rFonts w:hint="eastAsia"/>
                <w:color w:val="auto"/>
                <w:sz w:val="21"/>
                <w:szCs w:val="21"/>
                <w:highlight w:val="none"/>
              </w:rPr>
              <w:t>分</w:t>
            </w:r>
          </w:p>
        </w:tc>
        <w:tc>
          <w:tcPr>
            <w:tcW w:w="5685" w:type="dxa"/>
            <w:noWrap w:val="0"/>
            <w:vAlign w:val="center"/>
          </w:tcPr>
          <w:p w14:paraId="6E7A2A9A">
            <w:pPr>
              <w:tabs>
                <w:tab w:val="left" w:pos="360"/>
              </w:tabs>
              <w:rPr>
                <w:rFonts w:hint="eastAsia" w:eastAsia="宋体"/>
                <w:color w:val="auto"/>
                <w:sz w:val="21"/>
                <w:szCs w:val="21"/>
                <w:highlight w:val="none"/>
                <w:lang w:eastAsia="zh-CN"/>
              </w:rPr>
            </w:pPr>
            <w:r>
              <w:rPr>
                <w:rFonts w:hint="eastAsia"/>
                <w:color w:val="auto"/>
                <w:sz w:val="21"/>
                <w:szCs w:val="21"/>
                <w:highlight w:val="none"/>
              </w:rPr>
              <w:t>根据投标人提供的绿地养护服务应急方案，包括但不限于一般突发事件应急措施，包括：抢险应急预案、抗台防汛等恶劣天气的应急措施等进行综合评定：各分部分项</w:t>
            </w:r>
            <w:r>
              <w:rPr>
                <w:rFonts w:hint="eastAsia"/>
                <w:color w:val="auto"/>
                <w:sz w:val="21"/>
                <w:szCs w:val="21"/>
                <w:highlight w:val="none"/>
                <w:lang w:val="en-US" w:eastAsia="zh-CN"/>
              </w:rPr>
              <w:t>养护应急</w:t>
            </w:r>
            <w:r>
              <w:rPr>
                <w:rFonts w:hint="eastAsia"/>
                <w:color w:val="auto"/>
                <w:sz w:val="21"/>
                <w:szCs w:val="21"/>
                <w:highlight w:val="none"/>
              </w:rPr>
              <w:t>方案一一对应，科学完善，质量保证措施切实可行的，得</w:t>
            </w:r>
            <w:r>
              <w:rPr>
                <w:rFonts w:hint="eastAsia"/>
                <w:color w:val="auto"/>
                <w:sz w:val="21"/>
                <w:szCs w:val="21"/>
                <w:highlight w:val="none"/>
                <w:lang w:val="en-US" w:eastAsia="zh-CN"/>
              </w:rPr>
              <w:t>6</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rPr>
              <w:t>各分部分项</w:t>
            </w:r>
            <w:r>
              <w:rPr>
                <w:rFonts w:hint="eastAsia"/>
                <w:color w:val="auto"/>
                <w:sz w:val="21"/>
                <w:szCs w:val="21"/>
                <w:highlight w:val="none"/>
                <w:lang w:val="en-US" w:eastAsia="zh-CN"/>
              </w:rPr>
              <w:t>养护应急</w:t>
            </w:r>
            <w:r>
              <w:rPr>
                <w:rFonts w:hint="eastAsia"/>
                <w:color w:val="auto"/>
                <w:sz w:val="21"/>
                <w:szCs w:val="21"/>
                <w:highlight w:val="none"/>
              </w:rPr>
              <w:t>方案完整，质量保证措施可行的，得</w:t>
            </w:r>
            <w:r>
              <w:rPr>
                <w:rFonts w:hint="eastAsia"/>
                <w:color w:val="auto"/>
                <w:sz w:val="21"/>
                <w:szCs w:val="21"/>
                <w:highlight w:val="none"/>
                <w:lang w:val="en-US" w:eastAsia="zh-CN"/>
              </w:rPr>
              <w:t>4</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rPr>
              <w:t>各分部分项</w:t>
            </w:r>
            <w:r>
              <w:rPr>
                <w:rFonts w:hint="eastAsia"/>
                <w:color w:val="auto"/>
                <w:sz w:val="21"/>
                <w:szCs w:val="21"/>
                <w:highlight w:val="none"/>
                <w:lang w:val="en-US" w:eastAsia="zh-CN"/>
              </w:rPr>
              <w:t>养护应急</w:t>
            </w:r>
            <w:r>
              <w:rPr>
                <w:rFonts w:hint="eastAsia"/>
                <w:color w:val="auto"/>
                <w:sz w:val="21"/>
                <w:szCs w:val="21"/>
                <w:highlight w:val="none"/>
              </w:rPr>
              <w:t>方案较完整，质量保证措施基本满足项目需求的，得</w:t>
            </w:r>
            <w:r>
              <w:rPr>
                <w:rFonts w:hint="eastAsia"/>
                <w:color w:val="auto"/>
                <w:sz w:val="21"/>
                <w:szCs w:val="21"/>
                <w:highlight w:val="none"/>
                <w:lang w:val="en-US" w:eastAsia="zh-CN"/>
              </w:rPr>
              <w:t>2</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rPr>
              <w:t>各分部分项</w:t>
            </w:r>
            <w:r>
              <w:rPr>
                <w:rFonts w:hint="eastAsia"/>
                <w:color w:val="auto"/>
                <w:sz w:val="21"/>
                <w:szCs w:val="21"/>
                <w:highlight w:val="none"/>
                <w:lang w:val="en-US" w:eastAsia="zh-CN"/>
              </w:rPr>
              <w:t>养护应急</w:t>
            </w:r>
            <w:r>
              <w:rPr>
                <w:rFonts w:hint="eastAsia"/>
                <w:color w:val="auto"/>
                <w:sz w:val="21"/>
                <w:szCs w:val="21"/>
                <w:highlight w:val="none"/>
              </w:rPr>
              <w:t>方案存在漏洞，质量保证措施不完整，无法满足项目需求的，或无方案的不得分</w:t>
            </w:r>
            <w:r>
              <w:rPr>
                <w:rFonts w:hint="eastAsia"/>
                <w:color w:val="auto"/>
                <w:sz w:val="21"/>
                <w:szCs w:val="21"/>
                <w:highlight w:val="none"/>
                <w:lang w:eastAsia="zh-CN"/>
              </w:rPr>
              <w:t>。</w:t>
            </w:r>
          </w:p>
        </w:tc>
      </w:tr>
      <w:tr w14:paraId="4A02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919" w:type="dxa"/>
            <w:vMerge w:val="continue"/>
            <w:noWrap w:val="0"/>
            <w:vAlign w:val="center"/>
          </w:tcPr>
          <w:p w14:paraId="03D6A4DD">
            <w:pPr>
              <w:spacing w:line="520" w:lineRule="exact"/>
              <w:jc w:val="center"/>
              <w:rPr>
                <w:color w:val="auto"/>
                <w:sz w:val="21"/>
                <w:szCs w:val="21"/>
                <w:highlight w:val="none"/>
              </w:rPr>
            </w:pPr>
          </w:p>
        </w:tc>
        <w:tc>
          <w:tcPr>
            <w:tcW w:w="1199" w:type="dxa"/>
            <w:noWrap w:val="0"/>
            <w:vAlign w:val="center"/>
          </w:tcPr>
          <w:p w14:paraId="39C40B50">
            <w:pPr>
              <w:jc w:val="center"/>
              <w:rPr>
                <w:rFonts w:hint="eastAsia"/>
                <w:color w:val="auto"/>
                <w:sz w:val="21"/>
                <w:szCs w:val="21"/>
                <w:highlight w:val="none"/>
              </w:rPr>
            </w:pPr>
            <w:r>
              <w:rPr>
                <w:rFonts w:hint="eastAsia"/>
                <w:color w:val="auto"/>
                <w:sz w:val="21"/>
                <w:szCs w:val="21"/>
                <w:highlight w:val="none"/>
              </w:rPr>
              <w:t>服务便捷性</w:t>
            </w:r>
          </w:p>
        </w:tc>
        <w:tc>
          <w:tcPr>
            <w:tcW w:w="1092" w:type="dxa"/>
            <w:noWrap w:val="0"/>
            <w:vAlign w:val="center"/>
          </w:tcPr>
          <w:p w14:paraId="47AEB470">
            <w:pPr>
              <w:tabs>
                <w:tab w:val="left" w:pos="360"/>
              </w:tabs>
              <w:jc w:val="center"/>
              <w:rPr>
                <w:rFonts w:cs="宋体"/>
                <w:color w:val="auto"/>
                <w:sz w:val="21"/>
                <w:szCs w:val="21"/>
                <w:highlight w:val="none"/>
              </w:rPr>
            </w:pPr>
            <w:r>
              <w:rPr>
                <w:rFonts w:hint="eastAsia" w:cs="宋体"/>
                <w:color w:val="auto"/>
                <w:sz w:val="21"/>
                <w:szCs w:val="21"/>
                <w:highlight w:val="none"/>
                <w:lang w:val="en-US" w:eastAsia="zh-CN"/>
              </w:rPr>
              <w:t>6</w:t>
            </w:r>
            <w:r>
              <w:rPr>
                <w:rFonts w:hint="eastAsia" w:cs="宋体"/>
                <w:color w:val="auto"/>
                <w:sz w:val="21"/>
                <w:szCs w:val="21"/>
                <w:highlight w:val="none"/>
              </w:rPr>
              <w:t>分</w:t>
            </w:r>
          </w:p>
        </w:tc>
        <w:tc>
          <w:tcPr>
            <w:tcW w:w="5685" w:type="dxa"/>
            <w:noWrap w:val="0"/>
            <w:vAlign w:val="center"/>
          </w:tcPr>
          <w:p w14:paraId="28687A2B">
            <w:pPr>
              <w:pStyle w:val="19"/>
              <w:rPr>
                <w:rFonts w:hint="eastAsia"/>
                <w:color w:val="auto"/>
              </w:rPr>
            </w:pPr>
            <w:r>
              <w:rPr>
                <w:rFonts w:hint="eastAsia" w:ascii="Times New Roman" w:hAnsi="Times New Roman" w:eastAsia="宋体" w:cs="Times New Roman"/>
                <w:color w:val="auto"/>
                <w:sz w:val="21"/>
                <w:szCs w:val="21"/>
                <w:highlight w:val="none"/>
                <w:lang w:val="en-US" w:eastAsia="zh-CN" w:bidi="ar-SA"/>
              </w:rPr>
              <w:t>根据投标人的售后服务机构及服务承诺进行综合评定：售后服务机构能提供优质服务、响应迅速、服务便捷的得</w:t>
            </w:r>
            <w:r>
              <w:rPr>
                <w:rFonts w:hint="eastAsia" w:ascii="Times New Roman" w:hAnsi="Times New Roman" w:cs="Times New Roman"/>
                <w:color w:val="auto"/>
                <w:sz w:val="21"/>
                <w:szCs w:val="21"/>
                <w:highlight w:val="none"/>
                <w:lang w:val="en-US" w:eastAsia="zh-CN" w:bidi="ar-SA"/>
              </w:rPr>
              <w:t>6</w:t>
            </w:r>
            <w:r>
              <w:rPr>
                <w:rFonts w:hint="eastAsia" w:ascii="Times New Roman" w:hAnsi="Times New Roman" w:eastAsia="宋体" w:cs="Times New Roman"/>
                <w:color w:val="auto"/>
                <w:sz w:val="21"/>
                <w:szCs w:val="21"/>
                <w:highlight w:val="none"/>
                <w:lang w:val="en-US" w:eastAsia="zh-CN" w:bidi="ar-SA"/>
              </w:rPr>
              <w:t>分；满足项目需求的得</w:t>
            </w:r>
            <w:r>
              <w:rPr>
                <w:rFonts w:hint="eastAsia" w:ascii="Times New Roman" w:hAnsi="Times New Roman" w:cs="Times New Roman"/>
                <w:color w:val="auto"/>
                <w:sz w:val="21"/>
                <w:szCs w:val="21"/>
                <w:highlight w:val="none"/>
                <w:lang w:val="en-US" w:eastAsia="zh-CN" w:bidi="ar-SA"/>
              </w:rPr>
              <w:t>4</w:t>
            </w:r>
            <w:r>
              <w:rPr>
                <w:rFonts w:hint="eastAsia" w:ascii="Times New Roman" w:hAnsi="Times New Roman" w:eastAsia="宋体" w:cs="Times New Roman"/>
                <w:color w:val="auto"/>
                <w:sz w:val="21"/>
                <w:szCs w:val="21"/>
                <w:highlight w:val="none"/>
                <w:lang w:val="en-US" w:eastAsia="zh-CN" w:bidi="ar-SA"/>
              </w:rPr>
              <w:t>分；有所欠缺的得</w:t>
            </w:r>
            <w:r>
              <w:rPr>
                <w:rFonts w:hint="eastAsia" w:ascii="Times New Roman" w:hAnsi="Times New Roman" w:cs="Times New Roman"/>
                <w:color w:val="auto"/>
                <w:sz w:val="21"/>
                <w:szCs w:val="21"/>
                <w:highlight w:val="none"/>
                <w:lang w:val="en-US" w:eastAsia="zh-CN" w:bidi="ar-SA"/>
              </w:rPr>
              <w:t>2</w:t>
            </w:r>
            <w:r>
              <w:rPr>
                <w:rFonts w:hint="eastAsia" w:ascii="Times New Roman" w:hAnsi="Times New Roman" w:eastAsia="宋体" w:cs="Times New Roman"/>
                <w:color w:val="auto"/>
                <w:sz w:val="21"/>
                <w:szCs w:val="21"/>
                <w:highlight w:val="none"/>
                <w:lang w:val="en-US" w:eastAsia="zh-CN" w:bidi="ar-SA"/>
              </w:rPr>
              <w:t>分。未作说明的不得分。</w:t>
            </w:r>
          </w:p>
        </w:tc>
      </w:tr>
      <w:tr w14:paraId="2FC1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919" w:type="dxa"/>
            <w:vMerge w:val="restart"/>
            <w:noWrap w:val="0"/>
            <w:vAlign w:val="center"/>
          </w:tcPr>
          <w:p w14:paraId="63E4D572">
            <w:pPr>
              <w:spacing w:line="520" w:lineRule="exact"/>
              <w:jc w:val="center"/>
              <w:rPr>
                <w:b w:val="0"/>
                <w:bCs w:val="0"/>
                <w:color w:val="auto"/>
                <w:sz w:val="21"/>
                <w:szCs w:val="21"/>
                <w:highlight w:val="none"/>
              </w:rPr>
            </w:pPr>
            <w:r>
              <w:rPr>
                <w:rFonts w:hint="eastAsia"/>
                <w:b w:val="0"/>
                <w:bCs w:val="0"/>
                <w:color w:val="auto"/>
                <w:sz w:val="21"/>
                <w:szCs w:val="21"/>
                <w:highlight w:val="none"/>
              </w:rPr>
              <w:t>设备及人员配备</w:t>
            </w:r>
            <w:r>
              <w:rPr>
                <w:rFonts w:hint="eastAsia"/>
                <w:b w:val="0"/>
                <w:bCs w:val="0"/>
                <w:color w:val="auto"/>
                <w:sz w:val="21"/>
                <w:szCs w:val="21"/>
                <w:highlight w:val="none"/>
                <w:lang w:val="en-US" w:eastAsia="zh-CN"/>
              </w:rPr>
              <w:t>21</w:t>
            </w:r>
            <w:r>
              <w:rPr>
                <w:rFonts w:hint="eastAsia"/>
                <w:b w:val="0"/>
                <w:bCs w:val="0"/>
                <w:color w:val="auto"/>
                <w:sz w:val="21"/>
                <w:szCs w:val="21"/>
                <w:highlight w:val="none"/>
              </w:rPr>
              <w:t>分</w:t>
            </w:r>
          </w:p>
        </w:tc>
        <w:tc>
          <w:tcPr>
            <w:tcW w:w="1199" w:type="dxa"/>
            <w:noWrap w:val="0"/>
            <w:vAlign w:val="center"/>
          </w:tcPr>
          <w:p w14:paraId="12525FEA">
            <w:pPr>
              <w:jc w:val="center"/>
              <w:rPr>
                <w:b w:val="0"/>
                <w:bCs w:val="0"/>
                <w:color w:val="auto"/>
                <w:sz w:val="21"/>
                <w:szCs w:val="21"/>
                <w:highlight w:val="none"/>
              </w:rPr>
            </w:pPr>
            <w:r>
              <w:rPr>
                <w:rFonts w:hint="eastAsia"/>
                <w:b w:val="0"/>
                <w:bCs w:val="0"/>
                <w:color w:val="auto"/>
                <w:sz w:val="21"/>
                <w:szCs w:val="21"/>
                <w:highlight w:val="none"/>
              </w:rPr>
              <w:t>人员配备</w:t>
            </w:r>
          </w:p>
        </w:tc>
        <w:tc>
          <w:tcPr>
            <w:tcW w:w="1092" w:type="dxa"/>
            <w:noWrap w:val="0"/>
            <w:vAlign w:val="center"/>
          </w:tcPr>
          <w:p w14:paraId="42263515">
            <w:pPr>
              <w:jc w:val="center"/>
              <w:rPr>
                <w:rFonts w:hint="eastAsia"/>
                <w:b w:val="0"/>
                <w:bCs w:val="0"/>
                <w:color w:val="auto"/>
                <w:sz w:val="21"/>
                <w:szCs w:val="21"/>
                <w:highlight w:val="none"/>
              </w:rPr>
            </w:pPr>
            <w:r>
              <w:rPr>
                <w:rFonts w:hint="eastAsia"/>
                <w:b w:val="0"/>
                <w:bCs w:val="0"/>
                <w:color w:val="auto"/>
                <w:sz w:val="21"/>
                <w:szCs w:val="21"/>
                <w:highlight w:val="none"/>
                <w:lang w:val="en-US" w:eastAsia="zh-CN"/>
              </w:rPr>
              <w:t>12</w:t>
            </w:r>
            <w:r>
              <w:rPr>
                <w:rFonts w:hint="eastAsia"/>
                <w:b w:val="0"/>
                <w:bCs w:val="0"/>
                <w:color w:val="auto"/>
                <w:sz w:val="21"/>
                <w:szCs w:val="21"/>
                <w:highlight w:val="none"/>
              </w:rPr>
              <w:t>分</w:t>
            </w:r>
          </w:p>
        </w:tc>
        <w:tc>
          <w:tcPr>
            <w:tcW w:w="5685" w:type="dxa"/>
            <w:noWrap w:val="0"/>
            <w:vAlign w:val="center"/>
          </w:tcPr>
          <w:p w14:paraId="1AD5EF77">
            <w:pP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项目负责人且具有工程师（中级）及以上职称的得4分。</w:t>
            </w:r>
          </w:p>
          <w:p w14:paraId="5A994506">
            <w:pP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项目组成员</w:t>
            </w:r>
            <w:r>
              <w:rPr>
                <w:rFonts w:hint="eastAsia" w:cs="Times New Roman"/>
                <w:color w:val="auto"/>
                <w:sz w:val="21"/>
                <w:szCs w:val="21"/>
                <w:highlight w:val="none"/>
                <w:lang w:val="en-US" w:eastAsia="zh-CN" w:bidi="ar-SA"/>
              </w:rPr>
              <w:t>（除项目负责人外）</w:t>
            </w:r>
            <w:r>
              <w:rPr>
                <w:rFonts w:hint="eastAsia" w:ascii="Times New Roman" w:hAnsi="Times New Roman" w:eastAsia="宋体" w:cs="Times New Roman"/>
                <w:color w:val="auto"/>
                <w:sz w:val="21"/>
                <w:szCs w:val="21"/>
                <w:highlight w:val="none"/>
                <w:lang w:val="en-US" w:eastAsia="zh-CN" w:bidi="ar-SA"/>
              </w:rPr>
              <w:t>具有助理工程师及以上职称证书的有一个得2分，最多</w:t>
            </w:r>
            <w:r>
              <w:rPr>
                <w:rFonts w:hint="eastAsia" w:cs="Times New Roman"/>
                <w:color w:val="auto"/>
                <w:sz w:val="21"/>
                <w:szCs w:val="21"/>
                <w:highlight w:val="none"/>
                <w:lang w:val="en-US" w:eastAsia="zh-CN" w:bidi="ar-SA"/>
              </w:rPr>
              <w:t>得</w:t>
            </w:r>
            <w:r>
              <w:rPr>
                <w:rFonts w:hint="eastAsia" w:ascii="Times New Roman" w:hAnsi="Times New Roman" w:eastAsia="宋体" w:cs="Times New Roman"/>
                <w:color w:val="auto"/>
                <w:sz w:val="21"/>
                <w:szCs w:val="21"/>
                <w:highlight w:val="none"/>
                <w:lang w:val="en-US" w:eastAsia="zh-CN" w:bidi="ar-SA"/>
              </w:rPr>
              <w:t>8分。</w:t>
            </w:r>
          </w:p>
          <w:p w14:paraId="3DBBC594">
            <w:pPr>
              <w:rPr>
                <w:rFonts w:hint="eastAsia"/>
                <w:color w:val="auto"/>
              </w:rPr>
            </w:pPr>
            <w:r>
              <w:rPr>
                <w:rFonts w:hint="eastAsia" w:ascii="Times New Roman" w:hAnsi="Times New Roman" w:eastAsia="宋体" w:cs="Times New Roman"/>
                <w:color w:val="auto"/>
                <w:sz w:val="21"/>
                <w:szCs w:val="21"/>
                <w:highlight w:val="none"/>
                <w:lang w:val="en-US" w:eastAsia="zh-CN" w:bidi="ar-SA"/>
              </w:rPr>
              <w:t>注：</w:t>
            </w:r>
            <w:r>
              <w:rPr>
                <w:rFonts w:hint="eastAsia" w:cs="Times New Roman"/>
                <w:color w:val="auto"/>
                <w:sz w:val="21"/>
                <w:szCs w:val="21"/>
                <w:highlight w:val="none"/>
                <w:lang w:val="en-US" w:eastAsia="zh-CN" w:bidi="ar-SA"/>
              </w:rPr>
              <w:t>响应</w:t>
            </w:r>
            <w:r>
              <w:rPr>
                <w:rFonts w:hint="eastAsia" w:ascii="Times New Roman" w:hAnsi="Times New Roman" w:eastAsia="宋体" w:cs="Times New Roman"/>
                <w:color w:val="auto"/>
                <w:sz w:val="21"/>
                <w:szCs w:val="21"/>
                <w:highlight w:val="none"/>
                <w:lang w:val="en-US" w:eastAsia="zh-CN" w:bidi="ar-SA"/>
              </w:rPr>
              <w:t>文件中需提供人员相关证书及投标人</w:t>
            </w:r>
            <w:r>
              <w:rPr>
                <w:rFonts w:hint="eastAsia" w:cs="Times New Roman"/>
                <w:color w:val="auto"/>
                <w:sz w:val="21"/>
                <w:szCs w:val="21"/>
                <w:highlight w:val="none"/>
                <w:lang w:val="en-US" w:eastAsia="zh-CN" w:bidi="ar-SA"/>
              </w:rPr>
              <w:t>为其缴纳地</w:t>
            </w:r>
            <w:r>
              <w:rPr>
                <w:rFonts w:hint="eastAsia" w:ascii="Times New Roman" w:hAnsi="Times New Roman" w:eastAsia="宋体" w:cs="Times New Roman"/>
                <w:color w:val="auto"/>
                <w:sz w:val="21"/>
                <w:szCs w:val="21"/>
                <w:highlight w:val="none"/>
                <w:lang w:val="en-US" w:eastAsia="zh-CN" w:bidi="ar-SA"/>
              </w:rPr>
              <w:t>近三个月</w:t>
            </w:r>
            <w:r>
              <w:rPr>
                <w:rFonts w:hint="eastAsia" w:cs="Times New Roman"/>
                <w:color w:val="auto"/>
                <w:sz w:val="21"/>
                <w:szCs w:val="21"/>
                <w:highlight w:val="none"/>
                <w:lang w:val="en-US" w:eastAsia="zh-CN" w:bidi="ar-SA"/>
              </w:rPr>
              <w:t>中任意一个月</w:t>
            </w:r>
            <w:r>
              <w:rPr>
                <w:rFonts w:hint="eastAsia" w:ascii="Times New Roman" w:hAnsi="Times New Roman" w:eastAsia="宋体" w:cs="Times New Roman"/>
                <w:color w:val="auto"/>
                <w:sz w:val="21"/>
                <w:szCs w:val="21"/>
                <w:highlight w:val="none"/>
                <w:lang w:val="en-US" w:eastAsia="zh-CN" w:bidi="ar-SA"/>
              </w:rPr>
              <w:t>（包含2026年4—6月）的社保证明扫描件</w:t>
            </w:r>
            <w:r>
              <w:rPr>
                <w:rFonts w:hint="eastAsia" w:cs="Times New Roman"/>
                <w:color w:val="auto"/>
                <w:sz w:val="21"/>
                <w:szCs w:val="21"/>
                <w:highlight w:val="none"/>
                <w:lang w:val="en-US" w:eastAsia="zh-CN" w:bidi="ar-SA"/>
              </w:rPr>
              <w:t>，</w:t>
            </w:r>
            <w:r>
              <w:rPr>
                <w:rFonts w:hint="eastAsia" w:ascii="Times New Roman" w:hAnsi="Times New Roman" w:eastAsia="宋体" w:cs="Times New Roman"/>
                <w:color w:val="auto"/>
                <w:sz w:val="21"/>
                <w:szCs w:val="21"/>
                <w:highlight w:val="none"/>
                <w:lang w:val="en-US" w:eastAsia="zh-CN" w:bidi="ar-SA"/>
              </w:rPr>
              <w:t>未提供不得分。</w:t>
            </w:r>
          </w:p>
        </w:tc>
      </w:tr>
      <w:tr w14:paraId="00985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919" w:type="dxa"/>
            <w:vMerge w:val="continue"/>
            <w:noWrap w:val="0"/>
            <w:vAlign w:val="center"/>
          </w:tcPr>
          <w:p w14:paraId="60057010">
            <w:pPr>
              <w:spacing w:line="520" w:lineRule="exact"/>
              <w:jc w:val="center"/>
              <w:rPr>
                <w:b w:val="0"/>
                <w:bCs w:val="0"/>
                <w:color w:val="auto"/>
                <w:sz w:val="21"/>
                <w:szCs w:val="21"/>
                <w:highlight w:val="none"/>
              </w:rPr>
            </w:pPr>
          </w:p>
        </w:tc>
        <w:tc>
          <w:tcPr>
            <w:tcW w:w="1199" w:type="dxa"/>
            <w:vMerge w:val="restart"/>
            <w:noWrap w:val="0"/>
            <w:vAlign w:val="center"/>
          </w:tcPr>
          <w:p w14:paraId="14BD5A88">
            <w:pPr>
              <w:jc w:val="center"/>
              <w:rPr>
                <w:color w:val="auto"/>
                <w:sz w:val="21"/>
                <w:szCs w:val="21"/>
                <w:highlight w:val="none"/>
              </w:rPr>
            </w:pPr>
            <w:r>
              <w:rPr>
                <w:color w:val="auto"/>
                <w:sz w:val="21"/>
                <w:szCs w:val="21"/>
                <w:highlight w:val="none"/>
              </w:rPr>
              <w:t>车辆配备</w:t>
            </w:r>
          </w:p>
        </w:tc>
        <w:tc>
          <w:tcPr>
            <w:tcW w:w="1092" w:type="dxa"/>
            <w:noWrap w:val="0"/>
            <w:vAlign w:val="center"/>
          </w:tcPr>
          <w:p w14:paraId="131E201D">
            <w:pPr>
              <w:jc w:val="center"/>
              <w:rPr>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分</w:t>
            </w:r>
          </w:p>
        </w:tc>
        <w:tc>
          <w:tcPr>
            <w:tcW w:w="5685" w:type="dxa"/>
            <w:noWrap w:val="0"/>
            <w:vAlign w:val="top"/>
          </w:tcPr>
          <w:p w14:paraId="03204002">
            <w:pPr>
              <w:rPr>
                <w:rFonts w:hint="eastAsia"/>
                <w:b/>
                <w:bCs/>
                <w:color w:val="auto"/>
                <w:sz w:val="21"/>
                <w:szCs w:val="21"/>
                <w:highlight w:val="none"/>
              </w:rPr>
            </w:pPr>
          </w:p>
          <w:p w14:paraId="1C645A7B">
            <w:pPr>
              <w:rPr>
                <w:rFonts w:hint="eastAsia"/>
                <w:color w:val="auto"/>
                <w:sz w:val="21"/>
                <w:szCs w:val="21"/>
                <w:lang w:eastAsia="zh-CN"/>
              </w:rPr>
            </w:pPr>
            <w:r>
              <w:rPr>
                <w:rFonts w:hint="eastAsia"/>
                <w:color w:val="auto"/>
                <w:sz w:val="21"/>
                <w:szCs w:val="21"/>
              </w:rPr>
              <w:t>投标人拟</w:t>
            </w:r>
            <w:r>
              <w:rPr>
                <w:color w:val="auto"/>
                <w:sz w:val="21"/>
                <w:szCs w:val="21"/>
              </w:rPr>
              <w:t>为</w:t>
            </w:r>
            <w:r>
              <w:rPr>
                <w:rFonts w:hint="eastAsia"/>
                <w:color w:val="auto"/>
                <w:sz w:val="21"/>
                <w:szCs w:val="21"/>
              </w:rPr>
              <w:t>本项目投入核定载质量</w:t>
            </w:r>
            <w:r>
              <w:rPr>
                <w:color w:val="auto"/>
                <w:sz w:val="21"/>
                <w:szCs w:val="21"/>
              </w:rPr>
              <w:t>为</w:t>
            </w:r>
            <w:r>
              <w:rPr>
                <w:rFonts w:hint="eastAsia"/>
                <w:color w:val="auto"/>
                <w:sz w:val="21"/>
                <w:szCs w:val="21"/>
                <w:lang w:val="en-US" w:eastAsia="zh-CN"/>
              </w:rPr>
              <w:t>8</w:t>
            </w:r>
            <w:r>
              <w:rPr>
                <w:rFonts w:hint="eastAsia"/>
                <w:color w:val="auto"/>
                <w:sz w:val="21"/>
                <w:szCs w:val="21"/>
              </w:rPr>
              <w:t>吨及</w:t>
            </w:r>
            <w:r>
              <w:rPr>
                <w:color w:val="auto"/>
                <w:sz w:val="21"/>
                <w:szCs w:val="21"/>
              </w:rPr>
              <w:t>以上</w:t>
            </w:r>
            <w:r>
              <w:rPr>
                <w:rFonts w:hint="eastAsia"/>
                <w:color w:val="auto"/>
                <w:sz w:val="21"/>
                <w:szCs w:val="21"/>
              </w:rPr>
              <w:t>洒水车</w:t>
            </w:r>
            <w:r>
              <w:rPr>
                <w:rFonts w:hint="eastAsia"/>
                <w:color w:val="auto"/>
                <w:sz w:val="21"/>
                <w:szCs w:val="21"/>
                <w:lang w:val="en-US" w:eastAsia="zh-CN"/>
              </w:rPr>
              <w:t>有1</w:t>
            </w:r>
            <w:r>
              <w:rPr>
                <w:rFonts w:hint="eastAsia"/>
                <w:color w:val="auto"/>
                <w:sz w:val="21"/>
                <w:szCs w:val="21"/>
                <w:lang w:eastAsia="zh-CN"/>
              </w:rPr>
              <w:t>辆</w:t>
            </w:r>
            <w:r>
              <w:rPr>
                <w:rFonts w:hint="eastAsia"/>
                <w:color w:val="auto"/>
                <w:sz w:val="21"/>
                <w:szCs w:val="21"/>
                <w:lang w:val="en-US" w:eastAsia="zh-CN"/>
              </w:rPr>
              <w:t>得2</w:t>
            </w:r>
            <w:r>
              <w:rPr>
                <w:rFonts w:hint="eastAsia"/>
                <w:color w:val="auto"/>
                <w:sz w:val="21"/>
                <w:szCs w:val="21"/>
              </w:rPr>
              <w:t>分</w:t>
            </w:r>
            <w:r>
              <w:rPr>
                <w:rFonts w:hint="eastAsia"/>
                <w:color w:val="auto"/>
                <w:sz w:val="21"/>
                <w:szCs w:val="21"/>
                <w:lang w:eastAsia="zh-CN"/>
              </w:rPr>
              <w:t>。</w:t>
            </w:r>
          </w:p>
          <w:p w14:paraId="17271426">
            <w:pPr>
              <w:rPr>
                <w:rFonts w:hint="eastAsia" w:eastAsia="宋体"/>
                <w:color w:val="auto"/>
                <w:sz w:val="21"/>
                <w:szCs w:val="21"/>
                <w:lang w:val="en-US" w:eastAsia="zh-CN"/>
              </w:rPr>
            </w:pPr>
            <w:r>
              <w:rPr>
                <w:rFonts w:hint="eastAsia"/>
                <w:color w:val="auto"/>
                <w:sz w:val="21"/>
                <w:szCs w:val="21"/>
                <w:lang w:eastAsia="zh-CN"/>
              </w:rPr>
              <w:t>投标人</w:t>
            </w:r>
            <w:r>
              <w:rPr>
                <w:rFonts w:hint="eastAsia"/>
                <w:color w:val="auto"/>
                <w:sz w:val="21"/>
                <w:szCs w:val="21"/>
              </w:rPr>
              <w:t>拟</w:t>
            </w:r>
            <w:r>
              <w:rPr>
                <w:color w:val="auto"/>
                <w:sz w:val="21"/>
                <w:szCs w:val="21"/>
              </w:rPr>
              <w:t>为</w:t>
            </w:r>
            <w:r>
              <w:rPr>
                <w:rFonts w:hint="eastAsia"/>
                <w:color w:val="auto"/>
                <w:sz w:val="21"/>
                <w:szCs w:val="21"/>
              </w:rPr>
              <w:t>本项目投入</w:t>
            </w:r>
            <w:r>
              <w:rPr>
                <w:rFonts w:hint="eastAsia"/>
                <w:color w:val="auto"/>
                <w:sz w:val="21"/>
                <w:szCs w:val="21"/>
                <w:lang w:val="en-US" w:eastAsia="zh-CN"/>
              </w:rPr>
              <w:t>小型或中型普通客车的</w:t>
            </w:r>
            <w:r>
              <w:rPr>
                <w:rFonts w:hint="eastAsia"/>
                <w:color w:val="auto"/>
                <w:sz w:val="21"/>
                <w:szCs w:val="21"/>
                <w:lang w:eastAsia="zh-CN"/>
              </w:rPr>
              <w:t>有</w:t>
            </w:r>
            <w:r>
              <w:rPr>
                <w:rFonts w:hint="eastAsia"/>
                <w:color w:val="auto"/>
                <w:sz w:val="21"/>
                <w:szCs w:val="21"/>
                <w:lang w:val="en-US" w:eastAsia="zh-CN"/>
              </w:rPr>
              <w:t>1辆得2分。</w:t>
            </w:r>
          </w:p>
          <w:p w14:paraId="1A51BA31">
            <w:pPr>
              <w:rPr>
                <w:rFonts w:hint="eastAsia"/>
                <w:color w:val="auto"/>
              </w:rPr>
            </w:pPr>
            <w:r>
              <w:rPr>
                <w:rFonts w:hint="eastAsia"/>
                <w:b/>
                <w:bCs/>
                <w:color w:val="auto"/>
                <w:sz w:val="21"/>
                <w:szCs w:val="21"/>
              </w:rPr>
              <w:t>注：</w:t>
            </w:r>
            <w:r>
              <w:rPr>
                <w:rFonts w:hint="eastAsia"/>
                <w:b/>
                <w:bCs/>
                <w:color w:val="auto"/>
                <w:sz w:val="21"/>
                <w:szCs w:val="21"/>
                <w:lang w:eastAsia="zh-CN"/>
              </w:rPr>
              <w:t>上述车辆为投标人</w:t>
            </w:r>
            <w:r>
              <w:rPr>
                <w:rFonts w:hint="eastAsia"/>
                <w:b/>
                <w:bCs/>
                <w:color w:val="auto"/>
                <w:sz w:val="21"/>
                <w:szCs w:val="21"/>
                <w:lang w:val="en-US" w:eastAsia="zh-CN"/>
              </w:rPr>
              <w:t>自有或租赁</w:t>
            </w:r>
            <w:r>
              <w:rPr>
                <w:rFonts w:hint="eastAsia"/>
                <w:b/>
                <w:bCs/>
                <w:color w:val="auto"/>
                <w:sz w:val="21"/>
                <w:szCs w:val="21"/>
                <w:lang w:eastAsia="zh-CN"/>
              </w:rPr>
              <w:t>，</w:t>
            </w:r>
            <w:r>
              <w:rPr>
                <w:rFonts w:hint="eastAsia"/>
                <w:b/>
                <w:bCs/>
                <w:color w:val="auto"/>
                <w:sz w:val="21"/>
                <w:szCs w:val="21"/>
              </w:rPr>
              <w:t>投标文件中提供车辆行驶证扫描件及车辆照片</w:t>
            </w:r>
            <w:r>
              <w:rPr>
                <w:rFonts w:hint="eastAsia"/>
                <w:b/>
                <w:bCs/>
                <w:color w:val="auto"/>
                <w:sz w:val="21"/>
                <w:szCs w:val="21"/>
                <w:lang w:eastAsia="zh-CN"/>
              </w:rPr>
              <w:t>，</w:t>
            </w:r>
            <w:r>
              <w:rPr>
                <w:rFonts w:hint="eastAsia"/>
                <w:b/>
                <w:bCs/>
                <w:color w:val="auto"/>
                <w:sz w:val="21"/>
                <w:szCs w:val="21"/>
                <w:lang w:val="en-US" w:eastAsia="zh-CN"/>
              </w:rPr>
              <w:t>如为租赁还需提供租赁合同，</w:t>
            </w:r>
            <w:r>
              <w:rPr>
                <w:rFonts w:hint="eastAsia"/>
                <w:b/>
                <w:bCs/>
                <w:color w:val="auto"/>
                <w:sz w:val="21"/>
                <w:szCs w:val="21"/>
              </w:rPr>
              <w:t>否则不得分。</w:t>
            </w:r>
          </w:p>
        </w:tc>
      </w:tr>
      <w:tr w14:paraId="7353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919" w:type="dxa"/>
            <w:vMerge w:val="continue"/>
            <w:noWrap w:val="0"/>
            <w:vAlign w:val="center"/>
          </w:tcPr>
          <w:p w14:paraId="6D4D3A3C">
            <w:pPr>
              <w:spacing w:line="520" w:lineRule="exact"/>
              <w:jc w:val="center"/>
              <w:rPr>
                <w:b w:val="0"/>
                <w:bCs w:val="0"/>
                <w:color w:val="auto"/>
                <w:sz w:val="21"/>
                <w:szCs w:val="21"/>
                <w:highlight w:val="none"/>
              </w:rPr>
            </w:pPr>
          </w:p>
        </w:tc>
        <w:tc>
          <w:tcPr>
            <w:tcW w:w="1199" w:type="dxa"/>
            <w:noWrap w:val="0"/>
            <w:vAlign w:val="center"/>
          </w:tcPr>
          <w:p w14:paraId="0DA38CB8">
            <w:pPr>
              <w:adjustRightInd w:val="0"/>
              <w:snapToGrid w:val="0"/>
              <w:spacing w:line="360" w:lineRule="auto"/>
              <w:jc w:val="center"/>
              <w:rPr>
                <w:rFonts w:cs="宋体"/>
                <w:color w:val="auto"/>
                <w:sz w:val="21"/>
                <w:szCs w:val="21"/>
                <w:highlight w:val="none"/>
              </w:rPr>
            </w:pPr>
            <w:r>
              <w:rPr>
                <w:rFonts w:cs="宋体"/>
                <w:color w:val="auto"/>
                <w:sz w:val="21"/>
                <w:szCs w:val="21"/>
                <w:highlight w:val="none"/>
              </w:rPr>
              <w:t>小型机械设备配备</w:t>
            </w:r>
          </w:p>
        </w:tc>
        <w:tc>
          <w:tcPr>
            <w:tcW w:w="1092" w:type="dxa"/>
            <w:noWrap w:val="0"/>
            <w:vAlign w:val="center"/>
          </w:tcPr>
          <w:p w14:paraId="12479784">
            <w:pPr>
              <w:adjustRightInd w:val="0"/>
              <w:snapToGrid w:val="0"/>
              <w:spacing w:line="360" w:lineRule="auto"/>
              <w:jc w:val="center"/>
              <w:rPr>
                <w:rFonts w:cs="宋体"/>
                <w:color w:val="auto"/>
                <w:sz w:val="21"/>
                <w:szCs w:val="21"/>
                <w:highlight w:val="none"/>
              </w:rPr>
            </w:pPr>
            <w:r>
              <w:rPr>
                <w:rFonts w:hint="eastAsia" w:cs="宋体"/>
                <w:color w:val="auto"/>
                <w:sz w:val="21"/>
                <w:szCs w:val="21"/>
                <w:highlight w:val="none"/>
                <w:lang w:val="en-US" w:eastAsia="zh-CN"/>
              </w:rPr>
              <w:t>5</w:t>
            </w:r>
            <w:r>
              <w:rPr>
                <w:rFonts w:cs="宋体"/>
                <w:color w:val="auto"/>
                <w:sz w:val="21"/>
                <w:szCs w:val="21"/>
                <w:highlight w:val="none"/>
              </w:rPr>
              <w:t>分</w:t>
            </w:r>
          </w:p>
        </w:tc>
        <w:tc>
          <w:tcPr>
            <w:tcW w:w="5685" w:type="dxa"/>
            <w:noWrap w:val="0"/>
            <w:vAlign w:val="center"/>
          </w:tcPr>
          <w:p w14:paraId="059D0B40">
            <w:pPr>
              <w:adjustRightInd w:val="0"/>
              <w:snapToGrid w:val="0"/>
              <w:rPr>
                <w:rFonts w:cs="宋体"/>
                <w:color w:val="auto"/>
                <w:sz w:val="21"/>
                <w:szCs w:val="21"/>
              </w:rPr>
            </w:pPr>
            <w:r>
              <w:rPr>
                <w:rFonts w:hint="eastAsia" w:cs="宋体"/>
                <w:color w:val="auto"/>
                <w:sz w:val="21"/>
                <w:szCs w:val="21"/>
              </w:rPr>
              <w:t>投标人</w:t>
            </w:r>
            <w:r>
              <w:rPr>
                <w:rFonts w:cs="宋体"/>
                <w:color w:val="auto"/>
                <w:sz w:val="21"/>
                <w:szCs w:val="21"/>
              </w:rPr>
              <w:t>具有草坪机、割灌机、油锯、绿篱机、水泵</w:t>
            </w:r>
            <w:r>
              <w:rPr>
                <w:rFonts w:hint="eastAsia" w:cs="宋体"/>
                <w:color w:val="auto"/>
                <w:sz w:val="21"/>
                <w:szCs w:val="21"/>
                <w:lang w:val="en-US" w:eastAsia="zh-CN"/>
              </w:rPr>
              <w:t>5</w:t>
            </w:r>
            <w:r>
              <w:rPr>
                <w:rFonts w:hint="eastAsia" w:cs="宋体"/>
                <w:color w:val="auto"/>
                <w:sz w:val="21"/>
                <w:szCs w:val="21"/>
              </w:rPr>
              <w:t>类</w:t>
            </w:r>
            <w:r>
              <w:rPr>
                <w:rFonts w:cs="宋体"/>
                <w:color w:val="auto"/>
                <w:sz w:val="21"/>
                <w:szCs w:val="21"/>
              </w:rPr>
              <w:t>设备，</w:t>
            </w:r>
            <w:r>
              <w:rPr>
                <w:rFonts w:hint="eastAsia" w:cs="宋体"/>
                <w:color w:val="auto"/>
                <w:sz w:val="21"/>
                <w:szCs w:val="21"/>
              </w:rPr>
              <w:t>每</w:t>
            </w:r>
            <w:r>
              <w:rPr>
                <w:rFonts w:cs="宋体"/>
                <w:color w:val="auto"/>
                <w:sz w:val="21"/>
                <w:szCs w:val="21"/>
              </w:rPr>
              <w:t>有</w:t>
            </w:r>
            <w:r>
              <w:rPr>
                <w:rFonts w:hint="eastAsia" w:cs="宋体"/>
                <w:color w:val="auto"/>
                <w:sz w:val="21"/>
                <w:szCs w:val="21"/>
              </w:rPr>
              <w:t>1台加</w:t>
            </w:r>
            <w:r>
              <w:rPr>
                <w:rFonts w:cs="宋体"/>
                <w:color w:val="auto"/>
                <w:sz w:val="21"/>
                <w:szCs w:val="21"/>
              </w:rPr>
              <w:t>0.5分</w:t>
            </w:r>
            <w:r>
              <w:rPr>
                <w:rFonts w:hint="eastAsia" w:cs="宋体"/>
                <w:color w:val="auto"/>
                <w:sz w:val="21"/>
                <w:szCs w:val="21"/>
              </w:rPr>
              <w:t>，最多</w:t>
            </w:r>
            <w:r>
              <w:rPr>
                <w:rFonts w:cs="宋体"/>
                <w:color w:val="auto"/>
                <w:sz w:val="21"/>
                <w:szCs w:val="21"/>
              </w:rPr>
              <w:t>加至</w:t>
            </w:r>
            <w:r>
              <w:rPr>
                <w:rFonts w:hint="eastAsia" w:cs="宋体"/>
                <w:color w:val="auto"/>
                <w:sz w:val="21"/>
                <w:szCs w:val="21"/>
                <w:lang w:val="en-US" w:eastAsia="zh-CN"/>
              </w:rPr>
              <w:t>5</w:t>
            </w:r>
            <w:r>
              <w:rPr>
                <w:rFonts w:hint="eastAsia" w:cs="宋体"/>
                <w:color w:val="auto"/>
                <w:sz w:val="21"/>
                <w:szCs w:val="21"/>
              </w:rPr>
              <w:t>分</w:t>
            </w:r>
            <w:r>
              <w:rPr>
                <w:rFonts w:cs="宋体"/>
                <w:color w:val="auto"/>
                <w:sz w:val="21"/>
                <w:szCs w:val="21"/>
              </w:rPr>
              <w:t>；</w:t>
            </w:r>
            <w:r>
              <w:rPr>
                <w:rFonts w:hint="eastAsia" w:cs="宋体"/>
                <w:color w:val="auto"/>
                <w:sz w:val="21"/>
                <w:szCs w:val="21"/>
              </w:rPr>
              <w:t>如</w:t>
            </w:r>
            <w:r>
              <w:rPr>
                <w:rFonts w:cs="宋体"/>
                <w:color w:val="auto"/>
                <w:sz w:val="21"/>
                <w:szCs w:val="21"/>
              </w:rPr>
              <w:t>缺</w:t>
            </w:r>
            <w:r>
              <w:rPr>
                <w:rFonts w:hint="eastAsia" w:cs="宋体"/>
                <w:color w:val="auto"/>
                <w:sz w:val="21"/>
                <w:szCs w:val="21"/>
              </w:rPr>
              <w:t>1</w:t>
            </w:r>
            <w:r>
              <w:rPr>
                <w:rFonts w:hint="eastAsia" w:cs="宋体"/>
                <w:color w:val="auto"/>
                <w:sz w:val="21"/>
                <w:szCs w:val="21"/>
                <w:lang w:val="en-US" w:eastAsia="zh-CN"/>
              </w:rPr>
              <w:t>种</w:t>
            </w:r>
            <w:r>
              <w:rPr>
                <w:rFonts w:cs="宋体"/>
                <w:color w:val="auto"/>
                <w:sz w:val="21"/>
                <w:szCs w:val="21"/>
              </w:rPr>
              <w:t>设备</w:t>
            </w:r>
            <w:r>
              <w:rPr>
                <w:rFonts w:hint="eastAsia" w:cs="宋体"/>
                <w:color w:val="auto"/>
                <w:sz w:val="21"/>
                <w:szCs w:val="21"/>
              </w:rPr>
              <w:t>则最多加</w:t>
            </w:r>
            <w:r>
              <w:rPr>
                <w:rFonts w:cs="宋体"/>
                <w:color w:val="auto"/>
                <w:sz w:val="21"/>
                <w:szCs w:val="21"/>
              </w:rPr>
              <w:t>至</w:t>
            </w:r>
            <w:r>
              <w:rPr>
                <w:rFonts w:hint="eastAsia" w:cs="宋体"/>
                <w:color w:val="auto"/>
                <w:sz w:val="21"/>
                <w:szCs w:val="21"/>
                <w:lang w:val="en-US" w:eastAsia="zh-CN"/>
              </w:rPr>
              <w:t>4</w:t>
            </w:r>
            <w:r>
              <w:rPr>
                <w:rFonts w:hint="eastAsia" w:cs="宋体"/>
                <w:color w:val="auto"/>
                <w:sz w:val="21"/>
                <w:szCs w:val="21"/>
              </w:rPr>
              <w:t>分；缺2类</w:t>
            </w:r>
            <w:r>
              <w:rPr>
                <w:rFonts w:cs="宋体"/>
                <w:color w:val="auto"/>
                <w:sz w:val="21"/>
                <w:szCs w:val="21"/>
              </w:rPr>
              <w:t>设备最多加至</w:t>
            </w:r>
            <w:r>
              <w:rPr>
                <w:rFonts w:hint="eastAsia" w:cs="宋体"/>
                <w:color w:val="auto"/>
                <w:sz w:val="21"/>
                <w:szCs w:val="21"/>
                <w:lang w:val="en-US" w:eastAsia="zh-CN"/>
              </w:rPr>
              <w:t>3</w:t>
            </w:r>
            <w:r>
              <w:rPr>
                <w:rFonts w:hint="eastAsia" w:cs="宋体"/>
                <w:color w:val="auto"/>
                <w:sz w:val="21"/>
                <w:szCs w:val="21"/>
              </w:rPr>
              <w:t>分；</w:t>
            </w:r>
            <w:r>
              <w:rPr>
                <w:rFonts w:cs="宋体"/>
                <w:color w:val="auto"/>
                <w:sz w:val="21"/>
                <w:szCs w:val="21"/>
              </w:rPr>
              <w:t>以此类推。</w:t>
            </w:r>
          </w:p>
          <w:p w14:paraId="412DEF62">
            <w:pPr>
              <w:adjustRightInd w:val="0"/>
              <w:snapToGrid w:val="0"/>
              <w:rPr>
                <w:rFonts w:hint="eastAsia"/>
                <w:b/>
                <w:color w:val="auto"/>
                <w:highlight w:val="none"/>
                <w:lang w:eastAsia="zh-CN"/>
              </w:rPr>
            </w:pPr>
            <w:r>
              <w:rPr>
                <w:rFonts w:hint="eastAsia"/>
                <w:b/>
                <w:bCs/>
                <w:color w:val="auto"/>
                <w:sz w:val="21"/>
                <w:szCs w:val="21"/>
              </w:rPr>
              <w:t>注：</w:t>
            </w:r>
            <w:r>
              <w:rPr>
                <w:rFonts w:hint="eastAsia"/>
                <w:b/>
                <w:bCs/>
                <w:color w:val="auto"/>
                <w:sz w:val="21"/>
                <w:szCs w:val="21"/>
                <w:lang w:val="en-US" w:eastAsia="zh-CN"/>
              </w:rPr>
              <w:t>如为自有需提供购买设备发票扫描件，如为租赁需提供租赁合同扫描件。</w:t>
            </w:r>
          </w:p>
          <w:p w14:paraId="76C52DA5">
            <w:pPr>
              <w:adjustRightInd w:val="0"/>
              <w:snapToGrid w:val="0"/>
              <w:rPr>
                <w:rFonts w:hint="eastAsia"/>
                <w:b/>
                <w:color w:val="auto"/>
                <w:highlight w:val="none"/>
                <w:lang w:eastAsia="zh-CN"/>
              </w:rPr>
            </w:pPr>
          </w:p>
        </w:tc>
      </w:tr>
      <w:tr w14:paraId="11FE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919" w:type="dxa"/>
            <w:noWrap w:val="0"/>
            <w:vAlign w:val="center"/>
          </w:tcPr>
          <w:p w14:paraId="769D0A22">
            <w:pPr>
              <w:jc w:val="center"/>
              <w:rPr>
                <w:b w:val="0"/>
                <w:bCs w:val="0"/>
                <w:color w:val="auto"/>
                <w:sz w:val="21"/>
                <w:szCs w:val="21"/>
                <w:highlight w:val="none"/>
              </w:rPr>
            </w:pPr>
            <w:r>
              <w:rPr>
                <w:b w:val="0"/>
                <w:bCs w:val="0"/>
                <w:color w:val="auto"/>
                <w:sz w:val="21"/>
                <w:szCs w:val="21"/>
                <w:highlight w:val="none"/>
              </w:rPr>
              <w:t>业绩</w:t>
            </w:r>
            <w:r>
              <w:rPr>
                <w:rFonts w:hint="eastAsia"/>
                <w:b w:val="0"/>
                <w:bCs w:val="0"/>
                <w:color w:val="auto"/>
                <w:sz w:val="21"/>
                <w:szCs w:val="21"/>
                <w:highlight w:val="none"/>
                <w:lang w:val="en-US" w:eastAsia="zh-CN"/>
              </w:rPr>
              <w:t>6</w:t>
            </w:r>
            <w:r>
              <w:rPr>
                <w:b w:val="0"/>
                <w:bCs w:val="0"/>
                <w:color w:val="auto"/>
                <w:sz w:val="21"/>
                <w:szCs w:val="21"/>
                <w:highlight w:val="none"/>
              </w:rPr>
              <w:t>分</w:t>
            </w:r>
          </w:p>
        </w:tc>
        <w:tc>
          <w:tcPr>
            <w:tcW w:w="1199" w:type="dxa"/>
            <w:noWrap w:val="0"/>
            <w:vAlign w:val="center"/>
          </w:tcPr>
          <w:p w14:paraId="6056142C">
            <w:pPr>
              <w:pStyle w:val="17"/>
              <w:jc w:val="center"/>
              <w:rPr>
                <w:rFonts w:ascii="Times New Roman" w:hAnsi="Times New Roman" w:eastAsia="宋体"/>
                <w:color w:val="auto"/>
                <w:sz w:val="21"/>
                <w:szCs w:val="21"/>
                <w:highlight w:val="none"/>
                <w:lang w:val="en-US" w:eastAsia="zh-CN"/>
              </w:rPr>
            </w:pPr>
            <w:r>
              <w:rPr>
                <w:rFonts w:ascii="Times New Roman" w:hAnsi="Times New Roman" w:eastAsia="宋体"/>
                <w:color w:val="auto"/>
                <w:sz w:val="21"/>
                <w:szCs w:val="21"/>
                <w:highlight w:val="none"/>
                <w:lang w:val="en-US" w:eastAsia="zh-CN"/>
              </w:rPr>
              <w:t>业绩情况</w:t>
            </w:r>
          </w:p>
        </w:tc>
        <w:tc>
          <w:tcPr>
            <w:tcW w:w="1092" w:type="dxa"/>
            <w:noWrap w:val="0"/>
            <w:vAlign w:val="center"/>
          </w:tcPr>
          <w:p w14:paraId="1F51AA20">
            <w:pPr>
              <w:jc w:val="center"/>
              <w:rPr>
                <w:color w:val="auto"/>
                <w:sz w:val="21"/>
                <w:szCs w:val="21"/>
                <w:highlight w:val="none"/>
              </w:rPr>
            </w:pPr>
            <w:r>
              <w:rPr>
                <w:rFonts w:hint="eastAsia"/>
                <w:color w:val="auto"/>
                <w:sz w:val="21"/>
                <w:szCs w:val="21"/>
                <w:highlight w:val="none"/>
                <w:lang w:val="en-US" w:eastAsia="zh-CN"/>
              </w:rPr>
              <w:t>6</w:t>
            </w:r>
            <w:r>
              <w:rPr>
                <w:color w:val="auto"/>
                <w:sz w:val="21"/>
                <w:szCs w:val="21"/>
                <w:highlight w:val="none"/>
              </w:rPr>
              <w:t>分</w:t>
            </w:r>
          </w:p>
        </w:tc>
        <w:tc>
          <w:tcPr>
            <w:tcW w:w="5685" w:type="dxa"/>
            <w:noWrap w:val="0"/>
            <w:vAlign w:val="center"/>
          </w:tcPr>
          <w:p w14:paraId="1E031749">
            <w:pPr>
              <w:tabs>
                <w:tab w:val="left" w:pos="360"/>
              </w:tabs>
              <w:rPr>
                <w:rFonts w:hint="eastAsia"/>
                <w:color w:val="auto"/>
                <w:sz w:val="21"/>
                <w:szCs w:val="21"/>
              </w:rPr>
            </w:pPr>
            <w:r>
              <w:rPr>
                <w:color w:val="auto"/>
                <w:sz w:val="21"/>
                <w:szCs w:val="21"/>
              </w:rPr>
              <w:t>根据投标人</w:t>
            </w:r>
            <w:r>
              <w:rPr>
                <w:rFonts w:hint="eastAsia"/>
                <w:color w:val="auto"/>
                <w:sz w:val="21"/>
                <w:szCs w:val="21"/>
              </w:rPr>
              <w:t>202</w:t>
            </w:r>
            <w:r>
              <w:rPr>
                <w:rFonts w:hint="eastAsia"/>
                <w:color w:val="auto"/>
                <w:sz w:val="21"/>
                <w:szCs w:val="21"/>
                <w:lang w:val="en-US" w:eastAsia="zh-CN"/>
              </w:rPr>
              <w:t>3</w:t>
            </w:r>
            <w:r>
              <w:rPr>
                <w:rFonts w:hint="eastAsia"/>
                <w:color w:val="auto"/>
                <w:sz w:val="21"/>
                <w:szCs w:val="21"/>
              </w:rPr>
              <w:t>年1月1日（以合同履行服务时间为准）至今实施的</w:t>
            </w:r>
            <w:r>
              <w:rPr>
                <w:rFonts w:hint="eastAsia"/>
                <w:color w:val="auto"/>
                <w:sz w:val="21"/>
                <w:szCs w:val="21"/>
                <w:lang w:val="en-US" w:eastAsia="zh-CN"/>
              </w:rPr>
              <w:t>类似项目</w:t>
            </w:r>
            <w:r>
              <w:rPr>
                <w:rFonts w:hint="eastAsia"/>
                <w:color w:val="auto"/>
                <w:sz w:val="21"/>
                <w:szCs w:val="21"/>
              </w:rPr>
              <w:t>业绩</w:t>
            </w:r>
            <w:r>
              <w:rPr>
                <w:color w:val="auto"/>
                <w:sz w:val="21"/>
                <w:szCs w:val="21"/>
              </w:rPr>
              <w:t>情况进行评定</w:t>
            </w:r>
            <w:r>
              <w:rPr>
                <w:rFonts w:hint="eastAsia"/>
                <w:color w:val="auto"/>
                <w:sz w:val="21"/>
                <w:szCs w:val="21"/>
              </w:rPr>
              <w:t>（绿化施工附带的绿化养护除外）</w:t>
            </w:r>
            <w:r>
              <w:rPr>
                <w:color w:val="auto"/>
                <w:sz w:val="21"/>
                <w:szCs w:val="21"/>
              </w:rPr>
              <w:t>，</w:t>
            </w:r>
            <w:r>
              <w:rPr>
                <w:rFonts w:hint="eastAsia"/>
                <w:color w:val="auto"/>
                <w:sz w:val="21"/>
                <w:szCs w:val="21"/>
              </w:rPr>
              <w:t>每提供一个得</w:t>
            </w:r>
            <w:r>
              <w:rPr>
                <w:rFonts w:hint="eastAsia"/>
                <w:color w:val="auto"/>
                <w:sz w:val="21"/>
                <w:szCs w:val="21"/>
                <w:lang w:val="en-US" w:eastAsia="zh-CN"/>
              </w:rPr>
              <w:t>1</w:t>
            </w:r>
            <w:r>
              <w:rPr>
                <w:rFonts w:hint="eastAsia"/>
                <w:color w:val="auto"/>
                <w:sz w:val="21"/>
                <w:szCs w:val="21"/>
              </w:rPr>
              <w:t>分，</w:t>
            </w:r>
            <w:r>
              <w:rPr>
                <w:color w:val="auto"/>
                <w:sz w:val="21"/>
                <w:szCs w:val="21"/>
              </w:rPr>
              <w:t>最高得</w:t>
            </w:r>
            <w:r>
              <w:rPr>
                <w:rFonts w:hint="eastAsia"/>
                <w:color w:val="auto"/>
                <w:sz w:val="21"/>
                <w:szCs w:val="21"/>
                <w:lang w:val="en-US" w:eastAsia="zh-CN"/>
              </w:rPr>
              <w:t>6</w:t>
            </w:r>
            <w:r>
              <w:rPr>
                <w:color w:val="auto"/>
                <w:sz w:val="21"/>
                <w:szCs w:val="21"/>
              </w:rPr>
              <w:t>分。</w:t>
            </w:r>
            <w:r>
              <w:rPr>
                <w:rFonts w:hint="eastAsia"/>
                <w:color w:val="auto"/>
                <w:sz w:val="21"/>
                <w:szCs w:val="21"/>
              </w:rPr>
              <w:t>未提供</w:t>
            </w:r>
            <w:r>
              <w:rPr>
                <w:color w:val="auto"/>
                <w:sz w:val="21"/>
                <w:szCs w:val="21"/>
              </w:rPr>
              <w:t>业绩证明材料的不得分。</w:t>
            </w:r>
          </w:p>
          <w:p w14:paraId="2DC2B017">
            <w:pPr>
              <w:tabs>
                <w:tab w:val="left" w:pos="360"/>
              </w:tabs>
              <w:rPr>
                <w:rFonts w:hint="eastAsia"/>
                <w:b/>
                <w:color w:val="auto"/>
                <w:sz w:val="21"/>
                <w:szCs w:val="21"/>
                <w:highlight w:val="none"/>
              </w:rPr>
            </w:pPr>
            <w:r>
              <w:rPr>
                <w:rFonts w:hint="eastAsia"/>
                <w:b/>
                <w:color w:val="auto"/>
                <w:sz w:val="21"/>
                <w:szCs w:val="21"/>
              </w:rPr>
              <w:t>注：投标文件中需提供业绩相关合同扫描件</w:t>
            </w:r>
            <w:r>
              <w:rPr>
                <w:rFonts w:hint="eastAsia"/>
                <w:b/>
                <w:color w:val="auto"/>
                <w:sz w:val="21"/>
                <w:szCs w:val="21"/>
                <w:lang w:eastAsia="zh-CN"/>
              </w:rPr>
              <w:t>和银行流水</w:t>
            </w:r>
            <w:r>
              <w:rPr>
                <w:rFonts w:hint="eastAsia"/>
                <w:b/>
                <w:color w:val="auto"/>
                <w:sz w:val="21"/>
                <w:szCs w:val="21"/>
              </w:rPr>
              <w:t>扫描件，未提供的不得分。</w:t>
            </w:r>
          </w:p>
        </w:tc>
      </w:tr>
      <w:tr w14:paraId="502E3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9" w:type="dxa"/>
            <w:noWrap w:val="0"/>
            <w:vAlign w:val="center"/>
          </w:tcPr>
          <w:p w14:paraId="357E9651">
            <w:pPr>
              <w:jc w:val="center"/>
              <w:rPr>
                <w:rFonts w:hint="eastAsia" w:eastAsia="宋体"/>
                <w:b/>
                <w:bCs/>
                <w:color w:val="auto"/>
                <w:sz w:val="21"/>
                <w:szCs w:val="21"/>
                <w:highlight w:val="none"/>
                <w:lang w:eastAsia="zh-CN"/>
              </w:rPr>
            </w:pPr>
            <w:r>
              <w:rPr>
                <w:b w:val="0"/>
                <w:bCs w:val="0"/>
                <w:color w:val="auto"/>
                <w:sz w:val="21"/>
                <w:szCs w:val="21"/>
                <w:highlight w:val="none"/>
              </w:rPr>
              <w:t>综合实力</w:t>
            </w:r>
            <w:r>
              <w:rPr>
                <w:rFonts w:hint="eastAsia"/>
                <w:b w:val="0"/>
                <w:bCs w:val="0"/>
                <w:color w:val="auto"/>
                <w:sz w:val="21"/>
                <w:szCs w:val="21"/>
                <w:highlight w:val="none"/>
                <w:lang w:val="en-US" w:eastAsia="zh-CN"/>
              </w:rPr>
              <w:t>3分</w:t>
            </w:r>
          </w:p>
        </w:tc>
        <w:tc>
          <w:tcPr>
            <w:tcW w:w="1199" w:type="dxa"/>
            <w:shd w:val="clear" w:color="auto" w:fill="auto"/>
            <w:noWrap w:val="0"/>
            <w:vAlign w:val="center"/>
          </w:tcPr>
          <w:p w14:paraId="48CC1072">
            <w:pPr>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体系认证</w:t>
            </w:r>
          </w:p>
        </w:tc>
        <w:tc>
          <w:tcPr>
            <w:tcW w:w="1092" w:type="dxa"/>
            <w:shd w:val="clear" w:color="auto" w:fill="auto"/>
            <w:noWrap w:val="0"/>
            <w:vAlign w:val="center"/>
          </w:tcPr>
          <w:p w14:paraId="76F010EE">
            <w:pPr>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3分</w:t>
            </w:r>
          </w:p>
        </w:tc>
        <w:tc>
          <w:tcPr>
            <w:tcW w:w="5685" w:type="dxa"/>
            <w:shd w:val="clear" w:color="auto" w:fill="auto"/>
            <w:noWrap w:val="0"/>
            <w:vAlign w:val="center"/>
          </w:tcPr>
          <w:p w14:paraId="79130146">
            <w:pPr>
              <w:pStyle w:val="243"/>
              <w:widowControl/>
              <w:spacing w:line="380" w:lineRule="exact"/>
              <w:ind w:firstLine="0"/>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供应商具备有效期内的质量管理体系认证证书，环境管理体系认证证书，职业健康安全管理体系认证证书，提供1个得1分，满分得3分。</w:t>
            </w:r>
          </w:p>
          <w:p w14:paraId="44B973C6">
            <w:pPr>
              <w:pStyle w:val="243"/>
              <w:widowControl/>
              <w:spacing w:line="380" w:lineRule="exact"/>
              <w:ind w:firstLine="0"/>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提供有效证书原件扫描上传及“国家市场监督管理总局-全国认证认可信息公共服务平台”查询截图（网址：</w:t>
            </w:r>
            <w:r>
              <w:rPr>
                <w:color w:val="auto"/>
                <w:highlight w:val="none"/>
              </w:rPr>
              <w:fldChar w:fldCharType="begin"/>
            </w:r>
            <w:r>
              <w:rPr>
                <w:color w:val="auto"/>
                <w:highlight w:val="none"/>
              </w:rPr>
              <w:instrText xml:space="preserve"> HYPERLINK "http://cx.cnca.cn/CertECloud/index/index/page" \o "http://cx.cnca.cn/CertECloud/index/index/page" </w:instrText>
            </w:r>
            <w:r>
              <w:rPr>
                <w:color w:val="auto"/>
                <w:highlight w:val="none"/>
              </w:rPr>
              <w:fldChar w:fldCharType="separate"/>
            </w:r>
            <w:r>
              <w:rPr>
                <w:rStyle w:val="46"/>
                <w:rFonts w:hint="eastAsia" w:ascii="宋体" w:hAnsi="宋体" w:cs="宋体"/>
                <w:color w:val="auto"/>
                <w:sz w:val="18"/>
                <w:szCs w:val="18"/>
                <w:highlight w:val="none"/>
              </w:rPr>
              <w:t>http://cx.cnca.cn/CertECloud/index/index/page</w:t>
            </w:r>
            <w:r>
              <w:rPr>
                <w:rStyle w:val="46"/>
                <w:rFonts w:hint="eastAsia" w:ascii="宋体" w:hAnsi="宋体" w:cs="宋体"/>
                <w:color w:val="auto"/>
                <w:sz w:val="18"/>
                <w:szCs w:val="18"/>
                <w:highlight w:val="none"/>
              </w:rPr>
              <w:fldChar w:fldCharType="end"/>
            </w:r>
            <w:r>
              <w:rPr>
                <w:rFonts w:hint="eastAsia" w:ascii="宋体" w:hAnsi="宋体" w:cs="宋体"/>
                <w:color w:val="auto"/>
                <w:sz w:val="18"/>
                <w:szCs w:val="18"/>
                <w:highlight w:val="none"/>
              </w:rPr>
              <w:t>）</w:t>
            </w:r>
          </w:p>
        </w:tc>
      </w:tr>
    </w:tbl>
    <w:p w14:paraId="2E2A1370">
      <w:pPr>
        <w:rPr>
          <w:color w:val="auto"/>
          <w:highlight w:val="none"/>
        </w:rPr>
      </w:pPr>
      <w:r>
        <w:rPr>
          <w:color w:val="auto"/>
          <w:highlight w:val="none"/>
        </w:rPr>
        <w:br w:type="page"/>
      </w:r>
    </w:p>
    <w:p w14:paraId="6778DB39">
      <w:pPr>
        <w:rPr>
          <w:color w:val="auto"/>
          <w:highlight w:val="none"/>
        </w:rPr>
      </w:pPr>
    </w:p>
    <w:p w14:paraId="22A79231">
      <w:pPr>
        <w:pStyle w:val="2"/>
        <w:spacing w:line="360" w:lineRule="auto"/>
        <w:jc w:val="center"/>
        <w:rPr>
          <w:rFonts w:asciiTheme="minorEastAsia" w:hAnsiTheme="minorEastAsia" w:eastAsiaTheme="minorEastAsia" w:cstheme="minorEastAsia"/>
          <w:color w:val="auto"/>
          <w:sz w:val="52"/>
          <w:highlight w:val="none"/>
        </w:rPr>
      </w:pPr>
      <w:r>
        <w:rPr>
          <w:rFonts w:hint="eastAsia" w:asciiTheme="minorEastAsia" w:hAnsiTheme="minorEastAsia" w:eastAsiaTheme="minorEastAsia" w:cstheme="minorEastAsia"/>
          <w:color w:val="auto"/>
          <w:highlight w:val="none"/>
        </w:rPr>
        <w:t>第六章 竞争性磋商响应文件格式</w:t>
      </w:r>
      <w:bookmarkEnd w:id="2"/>
      <w:bookmarkEnd w:id="158"/>
    </w:p>
    <w:p w14:paraId="3C49C659">
      <w:pPr>
        <w:spacing w:line="360" w:lineRule="auto"/>
        <w:jc w:val="center"/>
        <w:rPr>
          <w:rFonts w:asciiTheme="minorEastAsia" w:hAnsiTheme="minorEastAsia" w:eastAsiaTheme="minorEastAsia" w:cstheme="minorEastAsia"/>
          <w:b/>
          <w:color w:val="auto"/>
          <w:sz w:val="22"/>
          <w:highlight w:val="none"/>
        </w:rPr>
      </w:pPr>
    </w:p>
    <w:p w14:paraId="6E1E122B">
      <w:pPr>
        <w:spacing w:line="360" w:lineRule="auto"/>
        <w:jc w:val="center"/>
        <w:rPr>
          <w:rFonts w:asciiTheme="minorEastAsia" w:hAnsiTheme="minorEastAsia" w:eastAsiaTheme="minorEastAsia" w:cstheme="minorEastAsia"/>
          <w:b/>
          <w:bCs/>
          <w:color w:val="auto"/>
          <w:sz w:val="72"/>
          <w:szCs w:val="72"/>
          <w:highlight w:val="none"/>
        </w:rPr>
      </w:pPr>
      <w:r>
        <w:rPr>
          <w:rFonts w:hint="eastAsia" w:asciiTheme="minorEastAsia" w:hAnsiTheme="minorEastAsia" w:eastAsiaTheme="minorEastAsia" w:cstheme="minorEastAsia"/>
          <w:b/>
          <w:bCs/>
          <w:color w:val="auto"/>
          <w:sz w:val="72"/>
          <w:szCs w:val="72"/>
          <w:highlight w:val="none"/>
        </w:rPr>
        <w:t>竞争性磋商响应文件</w:t>
      </w:r>
    </w:p>
    <w:p w14:paraId="547B648D">
      <w:pPr>
        <w:spacing w:line="360" w:lineRule="auto"/>
        <w:jc w:val="center"/>
        <w:rPr>
          <w:rFonts w:asciiTheme="minorEastAsia" w:hAnsiTheme="minorEastAsia" w:eastAsiaTheme="minorEastAsia" w:cstheme="minorEastAsia"/>
          <w:b/>
          <w:color w:val="auto"/>
          <w:sz w:val="72"/>
          <w:szCs w:val="21"/>
          <w:highlight w:val="none"/>
        </w:rPr>
      </w:pPr>
    </w:p>
    <w:p w14:paraId="06C2CB12">
      <w:pPr>
        <w:spacing w:line="360" w:lineRule="auto"/>
        <w:jc w:val="center"/>
        <w:rPr>
          <w:rFonts w:asciiTheme="minorEastAsia" w:hAnsiTheme="minorEastAsia" w:eastAsiaTheme="minorEastAsia" w:cstheme="minorEastAsia"/>
          <w:b/>
          <w:color w:val="auto"/>
          <w:sz w:val="36"/>
          <w:szCs w:val="21"/>
          <w:highlight w:val="none"/>
        </w:rPr>
      </w:pPr>
    </w:p>
    <w:p w14:paraId="1F0C5E19">
      <w:pPr>
        <w:spacing w:line="360" w:lineRule="auto"/>
        <w:jc w:val="center"/>
        <w:rPr>
          <w:rFonts w:asciiTheme="minorEastAsia" w:hAnsiTheme="minorEastAsia" w:eastAsiaTheme="minorEastAsia" w:cstheme="minorEastAsia"/>
          <w:b/>
          <w:color w:val="auto"/>
          <w:sz w:val="36"/>
          <w:szCs w:val="21"/>
          <w:highlight w:val="none"/>
        </w:rPr>
      </w:pPr>
    </w:p>
    <w:p w14:paraId="07517F86">
      <w:pPr>
        <w:spacing w:line="360" w:lineRule="auto"/>
        <w:jc w:val="center"/>
        <w:rPr>
          <w:rFonts w:asciiTheme="minorEastAsia" w:hAnsiTheme="minorEastAsia" w:eastAsiaTheme="minorEastAsia" w:cstheme="minorEastAsia"/>
          <w:b/>
          <w:color w:val="auto"/>
          <w:sz w:val="36"/>
          <w:szCs w:val="21"/>
          <w:highlight w:val="none"/>
        </w:rPr>
      </w:pPr>
    </w:p>
    <w:p w14:paraId="4B2EB797">
      <w:pPr>
        <w:spacing w:line="360" w:lineRule="auto"/>
        <w:jc w:val="center"/>
        <w:rPr>
          <w:rFonts w:asciiTheme="minorEastAsia" w:hAnsiTheme="minorEastAsia" w:eastAsiaTheme="minorEastAsia" w:cstheme="minorEastAsia"/>
          <w:b/>
          <w:color w:val="auto"/>
          <w:sz w:val="36"/>
          <w:szCs w:val="21"/>
          <w:highlight w:val="none"/>
        </w:rPr>
      </w:pPr>
    </w:p>
    <w:p w14:paraId="5ABB18E7">
      <w:pPr>
        <w:spacing w:line="360" w:lineRule="auto"/>
        <w:jc w:val="center"/>
        <w:rPr>
          <w:rFonts w:asciiTheme="minorEastAsia" w:hAnsiTheme="minorEastAsia" w:eastAsiaTheme="minorEastAsia" w:cstheme="minorEastAsia"/>
          <w:b/>
          <w:color w:val="auto"/>
          <w:sz w:val="36"/>
          <w:szCs w:val="21"/>
          <w:highlight w:val="none"/>
        </w:rPr>
      </w:pPr>
    </w:p>
    <w:p w14:paraId="5B4A045D">
      <w:pPr>
        <w:spacing w:line="360" w:lineRule="auto"/>
        <w:jc w:val="center"/>
        <w:rPr>
          <w:rFonts w:asciiTheme="minorEastAsia" w:hAnsiTheme="minorEastAsia" w:eastAsiaTheme="minorEastAsia" w:cstheme="minorEastAsia"/>
          <w:b/>
          <w:color w:val="auto"/>
          <w:sz w:val="36"/>
          <w:highlight w:val="none"/>
        </w:rPr>
      </w:pPr>
    </w:p>
    <w:p w14:paraId="11A694AD">
      <w:pPr>
        <w:spacing w:line="360" w:lineRule="auto"/>
        <w:ind w:firstLine="1084"/>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项 目 名 称：</w:t>
      </w:r>
    </w:p>
    <w:p w14:paraId="42BE26C5">
      <w:pPr>
        <w:spacing w:line="360" w:lineRule="auto"/>
        <w:ind w:firstLine="1084"/>
        <w:rPr>
          <w:rFonts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项 目 编 号：</w:t>
      </w:r>
    </w:p>
    <w:p w14:paraId="3300A0CD">
      <w:pPr>
        <w:spacing w:line="360" w:lineRule="auto"/>
        <w:rPr>
          <w:rFonts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磋商供应商名称 ：</w:t>
      </w:r>
    </w:p>
    <w:p w14:paraId="3AADABE9">
      <w:pPr>
        <w:spacing w:line="360" w:lineRule="auto"/>
        <w:rPr>
          <w:rFonts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日      期 ：</w:t>
      </w:r>
    </w:p>
    <w:p w14:paraId="28EF24D8">
      <w:pPr>
        <w:spacing w:line="360" w:lineRule="auto"/>
        <w:ind w:firstLine="1084"/>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供  应  商：（电子签章）</w:t>
      </w:r>
    </w:p>
    <w:p w14:paraId="6E5FD89C">
      <w:pPr>
        <w:spacing w:line="360" w:lineRule="auto"/>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sz w:val="24"/>
          <w:highlight w:val="none"/>
        </w:rPr>
        <w:br w:type="page" w:clear="all"/>
      </w:r>
      <w:r>
        <w:rPr>
          <w:rFonts w:hint="eastAsia" w:asciiTheme="minorEastAsia" w:hAnsiTheme="minorEastAsia" w:eastAsiaTheme="minorEastAsia" w:cstheme="minorEastAsia"/>
          <w:b/>
          <w:bCs/>
          <w:color w:val="auto"/>
          <w:sz w:val="32"/>
          <w:szCs w:val="32"/>
          <w:highlight w:val="none"/>
        </w:rPr>
        <w:t>磋商主要文件目录</w:t>
      </w:r>
    </w:p>
    <w:p w14:paraId="3CC3B609">
      <w:pPr>
        <w:spacing w:line="360" w:lineRule="auto"/>
        <w:jc w:val="center"/>
        <w:rPr>
          <w:rFonts w:asciiTheme="minorEastAsia" w:hAnsiTheme="minorEastAsia" w:eastAsiaTheme="minorEastAsia" w:cstheme="minorEastAsia"/>
          <w:b/>
          <w:bCs/>
          <w:color w:val="auto"/>
          <w:sz w:val="32"/>
          <w:szCs w:val="32"/>
          <w:highlight w:val="none"/>
        </w:rPr>
      </w:pPr>
    </w:p>
    <w:p w14:paraId="51766123">
      <w:pPr>
        <w:ind w:left="480"/>
        <w:rPr>
          <w:rFonts w:asciiTheme="minorEastAsia" w:hAnsiTheme="minorEastAsia" w:eastAsiaTheme="minorEastAsia" w:cstheme="minorEastAsia"/>
          <w:i/>
          <w:color w:val="auto"/>
          <w:sz w:val="24"/>
          <w:szCs w:val="21"/>
          <w:highlight w:val="none"/>
          <w:u w:val="single"/>
        </w:rPr>
      </w:pPr>
      <w:r>
        <w:rPr>
          <w:rFonts w:hint="eastAsia" w:asciiTheme="minorEastAsia" w:hAnsiTheme="minorEastAsia" w:eastAsiaTheme="minorEastAsia" w:cstheme="minorEastAsia"/>
          <w:i/>
          <w:color w:val="auto"/>
          <w:sz w:val="24"/>
          <w:szCs w:val="21"/>
          <w:highlight w:val="none"/>
          <w:u w:val="single"/>
        </w:rPr>
        <w:t>一、法人或者其他组织的营业执照等证明文件，自然人的身份证明</w:t>
      </w:r>
    </w:p>
    <w:p w14:paraId="292CE470">
      <w:pPr>
        <w:ind w:left="480"/>
        <w:rPr>
          <w:rFonts w:asciiTheme="minorEastAsia" w:hAnsiTheme="minorEastAsia" w:eastAsiaTheme="minorEastAsia" w:cstheme="minorEastAsia"/>
          <w:i/>
          <w:color w:val="auto"/>
          <w:sz w:val="24"/>
          <w:szCs w:val="21"/>
          <w:highlight w:val="none"/>
          <w:u w:val="single"/>
        </w:rPr>
      </w:pPr>
      <w:r>
        <w:rPr>
          <w:rFonts w:hint="eastAsia" w:asciiTheme="minorEastAsia" w:hAnsiTheme="minorEastAsia" w:eastAsiaTheme="minorEastAsia" w:cstheme="minorEastAsia"/>
          <w:i/>
          <w:color w:val="auto"/>
          <w:sz w:val="24"/>
          <w:szCs w:val="21"/>
          <w:highlight w:val="none"/>
          <w:u w:val="single"/>
        </w:rPr>
        <w:t>二、上一年度的财务状况报告（磋商供应商成立不满一年无需提供）</w:t>
      </w:r>
    </w:p>
    <w:p w14:paraId="27AAC54D">
      <w:pPr>
        <w:ind w:left="480"/>
        <w:rPr>
          <w:rFonts w:asciiTheme="minorEastAsia" w:hAnsiTheme="minorEastAsia" w:eastAsiaTheme="minorEastAsia" w:cstheme="minorEastAsia"/>
          <w:i/>
          <w:color w:val="auto"/>
          <w:sz w:val="24"/>
          <w:szCs w:val="21"/>
          <w:highlight w:val="none"/>
          <w:u w:val="single"/>
        </w:rPr>
      </w:pPr>
      <w:r>
        <w:rPr>
          <w:rFonts w:hint="eastAsia" w:asciiTheme="minorEastAsia" w:hAnsiTheme="minorEastAsia" w:eastAsiaTheme="minorEastAsia" w:cstheme="minorEastAsia"/>
          <w:i/>
          <w:color w:val="auto"/>
          <w:sz w:val="24"/>
          <w:szCs w:val="21"/>
          <w:highlight w:val="none"/>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7A9D76DB">
      <w:pPr>
        <w:ind w:left="480"/>
        <w:rPr>
          <w:rFonts w:asciiTheme="minorEastAsia" w:hAnsiTheme="minorEastAsia" w:eastAsiaTheme="minorEastAsia" w:cstheme="minorEastAsia"/>
          <w:i/>
          <w:color w:val="auto"/>
          <w:sz w:val="24"/>
          <w:szCs w:val="21"/>
          <w:highlight w:val="none"/>
          <w:u w:val="single"/>
        </w:rPr>
      </w:pPr>
      <w:r>
        <w:rPr>
          <w:rFonts w:hint="eastAsia" w:asciiTheme="minorEastAsia" w:hAnsiTheme="minorEastAsia" w:eastAsiaTheme="minorEastAsia" w:cstheme="minorEastAsia"/>
          <w:i/>
          <w:color w:val="auto"/>
          <w:sz w:val="24"/>
          <w:szCs w:val="21"/>
          <w:highlight w:val="none"/>
          <w:u w:val="single"/>
        </w:rPr>
        <w:t>四、具备履行合同所必需的设备和专业技术能力的书面声明</w:t>
      </w:r>
    </w:p>
    <w:p w14:paraId="011EB327">
      <w:pPr>
        <w:spacing w:line="440" w:lineRule="exact"/>
        <w:ind w:firstLine="480"/>
        <w:rPr>
          <w:rFonts w:asciiTheme="minorEastAsia" w:hAnsiTheme="minorEastAsia" w:eastAsiaTheme="minorEastAsia" w:cstheme="minorEastAsia"/>
          <w:i/>
          <w:color w:val="auto"/>
          <w:sz w:val="24"/>
          <w:szCs w:val="21"/>
          <w:highlight w:val="none"/>
          <w:u w:val="single"/>
        </w:rPr>
      </w:pPr>
      <w:r>
        <w:rPr>
          <w:rFonts w:hint="eastAsia" w:asciiTheme="minorEastAsia" w:hAnsiTheme="minorEastAsia" w:eastAsiaTheme="minorEastAsia" w:cstheme="minorEastAsia"/>
          <w:i/>
          <w:color w:val="auto"/>
          <w:sz w:val="24"/>
          <w:szCs w:val="21"/>
          <w:highlight w:val="none"/>
          <w:u w:val="single"/>
        </w:rPr>
        <w:t>五、参加政府采购活动前 3 年内在经营活动中没有重大违法记录的书面声明</w:t>
      </w:r>
    </w:p>
    <w:p w14:paraId="146C1F7F">
      <w:pPr>
        <w:spacing w:line="440" w:lineRule="exact"/>
        <w:ind w:firstLine="480"/>
        <w:rPr>
          <w:rFonts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六、供应商信用承诺函</w:t>
      </w:r>
    </w:p>
    <w:p w14:paraId="7DAC45FC">
      <w:pPr>
        <w:spacing w:line="440" w:lineRule="exact"/>
        <w:ind w:firstLine="480"/>
        <w:rPr>
          <w:rFonts w:asciiTheme="minorEastAsia" w:hAnsiTheme="minorEastAsia" w:eastAsiaTheme="minorEastAsia" w:cstheme="minorEastAsia"/>
          <w:i/>
          <w:color w:val="auto"/>
          <w:sz w:val="24"/>
          <w:szCs w:val="21"/>
          <w:highlight w:val="none"/>
          <w:u w:val="single"/>
        </w:rPr>
      </w:pPr>
      <w:r>
        <w:rPr>
          <w:rFonts w:hint="eastAsia" w:asciiTheme="minorEastAsia" w:hAnsiTheme="minorEastAsia" w:eastAsiaTheme="minorEastAsia" w:cstheme="minorEastAsia"/>
          <w:i/>
          <w:color w:val="auto"/>
          <w:sz w:val="24"/>
          <w:szCs w:val="21"/>
          <w:highlight w:val="none"/>
          <w:u w:val="single"/>
        </w:rPr>
        <w:t>七、特定资格要求的证明文件（如果本项目设置特定资格要求，则需要提供）</w:t>
      </w:r>
    </w:p>
    <w:p w14:paraId="357DA7B6">
      <w:pPr>
        <w:spacing w:line="440" w:lineRule="exact"/>
        <w:ind w:firstLine="480"/>
        <w:rPr>
          <w:rFonts w:asciiTheme="minorEastAsia" w:hAnsiTheme="minorEastAsia" w:eastAsiaTheme="minorEastAsia" w:cstheme="minorEastAsia"/>
          <w:i/>
          <w:color w:val="auto"/>
          <w:sz w:val="24"/>
          <w:szCs w:val="21"/>
          <w:highlight w:val="none"/>
          <w:u w:val="single"/>
        </w:rPr>
      </w:pPr>
      <w:r>
        <w:rPr>
          <w:rFonts w:hint="eastAsia" w:asciiTheme="minorEastAsia" w:hAnsiTheme="minorEastAsia" w:eastAsiaTheme="minorEastAsia" w:cstheme="minorEastAsia"/>
          <w:i/>
          <w:color w:val="auto"/>
          <w:sz w:val="24"/>
          <w:szCs w:val="21"/>
          <w:highlight w:val="none"/>
          <w:u w:val="single"/>
        </w:rPr>
        <w:t>八、法人授权书</w:t>
      </w:r>
    </w:p>
    <w:p w14:paraId="52DCE4B4">
      <w:pPr>
        <w:spacing w:line="440" w:lineRule="exact"/>
        <w:ind w:firstLine="480"/>
        <w:rPr>
          <w:rFonts w:asciiTheme="minorEastAsia" w:hAnsiTheme="minorEastAsia" w:eastAsiaTheme="minorEastAsia" w:cstheme="minorEastAsia"/>
          <w:i/>
          <w:color w:val="auto"/>
          <w:sz w:val="24"/>
          <w:szCs w:val="21"/>
          <w:highlight w:val="none"/>
          <w:u w:val="single"/>
        </w:rPr>
      </w:pPr>
      <w:r>
        <w:rPr>
          <w:rFonts w:hint="eastAsia" w:asciiTheme="minorEastAsia" w:hAnsiTheme="minorEastAsia" w:eastAsiaTheme="minorEastAsia" w:cstheme="minorEastAsia"/>
          <w:i/>
          <w:color w:val="auto"/>
          <w:sz w:val="24"/>
          <w:szCs w:val="21"/>
          <w:highlight w:val="none"/>
          <w:u w:val="single"/>
        </w:rPr>
        <w:t>九、磋商响应函</w:t>
      </w:r>
    </w:p>
    <w:p w14:paraId="568A54F1">
      <w:pPr>
        <w:spacing w:line="44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1"/>
          <w:highlight w:val="none"/>
        </w:rPr>
        <w:t>十、</w:t>
      </w:r>
      <w:r>
        <w:rPr>
          <w:rFonts w:hint="eastAsia" w:asciiTheme="minorEastAsia" w:hAnsiTheme="minorEastAsia" w:eastAsiaTheme="minorEastAsia" w:cstheme="minorEastAsia"/>
          <w:color w:val="auto"/>
          <w:sz w:val="24"/>
          <w:szCs w:val="24"/>
          <w:highlight w:val="none"/>
        </w:rPr>
        <w:t>企业报价折扣证明（</w:t>
      </w:r>
      <w:r>
        <w:rPr>
          <w:rFonts w:hint="eastAsia" w:asciiTheme="minorEastAsia" w:hAnsiTheme="minorEastAsia" w:eastAsiaTheme="minorEastAsia" w:cstheme="minorEastAsia"/>
          <w:i/>
          <w:iCs/>
          <w:color w:val="auto"/>
          <w:sz w:val="24"/>
          <w:szCs w:val="24"/>
          <w:highlight w:val="none"/>
          <w:u w:val="single"/>
        </w:rPr>
        <w:t>中小企业声明函</w:t>
      </w:r>
      <w:r>
        <w:rPr>
          <w:rFonts w:hint="eastAsia" w:asciiTheme="minorEastAsia" w:hAnsiTheme="minorEastAsia" w:eastAsiaTheme="minorEastAsia" w:cstheme="minorEastAsia"/>
          <w:color w:val="auto"/>
          <w:sz w:val="24"/>
          <w:szCs w:val="24"/>
          <w:highlight w:val="none"/>
        </w:rPr>
        <w:t>、残疾人福利性单位声明函）</w:t>
      </w:r>
    </w:p>
    <w:p w14:paraId="291A8538">
      <w:pPr>
        <w:spacing w:line="440" w:lineRule="exact"/>
        <w:ind w:firstLine="480"/>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十一、联合体协议</w:t>
      </w:r>
    </w:p>
    <w:p w14:paraId="5DE6FF1F">
      <w:pPr>
        <w:spacing w:line="440" w:lineRule="exact"/>
        <w:ind w:firstLine="480"/>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十二、</w:t>
      </w:r>
      <w:r>
        <w:rPr>
          <w:rFonts w:hint="eastAsia" w:eastAsia="宋体" w:asciiTheme="minorEastAsia" w:hAnsiTheme="minorEastAsia" w:cstheme="minorEastAsia"/>
          <w:color w:val="auto"/>
          <w:sz w:val="24"/>
          <w:szCs w:val="21"/>
          <w:highlight w:val="none"/>
          <w:lang w:val="en-US" w:eastAsia="zh-CN"/>
        </w:rPr>
        <w:t>分项</w:t>
      </w:r>
      <w:r>
        <w:rPr>
          <w:rFonts w:hint="eastAsia" w:asciiTheme="minorEastAsia" w:hAnsiTheme="minorEastAsia" w:eastAsiaTheme="minorEastAsia" w:cstheme="minorEastAsia"/>
          <w:color w:val="auto"/>
          <w:sz w:val="24"/>
          <w:szCs w:val="21"/>
          <w:highlight w:val="none"/>
        </w:rPr>
        <w:t>报价表</w:t>
      </w:r>
    </w:p>
    <w:p w14:paraId="131EF856">
      <w:pPr>
        <w:spacing w:line="440" w:lineRule="exact"/>
        <w:ind w:firstLine="480"/>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十三、技术要求响应及偏离表</w:t>
      </w:r>
    </w:p>
    <w:p w14:paraId="0A2B3631">
      <w:pPr>
        <w:spacing w:line="440" w:lineRule="exact"/>
        <w:ind w:firstLine="480"/>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十四、商务要求响应及偏离表</w:t>
      </w:r>
    </w:p>
    <w:p w14:paraId="7EA3482A">
      <w:pPr>
        <w:spacing w:line="440" w:lineRule="exact"/>
        <w:ind w:firstLine="480"/>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十五、拟投入人员一览表</w:t>
      </w:r>
    </w:p>
    <w:p w14:paraId="50FA8138">
      <w:pPr>
        <w:rPr>
          <w:rFonts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b/>
          <w:color w:val="auto"/>
          <w:sz w:val="32"/>
          <w:szCs w:val="32"/>
          <w:highlight w:val="none"/>
        </w:rPr>
        <w:br w:type="page" w:clear="all"/>
      </w:r>
      <w:r>
        <w:rPr>
          <w:rFonts w:hint="eastAsia" w:asciiTheme="minorEastAsia" w:hAnsiTheme="minorEastAsia" w:eastAsiaTheme="minorEastAsia" w:cstheme="minorEastAsia"/>
          <w:i/>
          <w:color w:val="auto"/>
          <w:sz w:val="32"/>
          <w:szCs w:val="32"/>
          <w:highlight w:val="none"/>
          <w:u w:val="single"/>
        </w:rPr>
        <w:t>一、法人或者其他组织的营业执照等证明文件，自然人的身份证明</w:t>
      </w:r>
    </w:p>
    <w:p w14:paraId="2ECEF8F7">
      <w:pPr>
        <w:spacing w:line="440" w:lineRule="exact"/>
        <w:ind w:firstLine="480"/>
        <w:rPr>
          <w:rFonts w:asciiTheme="minorEastAsia" w:hAnsiTheme="minorEastAsia" w:eastAsiaTheme="minorEastAsia" w:cstheme="minorEastAsia"/>
          <w:color w:val="auto"/>
          <w:sz w:val="24"/>
          <w:szCs w:val="21"/>
          <w:highlight w:val="none"/>
        </w:rPr>
      </w:pPr>
    </w:p>
    <w:p w14:paraId="6149A517">
      <w:pPr>
        <w:rPr>
          <w:rFonts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二、上一年度的财务状况报告</w:t>
      </w:r>
    </w:p>
    <w:p w14:paraId="0CBFE1DE">
      <w:pPr>
        <w:spacing w:line="440" w:lineRule="exact"/>
        <w:ind w:firstLine="480"/>
        <w:rPr>
          <w:rFonts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供应商成立不满一年无需提供</w:t>
      </w:r>
    </w:p>
    <w:p w14:paraId="655FFD1F">
      <w:pPr>
        <w:rPr>
          <w:rFonts w:asciiTheme="minorEastAsia" w:hAnsiTheme="minorEastAsia" w:eastAsiaTheme="minorEastAsia" w:cstheme="minorEastAsia"/>
          <w:i/>
          <w:color w:val="auto"/>
          <w:sz w:val="32"/>
          <w:szCs w:val="32"/>
          <w:highlight w:val="none"/>
          <w:u w:val="single"/>
        </w:rPr>
      </w:pPr>
    </w:p>
    <w:p w14:paraId="606F6252">
      <w:pPr>
        <w:rPr>
          <w:rFonts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三、依法缴纳税收和社会保障资金的相关材料</w:t>
      </w:r>
    </w:p>
    <w:p w14:paraId="195E26D3">
      <w:pPr>
        <w:ind w:firstLine="480"/>
        <w:rPr>
          <w:rFonts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提供提交响应文件截止时间前一年内至少一个月依法缴纳税收及缴纳社会保障资金的证明材料。供应商依法享受缓缴、免缴税收、社会保障资金的提供证明材料。</w:t>
      </w:r>
    </w:p>
    <w:p w14:paraId="4C6424F7">
      <w:pPr>
        <w:rPr>
          <w:rFonts w:asciiTheme="minorEastAsia" w:hAnsiTheme="minorEastAsia" w:eastAsiaTheme="minorEastAsia" w:cstheme="minorEastAsia"/>
          <w:i/>
          <w:color w:val="auto"/>
          <w:sz w:val="32"/>
          <w:szCs w:val="32"/>
          <w:highlight w:val="none"/>
          <w:u w:val="single"/>
        </w:rPr>
      </w:pPr>
    </w:p>
    <w:p w14:paraId="04B023EC">
      <w:pPr>
        <w:rPr>
          <w:rFonts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四、具备履行合同所必需的设备和专业技术能力的书面声明</w:t>
      </w:r>
    </w:p>
    <w:p w14:paraId="06817CC8">
      <w:pPr>
        <w:spacing w:line="460" w:lineRule="exact"/>
        <w:ind w:firstLine="492"/>
        <w:rPr>
          <w:rFonts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我单位郑重声明：我单位具备履行本项采购合同所必需的设备和专业技术能力，为履行本项采购合同我公司具备如下主要设备和主要专业技术能力：</w:t>
      </w:r>
    </w:p>
    <w:p w14:paraId="6B2A9C3F">
      <w:pPr>
        <w:spacing w:line="460" w:lineRule="exact"/>
        <w:ind w:firstLine="492"/>
        <w:rPr>
          <w:rFonts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主要设备有：。</w:t>
      </w:r>
    </w:p>
    <w:p w14:paraId="4E97B149">
      <w:pPr>
        <w:spacing w:line="460" w:lineRule="exact"/>
        <w:ind w:firstLine="492"/>
        <w:rPr>
          <w:rFonts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主要专业技术能力有：</w:t>
      </w:r>
      <w:r>
        <w:rPr>
          <w:rFonts w:hint="eastAsia" w:eastAsia="宋体" w:asciiTheme="minorEastAsia" w:hAnsiTheme="minorEastAsia" w:cstheme="minorEastAsia"/>
          <w:bCs/>
          <w:color w:val="auto"/>
          <w:sz w:val="24"/>
          <w:szCs w:val="21"/>
          <w:highlight w:val="none"/>
          <w:lang w:val="en-US" w:eastAsia="zh-CN"/>
        </w:rPr>
        <w:t xml:space="preserve">   </w:t>
      </w:r>
      <w:r>
        <w:rPr>
          <w:rFonts w:hint="eastAsia" w:asciiTheme="minorEastAsia" w:hAnsiTheme="minorEastAsia" w:eastAsiaTheme="minorEastAsia" w:cstheme="minorEastAsia"/>
          <w:bCs/>
          <w:color w:val="auto"/>
          <w:sz w:val="24"/>
          <w:szCs w:val="21"/>
          <w:highlight w:val="none"/>
        </w:rPr>
        <w:t>。</w:t>
      </w:r>
    </w:p>
    <w:p w14:paraId="06ACF3BB">
      <w:pPr>
        <w:spacing w:line="460" w:lineRule="exact"/>
        <w:rPr>
          <w:rFonts w:asciiTheme="minorEastAsia" w:hAnsiTheme="minorEastAsia" w:eastAsiaTheme="minorEastAsia" w:cstheme="minorEastAsia"/>
          <w:bCs/>
          <w:color w:val="auto"/>
          <w:sz w:val="24"/>
          <w:szCs w:val="21"/>
          <w:highlight w:val="none"/>
        </w:rPr>
      </w:pPr>
    </w:p>
    <w:p w14:paraId="7EC5D2B6">
      <w:pPr>
        <w:rPr>
          <w:rFonts w:asciiTheme="minorEastAsia" w:hAnsiTheme="minorEastAsia" w:eastAsiaTheme="minorEastAsia" w:cstheme="minorEastAsia"/>
          <w:color w:val="auto"/>
          <w:szCs w:val="21"/>
          <w:highlight w:val="none"/>
        </w:rPr>
      </w:pPr>
    </w:p>
    <w:p w14:paraId="4CEF9131">
      <w:pPr>
        <w:rPr>
          <w:rFonts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五、参加政府采购活动前 3 年内在经营活动中没有重大违法记录的书面声明</w:t>
      </w:r>
    </w:p>
    <w:p w14:paraId="3EA3A177">
      <w:pPr>
        <w:spacing w:line="460" w:lineRule="exact"/>
        <w:rPr>
          <w:rFonts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 xml:space="preserve">                 声  明</w:t>
      </w:r>
    </w:p>
    <w:p w14:paraId="5D202FF0">
      <w:pPr>
        <w:spacing w:line="460" w:lineRule="exact"/>
        <w:rPr>
          <w:rFonts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1A9D8231">
      <w:pPr>
        <w:rPr>
          <w:rFonts w:asciiTheme="minorEastAsia" w:hAnsiTheme="minorEastAsia" w:eastAsiaTheme="minorEastAsia" w:cstheme="minorEastAsia"/>
          <w:i/>
          <w:color w:val="auto"/>
          <w:sz w:val="32"/>
          <w:szCs w:val="32"/>
          <w:highlight w:val="none"/>
          <w:u w:val="single"/>
        </w:rPr>
      </w:pPr>
    </w:p>
    <w:p w14:paraId="5A01DBFD">
      <w:pPr>
        <w:numPr>
          <w:ilvl w:val="0"/>
          <w:numId w:val="3"/>
        </w:numPr>
        <w:rPr>
          <w:rFonts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供应商信用承诺函</w:t>
      </w:r>
    </w:p>
    <w:p w14:paraId="7E74BB88">
      <w:pPr>
        <w:spacing w:line="360" w:lineRule="auto"/>
        <w:jc w:val="center"/>
        <w:rPr>
          <w:rFonts w:asciiTheme="minorEastAsia" w:hAnsiTheme="minorEastAsia" w:eastAsiaTheme="minorEastAsia" w:cstheme="minorEastAsia"/>
          <w:b/>
          <w:color w:val="auto"/>
          <w:sz w:val="32"/>
          <w:szCs w:val="32"/>
          <w:highlight w:val="none"/>
        </w:rPr>
      </w:pPr>
    </w:p>
    <w:p w14:paraId="67055560">
      <w:pPr>
        <w:spacing w:line="360" w:lineRule="auto"/>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highlight w:val="none"/>
        </w:rPr>
        <w:br w:type="page" w:clear="all"/>
      </w:r>
      <w:r>
        <w:rPr>
          <w:rFonts w:hint="eastAsia" w:asciiTheme="minorEastAsia" w:hAnsiTheme="minorEastAsia" w:eastAsiaTheme="minorEastAsia" w:cstheme="minorEastAsia"/>
          <w:b/>
          <w:color w:val="auto"/>
          <w:szCs w:val="21"/>
          <w:highlight w:val="none"/>
        </w:rPr>
        <w:t>供应商信用承诺函</w:t>
      </w:r>
    </w:p>
    <w:p w14:paraId="0CDA94B1">
      <w:pPr>
        <w:spacing w:line="360" w:lineRule="auto"/>
        <w:rPr>
          <w:rFonts w:asciiTheme="minorEastAsia" w:hAnsiTheme="minorEastAsia" w:eastAsiaTheme="minorEastAsia" w:cstheme="minorEastAsia"/>
          <w:color w:val="auto"/>
          <w:szCs w:val="32"/>
          <w:highlight w:val="none"/>
        </w:rPr>
      </w:pPr>
    </w:p>
    <w:p w14:paraId="5AE1EE17">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承诺主体名称：</w:t>
      </w:r>
    </w:p>
    <w:p w14:paraId="76DD52AC">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统一社会信用代码：</w:t>
      </w:r>
    </w:p>
    <w:p w14:paraId="0ADB7694">
      <w:pPr>
        <w:spacing w:line="360" w:lineRule="auto"/>
        <w:rPr>
          <w:rFonts w:asciiTheme="minorEastAsia" w:hAnsiTheme="minorEastAsia" w:eastAsiaTheme="minorEastAsia" w:cstheme="minorEastAsia"/>
          <w:color w:val="auto"/>
          <w:szCs w:val="21"/>
          <w:highlight w:val="none"/>
        </w:rPr>
      </w:pPr>
    </w:p>
    <w:p w14:paraId="0C606707">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r>
        <w:rPr>
          <w:rFonts w:hint="eastAsia" w:asciiTheme="minorEastAsia" w:hAnsiTheme="minorEastAsia" w:cstheme="minorEastAsia"/>
          <w:color w:val="auto"/>
          <w:szCs w:val="21"/>
          <w:highlight w:val="none"/>
          <w:lang w:eastAsia="zh-CN"/>
        </w:rPr>
        <w:t>：</w:t>
      </w:r>
    </w:p>
    <w:p w14:paraId="60E7AC30">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一、对提供给注册登记部门、行业管理部门、司法部门、行业组织以及在政府采购活动中提交的所有资料的合法性、真实性、准确性和有效性负责；</w:t>
      </w:r>
    </w:p>
    <w:p w14:paraId="28408DEF">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二、严格按照国家</w:t>
      </w:r>
      <w:r>
        <w:rPr>
          <w:rFonts w:hint="eastAsia" w:asciiTheme="minorEastAsia" w:hAnsiTheme="minorEastAsia" w:cstheme="minorEastAsia"/>
          <w:color w:val="auto"/>
          <w:szCs w:val="21"/>
          <w:highlight w:val="none"/>
          <w:lang w:eastAsia="zh-CN"/>
        </w:rPr>
        <w:t>法律法规</w:t>
      </w:r>
      <w:r>
        <w:rPr>
          <w:rFonts w:hint="eastAsia" w:asciiTheme="minorEastAsia" w:hAnsiTheme="minorEastAsia" w:eastAsiaTheme="minorEastAsia" w:cstheme="minorEastAsia"/>
          <w:color w:val="auto"/>
          <w:szCs w:val="21"/>
          <w:highlight w:val="none"/>
        </w:rPr>
        <w:t>和规章开展采购活动，全面履行应尽的责任和义务，全面做到履约守信，具备《中华人民共和国政府采购法》第二十二条第一款规定的条件</w:t>
      </w:r>
      <w:r>
        <w:rPr>
          <w:rFonts w:hint="eastAsia" w:asciiTheme="minorEastAsia" w:hAnsiTheme="minorEastAsia" w:cstheme="minorEastAsia"/>
          <w:color w:val="auto"/>
          <w:szCs w:val="21"/>
          <w:highlight w:val="none"/>
          <w:lang w:eastAsia="zh-CN"/>
        </w:rPr>
        <w:t>；</w:t>
      </w:r>
    </w:p>
    <w:p w14:paraId="14D2BD82">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三、严格依法开展生产经营活动，主动接受行业监管，自愿接受依法开展的日常检查；违法失信经营后将自愿接受约束和惩戒，并依法承担相应责任；</w:t>
      </w:r>
    </w:p>
    <w:p w14:paraId="26EBF7BA">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四、自觉接受行政管理部门、行业组织、社会公众、新闻舆论的监督；</w:t>
      </w:r>
    </w:p>
    <w:p w14:paraId="3ECAFF5E">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五、自觉做到自我约束、自我管理，不制假售假、商标侵权、虚假宣传、违约毁约、恶意逃债、偷税漏税、垄断和不正当竞争，维护经营者、消费者的合法权益；</w:t>
      </w:r>
    </w:p>
    <w:p w14:paraId="36FA49F1">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六、提出政府采购质疑和投诉坚持依法依规、诚实信用原则，在全国范围12个月内没有三次以上查无实据的政府采购投诉；</w:t>
      </w:r>
    </w:p>
    <w:p w14:paraId="62B05176">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七、严格遵守信用信息公示相关规定，向社会公示信用信息；</w:t>
      </w:r>
    </w:p>
    <w:p w14:paraId="2908C146">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八、在“信用中国”和“中国政府采购网”网站中无违法违规、较重或严重失信记录；</w:t>
      </w:r>
    </w:p>
    <w:p w14:paraId="55006C1F">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31D7760F">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十、本承诺书自签订之日起生效。</w:t>
      </w:r>
    </w:p>
    <w:p w14:paraId="2AF84B09">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（注：法定代表人或负责人、主体名称发生变更的应当重新</w:t>
      </w:r>
      <w:r>
        <w:rPr>
          <w:rFonts w:hint="eastAsia" w:asciiTheme="minorEastAsia" w:hAnsiTheme="minorEastAsia" w:cstheme="minorEastAsia"/>
          <w:color w:val="auto"/>
          <w:szCs w:val="21"/>
          <w:highlight w:val="none"/>
          <w:lang w:eastAsia="zh-CN"/>
        </w:rPr>
        <w:t>作出</w:t>
      </w:r>
      <w:r>
        <w:rPr>
          <w:rFonts w:hint="eastAsia" w:asciiTheme="minorEastAsia" w:hAnsiTheme="minorEastAsia" w:eastAsiaTheme="minorEastAsia" w:cstheme="minorEastAsia"/>
          <w:color w:val="auto"/>
          <w:szCs w:val="21"/>
          <w:highlight w:val="none"/>
        </w:rPr>
        <w:t>承诺。）</w:t>
      </w:r>
    </w:p>
    <w:p w14:paraId="32847017">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承诺单位（加盖CA电子公章）：           　　　　　　　　　   　</w:t>
      </w:r>
    </w:p>
    <w:p w14:paraId="73A83E0A">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年    月    日</w:t>
      </w:r>
    </w:p>
    <w:p w14:paraId="4D06311F">
      <w:pPr>
        <w:spacing w:line="360" w:lineRule="auto"/>
        <w:jc w:val="center"/>
        <w:rPr>
          <w:rFonts w:asciiTheme="minorEastAsia" w:hAnsiTheme="minorEastAsia" w:eastAsiaTheme="minorEastAsia" w:cstheme="minorEastAsia"/>
          <w:b/>
          <w:bCs/>
          <w:color w:val="auto"/>
          <w:highlight w:val="none"/>
        </w:rPr>
        <w:sectPr>
          <w:headerReference r:id="rId3" w:type="default"/>
          <w:footerReference r:id="rId4" w:type="default"/>
          <w:pgSz w:w="11906" w:h="16838"/>
          <w:pgMar w:top="1440" w:right="1800" w:bottom="1440" w:left="1800" w:header="851" w:footer="992" w:gutter="0"/>
          <w:pgNumType w:fmt="decimal"/>
          <w:cols w:space="720" w:num="1"/>
          <w:docGrid w:linePitch="360" w:charSpace="0"/>
        </w:sectPr>
      </w:pPr>
    </w:p>
    <w:p w14:paraId="28C65DB6">
      <w:pPr>
        <w:rPr>
          <w:rFonts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七、特定资格要求的证明文件</w:t>
      </w:r>
    </w:p>
    <w:p w14:paraId="4742E20C">
      <w:pPr>
        <w:spacing w:line="460" w:lineRule="exact"/>
        <w:rPr>
          <w:rFonts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   如果本项目申请人的特定资格要求中要求提供的，必须提供。</w:t>
      </w:r>
    </w:p>
    <w:p w14:paraId="20B5BE4B">
      <w:pPr>
        <w:spacing w:line="360" w:lineRule="auto"/>
        <w:jc w:val="center"/>
        <w:rPr>
          <w:rFonts w:asciiTheme="minorEastAsia" w:hAnsiTheme="minorEastAsia" w:eastAsiaTheme="minorEastAsia" w:cstheme="minorEastAsia"/>
          <w:b/>
          <w:bCs/>
          <w:color w:val="auto"/>
          <w:highlight w:val="none"/>
        </w:rPr>
      </w:pPr>
    </w:p>
    <w:p w14:paraId="19354A05">
      <w:pPr>
        <w:jc w:val="center"/>
        <w:rPr>
          <w:rFonts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八、法人授权书</w:t>
      </w:r>
    </w:p>
    <w:p w14:paraId="0AFA4205">
      <w:pPr>
        <w:tabs>
          <w:tab w:val="left" w:pos="360"/>
        </w:tabs>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本授权书声明：____________（供应商名称）授权________________（被授权人的姓名）为我方就号项目采购活动的合法代理人，以本单位名义全权处理一切与该项目采购有关的事务。</w:t>
      </w:r>
    </w:p>
    <w:p w14:paraId="13F92555">
      <w:pPr>
        <w:tabs>
          <w:tab w:val="left" w:pos="360"/>
        </w:tabs>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本授权书于______年____月____日起生效，特此声明。</w:t>
      </w:r>
    </w:p>
    <w:p w14:paraId="18A3CD63">
      <w:pPr>
        <w:tabs>
          <w:tab w:val="left" w:pos="360"/>
        </w:tabs>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被授权人身份证号码：</w:t>
      </w:r>
    </w:p>
    <w:p w14:paraId="688ED5F9">
      <w:pPr>
        <w:tabs>
          <w:tab w:val="left" w:pos="360"/>
        </w:tabs>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被授权人联系电话：（手机）</w:t>
      </w:r>
    </w:p>
    <w:p w14:paraId="4025869A">
      <w:pPr>
        <w:tabs>
          <w:tab w:val="left" w:pos="360"/>
        </w:tabs>
        <w:ind w:firstLine="1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授权单位名称：</w:t>
      </w:r>
      <w:r>
        <w:rPr>
          <w:rFonts w:hint="eastAsia" w:asciiTheme="minorEastAsia" w:hAnsiTheme="minorEastAsia" w:eastAsiaTheme="minorEastAsia" w:cstheme="minorEastAsia"/>
          <w:color w:val="auto"/>
          <w:sz w:val="24"/>
          <w:szCs w:val="24"/>
          <w:highlight w:val="none"/>
          <w:u w:val="single"/>
        </w:rPr>
        <w:t>（加盖CA电子公章）</w:t>
      </w:r>
    </w:p>
    <w:p w14:paraId="54589F55">
      <w:pPr>
        <w:tabs>
          <w:tab w:val="left" w:pos="360"/>
        </w:tabs>
        <w:ind w:firstLine="48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单位地址：</w:t>
      </w:r>
    </w:p>
    <w:p w14:paraId="3D28CD75">
      <w:pPr>
        <w:tabs>
          <w:tab w:val="left" w:pos="360"/>
        </w:tabs>
        <w:ind w:firstLine="48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日期：</w:t>
      </w:r>
      <w:bookmarkStart w:id="159" w:name="_Hlt26955070"/>
      <w:bookmarkEnd w:id="159"/>
      <w:bookmarkStart w:id="160" w:name="_格式3__银行出具的资信证明"/>
      <w:bookmarkEnd w:id="160"/>
      <w:bookmarkStart w:id="161" w:name="_Hlt26671380"/>
      <w:bookmarkEnd w:id="161"/>
    </w:p>
    <w:p w14:paraId="6207DADC">
      <w:pPr>
        <w:spacing w:line="360" w:lineRule="auto"/>
        <w:jc w:val="center"/>
        <w:rPr>
          <w:rFonts w:asciiTheme="minorEastAsia" w:hAnsiTheme="minorEastAsia" w:eastAsiaTheme="minorEastAsia" w:cstheme="minorEastAsia"/>
          <w:b/>
          <w:color w:val="auto"/>
          <w:highlight w:val="none"/>
        </w:rPr>
      </w:pPr>
    </w:p>
    <w:p w14:paraId="0D9ECA52">
      <w:pPr>
        <w:spacing w:line="360" w:lineRule="auto"/>
        <w:jc w:val="center"/>
        <w:rPr>
          <w:rFonts w:asciiTheme="minorEastAsia" w:hAnsiTheme="minorEastAsia" w:eastAsiaTheme="minorEastAsia" w:cstheme="minorEastAsia"/>
          <w:b/>
          <w:color w:val="auto"/>
          <w:highlight w:val="none"/>
        </w:rPr>
      </w:pPr>
    </w:p>
    <w:p w14:paraId="16476105">
      <w:pPr>
        <w:spacing w:line="360" w:lineRule="auto"/>
        <w:jc w:val="center"/>
        <w:rPr>
          <w:rFonts w:asciiTheme="minorEastAsia" w:hAnsiTheme="minorEastAsia" w:eastAsiaTheme="minorEastAsia" w:cstheme="minorEastAsia"/>
          <w:b/>
          <w:color w:val="auto"/>
          <w:highlight w:val="none"/>
        </w:rPr>
      </w:pPr>
    </w:p>
    <w:p w14:paraId="1ABDFA25">
      <w:pPr>
        <w:spacing w:line="360" w:lineRule="auto"/>
        <w:jc w:val="center"/>
        <w:rPr>
          <w:rFonts w:asciiTheme="minorEastAsia" w:hAnsiTheme="minorEastAsia" w:eastAsiaTheme="minorEastAsia" w:cstheme="minorEastAsia"/>
          <w:b/>
          <w:color w:val="auto"/>
          <w:highlight w:val="none"/>
        </w:rPr>
      </w:pPr>
    </w:p>
    <w:p w14:paraId="277CA680">
      <w:pPr>
        <w:spacing w:line="360" w:lineRule="auto"/>
        <w:jc w:val="center"/>
        <w:rPr>
          <w:rFonts w:asciiTheme="minorEastAsia" w:hAnsiTheme="minorEastAsia" w:eastAsiaTheme="minorEastAsia" w:cstheme="minorEastAsia"/>
          <w:b/>
          <w:color w:val="auto"/>
          <w:highlight w:val="none"/>
        </w:rPr>
      </w:pPr>
    </w:p>
    <w:p w14:paraId="39A0779A">
      <w:pPr>
        <w:spacing w:line="360" w:lineRule="auto"/>
        <w:jc w:val="center"/>
        <w:rPr>
          <w:rFonts w:asciiTheme="minorEastAsia" w:hAnsiTheme="minorEastAsia" w:eastAsiaTheme="minorEastAsia" w:cstheme="minorEastAsia"/>
          <w:b/>
          <w:color w:val="auto"/>
          <w:highlight w:val="none"/>
        </w:rPr>
      </w:pPr>
    </w:p>
    <w:p w14:paraId="1B322B62">
      <w:pPr>
        <w:spacing w:line="360" w:lineRule="auto"/>
        <w:jc w:val="center"/>
        <w:rPr>
          <w:rFonts w:asciiTheme="minorEastAsia" w:hAnsiTheme="minorEastAsia" w:eastAsiaTheme="minorEastAsia" w:cstheme="minorEastAsia"/>
          <w:b/>
          <w:color w:val="auto"/>
          <w:highlight w:val="none"/>
        </w:rPr>
      </w:pPr>
    </w:p>
    <w:p w14:paraId="3758E0A6">
      <w:pPr>
        <w:spacing w:line="360" w:lineRule="auto"/>
        <w:jc w:val="center"/>
        <w:rPr>
          <w:rFonts w:asciiTheme="minorEastAsia" w:hAnsiTheme="minorEastAsia" w:eastAsiaTheme="minorEastAsia" w:cstheme="minorEastAsia"/>
          <w:b/>
          <w:color w:val="auto"/>
          <w:highlight w:val="none"/>
        </w:rPr>
      </w:pPr>
    </w:p>
    <w:p w14:paraId="0ECF0EBB">
      <w:pPr>
        <w:spacing w:line="360" w:lineRule="auto"/>
        <w:jc w:val="center"/>
        <w:rPr>
          <w:rFonts w:asciiTheme="minorEastAsia" w:hAnsiTheme="minorEastAsia" w:eastAsiaTheme="minorEastAsia" w:cstheme="minorEastAsia"/>
          <w:b/>
          <w:color w:val="auto"/>
          <w:highlight w:val="none"/>
        </w:rPr>
      </w:pPr>
    </w:p>
    <w:p w14:paraId="2DBB4E6D">
      <w:pPr>
        <w:spacing w:line="360" w:lineRule="auto"/>
        <w:jc w:val="center"/>
        <w:rPr>
          <w:rFonts w:asciiTheme="minorEastAsia" w:hAnsiTheme="minorEastAsia" w:eastAsiaTheme="minorEastAsia" w:cstheme="minorEastAsia"/>
          <w:b/>
          <w:color w:val="auto"/>
          <w:highlight w:val="none"/>
        </w:rPr>
      </w:pPr>
    </w:p>
    <w:p w14:paraId="382D9B13">
      <w:pPr>
        <w:spacing w:line="360" w:lineRule="auto"/>
        <w:jc w:val="center"/>
        <w:rPr>
          <w:rFonts w:asciiTheme="minorEastAsia" w:hAnsiTheme="minorEastAsia" w:eastAsiaTheme="minorEastAsia" w:cstheme="minorEastAsia"/>
          <w:b/>
          <w:color w:val="auto"/>
          <w:highlight w:val="none"/>
        </w:rPr>
      </w:pPr>
    </w:p>
    <w:p w14:paraId="2F5D5AC1">
      <w:pPr>
        <w:spacing w:line="360" w:lineRule="auto"/>
        <w:jc w:val="center"/>
        <w:rPr>
          <w:rFonts w:asciiTheme="minorEastAsia" w:hAnsiTheme="minorEastAsia" w:eastAsiaTheme="minorEastAsia" w:cstheme="minorEastAsia"/>
          <w:b/>
          <w:color w:val="auto"/>
          <w:highlight w:val="none"/>
        </w:rPr>
      </w:pPr>
    </w:p>
    <w:p w14:paraId="1E4B360A">
      <w:pPr>
        <w:spacing w:line="360" w:lineRule="auto"/>
        <w:jc w:val="center"/>
        <w:rPr>
          <w:rFonts w:asciiTheme="minorEastAsia" w:hAnsiTheme="minorEastAsia" w:eastAsiaTheme="minorEastAsia" w:cstheme="minorEastAsia"/>
          <w:b/>
          <w:color w:val="auto"/>
          <w:highlight w:val="none"/>
        </w:rPr>
      </w:pPr>
    </w:p>
    <w:p w14:paraId="324341CB">
      <w:pPr>
        <w:spacing w:line="360" w:lineRule="auto"/>
        <w:jc w:val="center"/>
        <w:rPr>
          <w:rFonts w:asciiTheme="minorEastAsia" w:hAnsiTheme="minorEastAsia" w:eastAsiaTheme="minorEastAsia" w:cstheme="minorEastAsia"/>
          <w:b/>
          <w:color w:val="auto"/>
          <w:highlight w:val="none"/>
        </w:rPr>
      </w:pPr>
    </w:p>
    <w:p w14:paraId="1F97FC91">
      <w:pPr>
        <w:spacing w:line="360" w:lineRule="auto"/>
        <w:jc w:val="center"/>
        <w:rPr>
          <w:rFonts w:asciiTheme="minorEastAsia" w:hAnsiTheme="minorEastAsia" w:eastAsiaTheme="minorEastAsia" w:cstheme="minorEastAsia"/>
          <w:b/>
          <w:color w:val="auto"/>
          <w:highlight w:val="none"/>
        </w:rPr>
      </w:pPr>
    </w:p>
    <w:p w14:paraId="6F141D99">
      <w:pPr>
        <w:spacing w:line="360" w:lineRule="auto"/>
        <w:jc w:val="cente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九、磋商响应函</w:t>
      </w:r>
    </w:p>
    <w:p w14:paraId="6CEE013E">
      <w:pPr>
        <w:pStyle w:val="227"/>
        <w:spacing w:line="360" w:lineRule="auto"/>
        <w:ind w:firstLine="420"/>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致：</w:t>
      </w:r>
      <w:r>
        <w:rPr>
          <w:rFonts w:hint="eastAsia" w:asciiTheme="minorEastAsia" w:hAnsiTheme="minorEastAsia" w:cstheme="minorEastAsia"/>
          <w:color w:val="auto"/>
          <w:sz w:val="21"/>
          <w:szCs w:val="21"/>
          <w:highlight w:val="none"/>
          <w:lang w:eastAsia="zh-CN"/>
        </w:rPr>
        <w:t>江苏汇诚投资咨询管理有限公司</w:t>
      </w:r>
    </w:p>
    <w:p w14:paraId="6BE9F862">
      <w:pPr>
        <w:pStyle w:val="226"/>
        <w:ind w:left="0" w:leftChars="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根据贵方的</w:t>
      </w:r>
      <w:r>
        <w:rPr>
          <w:rFonts w:hint="eastAsia" w:eastAsia="宋体" w:asciiTheme="minorEastAsia" w:hAnsi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号磋商文件，正式授权下述签字人_________ (姓名和职务</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代表我方______________（供应商的名称），全权处理本次项目磋商采购的有关事宜。</w:t>
      </w:r>
    </w:p>
    <w:p w14:paraId="396897F9">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据此函，__________（签字人）兹宣布同意如下：</w:t>
      </w:r>
    </w:p>
    <w:p w14:paraId="66C2A96A">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1.按磋商文件规定的各项要求，向买方提供所需服务。</w:t>
      </w:r>
    </w:p>
    <w:p w14:paraId="08766AFC">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2.我们已详细审核全部磋商文件及其有效补充文件，我们知道必须放弃提出含糊不清或误解问题的权利。</w:t>
      </w:r>
    </w:p>
    <w:p w14:paraId="38B79353">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3.我们同意从规定的响应文件接收截止时间起遵循本响应文件，并在规定的磋商有效期期满之前均具有约束力。</w:t>
      </w:r>
    </w:p>
    <w:p w14:paraId="3DAA2D3E">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4.同意向贵方提供贵方可能另外要求的与磋商采购有关的任何证据或资料，并保证我方已提供和将要提供的文件是真实的、准确的。</w:t>
      </w:r>
    </w:p>
    <w:p w14:paraId="1E3A2224">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5.一旦我方成交，我方将根据磋商文件的规定，严格履行合同的责任和义务，并保证在磋商文件规定的时</w:t>
      </w:r>
      <w:r>
        <w:rPr>
          <w:rFonts w:hint="eastAsia" w:asciiTheme="minorEastAsia" w:hAnsiTheme="minorEastAsia" w:cstheme="minorEastAsia"/>
          <w:color w:val="auto"/>
          <w:sz w:val="21"/>
          <w:szCs w:val="21"/>
          <w:highlight w:val="none"/>
          <w:lang w:eastAsia="zh-CN"/>
        </w:rPr>
        <w:t>间内</w:t>
      </w:r>
      <w:r>
        <w:rPr>
          <w:rFonts w:hint="eastAsia" w:asciiTheme="minorEastAsia" w:hAnsiTheme="minorEastAsia" w:eastAsiaTheme="minorEastAsia" w:cstheme="minorEastAsia"/>
          <w:color w:val="auto"/>
          <w:sz w:val="21"/>
          <w:szCs w:val="21"/>
          <w:highlight w:val="none"/>
        </w:rPr>
        <w:t>完成项目，交付买方验收、使用。</w:t>
      </w:r>
    </w:p>
    <w:p w14:paraId="3B1FE60B">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6.遵守磋商文件中要求的收费项目和标准。</w:t>
      </w:r>
    </w:p>
    <w:p w14:paraId="6974D82C">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7.与本磋商采购有关的正式通讯地址为：</w:t>
      </w:r>
    </w:p>
    <w:p w14:paraId="57AC524D">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 址：                         邮 编：</w:t>
      </w:r>
    </w:p>
    <w:p w14:paraId="6307EB79">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 话：                         传 真：</w:t>
      </w:r>
    </w:p>
    <w:p w14:paraId="5C50F403">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供应商开户行：                  账 户： </w:t>
      </w:r>
    </w:p>
    <w:p w14:paraId="133061AD">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法定代表人姓名（签章）：         联系电话：</w:t>
      </w:r>
    </w:p>
    <w:p w14:paraId="04998AA8">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供应商名称（公章）：            </w:t>
      </w:r>
    </w:p>
    <w:p w14:paraId="38C27335">
      <w:pPr>
        <w:pStyle w:val="227"/>
        <w:spacing w:line="360" w:lineRule="auto"/>
        <w:ind w:firstLine="42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期：________年____月____日</w:t>
      </w:r>
    </w:p>
    <w:p w14:paraId="5BB5CF4D">
      <w:pPr>
        <w:pStyle w:val="227"/>
        <w:spacing w:after="240" w:line="360" w:lineRule="auto"/>
        <w:ind w:firstLine="422"/>
        <w:jc w:val="center"/>
        <w:rPr>
          <w:b/>
          <w:bCs/>
        </w:rPr>
      </w:pPr>
      <w:r>
        <w:rPr>
          <w:rFonts w:hint="eastAsia" w:asciiTheme="minorEastAsia" w:hAnsiTheme="minorEastAsia" w:eastAsiaTheme="minorEastAsia" w:cstheme="minorEastAsia"/>
          <w:b/>
          <w:color w:val="auto"/>
          <w:sz w:val="21"/>
          <w:szCs w:val="21"/>
          <w:highlight w:val="none"/>
        </w:rPr>
        <w:br w:type="page" w:clear="all"/>
      </w:r>
      <w:r>
        <w:rPr>
          <w:rFonts w:hint="eastAsia" w:asciiTheme="minorEastAsia" w:hAnsiTheme="minorEastAsia" w:eastAsiaTheme="minorEastAsia" w:cstheme="minorEastAsia"/>
          <w:b/>
          <w:bCs/>
          <w:color w:val="auto"/>
          <w:highlight w:val="none"/>
        </w:rPr>
        <w:t>十、</w:t>
      </w:r>
      <w:r>
        <w:rPr>
          <w:rFonts w:hint="eastAsia"/>
          <w:b/>
          <w:bCs/>
        </w:rPr>
        <w:t>中小企业声明函（服务）</w:t>
      </w:r>
    </w:p>
    <w:p w14:paraId="00910F30">
      <w:pPr>
        <w:spacing w:line="360" w:lineRule="auto"/>
        <w:ind w:firstLine="420"/>
        <w:jc w:val="left"/>
      </w:pPr>
      <w:r>
        <w:rPr>
          <w:rFonts w:hint="eastAsia"/>
        </w:rPr>
        <w:t>本公司（联合体）郑重声明，根据《政府采购促进中小企业发展管理办法》（财库﹝</w:t>
      </w:r>
      <w:r>
        <w:rPr>
          <w:rFonts w:ascii="Times New Roman" w:hAnsi="Times New Roman" w:cs="Times New Roman"/>
        </w:rPr>
        <w:t>2020</w:t>
      </w:r>
      <w:r>
        <w:rPr>
          <w:rFonts w:hint="eastAsia"/>
        </w:rPr>
        <w:t>﹞</w:t>
      </w:r>
      <w:r>
        <w:rPr>
          <w:rFonts w:ascii="Times New Roman" w:hAnsi="Times New Roman" w:cs="Times New Roman"/>
        </w:rPr>
        <w:t>46</w:t>
      </w:r>
      <w:r>
        <w:rPr>
          <w:rFonts w:hint="eastAsia"/>
        </w:rPr>
        <w:t xml:space="preserve"> 号）的规定，本公司（联合体）参加</w:t>
      </w:r>
      <w:r>
        <w:rPr>
          <w:rFonts w:hint="eastAsia"/>
          <w:u w:val="single"/>
        </w:rPr>
        <w:t>（单位名称）</w:t>
      </w:r>
      <w:r>
        <w:rPr>
          <w:rFonts w:hint="eastAsia"/>
        </w:rPr>
        <w:t>的</w:t>
      </w:r>
      <w:r>
        <w:rPr>
          <w:rFonts w:hint="eastAsia"/>
          <w:u w:val="single"/>
        </w:rPr>
        <w:t>（项目名称）</w:t>
      </w:r>
      <w:r>
        <w:rPr>
          <w:rFonts w:hint="eastAsia"/>
        </w:rPr>
        <w:t>采购活动，服务全部由符合政策要求的中小企业承接。相关企业（含联合体中的中小企业、签订分包意向协议的中小企业）的具体情况如下：</w:t>
      </w:r>
    </w:p>
    <w:p w14:paraId="26B3C7BB">
      <w:pPr>
        <w:spacing w:line="360" w:lineRule="auto"/>
        <w:ind w:firstLine="420"/>
        <w:jc w:val="left"/>
        <w:rPr>
          <w:u w:val="single"/>
        </w:rPr>
      </w:pPr>
      <w:r>
        <w:rPr>
          <w:rFonts w:ascii="Times New Roman" w:hAnsi="Times New Roman" w:cs="Times New Roman"/>
        </w:rPr>
        <w:t>1</w:t>
      </w:r>
      <w:r>
        <w:rPr>
          <w:rFonts w:hint="eastAsia"/>
        </w:rPr>
        <w:t xml:space="preserve">. </w:t>
      </w:r>
      <w:r>
        <w:rPr>
          <w:rFonts w:hint="eastAsia"/>
          <w:u w:val="single"/>
          <w:lang w:eastAsia="zh-CN"/>
        </w:rPr>
        <w:t>2026开发区绿化养护管养</w:t>
      </w:r>
      <w:r>
        <w:rPr>
          <w:rFonts w:hint="eastAsia"/>
          <w:u w:val="single"/>
          <w:lang w:val="en-US" w:eastAsia="zh-CN"/>
        </w:rPr>
        <w:t>项目</w:t>
      </w:r>
      <w:r>
        <w:rPr>
          <w:rFonts w:hint="eastAsia"/>
        </w:rPr>
        <w:t>，属于</w:t>
      </w:r>
      <w:r>
        <w:rPr>
          <w:rFonts w:hint="eastAsia"/>
          <w:u w:val="single"/>
        </w:rPr>
        <w:t>（其他未列明行业)</w:t>
      </w:r>
      <w:r>
        <w:rPr>
          <w:rFonts w:hint="eastAsia"/>
          <w:u w:val="single"/>
          <w:shd w:val="clear" w:color="auto" w:fill="FFFF00"/>
        </w:rPr>
        <w:t>（该行业类别不可修改）</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w:t>
      </w:r>
      <w:r>
        <w:rPr>
          <w:rFonts w:ascii="Times New Roman" w:hAnsi="Times New Roman" w:cs="Times New Roman"/>
        </w:rPr>
        <w:fldChar w:fldCharType="begin"/>
      </w:r>
      <w:r>
        <w:rPr>
          <w:rFonts w:ascii="Times New Roman" w:hAnsi="Times New Roman" w:cs="Times New Roman"/>
        </w:rPr>
        <w:instrText xml:space="preserve"> HYPERLINK \l "br1" </w:instrText>
      </w:r>
      <w:r>
        <w:rPr>
          <w:rFonts w:ascii="Times New Roman" w:hAnsi="Times New Roman" w:cs="Times New Roman"/>
        </w:rPr>
        <w:fldChar w:fldCharType="separate"/>
      </w:r>
      <w:r>
        <w:rPr>
          <w:rFonts w:ascii="Times New Roman" w:hAnsi="Times New Roman" w:eastAsia="Times New Roman" w:cs="Times New Roman"/>
          <w:spacing w:val="-1"/>
          <w:vertAlign w:val="superscript"/>
        </w:rPr>
        <w:t>1</w:t>
      </w:r>
      <w:r>
        <w:rPr>
          <w:rFonts w:ascii="Times New Roman" w:hAnsi="Times New Roman" w:eastAsia="Times New Roman" w:cs="Times New Roman"/>
          <w:spacing w:val="-1"/>
          <w:vertAlign w:val="superscript"/>
        </w:rPr>
        <w:fldChar w:fldCharType="end"/>
      </w:r>
      <w:r>
        <w:rPr>
          <w:rFonts w:hint="eastAsia"/>
        </w:rPr>
        <w:t>，属于</w:t>
      </w:r>
      <w:r>
        <w:rPr>
          <w:rFonts w:hint="eastAsia"/>
          <w:u w:val="single"/>
        </w:rPr>
        <w:t>（中型企业、小型企业、微型企业）；</w:t>
      </w:r>
    </w:p>
    <w:p w14:paraId="3BF19A46">
      <w:pPr>
        <w:spacing w:line="360" w:lineRule="auto"/>
        <w:ind w:firstLine="420"/>
        <w:jc w:val="left"/>
        <w:rPr>
          <w:u w:val="single"/>
        </w:rPr>
      </w:pPr>
      <w:r>
        <w:rPr>
          <w:rFonts w:ascii="Times New Roman" w:hAnsi="Times New Roman" w:cs="Times New Roman"/>
        </w:rPr>
        <w:t>2</w:t>
      </w:r>
      <w:r>
        <w:rPr>
          <w:rFonts w:hint="eastAsia"/>
        </w:rPr>
        <w:t xml:space="preserve">. </w:t>
      </w:r>
      <w:r>
        <w:rPr>
          <w:rFonts w:hint="eastAsia"/>
          <w:u w:val="single"/>
          <w:lang w:eastAsia="zh-CN"/>
        </w:rPr>
        <w:t>2026开发区绿化养护管养</w:t>
      </w:r>
      <w:r>
        <w:rPr>
          <w:rFonts w:hint="eastAsia"/>
          <w:u w:val="single"/>
          <w:lang w:val="en-US" w:eastAsia="zh-CN"/>
        </w:rPr>
        <w:t>项目</w:t>
      </w:r>
      <w:r>
        <w:rPr>
          <w:rFonts w:hint="eastAsia"/>
        </w:rPr>
        <w:t>，属于</w:t>
      </w:r>
      <w:r>
        <w:rPr>
          <w:rFonts w:hint="eastAsia"/>
          <w:u w:val="single"/>
        </w:rPr>
        <w:t>（其他未列明行业)</w:t>
      </w:r>
      <w:r>
        <w:rPr>
          <w:rFonts w:hint="eastAsia"/>
          <w:u w:val="single"/>
          <w:shd w:val="clear" w:color="auto" w:fill="FFFF00"/>
        </w:rPr>
        <w:t>（该行业类别不可修改）</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w:t>
      </w:r>
      <w:r>
        <w:rPr>
          <w:rFonts w:ascii="Times New Roman" w:hAnsi="Times New Roman" w:cs="Times New Roman"/>
        </w:rPr>
        <w:fldChar w:fldCharType="begin"/>
      </w:r>
      <w:r>
        <w:rPr>
          <w:rFonts w:ascii="Times New Roman" w:hAnsi="Times New Roman" w:cs="Times New Roman"/>
        </w:rPr>
        <w:instrText xml:space="preserve"> HYPERLINK \l "br1" </w:instrText>
      </w:r>
      <w:r>
        <w:rPr>
          <w:rFonts w:ascii="Times New Roman" w:hAnsi="Times New Roman" w:cs="Times New Roman"/>
        </w:rPr>
        <w:fldChar w:fldCharType="separate"/>
      </w:r>
      <w:r>
        <w:rPr>
          <w:rFonts w:ascii="Times New Roman" w:hAnsi="Times New Roman" w:eastAsia="Times New Roman" w:cs="Times New Roman"/>
          <w:spacing w:val="-1"/>
          <w:vertAlign w:val="superscript"/>
        </w:rPr>
        <w:t>1</w:t>
      </w:r>
      <w:r>
        <w:rPr>
          <w:rFonts w:ascii="Times New Roman" w:hAnsi="Times New Roman" w:eastAsia="Times New Roman" w:cs="Times New Roman"/>
          <w:spacing w:val="-1"/>
          <w:vertAlign w:val="superscript"/>
        </w:rPr>
        <w:fldChar w:fldCharType="end"/>
      </w:r>
      <w:r>
        <w:rPr>
          <w:rFonts w:hint="eastAsia"/>
        </w:rPr>
        <w:t>，属于</w:t>
      </w:r>
      <w:r>
        <w:rPr>
          <w:rFonts w:hint="eastAsia"/>
          <w:u w:val="single"/>
        </w:rPr>
        <w:t>（中型企业、小型企业、微型企业）；</w:t>
      </w:r>
    </w:p>
    <w:p w14:paraId="1A577EAB">
      <w:pPr>
        <w:spacing w:line="360" w:lineRule="auto"/>
        <w:ind w:firstLine="420"/>
        <w:jc w:val="left"/>
      </w:pPr>
      <w:r>
        <w:rPr>
          <w:rFonts w:hint="eastAsia"/>
        </w:rPr>
        <w:t>……</w:t>
      </w:r>
    </w:p>
    <w:p w14:paraId="2699A745">
      <w:pPr>
        <w:spacing w:line="360" w:lineRule="auto"/>
        <w:ind w:firstLine="420"/>
        <w:jc w:val="left"/>
      </w:pPr>
      <w:r>
        <w:rPr>
          <w:rFonts w:hint="eastAsia"/>
        </w:rPr>
        <w:t>以上企业，不属于大企业的分支机构，不存在控股股东为大企业的情形，也不存在与大企业的负责人为同一人的情形。</w:t>
      </w:r>
    </w:p>
    <w:p w14:paraId="01925645">
      <w:pPr>
        <w:spacing w:line="360" w:lineRule="auto"/>
        <w:ind w:firstLine="420"/>
        <w:jc w:val="left"/>
      </w:pPr>
      <w:r>
        <w:rPr>
          <w:rFonts w:hint="eastAsia"/>
        </w:rPr>
        <w:t>本企业对上述声明内容的真实性负责。如有虚假，将依法承担相应责任。</w:t>
      </w:r>
    </w:p>
    <w:p w14:paraId="72DC9F74">
      <w:pPr>
        <w:spacing w:line="360" w:lineRule="auto"/>
        <w:rPr>
          <w:rFonts w:hint="eastAsia" w:ascii="宋体" w:hAnsi="宋体"/>
        </w:rPr>
      </w:pPr>
      <w:r>
        <w:rPr>
          <w:rFonts w:hint="eastAsia" w:ascii="宋体" w:hAnsi="宋体"/>
          <w:b/>
          <w:bCs/>
        </w:rPr>
        <w:t>注</w:t>
      </w:r>
      <w:r>
        <w:rPr>
          <w:rFonts w:hint="eastAsia" w:ascii="宋体" w:hAnsi="宋体"/>
        </w:rPr>
        <w:t>：</w:t>
      </w:r>
      <w:r>
        <w:rPr>
          <w:rFonts w:ascii="Times New Roman" w:hAnsi="Times New Roman" w:cs="Times New Roman"/>
        </w:rPr>
        <w:t>1</w:t>
      </w:r>
      <w:r>
        <w:rPr>
          <w:rFonts w:hint="eastAsia" w:ascii="宋体" w:hAnsi="宋体"/>
        </w:rPr>
        <w:t>、</w:t>
      </w:r>
      <w:r>
        <w:rPr>
          <w:rFonts w:hint="eastAsia"/>
        </w:rPr>
        <w:t>从业人员、营业收入、资产总额填报上一年度数据，无上一年度数据的新成立企业可不填报。</w:t>
      </w:r>
    </w:p>
    <w:p w14:paraId="309AB6D3">
      <w:pPr>
        <w:spacing w:line="360" w:lineRule="auto"/>
        <w:ind w:firstLine="420"/>
        <w:rPr>
          <w:rFonts w:hint="eastAsia" w:ascii="宋体" w:hAnsi="宋体"/>
        </w:rPr>
      </w:pPr>
      <w:r>
        <w:rPr>
          <w:rFonts w:ascii="Times New Roman" w:hAnsi="Times New Roman" w:cs="Times New Roman"/>
        </w:rPr>
        <w:t>2</w:t>
      </w:r>
      <w:r>
        <w:rPr>
          <w:rFonts w:hint="eastAsia" w:ascii="宋体" w:hAnsi="宋体"/>
        </w:rPr>
        <w:t>、供应商如不提供此声明函，作为无效标处理。</w:t>
      </w:r>
    </w:p>
    <w:p w14:paraId="7D8D83A4">
      <w:pPr>
        <w:spacing w:line="360" w:lineRule="auto"/>
        <w:rPr>
          <w:rFonts w:hint="eastAsia" w:ascii="宋体" w:hAnsi="宋体"/>
        </w:rPr>
      </w:pPr>
      <w:r>
        <w:rPr>
          <w:rFonts w:hint="eastAsia" w:ascii="宋体" w:hAnsi="宋体"/>
        </w:rPr>
        <w:t xml:space="preserve">    </w:t>
      </w:r>
      <w:r>
        <w:rPr>
          <w:rFonts w:ascii="Times New Roman" w:hAnsi="Times New Roman" w:cs="Times New Roman"/>
        </w:rPr>
        <w:t>3</w:t>
      </w:r>
      <w:r>
        <w:rPr>
          <w:rFonts w:hint="eastAsia" w:ascii="宋体" w:hAnsi="宋体"/>
        </w:rPr>
        <w:t>、企业声明函请完整填写，中标后将公示。</w:t>
      </w:r>
    </w:p>
    <w:p w14:paraId="5F802376">
      <w:pPr>
        <w:spacing w:line="360" w:lineRule="auto"/>
        <w:ind w:firstLine="420"/>
        <w:jc w:val="left"/>
      </w:pPr>
      <w:r>
        <w:rPr>
          <w:rFonts w:ascii="Times New Roman" w:hAnsi="Times New Roman" w:cs="Times New Roman"/>
        </w:rPr>
        <w:t>4</w:t>
      </w:r>
      <w:r>
        <w:rPr>
          <w:rFonts w:hint="eastAsia"/>
        </w:rPr>
        <w:t>、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4163CA73">
      <w:pPr>
        <w:spacing w:line="360" w:lineRule="auto"/>
        <w:ind w:firstLine="420"/>
        <w:jc w:val="left"/>
      </w:pPr>
      <w:r>
        <w:rPr>
          <w:rFonts w:ascii="Times New Roman" w:hAnsi="Times New Roman" w:cs="Times New Roman"/>
        </w:rPr>
        <w:t>5</w:t>
      </w:r>
      <w:r>
        <w:rPr>
          <w:rFonts w:hint="eastAsia"/>
        </w:rPr>
        <w:t>、中小企业不得属于大企业的分支机构，不得存在控股股东为大企业的情形，不得存在与大企业的负责人为同一人的情形。</w:t>
      </w:r>
    </w:p>
    <w:p w14:paraId="164DCD8F">
      <w:pPr>
        <w:spacing w:line="360" w:lineRule="auto"/>
        <w:ind w:firstLine="420"/>
        <w:jc w:val="left"/>
      </w:pPr>
      <w:r>
        <w:rPr>
          <w:rFonts w:ascii="Times New Roman" w:hAnsi="Times New Roman" w:cs="Times New Roman"/>
        </w:rPr>
        <w:t>6</w:t>
      </w:r>
      <w:r>
        <w:rPr>
          <w:rFonts w:hint="eastAsia"/>
        </w:rPr>
        <w:t>、《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238000E7">
      <w:pPr>
        <w:spacing w:line="360" w:lineRule="auto"/>
        <w:ind w:firstLine="4620"/>
        <w:jc w:val="left"/>
      </w:pPr>
      <w:r>
        <w:rPr>
          <w:rFonts w:hint="eastAsia"/>
        </w:rPr>
        <w:t>企业名称（加盖CA电子公章）：</w:t>
      </w:r>
    </w:p>
    <w:p w14:paraId="6F867858">
      <w:pPr>
        <w:spacing w:line="520" w:lineRule="exact"/>
        <w:ind w:firstLine="4620"/>
        <w:jc w:val="left"/>
        <w:rPr>
          <w:rFonts w:asciiTheme="minorEastAsia" w:hAnsiTheme="minorEastAsia" w:eastAsiaTheme="minorEastAsia" w:cstheme="minorEastAsia"/>
          <w:color w:val="auto"/>
          <w:highlight w:val="none"/>
        </w:rPr>
      </w:pPr>
    </w:p>
    <w:p w14:paraId="34432F44">
      <w:pPr>
        <w:spacing w:line="360" w:lineRule="auto"/>
        <w:ind w:firstLine="4620"/>
        <w:jc w:val="left"/>
        <w:rPr>
          <w:rFonts w:asciiTheme="minorEastAsia" w:hAnsiTheme="minorEastAsia" w:eastAsiaTheme="minorEastAsia" w:cstheme="minorEastAsia"/>
          <w:color w:val="auto"/>
          <w:highlight w:val="none"/>
        </w:rPr>
      </w:pPr>
    </w:p>
    <w:p w14:paraId="426C6D26">
      <w:pPr>
        <w:rPr>
          <w:rFonts w:hint="eastAsia" w:asciiTheme="minorEastAsia" w:hAnsiTheme="minorEastAsia" w:eastAsiaTheme="minorEastAsia" w:cstheme="minorEastAsia"/>
          <w:bCs w:val="0"/>
          <w:color w:val="auto"/>
          <w:sz w:val="21"/>
          <w:szCs w:val="21"/>
          <w:highlight w:val="none"/>
        </w:rPr>
      </w:pPr>
      <w:bookmarkStart w:id="162" w:name="_Toc109304977"/>
      <w:r>
        <w:rPr>
          <w:rFonts w:hint="eastAsia" w:asciiTheme="minorEastAsia" w:hAnsiTheme="minorEastAsia" w:eastAsiaTheme="minorEastAsia" w:cstheme="minorEastAsia"/>
          <w:bCs w:val="0"/>
          <w:color w:val="auto"/>
          <w:sz w:val="21"/>
          <w:szCs w:val="21"/>
          <w:highlight w:val="none"/>
        </w:rPr>
        <w:br w:type="page"/>
      </w:r>
    </w:p>
    <w:p w14:paraId="2AC09718">
      <w:pPr>
        <w:pStyle w:val="3"/>
        <w:pageBreakBefore w:val="0"/>
        <w:widowControl/>
        <w:kinsoku/>
        <w:wordWrap/>
        <w:overflowPunct/>
        <w:topLinePunct w:val="0"/>
        <w:autoSpaceDE/>
        <w:autoSpaceDN/>
        <w:bidi w:val="0"/>
        <w:adjustRightInd/>
        <w:snapToGrid/>
        <w:spacing w:before="300" w:after="300" w:line="30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val="0"/>
          <w:color w:val="auto"/>
          <w:sz w:val="21"/>
          <w:szCs w:val="21"/>
          <w:highlight w:val="none"/>
        </w:rPr>
        <w:t>中小微企业划型标准</w:t>
      </w:r>
      <w:bookmarkEnd w:id="162"/>
      <w:r>
        <w:rPr>
          <w:rFonts w:hint="eastAsia" w:asciiTheme="minorEastAsia" w:hAnsiTheme="minorEastAsia" w:eastAsiaTheme="minorEastAsia" w:cstheme="minorEastAsia"/>
          <w:bCs w:val="0"/>
          <w:color w:val="auto"/>
          <w:sz w:val="21"/>
          <w:szCs w:val="21"/>
          <w:highlight w:val="none"/>
        </w:rPr>
        <w:t> </w:t>
      </w:r>
    </w:p>
    <w:p w14:paraId="2B875E7E">
      <w:pPr>
        <w:pStyle w:val="38"/>
        <w:pageBreakBefore w:val="0"/>
        <w:widowControl/>
        <w:kinsoku/>
        <w:wordWrap/>
        <w:overflowPunct/>
        <w:topLinePunct w:val="0"/>
        <w:autoSpaceDE/>
        <w:autoSpaceDN/>
        <w:bidi w:val="0"/>
        <w:adjustRightInd/>
        <w:snapToGrid/>
        <w:spacing w:before="300" w:after="452" w:line="300" w:lineRule="exact"/>
        <w:ind w:firstLine="42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r>
        <w:rPr>
          <w:rStyle w:val="44"/>
          <w:rFonts w:hint="eastAsia" w:asciiTheme="minorEastAsia" w:hAnsiTheme="minorEastAsia" w:eastAsiaTheme="minorEastAsia" w:cstheme="minorEastAsia"/>
          <w:color w:val="auto"/>
          <w:sz w:val="21"/>
          <w:szCs w:val="21"/>
          <w:highlight w:val="none"/>
        </w:rPr>
        <w:t>中小微企业划型标准如下：</w:t>
      </w:r>
    </w:p>
    <w:tbl>
      <w:tblPr>
        <w:tblStyle w:val="41"/>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971"/>
        <w:gridCol w:w="1623"/>
        <w:gridCol w:w="1709"/>
        <w:gridCol w:w="1500"/>
      </w:tblGrid>
      <w:tr w14:paraId="321144D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47A3DDD5">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行业名称</w:t>
            </w:r>
          </w:p>
        </w:tc>
        <w:tc>
          <w:tcPr>
            <w:tcW w:w="170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3E185EB7">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指标名称</w:t>
            </w:r>
          </w:p>
        </w:tc>
        <w:tc>
          <w:tcPr>
            <w:tcW w:w="941"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7CFD89DB">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计量单位</w:t>
            </w:r>
          </w:p>
        </w:tc>
        <w:tc>
          <w:tcPr>
            <w:tcW w:w="1593"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47129324">
            <w:pPr>
              <w:pStyle w:val="38"/>
              <w:widowControl/>
              <w:spacing w:after="150" w:line="360" w:lineRule="auto"/>
              <w:ind w:firstLine="420"/>
              <w:jc w:val="center"/>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中型</w:t>
            </w:r>
          </w:p>
        </w:tc>
        <w:tc>
          <w:tcPr>
            <w:tcW w:w="167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083F35A">
            <w:pPr>
              <w:pStyle w:val="38"/>
              <w:widowControl/>
              <w:spacing w:after="150" w:line="360" w:lineRule="auto"/>
              <w:ind w:firstLine="420"/>
              <w:jc w:val="center"/>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小型</w:t>
            </w:r>
          </w:p>
        </w:tc>
        <w:tc>
          <w:tcPr>
            <w:tcW w:w="145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5515DE9">
            <w:pPr>
              <w:pStyle w:val="38"/>
              <w:widowControl/>
              <w:spacing w:after="150" w:line="360" w:lineRule="auto"/>
              <w:ind w:firstLine="420"/>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微型</w:t>
            </w:r>
          </w:p>
        </w:tc>
      </w:tr>
      <w:tr w14:paraId="20377E9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FC9941D">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EF8580">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5977CF">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91FBDD">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007ED3">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8A801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Y＜50</w:t>
            </w:r>
          </w:p>
        </w:tc>
      </w:tr>
      <w:tr w14:paraId="79CC140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60F2E22D">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D2A57F">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056EE1">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56D639">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7A395D">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54FFE8">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X＜20</w:t>
            </w:r>
          </w:p>
        </w:tc>
      </w:tr>
      <w:tr w14:paraId="79651A8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3773065">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AB3B93">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A4CFF5">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409876">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9CF830">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8206FE">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Y＜300</w:t>
            </w:r>
          </w:p>
        </w:tc>
      </w:tr>
      <w:tr w14:paraId="35756BD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CB9BADF">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2B24CF">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83C07C">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A4023F">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6C15EB">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96C4F9">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Y＜300</w:t>
            </w:r>
          </w:p>
        </w:tc>
      </w:tr>
      <w:tr w14:paraId="1F820E9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8CAE075">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8A8046">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资产总额（Z）</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E698FD">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F59C8C">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36265E">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5C7769">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Z＜300</w:t>
            </w:r>
          </w:p>
        </w:tc>
      </w:tr>
      <w:tr w14:paraId="61D2321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3F992A06">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89E323">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4884C2">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EEEFDA">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382A22">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9F9B60">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X＜5</w:t>
            </w:r>
          </w:p>
        </w:tc>
      </w:tr>
      <w:tr w14:paraId="6757B24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9A861C5">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87CE06">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10F7E1">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169C62">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935C65">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DCBF4F">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Y＜1000</w:t>
            </w:r>
          </w:p>
        </w:tc>
      </w:tr>
      <w:tr w14:paraId="171A75C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BABB03C">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5F24718">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3272B29">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DFE4A2">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5C3055">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84990F">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X＜10</w:t>
            </w:r>
          </w:p>
        </w:tc>
      </w:tr>
      <w:tr w14:paraId="08F21F3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6406BAEB">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B01D1C">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187BEA">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67C255">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142F38">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7F98A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Y＜100</w:t>
            </w:r>
          </w:p>
        </w:tc>
      </w:tr>
      <w:tr w14:paraId="6CB732A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EC6FAED">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13AFF2">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C60506">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7F74D6">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2A5C74">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99E83B">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X＜20</w:t>
            </w:r>
          </w:p>
        </w:tc>
      </w:tr>
      <w:tr w14:paraId="002034A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36950297">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3E90A2">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371B260">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C7609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501EE0">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A44B0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Y＜200</w:t>
            </w:r>
          </w:p>
        </w:tc>
      </w:tr>
      <w:tr w14:paraId="14A485E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6D513136">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4A2A9D">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F6ED6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E3A731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9593CF">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C8DE03">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X＜20</w:t>
            </w:r>
          </w:p>
        </w:tc>
      </w:tr>
      <w:tr w14:paraId="29988C8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8C9C85C">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93BA56">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0708C6">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13D2A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304E99">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95BA80">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Y＜100</w:t>
            </w:r>
          </w:p>
        </w:tc>
      </w:tr>
      <w:tr w14:paraId="7B304A6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F478939">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08D75D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8C8ADB">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01B48E">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97F4E42">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13CD0D">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X＜20</w:t>
            </w:r>
          </w:p>
        </w:tc>
      </w:tr>
      <w:tr w14:paraId="3D90E78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3E4ECF32">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D7E951">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9AB403">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B8804E">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55D247">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A03AC5">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Y＜100</w:t>
            </w:r>
          </w:p>
        </w:tc>
      </w:tr>
      <w:tr w14:paraId="65F0903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B044639">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4E916F">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7F88B6">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156CC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695B5A">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25487C">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X＜10</w:t>
            </w:r>
          </w:p>
        </w:tc>
      </w:tr>
      <w:tr w14:paraId="3409278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5D5BBDC">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1B15B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E4CCD9">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19F273">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16AC18">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E27EF8">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Y＜100</w:t>
            </w:r>
          </w:p>
        </w:tc>
      </w:tr>
      <w:tr w14:paraId="102A8C0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60CFAA44">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77E761">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8B443D">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74C6F1">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D1D13A">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98A87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X＜10</w:t>
            </w:r>
          </w:p>
        </w:tc>
      </w:tr>
      <w:tr w14:paraId="4154724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DB4FE0A">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48084A">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6CBFF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37C74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7AB5F3E">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9B39B2">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Y＜100</w:t>
            </w:r>
          </w:p>
        </w:tc>
      </w:tr>
      <w:tr w14:paraId="2637E29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A75E046">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4AB221B">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8DA958">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8B572A">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24B3F0">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89D268">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X＜10</w:t>
            </w:r>
          </w:p>
        </w:tc>
      </w:tr>
      <w:tr w14:paraId="77EC4E4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5D569B3">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7D3155">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07DBA9">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A98898">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A0FCF1">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7BAB8E1">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Y＜100</w:t>
            </w:r>
          </w:p>
        </w:tc>
      </w:tr>
      <w:tr w14:paraId="74A0049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421163E">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F03F52">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A4F1F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21377C">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34053E">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A1C5F3">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X＜10</w:t>
            </w:r>
          </w:p>
        </w:tc>
      </w:tr>
      <w:tr w14:paraId="26C9E2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64E70A4">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E032AD">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9C31D0">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352DD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AF2642">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6C0EE3">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Y＜50</w:t>
            </w:r>
          </w:p>
        </w:tc>
      </w:tr>
      <w:tr w14:paraId="3852F2F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C7551A7">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8E90CC">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0CE87E">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5B17BB">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27BC25">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E0FE7E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X＜100</w:t>
            </w:r>
          </w:p>
        </w:tc>
      </w:tr>
      <w:tr w14:paraId="29C730E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2D293DF">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C24FB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资产总额（Z）</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4EE1D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286827">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F1BD58">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DA90C5">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Y＜2000</w:t>
            </w:r>
          </w:p>
        </w:tc>
      </w:tr>
      <w:tr w14:paraId="7107EE5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2179B48">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B429B9">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E8FCA6">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33DE73A">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DC7142">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1FA252">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X＜100</w:t>
            </w:r>
          </w:p>
        </w:tc>
      </w:tr>
      <w:tr w14:paraId="4B940A0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E49D471">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2CA5F05">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营业收入（Y）</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85FFCF">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AB0A60">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5F998D">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33720E">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Y＜500</w:t>
            </w:r>
          </w:p>
        </w:tc>
      </w:tr>
      <w:tr w14:paraId="0F079C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BE693DE">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57602E">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7CB4A4">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DB0C58">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4C50B7">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F14EAC">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X＜10</w:t>
            </w:r>
          </w:p>
        </w:tc>
      </w:tr>
      <w:tr w14:paraId="59099E2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60170CD">
            <w:pPr>
              <w:widowControl/>
              <w:spacing w:line="360" w:lineRule="auto"/>
              <w:jc w:val="left"/>
              <w:rPr>
                <w:rFonts w:asciiTheme="minorEastAsia" w:hAnsiTheme="minorEastAsia" w:eastAsiaTheme="minorEastAsia" w:cstheme="minorEastAsia"/>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CA1B1A">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资产总额（Z）</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69CE242">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cstheme="minorEastAsia"/>
                <w:color w:val="auto"/>
                <w:sz w:val="21"/>
                <w:szCs w:val="21"/>
                <w:highlight w:val="none"/>
                <w:lang w:eastAsia="zh-CN"/>
              </w:rPr>
              <w:t>万元</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C7D071">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3488D0">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A865CD">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Y＜100</w:t>
            </w:r>
          </w:p>
        </w:tc>
      </w:tr>
      <w:tr w14:paraId="6F04D4A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058D5AD4">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662950">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从业人员（X）</w:t>
            </w:r>
          </w:p>
        </w:tc>
        <w:tc>
          <w:tcPr>
            <w:tcW w:w="94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DE4339">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人</w:t>
            </w:r>
          </w:p>
        </w:tc>
        <w:tc>
          <w:tcPr>
            <w:tcW w:w="159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F5509E">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3BF1ED">
            <w:pPr>
              <w:pStyle w:val="38"/>
              <w:widowControl/>
              <w:spacing w:after="150" w:line="360" w:lineRule="auto"/>
              <w:jc w:val="both"/>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B28E18">
            <w:pPr>
              <w:pStyle w:val="38"/>
              <w:widowControl/>
              <w:spacing w:after="150" w:line="360" w:lineRule="auto"/>
              <w:rPr>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X＜10</w:t>
            </w:r>
          </w:p>
        </w:tc>
      </w:tr>
    </w:tbl>
    <w:p w14:paraId="1FCFDFBB">
      <w:pPr>
        <w:pStyle w:val="38"/>
        <w:widowControl/>
        <w:spacing w:before="300" w:after="452" w:line="360" w:lineRule="auto"/>
        <w:rPr>
          <w:rStyle w:val="44"/>
          <w:rFonts w:asciiTheme="minorEastAsia" w:hAnsiTheme="minorEastAsia" w:eastAsiaTheme="minorEastAsia" w:cstheme="minorEastAsia"/>
          <w:color w:val="auto"/>
          <w:sz w:val="21"/>
          <w:szCs w:val="21"/>
          <w:highlight w:val="none"/>
        </w:rPr>
      </w:pPr>
      <w:r>
        <w:rPr>
          <w:rStyle w:val="44"/>
          <w:rFonts w:hint="eastAsia" w:asciiTheme="minorEastAsia" w:hAnsiTheme="minorEastAsia" w:eastAsiaTheme="minorEastAsia" w:cstheme="minorEastAsia"/>
          <w:color w:val="auto"/>
          <w:sz w:val="21"/>
          <w:szCs w:val="21"/>
          <w:highlight w:val="none"/>
        </w:rPr>
        <w:t>说明：上述标准参照《关于印发中小企业划型标准规定的通知》（工信部联企业</w:t>
      </w:r>
      <w:r>
        <w:rPr>
          <w:rStyle w:val="44"/>
          <w:rFonts w:hint="eastAsia" w:asciiTheme="minorEastAsia" w:hAnsiTheme="minorEastAsia" w:cstheme="minorEastAsia"/>
          <w:color w:val="auto"/>
          <w:sz w:val="21"/>
          <w:szCs w:val="21"/>
          <w:highlight w:val="none"/>
          <w:lang w:eastAsia="zh-CN"/>
        </w:rPr>
        <w:t>〔2011〕300号</w:t>
      </w:r>
      <w:r>
        <w:rPr>
          <w:rStyle w:val="44"/>
          <w:rFonts w:hint="eastAsia" w:asciiTheme="minorEastAsia" w:hAnsiTheme="minorEastAsia" w:eastAsiaTheme="minorEastAsia" w:cstheme="minorEastAsia"/>
          <w:color w:val="auto"/>
          <w:sz w:val="21"/>
          <w:szCs w:val="21"/>
          <w:highlight w:val="none"/>
        </w:rPr>
        <w:t>），大型、中型和小型企业须同时满足所列指标的下限，否则下划一档；微型企业只</w:t>
      </w:r>
      <w:r>
        <w:rPr>
          <w:rStyle w:val="44"/>
          <w:rFonts w:hint="eastAsia" w:asciiTheme="minorEastAsia" w:hAnsiTheme="minorEastAsia" w:cstheme="minorEastAsia"/>
          <w:color w:val="auto"/>
          <w:sz w:val="21"/>
          <w:szCs w:val="21"/>
          <w:highlight w:val="none"/>
          <w:lang w:eastAsia="zh-CN"/>
        </w:rPr>
        <w:t>需</w:t>
      </w:r>
      <w:r>
        <w:rPr>
          <w:rStyle w:val="44"/>
          <w:rFonts w:hint="eastAsia" w:asciiTheme="minorEastAsia" w:hAnsiTheme="minorEastAsia" w:eastAsiaTheme="minorEastAsia" w:cstheme="minorEastAsia"/>
          <w:color w:val="auto"/>
          <w:sz w:val="21"/>
          <w:szCs w:val="21"/>
          <w:highlight w:val="none"/>
        </w:rPr>
        <w:t>满足所列指标中的一项即可。</w:t>
      </w:r>
    </w:p>
    <w:p w14:paraId="33110DCC">
      <w:pPr>
        <w:spacing w:line="360" w:lineRule="auto"/>
        <w:jc w:val="center"/>
        <w:rPr>
          <w:rStyle w:val="44"/>
          <w:rFonts w:asciiTheme="minorEastAsia" w:hAnsiTheme="minorEastAsia" w:eastAsiaTheme="minorEastAsia" w:cstheme="minorEastAsia"/>
          <w:color w:val="auto"/>
          <w:szCs w:val="21"/>
          <w:highlight w:val="none"/>
        </w:rPr>
      </w:pPr>
    </w:p>
    <w:p w14:paraId="25216437">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残疾人福利性单位声明函</w:t>
      </w:r>
    </w:p>
    <w:p w14:paraId="26C5B763">
      <w:pPr>
        <w:spacing w:line="360" w:lineRule="auto"/>
        <w:ind w:firstLine="624"/>
        <w:rPr>
          <w:rFonts w:asciiTheme="minorEastAsia" w:hAnsiTheme="minorEastAsia" w:eastAsiaTheme="minorEastAsia" w:cstheme="minorEastAsia"/>
          <w:color w:val="auto"/>
          <w:spacing w:val="6"/>
          <w:sz w:val="30"/>
          <w:szCs w:val="30"/>
          <w:highlight w:val="none"/>
        </w:rPr>
      </w:pPr>
    </w:p>
    <w:p w14:paraId="4157BB05">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本单位郑重声明，根据《财政部 民政部 中国残疾人联合会关于促进残疾人就业政府采购政策的通知》（财库</w:t>
      </w:r>
      <w:r>
        <w:rPr>
          <w:rFonts w:hint="eastAsia" w:asciiTheme="minorEastAsia" w:hAnsiTheme="minorEastAsia" w:cstheme="minorEastAsia"/>
          <w:color w:val="auto"/>
          <w:szCs w:val="21"/>
          <w:highlight w:val="none"/>
          <w:lang w:eastAsia="zh-CN"/>
        </w:rPr>
        <w:t>〔2017〕141号</w:t>
      </w:r>
      <w:r>
        <w:rPr>
          <w:rFonts w:hint="eastAsia" w:asciiTheme="minorEastAsia" w:hAnsiTheme="minorEastAsia" w:eastAsiaTheme="minorEastAsia" w:cstheme="minorEastAsia"/>
          <w:color w:val="auto"/>
          <w:szCs w:val="21"/>
          <w:highlight w:val="none"/>
        </w:rPr>
        <w:t>）的规定，本单位为符合条件的残疾人福利性单位，且本单位参加______单位的采购文件编号为______的项目采购活动提供本单位制造的产品或服务（由本单位提供服务），或者提供其他残疾人福利性单位制造的产品或服务（不包括使用非残疾人福利性单位注册商标的产品或服务）。</w:t>
      </w:r>
    </w:p>
    <w:p w14:paraId="5A828DA8">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本单位在本次政府采购活动中提供的残疾人福利单位产品报价合计为人民币（大写）圆整（￥：     ）。</w:t>
      </w:r>
    </w:p>
    <w:p w14:paraId="1EF3E9FB">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本单位对上述声明的真实性负责。如有虚假，将依法承担相应责任。</w:t>
      </w:r>
    </w:p>
    <w:p w14:paraId="03E41E5F">
      <w:pPr>
        <w:spacing w:line="360" w:lineRule="auto"/>
        <w:ind w:firstLine="420"/>
        <w:rPr>
          <w:rFonts w:asciiTheme="minorEastAsia" w:hAnsiTheme="minorEastAsia" w:eastAsiaTheme="minorEastAsia" w:cstheme="minorEastAsia"/>
          <w:color w:val="auto"/>
          <w:szCs w:val="21"/>
          <w:highlight w:val="none"/>
        </w:rPr>
      </w:pPr>
    </w:p>
    <w:p w14:paraId="7A75ED3E">
      <w:pPr>
        <w:spacing w:line="360" w:lineRule="auto"/>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（备注：1、供应商如不提供此声明函，价格将不做相应扣除。2、成交供应商为残疾人福利单位的，此声明函将随成交结果同时公告，接受社会监督）</w:t>
      </w:r>
    </w:p>
    <w:p w14:paraId="791A3AB0">
      <w:pPr>
        <w:spacing w:line="360" w:lineRule="auto"/>
        <w:ind w:firstLine="444"/>
        <w:rPr>
          <w:rFonts w:asciiTheme="minorEastAsia" w:hAnsiTheme="minorEastAsia" w:eastAsiaTheme="minorEastAsia" w:cstheme="minorEastAsia"/>
          <w:color w:val="auto"/>
          <w:spacing w:val="6"/>
          <w:szCs w:val="21"/>
          <w:highlight w:val="none"/>
        </w:rPr>
      </w:pPr>
    </w:p>
    <w:p w14:paraId="30B5DDAE">
      <w:pPr>
        <w:tabs>
          <w:tab w:val="left" w:pos="4860"/>
        </w:tabs>
        <w:spacing w:line="360" w:lineRule="auto"/>
        <w:ind w:right="1560" w:firstLine="42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供应商全称（盖章）：</w:t>
      </w:r>
    </w:p>
    <w:p w14:paraId="597CE4BB">
      <w:pPr>
        <w:tabs>
          <w:tab w:val="left" w:pos="4860"/>
        </w:tabs>
        <w:spacing w:line="360" w:lineRule="auto"/>
        <w:ind w:right="1560" w:firstLine="42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日  期：</w:t>
      </w:r>
    </w:p>
    <w:p w14:paraId="6136F530">
      <w:pPr>
        <w:spacing w:line="360" w:lineRule="auto"/>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br w:type="page" w:clear="all"/>
      </w:r>
      <w:r>
        <w:rPr>
          <w:rFonts w:hint="eastAsia" w:asciiTheme="minorEastAsia" w:hAnsiTheme="minorEastAsia" w:eastAsiaTheme="minorEastAsia" w:cstheme="minorEastAsia"/>
          <w:b/>
          <w:bCs/>
          <w:color w:val="auto"/>
          <w:sz w:val="32"/>
          <w:szCs w:val="32"/>
          <w:highlight w:val="none"/>
        </w:rPr>
        <w:t>十一、磋商响应报价表</w:t>
      </w:r>
    </w:p>
    <w:p w14:paraId="695C6151">
      <w:pPr>
        <w:spacing w:line="360" w:lineRule="auto"/>
        <w:rPr>
          <w:rFonts w:asciiTheme="minorEastAsia" w:hAnsiTheme="minorEastAsia" w:eastAsiaTheme="minorEastAsia" w:cstheme="minorEastAsia"/>
          <w:color w:val="auto"/>
          <w:highlight w:val="none"/>
        </w:rPr>
      </w:pPr>
    </w:p>
    <w:p w14:paraId="3F7A8864">
      <w:pPr>
        <w:pStyle w:val="7"/>
        <w:spacing w:line="360" w:lineRule="auto"/>
        <w:ind w:firstLine="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供应商全称（盖章）：</w:t>
      </w:r>
    </w:p>
    <w:p w14:paraId="29D1F8EA">
      <w:pPr>
        <w:pStyle w:val="2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 </w:t>
      </w:r>
    </w:p>
    <w:p w14:paraId="079AEC78">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 </w:t>
      </w:r>
    </w:p>
    <w:p w14:paraId="011EBB1F">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分包号： </w:t>
      </w:r>
    </w:p>
    <w:tbl>
      <w:tblPr>
        <w:tblStyle w:val="41"/>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5175"/>
        <w:gridCol w:w="2017"/>
      </w:tblGrid>
      <w:tr w14:paraId="04DE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4"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07CD96EC">
            <w:pPr>
              <w:pStyle w:val="17"/>
              <w:spacing w:line="300"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名称</w:t>
            </w:r>
          </w:p>
        </w:tc>
        <w:tc>
          <w:tcPr>
            <w:tcW w:w="5175" w:type="dxa"/>
            <w:tcBorders>
              <w:top w:val="single" w:color="auto" w:sz="4" w:space="0"/>
              <w:left w:val="single" w:color="auto" w:sz="4" w:space="0"/>
              <w:bottom w:val="single" w:color="auto" w:sz="4" w:space="0"/>
              <w:right w:val="single" w:color="auto" w:sz="4" w:space="0"/>
            </w:tcBorders>
            <w:noWrap w:val="0"/>
            <w:vAlign w:val="center"/>
          </w:tcPr>
          <w:p w14:paraId="233DC6BE">
            <w:pPr>
              <w:spacing w:after="200" w:line="22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none"/>
              </w:rPr>
              <w:t>第一轮报价</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7ABF05D3">
            <w:pPr>
              <w:spacing w:after="200" w:line="22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合同履行期限</w:t>
            </w:r>
          </w:p>
        </w:tc>
      </w:tr>
      <w:tr w14:paraId="68081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5"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59EA6466">
            <w:pPr>
              <w:pStyle w:val="17"/>
              <w:spacing w:line="300" w:lineRule="auto"/>
              <w:rPr>
                <w:rFonts w:asciiTheme="minorEastAsia" w:hAnsiTheme="minorEastAsia" w:eastAsiaTheme="minorEastAsia" w:cstheme="minorEastAsia"/>
                <w:color w:val="auto"/>
                <w:sz w:val="21"/>
                <w:szCs w:val="21"/>
                <w:highlight w:val="none"/>
              </w:rPr>
            </w:pPr>
          </w:p>
        </w:tc>
        <w:tc>
          <w:tcPr>
            <w:tcW w:w="5175" w:type="dxa"/>
            <w:tcBorders>
              <w:top w:val="single" w:color="auto" w:sz="4" w:space="0"/>
              <w:left w:val="single" w:color="auto" w:sz="4" w:space="0"/>
              <w:bottom w:val="single" w:color="auto" w:sz="4" w:space="0"/>
              <w:right w:val="single" w:color="auto" w:sz="4" w:space="0"/>
            </w:tcBorders>
            <w:noWrap w:val="0"/>
            <w:vAlign w:val="center"/>
          </w:tcPr>
          <w:p w14:paraId="55A958C0">
            <w:pPr>
              <w:pStyle w:val="17"/>
              <w:spacing w:line="30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大写：</w:t>
            </w:r>
          </w:p>
          <w:p w14:paraId="5049750D">
            <w:pPr>
              <w:pStyle w:val="226"/>
              <w:spacing w:before="0" w:after="0" w:line="500" w:lineRule="exact"/>
              <w:ind w:firstLine="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小写：                           （人民币）</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460AA9DE">
            <w:pPr>
              <w:pStyle w:val="226"/>
              <w:spacing w:before="0" w:after="0" w:line="500" w:lineRule="exact"/>
              <w:ind w:firstLine="0"/>
              <w:rPr>
                <w:rFonts w:asciiTheme="minorEastAsia" w:hAnsiTheme="minorEastAsia" w:eastAsiaTheme="minorEastAsia" w:cstheme="minorEastAsia"/>
                <w:color w:val="auto"/>
                <w:sz w:val="21"/>
                <w:szCs w:val="21"/>
                <w:highlight w:val="none"/>
              </w:rPr>
            </w:pPr>
          </w:p>
        </w:tc>
      </w:tr>
      <w:tr w14:paraId="7FB40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9"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4341E75B">
            <w:pPr>
              <w:pStyle w:val="17"/>
              <w:spacing w:line="300"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c>
          <w:tcPr>
            <w:tcW w:w="7192" w:type="dxa"/>
            <w:gridSpan w:val="2"/>
            <w:tcBorders>
              <w:top w:val="single" w:color="auto" w:sz="4" w:space="0"/>
              <w:left w:val="single" w:color="auto" w:sz="4" w:space="0"/>
              <w:bottom w:val="single" w:color="auto" w:sz="4" w:space="0"/>
              <w:right w:val="single" w:color="auto" w:sz="4" w:space="0"/>
            </w:tcBorders>
            <w:noWrap w:val="0"/>
            <w:vAlign w:val="center"/>
          </w:tcPr>
          <w:p w14:paraId="1DD32A48">
            <w:pPr>
              <w:pStyle w:val="17"/>
              <w:spacing w:line="300" w:lineRule="auto"/>
              <w:ind w:firstLine="1365"/>
              <w:rPr>
                <w:rFonts w:asciiTheme="minorEastAsia" w:hAnsiTheme="minorEastAsia" w:eastAsiaTheme="minorEastAsia" w:cstheme="minorEastAsia"/>
                <w:color w:val="auto"/>
                <w:sz w:val="21"/>
                <w:szCs w:val="21"/>
                <w:highlight w:val="none"/>
              </w:rPr>
            </w:pPr>
          </w:p>
        </w:tc>
      </w:tr>
    </w:tbl>
    <w:p w14:paraId="12D9BF57">
      <w:pPr>
        <w:spacing w:line="360" w:lineRule="auto"/>
        <w:rPr>
          <w:rFonts w:asciiTheme="minorEastAsia" w:hAnsiTheme="minorEastAsia" w:eastAsiaTheme="minorEastAsia" w:cstheme="minorEastAsia"/>
          <w:color w:val="auto"/>
          <w:highlight w:val="none"/>
        </w:rPr>
      </w:pPr>
    </w:p>
    <w:p w14:paraId="031C7670">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法定代表人或者授权代表（签字或盖章）：</w:t>
      </w:r>
    </w:p>
    <w:p w14:paraId="0A0CA385">
      <w:pPr>
        <w:spacing w:line="360" w:lineRule="auto"/>
        <w:jc w:val="righ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    年   月    日</w:t>
      </w:r>
    </w:p>
    <w:p w14:paraId="6284DFE2">
      <w:pPr>
        <w:spacing w:line="360" w:lineRule="auto"/>
        <w:rPr>
          <w:rFonts w:asciiTheme="minorEastAsia" w:hAnsiTheme="minorEastAsia" w:eastAsiaTheme="minorEastAsia" w:cstheme="minorEastAsia"/>
          <w:color w:val="auto"/>
          <w:highlight w:val="none"/>
        </w:rPr>
      </w:pPr>
    </w:p>
    <w:p w14:paraId="38A76ECF">
      <w:pPr>
        <w:spacing w:line="360" w:lineRule="auto"/>
        <w:rPr>
          <w:rFonts w:asciiTheme="minorEastAsia" w:hAnsiTheme="minorEastAsia" w:eastAsiaTheme="minorEastAsia" w:cstheme="minorEastAsia"/>
          <w:color w:val="auto"/>
          <w:highlight w:val="none"/>
        </w:rPr>
      </w:pPr>
    </w:p>
    <w:p w14:paraId="0D3EDC2E">
      <w:pPr>
        <w:spacing w:line="360" w:lineRule="auto"/>
        <w:rPr>
          <w:rFonts w:asciiTheme="minorEastAsia" w:hAnsiTheme="minorEastAsia" w:eastAsiaTheme="minorEastAsia" w:cstheme="minorEastAsia"/>
          <w:color w:val="auto"/>
          <w:highlight w:val="none"/>
        </w:rPr>
      </w:pPr>
    </w:p>
    <w:p w14:paraId="56DBFE6E">
      <w:pPr>
        <w:spacing w:line="360" w:lineRule="auto"/>
        <w:rPr>
          <w:rFonts w:asciiTheme="minorEastAsia" w:hAnsiTheme="minorEastAsia" w:eastAsiaTheme="minorEastAsia" w:cstheme="minorEastAsia"/>
          <w:color w:val="auto"/>
          <w:highlight w:val="none"/>
        </w:rPr>
      </w:pPr>
    </w:p>
    <w:p w14:paraId="2ECA61D4">
      <w:pPr>
        <w:spacing w:line="360" w:lineRule="auto"/>
        <w:rPr>
          <w:rFonts w:asciiTheme="minorEastAsia" w:hAnsiTheme="minorEastAsia" w:eastAsiaTheme="minorEastAsia" w:cstheme="minorEastAsia"/>
          <w:color w:val="auto"/>
          <w:highlight w:val="none"/>
        </w:rPr>
      </w:pPr>
    </w:p>
    <w:p w14:paraId="273A03AA">
      <w:pPr>
        <w:spacing w:line="360" w:lineRule="auto"/>
        <w:rPr>
          <w:rFonts w:asciiTheme="minorEastAsia" w:hAnsiTheme="minorEastAsia" w:eastAsiaTheme="minorEastAsia" w:cstheme="minorEastAsia"/>
          <w:color w:val="auto"/>
          <w:highlight w:val="none"/>
        </w:rPr>
      </w:pPr>
    </w:p>
    <w:p w14:paraId="0A4F8413">
      <w:pPr>
        <w:spacing w:line="360" w:lineRule="auto"/>
        <w:rPr>
          <w:rFonts w:asciiTheme="minorEastAsia" w:hAnsiTheme="minorEastAsia" w:eastAsiaTheme="minorEastAsia" w:cstheme="minorEastAsia"/>
          <w:color w:val="auto"/>
          <w:highlight w:val="none"/>
        </w:rPr>
      </w:pPr>
    </w:p>
    <w:p w14:paraId="009305FD">
      <w:pPr>
        <w:spacing w:line="360" w:lineRule="auto"/>
        <w:rPr>
          <w:rFonts w:asciiTheme="minorEastAsia" w:hAnsiTheme="minorEastAsia" w:eastAsiaTheme="minorEastAsia" w:cstheme="minorEastAsia"/>
          <w:color w:val="auto"/>
          <w:highlight w:val="none"/>
        </w:rPr>
      </w:pPr>
    </w:p>
    <w:p w14:paraId="4AF89636">
      <w:pPr>
        <w:spacing w:line="360" w:lineRule="auto"/>
        <w:rPr>
          <w:rFonts w:asciiTheme="minorEastAsia" w:hAnsiTheme="minorEastAsia" w:eastAsiaTheme="minorEastAsia" w:cstheme="minorEastAsia"/>
          <w:color w:val="auto"/>
          <w:highlight w:val="none"/>
        </w:rPr>
      </w:pPr>
    </w:p>
    <w:p w14:paraId="1ECD1DC8">
      <w:pPr>
        <w:spacing w:line="360" w:lineRule="auto"/>
        <w:rPr>
          <w:rFonts w:asciiTheme="minorEastAsia" w:hAnsiTheme="minorEastAsia" w:eastAsiaTheme="minorEastAsia" w:cstheme="minorEastAsia"/>
          <w:color w:val="auto"/>
          <w:highlight w:val="none"/>
        </w:rPr>
      </w:pPr>
    </w:p>
    <w:p w14:paraId="26C53232">
      <w:pPr>
        <w:spacing w:line="360" w:lineRule="auto"/>
        <w:rPr>
          <w:rFonts w:asciiTheme="minorEastAsia" w:hAnsiTheme="minorEastAsia" w:eastAsiaTheme="minorEastAsia" w:cstheme="minorEastAsia"/>
          <w:color w:val="auto"/>
          <w:highlight w:val="none"/>
        </w:rPr>
      </w:pPr>
    </w:p>
    <w:p w14:paraId="1B064421">
      <w:pPr>
        <w:spacing w:line="360" w:lineRule="auto"/>
        <w:rPr>
          <w:rFonts w:asciiTheme="minorEastAsia" w:hAnsiTheme="minorEastAsia" w:eastAsiaTheme="minorEastAsia" w:cstheme="minorEastAsia"/>
          <w:color w:val="auto"/>
          <w:highlight w:val="none"/>
        </w:rPr>
      </w:pPr>
    </w:p>
    <w:p w14:paraId="21F85EFC">
      <w:pPr>
        <w:rPr>
          <w:rFonts w:hint="eastAsia" w:asciiTheme="minorEastAsia" w:hAnsiTheme="minorEastAsia" w:eastAsiaTheme="minorEastAsia" w:cstheme="minorEastAsia"/>
          <w:bCs w:val="0"/>
          <w:color w:val="auto"/>
          <w:highlight w:val="none"/>
        </w:rPr>
      </w:pPr>
      <w:r>
        <w:rPr>
          <w:rFonts w:hint="eastAsia" w:asciiTheme="minorEastAsia" w:hAnsiTheme="minorEastAsia" w:eastAsiaTheme="minorEastAsia" w:cstheme="minorEastAsia"/>
          <w:bCs w:val="0"/>
          <w:color w:val="auto"/>
          <w:highlight w:val="none"/>
        </w:rPr>
        <w:br w:type="page"/>
      </w:r>
    </w:p>
    <w:p w14:paraId="170F231C">
      <w:pPr>
        <w:pStyle w:val="3"/>
        <w:spacing w:line="360" w:lineRule="auto"/>
        <w:jc w:val="center"/>
        <w:rPr>
          <w:rFonts w:hint="eastAsia" w:asciiTheme="minorEastAsia" w:hAnsiTheme="minorEastAsia" w:eastAsiaTheme="minorEastAsia" w:cstheme="minorEastAsia"/>
          <w:bCs w:val="0"/>
          <w:color w:val="auto"/>
          <w:highlight w:val="none"/>
        </w:rPr>
      </w:pPr>
      <w:bookmarkStart w:id="163" w:name="_Toc109304978"/>
      <w:r>
        <w:rPr>
          <w:rFonts w:hint="eastAsia" w:asciiTheme="minorEastAsia" w:hAnsiTheme="minorEastAsia" w:eastAsiaTheme="minorEastAsia" w:cstheme="minorEastAsia"/>
          <w:bCs w:val="0"/>
          <w:color w:val="auto"/>
          <w:highlight w:val="none"/>
        </w:rPr>
        <w:t>十</w:t>
      </w:r>
      <w:r>
        <w:rPr>
          <w:rFonts w:hint="eastAsia" w:eastAsia="宋体" w:asciiTheme="minorEastAsia" w:hAnsiTheme="minorEastAsia" w:cstheme="minorEastAsia"/>
          <w:bCs w:val="0"/>
          <w:color w:val="auto"/>
          <w:highlight w:val="none"/>
          <w:lang w:val="en-US" w:eastAsia="zh-CN"/>
        </w:rPr>
        <w:t>二</w:t>
      </w:r>
      <w:r>
        <w:rPr>
          <w:rFonts w:hint="eastAsia" w:asciiTheme="minorEastAsia" w:hAnsiTheme="minorEastAsia" w:eastAsiaTheme="minorEastAsia" w:cstheme="minorEastAsia"/>
          <w:bCs w:val="0"/>
          <w:color w:val="auto"/>
          <w:highlight w:val="none"/>
        </w:rPr>
        <w:t>、技术参数响应及偏离表</w:t>
      </w:r>
      <w:bookmarkEnd w:id="163"/>
    </w:p>
    <w:p w14:paraId="31B94C56">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供应商全称（加盖公章）： </w:t>
      </w:r>
    </w:p>
    <w:p w14:paraId="4C6C74F6">
      <w:pPr>
        <w:rPr>
          <w:color w:val="auto"/>
          <w:highlight w:val="none"/>
        </w:rPr>
      </w:pPr>
      <w:r>
        <w:rPr>
          <w:rFonts w:hint="eastAsia" w:asciiTheme="minorEastAsia" w:hAnsiTheme="minorEastAsia" w:eastAsiaTheme="minorEastAsia" w:cstheme="minorEastAsia"/>
          <w:color w:val="auto"/>
          <w:highlight w:val="none"/>
        </w:rPr>
        <w:t>分包号：</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638E0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4CEA2E2E">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3291" w:type="dxa"/>
            <w:noWrap w:val="0"/>
            <w:vAlign w:val="center"/>
          </w:tcPr>
          <w:p w14:paraId="2658A2EB">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磋商文件要求</w:t>
            </w:r>
          </w:p>
        </w:tc>
        <w:tc>
          <w:tcPr>
            <w:tcW w:w="2852" w:type="dxa"/>
            <w:noWrap w:val="0"/>
            <w:vAlign w:val="center"/>
          </w:tcPr>
          <w:p w14:paraId="4F191DE2">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响应情况</w:t>
            </w:r>
          </w:p>
        </w:tc>
        <w:tc>
          <w:tcPr>
            <w:tcW w:w="1308" w:type="dxa"/>
            <w:noWrap w:val="0"/>
            <w:vAlign w:val="center"/>
          </w:tcPr>
          <w:p w14:paraId="507BDF95">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超出、符合或偏离</w:t>
            </w:r>
          </w:p>
        </w:tc>
        <w:tc>
          <w:tcPr>
            <w:tcW w:w="1173" w:type="dxa"/>
            <w:noWrap w:val="0"/>
            <w:vAlign w:val="center"/>
          </w:tcPr>
          <w:p w14:paraId="6C7379CC">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证明</w:t>
            </w:r>
          </w:p>
          <w:p w14:paraId="32A7799E">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材料</w:t>
            </w:r>
          </w:p>
        </w:tc>
      </w:tr>
      <w:tr w14:paraId="748C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04DF4919">
            <w:pPr>
              <w:jc w:val="center"/>
              <w:rPr>
                <w:rFonts w:asciiTheme="minorEastAsia" w:hAnsiTheme="minorEastAsia" w:eastAsiaTheme="minorEastAsia" w:cstheme="minorEastAsia"/>
                <w:color w:val="auto"/>
                <w:sz w:val="24"/>
                <w:szCs w:val="24"/>
                <w:highlight w:val="none"/>
              </w:rPr>
            </w:pPr>
          </w:p>
        </w:tc>
        <w:tc>
          <w:tcPr>
            <w:tcW w:w="3291" w:type="dxa"/>
            <w:noWrap w:val="0"/>
          </w:tcPr>
          <w:p w14:paraId="0736AF32">
            <w:pPr>
              <w:jc w:val="center"/>
              <w:rPr>
                <w:rFonts w:asciiTheme="minorEastAsia" w:hAnsiTheme="minorEastAsia" w:eastAsiaTheme="minorEastAsia" w:cstheme="minorEastAsia"/>
                <w:color w:val="auto"/>
                <w:sz w:val="24"/>
                <w:szCs w:val="24"/>
                <w:highlight w:val="none"/>
              </w:rPr>
            </w:pPr>
          </w:p>
        </w:tc>
        <w:tc>
          <w:tcPr>
            <w:tcW w:w="2852" w:type="dxa"/>
            <w:noWrap w:val="0"/>
          </w:tcPr>
          <w:p w14:paraId="11B09239">
            <w:pPr>
              <w:jc w:val="center"/>
              <w:rPr>
                <w:rFonts w:asciiTheme="minorEastAsia" w:hAnsiTheme="minorEastAsia" w:eastAsiaTheme="minorEastAsia" w:cstheme="minorEastAsia"/>
                <w:color w:val="auto"/>
                <w:sz w:val="24"/>
                <w:szCs w:val="24"/>
                <w:highlight w:val="none"/>
              </w:rPr>
            </w:pPr>
          </w:p>
        </w:tc>
        <w:tc>
          <w:tcPr>
            <w:tcW w:w="1308" w:type="dxa"/>
            <w:noWrap w:val="0"/>
          </w:tcPr>
          <w:p w14:paraId="073F124C">
            <w:pPr>
              <w:jc w:val="center"/>
              <w:rPr>
                <w:rFonts w:asciiTheme="minorEastAsia" w:hAnsiTheme="minorEastAsia" w:eastAsiaTheme="minorEastAsia" w:cstheme="minorEastAsia"/>
                <w:color w:val="auto"/>
                <w:sz w:val="24"/>
                <w:szCs w:val="24"/>
                <w:highlight w:val="none"/>
              </w:rPr>
            </w:pPr>
          </w:p>
        </w:tc>
        <w:tc>
          <w:tcPr>
            <w:tcW w:w="1173" w:type="dxa"/>
            <w:noWrap w:val="0"/>
          </w:tcPr>
          <w:p w14:paraId="47910194">
            <w:pPr>
              <w:jc w:val="center"/>
              <w:rPr>
                <w:rFonts w:asciiTheme="minorEastAsia" w:hAnsiTheme="minorEastAsia" w:eastAsiaTheme="minorEastAsia" w:cstheme="minorEastAsia"/>
                <w:color w:val="auto"/>
                <w:sz w:val="24"/>
                <w:szCs w:val="24"/>
                <w:highlight w:val="none"/>
              </w:rPr>
            </w:pPr>
          </w:p>
        </w:tc>
      </w:tr>
      <w:tr w14:paraId="7CB0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D322F9B">
            <w:pPr>
              <w:jc w:val="center"/>
              <w:rPr>
                <w:rFonts w:asciiTheme="minorEastAsia" w:hAnsiTheme="minorEastAsia" w:eastAsiaTheme="minorEastAsia" w:cstheme="minorEastAsia"/>
                <w:color w:val="auto"/>
                <w:sz w:val="24"/>
                <w:szCs w:val="24"/>
                <w:highlight w:val="none"/>
              </w:rPr>
            </w:pPr>
          </w:p>
        </w:tc>
        <w:tc>
          <w:tcPr>
            <w:tcW w:w="3291" w:type="dxa"/>
            <w:noWrap w:val="0"/>
          </w:tcPr>
          <w:p w14:paraId="425A22E3">
            <w:pPr>
              <w:jc w:val="center"/>
              <w:rPr>
                <w:rFonts w:asciiTheme="minorEastAsia" w:hAnsiTheme="minorEastAsia" w:eastAsiaTheme="minorEastAsia" w:cstheme="minorEastAsia"/>
                <w:color w:val="auto"/>
                <w:sz w:val="24"/>
                <w:szCs w:val="24"/>
                <w:highlight w:val="none"/>
              </w:rPr>
            </w:pPr>
          </w:p>
        </w:tc>
        <w:tc>
          <w:tcPr>
            <w:tcW w:w="2852" w:type="dxa"/>
            <w:noWrap w:val="0"/>
          </w:tcPr>
          <w:p w14:paraId="23BF5EFD">
            <w:pPr>
              <w:jc w:val="center"/>
              <w:rPr>
                <w:rFonts w:asciiTheme="minorEastAsia" w:hAnsiTheme="minorEastAsia" w:eastAsiaTheme="minorEastAsia" w:cstheme="minorEastAsia"/>
                <w:color w:val="auto"/>
                <w:sz w:val="24"/>
                <w:szCs w:val="24"/>
                <w:highlight w:val="none"/>
              </w:rPr>
            </w:pPr>
          </w:p>
        </w:tc>
        <w:tc>
          <w:tcPr>
            <w:tcW w:w="1308" w:type="dxa"/>
            <w:noWrap w:val="0"/>
          </w:tcPr>
          <w:p w14:paraId="7932AA68">
            <w:pPr>
              <w:jc w:val="center"/>
              <w:rPr>
                <w:rFonts w:asciiTheme="minorEastAsia" w:hAnsiTheme="minorEastAsia" w:eastAsiaTheme="minorEastAsia" w:cstheme="minorEastAsia"/>
                <w:color w:val="auto"/>
                <w:sz w:val="24"/>
                <w:szCs w:val="24"/>
                <w:highlight w:val="none"/>
              </w:rPr>
            </w:pPr>
          </w:p>
        </w:tc>
        <w:tc>
          <w:tcPr>
            <w:tcW w:w="1173" w:type="dxa"/>
            <w:noWrap w:val="0"/>
          </w:tcPr>
          <w:p w14:paraId="0C2C9F8C">
            <w:pPr>
              <w:jc w:val="center"/>
              <w:rPr>
                <w:rFonts w:asciiTheme="minorEastAsia" w:hAnsiTheme="minorEastAsia" w:eastAsiaTheme="minorEastAsia" w:cstheme="minorEastAsia"/>
                <w:color w:val="auto"/>
                <w:sz w:val="24"/>
                <w:szCs w:val="24"/>
                <w:highlight w:val="none"/>
              </w:rPr>
            </w:pPr>
          </w:p>
        </w:tc>
      </w:tr>
      <w:tr w14:paraId="4DFDA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696CA90A">
            <w:pPr>
              <w:jc w:val="center"/>
              <w:rPr>
                <w:rFonts w:asciiTheme="minorEastAsia" w:hAnsiTheme="minorEastAsia" w:eastAsiaTheme="minorEastAsia" w:cstheme="minorEastAsia"/>
                <w:color w:val="auto"/>
                <w:sz w:val="24"/>
                <w:szCs w:val="24"/>
                <w:highlight w:val="none"/>
              </w:rPr>
            </w:pPr>
          </w:p>
        </w:tc>
        <w:tc>
          <w:tcPr>
            <w:tcW w:w="3291" w:type="dxa"/>
            <w:noWrap w:val="0"/>
          </w:tcPr>
          <w:p w14:paraId="298E70E5">
            <w:pPr>
              <w:jc w:val="center"/>
              <w:rPr>
                <w:rFonts w:asciiTheme="minorEastAsia" w:hAnsiTheme="minorEastAsia" w:eastAsiaTheme="minorEastAsia" w:cstheme="minorEastAsia"/>
                <w:color w:val="auto"/>
                <w:sz w:val="24"/>
                <w:szCs w:val="24"/>
                <w:highlight w:val="none"/>
              </w:rPr>
            </w:pPr>
          </w:p>
        </w:tc>
        <w:tc>
          <w:tcPr>
            <w:tcW w:w="2852" w:type="dxa"/>
            <w:noWrap w:val="0"/>
          </w:tcPr>
          <w:p w14:paraId="7847ABB5">
            <w:pPr>
              <w:jc w:val="center"/>
              <w:rPr>
                <w:rFonts w:asciiTheme="minorEastAsia" w:hAnsiTheme="minorEastAsia" w:eastAsiaTheme="minorEastAsia" w:cstheme="minorEastAsia"/>
                <w:color w:val="auto"/>
                <w:sz w:val="24"/>
                <w:szCs w:val="24"/>
                <w:highlight w:val="none"/>
              </w:rPr>
            </w:pPr>
          </w:p>
        </w:tc>
        <w:tc>
          <w:tcPr>
            <w:tcW w:w="1308" w:type="dxa"/>
            <w:noWrap w:val="0"/>
          </w:tcPr>
          <w:p w14:paraId="344D0122">
            <w:pPr>
              <w:jc w:val="center"/>
              <w:rPr>
                <w:rFonts w:asciiTheme="minorEastAsia" w:hAnsiTheme="minorEastAsia" w:eastAsiaTheme="minorEastAsia" w:cstheme="minorEastAsia"/>
                <w:color w:val="auto"/>
                <w:sz w:val="24"/>
                <w:szCs w:val="24"/>
                <w:highlight w:val="none"/>
              </w:rPr>
            </w:pPr>
          </w:p>
        </w:tc>
        <w:tc>
          <w:tcPr>
            <w:tcW w:w="1173" w:type="dxa"/>
            <w:noWrap w:val="0"/>
          </w:tcPr>
          <w:p w14:paraId="434858EB">
            <w:pPr>
              <w:jc w:val="center"/>
              <w:rPr>
                <w:rFonts w:asciiTheme="minorEastAsia" w:hAnsiTheme="minorEastAsia" w:eastAsiaTheme="minorEastAsia" w:cstheme="minorEastAsia"/>
                <w:color w:val="auto"/>
                <w:sz w:val="24"/>
                <w:szCs w:val="24"/>
                <w:highlight w:val="none"/>
              </w:rPr>
            </w:pPr>
          </w:p>
        </w:tc>
      </w:tr>
      <w:tr w14:paraId="33411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A0482FA">
            <w:pPr>
              <w:jc w:val="center"/>
              <w:rPr>
                <w:rFonts w:asciiTheme="minorEastAsia" w:hAnsiTheme="minorEastAsia" w:eastAsiaTheme="minorEastAsia" w:cstheme="minorEastAsia"/>
                <w:color w:val="auto"/>
                <w:sz w:val="24"/>
                <w:szCs w:val="24"/>
                <w:highlight w:val="none"/>
              </w:rPr>
            </w:pPr>
          </w:p>
        </w:tc>
        <w:tc>
          <w:tcPr>
            <w:tcW w:w="3291" w:type="dxa"/>
            <w:noWrap w:val="0"/>
          </w:tcPr>
          <w:p w14:paraId="7F1EE913">
            <w:pPr>
              <w:jc w:val="center"/>
              <w:rPr>
                <w:rFonts w:asciiTheme="minorEastAsia" w:hAnsiTheme="minorEastAsia" w:eastAsiaTheme="minorEastAsia" w:cstheme="minorEastAsia"/>
                <w:color w:val="auto"/>
                <w:sz w:val="24"/>
                <w:szCs w:val="24"/>
                <w:highlight w:val="none"/>
              </w:rPr>
            </w:pPr>
          </w:p>
        </w:tc>
        <w:tc>
          <w:tcPr>
            <w:tcW w:w="2852" w:type="dxa"/>
            <w:noWrap w:val="0"/>
          </w:tcPr>
          <w:p w14:paraId="72BD9329">
            <w:pPr>
              <w:jc w:val="center"/>
              <w:rPr>
                <w:rFonts w:asciiTheme="minorEastAsia" w:hAnsiTheme="minorEastAsia" w:eastAsiaTheme="minorEastAsia" w:cstheme="minorEastAsia"/>
                <w:color w:val="auto"/>
                <w:sz w:val="24"/>
                <w:szCs w:val="24"/>
                <w:highlight w:val="none"/>
              </w:rPr>
            </w:pPr>
          </w:p>
        </w:tc>
        <w:tc>
          <w:tcPr>
            <w:tcW w:w="1308" w:type="dxa"/>
            <w:noWrap w:val="0"/>
          </w:tcPr>
          <w:p w14:paraId="76B14A4B">
            <w:pPr>
              <w:jc w:val="center"/>
              <w:rPr>
                <w:rFonts w:asciiTheme="minorEastAsia" w:hAnsiTheme="minorEastAsia" w:eastAsiaTheme="minorEastAsia" w:cstheme="minorEastAsia"/>
                <w:color w:val="auto"/>
                <w:sz w:val="24"/>
                <w:szCs w:val="24"/>
                <w:highlight w:val="none"/>
              </w:rPr>
            </w:pPr>
          </w:p>
        </w:tc>
        <w:tc>
          <w:tcPr>
            <w:tcW w:w="1173" w:type="dxa"/>
            <w:noWrap w:val="0"/>
          </w:tcPr>
          <w:p w14:paraId="6D36B6EE">
            <w:pPr>
              <w:jc w:val="center"/>
              <w:rPr>
                <w:rFonts w:asciiTheme="minorEastAsia" w:hAnsiTheme="minorEastAsia" w:eastAsiaTheme="minorEastAsia" w:cstheme="minorEastAsia"/>
                <w:color w:val="auto"/>
                <w:sz w:val="24"/>
                <w:szCs w:val="24"/>
                <w:highlight w:val="none"/>
              </w:rPr>
            </w:pPr>
          </w:p>
        </w:tc>
      </w:tr>
      <w:tr w14:paraId="3BC11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40DCA49B">
            <w:pPr>
              <w:jc w:val="center"/>
              <w:rPr>
                <w:rFonts w:asciiTheme="minorEastAsia" w:hAnsiTheme="minorEastAsia" w:eastAsiaTheme="minorEastAsia" w:cstheme="minorEastAsia"/>
                <w:color w:val="auto"/>
                <w:sz w:val="24"/>
                <w:szCs w:val="24"/>
                <w:highlight w:val="none"/>
              </w:rPr>
            </w:pPr>
          </w:p>
        </w:tc>
        <w:tc>
          <w:tcPr>
            <w:tcW w:w="3291" w:type="dxa"/>
            <w:noWrap w:val="0"/>
          </w:tcPr>
          <w:p w14:paraId="656A36BF">
            <w:pPr>
              <w:jc w:val="center"/>
              <w:rPr>
                <w:rFonts w:asciiTheme="minorEastAsia" w:hAnsiTheme="minorEastAsia" w:eastAsiaTheme="minorEastAsia" w:cstheme="minorEastAsia"/>
                <w:color w:val="auto"/>
                <w:sz w:val="24"/>
                <w:szCs w:val="24"/>
                <w:highlight w:val="none"/>
              </w:rPr>
            </w:pPr>
          </w:p>
        </w:tc>
        <w:tc>
          <w:tcPr>
            <w:tcW w:w="2852" w:type="dxa"/>
            <w:noWrap w:val="0"/>
          </w:tcPr>
          <w:p w14:paraId="2B5BA8FF">
            <w:pPr>
              <w:jc w:val="center"/>
              <w:rPr>
                <w:rFonts w:asciiTheme="minorEastAsia" w:hAnsiTheme="minorEastAsia" w:eastAsiaTheme="minorEastAsia" w:cstheme="minorEastAsia"/>
                <w:color w:val="auto"/>
                <w:sz w:val="24"/>
                <w:szCs w:val="24"/>
                <w:highlight w:val="none"/>
              </w:rPr>
            </w:pPr>
          </w:p>
        </w:tc>
        <w:tc>
          <w:tcPr>
            <w:tcW w:w="1308" w:type="dxa"/>
            <w:noWrap w:val="0"/>
          </w:tcPr>
          <w:p w14:paraId="3E9B16AD">
            <w:pPr>
              <w:jc w:val="center"/>
              <w:rPr>
                <w:rFonts w:asciiTheme="minorEastAsia" w:hAnsiTheme="minorEastAsia" w:eastAsiaTheme="minorEastAsia" w:cstheme="minorEastAsia"/>
                <w:color w:val="auto"/>
                <w:sz w:val="24"/>
                <w:szCs w:val="24"/>
                <w:highlight w:val="none"/>
              </w:rPr>
            </w:pPr>
          </w:p>
        </w:tc>
        <w:tc>
          <w:tcPr>
            <w:tcW w:w="1173" w:type="dxa"/>
            <w:noWrap w:val="0"/>
          </w:tcPr>
          <w:p w14:paraId="06B5DE21">
            <w:pPr>
              <w:jc w:val="center"/>
              <w:rPr>
                <w:rFonts w:asciiTheme="minorEastAsia" w:hAnsiTheme="minorEastAsia" w:eastAsiaTheme="minorEastAsia" w:cstheme="minorEastAsia"/>
                <w:color w:val="auto"/>
                <w:sz w:val="24"/>
                <w:szCs w:val="24"/>
                <w:highlight w:val="none"/>
              </w:rPr>
            </w:pPr>
          </w:p>
        </w:tc>
      </w:tr>
      <w:tr w14:paraId="5550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0C9E384D">
            <w:pPr>
              <w:jc w:val="center"/>
              <w:rPr>
                <w:rFonts w:asciiTheme="minorEastAsia" w:hAnsiTheme="minorEastAsia" w:eastAsiaTheme="minorEastAsia" w:cstheme="minorEastAsia"/>
                <w:color w:val="auto"/>
                <w:sz w:val="24"/>
                <w:szCs w:val="24"/>
                <w:highlight w:val="none"/>
              </w:rPr>
            </w:pPr>
          </w:p>
        </w:tc>
        <w:tc>
          <w:tcPr>
            <w:tcW w:w="3291" w:type="dxa"/>
            <w:noWrap w:val="0"/>
          </w:tcPr>
          <w:p w14:paraId="4F954E33">
            <w:pPr>
              <w:jc w:val="center"/>
              <w:rPr>
                <w:rFonts w:asciiTheme="minorEastAsia" w:hAnsiTheme="minorEastAsia" w:eastAsiaTheme="minorEastAsia" w:cstheme="minorEastAsia"/>
                <w:color w:val="auto"/>
                <w:sz w:val="24"/>
                <w:szCs w:val="24"/>
                <w:highlight w:val="none"/>
              </w:rPr>
            </w:pPr>
          </w:p>
        </w:tc>
        <w:tc>
          <w:tcPr>
            <w:tcW w:w="2852" w:type="dxa"/>
            <w:noWrap w:val="0"/>
          </w:tcPr>
          <w:p w14:paraId="72B13EBA">
            <w:pPr>
              <w:jc w:val="center"/>
              <w:rPr>
                <w:rFonts w:asciiTheme="minorEastAsia" w:hAnsiTheme="minorEastAsia" w:eastAsiaTheme="minorEastAsia" w:cstheme="minorEastAsia"/>
                <w:color w:val="auto"/>
                <w:sz w:val="24"/>
                <w:szCs w:val="24"/>
                <w:highlight w:val="none"/>
              </w:rPr>
            </w:pPr>
          </w:p>
        </w:tc>
        <w:tc>
          <w:tcPr>
            <w:tcW w:w="1308" w:type="dxa"/>
            <w:noWrap w:val="0"/>
          </w:tcPr>
          <w:p w14:paraId="1913A312">
            <w:pPr>
              <w:jc w:val="center"/>
              <w:rPr>
                <w:rFonts w:asciiTheme="minorEastAsia" w:hAnsiTheme="minorEastAsia" w:eastAsiaTheme="minorEastAsia" w:cstheme="minorEastAsia"/>
                <w:color w:val="auto"/>
                <w:sz w:val="24"/>
                <w:szCs w:val="24"/>
                <w:highlight w:val="none"/>
              </w:rPr>
            </w:pPr>
          </w:p>
        </w:tc>
        <w:tc>
          <w:tcPr>
            <w:tcW w:w="1173" w:type="dxa"/>
            <w:noWrap w:val="0"/>
          </w:tcPr>
          <w:p w14:paraId="72A1A305">
            <w:pPr>
              <w:jc w:val="center"/>
              <w:rPr>
                <w:rFonts w:asciiTheme="minorEastAsia" w:hAnsiTheme="minorEastAsia" w:eastAsiaTheme="minorEastAsia" w:cstheme="minorEastAsia"/>
                <w:color w:val="auto"/>
                <w:sz w:val="24"/>
                <w:szCs w:val="24"/>
                <w:highlight w:val="none"/>
              </w:rPr>
            </w:pPr>
          </w:p>
        </w:tc>
      </w:tr>
      <w:tr w14:paraId="440B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003F7C5">
            <w:pPr>
              <w:jc w:val="center"/>
              <w:rPr>
                <w:rFonts w:asciiTheme="minorEastAsia" w:hAnsiTheme="minorEastAsia" w:eastAsiaTheme="minorEastAsia" w:cstheme="minorEastAsia"/>
                <w:color w:val="auto"/>
                <w:sz w:val="24"/>
                <w:szCs w:val="24"/>
                <w:highlight w:val="none"/>
              </w:rPr>
            </w:pPr>
          </w:p>
        </w:tc>
        <w:tc>
          <w:tcPr>
            <w:tcW w:w="3291" w:type="dxa"/>
            <w:noWrap w:val="0"/>
          </w:tcPr>
          <w:p w14:paraId="50C4F86C">
            <w:pPr>
              <w:jc w:val="center"/>
              <w:rPr>
                <w:rFonts w:asciiTheme="minorEastAsia" w:hAnsiTheme="minorEastAsia" w:eastAsiaTheme="minorEastAsia" w:cstheme="minorEastAsia"/>
                <w:color w:val="auto"/>
                <w:sz w:val="24"/>
                <w:szCs w:val="24"/>
                <w:highlight w:val="none"/>
              </w:rPr>
            </w:pPr>
          </w:p>
        </w:tc>
        <w:tc>
          <w:tcPr>
            <w:tcW w:w="2852" w:type="dxa"/>
            <w:noWrap w:val="0"/>
          </w:tcPr>
          <w:p w14:paraId="3B2FD614">
            <w:pPr>
              <w:jc w:val="center"/>
              <w:rPr>
                <w:rFonts w:asciiTheme="minorEastAsia" w:hAnsiTheme="minorEastAsia" w:eastAsiaTheme="minorEastAsia" w:cstheme="minorEastAsia"/>
                <w:color w:val="auto"/>
                <w:sz w:val="24"/>
                <w:szCs w:val="24"/>
                <w:highlight w:val="none"/>
              </w:rPr>
            </w:pPr>
          </w:p>
        </w:tc>
        <w:tc>
          <w:tcPr>
            <w:tcW w:w="1308" w:type="dxa"/>
            <w:noWrap w:val="0"/>
          </w:tcPr>
          <w:p w14:paraId="62655807">
            <w:pPr>
              <w:jc w:val="center"/>
              <w:rPr>
                <w:rFonts w:asciiTheme="minorEastAsia" w:hAnsiTheme="minorEastAsia" w:eastAsiaTheme="minorEastAsia" w:cstheme="minorEastAsia"/>
                <w:color w:val="auto"/>
                <w:sz w:val="24"/>
                <w:szCs w:val="24"/>
                <w:highlight w:val="none"/>
              </w:rPr>
            </w:pPr>
          </w:p>
        </w:tc>
        <w:tc>
          <w:tcPr>
            <w:tcW w:w="1173" w:type="dxa"/>
            <w:noWrap w:val="0"/>
          </w:tcPr>
          <w:p w14:paraId="0F8D6002">
            <w:pPr>
              <w:jc w:val="center"/>
              <w:rPr>
                <w:rFonts w:asciiTheme="minorEastAsia" w:hAnsiTheme="minorEastAsia" w:eastAsiaTheme="minorEastAsia" w:cstheme="minorEastAsia"/>
                <w:color w:val="auto"/>
                <w:sz w:val="24"/>
                <w:szCs w:val="24"/>
                <w:highlight w:val="none"/>
              </w:rPr>
            </w:pPr>
          </w:p>
        </w:tc>
      </w:tr>
      <w:tr w14:paraId="3E6D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6703B3CF">
            <w:pPr>
              <w:jc w:val="center"/>
              <w:rPr>
                <w:rFonts w:asciiTheme="minorEastAsia" w:hAnsiTheme="minorEastAsia" w:eastAsiaTheme="minorEastAsia" w:cstheme="minorEastAsia"/>
                <w:color w:val="auto"/>
                <w:sz w:val="24"/>
                <w:szCs w:val="24"/>
                <w:highlight w:val="none"/>
              </w:rPr>
            </w:pPr>
          </w:p>
        </w:tc>
        <w:tc>
          <w:tcPr>
            <w:tcW w:w="3291" w:type="dxa"/>
            <w:noWrap w:val="0"/>
          </w:tcPr>
          <w:p w14:paraId="25E57A59">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c>
          <w:tcPr>
            <w:tcW w:w="2852" w:type="dxa"/>
            <w:noWrap w:val="0"/>
          </w:tcPr>
          <w:p w14:paraId="3A5E66F8">
            <w:pPr>
              <w:jc w:val="center"/>
              <w:rPr>
                <w:rFonts w:asciiTheme="minorEastAsia" w:hAnsiTheme="minorEastAsia" w:eastAsiaTheme="minorEastAsia" w:cstheme="minorEastAsia"/>
                <w:color w:val="auto"/>
                <w:sz w:val="24"/>
                <w:szCs w:val="24"/>
                <w:highlight w:val="none"/>
              </w:rPr>
            </w:pPr>
          </w:p>
        </w:tc>
        <w:tc>
          <w:tcPr>
            <w:tcW w:w="1308" w:type="dxa"/>
            <w:noWrap w:val="0"/>
          </w:tcPr>
          <w:p w14:paraId="0F1B8F70">
            <w:pPr>
              <w:jc w:val="center"/>
              <w:rPr>
                <w:rFonts w:asciiTheme="minorEastAsia" w:hAnsiTheme="minorEastAsia" w:eastAsiaTheme="minorEastAsia" w:cstheme="minorEastAsia"/>
                <w:color w:val="auto"/>
                <w:sz w:val="24"/>
                <w:szCs w:val="24"/>
                <w:highlight w:val="none"/>
              </w:rPr>
            </w:pPr>
          </w:p>
        </w:tc>
        <w:tc>
          <w:tcPr>
            <w:tcW w:w="1173" w:type="dxa"/>
            <w:noWrap w:val="0"/>
          </w:tcPr>
          <w:p w14:paraId="5DD03005">
            <w:pPr>
              <w:jc w:val="center"/>
              <w:rPr>
                <w:rFonts w:asciiTheme="minorEastAsia" w:hAnsiTheme="minorEastAsia" w:eastAsiaTheme="minorEastAsia" w:cstheme="minorEastAsia"/>
                <w:color w:val="auto"/>
                <w:sz w:val="24"/>
                <w:szCs w:val="24"/>
                <w:highlight w:val="none"/>
              </w:rPr>
            </w:pPr>
          </w:p>
        </w:tc>
      </w:tr>
    </w:tbl>
    <w:p w14:paraId="61001A5D">
      <w:pPr>
        <w:spacing w:line="360" w:lineRule="auto"/>
        <w:rPr>
          <w:rFonts w:asciiTheme="minorEastAsia" w:hAnsiTheme="minorEastAsia" w:eastAsiaTheme="minorEastAsia" w:cstheme="minorEastAsia"/>
          <w:color w:val="auto"/>
          <w:sz w:val="24"/>
          <w:szCs w:val="24"/>
          <w:highlight w:val="none"/>
        </w:rPr>
      </w:pPr>
    </w:p>
    <w:p w14:paraId="64F13C83">
      <w:pPr>
        <w:rPr>
          <w:rFonts w:asciiTheme="minorEastAsia" w:hAnsiTheme="minorEastAsia" w:eastAsiaTheme="minorEastAsia" w:cstheme="minorEastAsia"/>
          <w:color w:val="auto"/>
          <w:sz w:val="24"/>
          <w:szCs w:val="24"/>
          <w:highlight w:val="none"/>
        </w:rPr>
      </w:pPr>
      <w:bookmarkStart w:id="164" w:name="_Hlt26955054"/>
      <w:bookmarkEnd w:id="164"/>
      <w:bookmarkStart w:id="165" w:name="_Toc109304979"/>
      <w:r>
        <w:rPr>
          <w:rFonts w:hint="eastAsia" w:asciiTheme="minorEastAsia" w:hAnsiTheme="minorEastAsia" w:eastAsiaTheme="minorEastAsia" w:cstheme="minorEastAsia"/>
          <w:color w:val="auto"/>
          <w:sz w:val="24"/>
          <w:szCs w:val="24"/>
          <w:highlight w:val="none"/>
        </w:rPr>
        <w:t>注： 行数不够，可自行添加。</w:t>
      </w:r>
    </w:p>
    <w:p w14:paraId="19693FA0">
      <w:pPr>
        <w:pStyle w:val="3"/>
        <w:spacing w:line="360" w:lineRule="auto"/>
        <w:jc w:val="center"/>
        <w:rPr>
          <w:rFonts w:hint="eastAsia" w:asciiTheme="minorEastAsia" w:hAnsiTheme="minorEastAsia" w:eastAsiaTheme="minorEastAsia" w:cstheme="minorEastAsia"/>
          <w:bCs w:val="0"/>
          <w:color w:val="auto"/>
          <w:highlight w:val="none"/>
        </w:rPr>
      </w:pPr>
      <w:r>
        <w:rPr>
          <w:rFonts w:hint="eastAsia" w:asciiTheme="minorEastAsia" w:hAnsiTheme="minorEastAsia" w:eastAsiaTheme="minorEastAsia" w:cstheme="minorEastAsia"/>
          <w:bCs w:val="0"/>
          <w:color w:val="auto"/>
          <w:highlight w:val="none"/>
        </w:rPr>
        <w:br w:type="page" w:clear="all"/>
      </w:r>
      <w:r>
        <w:rPr>
          <w:rFonts w:hint="eastAsia" w:asciiTheme="minorEastAsia" w:hAnsiTheme="minorEastAsia" w:eastAsiaTheme="minorEastAsia" w:cstheme="minorEastAsia"/>
          <w:bCs w:val="0"/>
          <w:color w:val="auto"/>
          <w:highlight w:val="none"/>
        </w:rPr>
        <w:t>十</w:t>
      </w:r>
      <w:r>
        <w:rPr>
          <w:rFonts w:hint="eastAsia" w:eastAsia="宋体" w:asciiTheme="minorEastAsia" w:hAnsiTheme="minorEastAsia" w:cstheme="minorEastAsia"/>
          <w:bCs w:val="0"/>
          <w:color w:val="auto"/>
          <w:highlight w:val="none"/>
          <w:lang w:val="en-US" w:eastAsia="zh-CN"/>
        </w:rPr>
        <w:t>三</w:t>
      </w:r>
      <w:r>
        <w:rPr>
          <w:rFonts w:hint="eastAsia" w:asciiTheme="minorEastAsia" w:hAnsiTheme="minorEastAsia" w:eastAsiaTheme="minorEastAsia" w:cstheme="minorEastAsia"/>
          <w:bCs w:val="0"/>
          <w:color w:val="auto"/>
          <w:highlight w:val="none"/>
        </w:rPr>
        <w:t>、商务条款响应及偏离表</w:t>
      </w:r>
      <w:bookmarkEnd w:id="165"/>
    </w:p>
    <w:p w14:paraId="4673E934">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供应商全称（加盖公章）： </w:t>
      </w:r>
    </w:p>
    <w:p w14:paraId="0A363E37">
      <w:pPr>
        <w:rPr>
          <w:color w:val="auto"/>
          <w:highlight w:val="none"/>
        </w:rPr>
      </w:pPr>
      <w:r>
        <w:rPr>
          <w:rFonts w:hint="eastAsia" w:asciiTheme="minorEastAsia" w:hAnsiTheme="minorEastAsia" w:eastAsiaTheme="minorEastAsia" w:cstheme="minorEastAsia"/>
          <w:color w:val="auto"/>
          <w:highlight w:val="none"/>
        </w:rPr>
        <w:t>分包号：</w:t>
      </w:r>
    </w:p>
    <w:tbl>
      <w:tblPr>
        <w:tblStyle w:val="4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74B02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70FA435C">
            <w:pPr>
              <w:jc w:val="center"/>
              <w:rPr>
                <w:rFonts w:asciiTheme="minorEastAsia" w:hAnsiTheme="minorEastAsia" w:eastAsiaTheme="minorEastAsia" w:cstheme="minorEastAsia"/>
                <w:color w:val="auto"/>
                <w:sz w:val="24"/>
                <w:szCs w:val="24"/>
                <w:highlight w:val="none"/>
              </w:rPr>
            </w:pPr>
            <w:bookmarkStart w:id="166" w:name="_Hlt26955056"/>
            <w:bookmarkEnd w:id="166"/>
            <w:bookmarkStart w:id="167" w:name="_Hlt26671372"/>
            <w:bookmarkEnd w:id="167"/>
            <w:bookmarkStart w:id="168" w:name="_Hlt26671343"/>
            <w:bookmarkEnd w:id="168"/>
            <w:bookmarkStart w:id="169" w:name="_Hlt26955064"/>
            <w:bookmarkEnd w:id="169"/>
            <w:bookmarkStart w:id="170" w:name="_Hlt26609391"/>
            <w:bookmarkEnd w:id="170"/>
            <w:bookmarkStart w:id="171" w:name="_Hlt26580838"/>
            <w:bookmarkEnd w:id="171"/>
            <w:bookmarkStart w:id="172" w:name="_Hlt24879081"/>
            <w:bookmarkEnd w:id="172"/>
            <w:bookmarkStart w:id="173" w:name="_Hlt26782999"/>
            <w:bookmarkEnd w:id="173"/>
            <w:r>
              <w:rPr>
                <w:rFonts w:hint="eastAsia" w:asciiTheme="minorEastAsia" w:hAnsiTheme="minorEastAsia" w:eastAsiaTheme="minorEastAsia" w:cstheme="minorEastAsia"/>
                <w:color w:val="auto"/>
                <w:sz w:val="24"/>
                <w:szCs w:val="24"/>
                <w:highlight w:val="none"/>
              </w:rPr>
              <w:t>序号</w:t>
            </w:r>
          </w:p>
        </w:tc>
        <w:tc>
          <w:tcPr>
            <w:tcW w:w="3291" w:type="dxa"/>
            <w:noWrap w:val="0"/>
            <w:vAlign w:val="center"/>
          </w:tcPr>
          <w:p w14:paraId="5E8631CA">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磋商文件要求</w:t>
            </w:r>
          </w:p>
        </w:tc>
        <w:tc>
          <w:tcPr>
            <w:tcW w:w="2852" w:type="dxa"/>
            <w:noWrap w:val="0"/>
            <w:vAlign w:val="center"/>
          </w:tcPr>
          <w:p w14:paraId="1CB25E72">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响应情况</w:t>
            </w:r>
          </w:p>
        </w:tc>
        <w:tc>
          <w:tcPr>
            <w:tcW w:w="1308" w:type="dxa"/>
            <w:noWrap w:val="0"/>
            <w:vAlign w:val="center"/>
          </w:tcPr>
          <w:p w14:paraId="6D2A4F01">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超出、符合或偏离</w:t>
            </w:r>
          </w:p>
        </w:tc>
        <w:tc>
          <w:tcPr>
            <w:tcW w:w="1173" w:type="dxa"/>
            <w:noWrap w:val="0"/>
            <w:vAlign w:val="center"/>
          </w:tcPr>
          <w:p w14:paraId="530C199A">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证明</w:t>
            </w:r>
          </w:p>
          <w:p w14:paraId="2CC40116">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材料</w:t>
            </w:r>
          </w:p>
        </w:tc>
      </w:tr>
      <w:tr w14:paraId="12E60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28CDFA4">
            <w:pPr>
              <w:jc w:val="center"/>
              <w:rPr>
                <w:rFonts w:asciiTheme="minorEastAsia" w:hAnsiTheme="minorEastAsia" w:eastAsiaTheme="minorEastAsia" w:cstheme="minorEastAsia"/>
                <w:color w:val="auto"/>
                <w:sz w:val="24"/>
                <w:szCs w:val="24"/>
                <w:highlight w:val="none"/>
              </w:rPr>
            </w:pPr>
          </w:p>
        </w:tc>
        <w:tc>
          <w:tcPr>
            <w:tcW w:w="3291" w:type="dxa"/>
            <w:noWrap w:val="0"/>
          </w:tcPr>
          <w:p w14:paraId="0F96465A">
            <w:pPr>
              <w:jc w:val="center"/>
              <w:rPr>
                <w:rFonts w:asciiTheme="minorEastAsia" w:hAnsiTheme="minorEastAsia" w:eastAsiaTheme="minorEastAsia" w:cstheme="minorEastAsia"/>
                <w:color w:val="auto"/>
                <w:sz w:val="24"/>
                <w:szCs w:val="24"/>
                <w:highlight w:val="none"/>
              </w:rPr>
            </w:pPr>
          </w:p>
        </w:tc>
        <w:tc>
          <w:tcPr>
            <w:tcW w:w="2852" w:type="dxa"/>
            <w:noWrap w:val="0"/>
          </w:tcPr>
          <w:p w14:paraId="0C09D14B">
            <w:pPr>
              <w:jc w:val="center"/>
              <w:rPr>
                <w:rFonts w:asciiTheme="minorEastAsia" w:hAnsiTheme="minorEastAsia" w:eastAsiaTheme="minorEastAsia" w:cstheme="minorEastAsia"/>
                <w:color w:val="auto"/>
                <w:sz w:val="24"/>
                <w:szCs w:val="24"/>
                <w:highlight w:val="none"/>
              </w:rPr>
            </w:pPr>
          </w:p>
        </w:tc>
        <w:tc>
          <w:tcPr>
            <w:tcW w:w="1308" w:type="dxa"/>
            <w:noWrap w:val="0"/>
          </w:tcPr>
          <w:p w14:paraId="2236BF1C">
            <w:pPr>
              <w:jc w:val="center"/>
              <w:rPr>
                <w:rFonts w:asciiTheme="minorEastAsia" w:hAnsiTheme="minorEastAsia" w:eastAsiaTheme="minorEastAsia" w:cstheme="minorEastAsia"/>
                <w:color w:val="auto"/>
                <w:sz w:val="24"/>
                <w:szCs w:val="24"/>
                <w:highlight w:val="none"/>
              </w:rPr>
            </w:pPr>
          </w:p>
        </w:tc>
        <w:tc>
          <w:tcPr>
            <w:tcW w:w="1173" w:type="dxa"/>
            <w:noWrap w:val="0"/>
          </w:tcPr>
          <w:p w14:paraId="7578A07A">
            <w:pPr>
              <w:jc w:val="center"/>
              <w:rPr>
                <w:rFonts w:asciiTheme="minorEastAsia" w:hAnsiTheme="minorEastAsia" w:eastAsiaTheme="minorEastAsia" w:cstheme="minorEastAsia"/>
                <w:color w:val="auto"/>
                <w:sz w:val="24"/>
                <w:szCs w:val="24"/>
                <w:highlight w:val="none"/>
              </w:rPr>
            </w:pPr>
          </w:p>
        </w:tc>
      </w:tr>
      <w:tr w14:paraId="7E05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0ADF1D2">
            <w:pPr>
              <w:jc w:val="center"/>
              <w:rPr>
                <w:rFonts w:asciiTheme="minorEastAsia" w:hAnsiTheme="minorEastAsia" w:eastAsiaTheme="minorEastAsia" w:cstheme="minorEastAsia"/>
                <w:color w:val="auto"/>
                <w:sz w:val="24"/>
                <w:szCs w:val="24"/>
                <w:highlight w:val="none"/>
              </w:rPr>
            </w:pPr>
          </w:p>
        </w:tc>
        <w:tc>
          <w:tcPr>
            <w:tcW w:w="3291" w:type="dxa"/>
            <w:noWrap w:val="0"/>
          </w:tcPr>
          <w:p w14:paraId="42F6ECA7">
            <w:pPr>
              <w:jc w:val="center"/>
              <w:rPr>
                <w:rFonts w:asciiTheme="minorEastAsia" w:hAnsiTheme="minorEastAsia" w:eastAsiaTheme="minorEastAsia" w:cstheme="minorEastAsia"/>
                <w:color w:val="auto"/>
                <w:sz w:val="24"/>
                <w:szCs w:val="24"/>
                <w:highlight w:val="none"/>
              </w:rPr>
            </w:pPr>
          </w:p>
        </w:tc>
        <w:tc>
          <w:tcPr>
            <w:tcW w:w="2852" w:type="dxa"/>
            <w:noWrap w:val="0"/>
          </w:tcPr>
          <w:p w14:paraId="12926768">
            <w:pPr>
              <w:jc w:val="center"/>
              <w:rPr>
                <w:rFonts w:asciiTheme="minorEastAsia" w:hAnsiTheme="minorEastAsia" w:eastAsiaTheme="minorEastAsia" w:cstheme="minorEastAsia"/>
                <w:color w:val="auto"/>
                <w:sz w:val="24"/>
                <w:szCs w:val="24"/>
                <w:highlight w:val="none"/>
              </w:rPr>
            </w:pPr>
          </w:p>
        </w:tc>
        <w:tc>
          <w:tcPr>
            <w:tcW w:w="1308" w:type="dxa"/>
            <w:noWrap w:val="0"/>
          </w:tcPr>
          <w:p w14:paraId="76B82A44">
            <w:pPr>
              <w:jc w:val="center"/>
              <w:rPr>
                <w:rFonts w:asciiTheme="minorEastAsia" w:hAnsiTheme="minorEastAsia" w:eastAsiaTheme="minorEastAsia" w:cstheme="minorEastAsia"/>
                <w:color w:val="auto"/>
                <w:sz w:val="24"/>
                <w:szCs w:val="24"/>
                <w:highlight w:val="none"/>
              </w:rPr>
            </w:pPr>
          </w:p>
        </w:tc>
        <w:tc>
          <w:tcPr>
            <w:tcW w:w="1173" w:type="dxa"/>
            <w:noWrap w:val="0"/>
          </w:tcPr>
          <w:p w14:paraId="45CCF400">
            <w:pPr>
              <w:jc w:val="center"/>
              <w:rPr>
                <w:rFonts w:asciiTheme="minorEastAsia" w:hAnsiTheme="minorEastAsia" w:eastAsiaTheme="minorEastAsia" w:cstheme="minorEastAsia"/>
                <w:color w:val="auto"/>
                <w:sz w:val="24"/>
                <w:szCs w:val="24"/>
                <w:highlight w:val="none"/>
              </w:rPr>
            </w:pPr>
          </w:p>
        </w:tc>
      </w:tr>
      <w:tr w14:paraId="56B4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8A6AFF0">
            <w:pPr>
              <w:jc w:val="center"/>
              <w:rPr>
                <w:rFonts w:asciiTheme="minorEastAsia" w:hAnsiTheme="minorEastAsia" w:eastAsiaTheme="minorEastAsia" w:cstheme="minorEastAsia"/>
                <w:color w:val="auto"/>
                <w:sz w:val="24"/>
                <w:szCs w:val="24"/>
                <w:highlight w:val="none"/>
              </w:rPr>
            </w:pPr>
          </w:p>
        </w:tc>
        <w:tc>
          <w:tcPr>
            <w:tcW w:w="3291" w:type="dxa"/>
            <w:noWrap w:val="0"/>
          </w:tcPr>
          <w:p w14:paraId="36A3E4E4">
            <w:pPr>
              <w:jc w:val="center"/>
              <w:rPr>
                <w:rFonts w:asciiTheme="minorEastAsia" w:hAnsiTheme="minorEastAsia" w:eastAsiaTheme="minorEastAsia" w:cstheme="minorEastAsia"/>
                <w:color w:val="auto"/>
                <w:sz w:val="24"/>
                <w:szCs w:val="24"/>
                <w:highlight w:val="none"/>
              </w:rPr>
            </w:pPr>
          </w:p>
        </w:tc>
        <w:tc>
          <w:tcPr>
            <w:tcW w:w="2852" w:type="dxa"/>
            <w:noWrap w:val="0"/>
          </w:tcPr>
          <w:p w14:paraId="25B07D39">
            <w:pPr>
              <w:jc w:val="center"/>
              <w:rPr>
                <w:rFonts w:asciiTheme="minorEastAsia" w:hAnsiTheme="minorEastAsia" w:eastAsiaTheme="minorEastAsia" w:cstheme="minorEastAsia"/>
                <w:color w:val="auto"/>
                <w:sz w:val="24"/>
                <w:szCs w:val="24"/>
                <w:highlight w:val="none"/>
              </w:rPr>
            </w:pPr>
          </w:p>
        </w:tc>
        <w:tc>
          <w:tcPr>
            <w:tcW w:w="1308" w:type="dxa"/>
            <w:noWrap w:val="0"/>
          </w:tcPr>
          <w:p w14:paraId="236A26CC">
            <w:pPr>
              <w:jc w:val="center"/>
              <w:rPr>
                <w:rFonts w:asciiTheme="minorEastAsia" w:hAnsiTheme="minorEastAsia" w:eastAsiaTheme="minorEastAsia" w:cstheme="minorEastAsia"/>
                <w:color w:val="auto"/>
                <w:sz w:val="24"/>
                <w:szCs w:val="24"/>
                <w:highlight w:val="none"/>
              </w:rPr>
            </w:pPr>
          </w:p>
        </w:tc>
        <w:tc>
          <w:tcPr>
            <w:tcW w:w="1173" w:type="dxa"/>
            <w:noWrap w:val="0"/>
          </w:tcPr>
          <w:p w14:paraId="0747C81F">
            <w:pPr>
              <w:jc w:val="center"/>
              <w:rPr>
                <w:rFonts w:asciiTheme="minorEastAsia" w:hAnsiTheme="minorEastAsia" w:eastAsiaTheme="minorEastAsia" w:cstheme="minorEastAsia"/>
                <w:color w:val="auto"/>
                <w:sz w:val="24"/>
                <w:szCs w:val="24"/>
                <w:highlight w:val="none"/>
              </w:rPr>
            </w:pPr>
          </w:p>
        </w:tc>
      </w:tr>
      <w:tr w14:paraId="02606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0F2D233">
            <w:pPr>
              <w:jc w:val="center"/>
              <w:rPr>
                <w:rFonts w:asciiTheme="minorEastAsia" w:hAnsiTheme="minorEastAsia" w:eastAsiaTheme="minorEastAsia" w:cstheme="minorEastAsia"/>
                <w:color w:val="auto"/>
                <w:sz w:val="24"/>
                <w:szCs w:val="24"/>
                <w:highlight w:val="none"/>
              </w:rPr>
            </w:pPr>
          </w:p>
        </w:tc>
        <w:tc>
          <w:tcPr>
            <w:tcW w:w="3291" w:type="dxa"/>
            <w:noWrap w:val="0"/>
          </w:tcPr>
          <w:p w14:paraId="22BDDA32">
            <w:pPr>
              <w:jc w:val="center"/>
              <w:rPr>
                <w:rFonts w:asciiTheme="minorEastAsia" w:hAnsiTheme="minorEastAsia" w:eastAsiaTheme="minorEastAsia" w:cstheme="minorEastAsia"/>
                <w:color w:val="auto"/>
                <w:sz w:val="24"/>
                <w:szCs w:val="24"/>
                <w:highlight w:val="none"/>
              </w:rPr>
            </w:pPr>
          </w:p>
        </w:tc>
        <w:tc>
          <w:tcPr>
            <w:tcW w:w="2852" w:type="dxa"/>
            <w:noWrap w:val="0"/>
          </w:tcPr>
          <w:p w14:paraId="64327C44">
            <w:pPr>
              <w:jc w:val="center"/>
              <w:rPr>
                <w:rFonts w:asciiTheme="minorEastAsia" w:hAnsiTheme="minorEastAsia" w:eastAsiaTheme="minorEastAsia" w:cstheme="minorEastAsia"/>
                <w:color w:val="auto"/>
                <w:sz w:val="24"/>
                <w:szCs w:val="24"/>
                <w:highlight w:val="none"/>
              </w:rPr>
            </w:pPr>
          </w:p>
        </w:tc>
        <w:tc>
          <w:tcPr>
            <w:tcW w:w="1308" w:type="dxa"/>
            <w:noWrap w:val="0"/>
          </w:tcPr>
          <w:p w14:paraId="7C791734">
            <w:pPr>
              <w:jc w:val="center"/>
              <w:rPr>
                <w:rFonts w:asciiTheme="minorEastAsia" w:hAnsiTheme="minorEastAsia" w:eastAsiaTheme="minorEastAsia" w:cstheme="minorEastAsia"/>
                <w:color w:val="auto"/>
                <w:sz w:val="24"/>
                <w:szCs w:val="24"/>
                <w:highlight w:val="none"/>
              </w:rPr>
            </w:pPr>
          </w:p>
        </w:tc>
        <w:tc>
          <w:tcPr>
            <w:tcW w:w="1173" w:type="dxa"/>
            <w:noWrap w:val="0"/>
          </w:tcPr>
          <w:p w14:paraId="74863A81">
            <w:pPr>
              <w:jc w:val="center"/>
              <w:rPr>
                <w:rFonts w:asciiTheme="minorEastAsia" w:hAnsiTheme="minorEastAsia" w:eastAsiaTheme="minorEastAsia" w:cstheme="minorEastAsia"/>
                <w:color w:val="auto"/>
                <w:sz w:val="24"/>
                <w:szCs w:val="24"/>
                <w:highlight w:val="none"/>
              </w:rPr>
            </w:pPr>
          </w:p>
        </w:tc>
      </w:tr>
      <w:tr w14:paraId="1E1AC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D5D75B7">
            <w:pPr>
              <w:jc w:val="center"/>
              <w:rPr>
                <w:rFonts w:asciiTheme="minorEastAsia" w:hAnsiTheme="minorEastAsia" w:eastAsiaTheme="minorEastAsia" w:cstheme="minorEastAsia"/>
                <w:color w:val="auto"/>
                <w:sz w:val="24"/>
                <w:szCs w:val="24"/>
                <w:highlight w:val="none"/>
              </w:rPr>
            </w:pPr>
          </w:p>
        </w:tc>
        <w:tc>
          <w:tcPr>
            <w:tcW w:w="3291" w:type="dxa"/>
            <w:noWrap w:val="0"/>
          </w:tcPr>
          <w:p w14:paraId="74914A1B">
            <w:pPr>
              <w:jc w:val="center"/>
              <w:rPr>
                <w:rFonts w:asciiTheme="minorEastAsia" w:hAnsiTheme="minorEastAsia" w:eastAsiaTheme="minorEastAsia" w:cstheme="minorEastAsia"/>
                <w:color w:val="auto"/>
                <w:sz w:val="24"/>
                <w:szCs w:val="24"/>
                <w:highlight w:val="none"/>
              </w:rPr>
            </w:pPr>
          </w:p>
        </w:tc>
        <w:tc>
          <w:tcPr>
            <w:tcW w:w="2852" w:type="dxa"/>
            <w:noWrap w:val="0"/>
          </w:tcPr>
          <w:p w14:paraId="36B401DB">
            <w:pPr>
              <w:jc w:val="center"/>
              <w:rPr>
                <w:rFonts w:asciiTheme="minorEastAsia" w:hAnsiTheme="minorEastAsia" w:eastAsiaTheme="minorEastAsia" w:cstheme="minorEastAsia"/>
                <w:color w:val="auto"/>
                <w:sz w:val="24"/>
                <w:szCs w:val="24"/>
                <w:highlight w:val="none"/>
              </w:rPr>
            </w:pPr>
          </w:p>
        </w:tc>
        <w:tc>
          <w:tcPr>
            <w:tcW w:w="1308" w:type="dxa"/>
            <w:noWrap w:val="0"/>
          </w:tcPr>
          <w:p w14:paraId="6DD8058B">
            <w:pPr>
              <w:jc w:val="center"/>
              <w:rPr>
                <w:rFonts w:asciiTheme="minorEastAsia" w:hAnsiTheme="minorEastAsia" w:eastAsiaTheme="minorEastAsia" w:cstheme="minorEastAsia"/>
                <w:color w:val="auto"/>
                <w:sz w:val="24"/>
                <w:szCs w:val="24"/>
                <w:highlight w:val="none"/>
              </w:rPr>
            </w:pPr>
          </w:p>
        </w:tc>
        <w:tc>
          <w:tcPr>
            <w:tcW w:w="1173" w:type="dxa"/>
            <w:noWrap w:val="0"/>
          </w:tcPr>
          <w:p w14:paraId="4A5B5683">
            <w:pPr>
              <w:jc w:val="center"/>
              <w:rPr>
                <w:rFonts w:asciiTheme="minorEastAsia" w:hAnsiTheme="minorEastAsia" w:eastAsiaTheme="minorEastAsia" w:cstheme="minorEastAsia"/>
                <w:color w:val="auto"/>
                <w:sz w:val="24"/>
                <w:szCs w:val="24"/>
                <w:highlight w:val="none"/>
              </w:rPr>
            </w:pPr>
          </w:p>
        </w:tc>
      </w:tr>
      <w:tr w14:paraId="51769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0EDD80D5">
            <w:pPr>
              <w:jc w:val="center"/>
              <w:rPr>
                <w:rFonts w:asciiTheme="minorEastAsia" w:hAnsiTheme="minorEastAsia" w:eastAsiaTheme="minorEastAsia" w:cstheme="minorEastAsia"/>
                <w:color w:val="auto"/>
                <w:sz w:val="24"/>
                <w:szCs w:val="24"/>
                <w:highlight w:val="none"/>
              </w:rPr>
            </w:pPr>
          </w:p>
        </w:tc>
        <w:tc>
          <w:tcPr>
            <w:tcW w:w="3291" w:type="dxa"/>
            <w:noWrap w:val="0"/>
          </w:tcPr>
          <w:p w14:paraId="7C391957">
            <w:pPr>
              <w:jc w:val="center"/>
              <w:rPr>
                <w:rFonts w:asciiTheme="minorEastAsia" w:hAnsiTheme="minorEastAsia" w:eastAsiaTheme="minorEastAsia" w:cstheme="minorEastAsia"/>
                <w:color w:val="auto"/>
                <w:sz w:val="24"/>
                <w:szCs w:val="24"/>
                <w:highlight w:val="none"/>
              </w:rPr>
            </w:pPr>
          </w:p>
        </w:tc>
        <w:tc>
          <w:tcPr>
            <w:tcW w:w="2852" w:type="dxa"/>
            <w:noWrap w:val="0"/>
          </w:tcPr>
          <w:p w14:paraId="78853B97">
            <w:pPr>
              <w:jc w:val="center"/>
              <w:rPr>
                <w:rFonts w:asciiTheme="minorEastAsia" w:hAnsiTheme="minorEastAsia" w:eastAsiaTheme="minorEastAsia" w:cstheme="minorEastAsia"/>
                <w:color w:val="auto"/>
                <w:sz w:val="24"/>
                <w:szCs w:val="24"/>
                <w:highlight w:val="none"/>
              </w:rPr>
            </w:pPr>
          </w:p>
        </w:tc>
        <w:tc>
          <w:tcPr>
            <w:tcW w:w="1308" w:type="dxa"/>
            <w:noWrap w:val="0"/>
          </w:tcPr>
          <w:p w14:paraId="48E33768">
            <w:pPr>
              <w:jc w:val="center"/>
              <w:rPr>
                <w:rFonts w:asciiTheme="minorEastAsia" w:hAnsiTheme="minorEastAsia" w:eastAsiaTheme="minorEastAsia" w:cstheme="minorEastAsia"/>
                <w:color w:val="auto"/>
                <w:sz w:val="24"/>
                <w:szCs w:val="24"/>
                <w:highlight w:val="none"/>
              </w:rPr>
            </w:pPr>
          </w:p>
        </w:tc>
        <w:tc>
          <w:tcPr>
            <w:tcW w:w="1173" w:type="dxa"/>
            <w:noWrap w:val="0"/>
          </w:tcPr>
          <w:p w14:paraId="0C3637F1">
            <w:pPr>
              <w:jc w:val="center"/>
              <w:rPr>
                <w:rFonts w:asciiTheme="minorEastAsia" w:hAnsiTheme="minorEastAsia" w:eastAsiaTheme="minorEastAsia" w:cstheme="minorEastAsia"/>
                <w:color w:val="auto"/>
                <w:sz w:val="24"/>
                <w:szCs w:val="24"/>
                <w:highlight w:val="none"/>
              </w:rPr>
            </w:pPr>
          </w:p>
        </w:tc>
      </w:tr>
      <w:tr w14:paraId="046F7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3F4C7F7">
            <w:pPr>
              <w:jc w:val="center"/>
              <w:rPr>
                <w:rFonts w:asciiTheme="minorEastAsia" w:hAnsiTheme="minorEastAsia" w:eastAsiaTheme="minorEastAsia" w:cstheme="minorEastAsia"/>
                <w:color w:val="auto"/>
                <w:sz w:val="24"/>
                <w:szCs w:val="24"/>
                <w:highlight w:val="none"/>
              </w:rPr>
            </w:pPr>
          </w:p>
        </w:tc>
        <w:tc>
          <w:tcPr>
            <w:tcW w:w="3291" w:type="dxa"/>
            <w:noWrap w:val="0"/>
          </w:tcPr>
          <w:p w14:paraId="30638049">
            <w:pPr>
              <w:jc w:val="center"/>
              <w:rPr>
                <w:rFonts w:asciiTheme="minorEastAsia" w:hAnsiTheme="minorEastAsia" w:eastAsiaTheme="minorEastAsia" w:cstheme="minorEastAsia"/>
                <w:color w:val="auto"/>
                <w:sz w:val="24"/>
                <w:szCs w:val="24"/>
                <w:highlight w:val="none"/>
              </w:rPr>
            </w:pPr>
          </w:p>
        </w:tc>
        <w:tc>
          <w:tcPr>
            <w:tcW w:w="2852" w:type="dxa"/>
            <w:noWrap w:val="0"/>
          </w:tcPr>
          <w:p w14:paraId="3D6B2A42">
            <w:pPr>
              <w:jc w:val="center"/>
              <w:rPr>
                <w:rFonts w:asciiTheme="minorEastAsia" w:hAnsiTheme="minorEastAsia" w:eastAsiaTheme="minorEastAsia" w:cstheme="minorEastAsia"/>
                <w:color w:val="auto"/>
                <w:sz w:val="24"/>
                <w:szCs w:val="24"/>
                <w:highlight w:val="none"/>
              </w:rPr>
            </w:pPr>
          </w:p>
        </w:tc>
        <w:tc>
          <w:tcPr>
            <w:tcW w:w="1308" w:type="dxa"/>
            <w:noWrap w:val="0"/>
          </w:tcPr>
          <w:p w14:paraId="24770F10">
            <w:pPr>
              <w:jc w:val="center"/>
              <w:rPr>
                <w:rFonts w:asciiTheme="minorEastAsia" w:hAnsiTheme="minorEastAsia" w:eastAsiaTheme="minorEastAsia" w:cstheme="minorEastAsia"/>
                <w:color w:val="auto"/>
                <w:sz w:val="24"/>
                <w:szCs w:val="24"/>
                <w:highlight w:val="none"/>
              </w:rPr>
            </w:pPr>
          </w:p>
        </w:tc>
        <w:tc>
          <w:tcPr>
            <w:tcW w:w="1173" w:type="dxa"/>
            <w:noWrap w:val="0"/>
          </w:tcPr>
          <w:p w14:paraId="0A4D37C9">
            <w:pPr>
              <w:jc w:val="center"/>
              <w:rPr>
                <w:rFonts w:asciiTheme="minorEastAsia" w:hAnsiTheme="minorEastAsia" w:eastAsiaTheme="minorEastAsia" w:cstheme="minorEastAsia"/>
                <w:color w:val="auto"/>
                <w:sz w:val="24"/>
                <w:szCs w:val="24"/>
                <w:highlight w:val="none"/>
              </w:rPr>
            </w:pPr>
          </w:p>
        </w:tc>
      </w:tr>
      <w:tr w14:paraId="0100F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33D7F6EA">
            <w:pPr>
              <w:jc w:val="center"/>
              <w:rPr>
                <w:rFonts w:asciiTheme="minorEastAsia" w:hAnsiTheme="minorEastAsia" w:eastAsiaTheme="minorEastAsia" w:cstheme="minorEastAsia"/>
                <w:color w:val="auto"/>
                <w:sz w:val="24"/>
                <w:szCs w:val="24"/>
                <w:highlight w:val="none"/>
              </w:rPr>
            </w:pPr>
          </w:p>
        </w:tc>
        <w:tc>
          <w:tcPr>
            <w:tcW w:w="3291" w:type="dxa"/>
            <w:noWrap w:val="0"/>
          </w:tcPr>
          <w:p w14:paraId="7B0ED688">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c>
          <w:tcPr>
            <w:tcW w:w="2852" w:type="dxa"/>
            <w:noWrap w:val="0"/>
          </w:tcPr>
          <w:p w14:paraId="7E11CB2A">
            <w:pPr>
              <w:jc w:val="center"/>
              <w:rPr>
                <w:rFonts w:asciiTheme="minorEastAsia" w:hAnsiTheme="minorEastAsia" w:eastAsiaTheme="minorEastAsia" w:cstheme="minorEastAsia"/>
                <w:color w:val="auto"/>
                <w:sz w:val="24"/>
                <w:szCs w:val="24"/>
                <w:highlight w:val="none"/>
              </w:rPr>
            </w:pPr>
          </w:p>
        </w:tc>
        <w:tc>
          <w:tcPr>
            <w:tcW w:w="1308" w:type="dxa"/>
            <w:noWrap w:val="0"/>
          </w:tcPr>
          <w:p w14:paraId="1EF356AA">
            <w:pPr>
              <w:jc w:val="center"/>
              <w:rPr>
                <w:rFonts w:asciiTheme="minorEastAsia" w:hAnsiTheme="minorEastAsia" w:eastAsiaTheme="minorEastAsia" w:cstheme="minorEastAsia"/>
                <w:color w:val="auto"/>
                <w:sz w:val="24"/>
                <w:szCs w:val="24"/>
                <w:highlight w:val="none"/>
              </w:rPr>
            </w:pPr>
          </w:p>
        </w:tc>
        <w:tc>
          <w:tcPr>
            <w:tcW w:w="1173" w:type="dxa"/>
            <w:noWrap w:val="0"/>
          </w:tcPr>
          <w:p w14:paraId="094A43B5">
            <w:pPr>
              <w:jc w:val="center"/>
              <w:rPr>
                <w:rFonts w:asciiTheme="minorEastAsia" w:hAnsiTheme="minorEastAsia" w:eastAsiaTheme="minorEastAsia" w:cstheme="minorEastAsia"/>
                <w:color w:val="auto"/>
                <w:sz w:val="24"/>
                <w:szCs w:val="24"/>
                <w:highlight w:val="none"/>
              </w:rPr>
            </w:pPr>
          </w:p>
        </w:tc>
      </w:tr>
    </w:tbl>
    <w:p w14:paraId="1128EE39">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 行数不够，可自行添加。</w:t>
      </w:r>
    </w:p>
    <w:p w14:paraId="6141D60F">
      <w:pPr>
        <w:widowControl/>
        <w:spacing w:line="360" w:lineRule="auto"/>
        <w:jc w:val="lef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clear="all"/>
      </w:r>
    </w:p>
    <w:p w14:paraId="7F7FB0BB">
      <w:pPr>
        <w:pStyle w:val="3"/>
        <w:jc w:val="center"/>
        <w:rPr>
          <w:rFonts w:asciiTheme="minorEastAsia" w:hAnsiTheme="minorEastAsia" w:eastAsiaTheme="minorEastAsia" w:cstheme="minorEastAsia"/>
          <w:bCs w:val="0"/>
          <w:color w:val="auto"/>
          <w:highlight w:val="none"/>
        </w:rPr>
      </w:pPr>
      <w:r>
        <w:rPr>
          <w:rFonts w:hint="eastAsia" w:asciiTheme="minorEastAsia" w:hAnsiTheme="minorEastAsia" w:eastAsiaTheme="minorEastAsia" w:cstheme="minorEastAsia"/>
          <w:b w:val="0"/>
          <w:bCs w:val="0"/>
          <w:color w:val="auto"/>
          <w:highlight w:val="none"/>
        </w:rPr>
        <w:t>十</w:t>
      </w:r>
      <w:r>
        <w:rPr>
          <w:rFonts w:hint="eastAsia" w:eastAsia="宋体" w:asciiTheme="minorEastAsia" w:hAnsiTheme="minorEastAsia" w:cstheme="minorEastAsia"/>
          <w:b w:val="0"/>
          <w:bCs w:val="0"/>
          <w:color w:val="auto"/>
          <w:highlight w:val="none"/>
          <w:lang w:val="en-US" w:eastAsia="zh-CN"/>
        </w:rPr>
        <w:t>四</w:t>
      </w:r>
      <w:r>
        <w:rPr>
          <w:rFonts w:hint="eastAsia" w:asciiTheme="minorEastAsia" w:hAnsiTheme="minorEastAsia" w:eastAsiaTheme="minorEastAsia" w:cstheme="minorEastAsia"/>
          <w:b w:val="0"/>
          <w:bCs w:val="0"/>
          <w:color w:val="auto"/>
          <w:highlight w:val="none"/>
        </w:rPr>
        <w:t>、</w:t>
      </w:r>
      <w:r>
        <w:rPr>
          <w:rFonts w:hint="eastAsia" w:asciiTheme="minorEastAsia" w:hAnsiTheme="minorEastAsia" w:eastAsiaTheme="minorEastAsia" w:cstheme="minorEastAsia"/>
          <w:color w:val="auto"/>
          <w:highlight w:val="none"/>
        </w:rPr>
        <w:t>拟投入人员一览表</w:t>
      </w:r>
    </w:p>
    <w:p w14:paraId="7B3D1D8E">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供应商全称（加盖公章）： </w:t>
      </w:r>
    </w:p>
    <w:p w14:paraId="447012C8">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分包号：</w:t>
      </w:r>
      <w:r>
        <w:rPr>
          <w:rFonts w:hint="eastAsia" w:asciiTheme="minorEastAsia" w:hAnsiTheme="minorEastAsia" w:eastAsiaTheme="minorEastAsia" w:cstheme="minorEastAsia"/>
          <w:color w:val="auto"/>
          <w:szCs w:val="21"/>
          <w:highlight w:val="none"/>
        </w:rPr>
        <w:t xml:space="preserve">                                </w:t>
      </w:r>
    </w:p>
    <w:tbl>
      <w:tblPr>
        <w:tblStyle w:val="41"/>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081"/>
        <w:gridCol w:w="1081"/>
        <w:gridCol w:w="1081"/>
        <w:gridCol w:w="1081"/>
        <w:gridCol w:w="1081"/>
        <w:gridCol w:w="1081"/>
        <w:gridCol w:w="1081"/>
        <w:gridCol w:w="1088"/>
      </w:tblGrid>
      <w:tr w14:paraId="138A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1081" w:type="dxa"/>
            <w:noWrap w:val="0"/>
            <w:vAlign w:val="center"/>
          </w:tcPr>
          <w:p w14:paraId="084993D8">
            <w:pPr>
              <w:spacing w:line="360" w:lineRule="auto"/>
              <w:ind w:right="-2"/>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1081" w:type="dxa"/>
            <w:noWrap w:val="0"/>
            <w:vAlign w:val="center"/>
          </w:tcPr>
          <w:p w14:paraId="64BB062B">
            <w:pPr>
              <w:spacing w:line="360" w:lineRule="auto"/>
              <w:ind w:right="-2"/>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岗位</w:t>
            </w:r>
          </w:p>
        </w:tc>
        <w:tc>
          <w:tcPr>
            <w:tcW w:w="1081" w:type="dxa"/>
            <w:noWrap w:val="0"/>
            <w:vAlign w:val="center"/>
          </w:tcPr>
          <w:p w14:paraId="17293380">
            <w:pPr>
              <w:spacing w:line="360" w:lineRule="auto"/>
              <w:ind w:right="-2"/>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 名</w:t>
            </w:r>
          </w:p>
        </w:tc>
        <w:tc>
          <w:tcPr>
            <w:tcW w:w="1081" w:type="dxa"/>
            <w:noWrap w:val="0"/>
            <w:vAlign w:val="center"/>
          </w:tcPr>
          <w:p w14:paraId="67BD9BDC">
            <w:pPr>
              <w:spacing w:line="360" w:lineRule="auto"/>
              <w:ind w:right="-2"/>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性别</w:t>
            </w:r>
          </w:p>
        </w:tc>
        <w:tc>
          <w:tcPr>
            <w:tcW w:w="1081" w:type="dxa"/>
            <w:noWrap w:val="0"/>
            <w:vAlign w:val="center"/>
          </w:tcPr>
          <w:p w14:paraId="29199E94">
            <w:pPr>
              <w:spacing w:line="360" w:lineRule="auto"/>
              <w:ind w:right="-2"/>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学历</w:t>
            </w:r>
          </w:p>
        </w:tc>
        <w:tc>
          <w:tcPr>
            <w:tcW w:w="1081" w:type="dxa"/>
            <w:noWrap w:val="0"/>
            <w:vAlign w:val="center"/>
          </w:tcPr>
          <w:p w14:paraId="3AC51605">
            <w:pPr>
              <w:spacing w:line="360" w:lineRule="auto"/>
              <w:ind w:right="-2"/>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年龄</w:t>
            </w:r>
          </w:p>
        </w:tc>
        <w:tc>
          <w:tcPr>
            <w:tcW w:w="1081" w:type="dxa"/>
            <w:noWrap w:val="0"/>
            <w:vAlign w:val="center"/>
          </w:tcPr>
          <w:p w14:paraId="64CCECAC">
            <w:pPr>
              <w:spacing w:line="360" w:lineRule="auto"/>
              <w:ind w:right="-2"/>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专业</w:t>
            </w:r>
          </w:p>
        </w:tc>
        <w:tc>
          <w:tcPr>
            <w:tcW w:w="1081" w:type="dxa"/>
            <w:noWrap w:val="0"/>
            <w:vAlign w:val="center"/>
          </w:tcPr>
          <w:p w14:paraId="67AC778B">
            <w:pPr>
              <w:spacing w:line="360" w:lineRule="auto"/>
              <w:ind w:right="-2"/>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证书</w:t>
            </w:r>
          </w:p>
        </w:tc>
        <w:tc>
          <w:tcPr>
            <w:tcW w:w="1088" w:type="dxa"/>
            <w:noWrap w:val="0"/>
            <w:vAlign w:val="center"/>
          </w:tcPr>
          <w:p w14:paraId="7AAD3B3D">
            <w:pPr>
              <w:spacing w:line="360" w:lineRule="auto"/>
              <w:ind w:right="-2"/>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tc>
      </w:tr>
      <w:tr w14:paraId="757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38FD9DA0">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5E5E6C44">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00554D52">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3186C499">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71FD5045">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595E1C22">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0B712FB2">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ACF4DFA">
            <w:pPr>
              <w:spacing w:line="360" w:lineRule="auto"/>
              <w:ind w:right="-2"/>
              <w:jc w:val="center"/>
              <w:rPr>
                <w:rFonts w:asciiTheme="minorEastAsia" w:hAnsiTheme="minorEastAsia" w:eastAsiaTheme="minorEastAsia" w:cstheme="minorEastAsia"/>
                <w:color w:val="auto"/>
                <w:szCs w:val="21"/>
                <w:highlight w:val="none"/>
              </w:rPr>
            </w:pPr>
          </w:p>
        </w:tc>
        <w:tc>
          <w:tcPr>
            <w:tcW w:w="1088" w:type="dxa"/>
            <w:noWrap w:val="0"/>
            <w:vAlign w:val="center"/>
          </w:tcPr>
          <w:p w14:paraId="644E403F">
            <w:pPr>
              <w:spacing w:line="360" w:lineRule="auto"/>
              <w:ind w:right="-2"/>
              <w:jc w:val="center"/>
              <w:rPr>
                <w:rFonts w:asciiTheme="minorEastAsia" w:hAnsiTheme="minorEastAsia" w:eastAsiaTheme="minorEastAsia" w:cstheme="minorEastAsia"/>
                <w:color w:val="auto"/>
                <w:szCs w:val="21"/>
                <w:highlight w:val="none"/>
              </w:rPr>
            </w:pPr>
          </w:p>
        </w:tc>
      </w:tr>
      <w:tr w14:paraId="73558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15E15CAD">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23F42068">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4FBA8592">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309DE6E8">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402E6918">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59134A09">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DC30562">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25AF469">
            <w:pPr>
              <w:spacing w:line="360" w:lineRule="auto"/>
              <w:ind w:right="-2"/>
              <w:jc w:val="center"/>
              <w:rPr>
                <w:rFonts w:asciiTheme="minorEastAsia" w:hAnsiTheme="minorEastAsia" w:eastAsiaTheme="minorEastAsia" w:cstheme="minorEastAsia"/>
                <w:color w:val="auto"/>
                <w:szCs w:val="21"/>
                <w:highlight w:val="none"/>
              </w:rPr>
            </w:pPr>
          </w:p>
        </w:tc>
        <w:tc>
          <w:tcPr>
            <w:tcW w:w="1088" w:type="dxa"/>
            <w:noWrap w:val="0"/>
            <w:vAlign w:val="center"/>
          </w:tcPr>
          <w:p w14:paraId="2EADF64E">
            <w:pPr>
              <w:spacing w:line="360" w:lineRule="auto"/>
              <w:ind w:right="-2"/>
              <w:jc w:val="center"/>
              <w:rPr>
                <w:rFonts w:asciiTheme="minorEastAsia" w:hAnsiTheme="minorEastAsia" w:eastAsiaTheme="minorEastAsia" w:cstheme="minorEastAsia"/>
                <w:color w:val="auto"/>
                <w:szCs w:val="21"/>
                <w:highlight w:val="none"/>
              </w:rPr>
            </w:pPr>
          </w:p>
        </w:tc>
      </w:tr>
      <w:tr w14:paraId="34F55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3FF72941">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8881778">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341A1DC">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7993A527">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5DCA7B2C">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2222ACF9">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389ADD4F">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23D2392">
            <w:pPr>
              <w:spacing w:line="360" w:lineRule="auto"/>
              <w:ind w:right="-2"/>
              <w:jc w:val="center"/>
              <w:rPr>
                <w:rFonts w:asciiTheme="minorEastAsia" w:hAnsiTheme="minorEastAsia" w:eastAsiaTheme="minorEastAsia" w:cstheme="minorEastAsia"/>
                <w:color w:val="auto"/>
                <w:szCs w:val="21"/>
                <w:highlight w:val="none"/>
              </w:rPr>
            </w:pPr>
          </w:p>
        </w:tc>
        <w:tc>
          <w:tcPr>
            <w:tcW w:w="1088" w:type="dxa"/>
            <w:noWrap w:val="0"/>
            <w:vAlign w:val="center"/>
          </w:tcPr>
          <w:p w14:paraId="12DC37A8">
            <w:pPr>
              <w:spacing w:line="360" w:lineRule="auto"/>
              <w:ind w:right="-2"/>
              <w:jc w:val="center"/>
              <w:rPr>
                <w:rFonts w:asciiTheme="minorEastAsia" w:hAnsiTheme="minorEastAsia" w:eastAsiaTheme="minorEastAsia" w:cstheme="minorEastAsia"/>
                <w:color w:val="auto"/>
                <w:szCs w:val="21"/>
                <w:highlight w:val="none"/>
              </w:rPr>
            </w:pPr>
          </w:p>
        </w:tc>
      </w:tr>
      <w:tr w14:paraId="75A9B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6751CE39">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72801A2D">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989C7E3">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F86A36A">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33BD6363">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04CF23FA">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0324BEDD">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BD49DF7">
            <w:pPr>
              <w:spacing w:line="360" w:lineRule="auto"/>
              <w:ind w:right="-2"/>
              <w:jc w:val="center"/>
              <w:rPr>
                <w:rFonts w:asciiTheme="minorEastAsia" w:hAnsiTheme="minorEastAsia" w:eastAsiaTheme="minorEastAsia" w:cstheme="minorEastAsia"/>
                <w:color w:val="auto"/>
                <w:szCs w:val="21"/>
                <w:highlight w:val="none"/>
              </w:rPr>
            </w:pPr>
          </w:p>
        </w:tc>
        <w:tc>
          <w:tcPr>
            <w:tcW w:w="1088" w:type="dxa"/>
            <w:noWrap w:val="0"/>
            <w:vAlign w:val="center"/>
          </w:tcPr>
          <w:p w14:paraId="1EA064DD">
            <w:pPr>
              <w:spacing w:line="360" w:lineRule="auto"/>
              <w:ind w:right="-2"/>
              <w:jc w:val="center"/>
              <w:rPr>
                <w:rFonts w:asciiTheme="minorEastAsia" w:hAnsiTheme="minorEastAsia" w:eastAsiaTheme="minorEastAsia" w:cstheme="minorEastAsia"/>
                <w:color w:val="auto"/>
                <w:szCs w:val="21"/>
                <w:highlight w:val="none"/>
              </w:rPr>
            </w:pPr>
          </w:p>
        </w:tc>
      </w:tr>
      <w:tr w14:paraId="2DC2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74DE1F0D">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2BFD4149">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4059734B">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09CD579F">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3FD8A611">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7A88339A">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39E41CA8">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15DCC3A">
            <w:pPr>
              <w:spacing w:line="360" w:lineRule="auto"/>
              <w:ind w:right="-2"/>
              <w:jc w:val="center"/>
              <w:rPr>
                <w:rFonts w:asciiTheme="minorEastAsia" w:hAnsiTheme="minorEastAsia" w:eastAsiaTheme="minorEastAsia" w:cstheme="minorEastAsia"/>
                <w:color w:val="auto"/>
                <w:szCs w:val="21"/>
                <w:highlight w:val="none"/>
              </w:rPr>
            </w:pPr>
          </w:p>
        </w:tc>
        <w:tc>
          <w:tcPr>
            <w:tcW w:w="1088" w:type="dxa"/>
            <w:noWrap w:val="0"/>
            <w:vAlign w:val="center"/>
          </w:tcPr>
          <w:p w14:paraId="230733E1">
            <w:pPr>
              <w:spacing w:line="360" w:lineRule="auto"/>
              <w:ind w:right="-2"/>
              <w:jc w:val="center"/>
              <w:rPr>
                <w:rFonts w:asciiTheme="minorEastAsia" w:hAnsiTheme="minorEastAsia" w:eastAsiaTheme="minorEastAsia" w:cstheme="minorEastAsia"/>
                <w:color w:val="auto"/>
                <w:szCs w:val="21"/>
                <w:highlight w:val="none"/>
              </w:rPr>
            </w:pPr>
          </w:p>
        </w:tc>
      </w:tr>
      <w:tr w14:paraId="294C4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7D19F098">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444519E2">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5B725031">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76CAE484">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31987077">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6410318">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31F1BFF5">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5A73CAB0">
            <w:pPr>
              <w:spacing w:line="360" w:lineRule="auto"/>
              <w:ind w:right="-2"/>
              <w:jc w:val="center"/>
              <w:rPr>
                <w:rFonts w:asciiTheme="minorEastAsia" w:hAnsiTheme="minorEastAsia" w:eastAsiaTheme="minorEastAsia" w:cstheme="minorEastAsia"/>
                <w:color w:val="auto"/>
                <w:szCs w:val="21"/>
                <w:highlight w:val="none"/>
              </w:rPr>
            </w:pPr>
          </w:p>
        </w:tc>
        <w:tc>
          <w:tcPr>
            <w:tcW w:w="1088" w:type="dxa"/>
            <w:noWrap w:val="0"/>
            <w:vAlign w:val="center"/>
          </w:tcPr>
          <w:p w14:paraId="6577F036">
            <w:pPr>
              <w:spacing w:line="360" w:lineRule="auto"/>
              <w:ind w:right="-2"/>
              <w:jc w:val="center"/>
              <w:rPr>
                <w:rFonts w:asciiTheme="minorEastAsia" w:hAnsiTheme="minorEastAsia" w:eastAsiaTheme="minorEastAsia" w:cstheme="minorEastAsia"/>
                <w:color w:val="auto"/>
                <w:szCs w:val="21"/>
                <w:highlight w:val="none"/>
              </w:rPr>
            </w:pPr>
          </w:p>
        </w:tc>
      </w:tr>
      <w:tr w14:paraId="0940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27FFB7BD">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57008F0E">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0BC1E694">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13724DFE">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1AE9836C">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1ACE1713">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7D31D907">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7A445135">
            <w:pPr>
              <w:spacing w:line="360" w:lineRule="auto"/>
              <w:ind w:right="-2"/>
              <w:jc w:val="center"/>
              <w:rPr>
                <w:rFonts w:asciiTheme="minorEastAsia" w:hAnsiTheme="minorEastAsia" w:eastAsiaTheme="minorEastAsia" w:cstheme="minorEastAsia"/>
                <w:color w:val="auto"/>
                <w:szCs w:val="21"/>
                <w:highlight w:val="none"/>
              </w:rPr>
            </w:pPr>
          </w:p>
        </w:tc>
        <w:tc>
          <w:tcPr>
            <w:tcW w:w="1088" w:type="dxa"/>
            <w:noWrap w:val="0"/>
            <w:vAlign w:val="center"/>
          </w:tcPr>
          <w:p w14:paraId="01508849">
            <w:pPr>
              <w:spacing w:line="360" w:lineRule="auto"/>
              <w:ind w:right="-2"/>
              <w:jc w:val="center"/>
              <w:rPr>
                <w:rFonts w:asciiTheme="minorEastAsia" w:hAnsiTheme="minorEastAsia" w:eastAsiaTheme="minorEastAsia" w:cstheme="minorEastAsia"/>
                <w:color w:val="auto"/>
                <w:szCs w:val="21"/>
                <w:highlight w:val="none"/>
              </w:rPr>
            </w:pPr>
          </w:p>
        </w:tc>
      </w:tr>
      <w:tr w14:paraId="5DE7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55E9792E">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0804E06D">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620A1EEF">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26AAFF62">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3CE6722E">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0FC0F0CF">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2F6FF726">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24BD4CD7">
            <w:pPr>
              <w:spacing w:line="360" w:lineRule="auto"/>
              <w:ind w:right="-2"/>
              <w:jc w:val="center"/>
              <w:rPr>
                <w:rFonts w:asciiTheme="minorEastAsia" w:hAnsiTheme="minorEastAsia" w:eastAsiaTheme="minorEastAsia" w:cstheme="minorEastAsia"/>
                <w:color w:val="auto"/>
                <w:szCs w:val="21"/>
                <w:highlight w:val="none"/>
              </w:rPr>
            </w:pPr>
          </w:p>
        </w:tc>
        <w:tc>
          <w:tcPr>
            <w:tcW w:w="1088" w:type="dxa"/>
            <w:noWrap w:val="0"/>
            <w:vAlign w:val="center"/>
          </w:tcPr>
          <w:p w14:paraId="2588885E">
            <w:pPr>
              <w:spacing w:line="360" w:lineRule="auto"/>
              <w:ind w:right="-2"/>
              <w:jc w:val="center"/>
              <w:rPr>
                <w:rFonts w:asciiTheme="minorEastAsia" w:hAnsiTheme="minorEastAsia" w:eastAsiaTheme="minorEastAsia" w:cstheme="minorEastAsia"/>
                <w:color w:val="auto"/>
                <w:szCs w:val="21"/>
                <w:highlight w:val="none"/>
              </w:rPr>
            </w:pPr>
          </w:p>
        </w:tc>
      </w:tr>
      <w:tr w14:paraId="4A646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81" w:type="dxa"/>
            <w:noWrap w:val="0"/>
            <w:vAlign w:val="center"/>
          </w:tcPr>
          <w:p w14:paraId="4FE909EC">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539B83A0">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2C2FD34F">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0BDB6E7D">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1651C9AF">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590B90F8">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1E67FF4B">
            <w:pPr>
              <w:spacing w:line="360" w:lineRule="auto"/>
              <w:ind w:right="-2"/>
              <w:jc w:val="center"/>
              <w:rPr>
                <w:rFonts w:asciiTheme="minorEastAsia" w:hAnsiTheme="minorEastAsia" w:eastAsiaTheme="minorEastAsia" w:cstheme="minorEastAsia"/>
                <w:color w:val="auto"/>
                <w:szCs w:val="21"/>
                <w:highlight w:val="none"/>
              </w:rPr>
            </w:pPr>
          </w:p>
        </w:tc>
        <w:tc>
          <w:tcPr>
            <w:tcW w:w="1081" w:type="dxa"/>
            <w:noWrap w:val="0"/>
            <w:vAlign w:val="center"/>
          </w:tcPr>
          <w:p w14:paraId="239AD6C0">
            <w:pPr>
              <w:spacing w:line="360" w:lineRule="auto"/>
              <w:ind w:right="-2"/>
              <w:jc w:val="center"/>
              <w:rPr>
                <w:rFonts w:asciiTheme="minorEastAsia" w:hAnsiTheme="minorEastAsia" w:eastAsiaTheme="minorEastAsia" w:cstheme="minorEastAsia"/>
                <w:color w:val="auto"/>
                <w:szCs w:val="21"/>
                <w:highlight w:val="none"/>
              </w:rPr>
            </w:pPr>
          </w:p>
        </w:tc>
        <w:tc>
          <w:tcPr>
            <w:tcW w:w="1088" w:type="dxa"/>
            <w:noWrap w:val="0"/>
            <w:vAlign w:val="center"/>
          </w:tcPr>
          <w:p w14:paraId="70131A21">
            <w:pPr>
              <w:spacing w:line="360" w:lineRule="auto"/>
              <w:ind w:right="-2"/>
              <w:jc w:val="center"/>
              <w:rPr>
                <w:rFonts w:asciiTheme="minorEastAsia" w:hAnsiTheme="minorEastAsia" w:eastAsiaTheme="minorEastAsia" w:cstheme="minorEastAsia"/>
                <w:color w:val="auto"/>
                <w:szCs w:val="21"/>
                <w:highlight w:val="none"/>
              </w:rPr>
            </w:pPr>
          </w:p>
        </w:tc>
      </w:tr>
    </w:tbl>
    <w:p w14:paraId="729002CD">
      <w:pPr>
        <w:rPr>
          <w:rFonts w:asciiTheme="minorEastAsia" w:hAnsiTheme="minorEastAsia" w:eastAsiaTheme="minorEastAsia" w:cstheme="minorEastAsia"/>
          <w:color w:val="auto"/>
          <w:szCs w:val="21"/>
          <w:highlight w:val="none"/>
        </w:rPr>
      </w:pPr>
    </w:p>
    <w:p w14:paraId="043F47BA">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法定代表人或授权代表签字：</w:t>
      </w:r>
    </w:p>
    <w:p w14:paraId="12EE0CF6">
      <w:pPr>
        <w:jc w:val="right"/>
        <w:rPr>
          <w:rFonts w:asciiTheme="minorEastAsia" w:hAnsiTheme="minorEastAsia" w:eastAsiaTheme="minorEastAsia" w:cstheme="minorEastAsia"/>
          <w:color w:val="auto"/>
          <w:szCs w:val="21"/>
          <w:highlight w:val="none"/>
        </w:rPr>
      </w:pPr>
    </w:p>
    <w:p w14:paraId="0807E657">
      <w:pPr>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日期：     年    月     日</w:t>
      </w:r>
    </w:p>
    <w:p w14:paraId="011B4F72">
      <w:pPr>
        <w:widowControl/>
        <w:jc w:val="left"/>
        <w:rPr>
          <w:rFonts w:asciiTheme="minorEastAsia" w:hAnsiTheme="minorEastAsia" w:eastAsiaTheme="minorEastAsia" w:cstheme="minorEastAsia"/>
          <w:color w:val="auto"/>
          <w:sz w:val="24"/>
          <w:highlight w:val="none"/>
        </w:rPr>
      </w:pPr>
    </w:p>
    <w:p w14:paraId="426A429D">
      <w:pPr>
        <w:widowControl/>
        <w:jc w:val="left"/>
        <w:rPr>
          <w:rFonts w:asciiTheme="minorEastAsia" w:hAnsiTheme="minorEastAsia" w:eastAsiaTheme="minorEastAsia" w:cstheme="minorEastAsia"/>
          <w:color w:val="auto"/>
          <w:sz w:val="24"/>
          <w:highlight w:val="none"/>
        </w:rPr>
      </w:pPr>
    </w:p>
    <w:p w14:paraId="22BFBF8A">
      <w:pPr>
        <w:rPr>
          <w:rFonts w:asciiTheme="minorEastAsia" w:hAnsiTheme="minorEastAsia" w:eastAsiaTheme="minorEastAsia" w:cstheme="minorEastAsia"/>
          <w:b/>
          <w:color w:val="auto"/>
          <w:sz w:val="32"/>
          <w:szCs w:val="32"/>
          <w:highlight w:val="none"/>
        </w:rPr>
      </w:pPr>
    </w:p>
    <w:p w14:paraId="7E25B19B">
      <w:pPr>
        <w:jc w:val="center"/>
        <w:rPr>
          <w:rFonts w:asciiTheme="minorEastAsia" w:hAnsiTheme="minorEastAsia" w:eastAsiaTheme="minorEastAsia" w:cstheme="minorEastAsia"/>
          <w:b/>
          <w:color w:val="auto"/>
          <w:sz w:val="32"/>
          <w:szCs w:val="32"/>
          <w:highlight w:val="none"/>
        </w:rPr>
      </w:pPr>
    </w:p>
    <w:p w14:paraId="1DBC3149">
      <w:pPr>
        <w:jc w:val="center"/>
        <w:rPr>
          <w:rFonts w:asciiTheme="minorEastAsia" w:hAnsiTheme="minorEastAsia" w:eastAsiaTheme="minorEastAsia" w:cstheme="minorEastAsia"/>
          <w:b/>
          <w:color w:val="auto"/>
          <w:sz w:val="32"/>
          <w:szCs w:val="32"/>
          <w:highlight w:val="none"/>
        </w:rPr>
      </w:pPr>
    </w:p>
    <w:p w14:paraId="592AFD72">
      <w:pPr>
        <w:rPr>
          <w:rFonts w:asciiTheme="minorEastAsia" w:hAnsiTheme="minorEastAsia" w:eastAsiaTheme="minorEastAsia" w:cstheme="minorEastAsia"/>
          <w:color w:val="auto"/>
          <w:highlight w:val="none"/>
        </w:rPr>
      </w:pPr>
    </w:p>
    <w:p w14:paraId="31F844B3">
      <w:pPr>
        <w:pStyle w:val="17"/>
        <w:rPr>
          <w:rFonts w:asciiTheme="minorEastAsia" w:hAnsiTheme="minorEastAsia" w:eastAsiaTheme="minorEastAsia" w:cstheme="minorEastAsia"/>
          <w:color w:val="auto"/>
          <w:highlight w:val="none"/>
        </w:rPr>
      </w:pPr>
    </w:p>
    <w:p w14:paraId="36DD74EF">
      <w:pPr>
        <w:pStyle w:val="23"/>
        <w:rPr>
          <w:rFonts w:asciiTheme="minorEastAsia" w:hAnsiTheme="minorEastAsia" w:eastAsiaTheme="minorEastAsia" w:cstheme="minorEastAsia"/>
          <w:color w:val="auto"/>
          <w:highlight w:val="none"/>
        </w:rPr>
      </w:pPr>
    </w:p>
    <w:p w14:paraId="6D0F4D2C">
      <w:pPr>
        <w:rPr>
          <w:rFonts w:asciiTheme="minorEastAsia" w:hAnsiTheme="minorEastAsia" w:eastAsiaTheme="minorEastAsia" w:cstheme="minorEastAsia"/>
          <w:color w:val="auto"/>
          <w:highlight w:val="none"/>
        </w:rPr>
      </w:pPr>
    </w:p>
    <w:p w14:paraId="20144984">
      <w:pPr>
        <w:pStyle w:val="17"/>
        <w:rPr>
          <w:rFonts w:asciiTheme="minorEastAsia" w:hAnsiTheme="minorEastAsia" w:eastAsiaTheme="minorEastAsia" w:cstheme="minorEastAsia"/>
          <w:color w:val="auto"/>
          <w:highlight w:val="none"/>
        </w:rPr>
      </w:pPr>
    </w:p>
    <w:p w14:paraId="6C8C3DA6">
      <w:pPr>
        <w:pStyle w:val="17"/>
        <w:rPr>
          <w:rFonts w:asciiTheme="minorEastAsia" w:hAnsiTheme="minorEastAsia" w:eastAsiaTheme="minorEastAsia" w:cstheme="minorEastAsia"/>
          <w:color w:val="auto"/>
          <w:highlight w:val="none"/>
        </w:rPr>
      </w:pPr>
    </w:p>
    <w:p w14:paraId="371E8F54">
      <w:pP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br w:type="page"/>
      </w:r>
      <w:r>
        <w:rPr>
          <w:rFonts w:hint="eastAsia" w:asciiTheme="minorEastAsia" w:hAnsiTheme="minorEastAsia" w:eastAsiaTheme="minorEastAsia" w:cstheme="minorEastAsia"/>
          <w:b/>
          <w:bCs/>
          <w:color w:val="auto"/>
          <w:sz w:val="32"/>
          <w:szCs w:val="32"/>
          <w:highlight w:val="none"/>
        </w:rPr>
        <w:t>质疑函范本</w:t>
      </w:r>
    </w:p>
    <w:p w14:paraId="7DFC8D7A">
      <w:pPr>
        <w:keepNext w:val="0"/>
        <w:keepLines w:val="0"/>
        <w:pageBreakBefore w:val="0"/>
        <w:kinsoku/>
        <w:wordWrap/>
        <w:overflowPunct/>
        <w:topLinePunct w:val="0"/>
        <w:autoSpaceDE/>
        <w:autoSpaceDN/>
        <w:bidi w:val="0"/>
        <w:adjustRightInd/>
        <w:snapToGrid/>
        <w:spacing w:before="290" w:line="300" w:lineRule="exact"/>
        <w:textAlignment w:val="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一、质疑供应商基本信息</w:t>
      </w:r>
    </w:p>
    <w:p w14:paraId="18C86BD3">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质疑供应商：</w:t>
      </w:r>
    </w:p>
    <w:p w14:paraId="30E949A1">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地址：邮编：</w:t>
      </w:r>
    </w:p>
    <w:p w14:paraId="0C2A1CD0">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联系人：联系电话：</w:t>
      </w:r>
    </w:p>
    <w:p w14:paraId="48867580">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授权代表：</w:t>
      </w:r>
    </w:p>
    <w:p w14:paraId="0D635D12">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联系电话：</w:t>
      </w:r>
    </w:p>
    <w:p w14:paraId="0B149CFF">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 邮编：</w:t>
      </w:r>
    </w:p>
    <w:p w14:paraId="0A922D0A">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二、质疑项目基本情况</w:t>
      </w:r>
    </w:p>
    <w:p w14:paraId="358592D4">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质疑项目的名称：</w:t>
      </w:r>
    </w:p>
    <w:p w14:paraId="413E0976">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质疑项目的编号：包号：</w:t>
      </w:r>
    </w:p>
    <w:p w14:paraId="1400825C">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采购人名称：</w:t>
      </w:r>
    </w:p>
    <w:p w14:paraId="366C45B1">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采购文件获取日期：</w:t>
      </w:r>
    </w:p>
    <w:p w14:paraId="420F766A">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三、质疑事项具体内容</w:t>
      </w:r>
    </w:p>
    <w:p w14:paraId="720D89BD">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质疑事项1：</w:t>
      </w:r>
    </w:p>
    <w:p w14:paraId="5FD9F50D">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事实依据：</w:t>
      </w:r>
    </w:p>
    <w:p w14:paraId="706CB96C">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p>
    <w:p w14:paraId="180F98D6">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法律依据：</w:t>
      </w:r>
    </w:p>
    <w:p w14:paraId="07FAE2DD">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u w:val="single"/>
        </w:rPr>
      </w:pPr>
    </w:p>
    <w:p w14:paraId="21E5D746">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质疑事项2</w:t>
      </w:r>
    </w:p>
    <w:p w14:paraId="1C488C6F">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p w14:paraId="72DAF62B">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四、与质疑事项相关的质疑请求</w:t>
      </w:r>
    </w:p>
    <w:p w14:paraId="0D4C2DAE">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请求：</w:t>
      </w:r>
    </w:p>
    <w:p w14:paraId="19188D87">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签字(签章</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 xml:space="preserve">：                   公章：                      </w:t>
      </w:r>
    </w:p>
    <w:p w14:paraId="111933CD">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w:t>
      </w:r>
    </w:p>
    <w:p w14:paraId="342C6BB6">
      <w:pPr>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质疑函制作说明：</w:t>
      </w:r>
    </w:p>
    <w:p w14:paraId="58A68372">
      <w:pPr>
        <w:keepNext w:val="0"/>
        <w:keepLines w:val="0"/>
        <w:pageBreakBefore w:val="0"/>
        <w:widowControl/>
        <w:kinsoku/>
        <w:wordWrap/>
        <w:overflowPunct/>
        <w:topLinePunct w:val="0"/>
        <w:autoSpaceDE/>
        <w:autoSpaceDN/>
        <w:bidi w:val="0"/>
        <w:adjustRightInd/>
        <w:snapToGrid/>
        <w:spacing w:line="300" w:lineRule="exact"/>
        <w:ind w:firstLine="480"/>
        <w:jc w:val="lef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1.供应商提出质疑时，应提交质疑函和必要的证明材料。</w:t>
      </w:r>
    </w:p>
    <w:p w14:paraId="464E456E">
      <w:pPr>
        <w:keepNext w:val="0"/>
        <w:keepLines w:val="0"/>
        <w:pageBreakBefore w:val="0"/>
        <w:widowControl/>
        <w:kinsoku/>
        <w:wordWrap/>
        <w:overflowPunct/>
        <w:topLinePunct w:val="0"/>
        <w:autoSpaceDE/>
        <w:autoSpaceDN/>
        <w:bidi w:val="0"/>
        <w:adjustRightInd/>
        <w:snapToGrid/>
        <w:spacing w:line="300" w:lineRule="exact"/>
        <w:ind w:firstLine="480"/>
        <w:jc w:val="lef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9BE38A4">
      <w:pPr>
        <w:keepNext w:val="0"/>
        <w:keepLines w:val="0"/>
        <w:pageBreakBefore w:val="0"/>
        <w:widowControl/>
        <w:kinsoku/>
        <w:wordWrap/>
        <w:overflowPunct/>
        <w:topLinePunct w:val="0"/>
        <w:autoSpaceDE/>
        <w:autoSpaceDN/>
        <w:bidi w:val="0"/>
        <w:adjustRightInd/>
        <w:snapToGrid/>
        <w:spacing w:line="300" w:lineRule="exact"/>
        <w:ind w:firstLine="480"/>
        <w:jc w:val="lef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3.质疑供应商若对项目的某一分包进行质疑，质疑函中应列明具体分包号。</w:t>
      </w:r>
    </w:p>
    <w:p w14:paraId="16FD6C48">
      <w:pPr>
        <w:keepNext w:val="0"/>
        <w:keepLines w:val="0"/>
        <w:pageBreakBefore w:val="0"/>
        <w:widowControl/>
        <w:kinsoku/>
        <w:wordWrap/>
        <w:overflowPunct/>
        <w:topLinePunct w:val="0"/>
        <w:autoSpaceDE/>
        <w:autoSpaceDN/>
        <w:bidi w:val="0"/>
        <w:adjustRightInd/>
        <w:snapToGrid/>
        <w:spacing w:line="300" w:lineRule="exact"/>
        <w:ind w:firstLine="480"/>
        <w:jc w:val="lef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4.质疑函的质疑事项应具体、明确，并有必要的事实依据和法律依据。</w:t>
      </w:r>
    </w:p>
    <w:p w14:paraId="34826C86">
      <w:pPr>
        <w:keepNext w:val="0"/>
        <w:keepLines w:val="0"/>
        <w:pageBreakBefore w:val="0"/>
        <w:widowControl/>
        <w:kinsoku/>
        <w:wordWrap/>
        <w:overflowPunct/>
        <w:topLinePunct w:val="0"/>
        <w:autoSpaceDE/>
        <w:autoSpaceDN/>
        <w:bidi w:val="0"/>
        <w:adjustRightInd/>
        <w:snapToGrid/>
        <w:spacing w:line="300" w:lineRule="exact"/>
        <w:ind w:firstLine="480"/>
        <w:jc w:val="lef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5.质疑函的质疑请求应与质疑事项相关。</w:t>
      </w:r>
    </w:p>
    <w:p w14:paraId="59FF3113">
      <w:pPr>
        <w:keepNext w:val="0"/>
        <w:keepLines w:val="0"/>
        <w:pageBreakBefore w:val="0"/>
        <w:widowControl/>
        <w:kinsoku/>
        <w:wordWrap/>
        <w:overflowPunct/>
        <w:topLinePunct w:val="0"/>
        <w:autoSpaceDE/>
        <w:autoSpaceDN/>
        <w:bidi w:val="0"/>
        <w:adjustRightInd/>
        <w:snapToGrid/>
        <w:spacing w:line="300" w:lineRule="exact"/>
        <w:ind w:firstLine="48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6.质疑供应商为自然人的，质疑函应由本人签字；质疑供应商为法人或者其他组织的，质疑函应由法定代表人、主要负责人，或者其授权代表签字或者盖章，并加盖公章。</w:t>
      </w:r>
    </w:p>
    <w:p w14:paraId="60EE00C8">
      <w:pPr>
        <w:rPr>
          <w:rFonts w:hint="eastAsia" w:asciiTheme="minorEastAsia" w:hAnsiTheme="minorEastAsia" w:eastAsiaTheme="minorEastAsia" w:cstheme="minorEastAsia"/>
          <w:color w:val="auto"/>
          <w:sz w:val="21"/>
          <w:szCs w:val="21"/>
          <w:highlight w:val="none"/>
        </w:rPr>
      </w:pPr>
    </w:p>
    <w:p w14:paraId="3C88B6EA">
      <w:pPr>
        <w:rPr>
          <w:rFonts w:hint="eastAsia" w:asciiTheme="minorEastAsia" w:hAnsiTheme="minorEastAsia" w:eastAsiaTheme="minorEastAsia" w:cstheme="minorEastAsia"/>
          <w:color w:val="auto"/>
          <w:sz w:val="21"/>
          <w:szCs w:val="21"/>
          <w:highlight w:val="none"/>
        </w:rPr>
      </w:pPr>
    </w:p>
    <w:p w14:paraId="25BA1465">
      <w:pPr>
        <w:rPr>
          <w:rFonts w:hint="eastAsia" w:asciiTheme="minorEastAsia" w:hAnsiTheme="minorEastAsia" w:eastAsiaTheme="minorEastAsia" w:cstheme="minorEastAsia"/>
          <w:color w:val="auto"/>
          <w:sz w:val="21"/>
          <w:szCs w:val="21"/>
          <w:highlight w:val="none"/>
        </w:rPr>
      </w:pPr>
    </w:p>
    <w:p w14:paraId="0272D988">
      <w:pPr>
        <w:rPr>
          <w:rFonts w:hint="eastAsia" w:asciiTheme="minorEastAsia" w:hAnsiTheme="minorEastAsia" w:eastAsiaTheme="minorEastAsia" w:cstheme="minorEastAsia"/>
          <w:color w:val="auto"/>
          <w:sz w:val="21"/>
          <w:szCs w:val="21"/>
          <w:highlight w:val="none"/>
        </w:rPr>
      </w:pPr>
    </w:p>
    <w:p w14:paraId="40B437A4">
      <w:pPr>
        <w:rPr>
          <w:rFonts w:hint="eastAsia" w:asciiTheme="minorEastAsia" w:hAnsiTheme="minorEastAsia" w:eastAsiaTheme="minorEastAsia" w:cstheme="minorEastAsia"/>
          <w:color w:val="auto"/>
          <w:sz w:val="21"/>
          <w:szCs w:val="21"/>
          <w:highlight w:val="none"/>
        </w:rPr>
      </w:pPr>
    </w:p>
    <w:p w14:paraId="45FB535B">
      <w:pPr>
        <w:rPr>
          <w:rFonts w:hint="eastAsia" w:asciiTheme="minorEastAsia" w:hAnsiTheme="minorEastAsia" w:eastAsiaTheme="minorEastAsia" w:cstheme="minorEastAsia"/>
          <w:color w:val="auto"/>
          <w:sz w:val="21"/>
          <w:szCs w:val="21"/>
          <w:highlight w:val="none"/>
        </w:rPr>
      </w:pPr>
    </w:p>
    <w:p w14:paraId="5B8F8E9F">
      <w:pPr>
        <w:rPr>
          <w:rFonts w:hint="eastAsia" w:asciiTheme="minorEastAsia" w:hAnsiTheme="minorEastAsia" w:eastAsiaTheme="minorEastAsia" w:cstheme="minorEastAsia"/>
          <w:color w:val="auto"/>
          <w:sz w:val="21"/>
          <w:szCs w:val="21"/>
          <w:highlight w:val="none"/>
        </w:rPr>
      </w:pPr>
    </w:p>
    <w:p w14:paraId="5BABC318">
      <w:pPr>
        <w:rPr>
          <w:rFonts w:hint="eastAsia" w:asciiTheme="minorEastAsia" w:hAnsiTheme="minorEastAsia" w:eastAsiaTheme="minorEastAsia" w:cstheme="minorEastAsia"/>
          <w:color w:val="auto"/>
          <w:sz w:val="21"/>
          <w:szCs w:val="21"/>
          <w:highlight w:val="none"/>
        </w:rPr>
      </w:pPr>
    </w:p>
    <w:p w14:paraId="0744D109">
      <w:pPr>
        <w:rPr>
          <w:rFonts w:hint="eastAsia" w:asciiTheme="minorEastAsia" w:hAnsiTheme="minorEastAsia" w:eastAsiaTheme="minorEastAsia" w:cstheme="minorEastAsia"/>
          <w:color w:val="auto"/>
          <w:sz w:val="21"/>
          <w:szCs w:val="21"/>
          <w:highlight w:val="none"/>
        </w:rPr>
      </w:pPr>
    </w:p>
    <w:p w14:paraId="27787BE3">
      <w:pPr>
        <w:rPr>
          <w:rFonts w:hint="eastAsia" w:asciiTheme="minorEastAsia" w:hAnsiTheme="minorEastAsia" w:eastAsiaTheme="minorEastAsia" w:cstheme="minorEastAsia"/>
          <w:color w:val="auto"/>
          <w:sz w:val="21"/>
          <w:szCs w:val="21"/>
          <w:highlight w:val="none"/>
        </w:rPr>
      </w:pPr>
    </w:p>
    <w:p w14:paraId="4A38B8E8">
      <w:pPr>
        <w:rPr>
          <w:rFonts w:hint="eastAsia" w:asciiTheme="minorEastAsia" w:hAnsiTheme="minorEastAsia" w:eastAsiaTheme="minorEastAsia" w:cstheme="minorEastAsia"/>
          <w:color w:val="auto"/>
          <w:sz w:val="21"/>
          <w:szCs w:val="21"/>
          <w:highlight w:val="none"/>
        </w:rPr>
      </w:pPr>
    </w:p>
    <w:p w14:paraId="33708D46">
      <w:pPr>
        <w:rPr>
          <w:rFonts w:hint="eastAsia" w:ascii="Cambria" w:hAnsi="Cambria" w:eastAsia="宋体" w:cs="Times New Roman"/>
          <w:b/>
          <w:bCs/>
          <w:color w:val="auto"/>
          <w:sz w:val="32"/>
          <w:szCs w:val="32"/>
          <w:highlight w:val="none"/>
          <w:lang w:val="en-US" w:eastAsia="zh-CN" w:bidi="ar-SA"/>
        </w:rPr>
      </w:pPr>
    </w:p>
    <w:p w14:paraId="3F2F9CCB">
      <w:pPr>
        <w:pStyle w:val="19"/>
        <w:rPr>
          <w:rFonts w:hint="eastAsia" w:ascii="Cambria" w:hAnsi="Cambria" w:eastAsia="宋体" w:cs="Times New Roman"/>
          <w:b/>
          <w:bCs/>
          <w:color w:val="auto"/>
          <w:sz w:val="32"/>
          <w:szCs w:val="32"/>
          <w:highlight w:val="none"/>
          <w:lang w:val="en-US" w:eastAsia="zh-CN" w:bidi="ar-SA"/>
        </w:rPr>
      </w:pPr>
      <w:bookmarkStart w:id="174" w:name="_Toc125029413"/>
      <w:r>
        <w:rPr>
          <w:rFonts w:hint="eastAsia" w:ascii="Cambria" w:hAnsi="Cambria" w:eastAsia="宋体" w:cs="Times New Roman"/>
          <w:b/>
          <w:bCs/>
          <w:color w:val="auto"/>
          <w:sz w:val="32"/>
          <w:szCs w:val="32"/>
          <w:highlight w:val="none"/>
          <w:lang w:val="en-US" w:eastAsia="zh-CN" w:bidi="ar-SA"/>
        </w:rPr>
        <w:t>附件1：各分包绿化养护服务范围及报价最高限价</w:t>
      </w:r>
      <w:bookmarkEnd w:id="174"/>
    </w:p>
    <w:tbl>
      <w:tblPr>
        <w:tblStyle w:val="41"/>
        <w:tblW w:w="88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0"/>
        <w:gridCol w:w="2051"/>
        <w:gridCol w:w="954"/>
        <w:gridCol w:w="1758"/>
        <w:gridCol w:w="1605"/>
        <w:gridCol w:w="1789"/>
      </w:tblGrid>
      <w:tr w14:paraId="2AB4E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20" w:type="dxa"/>
            <w:vMerge w:val="restart"/>
            <w:tcBorders>
              <w:top w:val="single" w:color="000000" w:sz="4" w:space="0"/>
              <w:left w:val="single" w:color="000000" w:sz="4" w:space="0"/>
              <w:bottom w:val="single" w:color="000000" w:sz="4" w:space="0"/>
              <w:right w:val="single" w:color="000000" w:sz="4" w:space="0"/>
            </w:tcBorders>
            <w:shd w:val="clear" w:color="auto" w:fill="D9E1F2"/>
            <w:vAlign w:val="center"/>
          </w:tcPr>
          <w:p w14:paraId="489059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051" w:type="dxa"/>
            <w:vMerge w:val="restart"/>
            <w:tcBorders>
              <w:top w:val="single" w:color="000000" w:sz="4" w:space="0"/>
              <w:left w:val="single" w:color="000000" w:sz="4" w:space="0"/>
              <w:bottom w:val="single" w:color="000000" w:sz="4" w:space="0"/>
              <w:right w:val="single" w:color="000000" w:sz="4" w:space="0"/>
            </w:tcBorders>
            <w:shd w:val="clear" w:color="auto" w:fill="D9E1F2"/>
            <w:vAlign w:val="center"/>
          </w:tcPr>
          <w:p w14:paraId="6FC606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项目名称</w:t>
            </w:r>
          </w:p>
        </w:tc>
        <w:tc>
          <w:tcPr>
            <w:tcW w:w="954" w:type="dxa"/>
            <w:vMerge w:val="restart"/>
            <w:tcBorders>
              <w:top w:val="single" w:color="000000" w:sz="4" w:space="0"/>
              <w:left w:val="single" w:color="000000" w:sz="4" w:space="0"/>
              <w:bottom w:val="single" w:color="000000" w:sz="4" w:space="0"/>
              <w:right w:val="single" w:color="000000" w:sz="4" w:space="0"/>
            </w:tcBorders>
            <w:shd w:val="clear" w:color="auto" w:fill="D9E1F2"/>
            <w:vAlign w:val="center"/>
          </w:tcPr>
          <w:p w14:paraId="4BF1B1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758" w:type="dxa"/>
            <w:vMerge w:val="restart"/>
            <w:tcBorders>
              <w:top w:val="single" w:color="000000" w:sz="4" w:space="0"/>
              <w:left w:val="single" w:color="000000" w:sz="4" w:space="0"/>
              <w:bottom w:val="single" w:color="000000" w:sz="4" w:space="0"/>
              <w:right w:val="single" w:color="000000" w:sz="4" w:space="0"/>
            </w:tcBorders>
            <w:shd w:val="clear" w:color="auto" w:fill="D9E1F2"/>
            <w:vAlign w:val="center"/>
          </w:tcPr>
          <w:p w14:paraId="1016AE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实测面积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（平方米）</w:t>
            </w:r>
          </w:p>
        </w:tc>
        <w:tc>
          <w:tcPr>
            <w:tcW w:w="1605" w:type="dxa"/>
            <w:vMerge w:val="restart"/>
            <w:tcBorders>
              <w:top w:val="single" w:color="000000" w:sz="4" w:space="0"/>
              <w:left w:val="single" w:color="000000" w:sz="4" w:space="0"/>
              <w:bottom w:val="single" w:color="000000" w:sz="4" w:space="0"/>
              <w:right w:val="single" w:color="000000" w:sz="4" w:space="0"/>
            </w:tcBorders>
            <w:shd w:val="clear" w:color="auto" w:fill="D9E1F2"/>
            <w:vAlign w:val="center"/>
          </w:tcPr>
          <w:p w14:paraId="167595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最高限价</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cs="宋体"/>
                <w:i w:val="0"/>
                <w:iCs w:val="0"/>
                <w:color w:val="auto"/>
                <w:kern w:val="0"/>
                <w:sz w:val="24"/>
                <w:szCs w:val="24"/>
                <w:highlight w:val="none"/>
                <w:u w:val="none"/>
                <w:lang w:val="en-US" w:eastAsia="zh-CN" w:bidi="ar"/>
              </w:rPr>
              <w:t>万元</w:t>
            </w:r>
            <w:r>
              <w:rPr>
                <w:rFonts w:hint="eastAsia" w:ascii="宋体" w:hAnsi="宋体" w:eastAsia="宋体" w:cs="宋体"/>
                <w:i w:val="0"/>
                <w:iCs w:val="0"/>
                <w:color w:val="auto"/>
                <w:kern w:val="0"/>
                <w:sz w:val="24"/>
                <w:szCs w:val="24"/>
                <w:highlight w:val="none"/>
                <w:u w:val="none"/>
                <w:lang w:val="en-US" w:eastAsia="zh-CN" w:bidi="ar"/>
              </w:rPr>
              <w:t>）</w:t>
            </w:r>
          </w:p>
        </w:tc>
        <w:tc>
          <w:tcPr>
            <w:tcW w:w="1789" w:type="dxa"/>
            <w:vMerge w:val="restart"/>
            <w:tcBorders>
              <w:top w:val="single" w:color="000000" w:sz="4" w:space="0"/>
              <w:left w:val="single" w:color="000000" w:sz="4" w:space="0"/>
              <w:bottom w:val="single" w:color="000000" w:sz="4" w:space="0"/>
              <w:right w:val="single" w:color="000000" w:sz="4" w:space="0"/>
            </w:tcBorders>
            <w:shd w:val="clear" w:color="auto" w:fill="D9E1F2"/>
            <w:vAlign w:val="center"/>
          </w:tcPr>
          <w:p w14:paraId="0E25B2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0D1F8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D9E1F2"/>
            <w:vAlign w:val="center"/>
          </w:tcPr>
          <w:p w14:paraId="24676069">
            <w:pPr>
              <w:jc w:val="center"/>
              <w:rPr>
                <w:rFonts w:hint="eastAsia" w:ascii="宋体" w:hAnsi="宋体" w:eastAsia="宋体" w:cs="宋体"/>
                <w:i w:val="0"/>
                <w:iCs w:val="0"/>
                <w:color w:val="auto"/>
                <w:sz w:val="24"/>
                <w:szCs w:val="24"/>
                <w:highlight w:val="none"/>
                <w:u w:val="none"/>
              </w:rPr>
            </w:pPr>
          </w:p>
        </w:tc>
        <w:tc>
          <w:tcPr>
            <w:tcW w:w="2051" w:type="dxa"/>
            <w:vMerge w:val="continue"/>
            <w:tcBorders>
              <w:top w:val="single" w:color="000000" w:sz="4" w:space="0"/>
              <w:left w:val="single" w:color="000000" w:sz="4" w:space="0"/>
              <w:bottom w:val="single" w:color="000000" w:sz="4" w:space="0"/>
              <w:right w:val="single" w:color="000000" w:sz="4" w:space="0"/>
            </w:tcBorders>
            <w:shd w:val="clear" w:color="auto" w:fill="D9E1F2"/>
            <w:vAlign w:val="center"/>
          </w:tcPr>
          <w:p w14:paraId="7A9051D7">
            <w:pPr>
              <w:jc w:val="center"/>
              <w:rPr>
                <w:rFonts w:hint="eastAsia" w:ascii="宋体" w:hAnsi="宋体" w:eastAsia="宋体" w:cs="宋体"/>
                <w:i w:val="0"/>
                <w:iCs w:val="0"/>
                <w:color w:val="auto"/>
                <w:sz w:val="24"/>
                <w:szCs w:val="24"/>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D9E1F2"/>
            <w:vAlign w:val="center"/>
          </w:tcPr>
          <w:p w14:paraId="30424133">
            <w:pPr>
              <w:jc w:val="center"/>
              <w:rPr>
                <w:rFonts w:hint="eastAsia" w:ascii="宋体" w:hAnsi="宋体" w:eastAsia="宋体" w:cs="宋体"/>
                <w:i w:val="0"/>
                <w:iCs w:val="0"/>
                <w:color w:val="auto"/>
                <w:sz w:val="24"/>
                <w:szCs w:val="24"/>
                <w:highlight w:val="none"/>
                <w:u w:val="none"/>
              </w:rPr>
            </w:pPr>
          </w:p>
        </w:tc>
        <w:tc>
          <w:tcPr>
            <w:tcW w:w="1758" w:type="dxa"/>
            <w:vMerge w:val="continue"/>
            <w:tcBorders>
              <w:top w:val="single" w:color="000000" w:sz="4" w:space="0"/>
              <w:left w:val="single" w:color="000000" w:sz="4" w:space="0"/>
              <w:bottom w:val="single" w:color="000000" w:sz="4" w:space="0"/>
              <w:right w:val="single" w:color="000000" w:sz="4" w:space="0"/>
            </w:tcBorders>
            <w:shd w:val="clear" w:color="auto" w:fill="D9E1F2"/>
            <w:vAlign w:val="center"/>
          </w:tcPr>
          <w:p w14:paraId="24E40F59">
            <w:pPr>
              <w:jc w:val="center"/>
              <w:rPr>
                <w:rFonts w:hint="eastAsia" w:ascii="宋体" w:hAnsi="宋体" w:eastAsia="宋体" w:cs="宋体"/>
                <w:i w:val="0"/>
                <w:iCs w:val="0"/>
                <w:color w:val="auto"/>
                <w:sz w:val="24"/>
                <w:szCs w:val="24"/>
                <w:highlight w:val="none"/>
                <w:u w:val="none"/>
              </w:rPr>
            </w:pPr>
          </w:p>
        </w:tc>
        <w:tc>
          <w:tcPr>
            <w:tcW w:w="1605" w:type="dxa"/>
            <w:vMerge w:val="continue"/>
            <w:tcBorders>
              <w:top w:val="single" w:color="000000" w:sz="4" w:space="0"/>
              <w:left w:val="single" w:color="000000" w:sz="4" w:space="0"/>
              <w:bottom w:val="single" w:color="000000" w:sz="4" w:space="0"/>
              <w:right w:val="single" w:color="000000" w:sz="4" w:space="0"/>
            </w:tcBorders>
            <w:shd w:val="clear" w:color="auto" w:fill="D9E1F2"/>
            <w:vAlign w:val="center"/>
          </w:tcPr>
          <w:p w14:paraId="5B6EA337">
            <w:pPr>
              <w:jc w:val="center"/>
              <w:rPr>
                <w:rFonts w:hint="eastAsia" w:ascii="宋体" w:hAnsi="宋体" w:eastAsia="宋体" w:cs="宋体"/>
                <w:i w:val="0"/>
                <w:iCs w:val="0"/>
                <w:color w:val="auto"/>
                <w:sz w:val="24"/>
                <w:szCs w:val="24"/>
                <w:highlight w:val="none"/>
                <w:u w:val="none"/>
              </w:rPr>
            </w:pPr>
          </w:p>
        </w:tc>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D9E1F2"/>
            <w:vAlign w:val="center"/>
          </w:tcPr>
          <w:p w14:paraId="0524969B">
            <w:pPr>
              <w:jc w:val="center"/>
              <w:rPr>
                <w:rFonts w:hint="eastAsia" w:ascii="宋体" w:hAnsi="宋体" w:eastAsia="宋体" w:cs="宋体"/>
                <w:i w:val="0"/>
                <w:iCs w:val="0"/>
                <w:color w:val="auto"/>
                <w:sz w:val="24"/>
                <w:szCs w:val="24"/>
                <w:highlight w:val="none"/>
                <w:u w:val="none"/>
              </w:rPr>
            </w:pPr>
          </w:p>
        </w:tc>
      </w:tr>
      <w:tr w14:paraId="60049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35D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60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采购包1：</w:t>
            </w:r>
            <w:r>
              <w:rPr>
                <w:rFonts w:hint="eastAsia" w:ascii="宋体" w:hAnsi="宋体" w:eastAsia="宋体" w:cs="宋体"/>
                <w:i w:val="0"/>
                <w:iCs w:val="0"/>
                <w:color w:val="auto"/>
                <w:kern w:val="0"/>
                <w:sz w:val="24"/>
                <w:szCs w:val="24"/>
                <w:highlight w:val="none"/>
                <w:u w:val="none"/>
                <w:lang w:val="en-US" w:eastAsia="zh-CN" w:bidi="ar"/>
              </w:rPr>
              <w:t>东阳路</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D8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E84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191353.76</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2B3F2">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84</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7C59A">
            <w:pPr>
              <w:jc w:val="center"/>
              <w:rPr>
                <w:rFonts w:hint="eastAsia" w:ascii="宋体" w:hAnsi="宋体" w:eastAsia="宋体" w:cs="宋体"/>
                <w:i w:val="0"/>
                <w:iCs w:val="0"/>
                <w:color w:val="auto"/>
                <w:sz w:val="24"/>
                <w:szCs w:val="24"/>
                <w:highlight w:val="none"/>
                <w:u w:val="none"/>
              </w:rPr>
            </w:pPr>
          </w:p>
        </w:tc>
      </w:tr>
      <w:tr w14:paraId="2E9F6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1A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57F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采购包2：</w:t>
            </w:r>
            <w:r>
              <w:rPr>
                <w:rFonts w:hint="eastAsia" w:ascii="宋体" w:hAnsi="宋体" w:eastAsia="宋体" w:cs="宋体"/>
                <w:i w:val="0"/>
                <w:iCs w:val="0"/>
                <w:color w:val="auto"/>
                <w:kern w:val="0"/>
                <w:sz w:val="24"/>
                <w:szCs w:val="24"/>
                <w:highlight w:val="none"/>
                <w:u w:val="none"/>
                <w:lang w:val="en-US" w:eastAsia="zh-CN" w:bidi="ar"/>
              </w:rPr>
              <w:t>高速公路以南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89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8C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189414.81</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445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79</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AD73">
            <w:pPr>
              <w:jc w:val="center"/>
              <w:rPr>
                <w:rFonts w:hint="eastAsia" w:ascii="宋体" w:hAnsi="宋体" w:eastAsia="宋体" w:cs="宋体"/>
                <w:i w:val="0"/>
                <w:iCs w:val="0"/>
                <w:color w:val="auto"/>
                <w:sz w:val="24"/>
                <w:szCs w:val="24"/>
                <w:highlight w:val="none"/>
                <w:u w:val="none"/>
              </w:rPr>
            </w:pPr>
          </w:p>
        </w:tc>
      </w:tr>
      <w:tr w14:paraId="777A8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DB0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928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采购包3：</w:t>
            </w:r>
            <w:r>
              <w:rPr>
                <w:rFonts w:hint="eastAsia" w:ascii="宋体" w:hAnsi="宋体" w:eastAsia="宋体" w:cs="宋体"/>
                <w:i w:val="0"/>
                <w:iCs w:val="0"/>
                <w:color w:val="auto"/>
                <w:kern w:val="0"/>
                <w:sz w:val="24"/>
                <w:szCs w:val="24"/>
                <w:highlight w:val="none"/>
                <w:u w:val="none"/>
                <w:lang w:val="en-US" w:eastAsia="zh-CN" w:bidi="ar"/>
              </w:rPr>
              <w:t>高速公路以北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3AD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C87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293223.23</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EAA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115</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232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其中苗圃92106.75m2</w:t>
            </w:r>
          </w:p>
        </w:tc>
      </w:tr>
    </w:tbl>
    <w:p w14:paraId="1C93280E">
      <w:pPr>
        <w:pStyle w:val="18"/>
        <w:rPr>
          <w:color w:val="auto"/>
          <w:highlight w:val="none"/>
        </w:rPr>
      </w:pPr>
    </w:p>
    <w:p w14:paraId="7D9B059A">
      <w:pPr>
        <w:pStyle w:val="19"/>
        <w:rPr>
          <w:rFonts w:hint="eastAsia" w:ascii="宋体" w:hAnsi="宋体" w:cs="宋体"/>
          <w:i/>
          <w:iCs/>
          <w:color w:val="auto"/>
          <w:kern w:val="0"/>
          <w:sz w:val="24"/>
          <w:szCs w:val="24"/>
          <w:highlight w:val="none"/>
          <w:u w:val="single"/>
          <w:lang w:bidi="ar"/>
        </w:rPr>
        <w:sectPr>
          <w:pgSz w:w="11907" w:h="16840"/>
          <w:pgMar w:top="1134" w:right="885" w:bottom="1021" w:left="1366" w:header="567" w:footer="794" w:gutter="0"/>
          <w:pgNumType w:fmt="decimal"/>
          <w:cols w:space="720" w:num="1"/>
          <w:titlePg/>
          <w:docGrid w:type="lines" w:linePitch="305" w:charSpace="0"/>
        </w:sectPr>
      </w:pPr>
      <w:r>
        <w:rPr>
          <w:rFonts w:hint="eastAsia" w:ascii="宋体" w:hAnsi="宋体" w:cs="宋体"/>
          <w:color w:val="auto"/>
          <w:kern w:val="0"/>
          <w:sz w:val="24"/>
          <w:szCs w:val="24"/>
          <w:highlight w:val="none"/>
          <w:lang w:bidi="ar"/>
        </w:rPr>
        <w:t>备注：</w:t>
      </w:r>
      <w:r>
        <w:rPr>
          <w:rFonts w:hint="eastAsia" w:ascii="宋体" w:hAnsi="宋体" w:cs="宋体"/>
          <w:i/>
          <w:iCs/>
          <w:color w:val="auto"/>
          <w:kern w:val="0"/>
          <w:sz w:val="24"/>
          <w:szCs w:val="24"/>
          <w:highlight w:val="none"/>
          <w:u w:val="single"/>
          <w:lang w:val="en-US" w:eastAsia="zh-CN" w:bidi="ar"/>
        </w:rPr>
        <w:t>投标报价高于最高限价的投标无效</w:t>
      </w:r>
      <w:r>
        <w:rPr>
          <w:rFonts w:hint="eastAsia" w:ascii="宋体" w:hAnsi="宋体" w:cs="宋体"/>
          <w:i/>
          <w:iCs/>
          <w:color w:val="auto"/>
          <w:kern w:val="0"/>
          <w:sz w:val="24"/>
          <w:szCs w:val="24"/>
          <w:highlight w:val="none"/>
          <w:u w:val="single"/>
          <w:lang w:bidi="ar"/>
        </w:rPr>
        <w:t>。</w:t>
      </w:r>
    </w:p>
    <w:p w14:paraId="6F2CF963">
      <w:pPr>
        <w:pStyle w:val="3"/>
        <w:rPr>
          <w:color w:val="auto"/>
          <w:highlight w:val="none"/>
        </w:rPr>
      </w:pPr>
      <w:bookmarkStart w:id="175" w:name="_Toc125029414"/>
      <w:r>
        <w:rPr>
          <w:rFonts w:hint="eastAsia"/>
          <w:color w:val="auto"/>
          <w:highlight w:val="none"/>
        </w:rPr>
        <w:t>附件2：</w:t>
      </w:r>
      <w:r>
        <w:rPr>
          <w:rFonts w:hint="eastAsia"/>
          <w:color w:val="auto"/>
          <w:highlight w:val="none"/>
          <w:lang w:eastAsia="zh-CN"/>
        </w:rPr>
        <w:t>宝应经济开发区</w:t>
      </w:r>
      <w:r>
        <w:rPr>
          <w:rFonts w:hint="eastAsia"/>
          <w:color w:val="auto"/>
          <w:highlight w:val="none"/>
        </w:rPr>
        <w:t>公共绿地养护要求</w:t>
      </w:r>
      <w:bookmarkEnd w:id="175"/>
    </w:p>
    <w:p w14:paraId="084B758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一、总体要求</w:t>
      </w:r>
    </w:p>
    <w:p w14:paraId="6FC5420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绿地养护必须由具有一定养护经验的专业队伍来承担。</w:t>
      </w:r>
    </w:p>
    <w:p w14:paraId="47B26FC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绿地养护按照《江苏省园林绿地植物技术规定（试行）</w:t>
      </w:r>
      <w:r>
        <w:rPr>
          <w:rFonts w:hint="eastAsia" w:ascii="宋体" w:hAnsi="宋体" w:cs="宋体"/>
          <w:color w:val="auto"/>
          <w:sz w:val="24"/>
          <w:szCs w:val="24"/>
          <w:highlight w:val="none"/>
          <w:lang w:eastAsia="zh-CN"/>
        </w:rPr>
        <w:t>》《宝应经济开发区</w:t>
      </w:r>
      <w:r>
        <w:rPr>
          <w:rFonts w:hint="eastAsia" w:ascii="宋体" w:hAnsi="宋体" w:cs="宋体"/>
          <w:color w:val="auto"/>
          <w:sz w:val="24"/>
          <w:szCs w:val="24"/>
          <w:highlight w:val="none"/>
        </w:rPr>
        <w:t>绿地养护质量标准》等规定执行。</w:t>
      </w:r>
    </w:p>
    <w:p w14:paraId="7581FBA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养护单位应具备专业养护管理人员和专业技术工人进行作业，施工过程中无违章操作现象，无安全事故。</w:t>
      </w:r>
    </w:p>
    <w:p w14:paraId="129C79C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养护单位所提供的植物材料、生产资料、机械设备和工具必须满足绿地养护的要求，并且对环境没有污染。</w:t>
      </w:r>
    </w:p>
    <w:p w14:paraId="7DC3B65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cs="宋体"/>
          <w:color w:val="auto"/>
          <w:sz w:val="24"/>
          <w:szCs w:val="24"/>
          <w:highlight w:val="none"/>
        </w:rPr>
        <w:t>养护后的绿地应植物生长旺盛，设施完善，环境整洁美观。</w:t>
      </w:r>
    </w:p>
    <w:p w14:paraId="4805012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二、养护要求</w:t>
      </w:r>
    </w:p>
    <w:p w14:paraId="15DD203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（一）园林植物养护</w:t>
      </w:r>
    </w:p>
    <w:p w14:paraId="36C6B5B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修剪</w:t>
      </w:r>
    </w:p>
    <w:p w14:paraId="032FC16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所有乔灌木冬季修剪在12月底前完成，春季修剪在植物生长开始前完成。</w:t>
      </w:r>
    </w:p>
    <w:p w14:paraId="6AFC4B4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园林乔木主要修剪内膛枝、徒长枝、病虫枝等，无枯枝</w:t>
      </w:r>
      <w:r>
        <w:rPr>
          <w:rFonts w:hint="eastAsia" w:ascii="宋体" w:hAnsi="宋体" w:cs="宋体"/>
          <w:color w:val="auto"/>
          <w:sz w:val="24"/>
          <w:szCs w:val="24"/>
          <w:highlight w:val="none"/>
          <w:lang w:eastAsia="zh-CN"/>
        </w:rPr>
        <w:t>危害</w:t>
      </w:r>
      <w:r>
        <w:rPr>
          <w:rFonts w:hint="eastAsia" w:ascii="宋体" w:hAnsi="宋体" w:cs="宋体"/>
          <w:color w:val="auto"/>
          <w:sz w:val="24"/>
          <w:szCs w:val="24"/>
          <w:highlight w:val="none"/>
        </w:rPr>
        <w:t>；要求</w:t>
      </w:r>
      <w:r>
        <w:rPr>
          <w:rFonts w:hint="eastAsia" w:ascii="宋体" w:hAnsi="宋体" w:cs="宋体"/>
          <w:color w:val="auto"/>
          <w:sz w:val="24"/>
          <w:szCs w:val="24"/>
          <w:highlight w:val="none"/>
          <w:lang w:eastAsia="zh-CN"/>
        </w:rPr>
        <w:t>树形</w:t>
      </w:r>
      <w:r>
        <w:rPr>
          <w:rFonts w:hint="eastAsia" w:ascii="宋体" w:hAnsi="宋体" w:cs="宋体"/>
          <w:color w:val="auto"/>
          <w:sz w:val="24"/>
          <w:szCs w:val="24"/>
          <w:highlight w:val="none"/>
        </w:rPr>
        <w:t>优美，生长季节及时剥芽（含脚芽、根部萌蘖枝等），芽长不超过20厘米。</w:t>
      </w:r>
    </w:p>
    <w:p w14:paraId="77C5BF7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花灌木秋冬季修剪要有利于短枝和花芽的形成，遵循“先上后下，先内后外，去弱留强，去老留新”的原则进行修剪，生长季节及时剥芽（含脚芽），芽长不超过20厘米。</w:t>
      </w:r>
    </w:p>
    <w:p w14:paraId="6181D34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绿篱、地被要及时修剪，促其分枝，保持全株枝叶丰满，加速覆盖。球形灌木应常年保持形态完整，色块灌木应保持一定高度，常年保持完整，曲线清晰流畅，无缺株、无空洞。</w:t>
      </w:r>
    </w:p>
    <w:p w14:paraId="757B4F9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草坪在生长季节，应采用条纹状交叉修剪方式，按三分之一原则适时进行修剪，修剪后高度宜为5－7</w:t>
      </w:r>
      <w:r>
        <w:rPr>
          <w:rFonts w:hint="eastAsia" w:ascii="宋体" w:hAnsi="宋体" w:cs="宋体"/>
          <w:color w:val="auto"/>
          <w:sz w:val="24"/>
          <w:szCs w:val="24"/>
          <w:highlight w:val="none"/>
          <w:lang w:eastAsia="zh-CN"/>
        </w:rPr>
        <w:t>厘米</w:t>
      </w:r>
      <w:r>
        <w:rPr>
          <w:rFonts w:hint="eastAsia" w:ascii="宋体" w:hAnsi="宋体" w:cs="宋体"/>
          <w:color w:val="auto"/>
          <w:sz w:val="24"/>
          <w:szCs w:val="24"/>
          <w:highlight w:val="none"/>
        </w:rPr>
        <w:t>，年修剪次数：冷季型约为25次 (12－3月份，2 次／月；春季4－6月份，3次／月；7－8月份，1次／月； 9－11月份，2次／月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，暖季型约为12次，即1次/月。</w:t>
      </w:r>
    </w:p>
    <w:p w14:paraId="5A16AC2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所有修剪剩余物要及时清理，防止滋生病虫害，保证现场整洁。</w:t>
      </w:r>
    </w:p>
    <w:p w14:paraId="1B400AD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浇水</w:t>
      </w:r>
    </w:p>
    <w:p w14:paraId="7C2213B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植物浇水应根据不同的立地条件、季节差异和生长状况及时进行，并要浇透。</w:t>
      </w:r>
    </w:p>
    <w:p w14:paraId="25E7B21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草坪、色块浇水根据每月养护要点实施。</w:t>
      </w:r>
    </w:p>
    <w:p w14:paraId="786AD24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对于名贵树木及新种植树木，视天气干旱情况和植物生长情况对树干和树体进行喷雾。</w:t>
      </w:r>
    </w:p>
    <w:p w14:paraId="3CEDB43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植物周围雨后积水应及时排除。</w:t>
      </w:r>
    </w:p>
    <w:p w14:paraId="4FF0EEF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松土、除草</w:t>
      </w:r>
    </w:p>
    <w:p w14:paraId="19DC4B1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树木根部周围的土壤要保持疏松，易板结的土壤在蒸腾旺季须经常松土，松土深度以不伤根系生长为限。（树穴大小：乔木类直径为树木胸径的8-10倍；灌木、球类直径为灌幅的1/2-2/3）</w:t>
      </w:r>
    </w:p>
    <w:p w14:paraId="2F72509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草坪内的乔灌木需做树穴且及时清除杂草。</w:t>
      </w:r>
    </w:p>
    <w:p w14:paraId="72D92E0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地被植物在未覆盖前，应及时进行松土、除草，松土除草时要防止根系和地下茎的损伤。</w:t>
      </w:r>
    </w:p>
    <w:p w14:paraId="45BA386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草坪杂草应及时连根清除，做到除早、除小、除净，草坪覆盖度不少于95％，集中空秃不大于1平方米。清除方法可采用人工除草、生物除草、机械除草和化学除草，采用化学除草剂必须慎重，事前须向分管科室或公路队汇报（经同意后才能使用除草剂），不能造成药害，严禁使用灭生性除草剂。</w:t>
      </w:r>
    </w:p>
    <w:p w14:paraId="744D3A6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病虫害防治</w:t>
      </w:r>
    </w:p>
    <w:p w14:paraId="4F29A5A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做好植物病虫害的预测、预报，及时防治、控制，用药配比正确，安全操作。发现病虫害应在2天内治理完毕，病虫害应控制</w:t>
      </w:r>
      <w:r>
        <w:rPr>
          <w:rFonts w:hint="eastAsia" w:ascii="宋体" w:hAnsi="宋体" w:cs="宋体"/>
          <w:color w:val="auto"/>
          <w:sz w:val="24"/>
          <w:szCs w:val="24"/>
          <w:highlight w:val="none"/>
          <w:lang w:eastAsia="zh-CN"/>
        </w:rPr>
        <w:t>在</w:t>
      </w:r>
      <w:r>
        <w:rPr>
          <w:rFonts w:hint="eastAsia" w:ascii="宋体" w:hAnsi="宋体" w:cs="宋体"/>
          <w:color w:val="auto"/>
          <w:sz w:val="24"/>
          <w:szCs w:val="24"/>
          <w:highlight w:val="none"/>
        </w:rPr>
        <w:t>不影响观赏效果的范围之内，其中食叶害虫危害的叶片，每株不超过5%，刺吸性害虫危害的叶片，每株不超过10%，无蛀干性害虫的活虫、活卵。用药必须符合环保要求，使用生态农药比例不少于50%。</w:t>
      </w:r>
    </w:p>
    <w:p w14:paraId="1B5F163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喷药时间宜在上午8:00—11:00或下午3:00—5:00，为防止产生抗药性，应轮流使用多种药剂。</w:t>
      </w:r>
    </w:p>
    <w:p w14:paraId="01F3A3A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草坪修剪后过1－2天，应喷洒一次常规抗菌剂防止病害发生，特别是在6－8月病害多发季节。</w:t>
      </w:r>
    </w:p>
    <w:p w14:paraId="56250D48">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cs="宋体"/>
          <w:color w:val="auto"/>
          <w:sz w:val="24"/>
          <w:szCs w:val="24"/>
          <w:highlight w:val="none"/>
        </w:rPr>
        <w:t>施肥</w:t>
      </w:r>
    </w:p>
    <w:p w14:paraId="22AC362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施肥应根据不同的树种、树龄、生长势和土壤理化性质而定。树木休眠期施基肥，生长期施追肥，花灌木应在花前、花后进行施肥。</w:t>
      </w:r>
    </w:p>
    <w:p w14:paraId="35DCAE8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各类绿地应以施有机肥为主，有机肥应腐熟后施用。应用微量元素和根外施肥技术，推广应用复合肥料和长效缓释肥料。具体可根据每月养护要点实施。</w:t>
      </w:r>
    </w:p>
    <w:p w14:paraId="4D90F27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草坪主要施肥时期在春秋季，施肥可采用撒施和根外追肥，每次修剪后需立即施肥，不发生明显的肥害现象。1－2月，1次，结合打孔施草坪专用有机肥，130g/m2·次；3－6月，1次／月，施复合肥（N∶P∶K＝10∶5∶5 ），20g/m2·次；7－8月基本不需施肥；9－10月，1次／月，施复合肥（N∶P∶K＝10∶6∶4 ），15g/m2·次；11－12月，1次，结合中耕施用复合肥（N∶P∶K＝5∶10∶5 ），15g/m2·次。二级养护可适当减少。</w:t>
      </w:r>
    </w:p>
    <w:p w14:paraId="3E43F4C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cs="宋体"/>
          <w:color w:val="auto"/>
          <w:sz w:val="24"/>
          <w:szCs w:val="24"/>
          <w:highlight w:val="none"/>
        </w:rPr>
        <w:t>保护</w:t>
      </w:r>
    </w:p>
    <w:p w14:paraId="6BDEDBC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每年的初冬，均需对行道树进行抗冻处理（根际培土、主干包扎、涂白），并在树木休眠期内，进行扶正。</w:t>
      </w:r>
    </w:p>
    <w:p w14:paraId="09FB997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台风季节，做好高大乔木抗风暴的预防工作，根据树木的实际情况，采取立支柱、绑扎、加土、扶正、疏枝等措施。一旦风暴来临，应及时检查，发现问题，妥善处理。用于支撑、固定的材料应坚固耐用美观，并采用软性材料同植物接触。</w:t>
      </w:r>
    </w:p>
    <w:p w14:paraId="65AD097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cs="宋体"/>
          <w:color w:val="auto"/>
          <w:sz w:val="24"/>
          <w:szCs w:val="24"/>
          <w:highlight w:val="none"/>
        </w:rPr>
        <w:t>补植</w:t>
      </w:r>
    </w:p>
    <w:p w14:paraId="20E379A8">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发现枯枝、死枝须24小时内处理完毕；如出现乔木死亡，及时报批、倒伐和补植，对枯死的树木应连同根部在一周内挖除，并填平挖穴，并报各队、分管科室存档，由分管科室安排补植，补植完成浇水3个月后，移交养护单位养护。</w:t>
      </w:r>
    </w:p>
    <w:p w14:paraId="1561D0F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8.</w:t>
      </w:r>
      <w:r>
        <w:rPr>
          <w:rFonts w:hint="eastAsia" w:ascii="宋体" w:hAnsi="宋体" w:cs="宋体"/>
          <w:color w:val="auto"/>
          <w:sz w:val="24"/>
          <w:szCs w:val="24"/>
          <w:highlight w:val="none"/>
        </w:rPr>
        <w:t>专项养护</w:t>
      </w:r>
    </w:p>
    <w:p w14:paraId="7AC8A6D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球根、宿根类地被植物，经2－3年生长后，根部拥挤以致影响其正常生长时，必须按不同品种的生理习性进行分株或更新移植。</w:t>
      </w:r>
    </w:p>
    <w:p w14:paraId="64010F0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水生植物类：各类水生植物生长不得超越原有生长范围，如有超出，则在分管科室或公路队的指导下进行清除；各类水生植物在冬季修剪中须进行清除，并及时清除修剪物。</w:t>
      </w:r>
    </w:p>
    <w:p w14:paraId="537F146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（二）环境卫生管理及园林设施维护</w:t>
      </w:r>
    </w:p>
    <w:p w14:paraId="57E16D3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所有园林设施（文字景墙、特色景墙、廉石苑景墙、麻石路牙、园路、座凳、花坛、花箱、土工布、挡墙、驳岸、树穴砖等等）、各类标牌等必须保持正常运转、整洁完好无缺损、无乱涂乱画。树穴砖（或盖板）无杂草杂物、安装平整，无缺失。</w:t>
      </w:r>
    </w:p>
    <w:p w14:paraId="2334E90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绿地内景观灯：发现人为破坏的要予以制止，及时报执法部门处理，同时通知市城甲方由路灯管理处负责维修。</w:t>
      </w:r>
    </w:p>
    <w:p w14:paraId="6269C69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全天候保洁。做到环境卫生整洁、美观。绿地、园路、汀步、铺装、木栈桥、雕塑、花坛、景墙、坐凳、护栏、景石、花箱、树穴套、垃圾箱、标识、标牌等外表洁净美观、无垃圾、无污物、无杂物、无烟头、无动物便溺、无乱张贴无乱悬挂、无卫生死角等现象；园路、铺装、广场无坑洼积水、积土、污渍现象；对乱扔、乱排、乱倒现象及时制止、举报、清理。排水明暗沟及时清淤。水面保持水质清澈无异味、水位正常、无漂浮物、无大面积水草。水生植物区域内无垃圾。垃圾箱外壳保持整洁，做到日产日清，不能出现垃圾满箱现象，临时垃圾堆放点必须隐蔽、无焚烧现象等。</w:t>
      </w:r>
    </w:p>
    <w:p w14:paraId="303EB62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绿色废弃物（如树枝、树叶、草屑等），重点地区随产随清，其它地区日产日清。不得堆放于绿地后侧、排水沟等引起安全隐患的地方。</w:t>
      </w:r>
    </w:p>
    <w:p w14:paraId="091EFD4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（三）绿地保护</w:t>
      </w:r>
    </w:p>
    <w:p w14:paraId="193044B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严格保护绿地。标段内需落实专人、专车全天候巡查、动态管护制度。如发现擅自移伐、乱修剪树木，擅自在绿地内搭建、开挖、占用、堆放、悬挂等占绿毁绿现象，或虽经批准但超范围、超数量、超高度等违规现象应第一时间制止，并及时上报有关行政执法部门，同时向甲方汇报备案并协助处置。</w:t>
      </w:r>
    </w:p>
    <w:p w14:paraId="1A53798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应安排专门地方用于养护工具、机械的安放，绿地中严禁停放工作人员任何车辆。</w:t>
      </w:r>
    </w:p>
    <w:p w14:paraId="794D681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绿地无扣绳晾晒、私自种菜、栽菜等现象。</w:t>
      </w:r>
    </w:p>
    <w:p w14:paraId="3CD62C48">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根据甲方要求，及时清理和恢复被损、被占绿地。</w:t>
      </w:r>
    </w:p>
    <w:p w14:paraId="31E95F2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cs="宋体"/>
          <w:color w:val="auto"/>
          <w:sz w:val="24"/>
          <w:szCs w:val="24"/>
          <w:highlight w:val="none"/>
        </w:rPr>
        <w:t>绿地中应保证一定的安全，无重大破坏和偷盗案件，如遇重大事件未及时上报而造成的损失由养护单位承担。</w:t>
      </w:r>
    </w:p>
    <w:p w14:paraId="75F9347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（四）秩序管理</w:t>
      </w:r>
    </w:p>
    <w:p w14:paraId="102A12F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维护秩序：对不文明行为进行劝告。</w:t>
      </w:r>
    </w:p>
    <w:p w14:paraId="31A87A1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车辆停放在指定位置、整齐有序。</w:t>
      </w:r>
    </w:p>
    <w:p w14:paraId="7772AE2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（五）应急抢险</w:t>
      </w:r>
    </w:p>
    <w:p w14:paraId="5388A23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建立应急抢险网络，做好各类突发事件应对预案。做好交通事故、110联动报警和其他不可抗拒因素引起的树木倾斜、伤人、伤物、碰线等应急处置工作以及台风、暴雪、暴雨等灾害性天气的抢险和防范工作。一旦发生，</w:t>
      </w:r>
      <w:r>
        <w:rPr>
          <w:rFonts w:hint="eastAsia" w:ascii="宋体" w:hAnsi="宋体" w:cs="宋体"/>
          <w:color w:val="auto"/>
          <w:sz w:val="24"/>
          <w:szCs w:val="24"/>
          <w:highlight w:val="none"/>
          <w:lang w:eastAsia="zh-CN"/>
        </w:rPr>
        <w:t>接到</w:t>
      </w:r>
      <w:r>
        <w:rPr>
          <w:rFonts w:hint="eastAsia" w:ascii="宋体" w:hAnsi="宋体" w:cs="宋体"/>
          <w:color w:val="auto"/>
          <w:sz w:val="24"/>
          <w:szCs w:val="24"/>
          <w:highlight w:val="none"/>
        </w:rPr>
        <w:t>甲方或有关方面通知后，应迅速组织力量</w:t>
      </w:r>
      <w:r>
        <w:rPr>
          <w:rFonts w:hint="eastAsia" w:ascii="宋体" w:hAnsi="宋体" w:cs="宋体"/>
          <w:color w:val="auto"/>
          <w:sz w:val="24"/>
          <w:szCs w:val="24"/>
          <w:highlight w:val="none"/>
          <w:lang w:eastAsia="zh-CN"/>
        </w:rPr>
        <w:t>，在</w:t>
      </w:r>
      <w:r>
        <w:rPr>
          <w:rFonts w:hint="eastAsia" w:ascii="宋体" w:hAnsi="宋体" w:cs="宋体"/>
          <w:color w:val="auto"/>
          <w:sz w:val="24"/>
          <w:szCs w:val="24"/>
          <w:highlight w:val="none"/>
        </w:rPr>
        <w:t>半小时内到达现场及时处置，并及时向有关部门回复处理情况。</w:t>
      </w:r>
    </w:p>
    <w:p w14:paraId="314CD57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（六）数字化案件处置</w:t>
      </w:r>
    </w:p>
    <w:p w14:paraId="2D19513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及时处置政府、城管、城建热线等数字化案件，部门交办、政协、人大提案和群众来电来访等案件，按甲方要求在规定时间内回复处置结果。</w:t>
      </w:r>
    </w:p>
    <w:p w14:paraId="1F03ADB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绿地养护平台考核，按甲方要求在规定时间内回复处置结果。</w:t>
      </w:r>
    </w:p>
    <w:p w14:paraId="27F20DD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绿化微信群考核。</w:t>
      </w:r>
    </w:p>
    <w:p w14:paraId="340F734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（七）安全生产、综合治理及其它</w:t>
      </w:r>
    </w:p>
    <w:p w14:paraId="27F0734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安全生产、综合治理的规章制度要完善，组织网络要健全，台账要齐全。</w:t>
      </w:r>
    </w:p>
    <w:p w14:paraId="0C4D99D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对影响秩序或存在安全隐患的潜在问题要采取有效措施防控，及时处置有安全隐患、妨碍通行的树木。</w:t>
      </w:r>
    </w:p>
    <w:p w14:paraId="563C18A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采取有效防火措施，按要求配备消防设施，杜绝火灾事故发生。</w:t>
      </w:r>
    </w:p>
    <w:p w14:paraId="178327C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设立管护公示牌，公示内容、规格。材质、安装点等必须报甲方审批。</w:t>
      </w:r>
    </w:p>
    <w:p w14:paraId="4A5433C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cs="宋体"/>
          <w:color w:val="auto"/>
          <w:sz w:val="24"/>
          <w:szCs w:val="24"/>
          <w:highlight w:val="none"/>
        </w:rPr>
        <w:t>标段内的养护管理及作业人员着装必须统一、醒目（工作服印有养护单位名称，作业人员必须</w:t>
      </w:r>
      <w:r>
        <w:rPr>
          <w:rFonts w:hint="eastAsia" w:ascii="宋体" w:hAnsi="宋体" w:cs="宋体"/>
          <w:color w:val="auto"/>
          <w:sz w:val="24"/>
          <w:szCs w:val="24"/>
          <w:highlight w:val="none"/>
          <w:lang w:eastAsia="zh-CN"/>
        </w:rPr>
        <w:t>穿戴</w:t>
      </w:r>
      <w:r>
        <w:rPr>
          <w:rFonts w:hint="eastAsia" w:ascii="宋体" w:hAnsi="宋体" w:cs="宋体"/>
          <w:color w:val="auto"/>
          <w:sz w:val="24"/>
          <w:szCs w:val="24"/>
          <w:highlight w:val="none"/>
        </w:rPr>
        <w:t>有反光条的工作服）。全日保洁人员（尤其是定点保洁地段）、专职养护人员（挂牌上岗）不能脱岗。作业中安全责任概由管护方自行负责。</w:t>
      </w:r>
    </w:p>
    <w:p w14:paraId="7307E29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cs="宋体"/>
          <w:color w:val="auto"/>
          <w:sz w:val="24"/>
          <w:szCs w:val="24"/>
          <w:highlight w:val="none"/>
        </w:rPr>
        <w:t>建立真实、全面、完整、系统的台账资料。如：绿地养护（病虫防治、黑麦草播种、</w:t>
      </w:r>
      <w:r>
        <w:rPr>
          <w:rFonts w:hint="eastAsia" w:ascii="宋体" w:hAnsi="宋体" w:cs="宋体"/>
          <w:color w:val="auto"/>
          <w:sz w:val="24"/>
          <w:szCs w:val="24"/>
          <w:highlight w:val="none"/>
          <w:lang w:eastAsia="zh-CN"/>
        </w:rPr>
        <w:t>一年</w:t>
      </w:r>
      <w:r>
        <w:rPr>
          <w:rFonts w:hint="eastAsia" w:ascii="宋体" w:hAnsi="宋体" w:cs="宋体"/>
          <w:color w:val="auto"/>
          <w:sz w:val="24"/>
          <w:szCs w:val="24"/>
          <w:highlight w:val="none"/>
        </w:rPr>
        <w:t>生草花播种、球根花卉种植、修剪、涂白、切边、补植、施肥、抗旱排涝、防寒等）、养护量统计（含增减）、数字化城管案例处置、雕塑、园林设施运行与维护、来电来访、应急抢险、安全生产、环境卫生管理等专类台账。</w:t>
      </w:r>
    </w:p>
    <w:p w14:paraId="4C1E799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cs="宋体"/>
          <w:color w:val="auto"/>
          <w:sz w:val="24"/>
          <w:szCs w:val="24"/>
          <w:highlight w:val="none"/>
        </w:rPr>
        <w:t>每月25日前报送本月养护总结及下月计划。</w:t>
      </w:r>
    </w:p>
    <w:p w14:paraId="4F9DB4C7">
      <w:pPr>
        <w:spacing w:line="360" w:lineRule="auto"/>
        <w:rPr>
          <w:color w:val="auto"/>
          <w:highlight w:val="none"/>
        </w:rPr>
      </w:pPr>
      <w:r>
        <w:rPr>
          <w:rFonts w:hint="eastAsia" w:ascii="宋体" w:hAnsi="宋体" w:cs="宋体"/>
          <w:color w:val="auto"/>
          <w:sz w:val="24"/>
          <w:szCs w:val="24"/>
          <w:highlight w:val="none"/>
          <w:lang w:eastAsia="zh-CN"/>
        </w:rPr>
        <w:t>8.</w:t>
      </w:r>
      <w:r>
        <w:rPr>
          <w:rFonts w:hint="eastAsia" w:ascii="宋体" w:hAnsi="宋体" w:cs="宋体"/>
          <w:color w:val="auto"/>
          <w:sz w:val="24"/>
          <w:szCs w:val="24"/>
          <w:highlight w:val="none"/>
        </w:rPr>
        <w:t>准时参加各类养护会议、培训、检查、考察活动。各标段项目负责人保持24小时通信畅通。</w:t>
      </w:r>
    </w:p>
    <w:p w14:paraId="589E5F7F">
      <w:pPr>
        <w:rPr>
          <w:color w:val="auto"/>
          <w:highlight w:val="none"/>
        </w:rPr>
      </w:pPr>
    </w:p>
    <w:p w14:paraId="630A598C">
      <w:pPr>
        <w:pStyle w:val="19"/>
        <w:rPr>
          <w:color w:val="auto"/>
          <w:highlight w:val="none"/>
        </w:rPr>
        <w:sectPr>
          <w:pgSz w:w="11906" w:h="16838"/>
          <w:pgMar w:top="1440" w:right="1080" w:bottom="1440" w:left="1080" w:header="851" w:footer="992" w:gutter="0"/>
          <w:pgNumType w:fmt="decimal"/>
          <w:cols w:space="720" w:num="1"/>
          <w:docGrid w:type="lines" w:linePitch="312" w:charSpace="0"/>
        </w:sectPr>
      </w:pPr>
    </w:p>
    <w:p w14:paraId="1660891B">
      <w:pPr>
        <w:pStyle w:val="3"/>
        <w:rPr>
          <w:rFonts w:hint="eastAsia"/>
          <w:color w:val="auto"/>
          <w:highlight w:val="none"/>
        </w:rPr>
      </w:pPr>
      <w:bookmarkStart w:id="176" w:name="_Toc125029415"/>
      <w:r>
        <w:rPr>
          <w:rFonts w:hint="eastAsia"/>
          <w:color w:val="auto"/>
          <w:highlight w:val="none"/>
        </w:rPr>
        <w:t>附件3：</w:t>
      </w:r>
      <w:r>
        <w:rPr>
          <w:rFonts w:hint="eastAsia"/>
          <w:color w:val="auto"/>
          <w:highlight w:val="none"/>
          <w:lang w:eastAsia="zh-CN"/>
        </w:rPr>
        <w:t>宝应经济开发区</w:t>
      </w:r>
      <w:r>
        <w:rPr>
          <w:rFonts w:hint="eastAsia"/>
          <w:color w:val="auto"/>
          <w:highlight w:val="none"/>
        </w:rPr>
        <w:t>绿地养护管理检查考核办法</w:t>
      </w:r>
      <w:bookmarkEnd w:id="176"/>
    </w:p>
    <w:p w14:paraId="696BFBB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为促进</w:t>
      </w:r>
      <w:r>
        <w:rPr>
          <w:rFonts w:hint="eastAsia" w:ascii="宋体" w:hAnsi="宋体"/>
          <w:color w:val="auto"/>
          <w:sz w:val="24"/>
          <w:szCs w:val="24"/>
          <w:highlight w:val="none"/>
          <w:lang w:eastAsia="zh-CN"/>
        </w:rPr>
        <w:t>我区</w:t>
      </w:r>
      <w:r>
        <w:rPr>
          <w:rFonts w:hint="eastAsia" w:ascii="宋体" w:hAnsi="宋体"/>
          <w:color w:val="auto"/>
          <w:sz w:val="24"/>
          <w:szCs w:val="24"/>
          <w:highlight w:val="none"/>
        </w:rPr>
        <w:t>公共绿地养护管理工作规范化、制度化，进一步强化考核工作，提高养护管理水平，根据相关规定，</w:t>
      </w:r>
      <w:r>
        <w:rPr>
          <w:rFonts w:hint="eastAsia" w:ascii="宋体" w:hAnsi="宋体"/>
          <w:color w:val="auto"/>
          <w:sz w:val="24"/>
          <w:szCs w:val="24"/>
          <w:highlight w:val="none"/>
          <w:lang w:eastAsia="zh-CN"/>
        </w:rPr>
        <w:t>制定</w:t>
      </w:r>
      <w:r>
        <w:rPr>
          <w:rFonts w:hint="eastAsia" w:ascii="宋体" w:hAnsi="宋体"/>
          <w:color w:val="auto"/>
          <w:sz w:val="24"/>
          <w:szCs w:val="24"/>
          <w:highlight w:val="none"/>
        </w:rPr>
        <w:t>本办法。</w:t>
      </w:r>
    </w:p>
    <w:p w14:paraId="16FF524D">
      <w:pPr>
        <w:numPr>
          <w:ilvl w:val="0"/>
          <w:numId w:val="4"/>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考核范围</w:t>
      </w:r>
    </w:p>
    <w:p w14:paraId="5964502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所有</w:t>
      </w:r>
      <w:r>
        <w:rPr>
          <w:rFonts w:hint="eastAsia" w:ascii="宋体" w:hAnsi="宋体"/>
          <w:color w:val="auto"/>
          <w:sz w:val="24"/>
          <w:szCs w:val="24"/>
          <w:highlight w:val="none"/>
          <w:lang w:eastAsia="zh-CN"/>
        </w:rPr>
        <w:t>宝应经济开发区</w:t>
      </w:r>
      <w:r>
        <w:rPr>
          <w:rFonts w:hint="eastAsia" w:ascii="宋体" w:hAnsi="宋体"/>
          <w:color w:val="auto"/>
          <w:sz w:val="24"/>
          <w:szCs w:val="24"/>
          <w:highlight w:val="none"/>
        </w:rPr>
        <w:t>管养绿地的养护管理工作适用本办法进行考核。</w:t>
      </w:r>
    </w:p>
    <w:p w14:paraId="65C04EB3">
      <w:pPr>
        <w:numPr>
          <w:ilvl w:val="0"/>
          <w:numId w:val="4"/>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考核办法</w:t>
      </w:r>
    </w:p>
    <w:p w14:paraId="2F262CB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按照《</w:t>
      </w:r>
      <w:r>
        <w:rPr>
          <w:rFonts w:hint="eastAsia" w:ascii="宋体" w:hAnsi="宋体"/>
          <w:color w:val="auto"/>
          <w:sz w:val="24"/>
          <w:szCs w:val="24"/>
          <w:highlight w:val="none"/>
          <w:lang w:eastAsia="zh-CN"/>
        </w:rPr>
        <w:t>宝应经济开发区</w:t>
      </w:r>
      <w:r>
        <w:rPr>
          <w:rFonts w:hint="eastAsia" w:ascii="宋体" w:hAnsi="宋体"/>
          <w:color w:val="auto"/>
          <w:sz w:val="24"/>
          <w:szCs w:val="24"/>
          <w:highlight w:val="none"/>
        </w:rPr>
        <w:t>绿地养护管理检查考核细则》，严格、科学考核评分，确保考核工作公平、公正、透明、扎实有效。</w:t>
      </w:r>
    </w:p>
    <w:p w14:paraId="19F469A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由</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主持考核工作，</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每个季度组织一次季度考核，以抽查为主，对镇管绿地进行考核打分。</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每一季度召开养护工作例会，结合月度考核结果，通报本季度养护管理情况，并以书面形式将考核结果通知养护单位。</w:t>
      </w:r>
    </w:p>
    <w:p w14:paraId="57DCA90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负责日常检查和月度考核工作，采用以不定期为主、巡查与专项检查相结合的方式对</w:t>
      </w:r>
      <w:r>
        <w:rPr>
          <w:rFonts w:hint="eastAsia" w:ascii="宋体" w:hAnsi="宋体"/>
          <w:color w:val="auto"/>
          <w:sz w:val="24"/>
          <w:szCs w:val="24"/>
          <w:highlight w:val="none"/>
          <w:lang w:val="en-US" w:eastAsia="zh-CN"/>
        </w:rPr>
        <w:t>开发区</w:t>
      </w:r>
      <w:r>
        <w:rPr>
          <w:rFonts w:hint="eastAsia" w:ascii="宋体" w:hAnsi="宋体"/>
          <w:color w:val="auto"/>
          <w:sz w:val="24"/>
          <w:szCs w:val="24"/>
          <w:highlight w:val="none"/>
        </w:rPr>
        <w:t>绿地进行全覆盖检查，并进行打分。考核结果于当月25-30日报</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负责通报本月绿地养护管理情况，并在微信管理群中将结果通知养护单位。</w:t>
      </w:r>
    </w:p>
    <w:p w14:paraId="1C17E171">
      <w:pPr>
        <w:numPr>
          <w:ilvl w:val="0"/>
          <w:numId w:val="4"/>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考核评分</w:t>
      </w:r>
    </w:p>
    <w:p w14:paraId="7081027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考核项目</w:t>
      </w:r>
      <w:r>
        <w:rPr>
          <w:rFonts w:hint="eastAsia" w:ascii="宋体" w:hAnsi="宋体"/>
          <w:color w:val="auto"/>
          <w:sz w:val="24"/>
          <w:szCs w:val="24"/>
          <w:highlight w:val="none"/>
          <w:lang w:eastAsia="zh-CN"/>
        </w:rPr>
        <w:t>分为</w:t>
      </w:r>
      <w:r>
        <w:rPr>
          <w:rFonts w:hint="eastAsia" w:ascii="宋体" w:hAnsi="宋体"/>
          <w:color w:val="auto"/>
          <w:sz w:val="24"/>
          <w:szCs w:val="24"/>
          <w:highlight w:val="none"/>
        </w:rPr>
        <w:t>6项，即植物养护技术、养护人员、绿地保洁、绿地保护、养护档案以及</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养护要求。</w:t>
      </w:r>
    </w:p>
    <w:p w14:paraId="30DD114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rPr>
        <w:t>考核实行百分制，考核项目所占比分分别为：植物养护技术55分、养护人员10分、绿地保洁15分、绿地保护5分、养护档案5分、</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养护要求10分（秩序管理、应急抢险、数字化案件、安全生产综合治理、媒体曝光、绿化养护平台、微信群等）。</w:t>
      </w:r>
    </w:p>
    <w:p w14:paraId="6E66F3F9">
      <w:pPr>
        <w:spacing w:line="360" w:lineRule="auto"/>
        <w:ind w:left="560"/>
        <w:rPr>
          <w:rFonts w:hint="eastAsia" w:ascii="宋体" w:hAnsi="宋体"/>
          <w:color w:val="auto"/>
          <w:sz w:val="24"/>
          <w:szCs w:val="24"/>
          <w:highlight w:val="none"/>
        </w:rPr>
      </w:pPr>
      <w:r>
        <w:rPr>
          <w:rFonts w:hint="eastAsia" w:ascii="宋体" w:hAnsi="宋体"/>
          <w:color w:val="auto"/>
          <w:sz w:val="24"/>
          <w:szCs w:val="24"/>
          <w:highlight w:val="none"/>
          <w:lang w:eastAsia="zh-CN"/>
        </w:rPr>
        <w:t>2.</w:t>
      </w:r>
      <w:r>
        <w:rPr>
          <w:rFonts w:hint="eastAsia" w:ascii="宋体" w:hAnsi="宋体"/>
          <w:color w:val="auto"/>
          <w:sz w:val="24"/>
          <w:szCs w:val="24"/>
          <w:highlight w:val="none"/>
        </w:rPr>
        <w:t>直接扣分类</w:t>
      </w:r>
    </w:p>
    <w:p w14:paraId="4C6AC11E">
      <w:pPr>
        <w:spacing w:line="360" w:lineRule="auto"/>
        <w:ind w:left="560"/>
        <w:rPr>
          <w:rFonts w:hint="eastAsia" w:ascii="宋体" w:hAnsi="宋体"/>
          <w:color w:val="auto"/>
          <w:sz w:val="24"/>
          <w:szCs w:val="24"/>
          <w:highlight w:val="none"/>
        </w:rPr>
      </w:pPr>
      <w:r>
        <w:rPr>
          <w:rFonts w:hint="eastAsia" w:ascii="宋体" w:hAnsi="宋体"/>
          <w:color w:val="auto"/>
          <w:sz w:val="24"/>
          <w:szCs w:val="24"/>
          <w:highlight w:val="none"/>
        </w:rPr>
        <w:t>（1）由市绿委办考核发现养护问题扣分的，一处扣2分。</w:t>
      </w:r>
    </w:p>
    <w:p w14:paraId="1684E21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（2）项目负责人应按时参加由</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召集的季度养护考核、季度工作例会及其他临时通知的须由项目负责人参加的检查、会议，缺席一次扣2分，未请假擅自缺席的一次扣4分，迟到一次扣0.5分。</w:t>
      </w:r>
    </w:p>
    <w:p w14:paraId="7F162A3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（3）对临时组织抢险不服从或组织不力的或未及时</w:t>
      </w:r>
      <w:r>
        <w:rPr>
          <w:rFonts w:hint="eastAsia" w:ascii="宋体" w:hAnsi="宋体"/>
          <w:color w:val="auto"/>
          <w:sz w:val="24"/>
          <w:szCs w:val="24"/>
          <w:highlight w:val="none"/>
          <w:lang w:eastAsia="zh-CN"/>
        </w:rPr>
        <w:t>响应</w:t>
      </w:r>
      <w:r>
        <w:rPr>
          <w:rFonts w:hint="eastAsia" w:ascii="宋体" w:hAnsi="宋体"/>
          <w:color w:val="auto"/>
          <w:sz w:val="24"/>
          <w:szCs w:val="24"/>
          <w:highlight w:val="none"/>
        </w:rPr>
        <w:t>110联动，一次扣4分。</w:t>
      </w:r>
    </w:p>
    <w:p w14:paraId="728E522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3.</w:t>
      </w:r>
      <w:r>
        <w:rPr>
          <w:rFonts w:hint="eastAsia" w:ascii="宋体" w:hAnsi="宋体"/>
          <w:color w:val="auto"/>
          <w:sz w:val="24"/>
          <w:szCs w:val="24"/>
          <w:highlight w:val="none"/>
        </w:rPr>
        <w:t>加分类</w:t>
      </w:r>
    </w:p>
    <w:p w14:paraId="7ED83D2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（1）台风暴雨等天气应急处理及时加2分；</w:t>
      </w:r>
    </w:p>
    <w:p w14:paraId="2731A0A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（2）配合文明城市创建及相关环境整治检查加2分；</w:t>
      </w:r>
    </w:p>
    <w:p w14:paraId="0D02A35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（3）全年安全措施到位，未发生安全事故加2分。</w:t>
      </w:r>
    </w:p>
    <w:p w14:paraId="5F13825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四、考核评分：</w:t>
      </w:r>
    </w:p>
    <w:p w14:paraId="1A21744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（一）考核人员依据绿化养护合同和《</w:t>
      </w:r>
      <w:r>
        <w:rPr>
          <w:rFonts w:hint="eastAsia" w:ascii="宋体" w:hAnsi="宋体"/>
          <w:color w:val="auto"/>
          <w:sz w:val="24"/>
          <w:szCs w:val="24"/>
          <w:highlight w:val="none"/>
          <w:lang w:eastAsia="zh-CN"/>
        </w:rPr>
        <w:t>宝应经济开发区</w:t>
      </w:r>
      <w:r>
        <w:rPr>
          <w:rFonts w:hint="eastAsia" w:ascii="宋体" w:hAnsi="宋体"/>
          <w:color w:val="auto"/>
          <w:sz w:val="24"/>
          <w:szCs w:val="24"/>
          <w:highlight w:val="none"/>
        </w:rPr>
        <w:t>绿地养护管理考核表》中的考核内容、扣分依据等进行考核评分；</w:t>
      </w:r>
    </w:p>
    <w:p w14:paraId="5F9A975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（二）养护经费与</w:t>
      </w:r>
      <w:r>
        <w:rPr>
          <w:rFonts w:hint="eastAsia" w:ascii="宋体" w:hAnsi="宋体"/>
          <w:color w:val="auto"/>
          <w:sz w:val="24"/>
          <w:szCs w:val="24"/>
          <w:highlight w:val="none"/>
          <w:lang w:val="en-US" w:eastAsia="zh-CN"/>
        </w:rPr>
        <w:t>季</w:t>
      </w:r>
      <w:r>
        <w:rPr>
          <w:rFonts w:hint="eastAsia" w:ascii="宋体" w:hAnsi="宋体"/>
          <w:color w:val="auto"/>
          <w:sz w:val="24"/>
          <w:szCs w:val="24"/>
          <w:highlight w:val="none"/>
        </w:rPr>
        <w:t>度考核分数挂钩，经费计算公式以合同为准；</w:t>
      </w:r>
    </w:p>
    <w:p w14:paraId="7A565C3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（三）合同期内连续两</w:t>
      </w:r>
      <w:r>
        <w:rPr>
          <w:rFonts w:hint="eastAsia" w:ascii="宋体" w:hAnsi="宋体"/>
          <w:color w:val="auto"/>
          <w:sz w:val="24"/>
          <w:szCs w:val="24"/>
          <w:highlight w:val="none"/>
          <w:lang w:val="en-US" w:eastAsia="zh-CN"/>
        </w:rPr>
        <w:t>个月</w:t>
      </w:r>
      <w:r>
        <w:rPr>
          <w:rFonts w:hint="eastAsia" w:ascii="宋体" w:hAnsi="宋体"/>
          <w:color w:val="auto"/>
          <w:sz w:val="24"/>
          <w:szCs w:val="24"/>
          <w:highlight w:val="none"/>
        </w:rPr>
        <w:t>考核低于</w:t>
      </w:r>
      <w:r>
        <w:rPr>
          <w:rFonts w:hint="eastAsia" w:ascii="宋体" w:hAnsi="宋体"/>
          <w:color w:val="auto"/>
          <w:sz w:val="24"/>
          <w:szCs w:val="24"/>
          <w:highlight w:val="none"/>
          <w:lang w:val="en-US" w:eastAsia="zh-CN"/>
        </w:rPr>
        <w:t>75</w:t>
      </w:r>
      <w:r>
        <w:rPr>
          <w:rFonts w:hint="eastAsia" w:ascii="宋体" w:hAnsi="宋体"/>
          <w:color w:val="auto"/>
          <w:sz w:val="24"/>
          <w:szCs w:val="24"/>
          <w:highlight w:val="none"/>
        </w:rPr>
        <w:t>分，或合同期内累计三</w:t>
      </w:r>
      <w:r>
        <w:rPr>
          <w:rFonts w:hint="eastAsia" w:ascii="宋体" w:hAnsi="宋体"/>
          <w:color w:val="auto"/>
          <w:sz w:val="24"/>
          <w:szCs w:val="24"/>
          <w:highlight w:val="none"/>
          <w:lang w:val="en-US" w:eastAsia="zh-CN"/>
        </w:rPr>
        <w:t>个月</w:t>
      </w:r>
      <w:r>
        <w:rPr>
          <w:rFonts w:hint="eastAsia" w:ascii="宋体" w:hAnsi="宋体"/>
          <w:color w:val="auto"/>
          <w:sz w:val="24"/>
          <w:szCs w:val="24"/>
          <w:highlight w:val="none"/>
        </w:rPr>
        <w:t>考核低于</w:t>
      </w:r>
      <w:r>
        <w:rPr>
          <w:rFonts w:hint="eastAsia" w:ascii="宋体" w:hAnsi="宋体"/>
          <w:color w:val="auto"/>
          <w:sz w:val="24"/>
          <w:szCs w:val="24"/>
          <w:highlight w:val="none"/>
          <w:lang w:val="en-US" w:eastAsia="zh-CN"/>
        </w:rPr>
        <w:t>75</w:t>
      </w:r>
      <w:r>
        <w:rPr>
          <w:rFonts w:hint="eastAsia" w:ascii="宋体" w:hAnsi="宋体"/>
          <w:color w:val="auto"/>
          <w:sz w:val="24"/>
          <w:szCs w:val="24"/>
          <w:highlight w:val="none"/>
        </w:rPr>
        <w:t>分，则甲方有权解除合同。</w:t>
      </w:r>
    </w:p>
    <w:p w14:paraId="7CC4FC49">
      <w:pPr>
        <w:spacing w:line="360" w:lineRule="auto"/>
        <w:rPr>
          <w:rFonts w:hint="eastAsia"/>
          <w:color w:val="auto"/>
          <w:sz w:val="24"/>
          <w:szCs w:val="24"/>
          <w:highlight w:val="none"/>
        </w:rPr>
      </w:pPr>
      <w:r>
        <w:rPr>
          <w:rFonts w:hint="eastAsia"/>
          <w:color w:val="auto"/>
          <w:sz w:val="24"/>
          <w:szCs w:val="24"/>
          <w:highlight w:val="none"/>
        </w:rPr>
        <w:t xml:space="preserve">                                       </w:t>
      </w:r>
    </w:p>
    <w:p w14:paraId="40E78AE2">
      <w:pPr>
        <w:spacing w:line="500" w:lineRule="exact"/>
        <w:rPr>
          <w:rFonts w:hint="eastAsia"/>
          <w:color w:val="auto"/>
          <w:szCs w:val="28"/>
          <w:highlight w:val="none"/>
        </w:rPr>
      </w:pPr>
      <w:r>
        <w:rPr>
          <w:rFonts w:hint="eastAsia"/>
          <w:color w:val="auto"/>
          <w:szCs w:val="28"/>
          <w:highlight w:val="none"/>
        </w:rPr>
        <w:t xml:space="preserve">                                            </w:t>
      </w:r>
    </w:p>
    <w:p w14:paraId="52DF601F">
      <w:pPr>
        <w:pStyle w:val="19"/>
        <w:rPr>
          <w:color w:val="auto"/>
          <w:highlight w:val="none"/>
        </w:rPr>
        <w:sectPr>
          <w:pgSz w:w="11906" w:h="16838"/>
          <w:pgMar w:top="1440" w:right="1800" w:bottom="1440" w:left="1800" w:header="851" w:footer="992" w:gutter="0"/>
          <w:pgNumType w:fmt="decimal"/>
          <w:cols w:space="720" w:num="1"/>
          <w:docGrid w:type="lines" w:linePitch="312" w:charSpace="0"/>
        </w:sectPr>
      </w:pPr>
    </w:p>
    <w:p w14:paraId="102EF9A5">
      <w:pPr>
        <w:pStyle w:val="3"/>
        <w:rPr>
          <w:rFonts w:hint="eastAsia"/>
          <w:color w:val="auto"/>
          <w:highlight w:val="none"/>
        </w:rPr>
      </w:pPr>
      <w:bookmarkStart w:id="177" w:name="_Toc125029416"/>
      <w:r>
        <w:rPr>
          <w:rFonts w:hint="eastAsia"/>
          <w:color w:val="auto"/>
          <w:highlight w:val="none"/>
        </w:rPr>
        <w:t>附件4：</w:t>
      </w:r>
      <w:r>
        <w:rPr>
          <w:rFonts w:hint="eastAsia"/>
          <w:color w:val="auto"/>
          <w:highlight w:val="none"/>
          <w:lang w:eastAsia="zh-CN"/>
        </w:rPr>
        <w:t>宝应经济开发区</w:t>
      </w:r>
      <w:r>
        <w:rPr>
          <w:rFonts w:hint="eastAsia"/>
          <w:color w:val="auto"/>
          <w:highlight w:val="none"/>
        </w:rPr>
        <w:t>绿地养护管理检查考核细则</w:t>
      </w:r>
      <w:bookmarkEnd w:id="177"/>
    </w:p>
    <w:p w14:paraId="0EDAB577">
      <w:pPr>
        <w:spacing w:line="360" w:lineRule="auto"/>
        <w:ind w:firstLine="480"/>
        <w:rPr>
          <w:rFonts w:ascii="宋体" w:hAnsi="宋体"/>
          <w:color w:val="auto"/>
          <w:sz w:val="24"/>
          <w:szCs w:val="24"/>
          <w:highlight w:val="none"/>
        </w:rPr>
      </w:pPr>
      <w:r>
        <w:rPr>
          <w:rFonts w:ascii="宋体" w:hAnsi="宋体"/>
          <w:color w:val="auto"/>
          <w:sz w:val="24"/>
          <w:szCs w:val="24"/>
          <w:highlight w:val="none"/>
        </w:rPr>
        <w:t>一、养护技术考核</w:t>
      </w:r>
    </w:p>
    <w:p w14:paraId="7D803E0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1.</w:t>
      </w:r>
      <w:r>
        <w:rPr>
          <w:rFonts w:ascii="宋体" w:hAnsi="宋体"/>
          <w:color w:val="auto"/>
          <w:sz w:val="24"/>
          <w:szCs w:val="24"/>
          <w:highlight w:val="none"/>
        </w:rPr>
        <w:t>按照要求</w:t>
      </w:r>
      <w:r>
        <w:rPr>
          <w:rFonts w:hint="eastAsia" w:ascii="宋体" w:hAnsi="宋体"/>
          <w:color w:val="auto"/>
          <w:sz w:val="24"/>
          <w:szCs w:val="24"/>
          <w:highlight w:val="none"/>
        </w:rPr>
        <w:t>春夏秋冬季节对</w:t>
      </w:r>
      <w:r>
        <w:rPr>
          <w:rFonts w:ascii="宋体" w:hAnsi="宋体"/>
          <w:color w:val="auto"/>
          <w:sz w:val="24"/>
          <w:szCs w:val="24"/>
          <w:highlight w:val="none"/>
        </w:rPr>
        <w:t>不同植物特性进行修剪</w:t>
      </w:r>
      <w:r>
        <w:rPr>
          <w:rFonts w:hint="eastAsia" w:ascii="宋体" w:hAnsi="宋体"/>
          <w:color w:val="auto"/>
          <w:sz w:val="24"/>
          <w:szCs w:val="24"/>
          <w:highlight w:val="none"/>
        </w:rPr>
        <w:t>、整枝</w:t>
      </w:r>
      <w:r>
        <w:rPr>
          <w:rFonts w:ascii="宋体" w:hAnsi="宋体"/>
          <w:color w:val="auto"/>
          <w:sz w:val="24"/>
          <w:szCs w:val="24"/>
          <w:highlight w:val="none"/>
        </w:rPr>
        <w:t>，未及时抹芽，</w:t>
      </w:r>
      <w:r>
        <w:rPr>
          <w:rFonts w:hint="eastAsia" w:ascii="宋体" w:hAnsi="宋体"/>
          <w:color w:val="auto"/>
          <w:sz w:val="24"/>
          <w:szCs w:val="24"/>
          <w:highlight w:val="none"/>
        </w:rPr>
        <w:t>芽体长度超过20</w:t>
      </w:r>
      <w:r>
        <w:rPr>
          <w:rFonts w:ascii="宋体" w:hAnsi="宋体"/>
          <w:color w:val="auto"/>
          <w:sz w:val="24"/>
          <w:szCs w:val="24"/>
          <w:highlight w:val="none"/>
        </w:rPr>
        <w:t>cm</w:t>
      </w:r>
      <w:r>
        <w:rPr>
          <w:rFonts w:hint="eastAsia" w:ascii="宋体" w:hAnsi="宋体"/>
          <w:color w:val="auto"/>
          <w:sz w:val="24"/>
          <w:szCs w:val="24"/>
          <w:highlight w:val="none"/>
        </w:rPr>
        <w:t>的，</w:t>
      </w:r>
      <w:r>
        <w:rPr>
          <w:rFonts w:ascii="宋体" w:hAnsi="宋体"/>
          <w:color w:val="auto"/>
          <w:sz w:val="24"/>
          <w:szCs w:val="24"/>
          <w:highlight w:val="none"/>
        </w:rPr>
        <w:t>或单一色块枝条10%的面积超过</w:t>
      </w:r>
      <w:r>
        <w:rPr>
          <w:rFonts w:hint="eastAsia" w:ascii="宋体" w:hAnsi="宋体"/>
          <w:color w:val="auto"/>
          <w:sz w:val="24"/>
          <w:szCs w:val="24"/>
          <w:highlight w:val="none"/>
        </w:rPr>
        <w:t>10</w:t>
      </w:r>
      <w:r>
        <w:rPr>
          <w:rFonts w:ascii="宋体" w:hAnsi="宋体"/>
          <w:color w:val="auto"/>
          <w:sz w:val="24"/>
          <w:szCs w:val="24"/>
          <w:highlight w:val="none"/>
        </w:rPr>
        <w:t>cm时，每次扣</w:t>
      </w:r>
      <w:r>
        <w:rPr>
          <w:rFonts w:hint="eastAsia" w:ascii="宋体" w:hAnsi="宋体"/>
          <w:color w:val="auto"/>
          <w:sz w:val="24"/>
          <w:szCs w:val="24"/>
          <w:highlight w:val="none"/>
        </w:rPr>
        <w:t>1</w:t>
      </w:r>
      <w:r>
        <w:rPr>
          <w:rFonts w:ascii="宋体" w:hAnsi="宋体"/>
          <w:color w:val="auto"/>
          <w:sz w:val="24"/>
          <w:szCs w:val="24"/>
          <w:highlight w:val="none"/>
        </w:rPr>
        <w:t>分；色块灌木高度不一，曲线不流畅的，每次扣</w:t>
      </w:r>
      <w:r>
        <w:rPr>
          <w:rFonts w:hint="eastAsia" w:ascii="宋体" w:hAnsi="宋体"/>
          <w:color w:val="auto"/>
          <w:sz w:val="24"/>
          <w:szCs w:val="24"/>
          <w:highlight w:val="none"/>
        </w:rPr>
        <w:t>1</w:t>
      </w:r>
      <w:r>
        <w:rPr>
          <w:rFonts w:ascii="宋体" w:hAnsi="宋体"/>
          <w:color w:val="auto"/>
          <w:sz w:val="24"/>
          <w:szCs w:val="24"/>
          <w:highlight w:val="none"/>
        </w:rPr>
        <w:t>分；草坪修剪不及时，高度超过</w:t>
      </w:r>
      <w:r>
        <w:rPr>
          <w:rFonts w:hint="eastAsia" w:ascii="宋体" w:hAnsi="宋体"/>
          <w:color w:val="auto"/>
          <w:sz w:val="24"/>
          <w:szCs w:val="24"/>
          <w:highlight w:val="none"/>
        </w:rPr>
        <w:t>10</w:t>
      </w:r>
      <w:r>
        <w:rPr>
          <w:rFonts w:ascii="宋体" w:hAnsi="宋体"/>
          <w:color w:val="auto"/>
          <w:sz w:val="24"/>
          <w:szCs w:val="24"/>
          <w:highlight w:val="none"/>
        </w:rPr>
        <w:t>cm的，每次扣</w:t>
      </w:r>
      <w:r>
        <w:rPr>
          <w:rFonts w:hint="eastAsia" w:ascii="宋体" w:hAnsi="宋体"/>
          <w:color w:val="auto"/>
          <w:sz w:val="24"/>
          <w:szCs w:val="24"/>
          <w:highlight w:val="none"/>
        </w:rPr>
        <w:t>2</w:t>
      </w:r>
      <w:r>
        <w:rPr>
          <w:rFonts w:ascii="宋体" w:hAnsi="宋体"/>
          <w:color w:val="auto"/>
          <w:sz w:val="24"/>
          <w:szCs w:val="24"/>
          <w:highlight w:val="none"/>
        </w:rPr>
        <w:t>分；</w:t>
      </w:r>
      <w:r>
        <w:rPr>
          <w:rFonts w:hint="eastAsia" w:ascii="宋体" w:hAnsi="宋体"/>
          <w:color w:val="auto"/>
          <w:sz w:val="24"/>
          <w:szCs w:val="24"/>
          <w:highlight w:val="none"/>
          <w:lang w:eastAsia="zh-CN"/>
        </w:rPr>
        <w:t>其他</w:t>
      </w:r>
      <w:r>
        <w:rPr>
          <w:rFonts w:ascii="宋体" w:hAnsi="宋体"/>
          <w:color w:val="auto"/>
          <w:sz w:val="24"/>
          <w:szCs w:val="24"/>
          <w:highlight w:val="none"/>
        </w:rPr>
        <w:t>达不到修剪要求的，每次扣</w:t>
      </w:r>
      <w:r>
        <w:rPr>
          <w:rFonts w:hint="eastAsia" w:ascii="宋体" w:hAnsi="宋体"/>
          <w:color w:val="auto"/>
          <w:sz w:val="24"/>
          <w:szCs w:val="24"/>
          <w:highlight w:val="none"/>
        </w:rPr>
        <w:t>3</w:t>
      </w:r>
      <w:r>
        <w:rPr>
          <w:rFonts w:ascii="宋体" w:hAnsi="宋体"/>
          <w:color w:val="auto"/>
          <w:sz w:val="24"/>
          <w:szCs w:val="24"/>
          <w:highlight w:val="none"/>
        </w:rPr>
        <w:t>分；</w:t>
      </w:r>
      <w:r>
        <w:rPr>
          <w:rFonts w:hint="eastAsia" w:ascii="宋体" w:hAnsi="宋体"/>
          <w:color w:val="auto"/>
          <w:sz w:val="24"/>
          <w:szCs w:val="24"/>
          <w:highlight w:val="none"/>
        </w:rPr>
        <w:t>未按照技术要求进行修剪造成严重后果的</w:t>
      </w:r>
      <w:r>
        <w:rPr>
          <w:rFonts w:ascii="宋体" w:hAnsi="宋体"/>
          <w:color w:val="auto"/>
          <w:sz w:val="24"/>
          <w:szCs w:val="24"/>
          <w:highlight w:val="none"/>
        </w:rPr>
        <w:t>，每次扣</w:t>
      </w:r>
      <w:r>
        <w:rPr>
          <w:rFonts w:hint="eastAsia" w:ascii="宋体" w:hAnsi="宋体"/>
          <w:color w:val="auto"/>
          <w:sz w:val="24"/>
          <w:szCs w:val="24"/>
          <w:highlight w:val="none"/>
        </w:rPr>
        <w:t>5</w:t>
      </w:r>
      <w:r>
        <w:rPr>
          <w:rFonts w:ascii="宋体" w:hAnsi="宋体"/>
          <w:color w:val="auto"/>
          <w:sz w:val="24"/>
          <w:szCs w:val="24"/>
          <w:highlight w:val="none"/>
        </w:rPr>
        <w:t>分</w:t>
      </w:r>
      <w:r>
        <w:rPr>
          <w:rFonts w:hint="eastAsia" w:ascii="宋体" w:hAnsi="宋体"/>
          <w:color w:val="auto"/>
          <w:sz w:val="24"/>
          <w:szCs w:val="24"/>
          <w:highlight w:val="none"/>
        </w:rPr>
        <w:t>直至不合格</w:t>
      </w:r>
      <w:r>
        <w:rPr>
          <w:rFonts w:ascii="宋体" w:hAnsi="宋体"/>
          <w:color w:val="auto"/>
          <w:sz w:val="24"/>
          <w:szCs w:val="24"/>
          <w:highlight w:val="none"/>
        </w:rPr>
        <w:t>。</w:t>
      </w:r>
    </w:p>
    <w:p w14:paraId="054C414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2.</w:t>
      </w:r>
      <w:r>
        <w:rPr>
          <w:rFonts w:hint="eastAsia" w:ascii="宋体" w:hAnsi="宋体"/>
          <w:color w:val="auto"/>
          <w:sz w:val="24"/>
          <w:szCs w:val="24"/>
          <w:highlight w:val="none"/>
        </w:rPr>
        <w:t>行道树养护要求在一个养护合同期内对行道树进行一次重修整形，具体修剪时间和要求由甲方指定，未按要求修剪到位的，每株扣2分；养护单位需自行对遮挡路灯、交通标志等的行道树进行修剪，未修剪的每株扣1分。修剪产生的绿化弃料由养护单位自行清运处理。</w:t>
      </w:r>
    </w:p>
    <w:p w14:paraId="5A005C0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3.</w:t>
      </w:r>
      <w:r>
        <w:rPr>
          <w:rFonts w:ascii="宋体" w:hAnsi="宋体"/>
          <w:color w:val="auto"/>
          <w:sz w:val="24"/>
          <w:szCs w:val="24"/>
          <w:highlight w:val="none"/>
        </w:rPr>
        <w:t>未按要求及时浇水</w:t>
      </w:r>
      <w:r>
        <w:rPr>
          <w:rFonts w:hint="eastAsia" w:ascii="宋体" w:hAnsi="宋体"/>
          <w:color w:val="auto"/>
          <w:sz w:val="24"/>
          <w:szCs w:val="24"/>
          <w:highlight w:val="none"/>
        </w:rPr>
        <w:t>或排水</w:t>
      </w:r>
      <w:r>
        <w:rPr>
          <w:rFonts w:ascii="宋体" w:hAnsi="宋体"/>
          <w:color w:val="auto"/>
          <w:sz w:val="24"/>
          <w:szCs w:val="24"/>
          <w:highlight w:val="none"/>
        </w:rPr>
        <w:t>，每次扣</w:t>
      </w:r>
      <w:r>
        <w:rPr>
          <w:rFonts w:hint="eastAsia" w:ascii="宋体" w:hAnsi="宋体"/>
          <w:color w:val="auto"/>
          <w:sz w:val="24"/>
          <w:szCs w:val="24"/>
          <w:highlight w:val="none"/>
        </w:rPr>
        <w:t>2</w:t>
      </w:r>
      <w:r>
        <w:rPr>
          <w:rFonts w:ascii="宋体" w:hAnsi="宋体"/>
          <w:color w:val="auto"/>
          <w:sz w:val="24"/>
          <w:szCs w:val="24"/>
          <w:highlight w:val="none"/>
        </w:rPr>
        <w:t>分；因缺水</w:t>
      </w:r>
      <w:r>
        <w:rPr>
          <w:rFonts w:hint="eastAsia" w:ascii="宋体" w:hAnsi="宋体"/>
          <w:color w:val="auto"/>
          <w:sz w:val="24"/>
          <w:szCs w:val="24"/>
          <w:highlight w:val="none"/>
        </w:rPr>
        <w:t>或水涝</w:t>
      </w:r>
      <w:r>
        <w:rPr>
          <w:rFonts w:ascii="宋体" w:hAnsi="宋体"/>
          <w:color w:val="auto"/>
          <w:sz w:val="24"/>
          <w:szCs w:val="24"/>
          <w:highlight w:val="none"/>
        </w:rPr>
        <w:t>造成</w:t>
      </w:r>
      <w:r>
        <w:rPr>
          <w:rFonts w:hint="eastAsia" w:ascii="宋体" w:hAnsi="宋体"/>
          <w:color w:val="auto"/>
          <w:sz w:val="24"/>
          <w:szCs w:val="24"/>
          <w:highlight w:val="none"/>
        </w:rPr>
        <w:t>乔灌木死亡5株及5株以上、色块</w:t>
      </w:r>
      <w:r>
        <w:rPr>
          <w:rFonts w:ascii="宋体" w:hAnsi="宋体"/>
          <w:color w:val="auto"/>
          <w:sz w:val="24"/>
          <w:szCs w:val="24"/>
          <w:highlight w:val="none"/>
        </w:rPr>
        <w:t>枯死面积</w:t>
      </w:r>
      <w:r>
        <w:rPr>
          <w:rFonts w:hint="eastAsia" w:ascii="宋体" w:hAnsi="宋体"/>
          <w:color w:val="auto"/>
          <w:sz w:val="24"/>
          <w:szCs w:val="24"/>
          <w:highlight w:val="none"/>
        </w:rPr>
        <w:t>累计超过50㎡（含50㎡）</w:t>
      </w:r>
      <w:r>
        <w:rPr>
          <w:rFonts w:ascii="宋体" w:hAnsi="宋体"/>
          <w:color w:val="auto"/>
          <w:sz w:val="24"/>
          <w:szCs w:val="24"/>
          <w:highlight w:val="none"/>
        </w:rPr>
        <w:t>，为不合</w:t>
      </w:r>
      <w:r>
        <w:rPr>
          <w:rFonts w:hint="eastAsia" w:ascii="宋体" w:hAnsi="宋体"/>
          <w:color w:val="auto"/>
          <w:sz w:val="24"/>
          <w:szCs w:val="24"/>
          <w:highlight w:val="none"/>
        </w:rPr>
        <w:t>格；</w:t>
      </w:r>
      <w:r>
        <w:rPr>
          <w:rFonts w:ascii="宋体" w:hAnsi="宋体"/>
          <w:color w:val="auto"/>
          <w:sz w:val="24"/>
          <w:szCs w:val="24"/>
          <w:highlight w:val="none"/>
        </w:rPr>
        <w:t>因缺水</w:t>
      </w:r>
      <w:r>
        <w:rPr>
          <w:rFonts w:hint="eastAsia" w:ascii="宋体" w:hAnsi="宋体"/>
          <w:color w:val="auto"/>
          <w:sz w:val="24"/>
          <w:szCs w:val="24"/>
          <w:highlight w:val="none"/>
        </w:rPr>
        <w:t>或水涝</w:t>
      </w:r>
      <w:r>
        <w:rPr>
          <w:rFonts w:ascii="宋体" w:hAnsi="宋体"/>
          <w:color w:val="auto"/>
          <w:sz w:val="24"/>
          <w:szCs w:val="24"/>
          <w:highlight w:val="none"/>
        </w:rPr>
        <w:t>造成</w:t>
      </w:r>
      <w:r>
        <w:rPr>
          <w:rFonts w:hint="eastAsia" w:ascii="宋体" w:hAnsi="宋体"/>
          <w:color w:val="auto"/>
          <w:sz w:val="24"/>
          <w:szCs w:val="24"/>
          <w:highlight w:val="none"/>
        </w:rPr>
        <w:t>乔灌木死亡5株以下，色块枯死面积50㎡以下，扣5</w:t>
      </w:r>
      <w:r>
        <w:rPr>
          <w:rFonts w:hint="eastAsia" w:ascii="宋体" w:hAnsi="宋体"/>
          <w:color w:val="auto"/>
          <w:sz w:val="24"/>
          <w:szCs w:val="24"/>
          <w:highlight w:val="none"/>
          <w:lang w:eastAsia="zh-CN"/>
        </w:rPr>
        <w:t>—</w:t>
      </w:r>
      <w:r>
        <w:rPr>
          <w:rFonts w:hint="eastAsia" w:ascii="宋体" w:hAnsi="宋体"/>
          <w:color w:val="auto"/>
          <w:sz w:val="24"/>
          <w:szCs w:val="24"/>
          <w:highlight w:val="none"/>
        </w:rPr>
        <w:t>10分。</w:t>
      </w:r>
    </w:p>
    <w:p w14:paraId="652E7C1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4.</w:t>
      </w:r>
      <w:r>
        <w:rPr>
          <w:rFonts w:ascii="宋体" w:hAnsi="宋体"/>
          <w:color w:val="auto"/>
          <w:sz w:val="24"/>
          <w:szCs w:val="24"/>
          <w:highlight w:val="none"/>
        </w:rPr>
        <w:t>松土，</w:t>
      </w:r>
      <w:r>
        <w:rPr>
          <w:rFonts w:hint="eastAsia" w:ascii="宋体" w:hAnsi="宋体"/>
          <w:color w:val="auto"/>
          <w:sz w:val="24"/>
          <w:szCs w:val="24"/>
          <w:highlight w:val="none"/>
        </w:rPr>
        <w:t>完善</w:t>
      </w:r>
      <w:r>
        <w:rPr>
          <w:rFonts w:ascii="宋体" w:hAnsi="宋体"/>
          <w:color w:val="auto"/>
          <w:sz w:val="24"/>
          <w:szCs w:val="24"/>
          <w:highlight w:val="none"/>
        </w:rPr>
        <w:t>树穴，草坪切边</w:t>
      </w:r>
      <w:r>
        <w:rPr>
          <w:rFonts w:hint="eastAsia" w:ascii="宋体" w:hAnsi="宋体"/>
          <w:color w:val="auto"/>
          <w:sz w:val="24"/>
          <w:szCs w:val="24"/>
          <w:highlight w:val="none"/>
        </w:rPr>
        <w:t>，色块</w:t>
      </w:r>
      <w:r>
        <w:rPr>
          <w:rFonts w:ascii="宋体" w:hAnsi="宋体"/>
          <w:color w:val="auto"/>
          <w:sz w:val="24"/>
          <w:szCs w:val="24"/>
          <w:highlight w:val="none"/>
        </w:rPr>
        <w:t>切边，</w:t>
      </w:r>
      <w:r>
        <w:rPr>
          <w:rFonts w:hint="eastAsia" w:ascii="宋体" w:hAnsi="宋体"/>
          <w:color w:val="auto"/>
          <w:sz w:val="24"/>
          <w:szCs w:val="24"/>
          <w:highlight w:val="none"/>
        </w:rPr>
        <w:t>时间根据养护要点，</w:t>
      </w:r>
      <w:r>
        <w:rPr>
          <w:rFonts w:ascii="宋体" w:hAnsi="宋体"/>
          <w:color w:val="auto"/>
          <w:sz w:val="24"/>
          <w:szCs w:val="24"/>
          <w:highlight w:val="none"/>
        </w:rPr>
        <w:t>未达到要求的，每次扣</w:t>
      </w:r>
      <w:r>
        <w:rPr>
          <w:rFonts w:hint="eastAsia" w:ascii="宋体" w:hAnsi="宋体"/>
          <w:color w:val="auto"/>
          <w:sz w:val="24"/>
          <w:szCs w:val="24"/>
          <w:highlight w:val="none"/>
        </w:rPr>
        <w:t>2</w:t>
      </w:r>
      <w:r>
        <w:rPr>
          <w:rFonts w:ascii="宋体" w:hAnsi="宋体"/>
          <w:color w:val="auto"/>
          <w:sz w:val="24"/>
          <w:szCs w:val="24"/>
          <w:highlight w:val="none"/>
        </w:rPr>
        <w:t>分；</w:t>
      </w:r>
      <w:r>
        <w:rPr>
          <w:rFonts w:hint="eastAsia" w:ascii="宋体" w:hAnsi="宋体"/>
          <w:color w:val="auto"/>
          <w:sz w:val="24"/>
          <w:szCs w:val="24"/>
          <w:highlight w:val="none"/>
        </w:rPr>
        <w:t>春夏季节</w:t>
      </w:r>
      <w:r>
        <w:rPr>
          <w:rFonts w:ascii="宋体" w:hAnsi="宋体"/>
          <w:color w:val="auto"/>
          <w:sz w:val="24"/>
          <w:szCs w:val="24"/>
          <w:highlight w:val="none"/>
        </w:rPr>
        <w:t>杂草清除不及时的，每次扣</w:t>
      </w:r>
      <w:r>
        <w:rPr>
          <w:rFonts w:hint="eastAsia" w:ascii="宋体" w:hAnsi="宋体"/>
          <w:color w:val="auto"/>
          <w:sz w:val="24"/>
          <w:szCs w:val="24"/>
          <w:highlight w:val="none"/>
        </w:rPr>
        <w:t>3</w:t>
      </w:r>
      <w:r>
        <w:rPr>
          <w:rFonts w:hint="eastAsia" w:ascii="宋体" w:hAnsi="宋体"/>
          <w:color w:val="auto"/>
          <w:sz w:val="24"/>
          <w:szCs w:val="24"/>
          <w:highlight w:val="none"/>
          <w:lang w:eastAsia="zh-CN"/>
        </w:rPr>
        <w:t>—</w:t>
      </w:r>
      <w:r>
        <w:rPr>
          <w:rFonts w:hint="eastAsia" w:ascii="宋体" w:hAnsi="宋体"/>
          <w:color w:val="auto"/>
          <w:sz w:val="24"/>
          <w:szCs w:val="24"/>
          <w:highlight w:val="none"/>
        </w:rPr>
        <w:t>5</w:t>
      </w:r>
      <w:r>
        <w:rPr>
          <w:rFonts w:ascii="宋体" w:hAnsi="宋体"/>
          <w:color w:val="auto"/>
          <w:sz w:val="24"/>
          <w:szCs w:val="24"/>
          <w:highlight w:val="none"/>
        </w:rPr>
        <w:t>分。</w:t>
      </w:r>
    </w:p>
    <w:p w14:paraId="766F8B5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5.</w:t>
      </w:r>
      <w:r>
        <w:rPr>
          <w:rFonts w:ascii="宋体" w:hAnsi="宋体"/>
          <w:color w:val="auto"/>
          <w:sz w:val="24"/>
          <w:szCs w:val="24"/>
          <w:highlight w:val="none"/>
        </w:rPr>
        <w:t>病虫害防治不力，造成对苗木的损害</w:t>
      </w:r>
      <w:r>
        <w:rPr>
          <w:rFonts w:hint="eastAsia" w:ascii="宋体" w:hAnsi="宋体"/>
          <w:color w:val="auto"/>
          <w:sz w:val="24"/>
          <w:szCs w:val="24"/>
          <w:highlight w:val="none"/>
        </w:rPr>
        <w:t>（叶片缺失、落叶）</w:t>
      </w:r>
      <w:r>
        <w:rPr>
          <w:rFonts w:ascii="宋体" w:hAnsi="宋体"/>
          <w:color w:val="auto"/>
          <w:sz w:val="24"/>
          <w:szCs w:val="24"/>
          <w:highlight w:val="none"/>
        </w:rPr>
        <w:t>并影响观赏效果的，每次扣</w:t>
      </w:r>
      <w:r>
        <w:rPr>
          <w:rFonts w:hint="eastAsia" w:ascii="宋体" w:hAnsi="宋体"/>
          <w:color w:val="auto"/>
          <w:sz w:val="24"/>
          <w:szCs w:val="24"/>
          <w:highlight w:val="none"/>
        </w:rPr>
        <w:t>5</w:t>
      </w:r>
      <w:r>
        <w:rPr>
          <w:rFonts w:hint="eastAsia" w:ascii="宋体" w:hAnsi="宋体"/>
          <w:color w:val="auto"/>
          <w:sz w:val="24"/>
          <w:szCs w:val="24"/>
          <w:highlight w:val="none"/>
          <w:lang w:eastAsia="zh-CN"/>
        </w:rPr>
        <w:t>—</w:t>
      </w:r>
      <w:r>
        <w:rPr>
          <w:rFonts w:hint="eastAsia" w:ascii="宋体" w:hAnsi="宋体"/>
          <w:color w:val="auto"/>
          <w:sz w:val="24"/>
          <w:szCs w:val="24"/>
          <w:highlight w:val="none"/>
        </w:rPr>
        <w:t>10</w:t>
      </w:r>
      <w:r>
        <w:rPr>
          <w:rFonts w:ascii="宋体" w:hAnsi="宋体"/>
          <w:color w:val="auto"/>
          <w:sz w:val="24"/>
          <w:szCs w:val="24"/>
          <w:highlight w:val="none"/>
        </w:rPr>
        <w:t>分；</w:t>
      </w:r>
      <w:r>
        <w:rPr>
          <w:rFonts w:hint="eastAsia" w:ascii="宋体" w:hAnsi="宋体"/>
          <w:color w:val="auto"/>
          <w:sz w:val="24"/>
          <w:szCs w:val="24"/>
          <w:highlight w:val="none"/>
        </w:rPr>
        <w:t>未防治病虫害而造成树木损害并影响观赏效果的为不合格；</w:t>
      </w:r>
      <w:r>
        <w:rPr>
          <w:rFonts w:ascii="宋体" w:hAnsi="宋体"/>
          <w:color w:val="auto"/>
          <w:sz w:val="24"/>
          <w:szCs w:val="24"/>
          <w:highlight w:val="none"/>
        </w:rPr>
        <w:t>出现药害的，每次扣</w:t>
      </w:r>
      <w:r>
        <w:rPr>
          <w:rFonts w:hint="eastAsia" w:ascii="宋体" w:hAnsi="宋体"/>
          <w:color w:val="auto"/>
          <w:sz w:val="24"/>
          <w:szCs w:val="24"/>
          <w:highlight w:val="none"/>
        </w:rPr>
        <w:t>3</w:t>
      </w:r>
      <w:r>
        <w:rPr>
          <w:rFonts w:ascii="宋体" w:hAnsi="宋体"/>
          <w:color w:val="auto"/>
          <w:sz w:val="24"/>
          <w:szCs w:val="24"/>
          <w:highlight w:val="none"/>
        </w:rPr>
        <w:t>分。因</w:t>
      </w:r>
      <w:r>
        <w:rPr>
          <w:rFonts w:hint="eastAsia" w:ascii="宋体" w:hAnsi="宋体"/>
          <w:color w:val="auto"/>
          <w:sz w:val="24"/>
          <w:szCs w:val="24"/>
          <w:highlight w:val="none"/>
        </w:rPr>
        <w:t>病虫害</w:t>
      </w:r>
      <w:r>
        <w:rPr>
          <w:rFonts w:ascii="宋体" w:hAnsi="宋体"/>
          <w:color w:val="auto"/>
          <w:sz w:val="24"/>
          <w:szCs w:val="24"/>
          <w:highlight w:val="none"/>
        </w:rPr>
        <w:t>造成</w:t>
      </w:r>
      <w:r>
        <w:rPr>
          <w:rFonts w:hint="eastAsia" w:ascii="宋体" w:hAnsi="宋体"/>
          <w:color w:val="auto"/>
          <w:sz w:val="24"/>
          <w:szCs w:val="24"/>
          <w:highlight w:val="none"/>
        </w:rPr>
        <w:t>乔灌木死亡5株及5株以上、色块50㎡及50㎡以上、草坪100㎡及100㎡以上的为不合格。</w:t>
      </w:r>
    </w:p>
    <w:p w14:paraId="4D1E9C9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6.</w:t>
      </w:r>
      <w:r>
        <w:rPr>
          <w:rFonts w:ascii="宋体" w:hAnsi="宋体"/>
          <w:color w:val="auto"/>
          <w:sz w:val="24"/>
          <w:szCs w:val="24"/>
          <w:highlight w:val="none"/>
        </w:rPr>
        <w:t>每</w:t>
      </w:r>
      <w:r>
        <w:rPr>
          <w:rFonts w:hint="eastAsia" w:ascii="宋体" w:hAnsi="宋体"/>
          <w:color w:val="auto"/>
          <w:sz w:val="24"/>
          <w:szCs w:val="24"/>
          <w:highlight w:val="none"/>
        </w:rPr>
        <w:t>次</w:t>
      </w:r>
      <w:r>
        <w:rPr>
          <w:rFonts w:ascii="宋体" w:hAnsi="宋体"/>
          <w:color w:val="auto"/>
          <w:sz w:val="24"/>
          <w:szCs w:val="24"/>
          <w:highlight w:val="none"/>
        </w:rPr>
        <w:t>施肥达不到要求的，扣</w:t>
      </w:r>
      <w:r>
        <w:rPr>
          <w:rFonts w:hint="eastAsia" w:ascii="宋体" w:hAnsi="宋体"/>
          <w:color w:val="auto"/>
          <w:sz w:val="24"/>
          <w:szCs w:val="24"/>
          <w:highlight w:val="none"/>
        </w:rPr>
        <w:t>2</w:t>
      </w:r>
      <w:r>
        <w:rPr>
          <w:rFonts w:ascii="宋体" w:hAnsi="宋体"/>
          <w:color w:val="auto"/>
          <w:sz w:val="24"/>
          <w:szCs w:val="24"/>
          <w:highlight w:val="none"/>
        </w:rPr>
        <w:t>分。</w:t>
      </w:r>
      <w:r>
        <w:rPr>
          <w:rFonts w:hint="eastAsia" w:ascii="宋体" w:hAnsi="宋体"/>
          <w:color w:val="auto"/>
          <w:sz w:val="24"/>
          <w:szCs w:val="24"/>
          <w:highlight w:val="none"/>
        </w:rPr>
        <w:t>不施肥的为不合格。</w:t>
      </w:r>
    </w:p>
    <w:p w14:paraId="735FD8D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7.</w:t>
      </w:r>
      <w:r>
        <w:rPr>
          <w:rFonts w:ascii="宋体" w:hAnsi="宋体"/>
          <w:color w:val="auto"/>
          <w:sz w:val="24"/>
          <w:szCs w:val="24"/>
          <w:highlight w:val="none"/>
        </w:rPr>
        <w:t>台风季节未</w:t>
      </w:r>
      <w:r>
        <w:rPr>
          <w:rFonts w:hint="eastAsia" w:ascii="宋体" w:hAnsi="宋体"/>
          <w:color w:val="auto"/>
          <w:sz w:val="24"/>
          <w:szCs w:val="24"/>
          <w:highlight w:val="none"/>
        </w:rPr>
        <w:t>按要求及时</w:t>
      </w:r>
      <w:r>
        <w:rPr>
          <w:rFonts w:ascii="宋体" w:hAnsi="宋体"/>
          <w:color w:val="auto"/>
          <w:sz w:val="24"/>
          <w:szCs w:val="24"/>
          <w:highlight w:val="none"/>
        </w:rPr>
        <w:t>加固高大树木，</w:t>
      </w:r>
      <w:r>
        <w:rPr>
          <w:rFonts w:hint="eastAsia" w:ascii="宋体" w:hAnsi="宋体"/>
          <w:color w:val="auto"/>
          <w:sz w:val="24"/>
          <w:szCs w:val="24"/>
          <w:highlight w:val="none"/>
        </w:rPr>
        <w:t>扣3</w:t>
      </w:r>
      <w:r>
        <w:rPr>
          <w:rFonts w:hint="eastAsia" w:ascii="宋体" w:hAnsi="宋体"/>
          <w:color w:val="auto"/>
          <w:sz w:val="24"/>
          <w:szCs w:val="24"/>
          <w:highlight w:val="none"/>
          <w:lang w:eastAsia="zh-CN"/>
        </w:rPr>
        <w:t>—</w:t>
      </w:r>
      <w:r>
        <w:rPr>
          <w:rFonts w:hint="eastAsia" w:ascii="宋体" w:hAnsi="宋体"/>
          <w:color w:val="auto"/>
          <w:sz w:val="24"/>
          <w:szCs w:val="24"/>
          <w:highlight w:val="none"/>
        </w:rPr>
        <w:t>5分，</w:t>
      </w:r>
      <w:r>
        <w:rPr>
          <w:rFonts w:ascii="宋体" w:hAnsi="宋体"/>
          <w:color w:val="auto"/>
          <w:sz w:val="24"/>
          <w:szCs w:val="24"/>
          <w:highlight w:val="none"/>
        </w:rPr>
        <w:t>未及时处理倒塌的树木，</w:t>
      </w:r>
      <w:r>
        <w:rPr>
          <w:rFonts w:hint="eastAsia" w:ascii="宋体" w:hAnsi="宋体"/>
          <w:color w:val="auto"/>
          <w:sz w:val="24"/>
          <w:szCs w:val="24"/>
          <w:highlight w:val="none"/>
        </w:rPr>
        <w:t>影响安全的，</w:t>
      </w:r>
      <w:r>
        <w:rPr>
          <w:rFonts w:ascii="宋体" w:hAnsi="宋体"/>
          <w:color w:val="auto"/>
          <w:sz w:val="24"/>
          <w:szCs w:val="24"/>
          <w:highlight w:val="none"/>
        </w:rPr>
        <w:t>每次扣</w:t>
      </w:r>
      <w:r>
        <w:rPr>
          <w:rFonts w:hint="eastAsia" w:ascii="宋体" w:hAnsi="宋体"/>
          <w:color w:val="auto"/>
          <w:sz w:val="24"/>
          <w:szCs w:val="24"/>
          <w:highlight w:val="none"/>
        </w:rPr>
        <w:t>8</w:t>
      </w:r>
      <w:r>
        <w:rPr>
          <w:rFonts w:ascii="宋体" w:hAnsi="宋体"/>
          <w:color w:val="auto"/>
          <w:sz w:val="24"/>
          <w:szCs w:val="24"/>
          <w:highlight w:val="none"/>
        </w:rPr>
        <w:t>分；未及时响应110联动的</w:t>
      </w:r>
      <w:r>
        <w:rPr>
          <w:rFonts w:hint="eastAsia" w:ascii="宋体" w:hAnsi="宋体"/>
          <w:color w:val="auto"/>
          <w:sz w:val="24"/>
          <w:szCs w:val="24"/>
          <w:highlight w:val="none"/>
        </w:rPr>
        <w:t>或未按要求及时赶赴现场处警及处警完毕未及时回复的扣3</w:t>
      </w:r>
      <w:r>
        <w:rPr>
          <w:rFonts w:hint="eastAsia" w:ascii="宋体" w:hAnsi="宋体"/>
          <w:color w:val="auto"/>
          <w:sz w:val="24"/>
          <w:szCs w:val="24"/>
          <w:highlight w:val="none"/>
          <w:lang w:eastAsia="zh-CN"/>
        </w:rPr>
        <w:t>—</w:t>
      </w:r>
      <w:r>
        <w:rPr>
          <w:rFonts w:hint="eastAsia" w:ascii="宋体" w:hAnsi="宋体"/>
          <w:color w:val="auto"/>
          <w:sz w:val="24"/>
          <w:szCs w:val="24"/>
          <w:highlight w:val="none"/>
        </w:rPr>
        <w:t>5分，造成不良影响的</w:t>
      </w:r>
      <w:r>
        <w:rPr>
          <w:rFonts w:ascii="宋体" w:hAnsi="宋体"/>
          <w:color w:val="auto"/>
          <w:sz w:val="24"/>
          <w:szCs w:val="24"/>
          <w:highlight w:val="none"/>
        </w:rPr>
        <w:t>为不合格。</w:t>
      </w:r>
    </w:p>
    <w:p w14:paraId="0CC56E7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8.</w:t>
      </w:r>
      <w:r>
        <w:rPr>
          <w:rFonts w:hint="eastAsia" w:ascii="宋体" w:hAnsi="宋体"/>
          <w:color w:val="auto"/>
          <w:sz w:val="24"/>
          <w:szCs w:val="24"/>
          <w:highlight w:val="none"/>
        </w:rPr>
        <w:t>冬季越冬保护工作（整枝、刷白水、防冻保湿）未达到要求的扣2</w:t>
      </w:r>
      <w:r>
        <w:rPr>
          <w:rFonts w:hint="eastAsia" w:ascii="宋体" w:hAnsi="宋体"/>
          <w:color w:val="auto"/>
          <w:sz w:val="24"/>
          <w:szCs w:val="24"/>
          <w:highlight w:val="none"/>
          <w:lang w:eastAsia="zh-CN"/>
        </w:rPr>
        <w:t>—</w:t>
      </w:r>
      <w:r>
        <w:rPr>
          <w:rFonts w:hint="eastAsia" w:ascii="宋体" w:hAnsi="宋体"/>
          <w:color w:val="auto"/>
          <w:sz w:val="24"/>
          <w:szCs w:val="24"/>
          <w:highlight w:val="none"/>
        </w:rPr>
        <w:t>5分。</w:t>
      </w:r>
    </w:p>
    <w:p w14:paraId="565D49E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9.</w:t>
      </w:r>
      <w:r>
        <w:rPr>
          <w:rFonts w:hint="eastAsia" w:ascii="宋体" w:hAnsi="宋体"/>
          <w:color w:val="auto"/>
          <w:sz w:val="24"/>
          <w:szCs w:val="24"/>
          <w:highlight w:val="none"/>
        </w:rPr>
        <w:t>草花种植中未按要求清运种植土的扣1—2分/处；因野蛮施工造成损耗超过5%的扣1分/处，造成损耗超过10%的扣3分/处，造成损耗超过20%的扣3分/处，造成不良影响的</w:t>
      </w:r>
      <w:r>
        <w:rPr>
          <w:rFonts w:ascii="宋体" w:hAnsi="宋体"/>
          <w:color w:val="auto"/>
          <w:sz w:val="24"/>
          <w:szCs w:val="24"/>
          <w:highlight w:val="none"/>
        </w:rPr>
        <w:t>为不合格</w:t>
      </w:r>
      <w:r>
        <w:rPr>
          <w:rFonts w:hint="eastAsia" w:ascii="宋体" w:hAnsi="宋体"/>
          <w:color w:val="auto"/>
          <w:sz w:val="24"/>
          <w:szCs w:val="24"/>
          <w:highlight w:val="none"/>
        </w:rPr>
        <w:t>；草花种植线条不清晰、种植后草花高低不平扣1—2分/处；因病虫害、未按照要求施肥等造成枯黄影响景观的扣2—3分/处，因未及时修剪花蕾影响景观的扣2—3分/处。</w:t>
      </w:r>
    </w:p>
    <w:p w14:paraId="4F603CCF">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二、养护人员考核</w:t>
      </w:r>
    </w:p>
    <w:p w14:paraId="73D7FA6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1.</w:t>
      </w:r>
      <w:r>
        <w:rPr>
          <w:rFonts w:ascii="宋体" w:hAnsi="宋体"/>
          <w:color w:val="auto"/>
          <w:sz w:val="24"/>
          <w:szCs w:val="24"/>
          <w:highlight w:val="none"/>
        </w:rPr>
        <w:t>每万平方米绿地需固定安排养护工人1.2名</w:t>
      </w:r>
      <w:r>
        <w:rPr>
          <w:rFonts w:hint="eastAsia" w:ascii="宋体" w:hAnsi="宋体"/>
          <w:color w:val="auto"/>
          <w:sz w:val="24"/>
          <w:szCs w:val="24"/>
          <w:highlight w:val="none"/>
        </w:rPr>
        <w:t>（一级养护）、0.83名（二级养护）、0.5名（三级养护），</w:t>
      </w:r>
      <w:r>
        <w:rPr>
          <w:rFonts w:ascii="宋体" w:hAnsi="宋体"/>
          <w:color w:val="auto"/>
          <w:sz w:val="24"/>
          <w:szCs w:val="24"/>
          <w:highlight w:val="none"/>
        </w:rPr>
        <w:t>有突击任务需另外增加人员，并配备专职养护负责人，如发现不上岗或上岗工人严重不足</w:t>
      </w:r>
      <w:r>
        <w:rPr>
          <w:rFonts w:hint="eastAsia" w:ascii="宋体" w:hAnsi="宋体"/>
          <w:color w:val="auto"/>
          <w:sz w:val="24"/>
          <w:szCs w:val="24"/>
          <w:highlight w:val="none"/>
        </w:rPr>
        <w:t>（低于标准配置的80%的）</w:t>
      </w:r>
      <w:r>
        <w:rPr>
          <w:rFonts w:ascii="宋体" w:hAnsi="宋体"/>
          <w:color w:val="auto"/>
          <w:sz w:val="24"/>
          <w:szCs w:val="24"/>
          <w:highlight w:val="none"/>
        </w:rPr>
        <w:t>，每次扣</w:t>
      </w:r>
      <w:r>
        <w:rPr>
          <w:rFonts w:hint="eastAsia" w:ascii="宋体" w:hAnsi="宋体"/>
          <w:color w:val="auto"/>
          <w:sz w:val="24"/>
          <w:szCs w:val="24"/>
          <w:highlight w:val="none"/>
        </w:rPr>
        <w:t>3</w:t>
      </w:r>
      <w:r>
        <w:rPr>
          <w:rFonts w:ascii="宋体" w:hAnsi="宋体"/>
          <w:color w:val="auto"/>
          <w:sz w:val="24"/>
          <w:szCs w:val="24"/>
          <w:highlight w:val="none"/>
        </w:rPr>
        <w:t>分</w:t>
      </w:r>
      <w:r>
        <w:rPr>
          <w:rFonts w:hint="eastAsia" w:ascii="宋体" w:hAnsi="宋体"/>
          <w:color w:val="auto"/>
          <w:sz w:val="24"/>
          <w:szCs w:val="24"/>
          <w:highlight w:val="none"/>
        </w:rPr>
        <w:t>。</w:t>
      </w:r>
    </w:p>
    <w:p w14:paraId="4E4447D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2.</w:t>
      </w:r>
      <w:r>
        <w:rPr>
          <w:rFonts w:ascii="宋体" w:hAnsi="宋体"/>
          <w:color w:val="auto"/>
          <w:sz w:val="24"/>
          <w:szCs w:val="24"/>
          <w:highlight w:val="none"/>
        </w:rPr>
        <w:t>养护人员</w:t>
      </w:r>
      <w:r>
        <w:rPr>
          <w:rFonts w:hint="eastAsia" w:ascii="宋体" w:hAnsi="宋体"/>
          <w:color w:val="auto"/>
          <w:sz w:val="24"/>
          <w:szCs w:val="24"/>
          <w:highlight w:val="none"/>
        </w:rPr>
        <w:t>未</w:t>
      </w:r>
      <w:r>
        <w:rPr>
          <w:rFonts w:ascii="宋体" w:hAnsi="宋体"/>
          <w:color w:val="auto"/>
          <w:sz w:val="24"/>
          <w:szCs w:val="24"/>
          <w:highlight w:val="none"/>
        </w:rPr>
        <w:t>统一着装上岗，发现一次扣</w:t>
      </w:r>
      <w:r>
        <w:rPr>
          <w:rFonts w:hint="eastAsia" w:ascii="宋体" w:hAnsi="宋体"/>
          <w:color w:val="auto"/>
          <w:sz w:val="24"/>
          <w:szCs w:val="24"/>
          <w:highlight w:val="none"/>
        </w:rPr>
        <w:t>1</w:t>
      </w:r>
      <w:r>
        <w:rPr>
          <w:rFonts w:ascii="宋体" w:hAnsi="宋体"/>
          <w:color w:val="auto"/>
          <w:sz w:val="24"/>
          <w:szCs w:val="24"/>
          <w:highlight w:val="none"/>
        </w:rPr>
        <w:t>分</w:t>
      </w:r>
      <w:r>
        <w:rPr>
          <w:rFonts w:hint="eastAsia" w:ascii="宋体" w:hAnsi="宋体"/>
          <w:color w:val="auto"/>
          <w:sz w:val="24"/>
          <w:szCs w:val="24"/>
          <w:highlight w:val="none"/>
        </w:rPr>
        <w:t>/人/次</w:t>
      </w:r>
      <w:r>
        <w:rPr>
          <w:rFonts w:ascii="宋体" w:hAnsi="宋体"/>
          <w:color w:val="auto"/>
          <w:sz w:val="24"/>
          <w:szCs w:val="24"/>
          <w:highlight w:val="none"/>
        </w:rPr>
        <w:t>。</w:t>
      </w:r>
    </w:p>
    <w:p w14:paraId="2E6BF60E">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3.</w:t>
      </w:r>
      <w:r>
        <w:rPr>
          <w:rFonts w:hint="eastAsia" w:ascii="宋体" w:hAnsi="宋体"/>
          <w:color w:val="auto"/>
          <w:sz w:val="24"/>
          <w:szCs w:val="24"/>
          <w:highlight w:val="none"/>
        </w:rPr>
        <w:t>养护单位要建立安全生产制度，制定严格的安全措施和操作流程，落实单位主体责任，如在养护工作时间发生养护人员伤亡事故，轻者扣除当月养护经费，重则取消养护资格，并交由相关部门追究相关人</w:t>
      </w:r>
      <w:r>
        <w:rPr>
          <w:rFonts w:hint="eastAsia" w:ascii="宋体" w:hAnsi="宋体"/>
          <w:color w:val="auto"/>
          <w:sz w:val="24"/>
          <w:szCs w:val="24"/>
          <w:highlight w:val="none"/>
          <w:lang w:eastAsia="zh-CN"/>
        </w:rPr>
        <w:t>员和</w:t>
      </w:r>
      <w:r>
        <w:rPr>
          <w:rFonts w:hint="eastAsia" w:ascii="宋体" w:hAnsi="宋体"/>
          <w:color w:val="auto"/>
          <w:sz w:val="24"/>
          <w:szCs w:val="24"/>
          <w:highlight w:val="none"/>
        </w:rPr>
        <w:t>相关单位的全部法律责任。</w:t>
      </w:r>
    </w:p>
    <w:p w14:paraId="3E7D510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4.</w:t>
      </w:r>
      <w:r>
        <w:rPr>
          <w:rFonts w:hint="eastAsia" w:ascii="宋体" w:hAnsi="宋体"/>
          <w:color w:val="auto"/>
          <w:sz w:val="24"/>
          <w:szCs w:val="24"/>
          <w:highlight w:val="none"/>
        </w:rPr>
        <w:t>养护人员应及时发现绿地安全隐患，未及时上报的扣1</w:t>
      </w:r>
      <w:r>
        <w:rPr>
          <w:rFonts w:hint="eastAsia" w:ascii="宋体" w:hAnsi="宋体"/>
          <w:color w:val="auto"/>
          <w:sz w:val="24"/>
          <w:szCs w:val="24"/>
          <w:highlight w:val="none"/>
          <w:lang w:eastAsia="zh-CN"/>
        </w:rPr>
        <w:t>—</w:t>
      </w:r>
      <w:r>
        <w:rPr>
          <w:rFonts w:hint="eastAsia" w:ascii="宋体" w:hAnsi="宋体"/>
          <w:color w:val="auto"/>
          <w:sz w:val="24"/>
          <w:szCs w:val="24"/>
          <w:highlight w:val="none"/>
        </w:rPr>
        <w:t>3分，造成不良影响的扣5</w:t>
      </w:r>
      <w:r>
        <w:rPr>
          <w:rFonts w:hint="eastAsia" w:ascii="宋体" w:hAnsi="宋体"/>
          <w:color w:val="auto"/>
          <w:sz w:val="24"/>
          <w:szCs w:val="24"/>
          <w:highlight w:val="none"/>
          <w:lang w:eastAsia="zh-CN"/>
        </w:rPr>
        <w:t>—</w:t>
      </w:r>
      <w:r>
        <w:rPr>
          <w:rFonts w:hint="eastAsia" w:ascii="宋体" w:hAnsi="宋体"/>
          <w:color w:val="auto"/>
          <w:sz w:val="24"/>
          <w:szCs w:val="24"/>
          <w:highlight w:val="none"/>
        </w:rPr>
        <w:t>10分直至不合格。</w:t>
      </w:r>
    </w:p>
    <w:p w14:paraId="4FF8C70F">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三、绿地保洁考核</w:t>
      </w:r>
    </w:p>
    <w:p w14:paraId="1C109A8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1.</w:t>
      </w:r>
      <w:r>
        <w:rPr>
          <w:rFonts w:ascii="宋体" w:hAnsi="宋体"/>
          <w:color w:val="auto"/>
          <w:sz w:val="24"/>
          <w:szCs w:val="24"/>
          <w:highlight w:val="none"/>
        </w:rPr>
        <w:t>保洁人员要严格遵守绿地</w:t>
      </w:r>
      <w:r>
        <w:rPr>
          <w:rFonts w:hint="eastAsia" w:ascii="宋体" w:hAnsi="宋体"/>
          <w:color w:val="auto"/>
          <w:sz w:val="24"/>
          <w:szCs w:val="24"/>
          <w:highlight w:val="none"/>
        </w:rPr>
        <w:t>养护质量标准</w:t>
      </w:r>
      <w:r>
        <w:rPr>
          <w:rFonts w:ascii="宋体" w:hAnsi="宋体"/>
          <w:color w:val="auto"/>
          <w:sz w:val="24"/>
          <w:szCs w:val="24"/>
          <w:highlight w:val="none"/>
        </w:rPr>
        <w:t>要求，</w:t>
      </w:r>
      <w:r>
        <w:rPr>
          <w:rFonts w:hint="eastAsia" w:ascii="宋体" w:hAnsi="宋体"/>
          <w:color w:val="auto"/>
          <w:sz w:val="24"/>
          <w:szCs w:val="24"/>
          <w:highlight w:val="none"/>
        </w:rPr>
        <w:t>应有专人巡视保洁，</w:t>
      </w:r>
      <w:r>
        <w:rPr>
          <w:rFonts w:ascii="宋体" w:hAnsi="宋体"/>
          <w:color w:val="auto"/>
          <w:sz w:val="24"/>
          <w:szCs w:val="24"/>
          <w:highlight w:val="none"/>
        </w:rPr>
        <w:t>各种垃圾、杂物未及时清理的，每次扣2</w:t>
      </w:r>
      <w:r>
        <w:rPr>
          <w:rFonts w:hint="eastAsia" w:ascii="宋体" w:hAnsi="宋体"/>
          <w:color w:val="auto"/>
          <w:sz w:val="24"/>
          <w:szCs w:val="24"/>
          <w:highlight w:val="none"/>
          <w:lang w:eastAsia="zh-CN"/>
        </w:rPr>
        <w:t>—</w:t>
      </w:r>
      <w:r>
        <w:rPr>
          <w:rFonts w:ascii="宋体" w:hAnsi="宋体"/>
          <w:color w:val="auto"/>
          <w:sz w:val="24"/>
          <w:szCs w:val="24"/>
          <w:highlight w:val="none"/>
        </w:rPr>
        <w:t>5分；</w:t>
      </w:r>
      <w:r>
        <w:rPr>
          <w:rFonts w:hint="eastAsia" w:ascii="宋体" w:hAnsi="宋体"/>
          <w:color w:val="auto"/>
          <w:sz w:val="24"/>
          <w:szCs w:val="24"/>
          <w:highlight w:val="none"/>
        </w:rPr>
        <w:t>被12345、数字城管等各类媒体投诉曝光查实的扣5</w:t>
      </w:r>
      <w:r>
        <w:rPr>
          <w:rFonts w:hint="eastAsia" w:ascii="宋体" w:hAnsi="宋体"/>
          <w:color w:val="auto"/>
          <w:sz w:val="24"/>
          <w:szCs w:val="24"/>
          <w:highlight w:val="none"/>
          <w:lang w:eastAsia="zh-CN"/>
        </w:rPr>
        <w:t>—</w:t>
      </w:r>
      <w:r>
        <w:rPr>
          <w:rFonts w:hint="eastAsia" w:ascii="宋体" w:hAnsi="宋体"/>
          <w:color w:val="auto"/>
          <w:sz w:val="24"/>
          <w:szCs w:val="24"/>
          <w:highlight w:val="none"/>
        </w:rPr>
        <w:t>10分。</w:t>
      </w:r>
    </w:p>
    <w:p w14:paraId="1536904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2.</w:t>
      </w:r>
      <w:r>
        <w:rPr>
          <w:rFonts w:ascii="宋体" w:hAnsi="宋体"/>
          <w:color w:val="auto"/>
          <w:sz w:val="24"/>
          <w:szCs w:val="24"/>
          <w:highlight w:val="none"/>
        </w:rPr>
        <w:t>绿色废弃物不能日产日清的，每次扣2</w:t>
      </w:r>
      <w:r>
        <w:rPr>
          <w:rFonts w:hint="eastAsia" w:ascii="宋体" w:hAnsi="宋体"/>
          <w:color w:val="auto"/>
          <w:sz w:val="24"/>
          <w:szCs w:val="24"/>
          <w:highlight w:val="none"/>
          <w:lang w:eastAsia="zh-CN"/>
        </w:rPr>
        <w:t>—</w:t>
      </w:r>
      <w:r>
        <w:rPr>
          <w:rFonts w:ascii="宋体" w:hAnsi="宋体"/>
          <w:color w:val="auto"/>
          <w:sz w:val="24"/>
          <w:szCs w:val="24"/>
          <w:highlight w:val="none"/>
        </w:rPr>
        <w:t>5分</w:t>
      </w:r>
      <w:r>
        <w:rPr>
          <w:rFonts w:hint="eastAsia" w:ascii="宋体" w:hAnsi="宋体"/>
          <w:color w:val="auto"/>
          <w:sz w:val="24"/>
          <w:szCs w:val="24"/>
          <w:highlight w:val="none"/>
        </w:rPr>
        <w:t>（台风抢险季节除外）</w:t>
      </w:r>
      <w:r>
        <w:rPr>
          <w:rFonts w:ascii="宋体" w:hAnsi="宋体"/>
          <w:color w:val="auto"/>
          <w:sz w:val="24"/>
          <w:szCs w:val="24"/>
          <w:highlight w:val="none"/>
        </w:rPr>
        <w:t>。</w:t>
      </w:r>
    </w:p>
    <w:p w14:paraId="01C9A37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3.</w:t>
      </w:r>
      <w:r>
        <w:rPr>
          <w:rFonts w:hint="eastAsia" w:ascii="宋体" w:hAnsi="宋体"/>
          <w:color w:val="auto"/>
          <w:sz w:val="24"/>
          <w:szCs w:val="24"/>
          <w:highlight w:val="none"/>
        </w:rPr>
        <w:t>有水景绿地的水面应保持水面清洁，如发现水面有各类垃圾、杂物、绿化废弃物、浮萍、恶性杂草等未及时清除干净的扣2</w:t>
      </w:r>
      <w:r>
        <w:rPr>
          <w:rFonts w:hint="eastAsia" w:ascii="宋体" w:hAnsi="宋体"/>
          <w:color w:val="auto"/>
          <w:sz w:val="24"/>
          <w:szCs w:val="24"/>
          <w:highlight w:val="none"/>
          <w:lang w:eastAsia="zh-CN"/>
        </w:rPr>
        <w:t>—</w:t>
      </w:r>
      <w:r>
        <w:rPr>
          <w:rFonts w:hint="eastAsia" w:ascii="宋体" w:hAnsi="宋体"/>
          <w:color w:val="auto"/>
          <w:sz w:val="24"/>
          <w:szCs w:val="24"/>
          <w:highlight w:val="none"/>
        </w:rPr>
        <w:t>10分。</w:t>
      </w:r>
    </w:p>
    <w:p w14:paraId="642F8C1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四</w:t>
      </w:r>
      <w:r>
        <w:rPr>
          <w:rFonts w:ascii="宋体" w:hAnsi="宋体"/>
          <w:color w:val="auto"/>
          <w:sz w:val="24"/>
          <w:szCs w:val="24"/>
          <w:highlight w:val="none"/>
        </w:rPr>
        <w:t>、绿地保护考核</w:t>
      </w:r>
    </w:p>
    <w:p w14:paraId="258DD86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1.</w:t>
      </w:r>
      <w:r>
        <w:rPr>
          <w:rFonts w:ascii="宋体" w:hAnsi="宋体"/>
          <w:color w:val="auto"/>
          <w:sz w:val="24"/>
          <w:szCs w:val="24"/>
          <w:highlight w:val="none"/>
        </w:rPr>
        <w:t>绿地全天</w:t>
      </w:r>
      <w:r>
        <w:rPr>
          <w:rFonts w:hint="eastAsia" w:ascii="宋体" w:hAnsi="宋体"/>
          <w:color w:val="auto"/>
          <w:sz w:val="24"/>
          <w:szCs w:val="24"/>
          <w:highlight w:val="none"/>
        </w:rPr>
        <w:t>12</w:t>
      </w:r>
      <w:r>
        <w:rPr>
          <w:rFonts w:ascii="宋体" w:hAnsi="宋体"/>
          <w:color w:val="auto"/>
          <w:sz w:val="24"/>
          <w:szCs w:val="24"/>
          <w:highlight w:val="none"/>
        </w:rPr>
        <w:t>小时</w:t>
      </w:r>
      <w:r>
        <w:rPr>
          <w:rFonts w:hint="eastAsia" w:ascii="宋体" w:hAnsi="宋体"/>
          <w:color w:val="auto"/>
          <w:sz w:val="24"/>
          <w:szCs w:val="24"/>
          <w:highlight w:val="none"/>
        </w:rPr>
        <w:t>（7：00-19：00）</w:t>
      </w:r>
      <w:r>
        <w:rPr>
          <w:rFonts w:ascii="宋体" w:hAnsi="宋体"/>
          <w:color w:val="auto"/>
          <w:sz w:val="24"/>
          <w:szCs w:val="24"/>
          <w:highlight w:val="none"/>
        </w:rPr>
        <w:t>保护</w:t>
      </w:r>
      <w:r>
        <w:rPr>
          <w:rFonts w:hint="eastAsia" w:ascii="宋体" w:hAnsi="宋体"/>
          <w:color w:val="auto"/>
          <w:sz w:val="24"/>
          <w:szCs w:val="24"/>
          <w:highlight w:val="none"/>
        </w:rPr>
        <w:t>。</w:t>
      </w:r>
      <w:r>
        <w:rPr>
          <w:rFonts w:ascii="宋体" w:hAnsi="宋体"/>
          <w:color w:val="auto"/>
          <w:sz w:val="24"/>
          <w:szCs w:val="24"/>
          <w:highlight w:val="none"/>
        </w:rPr>
        <w:t>因</w:t>
      </w:r>
      <w:r>
        <w:rPr>
          <w:rFonts w:hint="eastAsia" w:ascii="宋体" w:hAnsi="宋体"/>
          <w:color w:val="auto"/>
          <w:sz w:val="24"/>
          <w:szCs w:val="24"/>
          <w:highlight w:val="none"/>
        </w:rPr>
        <w:t>未在第一时间上报绿化巡查监管处(</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委托第三方</w:t>
      </w:r>
      <w:r>
        <w:rPr>
          <w:rFonts w:hint="eastAsia" w:ascii="宋体" w:hAnsi="宋体"/>
          <w:color w:val="auto"/>
          <w:sz w:val="24"/>
          <w:szCs w:val="24"/>
          <w:highlight w:val="none"/>
          <w:lang w:eastAsia="zh-CN"/>
        </w:rPr>
        <w:t>）</w:t>
      </w:r>
      <w:r>
        <w:rPr>
          <w:rFonts w:ascii="宋体" w:hAnsi="宋体"/>
          <w:color w:val="auto"/>
          <w:sz w:val="24"/>
          <w:szCs w:val="24"/>
          <w:highlight w:val="none"/>
        </w:rPr>
        <w:t>而导致绿地被</w:t>
      </w:r>
      <w:r>
        <w:rPr>
          <w:rFonts w:hint="eastAsia" w:ascii="宋体" w:hAnsi="宋体"/>
          <w:color w:val="auto"/>
          <w:sz w:val="24"/>
          <w:szCs w:val="24"/>
          <w:highlight w:val="none"/>
        </w:rPr>
        <w:t>破坏或</w:t>
      </w:r>
      <w:r>
        <w:rPr>
          <w:rFonts w:ascii="宋体" w:hAnsi="宋体"/>
          <w:color w:val="auto"/>
          <w:sz w:val="24"/>
          <w:szCs w:val="24"/>
          <w:highlight w:val="none"/>
        </w:rPr>
        <w:t>占用的，</w:t>
      </w:r>
      <w:r>
        <w:rPr>
          <w:rFonts w:hint="eastAsia" w:ascii="宋体" w:hAnsi="宋体"/>
          <w:color w:val="auto"/>
          <w:sz w:val="24"/>
          <w:szCs w:val="24"/>
          <w:highlight w:val="none"/>
        </w:rPr>
        <w:t>扣5</w:t>
      </w:r>
      <w:r>
        <w:rPr>
          <w:rFonts w:hint="eastAsia" w:ascii="宋体" w:hAnsi="宋体"/>
          <w:color w:val="auto"/>
          <w:sz w:val="24"/>
          <w:szCs w:val="24"/>
          <w:highlight w:val="none"/>
          <w:lang w:eastAsia="zh-CN"/>
        </w:rPr>
        <w:t>—</w:t>
      </w:r>
      <w:r>
        <w:rPr>
          <w:rFonts w:hint="eastAsia" w:ascii="宋体" w:hAnsi="宋体"/>
          <w:color w:val="auto"/>
          <w:sz w:val="24"/>
          <w:szCs w:val="24"/>
          <w:highlight w:val="none"/>
        </w:rPr>
        <w:t>10分直至不合格</w:t>
      </w:r>
      <w:r>
        <w:rPr>
          <w:rFonts w:ascii="宋体" w:hAnsi="宋体"/>
          <w:color w:val="auto"/>
          <w:sz w:val="24"/>
          <w:szCs w:val="24"/>
          <w:highlight w:val="none"/>
        </w:rPr>
        <w:t>；</w:t>
      </w:r>
      <w:r>
        <w:rPr>
          <w:rFonts w:hint="eastAsia" w:ascii="宋体" w:hAnsi="宋体"/>
          <w:color w:val="auto"/>
          <w:sz w:val="24"/>
          <w:szCs w:val="24"/>
          <w:highlight w:val="none"/>
        </w:rPr>
        <w:t>未经审批或绿化管理办（</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）同意，擅自砍伐、移植或更换养护范围内的树木，为不合格（低于</w:t>
      </w:r>
      <w:r>
        <w:rPr>
          <w:rFonts w:hint="eastAsia" w:ascii="宋体" w:hAnsi="宋体"/>
          <w:color w:val="auto"/>
          <w:sz w:val="24"/>
          <w:szCs w:val="24"/>
          <w:highlight w:val="none"/>
          <w:lang w:val="en-US" w:eastAsia="zh-CN"/>
        </w:rPr>
        <w:t>75</w:t>
      </w:r>
      <w:r>
        <w:rPr>
          <w:rFonts w:hint="eastAsia" w:ascii="宋体" w:hAnsi="宋体"/>
          <w:color w:val="auto"/>
          <w:sz w:val="24"/>
          <w:szCs w:val="24"/>
          <w:highlight w:val="none"/>
        </w:rPr>
        <w:t>分）</w:t>
      </w:r>
      <w:r>
        <w:rPr>
          <w:rFonts w:ascii="宋体" w:hAnsi="宋体"/>
          <w:color w:val="auto"/>
          <w:sz w:val="24"/>
          <w:szCs w:val="24"/>
          <w:highlight w:val="none"/>
        </w:rPr>
        <w:t>。</w:t>
      </w:r>
      <w:r>
        <w:rPr>
          <w:rFonts w:hint="eastAsia" w:ascii="宋体" w:hAnsi="宋体"/>
          <w:color w:val="auto"/>
          <w:sz w:val="24"/>
          <w:szCs w:val="24"/>
          <w:highlight w:val="none"/>
        </w:rPr>
        <w:t>造成的损失直接在养护费中扣除或由养护单位负责限期恢复原状。</w:t>
      </w:r>
    </w:p>
    <w:p w14:paraId="366315D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2.</w:t>
      </w:r>
      <w:r>
        <w:rPr>
          <w:rFonts w:ascii="宋体" w:hAnsi="宋体"/>
          <w:color w:val="auto"/>
          <w:sz w:val="24"/>
          <w:szCs w:val="24"/>
          <w:highlight w:val="none"/>
        </w:rPr>
        <w:t>对进入绿地践踏树木和损坏花木现象应予以制止，遇到严重破坏绿化行为</w:t>
      </w:r>
      <w:r>
        <w:rPr>
          <w:rFonts w:hint="eastAsia" w:ascii="宋体" w:hAnsi="宋体"/>
          <w:color w:val="auto"/>
          <w:sz w:val="24"/>
          <w:szCs w:val="24"/>
          <w:highlight w:val="none"/>
        </w:rPr>
        <w:t>应及时报绿化管理处（</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w:t>
      </w:r>
      <w:r>
        <w:rPr>
          <w:rFonts w:ascii="宋体" w:hAnsi="宋体"/>
          <w:color w:val="auto"/>
          <w:sz w:val="24"/>
          <w:szCs w:val="24"/>
          <w:highlight w:val="none"/>
        </w:rPr>
        <w:t>未及时上报的，一次扣</w:t>
      </w:r>
      <w:r>
        <w:rPr>
          <w:rFonts w:hint="eastAsia" w:ascii="宋体" w:hAnsi="宋体"/>
          <w:color w:val="auto"/>
          <w:sz w:val="24"/>
          <w:szCs w:val="24"/>
          <w:highlight w:val="none"/>
        </w:rPr>
        <w:t>3</w:t>
      </w:r>
      <w:r>
        <w:rPr>
          <w:rFonts w:ascii="宋体" w:hAnsi="宋体"/>
          <w:color w:val="auto"/>
          <w:sz w:val="24"/>
          <w:szCs w:val="24"/>
          <w:highlight w:val="none"/>
        </w:rPr>
        <w:t>分。</w:t>
      </w:r>
    </w:p>
    <w:p w14:paraId="0A14C84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3.</w:t>
      </w:r>
      <w:r>
        <w:rPr>
          <w:rFonts w:hint="eastAsia" w:ascii="宋体" w:hAnsi="宋体"/>
          <w:color w:val="auto"/>
          <w:sz w:val="24"/>
          <w:szCs w:val="24"/>
          <w:highlight w:val="none"/>
        </w:rPr>
        <w:t>绿地内或绿地附近严禁焚烧，未及时阻止的扣3</w:t>
      </w:r>
      <w:r>
        <w:rPr>
          <w:rFonts w:hint="eastAsia" w:ascii="宋体" w:hAnsi="宋体"/>
          <w:color w:val="auto"/>
          <w:sz w:val="24"/>
          <w:szCs w:val="24"/>
          <w:highlight w:val="none"/>
          <w:lang w:eastAsia="zh-CN"/>
        </w:rPr>
        <w:t>—</w:t>
      </w:r>
      <w:r>
        <w:rPr>
          <w:rFonts w:hint="eastAsia" w:ascii="宋体" w:hAnsi="宋体"/>
          <w:color w:val="auto"/>
          <w:sz w:val="24"/>
          <w:szCs w:val="24"/>
          <w:highlight w:val="none"/>
        </w:rPr>
        <w:t>5分。</w:t>
      </w:r>
    </w:p>
    <w:p w14:paraId="2B096FD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4.</w:t>
      </w:r>
      <w:r>
        <w:rPr>
          <w:rFonts w:hint="eastAsia" w:ascii="宋体" w:hAnsi="宋体"/>
          <w:color w:val="auto"/>
          <w:sz w:val="24"/>
          <w:szCs w:val="24"/>
          <w:highlight w:val="none"/>
        </w:rPr>
        <w:t>绿地中不允许种植农作物，未及时清除的扣2</w:t>
      </w:r>
      <w:r>
        <w:rPr>
          <w:rFonts w:hint="eastAsia" w:ascii="宋体" w:hAnsi="宋体"/>
          <w:color w:val="auto"/>
          <w:sz w:val="24"/>
          <w:szCs w:val="24"/>
          <w:highlight w:val="none"/>
          <w:lang w:eastAsia="zh-CN"/>
        </w:rPr>
        <w:t>—</w:t>
      </w:r>
      <w:r>
        <w:rPr>
          <w:rFonts w:hint="eastAsia" w:ascii="宋体" w:hAnsi="宋体"/>
          <w:color w:val="auto"/>
          <w:sz w:val="24"/>
          <w:szCs w:val="24"/>
          <w:highlight w:val="none"/>
        </w:rPr>
        <w:t>5分。</w:t>
      </w:r>
    </w:p>
    <w:p w14:paraId="55B3D22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五</w:t>
      </w:r>
      <w:r>
        <w:rPr>
          <w:rFonts w:ascii="宋体" w:hAnsi="宋体"/>
          <w:color w:val="auto"/>
          <w:sz w:val="24"/>
          <w:szCs w:val="24"/>
          <w:highlight w:val="none"/>
        </w:rPr>
        <w:t>、养护</w:t>
      </w:r>
      <w:r>
        <w:rPr>
          <w:rFonts w:hint="eastAsia" w:ascii="宋体" w:hAnsi="宋体"/>
          <w:color w:val="auto"/>
          <w:sz w:val="24"/>
          <w:szCs w:val="24"/>
          <w:highlight w:val="none"/>
          <w:lang w:eastAsia="zh-CN"/>
        </w:rPr>
        <w:t>台账</w:t>
      </w:r>
      <w:r>
        <w:rPr>
          <w:rFonts w:ascii="宋体" w:hAnsi="宋体"/>
          <w:color w:val="auto"/>
          <w:sz w:val="24"/>
          <w:szCs w:val="24"/>
          <w:highlight w:val="none"/>
        </w:rPr>
        <w:t>考核</w:t>
      </w:r>
    </w:p>
    <w:p w14:paraId="5DBEC3E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1.</w:t>
      </w:r>
      <w:r>
        <w:rPr>
          <w:rFonts w:ascii="宋体" w:hAnsi="宋体"/>
          <w:color w:val="auto"/>
          <w:sz w:val="24"/>
          <w:szCs w:val="24"/>
          <w:highlight w:val="none"/>
        </w:rPr>
        <w:t>月度养护计划不完整、不真实，每次扣</w:t>
      </w:r>
      <w:r>
        <w:rPr>
          <w:rFonts w:hint="eastAsia" w:ascii="宋体" w:hAnsi="宋体"/>
          <w:color w:val="auto"/>
          <w:sz w:val="24"/>
          <w:szCs w:val="24"/>
          <w:highlight w:val="none"/>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5</w:t>
      </w:r>
      <w:r>
        <w:rPr>
          <w:rFonts w:ascii="宋体" w:hAnsi="宋体"/>
          <w:color w:val="auto"/>
          <w:sz w:val="24"/>
          <w:szCs w:val="24"/>
          <w:highlight w:val="none"/>
        </w:rPr>
        <w:t>分。</w:t>
      </w:r>
    </w:p>
    <w:p w14:paraId="0F71A8F9">
      <w:pPr>
        <w:spacing w:line="360" w:lineRule="auto"/>
        <w:ind w:left="361" w:leftChars="172"/>
        <w:rPr>
          <w:rFonts w:ascii="宋体" w:hAnsi="宋体"/>
          <w:color w:val="auto"/>
          <w:sz w:val="24"/>
          <w:szCs w:val="24"/>
          <w:highlight w:val="none"/>
        </w:rPr>
      </w:pPr>
      <w:r>
        <w:rPr>
          <w:rFonts w:hint="eastAsia" w:ascii="宋体" w:hAnsi="宋体"/>
          <w:color w:val="auto"/>
          <w:sz w:val="24"/>
          <w:szCs w:val="24"/>
          <w:highlight w:val="none"/>
        </w:rPr>
        <w:t>六</w:t>
      </w:r>
      <w:r>
        <w:rPr>
          <w:rFonts w:ascii="宋体" w:hAnsi="宋体"/>
          <w:color w:val="auto"/>
          <w:sz w:val="24"/>
          <w:szCs w:val="24"/>
          <w:highlight w:val="none"/>
        </w:rPr>
        <w:t>、</w:t>
      </w:r>
      <w:r>
        <w:rPr>
          <w:rFonts w:hint="eastAsia" w:ascii="宋体" w:hAnsi="宋体"/>
          <w:color w:val="auto"/>
          <w:sz w:val="24"/>
          <w:szCs w:val="24"/>
          <w:highlight w:val="none"/>
          <w:lang w:eastAsia="zh-CN"/>
        </w:rPr>
        <w:t>其他</w:t>
      </w:r>
    </w:p>
    <w:p w14:paraId="44EACB1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rPr>
        <w:t>及时做好绿化管理处下达的其他任务，不服从或处置不力的每次扣2分直至不合格。</w:t>
      </w:r>
    </w:p>
    <w:p w14:paraId="5ABC4E8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2.</w:t>
      </w:r>
      <w:r>
        <w:rPr>
          <w:rFonts w:hint="eastAsia" w:ascii="宋体" w:hAnsi="宋体"/>
          <w:color w:val="auto"/>
          <w:sz w:val="24"/>
          <w:szCs w:val="24"/>
          <w:highlight w:val="none"/>
        </w:rPr>
        <w:t>必须在期限内根据要求完成养护检查及查巡中出现各种问题的整改；不按要求整改或整改不到位的，将在下次考核</w:t>
      </w:r>
      <w:r>
        <w:rPr>
          <w:rFonts w:hint="eastAsia" w:ascii="宋体" w:hAnsi="宋体"/>
          <w:color w:val="auto"/>
          <w:sz w:val="24"/>
          <w:szCs w:val="24"/>
          <w:highlight w:val="none"/>
          <w:lang w:eastAsia="zh-CN"/>
        </w:rPr>
        <w:t>中</w:t>
      </w:r>
      <w:r>
        <w:rPr>
          <w:rFonts w:hint="eastAsia" w:ascii="宋体" w:hAnsi="宋体"/>
          <w:color w:val="auto"/>
          <w:sz w:val="24"/>
          <w:szCs w:val="24"/>
          <w:highlight w:val="none"/>
        </w:rPr>
        <w:t>对未整改或整改不到位的从严扣分（加倍扣分）。</w:t>
      </w:r>
    </w:p>
    <w:p w14:paraId="60E2DB7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3.</w:t>
      </w:r>
      <w:r>
        <w:rPr>
          <w:rFonts w:hint="eastAsia" w:ascii="宋体" w:hAnsi="宋体"/>
          <w:color w:val="auto"/>
          <w:sz w:val="24"/>
          <w:szCs w:val="24"/>
          <w:highlight w:val="none"/>
        </w:rPr>
        <w:t>本办法解释权归</w:t>
      </w:r>
      <w:r>
        <w:rPr>
          <w:rFonts w:hint="eastAsia" w:ascii="宋体" w:hAnsi="宋体"/>
          <w:color w:val="auto"/>
          <w:sz w:val="24"/>
          <w:szCs w:val="24"/>
          <w:highlight w:val="none"/>
          <w:lang w:eastAsia="zh-CN"/>
        </w:rPr>
        <w:t>宝应经济开发区</w:t>
      </w:r>
      <w:r>
        <w:rPr>
          <w:rFonts w:hint="eastAsia" w:ascii="宋体" w:hAnsi="宋体"/>
          <w:color w:val="auto"/>
          <w:sz w:val="24"/>
          <w:szCs w:val="24"/>
          <w:highlight w:val="none"/>
        </w:rPr>
        <w:t>。</w:t>
      </w:r>
    </w:p>
    <w:p w14:paraId="3396941F">
      <w:pPr>
        <w:pStyle w:val="19"/>
        <w:spacing w:line="360" w:lineRule="auto"/>
        <w:rPr>
          <w:color w:val="auto"/>
          <w:sz w:val="24"/>
          <w:szCs w:val="24"/>
          <w:highlight w:val="none"/>
        </w:rPr>
        <w:sectPr>
          <w:pgSz w:w="11906" w:h="16838"/>
          <w:pgMar w:top="1440" w:right="1800" w:bottom="1440" w:left="1800" w:header="851" w:footer="992" w:gutter="0"/>
          <w:pgNumType w:fmt="decimal"/>
          <w:cols w:space="720" w:num="1"/>
          <w:docGrid w:type="lines" w:linePitch="312" w:charSpace="0"/>
        </w:sectPr>
      </w:pPr>
    </w:p>
    <w:p w14:paraId="19A3C661">
      <w:pPr>
        <w:pStyle w:val="3"/>
        <w:rPr>
          <w:rFonts w:hint="eastAsia"/>
          <w:color w:val="auto"/>
          <w:highlight w:val="none"/>
        </w:rPr>
      </w:pPr>
      <w:bookmarkStart w:id="178" w:name="_Toc125029417"/>
      <w:r>
        <w:rPr>
          <w:rFonts w:hint="eastAsia"/>
          <w:color w:val="auto"/>
          <w:highlight w:val="none"/>
        </w:rPr>
        <w:t>附件5：</w:t>
      </w:r>
      <w:r>
        <w:rPr>
          <w:rFonts w:hint="eastAsia"/>
          <w:color w:val="auto"/>
          <w:highlight w:val="none"/>
          <w:lang w:eastAsia="zh-CN"/>
        </w:rPr>
        <w:t>宝应经济开发区</w:t>
      </w:r>
      <w:r>
        <w:rPr>
          <w:rFonts w:hint="eastAsia"/>
          <w:color w:val="auto"/>
          <w:highlight w:val="none"/>
        </w:rPr>
        <w:t>绿地养护质量标准</w:t>
      </w:r>
      <w:bookmarkEnd w:id="178"/>
    </w:p>
    <w:tbl>
      <w:tblPr>
        <w:tblStyle w:val="41"/>
        <w:tblW w:w="0" w:type="auto"/>
        <w:tblInd w:w="-4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080"/>
        <w:gridCol w:w="2520"/>
        <w:gridCol w:w="2520"/>
        <w:gridCol w:w="2520"/>
      </w:tblGrid>
      <w:tr w14:paraId="0637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4D936935">
            <w:pPr>
              <w:spacing w:line="32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序号</w:t>
            </w:r>
          </w:p>
        </w:tc>
        <w:tc>
          <w:tcPr>
            <w:tcW w:w="1080" w:type="dxa"/>
            <w:noWrap w:val="0"/>
            <w:vAlign w:val="center"/>
          </w:tcPr>
          <w:p w14:paraId="363E6E20">
            <w:pPr>
              <w:spacing w:line="32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内容</w:t>
            </w:r>
          </w:p>
        </w:tc>
        <w:tc>
          <w:tcPr>
            <w:tcW w:w="2520" w:type="dxa"/>
            <w:noWrap w:val="0"/>
            <w:vAlign w:val="center"/>
          </w:tcPr>
          <w:p w14:paraId="29088AD1">
            <w:pPr>
              <w:spacing w:line="32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一级</w:t>
            </w:r>
          </w:p>
        </w:tc>
        <w:tc>
          <w:tcPr>
            <w:tcW w:w="2520" w:type="dxa"/>
            <w:noWrap w:val="0"/>
            <w:vAlign w:val="center"/>
          </w:tcPr>
          <w:p w14:paraId="39BB5BF7">
            <w:pPr>
              <w:spacing w:line="32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二级</w:t>
            </w:r>
          </w:p>
        </w:tc>
        <w:tc>
          <w:tcPr>
            <w:tcW w:w="2520" w:type="dxa"/>
            <w:noWrap w:val="0"/>
            <w:vAlign w:val="center"/>
          </w:tcPr>
          <w:p w14:paraId="7754A0A6">
            <w:pPr>
              <w:spacing w:line="32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三级</w:t>
            </w:r>
          </w:p>
        </w:tc>
      </w:tr>
      <w:tr w14:paraId="0919B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5F7510BA">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1</w:t>
            </w:r>
          </w:p>
        </w:tc>
        <w:tc>
          <w:tcPr>
            <w:tcW w:w="1080" w:type="dxa"/>
            <w:noWrap w:val="0"/>
            <w:vAlign w:val="center"/>
          </w:tcPr>
          <w:p w14:paraId="4FE357D4">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群落</w:t>
            </w:r>
          </w:p>
          <w:p w14:paraId="26A3FEB1">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结构</w:t>
            </w:r>
          </w:p>
        </w:tc>
        <w:tc>
          <w:tcPr>
            <w:tcW w:w="2520" w:type="dxa"/>
            <w:noWrap w:val="0"/>
            <w:vAlign w:val="center"/>
          </w:tcPr>
          <w:p w14:paraId="5592EB16">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随着植物生长的各个时期，不断进行更新、调整、间伐，使群落结构稳定，树种配置科学合理，层次丰富，物种多样覆盖地表，黄土不裸露，生态观赏效果好。</w:t>
            </w:r>
          </w:p>
        </w:tc>
        <w:tc>
          <w:tcPr>
            <w:tcW w:w="2520" w:type="dxa"/>
            <w:noWrap w:val="0"/>
            <w:vAlign w:val="center"/>
          </w:tcPr>
          <w:p w14:paraId="4BF03743">
            <w:pPr>
              <w:spacing w:line="300" w:lineRule="exact"/>
              <w:rPr>
                <w:rFonts w:hint="eastAsia" w:ascii="宋体" w:hAnsi="宋体"/>
                <w:color w:val="auto"/>
                <w:spacing w:val="12"/>
                <w:sz w:val="24"/>
                <w:highlight w:val="none"/>
              </w:rPr>
            </w:pPr>
            <w:r>
              <w:rPr>
                <w:rFonts w:hint="eastAsia" w:ascii="宋体" w:hAnsi="宋体"/>
                <w:color w:val="auto"/>
                <w:spacing w:val="12"/>
                <w:sz w:val="24"/>
                <w:highlight w:val="none"/>
              </w:rPr>
              <w:t>随着植物生长的各个时期，不断进行更新与调整，使林相结构合理，有较完整的层次和不少于</w:t>
            </w:r>
            <w:r>
              <w:rPr>
                <w:rFonts w:hint="eastAsia" w:ascii="宋体" w:hAnsi="宋体"/>
                <w:color w:val="auto"/>
                <w:spacing w:val="12"/>
                <w:sz w:val="24"/>
                <w:highlight w:val="none"/>
                <w:lang w:eastAsia="zh-CN"/>
              </w:rPr>
              <w:t>两层</w:t>
            </w:r>
            <w:r>
              <w:rPr>
                <w:rFonts w:hint="eastAsia" w:ascii="宋体" w:hAnsi="宋体"/>
                <w:color w:val="auto"/>
                <w:spacing w:val="12"/>
                <w:sz w:val="24"/>
                <w:highlight w:val="none"/>
              </w:rPr>
              <w:t>的林相结构，林下处理得当。</w:t>
            </w:r>
          </w:p>
        </w:tc>
        <w:tc>
          <w:tcPr>
            <w:tcW w:w="2520" w:type="dxa"/>
            <w:noWrap w:val="0"/>
            <w:vAlign w:val="top"/>
          </w:tcPr>
          <w:p w14:paraId="5ECC2397">
            <w:pPr>
              <w:spacing w:line="300" w:lineRule="exact"/>
              <w:rPr>
                <w:rFonts w:hint="eastAsia" w:ascii="宋体" w:hAnsi="宋体"/>
                <w:color w:val="auto"/>
                <w:spacing w:val="12"/>
                <w:sz w:val="24"/>
                <w:highlight w:val="none"/>
              </w:rPr>
            </w:pPr>
            <w:r>
              <w:rPr>
                <w:rFonts w:hint="eastAsia" w:ascii="宋体" w:hAnsi="宋体"/>
                <w:color w:val="auto"/>
                <w:spacing w:val="12"/>
                <w:sz w:val="24"/>
                <w:highlight w:val="none"/>
              </w:rPr>
              <w:t>植物种植成片或带状，有较好的绿化效果，地表整洁。</w:t>
            </w:r>
          </w:p>
        </w:tc>
      </w:tr>
      <w:tr w14:paraId="6E391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52EE0FEE">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2</w:t>
            </w:r>
          </w:p>
        </w:tc>
        <w:tc>
          <w:tcPr>
            <w:tcW w:w="1080" w:type="dxa"/>
            <w:noWrap w:val="0"/>
            <w:vAlign w:val="center"/>
          </w:tcPr>
          <w:p w14:paraId="7113E18E">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树木</w:t>
            </w:r>
          </w:p>
          <w:p w14:paraId="03889E58">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养护</w:t>
            </w:r>
          </w:p>
        </w:tc>
        <w:tc>
          <w:tcPr>
            <w:tcW w:w="2520" w:type="dxa"/>
            <w:noWrap w:val="0"/>
            <w:vAlign w:val="center"/>
          </w:tcPr>
          <w:p w14:paraId="1131984F">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树木生长健壮，不歪斜。</w:t>
            </w:r>
          </w:p>
          <w:p w14:paraId="03B8E934">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新建绿地各种植物两年内恢复正常生长。</w:t>
            </w:r>
          </w:p>
          <w:p w14:paraId="343C608C">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树冠完整美观，修剪科学合理，主侧枝分布均匀，数量适宜，内膛不乱，通风透气，无枯枝、死杈。</w:t>
            </w:r>
          </w:p>
          <w:p w14:paraId="4A33FD6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花灌木按时开花结果，</w:t>
            </w:r>
            <w:r>
              <w:rPr>
                <w:rFonts w:hint="eastAsia" w:ascii="宋体" w:hAnsi="宋体"/>
                <w:color w:val="auto"/>
                <w:spacing w:val="12"/>
                <w:sz w:val="24"/>
                <w:highlight w:val="none"/>
                <w:lang w:eastAsia="zh-CN"/>
              </w:rPr>
              <w:t>株型</w:t>
            </w:r>
            <w:r>
              <w:rPr>
                <w:rFonts w:hint="eastAsia" w:ascii="宋体" w:hAnsi="宋体"/>
                <w:color w:val="auto"/>
                <w:spacing w:val="12"/>
                <w:sz w:val="24"/>
                <w:highlight w:val="none"/>
              </w:rPr>
              <w:t>丰满，花后修剪及时。</w:t>
            </w:r>
          </w:p>
          <w:p w14:paraId="38CB2600">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整形植物修剪及时，保持</w:t>
            </w:r>
            <w:r>
              <w:rPr>
                <w:rFonts w:hint="eastAsia" w:ascii="宋体" w:hAnsi="宋体"/>
                <w:color w:val="auto"/>
                <w:spacing w:val="12"/>
                <w:sz w:val="24"/>
                <w:highlight w:val="none"/>
                <w:lang w:eastAsia="zh-CN"/>
              </w:rPr>
              <w:t>外形</w:t>
            </w:r>
            <w:r>
              <w:rPr>
                <w:rFonts w:hint="eastAsia" w:ascii="宋体" w:hAnsi="宋体"/>
                <w:color w:val="auto"/>
                <w:spacing w:val="12"/>
                <w:sz w:val="24"/>
                <w:highlight w:val="none"/>
              </w:rPr>
              <w:t>轮廓清楚，外缘枝叶紧密。</w:t>
            </w:r>
          </w:p>
          <w:p w14:paraId="0EDAE9FA">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6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⑥</w:t>
            </w:r>
            <w:r>
              <w:rPr>
                <w:rFonts w:ascii="宋体" w:hAnsi="宋体"/>
                <w:color w:val="auto"/>
                <w:spacing w:val="12"/>
                <w:sz w:val="24"/>
                <w:highlight w:val="none"/>
              </w:rPr>
              <w:fldChar w:fldCharType="end"/>
            </w:r>
            <w:r>
              <w:rPr>
                <w:rFonts w:hint="eastAsia" w:ascii="宋体" w:hAnsi="宋体"/>
                <w:color w:val="auto"/>
                <w:spacing w:val="12"/>
                <w:sz w:val="24"/>
                <w:highlight w:val="none"/>
              </w:rPr>
              <w:t>地被植物整齐，覆盖率在98%以上。</w:t>
            </w:r>
          </w:p>
          <w:p w14:paraId="216E14BF">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7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⑦</w:t>
            </w:r>
            <w:r>
              <w:rPr>
                <w:rFonts w:ascii="宋体" w:hAnsi="宋体"/>
                <w:color w:val="auto"/>
                <w:spacing w:val="12"/>
                <w:sz w:val="24"/>
                <w:highlight w:val="none"/>
              </w:rPr>
              <w:fldChar w:fldCharType="end"/>
            </w:r>
            <w:r>
              <w:rPr>
                <w:rFonts w:hint="eastAsia" w:ascii="宋体" w:hAnsi="宋体"/>
                <w:color w:val="auto"/>
                <w:spacing w:val="12"/>
                <w:sz w:val="24"/>
                <w:highlight w:val="none"/>
              </w:rPr>
              <w:t>树木存活率在98%以上。</w:t>
            </w:r>
          </w:p>
        </w:tc>
        <w:tc>
          <w:tcPr>
            <w:tcW w:w="2520" w:type="dxa"/>
            <w:noWrap w:val="0"/>
            <w:vAlign w:val="center"/>
          </w:tcPr>
          <w:p w14:paraId="550B6EC3">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树木生长正常，不歪斜。</w:t>
            </w:r>
          </w:p>
          <w:p w14:paraId="4141652A">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新建绿地各种植物三年内恢复正常生长。</w:t>
            </w:r>
          </w:p>
          <w:p w14:paraId="3A740C3F">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树冠基本完整，主侧枝匀称，数量适宜，修剪合理，内膛不乱，通风透气，无枯枝死杈。</w:t>
            </w:r>
          </w:p>
          <w:p w14:paraId="395C51BC">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花灌木开花及时，正常，花后修剪及时。</w:t>
            </w:r>
          </w:p>
          <w:p w14:paraId="66613B50">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整形植物修剪及时，枝叶生长正常，整齐一致。</w:t>
            </w:r>
          </w:p>
          <w:p w14:paraId="309950CF">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6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⑥</w:t>
            </w:r>
            <w:r>
              <w:rPr>
                <w:rFonts w:ascii="宋体" w:hAnsi="宋体"/>
                <w:color w:val="auto"/>
                <w:spacing w:val="12"/>
                <w:sz w:val="24"/>
                <w:highlight w:val="none"/>
              </w:rPr>
              <w:fldChar w:fldCharType="end"/>
            </w:r>
            <w:r>
              <w:rPr>
                <w:rFonts w:hint="eastAsia" w:ascii="宋体" w:hAnsi="宋体"/>
                <w:color w:val="auto"/>
                <w:spacing w:val="12"/>
                <w:sz w:val="24"/>
                <w:highlight w:val="none"/>
              </w:rPr>
              <w:t>地被植物整齐，覆盖率在98%以上。</w:t>
            </w:r>
          </w:p>
          <w:p w14:paraId="77ED4663">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7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⑦</w:t>
            </w:r>
            <w:r>
              <w:rPr>
                <w:rFonts w:ascii="宋体" w:hAnsi="宋体"/>
                <w:color w:val="auto"/>
                <w:spacing w:val="12"/>
                <w:sz w:val="24"/>
                <w:highlight w:val="none"/>
              </w:rPr>
              <w:fldChar w:fldCharType="end"/>
            </w:r>
            <w:r>
              <w:rPr>
                <w:rFonts w:hint="eastAsia" w:ascii="宋体" w:hAnsi="宋体"/>
                <w:color w:val="auto"/>
                <w:spacing w:val="12"/>
                <w:sz w:val="24"/>
                <w:highlight w:val="none"/>
              </w:rPr>
              <w:t>树木存活率在98%以上。</w:t>
            </w:r>
          </w:p>
        </w:tc>
        <w:tc>
          <w:tcPr>
            <w:tcW w:w="2520" w:type="dxa"/>
            <w:noWrap w:val="0"/>
            <w:vAlign w:val="top"/>
          </w:tcPr>
          <w:p w14:paraId="52EFADAC">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树木生长正常，不歪斜，有绿色效果。</w:t>
            </w:r>
          </w:p>
          <w:p w14:paraId="55117570">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新建绿地各种植物三年内基本恢复正常生长。</w:t>
            </w:r>
          </w:p>
          <w:p w14:paraId="20FB93CF">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树冠基本完整，修剪及时，无明显枯枝死杈。</w:t>
            </w:r>
          </w:p>
          <w:p w14:paraId="5538B732">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花灌木开花及时，花后修剪及时。</w:t>
            </w:r>
          </w:p>
          <w:p w14:paraId="2BC245A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整形植物及时修剪，有一定形态。</w:t>
            </w:r>
          </w:p>
          <w:p w14:paraId="324E3143">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6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⑥</w:t>
            </w:r>
            <w:r>
              <w:rPr>
                <w:rFonts w:ascii="宋体" w:hAnsi="宋体"/>
                <w:color w:val="auto"/>
                <w:spacing w:val="12"/>
                <w:sz w:val="24"/>
                <w:highlight w:val="none"/>
              </w:rPr>
              <w:fldChar w:fldCharType="end"/>
            </w:r>
            <w:r>
              <w:rPr>
                <w:rFonts w:hint="eastAsia" w:ascii="宋体" w:hAnsi="宋体"/>
                <w:color w:val="auto"/>
                <w:spacing w:val="12"/>
                <w:sz w:val="24"/>
                <w:highlight w:val="none"/>
              </w:rPr>
              <w:t>地被植物整齐，覆盖率在98%以上。</w:t>
            </w:r>
          </w:p>
          <w:p w14:paraId="520FD433">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7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⑦</w:t>
            </w:r>
            <w:r>
              <w:rPr>
                <w:rFonts w:ascii="宋体" w:hAnsi="宋体"/>
                <w:color w:val="auto"/>
                <w:spacing w:val="12"/>
                <w:sz w:val="24"/>
                <w:highlight w:val="none"/>
              </w:rPr>
              <w:fldChar w:fldCharType="end"/>
            </w:r>
            <w:r>
              <w:rPr>
                <w:rFonts w:hint="eastAsia" w:ascii="宋体" w:hAnsi="宋体"/>
                <w:color w:val="auto"/>
                <w:spacing w:val="12"/>
                <w:sz w:val="24"/>
                <w:highlight w:val="none"/>
              </w:rPr>
              <w:t>树木存活率在98%以上。</w:t>
            </w:r>
          </w:p>
        </w:tc>
      </w:tr>
      <w:tr w14:paraId="44F3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71A71A8C">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3</w:t>
            </w:r>
          </w:p>
        </w:tc>
        <w:tc>
          <w:tcPr>
            <w:tcW w:w="1080" w:type="dxa"/>
            <w:noWrap w:val="0"/>
            <w:vAlign w:val="center"/>
          </w:tcPr>
          <w:p w14:paraId="34B5735F">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草坪</w:t>
            </w:r>
          </w:p>
          <w:p w14:paraId="2EA7ADB4">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养护</w:t>
            </w:r>
          </w:p>
        </w:tc>
        <w:tc>
          <w:tcPr>
            <w:tcW w:w="2520" w:type="dxa"/>
            <w:noWrap w:val="0"/>
            <w:vAlign w:val="center"/>
          </w:tcPr>
          <w:p w14:paraId="29D1729C">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草种纯正，生长茂盛。</w:t>
            </w:r>
          </w:p>
          <w:p w14:paraId="103CFE19">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颜色一致，高度一致，密度一致，质地均一。</w:t>
            </w:r>
          </w:p>
          <w:p w14:paraId="0490326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草高不超过（冷）6cm，（暖）3cm。</w:t>
            </w:r>
          </w:p>
          <w:p w14:paraId="63F1CAF6">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草坪边缘线清晰（与路面、树穴、花坛交界处）。</w:t>
            </w:r>
          </w:p>
          <w:p w14:paraId="6648A334">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无杂草。</w:t>
            </w:r>
          </w:p>
          <w:p w14:paraId="4B28A040">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6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⑥</w:t>
            </w:r>
            <w:r>
              <w:rPr>
                <w:rFonts w:ascii="宋体" w:hAnsi="宋体"/>
                <w:color w:val="auto"/>
                <w:spacing w:val="12"/>
                <w:sz w:val="24"/>
                <w:highlight w:val="none"/>
              </w:rPr>
              <w:fldChar w:fldCharType="end"/>
            </w:r>
            <w:r>
              <w:rPr>
                <w:rFonts w:hint="eastAsia" w:ascii="宋体" w:hAnsi="宋体"/>
                <w:color w:val="auto"/>
                <w:spacing w:val="12"/>
                <w:sz w:val="24"/>
                <w:highlight w:val="none"/>
              </w:rPr>
              <w:t>草坪覆盖率在98%以上，无大于20×20cm的秃斑。</w:t>
            </w:r>
          </w:p>
          <w:p w14:paraId="04A3F9AE">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7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⑦</w:t>
            </w:r>
            <w:r>
              <w:rPr>
                <w:rFonts w:ascii="宋体" w:hAnsi="宋体"/>
                <w:color w:val="auto"/>
                <w:spacing w:val="12"/>
                <w:sz w:val="24"/>
                <w:highlight w:val="none"/>
              </w:rPr>
              <w:fldChar w:fldCharType="end"/>
            </w:r>
            <w:r>
              <w:rPr>
                <w:rFonts w:hint="eastAsia" w:ascii="宋体" w:hAnsi="宋体"/>
                <w:color w:val="auto"/>
                <w:spacing w:val="12"/>
                <w:sz w:val="24"/>
                <w:highlight w:val="none"/>
              </w:rPr>
              <w:t>绿地平整，雨后无积水。</w:t>
            </w:r>
          </w:p>
        </w:tc>
        <w:tc>
          <w:tcPr>
            <w:tcW w:w="2520" w:type="dxa"/>
            <w:noWrap w:val="0"/>
            <w:vAlign w:val="top"/>
          </w:tcPr>
          <w:p w14:paraId="2F62851E">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草种基本纯正，生长整齐。</w:t>
            </w:r>
          </w:p>
          <w:p w14:paraId="162673E6">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生长期草高不超过（冷）6cm，（暖）3.5cm。</w:t>
            </w:r>
          </w:p>
          <w:p w14:paraId="0B57ACDD">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基本无杂草。</w:t>
            </w:r>
          </w:p>
          <w:p w14:paraId="2FBA593D">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草坪覆盖度98%以上，无大于50×50cm的秃斑。</w:t>
            </w:r>
          </w:p>
          <w:p w14:paraId="7AF59B4E">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草坪边缘线清晰（树穴、花坛交界处）。</w:t>
            </w:r>
          </w:p>
        </w:tc>
        <w:tc>
          <w:tcPr>
            <w:tcW w:w="2520" w:type="dxa"/>
            <w:noWrap w:val="0"/>
            <w:vAlign w:val="top"/>
          </w:tcPr>
          <w:p w14:paraId="677B23F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草坪生长茂盛。</w:t>
            </w:r>
          </w:p>
          <w:p w14:paraId="1084D4E8">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生长期草高不超过（冷）8cm，（暖）4cm。</w:t>
            </w:r>
          </w:p>
          <w:p w14:paraId="76D280C5">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基本无阔叶杂草，杂草控制高度：5cm以下。</w:t>
            </w:r>
          </w:p>
          <w:p w14:paraId="5AC350F5">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草坪覆盖度98%以上，集中空秃面积不</w:t>
            </w:r>
            <w:r>
              <w:rPr>
                <w:rFonts w:hint="eastAsia" w:ascii="宋体" w:hAnsi="宋体"/>
                <w:color w:val="auto"/>
                <w:spacing w:val="12"/>
                <w:sz w:val="24"/>
                <w:highlight w:val="none"/>
                <w:lang w:eastAsia="zh-CN"/>
              </w:rPr>
              <w:t>超过</w:t>
            </w:r>
            <w:r>
              <w:rPr>
                <w:rFonts w:hint="eastAsia" w:ascii="宋体" w:hAnsi="宋体"/>
                <w:color w:val="auto"/>
                <w:spacing w:val="12"/>
                <w:sz w:val="24"/>
                <w:highlight w:val="none"/>
              </w:rPr>
              <w:t>1m</w:t>
            </w:r>
            <w:r>
              <w:rPr>
                <w:rFonts w:hint="eastAsia" w:ascii="宋体" w:hAnsi="宋体"/>
                <w:color w:val="auto"/>
                <w:spacing w:val="12"/>
                <w:sz w:val="24"/>
                <w:highlight w:val="none"/>
                <w:vertAlign w:val="superscript"/>
              </w:rPr>
              <w:t>2</w:t>
            </w:r>
            <w:r>
              <w:rPr>
                <w:rFonts w:hint="eastAsia" w:ascii="宋体" w:hAnsi="宋体"/>
                <w:color w:val="auto"/>
                <w:spacing w:val="12"/>
                <w:sz w:val="24"/>
                <w:highlight w:val="none"/>
              </w:rPr>
              <w:t>。</w:t>
            </w:r>
          </w:p>
          <w:p w14:paraId="245D53EC">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草坪与树穴交界处有边缘线。</w:t>
            </w:r>
          </w:p>
        </w:tc>
      </w:tr>
      <w:tr w14:paraId="2C10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67D92F74">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4</w:t>
            </w:r>
          </w:p>
        </w:tc>
        <w:tc>
          <w:tcPr>
            <w:tcW w:w="1080" w:type="dxa"/>
            <w:noWrap w:val="0"/>
            <w:vAlign w:val="center"/>
          </w:tcPr>
          <w:p w14:paraId="2456C401">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卫生</w:t>
            </w:r>
          </w:p>
          <w:p w14:paraId="7ABB2E3F">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标准</w:t>
            </w:r>
          </w:p>
        </w:tc>
        <w:tc>
          <w:tcPr>
            <w:tcW w:w="2520" w:type="dxa"/>
            <w:noWrap w:val="0"/>
            <w:vAlign w:val="center"/>
          </w:tcPr>
          <w:p w14:paraId="438F4DB2">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绿地整洁，无枯枝病叶，无垃圾，植物叶面无陈旧积尘。</w:t>
            </w: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无杂物（纸屑、果壳、塑料纸、砖头石块、堆物、堆料、搭棚等）。</w:t>
            </w:r>
          </w:p>
          <w:p w14:paraId="6AEDEDA0">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绿化生产垃圾（树枝、树叶、草屑等）、水面杂物，重点地区随产随清，其它地区日产日清，做到巡视保洁。</w:t>
            </w:r>
          </w:p>
          <w:p w14:paraId="4033B208">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绿地设施整洁，立面无涂刻、招贴。</w:t>
            </w:r>
          </w:p>
          <w:p w14:paraId="727CF80A">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无卫生死角。</w:t>
            </w:r>
          </w:p>
        </w:tc>
        <w:tc>
          <w:tcPr>
            <w:tcW w:w="2520" w:type="dxa"/>
            <w:noWrap w:val="0"/>
            <w:vAlign w:val="top"/>
          </w:tcPr>
          <w:p w14:paraId="4256341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绿地整洁，无枯枝病叶，无垃圾，植物叶面无陈旧积尘。</w:t>
            </w:r>
          </w:p>
          <w:p w14:paraId="5BE0EAE2">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无杂物（纸屑、果壳、塑料纸、砖头石块、堆物、堆料、搭棚等）。</w:t>
            </w:r>
          </w:p>
          <w:p w14:paraId="62848AA1">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绿化生产垃圾（树枝、树叶、草屑等）、水面杂物，应日产日清，做到保洁及时。</w:t>
            </w:r>
          </w:p>
          <w:p w14:paraId="60AEB792">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绿地设施整洁，立面无涂刻、招贴。</w:t>
            </w:r>
          </w:p>
          <w:p w14:paraId="4EFC0D5D">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无卫生死角。</w:t>
            </w:r>
          </w:p>
        </w:tc>
        <w:tc>
          <w:tcPr>
            <w:tcW w:w="2520" w:type="dxa"/>
            <w:noWrap w:val="0"/>
            <w:vAlign w:val="top"/>
          </w:tcPr>
          <w:p w14:paraId="2398BB5D">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绿地基本整洁，无枯枝病叶，无垃圾。</w:t>
            </w:r>
          </w:p>
          <w:p w14:paraId="1D4478A0">
            <w:pPr>
              <w:spacing w:line="300" w:lineRule="exact"/>
              <w:rPr>
                <w:rFonts w:hint="eastAsia" w:ascii="宋体" w:hAnsi="宋体"/>
                <w:color w:val="auto"/>
                <w:spacing w:val="12"/>
                <w:sz w:val="24"/>
                <w:highlight w:val="none"/>
              </w:rPr>
            </w:pPr>
            <w:r>
              <w:rPr>
                <w:rFonts w:ascii="宋体" w:hAnsi="宋体"/>
                <w:color w:val="auto"/>
                <w:spacing w:val="12"/>
                <w:sz w:val="24"/>
                <w:highlight w:val="none"/>
              </w:rPr>
              <w:t xml:space="preserve"> </w:t>
            </w: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无明显杂物（纸屑、果壳、塑料纸、砖头石块、堆物、堆料、搭棚等）。</w:t>
            </w:r>
          </w:p>
          <w:p w14:paraId="45381045">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绿化生产垃圾（树枝、树叶、草屑等），水面杂物能日产日清，能做到保洁及时。</w:t>
            </w:r>
          </w:p>
          <w:p w14:paraId="10CD0685">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绿地设施整洁，立面无涂刻、招贴。</w:t>
            </w:r>
          </w:p>
          <w:p w14:paraId="0AD49EAA">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无卫生死角。</w:t>
            </w:r>
          </w:p>
          <w:p w14:paraId="619C0A23">
            <w:pPr>
              <w:spacing w:line="300" w:lineRule="exact"/>
              <w:rPr>
                <w:rFonts w:hint="eastAsia" w:ascii="宋体" w:hAnsi="宋体"/>
                <w:color w:val="auto"/>
                <w:spacing w:val="12"/>
                <w:sz w:val="24"/>
                <w:highlight w:val="none"/>
              </w:rPr>
            </w:pPr>
          </w:p>
        </w:tc>
      </w:tr>
      <w:tr w14:paraId="04AA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6CEFE2FB">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5</w:t>
            </w:r>
          </w:p>
        </w:tc>
        <w:tc>
          <w:tcPr>
            <w:tcW w:w="1080" w:type="dxa"/>
            <w:noWrap w:val="0"/>
            <w:vAlign w:val="center"/>
          </w:tcPr>
          <w:p w14:paraId="176CED9E">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灌溉与排水</w:t>
            </w:r>
          </w:p>
        </w:tc>
        <w:tc>
          <w:tcPr>
            <w:tcW w:w="2520" w:type="dxa"/>
            <w:noWrap w:val="0"/>
            <w:vAlign w:val="center"/>
          </w:tcPr>
          <w:p w14:paraId="0C01F1EC">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绿地内有灌水、排水设施，灌溉用水水质符合园林植物灌溉水质要求。</w:t>
            </w:r>
          </w:p>
          <w:p w14:paraId="76E94F7E">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浇水树堰规范（直径为树木胸径的10倍），浇水后无跑水、漏水现象。</w:t>
            </w:r>
          </w:p>
          <w:p w14:paraId="2706DFAF">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绿地无超过12小时的积水。</w:t>
            </w:r>
          </w:p>
        </w:tc>
        <w:tc>
          <w:tcPr>
            <w:tcW w:w="2520" w:type="dxa"/>
            <w:noWrap w:val="0"/>
            <w:vAlign w:val="top"/>
          </w:tcPr>
          <w:p w14:paraId="59AFA3D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绿地内有排水设施，灌溉用水水源便利，水质符合园林植物灌溉水质要求。</w:t>
            </w:r>
          </w:p>
          <w:p w14:paraId="7E14CE48">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浇水树堰完整，浇水后无明显跑水、漏水现象。</w:t>
            </w:r>
          </w:p>
          <w:p w14:paraId="3FCCB1E7">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绿地无超过24小时的积水。</w:t>
            </w:r>
          </w:p>
        </w:tc>
        <w:tc>
          <w:tcPr>
            <w:tcW w:w="2520" w:type="dxa"/>
            <w:noWrap w:val="0"/>
            <w:vAlign w:val="top"/>
          </w:tcPr>
          <w:p w14:paraId="53DC05A8">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灌溉用水水源便利，水质符合园林植物灌溉水质要求。</w:t>
            </w:r>
          </w:p>
          <w:p w14:paraId="24E902D2">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有浇水树堰，浇水后水不溢出绿地。</w:t>
            </w:r>
          </w:p>
          <w:p w14:paraId="5DF2550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无超过36小时的积水。</w:t>
            </w:r>
          </w:p>
        </w:tc>
      </w:tr>
      <w:tr w14:paraId="71213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0063B87D">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6</w:t>
            </w:r>
          </w:p>
        </w:tc>
        <w:tc>
          <w:tcPr>
            <w:tcW w:w="1080" w:type="dxa"/>
            <w:noWrap w:val="0"/>
            <w:vAlign w:val="center"/>
          </w:tcPr>
          <w:p w14:paraId="7122D1C9">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杂草</w:t>
            </w:r>
          </w:p>
          <w:p w14:paraId="4D8ED8A6">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控制</w:t>
            </w:r>
          </w:p>
        </w:tc>
        <w:tc>
          <w:tcPr>
            <w:tcW w:w="2520" w:type="dxa"/>
            <w:noWrap w:val="0"/>
            <w:vAlign w:val="top"/>
          </w:tcPr>
          <w:p w14:paraId="6D59F836">
            <w:pPr>
              <w:spacing w:line="300" w:lineRule="exact"/>
              <w:rPr>
                <w:rFonts w:hint="eastAsia" w:ascii="宋体" w:hAnsi="宋体"/>
                <w:color w:val="auto"/>
                <w:spacing w:val="12"/>
                <w:sz w:val="24"/>
                <w:highlight w:val="none"/>
              </w:rPr>
            </w:pPr>
            <w:r>
              <w:rPr>
                <w:rFonts w:hint="eastAsia" w:ascii="宋体" w:hAnsi="宋体"/>
                <w:color w:val="auto"/>
                <w:spacing w:val="12"/>
                <w:sz w:val="24"/>
                <w:highlight w:val="none"/>
              </w:rPr>
              <w:t>无大型野草，无缠绕性、攀缘性杂草，基本无杂草。</w:t>
            </w:r>
          </w:p>
        </w:tc>
        <w:tc>
          <w:tcPr>
            <w:tcW w:w="2520" w:type="dxa"/>
            <w:noWrap w:val="0"/>
            <w:vAlign w:val="center"/>
          </w:tcPr>
          <w:p w14:paraId="32EAD7EF">
            <w:pPr>
              <w:spacing w:line="300" w:lineRule="exact"/>
              <w:rPr>
                <w:rFonts w:hint="eastAsia" w:ascii="宋体" w:hAnsi="宋体"/>
                <w:color w:val="auto"/>
                <w:spacing w:val="12"/>
                <w:sz w:val="24"/>
                <w:highlight w:val="none"/>
              </w:rPr>
            </w:pPr>
            <w:r>
              <w:rPr>
                <w:rFonts w:hint="eastAsia" w:ascii="宋体" w:hAnsi="宋体"/>
                <w:color w:val="auto"/>
                <w:spacing w:val="12"/>
                <w:sz w:val="24"/>
                <w:highlight w:val="none"/>
              </w:rPr>
              <w:t>无大型野草，无缠绕性、攀缘性杂草，路边及零星区域的杂草控制在5cm以下，并不得蔓延到路面、花树坛，不影响景观效果。</w:t>
            </w:r>
          </w:p>
        </w:tc>
        <w:tc>
          <w:tcPr>
            <w:tcW w:w="2520" w:type="dxa"/>
            <w:noWrap w:val="0"/>
            <w:vAlign w:val="top"/>
          </w:tcPr>
          <w:p w14:paraId="69950284">
            <w:pPr>
              <w:spacing w:line="300" w:lineRule="exact"/>
              <w:rPr>
                <w:rFonts w:hint="eastAsia" w:ascii="宋体" w:hAnsi="宋体"/>
                <w:color w:val="auto"/>
                <w:spacing w:val="12"/>
                <w:sz w:val="24"/>
                <w:highlight w:val="none"/>
              </w:rPr>
            </w:pPr>
            <w:r>
              <w:rPr>
                <w:rFonts w:hint="eastAsia" w:ascii="宋体" w:hAnsi="宋体"/>
                <w:color w:val="auto"/>
                <w:spacing w:val="12"/>
                <w:sz w:val="24"/>
                <w:highlight w:val="none"/>
              </w:rPr>
              <w:t>无缠绕性、攀缘性杂草，控制杂草高度以不影响景观效果为度。</w:t>
            </w:r>
          </w:p>
        </w:tc>
      </w:tr>
      <w:tr w14:paraId="70FE0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7949E516">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7</w:t>
            </w:r>
          </w:p>
        </w:tc>
        <w:tc>
          <w:tcPr>
            <w:tcW w:w="1080" w:type="dxa"/>
            <w:noWrap w:val="0"/>
            <w:vAlign w:val="center"/>
          </w:tcPr>
          <w:p w14:paraId="7DF86AD7">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病虫害控制</w:t>
            </w:r>
          </w:p>
        </w:tc>
        <w:tc>
          <w:tcPr>
            <w:tcW w:w="2520" w:type="dxa"/>
            <w:noWrap w:val="0"/>
            <w:vAlign w:val="center"/>
          </w:tcPr>
          <w:p w14:paraId="1DC5F116">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有病虫害控制措施。</w:t>
            </w:r>
          </w:p>
          <w:p w14:paraId="06731912">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基本无病虫危害迹象。</w:t>
            </w:r>
          </w:p>
          <w:p w14:paraId="7016418D">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食叶、刺吸性害虫危害的叶片控制在每株不超过</w:t>
            </w:r>
            <w:r>
              <w:rPr>
                <w:rFonts w:hint="eastAsia" w:ascii="宋体" w:hAnsi="宋体"/>
                <w:color w:val="auto"/>
                <w:spacing w:val="12"/>
                <w:sz w:val="24"/>
                <w:highlight w:val="none"/>
                <w:lang w:eastAsia="zh-CN"/>
              </w:rPr>
              <w:t>5%—10%</w:t>
            </w:r>
            <w:r>
              <w:rPr>
                <w:rFonts w:hint="eastAsia" w:ascii="宋体" w:hAnsi="宋体"/>
                <w:color w:val="auto"/>
                <w:spacing w:val="12"/>
                <w:sz w:val="24"/>
                <w:highlight w:val="none"/>
              </w:rPr>
              <w:t>。</w:t>
            </w: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蛀干性害虫危害的株数在3%以下。</w:t>
            </w:r>
          </w:p>
        </w:tc>
        <w:tc>
          <w:tcPr>
            <w:tcW w:w="2520" w:type="dxa"/>
            <w:noWrap w:val="0"/>
            <w:vAlign w:val="top"/>
          </w:tcPr>
          <w:p w14:paraId="7350AB96">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有病虫害控制措施。</w:t>
            </w: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无明显病虫危害迹象。</w:t>
            </w:r>
          </w:p>
          <w:p w14:paraId="7A1E9647">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食叶、刺吸性害虫危害的叶片控制在每株不超过</w:t>
            </w:r>
            <w:r>
              <w:rPr>
                <w:rFonts w:hint="eastAsia" w:ascii="宋体" w:hAnsi="宋体"/>
                <w:color w:val="auto"/>
                <w:spacing w:val="12"/>
                <w:sz w:val="24"/>
                <w:highlight w:val="none"/>
                <w:lang w:eastAsia="zh-CN"/>
              </w:rPr>
              <w:t>10%—15%</w:t>
            </w:r>
            <w:r>
              <w:rPr>
                <w:rFonts w:hint="eastAsia" w:ascii="宋体" w:hAnsi="宋体"/>
                <w:color w:val="auto"/>
                <w:spacing w:val="12"/>
                <w:sz w:val="24"/>
                <w:highlight w:val="none"/>
              </w:rPr>
              <w:t>。</w:t>
            </w:r>
          </w:p>
          <w:p w14:paraId="5F3F180F">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蛀干性害虫危害的株数在5%以下。</w:t>
            </w:r>
          </w:p>
        </w:tc>
        <w:tc>
          <w:tcPr>
            <w:tcW w:w="2520" w:type="dxa"/>
            <w:noWrap w:val="0"/>
            <w:vAlign w:val="top"/>
          </w:tcPr>
          <w:p w14:paraId="640C2214">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有病虫害控制措施。</w:t>
            </w:r>
          </w:p>
          <w:p w14:paraId="2A92374E">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无因病虫害而引起断枝倒伏现象。</w:t>
            </w:r>
          </w:p>
          <w:p w14:paraId="25AA7D09">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食叶、刺吸性害虫危害的叶片控制在每株不超过</w:t>
            </w:r>
            <w:r>
              <w:rPr>
                <w:rFonts w:hint="eastAsia" w:ascii="宋体" w:hAnsi="宋体"/>
                <w:color w:val="auto"/>
                <w:spacing w:val="12"/>
                <w:sz w:val="24"/>
                <w:highlight w:val="none"/>
                <w:lang w:eastAsia="zh-CN"/>
              </w:rPr>
              <w:t>15%—20%</w:t>
            </w:r>
            <w:r>
              <w:rPr>
                <w:rFonts w:hint="eastAsia" w:ascii="宋体" w:hAnsi="宋体"/>
                <w:color w:val="auto"/>
                <w:spacing w:val="12"/>
                <w:sz w:val="24"/>
                <w:highlight w:val="none"/>
              </w:rPr>
              <w:t>。</w:t>
            </w:r>
          </w:p>
          <w:p w14:paraId="22EF34F0">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蛀干性害虫危害的株数在8%以下。</w:t>
            </w:r>
          </w:p>
        </w:tc>
      </w:tr>
      <w:tr w14:paraId="1BA8E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0838B906">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8</w:t>
            </w:r>
          </w:p>
        </w:tc>
        <w:tc>
          <w:tcPr>
            <w:tcW w:w="1080" w:type="dxa"/>
            <w:noWrap w:val="0"/>
            <w:vAlign w:val="center"/>
          </w:tcPr>
          <w:p w14:paraId="21114CF9">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设施</w:t>
            </w:r>
          </w:p>
          <w:p w14:paraId="05B3BEB3">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维护</w:t>
            </w:r>
          </w:p>
        </w:tc>
        <w:tc>
          <w:tcPr>
            <w:tcW w:w="2520" w:type="dxa"/>
            <w:noWrap w:val="0"/>
            <w:vAlign w:val="center"/>
          </w:tcPr>
          <w:p w14:paraId="2B97FBED">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树木支撑桩位扎缚规范统一。</w:t>
            </w:r>
          </w:p>
          <w:p w14:paraId="516D4C95">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建筑小品、辅助设施完整、安全、规范，有问题及时上报。</w:t>
            </w:r>
          </w:p>
          <w:p w14:paraId="3FFFF23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硬地卫生，不积水，无沉积垃圾杂物。</w:t>
            </w:r>
          </w:p>
          <w:p w14:paraId="292488D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设施完善率98%以上。</w:t>
            </w:r>
          </w:p>
        </w:tc>
        <w:tc>
          <w:tcPr>
            <w:tcW w:w="2520" w:type="dxa"/>
            <w:noWrap w:val="0"/>
            <w:vAlign w:val="top"/>
          </w:tcPr>
          <w:p w14:paraId="1EC9BF2E">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树木支撑规范，扎缚有效。</w:t>
            </w:r>
          </w:p>
          <w:p w14:paraId="4EB917F5">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建筑小品、辅助设施整洁无损，安全，有问题及时上报。</w:t>
            </w:r>
          </w:p>
          <w:p w14:paraId="55D42FBC">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硬地卫生，无沉积垃圾杂物。</w:t>
            </w:r>
          </w:p>
          <w:p w14:paraId="7430FD81">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设施完善率95%。</w:t>
            </w:r>
          </w:p>
        </w:tc>
        <w:tc>
          <w:tcPr>
            <w:tcW w:w="2520" w:type="dxa"/>
            <w:noWrap w:val="0"/>
            <w:vAlign w:val="top"/>
          </w:tcPr>
          <w:p w14:paraId="55C5C84D">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园林设施基本完整，有问题及时上报。</w:t>
            </w:r>
          </w:p>
          <w:p w14:paraId="462DD39F">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设施完善率90%</w:t>
            </w:r>
            <w:r>
              <w:rPr>
                <w:rFonts w:hint="eastAsia" w:ascii="宋体" w:hAnsi="宋体"/>
                <w:color w:val="auto"/>
                <w:spacing w:val="12"/>
                <w:sz w:val="24"/>
                <w:highlight w:val="none"/>
                <w:lang w:eastAsia="zh-CN"/>
              </w:rPr>
              <w:t>。</w:t>
            </w:r>
          </w:p>
        </w:tc>
      </w:tr>
      <w:tr w14:paraId="2F243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56C04947">
            <w:pPr>
              <w:spacing w:line="300" w:lineRule="exact"/>
              <w:jc w:val="center"/>
              <w:rPr>
                <w:rFonts w:hint="eastAsia" w:ascii="宋体" w:hAnsi="宋体"/>
                <w:color w:val="auto"/>
                <w:spacing w:val="12"/>
                <w:sz w:val="24"/>
                <w:highlight w:val="none"/>
              </w:rPr>
            </w:pPr>
            <w:r>
              <w:rPr>
                <w:rFonts w:hint="eastAsia" w:ascii="宋体" w:hAnsi="宋体"/>
                <w:color w:val="auto"/>
                <w:spacing w:val="12"/>
                <w:sz w:val="24"/>
                <w:highlight w:val="none"/>
              </w:rPr>
              <w:t>10</w:t>
            </w:r>
          </w:p>
        </w:tc>
        <w:tc>
          <w:tcPr>
            <w:tcW w:w="1080" w:type="dxa"/>
            <w:noWrap w:val="0"/>
            <w:vAlign w:val="center"/>
          </w:tcPr>
          <w:p w14:paraId="5BF0C6AA">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管理</w:t>
            </w:r>
          </w:p>
          <w:p w14:paraId="574DE184">
            <w:pPr>
              <w:spacing w:line="300" w:lineRule="exact"/>
              <w:jc w:val="center"/>
              <w:rPr>
                <w:rFonts w:hint="eastAsia" w:ascii="宋体" w:hAnsi="宋体"/>
                <w:b/>
                <w:bCs/>
                <w:color w:val="auto"/>
                <w:spacing w:val="12"/>
                <w:sz w:val="24"/>
                <w:highlight w:val="none"/>
              </w:rPr>
            </w:pPr>
            <w:r>
              <w:rPr>
                <w:rFonts w:hint="eastAsia" w:ascii="宋体" w:hAnsi="宋体"/>
                <w:b/>
                <w:bCs/>
                <w:color w:val="auto"/>
                <w:spacing w:val="12"/>
                <w:sz w:val="24"/>
                <w:highlight w:val="none"/>
              </w:rPr>
              <w:t>标准</w:t>
            </w:r>
          </w:p>
        </w:tc>
        <w:tc>
          <w:tcPr>
            <w:tcW w:w="2520" w:type="dxa"/>
            <w:noWrap w:val="0"/>
            <w:vAlign w:val="center"/>
          </w:tcPr>
          <w:p w14:paraId="6485E9AF">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绿地管理制度全面落实，档案资料完整、详尽，工作人员统一着装。</w:t>
            </w:r>
          </w:p>
          <w:p w14:paraId="0487D978">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根据绿地质量标准，制订养护管理技术措施及年度养护计划。</w:t>
            </w:r>
          </w:p>
          <w:p w14:paraId="4D9054E5">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加强对职工的培训，提高职工的技术素质。</w:t>
            </w:r>
          </w:p>
          <w:p w14:paraId="2BBCAED9">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无违章占绿，无违法建设。</w:t>
            </w:r>
          </w:p>
          <w:p w14:paraId="26359920">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秩序良好，无乱堆乱放、晾晒衣物现象。</w:t>
            </w:r>
          </w:p>
          <w:p w14:paraId="489CC656">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6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⑥</w:t>
            </w:r>
            <w:r>
              <w:rPr>
                <w:rFonts w:ascii="宋体" w:hAnsi="宋体"/>
                <w:color w:val="auto"/>
                <w:spacing w:val="12"/>
                <w:sz w:val="24"/>
                <w:highlight w:val="none"/>
              </w:rPr>
              <w:fldChar w:fldCharType="end"/>
            </w:r>
            <w:r>
              <w:rPr>
                <w:rFonts w:hint="eastAsia" w:ascii="宋体" w:hAnsi="宋体"/>
                <w:color w:val="auto"/>
                <w:spacing w:val="12"/>
                <w:sz w:val="24"/>
                <w:highlight w:val="none"/>
              </w:rPr>
              <w:t>有紧急抢险预案措施。</w:t>
            </w:r>
          </w:p>
          <w:p w14:paraId="1193DD34">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7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⑦</w:t>
            </w:r>
            <w:r>
              <w:rPr>
                <w:rFonts w:ascii="宋体" w:hAnsi="宋体"/>
                <w:color w:val="auto"/>
                <w:spacing w:val="12"/>
                <w:sz w:val="24"/>
                <w:highlight w:val="none"/>
              </w:rPr>
              <w:fldChar w:fldCharType="end"/>
            </w:r>
            <w:r>
              <w:rPr>
                <w:rFonts w:hint="eastAsia" w:ascii="宋体" w:hAnsi="宋体"/>
                <w:color w:val="auto"/>
                <w:spacing w:val="12"/>
                <w:sz w:val="24"/>
                <w:highlight w:val="none"/>
              </w:rPr>
              <w:t>对被破坏或其他原因引起的绿地损坏及时上报。</w:t>
            </w:r>
          </w:p>
          <w:p w14:paraId="057544FE">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8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⑧</w:t>
            </w:r>
            <w:r>
              <w:rPr>
                <w:rFonts w:ascii="宋体" w:hAnsi="宋体"/>
                <w:color w:val="auto"/>
                <w:spacing w:val="12"/>
                <w:sz w:val="24"/>
                <w:highlight w:val="none"/>
              </w:rPr>
              <w:fldChar w:fldCharType="end"/>
            </w:r>
            <w:r>
              <w:rPr>
                <w:rFonts w:hint="eastAsia" w:ascii="宋体" w:hAnsi="宋体"/>
                <w:color w:val="auto"/>
                <w:spacing w:val="12"/>
                <w:sz w:val="24"/>
                <w:highlight w:val="none"/>
              </w:rPr>
              <w:t>按照有关安全生产操作规程组织作业。</w:t>
            </w:r>
          </w:p>
        </w:tc>
        <w:tc>
          <w:tcPr>
            <w:tcW w:w="2520" w:type="dxa"/>
            <w:noWrap w:val="0"/>
            <w:vAlign w:val="top"/>
          </w:tcPr>
          <w:p w14:paraId="033F37D0">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绿地管理制度全面落实，档案资料完整、详尽，工作人员统一着装。</w:t>
            </w:r>
          </w:p>
          <w:p w14:paraId="496F1D22">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根据绿地质量标准，制订养护管理技术措施及年度养护计划。</w:t>
            </w:r>
          </w:p>
          <w:p w14:paraId="2A90F3A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加强对职工的培训，提高职工的技术素质。</w:t>
            </w:r>
          </w:p>
          <w:p w14:paraId="3EA88AB4">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无违章占绿，无违法建设。</w:t>
            </w:r>
          </w:p>
          <w:p w14:paraId="12CD8330">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秩序良好，无乱堆乱放、晾晒衣物现象。</w:t>
            </w:r>
          </w:p>
          <w:p w14:paraId="61BF6373">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6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⑥</w:t>
            </w:r>
            <w:r>
              <w:rPr>
                <w:rFonts w:ascii="宋体" w:hAnsi="宋体"/>
                <w:color w:val="auto"/>
                <w:spacing w:val="12"/>
                <w:sz w:val="24"/>
                <w:highlight w:val="none"/>
              </w:rPr>
              <w:fldChar w:fldCharType="end"/>
            </w:r>
            <w:r>
              <w:rPr>
                <w:rFonts w:hint="eastAsia" w:ascii="宋体" w:hAnsi="宋体"/>
                <w:color w:val="auto"/>
                <w:spacing w:val="12"/>
                <w:sz w:val="24"/>
                <w:highlight w:val="none"/>
              </w:rPr>
              <w:t>有紧急抢险预案措施。</w:t>
            </w:r>
          </w:p>
          <w:p w14:paraId="5C690998">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7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⑦</w:t>
            </w:r>
            <w:r>
              <w:rPr>
                <w:rFonts w:ascii="宋体" w:hAnsi="宋体"/>
                <w:color w:val="auto"/>
                <w:spacing w:val="12"/>
                <w:sz w:val="24"/>
                <w:highlight w:val="none"/>
              </w:rPr>
              <w:fldChar w:fldCharType="end"/>
            </w:r>
            <w:r>
              <w:rPr>
                <w:rFonts w:hint="eastAsia" w:ascii="宋体" w:hAnsi="宋体"/>
                <w:color w:val="auto"/>
                <w:spacing w:val="12"/>
                <w:sz w:val="24"/>
                <w:highlight w:val="none"/>
              </w:rPr>
              <w:t>对被破坏或其他原因引起的绿地损坏及时上报。</w:t>
            </w:r>
          </w:p>
          <w:p w14:paraId="57A7801D">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8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⑧</w:t>
            </w:r>
            <w:r>
              <w:rPr>
                <w:rFonts w:ascii="宋体" w:hAnsi="宋体"/>
                <w:color w:val="auto"/>
                <w:spacing w:val="12"/>
                <w:sz w:val="24"/>
                <w:highlight w:val="none"/>
              </w:rPr>
              <w:fldChar w:fldCharType="end"/>
            </w:r>
            <w:r>
              <w:rPr>
                <w:rFonts w:hint="eastAsia" w:ascii="宋体" w:hAnsi="宋体"/>
                <w:color w:val="auto"/>
                <w:spacing w:val="12"/>
                <w:sz w:val="24"/>
                <w:highlight w:val="none"/>
              </w:rPr>
              <w:t>按照有关安全生产操作规程组织作业。</w:t>
            </w:r>
          </w:p>
        </w:tc>
        <w:tc>
          <w:tcPr>
            <w:tcW w:w="2520" w:type="dxa"/>
            <w:noWrap w:val="0"/>
            <w:vAlign w:val="top"/>
          </w:tcPr>
          <w:p w14:paraId="1CE990B5">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1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①</w:t>
            </w:r>
            <w:r>
              <w:rPr>
                <w:rFonts w:ascii="宋体" w:hAnsi="宋体"/>
                <w:color w:val="auto"/>
                <w:spacing w:val="12"/>
                <w:sz w:val="24"/>
                <w:highlight w:val="none"/>
              </w:rPr>
              <w:fldChar w:fldCharType="end"/>
            </w:r>
            <w:r>
              <w:rPr>
                <w:rFonts w:hint="eastAsia" w:ascii="宋体" w:hAnsi="宋体"/>
                <w:color w:val="auto"/>
                <w:spacing w:val="12"/>
                <w:sz w:val="24"/>
                <w:highlight w:val="none"/>
              </w:rPr>
              <w:t>绿地管理制度全面落实，档案资料完整、详尽，工作人员统一着装。</w:t>
            </w:r>
          </w:p>
          <w:p w14:paraId="116E7CEC">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2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②</w:t>
            </w:r>
            <w:r>
              <w:rPr>
                <w:rFonts w:ascii="宋体" w:hAnsi="宋体"/>
                <w:color w:val="auto"/>
                <w:spacing w:val="12"/>
                <w:sz w:val="24"/>
                <w:highlight w:val="none"/>
              </w:rPr>
              <w:fldChar w:fldCharType="end"/>
            </w:r>
            <w:r>
              <w:rPr>
                <w:rFonts w:hint="eastAsia" w:ascii="宋体" w:hAnsi="宋体"/>
                <w:color w:val="auto"/>
                <w:spacing w:val="12"/>
                <w:sz w:val="24"/>
                <w:highlight w:val="none"/>
              </w:rPr>
              <w:t>根据绿地质量标准，制订养护管理技术措施及年度养护计划。</w:t>
            </w:r>
          </w:p>
          <w:p w14:paraId="48F1A30D">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3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③</w:t>
            </w:r>
            <w:r>
              <w:rPr>
                <w:rFonts w:ascii="宋体" w:hAnsi="宋体"/>
                <w:color w:val="auto"/>
                <w:spacing w:val="12"/>
                <w:sz w:val="24"/>
                <w:highlight w:val="none"/>
              </w:rPr>
              <w:fldChar w:fldCharType="end"/>
            </w:r>
            <w:r>
              <w:rPr>
                <w:rFonts w:hint="eastAsia" w:ascii="宋体" w:hAnsi="宋体"/>
                <w:color w:val="auto"/>
                <w:spacing w:val="12"/>
                <w:sz w:val="24"/>
                <w:highlight w:val="none"/>
              </w:rPr>
              <w:t>加强对职工的培训，提高职工的技术素质。</w:t>
            </w:r>
          </w:p>
          <w:p w14:paraId="71AA2AF6">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4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④</w:t>
            </w:r>
            <w:r>
              <w:rPr>
                <w:rFonts w:ascii="宋体" w:hAnsi="宋体"/>
                <w:color w:val="auto"/>
                <w:spacing w:val="12"/>
                <w:sz w:val="24"/>
                <w:highlight w:val="none"/>
              </w:rPr>
              <w:fldChar w:fldCharType="end"/>
            </w:r>
            <w:r>
              <w:rPr>
                <w:rFonts w:hint="eastAsia" w:ascii="宋体" w:hAnsi="宋体"/>
                <w:color w:val="auto"/>
                <w:spacing w:val="12"/>
                <w:sz w:val="24"/>
                <w:highlight w:val="none"/>
              </w:rPr>
              <w:t>无违章占绿，无违法建设。</w:t>
            </w:r>
          </w:p>
          <w:p w14:paraId="6EB6E88B">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5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⑤</w:t>
            </w:r>
            <w:r>
              <w:rPr>
                <w:rFonts w:ascii="宋体" w:hAnsi="宋体"/>
                <w:color w:val="auto"/>
                <w:spacing w:val="12"/>
                <w:sz w:val="24"/>
                <w:highlight w:val="none"/>
              </w:rPr>
              <w:fldChar w:fldCharType="end"/>
            </w:r>
            <w:r>
              <w:rPr>
                <w:rFonts w:hint="eastAsia" w:ascii="宋体" w:hAnsi="宋体"/>
                <w:color w:val="auto"/>
                <w:spacing w:val="12"/>
                <w:sz w:val="24"/>
                <w:highlight w:val="none"/>
              </w:rPr>
              <w:t>秩序良好，无乱堆乱放、晾晒衣物现象。</w:t>
            </w:r>
          </w:p>
          <w:p w14:paraId="3F745069">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6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⑥</w:t>
            </w:r>
            <w:r>
              <w:rPr>
                <w:rFonts w:ascii="宋体" w:hAnsi="宋体"/>
                <w:color w:val="auto"/>
                <w:spacing w:val="12"/>
                <w:sz w:val="24"/>
                <w:highlight w:val="none"/>
              </w:rPr>
              <w:fldChar w:fldCharType="end"/>
            </w:r>
            <w:r>
              <w:rPr>
                <w:rFonts w:hint="eastAsia" w:ascii="宋体" w:hAnsi="宋体"/>
                <w:color w:val="auto"/>
                <w:spacing w:val="12"/>
                <w:sz w:val="24"/>
                <w:highlight w:val="none"/>
              </w:rPr>
              <w:t>有紧急抢险预案措施。</w:t>
            </w:r>
          </w:p>
          <w:p w14:paraId="7311D6EE">
            <w:pPr>
              <w:spacing w:line="300" w:lineRule="exact"/>
              <w:rPr>
                <w:rFonts w:hint="eastAsia"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7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⑦</w:t>
            </w:r>
            <w:r>
              <w:rPr>
                <w:rFonts w:ascii="宋体" w:hAnsi="宋体"/>
                <w:color w:val="auto"/>
                <w:spacing w:val="12"/>
                <w:sz w:val="24"/>
                <w:highlight w:val="none"/>
              </w:rPr>
              <w:fldChar w:fldCharType="end"/>
            </w:r>
            <w:r>
              <w:rPr>
                <w:rFonts w:hint="eastAsia" w:ascii="宋体" w:hAnsi="宋体"/>
                <w:color w:val="auto"/>
                <w:spacing w:val="12"/>
                <w:sz w:val="24"/>
                <w:highlight w:val="none"/>
              </w:rPr>
              <w:t>对被破坏或其他原因引起的绿地损坏及时上报。</w:t>
            </w:r>
          </w:p>
          <w:p w14:paraId="2A56CBD5">
            <w:pPr>
              <w:spacing w:line="300" w:lineRule="exact"/>
              <w:rPr>
                <w:rFonts w:ascii="宋体" w:hAnsi="宋体"/>
                <w:color w:val="auto"/>
                <w:spacing w:val="12"/>
                <w:sz w:val="24"/>
                <w:highlight w:val="none"/>
              </w:rPr>
            </w:pPr>
            <w:r>
              <w:rPr>
                <w:rFonts w:ascii="宋体" w:hAnsi="宋体"/>
                <w:color w:val="auto"/>
                <w:spacing w:val="12"/>
                <w:sz w:val="24"/>
                <w:highlight w:val="none"/>
              </w:rPr>
              <w:fldChar w:fldCharType="begin"/>
            </w:r>
            <w:r>
              <w:rPr>
                <w:rFonts w:ascii="宋体" w:hAnsi="宋体"/>
                <w:color w:val="auto"/>
                <w:spacing w:val="12"/>
                <w:sz w:val="24"/>
                <w:highlight w:val="none"/>
              </w:rPr>
              <w:instrText xml:space="preserve"> = 8 \* GB3 </w:instrText>
            </w:r>
            <w:r>
              <w:rPr>
                <w:rFonts w:ascii="宋体" w:hAnsi="宋体"/>
                <w:color w:val="auto"/>
                <w:spacing w:val="12"/>
                <w:sz w:val="24"/>
                <w:highlight w:val="none"/>
              </w:rPr>
              <w:fldChar w:fldCharType="separate"/>
            </w:r>
            <w:r>
              <w:rPr>
                <w:rFonts w:hint="eastAsia" w:ascii="宋体" w:hAnsi="宋体"/>
                <w:color w:val="auto"/>
                <w:spacing w:val="12"/>
                <w:sz w:val="24"/>
                <w:highlight w:val="none"/>
              </w:rPr>
              <w:t>⑧</w:t>
            </w:r>
            <w:r>
              <w:rPr>
                <w:rFonts w:ascii="宋体" w:hAnsi="宋体"/>
                <w:color w:val="auto"/>
                <w:spacing w:val="12"/>
                <w:sz w:val="24"/>
                <w:highlight w:val="none"/>
              </w:rPr>
              <w:fldChar w:fldCharType="end"/>
            </w:r>
            <w:r>
              <w:rPr>
                <w:rFonts w:hint="eastAsia" w:ascii="宋体" w:hAnsi="宋体"/>
                <w:color w:val="auto"/>
                <w:spacing w:val="12"/>
                <w:sz w:val="24"/>
                <w:highlight w:val="none"/>
              </w:rPr>
              <w:t>按照有关安全生产操作规程组织作业。</w:t>
            </w:r>
          </w:p>
        </w:tc>
      </w:tr>
    </w:tbl>
    <w:p w14:paraId="491496DA">
      <w:pPr>
        <w:pStyle w:val="19"/>
        <w:rPr>
          <w:color w:val="auto"/>
          <w:highlight w:val="none"/>
        </w:rPr>
        <w:sectPr>
          <w:pgSz w:w="11906" w:h="16838"/>
          <w:pgMar w:top="1440" w:right="1800" w:bottom="1440" w:left="1800" w:header="851" w:footer="992" w:gutter="0"/>
          <w:pgNumType w:fmt="decimal"/>
          <w:cols w:space="720" w:num="1"/>
          <w:docGrid w:type="lines" w:linePitch="312" w:charSpace="0"/>
        </w:sectPr>
      </w:pPr>
    </w:p>
    <w:p w14:paraId="6E2D40E8">
      <w:pPr>
        <w:pStyle w:val="3"/>
        <w:jc w:val="center"/>
        <w:rPr>
          <w:rFonts w:hint="eastAsia"/>
          <w:color w:val="auto"/>
          <w:highlight w:val="none"/>
        </w:rPr>
      </w:pPr>
      <w:bookmarkStart w:id="179" w:name="_Toc125029419"/>
      <w:r>
        <w:rPr>
          <w:rFonts w:hint="eastAsia"/>
          <w:color w:val="auto"/>
          <w:highlight w:val="none"/>
        </w:rPr>
        <w:t>附件</w:t>
      </w:r>
      <w:r>
        <w:rPr>
          <w:rFonts w:hint="eastAsia"/>
          <w:color w:val="auto"/>
          <w:highlight w:val="none"/>
          <w:lang w:val="en-US" w:eastAsia="zh-CN"/>
        </w:rPr>
        <w:t>6</w:t>
      </w:r>
      <w:r>
        <w:rPr>
          <w:rFonts w:hint="eastAsia"/>
          <w:color w:val="auto"/>
          <w:highlight w:val="none"/>
        </w:rPr>
        <w:t>：安 全 生 产 协 议</w:t>
      </w:r>
      <w:bookmarkEnd w:id="179"/>
    </w:p>
    <w:p w14:paraId="43B54D8C">
      <w:pPr>
        <w:pStyle w:val="22"/>
        <w:spacing w:line="360" w:lineRule="auto"/>
        <w:ind w:firstLine="479"/>
        <w:rPr>
          <w:rFonts w:hint="eastAsia" w:hAnsi="宋体" w:cs="宋体"/>
          <w:color w:val="auto"/>
          <w:sz w:val="13"/>
          <w:szCs w:val="13"/>
          <w:highlight w:val="none"/>
        </w:rPr>
      </w:pPr>
      <w:r>
        <w:rPr>
          <w:rFonts w:hint="eastAsia" w:hAnsi="宋体" w:cs="宋体"/>
          <w:color w:val="auto"/>
          <w:sz w:val="28"/>
          <w:szCs w:val="28"/>
          <w:highlight w:val="none"/>
        </w:rPr>
        <w:t xml:space="preserve"> </w:t>
      </w:r>
    </w:p>
    <w:p w14:paraId="325182E0">
      <w:pPr>
        <w:pStyle w:val="22"/>
        <w:spacing w:line="360" w:lineRule="auto"/>
        <w:ind w:firstLine="479"/>
        <w:rPr>
          <w:rFonts w:hint="eastAsia" w:hAnsi="宋体" w:cs="宋体"/>
          <w:color w:val="auto"/>
          <w:sz w:val="24"/>
          <w:szCs w:val="24"/>
          <w:highlight w:val="none"/>
        </w:rPr>
      </w:pPr>
      <w:r>
        <w:rPr>
          <w:rFonts w:hint="eastAsia" w:hAnsi="宋体" w:cs="宋体"/>
          <w:color w:val="auto"/>
          <w:sz w:val="24"/>
          <w:szCs w:val="24"/>
          <w:highlight w:val="none"/>
        </w:rPr>
        <w:t>为在绿化养护管理、绿化补植服务以及突击抢险、临时突击整改任务实施等过程中创造安全、高效的施工环境，本项目业主单位</w:t>
      </w:r>
      <w:r>
        <w:rPr>
          <w:rFonts w:hint="eastAsia" w:hAnsi="宋体" w:cs="宋体"/>
          <w:b/>
          <w:color w:val="auto"/>
          <w:sz w:val="24"/>
          <w:szCs w:val="24"/>
          <w:highlight w:val="none"/>
          <w:u w:val="single"/>
          <w:lang w:val="en-US" w:eastAsia="zh-CN"/>
        </w:rPr>
        <w:t xml:space="preserve">     </w:t>
      </w:r>
      <w:r>
        <w:rPr>
          <w:rFonts w:hint="eastAsia" w:hAnsi="宋体" w:cs="宋体"/>
          <w:b/>
          <w:color w:val="auto"/>
          <w:sz w:val="24"/>
          <w:szCs w:val="24"/>
          <w:highlight w:val="none"/>
          <w:u w:val="single"/>
        </w:rPr>
        <w:t>（</w:t>
      </w:r>
      <w:r>
        <w:rPr>
          <w:rFonts w:hint="eastAsia" w:hAnsi="宋体" w:cs="宋体"/>
          <w:color w:val="auto"/>
          <w:sz w:val="24"/>
          <w:szCs w:val="24"/>
          <w:highlight w:val="none"/>
        </w:rPr>
        <w:t>甲方</w:t>
      </w:r>
      <w:r>
        <w:rPr>
          <w:rFonts w:hint="eastAsia" w:hAnsi="宋体" w:cs="宋体"/>
          <w:color w:val="auto"/>
          <w:sz w:val="24"/>
          <w:szCs w:val="24"/>
          <w:highlight w:val="none"/>
          <w:lang w:eastAsia="zh-CN"/>
        </w:rPr>
        <w:t>）</w:t>
      </w:r>
      <w:r>
        <w:rPr>
          <w:rFonts w:hint="eastAsia" w:hAnsi="宋体" w:cs="宋体"/>
          <w:color w:val="auto"/>
          <w:sz w:val="24"/>
          <w:szCs w:val="24"/>
          <w:highlight w:val="none"/>
        </w:rPr>
        <w:t>，与承担本养护（施工）单位</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（乙方）特签订工期（含养护期及施工期）内安全生产协议：</w:t>
      </w:r>
    </w:p>
    <w:p w14:paraId="6A7B424E">
      <w:pPr>
        <w:pStyle w:val="22"/>
        <w:spacing w:line="360" w:lineRule="auto"/>
        <w:ind w:firstLine="480" w:firstLineChars="200"/>
        <w:rPr>
          <w:rFonts w:hint="eastAsia" w:hAnsi="宋体" w:cs="宋体"/>
          <w:b/>
          <w:bCs/>
          <w:color w:val="auto"/>
          <w:sz w:val="24"/>
          <w:szCs w:val="24"/>
          <w:highlight w:val="none"/>
        </w:rPr>
      </w:pPr>
      <w:r>
        <w:rPr>
          <w:rFonts w:hint="eastAsia" w:hAnsi="宋体" w:cs="宋体"/>
          <w:color w:val="auto"/>
          <w:sz w:val="24"/>
          <w:szCs w:val="24"/>
          <w:highlight w:val="none"/>
        </w:rPr>
        <w:t>一、</w:t>
      </w:r>
      <w:r>
        <w:rPr>
          <w:rFonts w:hint="eastAsia" w:hAnsi="宋体" w:cs="宋体"/>
          <w:b/>
          <w:bCs/>
          <w:color w:val="auto"/>
          <w:sz w:val="24"/>
          <w:szCs w:val="24"/>
          <w:highlight w:val="none"/>
        </w:rPr>
        <w:t>甲方职责</w:t>
      </w:r>
    </w:p>
    <w:p w14:paraId="1085AF81">
      <w:pPr>
        <w:pStyle w:val="22"/>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    </w:t>
      </w:r>
      <w:r>
        <w:rPr>
          <w:rFonts w:hint="eastAsia" w:hAnsi="宋体" w:cs="宋体"/>
          <w:color w:val="auto"/>
          <w:sz w:val="24"/>
          <w:szCs w:val="24"/>
          <w:highlight w:val="none"/>
          <w:lang w:eastAsia="zh-CN"/>
        </w:rPr>
        <w:t>1.</w:t>
      </w:r>
      <w:r>
        <w:rPr>
          <w:rFonts w:hint="eastAsia" w:hAnsi="宋体" w:cs="宋体"/>
          <w:color w:val="auto"/>
          <w:sz w:val="24"/>
          <w:szCs w:val="24"/>
          <w:highlight w:val="none"/>
        </w:rPr>
        <w:t>严格遵守国家有关安全生产的法律法规，认真执行绿化养护服务合同中的有关安全要求。</w:t>
      </w:r>
    </w:p>
    <w:p w14:paraId="44076722">
      <w:pPr>
        <w:pStyle w:val="22"/>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    </w:t>
      </w:r>
      <w:r>
        <w:rPr>
          <w:rFonts w:hint="eastAsia" w:hAnsi="宋体" w:cs="宋体"/>
          <w:color w:val="auto"/>
          <w:sz w:val="24"/>
          <w:szCs w:val="24"/>
          <w:highlight w:val="none"/>
          <w:lang w:eastAsia="zh-CN"/>
        </w:rPr>
        <w:t>2.</w:t>
      </w:r>
      <w:r>
        <w:rPr>
          <w:rFonts w:hint="eastAsia" w:hAnsi="宋体" w:cs="宋体"/>
          <w:color w:val="auto"/>
          <w:sz w:val="24"/>
          <w:szCs w:val="24"/>
          <w:highlight w:val="none"/>
        </w:rPr>
        <w:t>按照“安全第一、预防为主”和坚持“管生产必须管安全”的原则进行安全生产管理，做到生产和安全工作同时计划、布置、检查、总结和评比。</w:t>
      </w:r>
    </w:p>
    <w:p w14:paraId="13DF3C9D">
      <w:pPr>
        <w:pStyle w:val="22"/>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    </w:t>
      </w:r>
      <w:r>
        <w:rPr>
          <w:rFonts w:hint="eastAsia" w:hAnsi="宋体" w:cs="宋体"/>
          <w:color w:val="auto"/>
          <w:sz w:val="24"/>
          <w:szCs w:val="24"/>
          <w:highlight w:val="none"/>
          <w:lang w:eastAsia="zh-CN"/>
        </w:rPr>
        <w:t>3.</w:t>
      </w:r>
      <w:r>
        <w:rPr>
          <w:rFonts w:hint="eastAsia" w:hAnsi="宋体" w:cs="宋体"/>
          <w:color w:val="auto"/>
          <w:sz w:val="24"/>
          <w:szCs w:val="24"/>
          <w:highlight w:val="none"/>
        </w:rPr>
        <w:t>定期召开安全生产调度会，及时传达中央及地方有关安全生产的精神。</w:t>
      </w:r>
    </w:p>
    <w:p w14:paraId="487F532B">
      <w:pPr>
        <w:pStyle w:val="22"/>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    </w:t>
      </w:r>
      <w:r>
        <w:rPr>
          <w:rFonts w:hint="eastAsia" w:hAnsi="宋体" w:cs="宋体"/>
          <w:color w:val="auto"/>
          <w:sz w:val="24"/>
          <w:szCs w:val="24"/>
          <w:highlight w:val="none"/>
          <w:lang w:eastAsia="zh-CN"/>
        </w:rPr>
        <w:t>4.</w:t>
      </w:r>
      <w:r>
        <w:rPr>
          <w:rFonts w:hint="eastAsia" w:hAnsi="宋体" w:cs="宋体"/>
          <w:color w:val="auto"/>
          <w:sz w:val="24"/>
          <w:szCs w:val="24"/>
          <w:highlight w:val="none"/>
        </w:rPr>
        <w:t>组织对乙方施工现场安全生产检查，监督乙方及时处理发现的各种安全隐患。</w:t>
      </w:r>
    </w:p>
    <w:p w14:paraId="25011987">
      <w:pPr>
        <w:pStyle w:val="22"/>
        <w:spacing w:line="360" w:lineRule="auto"/>
        <w:rPr>
          <w:rFonts w:hint="eastAsia" w:hAnsi="宋体" w:cs="宋体"/>
          <w:b/>
          <w:bCs/>
          <w:color w:val="auto"/>
          <w:sz w:val="24"/>
          <w:szCs w:val="24"/>
          <w:highlight w:val="none"/>
        </w:rPr>
      </w:pPr>
      <w:r>
        <w:rPr>
          <w:rFonts w:hint="eastAsia" w:hAnsi="宋体" w:cs="宋体"/>
          <w:color w:val="auto"/>
          <w:sz w:val="24"/>
          <w:szCs w:val="24"/>
          <w:highlight w:val="none"/>
        </w:rPr>
        <w:t xml:space="preserve">    二、</w:t>
      </w:r>
      <w:r>
        <w:rPr>
          <w:rFonts w:hint="eastAsia" w:hAnsi="宋体" w:cs="宋体"/>
          <w:b/>
          <w:bCs/>
          <w:color w:val="auto"/>
          <w:sz w:val="24"/>
          <w:szCs w:val="24"/>
          <w:highlight w:val="none"/>
        </w:rPr>
        <w:t>乙方职责</w:t>
      </w:r>
    </w:p>
    <w:p w14:paraId="51C3959A">
      <w:pPr>
        <w:pStyle w:val="22"/>
        <w:spacing w:line="360" w:lineRule="auto"/>
        <w:ind w:firstLine="570"/>
        <w:rPr>
          <w:rFonts w:hint="eastAsia" w:hAnsi="宋体" w:cs="宋体"/>
          <w:color w:val="auto"/>
          <w:sz w:val="24"/>
          <w:szCs w:val="24"/>
          <w:highlight w:val="none"/>
        </w:rPr>
      </w:pPr>
      <w:r>
        <w:rPr>
          <w:rFonts w:hint="eastAsia" w:hAnsi="宋体" w:cs="宋体"/>
          <w:color w:val="auto"/>
          <w:sz w:val="24"/>
          <w:szCs w:val="24"/>
          <w:highlight w:val="none"/>
          <w:lang w:eastAsia="zh-CN"/>
        </w:rPr>
        <w:t>1.</w:t>
      </w:r>
      <w:r>
        <w:rPr>
          <w:rFonts w:hint="eastAsia" w:hAnsi="宋体" w:cs="宋体"/>
          <w:color w:val="auto"/>
          <w:sz w:val="24"/>
          <w:szCs w:val="24"/>
          <w:highlight w:val="none"/>
        </w:rPr>
        <w:t>严格遵守国家有关安全生产的法律法规及有关部委颁布的安全规定，认真执行绿化养护服务合同中的有关安全要求。</w:t>
      </w:r>
    </w:p>
    <w:p w14:paraId="5B7E1F1B">
      <w:pPr>
        <w:pStyle w:val="22"/>
        <w:spacing w:line="360" w:lineRule="auto"/>
        <w:ind w:firstLine="570"/>
        <w:rPr>
          <w:rFonts w:hint="eastAsia" w:hAnsi="宋体" w:cs="宋体"/>
          <w:color w:val="auto"/>
          <w:sz w:val="24"/>
          <w:szCs w:val="24"/>
          <w:highlight w:val="none"/>
        </w:rPr>
      </w:pPr>
      <w:r>
        <w:rPr>
          <w:rFonts w:hint="eastAsia" w:hAnsi="宋体" w:cs="宋体"/>
          <w:color w:val="auto"/>
          <w:sz w:val="24"/>
          <w:szCs w:val="24"/>
          <w:highlight w:val="none"/>
          <w:lang w:eastAsia="zh-CN"/>
        </w:rPr>
        <w:t>2.</w:t>
      </w:r>
      <w:r>
        <w:rPr>
          <w:rFonts w:hint="eastAsia" w:hAnsi="宋体" w:cs="宋体"/>
          <w:color w:val="auto"/>
          <w:sz w:val="24"/>
          <w:szCs w:val="24"/>
          <w:highlight w:val="none"/>
        </w:rPr>
        <w:t>坚持“安全第一、预防为主” 和坚持“管生产必须管安全”的原则，加强安全生产宣传教育，配备专职及兼职的安全管理人员，有组织地开展安全生产活动。</w:t>
      </w:r>
    </w:p>
    <w:p w14:paraId="2D57EBED">
      <w:pPr>
        <w:pStyle w:val="22"/>
        <w:spacing w:line="360" w:lineRule="auto"/>
        <w:ind w:firstLine="570"/>
        <w:rPr>
          <w:rFonts w:hint="eastAsia" w:hAnsi="宋体" w:cs="宋体"/>
          <w:color w:val="auto"/>
          <w:sz w:val="24"/>
          <w:szCs w:val="24"/>
          <w:highlight w:val="none"/>
        </w:rPr>
      </w:pPr>
      <w:r>
        <w:rPr>
          <w:rFonts w:hint="eastAsia" w:hAnsi="宋体" w:cs="宋体"/>
          <w:color w:val="auto"/>
          <w:sz w:val="24"/>
          <w:szCs w:val="24"/>
          <w:highlight w:val="none"/>
          <w:lang w:eastAsia="zh-CN"/>
        </w:rPr>
        <w:t>3.</w:t>
      </w:r>
      <w:r>
        <w:rPr>
          <w:rFonts w:hint="eastAsia" w:hAnsi="宋体" w:cs="宋体"/>
          <w:color w:val="auto"/>
          <w:sz w:val="24"/>
          <w:szCs w:val="24"/>
          <w:highlight w:val="none"/>
        </w:rPr>
        <w:t>建立健全安全生产责任制。从派往项目实施的项目经理到生产工人的安全生产管理系统做到纵向到底，一环不漏，各职能部门、人员安全生产责任制做到横向到边，人人有责。</w:t>
      </w:r>
    </w:p>
    <w:p w14:paraId="6ABA6012">
      <w:pPr>
        <w:pStyle w:val="22"/>
        <w:spacing w:line="360" w:lineRule="auto"/>
        <w:ind w:firstLine="570"/>
        <w:rPr>
          <w:rFonts w:hint="eastAsia" w:hAnsi="宋体" w:cs="宋体"/>
          <w:color w:val="auto"/>
          <w:sz w:val="24"/>
          <w:szCs w:val="24"/>
          <w:highlight w:val="none"/>
        </w:rPr>
      </w:pPr>
      <w:r>
        <w:rPr>
          <w:rFonts w:hint="eastAsia" w:hAnsi="宋体" w:cs="宋体"/>
          <w:color w:val="auto"/>
          <w:sz w:val="24"/>
          <w:szCs w:val="24"/>
          <w:highlight w:val="none"/>
          <w:lang w:eastAsia="zh-CN"/>
        </w:rPr>
        <w:t>4.</w:t>
      </w:r>
      <w:r>
        <w:rPr>
          <w:rFonts w:hint="eastAsia" w:hAnsi="宋体" w:cs="宋体"/>
          <w:color w:val="auto"/>
          <w:sz w:val="24"/>
          <w:szCs w:val="24"/>
          <w:highlight w:val="none"/>
        </w:rPr>
        <w:t>乙方在任何时候都应采取各种合理的预防措施，防止员工发生任何违法、违禁、暴力或妨碍治安的行为。</w:t>
      </w:r>
    </w:p>
    <w:p w14:paraId="4A15C4DC">
      <w:pPr>
        <w:pStyle w:val="22"/>
        <w:spacing w:line="360" w:lineRule="auto"/>
        <w:ind w:firstLine="570"/>
        <w:rPr>
          <w:rFonts w:hint="eastAsia" w:hAnsi="宋体" w:cs="宋体"/>
          <w:color w:val="auto"/>
          <w:sz w:val="24"/>
          <w:szCs w:val="24"/>
          <w:highlight w:val="none"/>
        </w:rPr>
      </w:pPr>
      <w:r>
        <w:rPr>
          <w:rFonts w:hint="eastAsia" w:hAnsi="宋体" w:cs="宋体"/>
          <w:color w:val="auto"/>
          <w:sz w:val="24"/>
          <w:szCs w:val="24"/>
          <w:highlight w:val="none"/>
          <w:lang w:eastAsia="zh-CN"/>
        </w:rPr>
        <w:t>5.</w:t>
      </w:r>
      <w:r>
        <w:rPr>
          <w:rFonts w:hint="eastAsia" w:hAnsi="宋体" w:cs="宋体"/>
          <w:color w:val="auto"/>
          <w:sz w:val="24"/>
          <w:szCs w:val="24"/>
          <w:highlight w:val="none"/>
        </w:rPr>
        <w:t>操作人员上岗，必须按规定穿戴防护用品。施工负责人和安全检查员应随时检查劳动防护用品的穿戴情况，不按规定穿戴防护用品的人员不得上岗。</w:t>
      </w:r>
    </w:p>
    <w:p w14:paraId="464D50F6">
      <w:pPr>
        <w:pStyle w:val="22"/>
        <w:spacing w:line="360" w:lineRule="auto"/>
        <w:ind w:firstLine="570"/>
        <w:rPr>
          <w:rFonts w:hint="eastAsia" w:hAnsi="宋体" w:cs="宋体"/>
          <w:color w:val="auto"/>
          <w:sz w:val="24"/>
          <w:szCs w:val="24"/>
          <w:highlight w:val="none"/>
        </w:rPr>
      </w:pPr>
      <w:r>
        <w:rPr>
          <w:rFonts w:hint="eastAsia" w:hAnsi="宋体" w:cs="宋体"/>
          <w:color w:val="auto"/>
          <w:sz w:val="24"/>
          <w:szCs w:val="24"/>
          <w:highlight w:val="none"/>
          <w:lang w:eastAsia="zh-CN"/>
        </w:rPr>
        <w:t>6.</w:t>
      </w:r>
      <w:r>
        <w:rPr>
          <w:rFonts w:hint="eastAsia" w:hAnsi="宋体" w:cs="宋体"/>
          <w:color w:val="auto"/>
          <w:sz w:val="24"/>
          <w:szCs w:val="24"/>
          <w:highlight w:val="none"/>
        </w:rPr>
        <w:t>施工中采用新技术、新工艺、新设备、新材料时，必须制定相应的安全技术措施，施工现场具有相关的安全标志牌。</w:t>
      </w:r>
    </w:p>
    <w:p w14:paraId="6CB720D9">
      <w:pPr>
        <w:pStyle w:val="22"/>
        <w:spacing w:line="360" w:lineRule="auto"/>
        <w:ind w:firstLine="570"/>
        <w:rPr>
          <w:rFonts w:hint="eastAsia" w:hAnsi="宋体" w:cs="宋体"/>
          <w:color w:val="auto"/>
          <w:sz w:val="24"/>
          <w:szCs w:val="24"/>
          <w:highlight w:val="none"/>
        </w:rPr>
      </w:pPr>
      <w:r>
        <w:rPr>
          <w:rFonts w:hint="eastAsia" w:hAnsi="宋体" w:cs="宋体"/>
          <w:color w:val="auto"/>
          <w:sz w:val="24"/>
          <w:szCs w:val="24"/>
          <w:highlight w:val="none"/>
          <w:lang w:eastAsia="zh-CN"/>
        </w:rPr>
        <w:t>7.</w:t>
      </w:r>
      <w:r>
        <w:rPr>
          <w:rFonts w:hint="eastAsia" w:hAnsi="宋体" w:cs="宋体"/>
          <w:color w:val="auto"/>
          <w:sz w:val="24"/>
          <w:szCs w:val="24"/>
          <w:highlight w:val="none"/>
        </w:rPr>
        <w:t>乙方必须按照本项目特点，组织制定本项目实施中的生产安全事故应急救援预案；如发生事故，应按照《国务院关于特大安全事故行政责任追究的规定》以及其它有关规定，及时上报有关部门，坚持“三不放过”的原则，严肃处理相关责任人。</w:t>
      </w:r>
    </w:p>
    <w:p w14:paraId="512FBCBE">
      <w:pPr>
        <w:pStyle w:val="22"/>
        <w:spacing w:line="360" w:lineRule="auto"/>
        <w:ind w:firstLine="570"/>
        <w:rPr>
          <w:rFonts w:hint="eastAsia" w:hAnsi="宋体" w:cs="宋体"/>
          <w:b/>
          <w:bCs/>
          <w:color w:val="auto"/>
          <w:sz w:val="24"/>
          <w:szCs w:val="24"/>
          <w:highlight w:val="none"/>
        </w:rPr>
      </w:pPr>
      <w:r>
        <w:rPr>
          <w:rFonts w:hint="eastAsia" w:hAnsi="宋体" w:cs="宋体"/>
          <w:b/>
          <w:bCs/>
          <w:color w:val="auto"/>
          <w:sz w:val="24"/>
          <w:szCs w:val="24"/>
          <w:highlight w:val="none"/>
        </w:rPr>
        <w:t>三、责任承担</w:t>
      </w:r>
    </w:p>
    <w:p w14:paraId="29D7CBE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乙方必须严格执行施工操作规程及有关安全生产保障制度，发生一切事故，均由乙方自行负责处理并承担全部费用。</w:t>
      </w:r>
    </w:p>
    <w:p w14:paraId="6284682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 xml:space="preserve">如乙方人员发生伤亡事故，或乙方及其人员造成甲方及其人员的财产损失或人身伤害的，均由乙方处理并承担全部费用。无论何种因素导致甲方承担或支付相关费用的，在甲方承担或支付后，均由乙方支付甲方，甲方有权在应付款项中直接扣除，不足部分由乙方补足。 </w:t>
      </w:r>
    </w:p>
    <w:p w14:paraId="4A131937">
      <w:p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四、合同条款</w:t>
      </w:r>
    </w:p>
    <w:p w14:paraId="45757FD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本协议作为甲方委托乙方实施绿化养护服务的前期协议，协议一式四份，甲方、乙方各执两份，由双方法定代表人或授权的代理人签署与加盖公章后有效，有效期为202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日至202</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日。本协议内容涵盖所有甲方委托乙方实施的绿化养护服务（包括未签订绿化养护服务合同的突击性服务）。</w:t>
      </w:r>
    </w:p>
    <w:p w14:paraId="45BA6D6C">
      <w:pPr>
        <w:spacing w:line="360" w:lineRule="auto"/>
        <w:jc w:val="left"/>
        <w:rPr>
          <w:rFonts w:hint="eastAsia" w:ascii="宋体" w:hAnsi="宋体" w:cs="宋体"/>
          <w:color w:val="auto"/>
          <w:sz w:val="24"/>
          <w:szCs w:val="24"/>
          <w:highlight w:val="none"/>
        </w:rPr>
      </w:pPr>
    </w:p>
    <w:p w14:paraId="13421572">
      <w:pPr>
        <w:spacing w:line="360" w:lineRule="auto"/>
        <w:jc w:val="left"/>
        <w:rPr>
          <w:rFonts w:hint="eastAsia" w:ascii="宋体" w:hAnsi="宋体" w:cs="宋体"/>
          <w:b/>
          <w:color w:val="auto"/>
          <w:sz w:val="24"/>
          <w:szCs w:val="24"/>
          <w:highlight w:val="none"/>
          <w:u w:val="single"/>
        </w:rPr>
      </w:pPr>
      <w:r>
        <w:rPr>
          <w:rFonts w:hint="eastAsia" w:ascii="宋体" w:hAnsi="宋体" w:cs="宋体"/>
          <w:color w:val="auto"/>
          <w:sz w:val="24"/>
          <w:szCs w:val="24"/>
          <w:highlight w:val="none"/>
        </w:rPr>
        <w:t>甲方：</w:t>
      </w:r>
      <w:r>
        <w:rPr>
          <w:rFonts w:hint="eastAsia" w:ascii="宋体" w:hAnsi="宋体" w:cs="宋体"/>
          <w:b/>
          <w:color w:val="auto"/>
          <w:sz w:val="24"/>
          <w:szCs w:val="24"/>
          <w:highlight w:val="none"/>
          <w:u w:val="single"/>
        </w:rPr>
        <w:t xml:space="preserve">                         （盖章）</w:t>
      </w:r>
    </w:p>
    <w:p w14:paraId="747F17B6">
      <w:pPr>
        <w:spacing w:line="360" w:lineRule="auto"/>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                                               </w:t>
      </w:r>
    </w:p>
    <w:p w14:paraId="6BAFB609">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（签字）</w:t>
      </w:r>
      <w:r>
        <w:rPr>
          <w:rFonts w:hint="eastAsia" w:ascii="宋体" w:hAnsi="宋体" w:cs="宋体"/>
          <w:color w:val="auto"/>
          <w:sz w:val="24"/>
          <w:szCs w:val="24"/>
          <w:highlight w:val="none"/>
        </w:rPr>
        <w:t xml:space="preserve">             </w:t>
      </w:r>
    </w:p>
    <w:p w14:paraId="75F0268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时间：   年   月   日</w:t>
      </w:r>
    </w:p>
    <w:p w14:paraId="50A07A56">
      <w:pPr>
        <w:spacing w:line="360" w:lineRule="auto"/>
        <w:jc w:val="left"/>
        <w:rPr>
          <w:rFonts w:hint="eastAsia" w:ascii="宋体" w:hAnsi="宋体" w:cs="宋体"/>
          <w:b/>
          <w:color w:val="auto"/>
          <w:sz w:val="24"/>
          <w:szCs w:val="24"/>
          <w:highlight w:val="none"/>
          <w:u w:val="single"/>
        </w:rPr>
      </w:pPr>
      <w:r>
        <w:rPr>
          <w:rFonts w:hint="eastAsia" w:ascii="宋体" w:hAnsi="宋体" w:cs="宋体"/>
          <w:color w:val="auto"/>
          <w:sz w:val="24"/>
          <w:szCs w:val="24"/>
          <w:highlight w:val="none"/>
        </w:rPr>
        <w:t>乙方：</w:t>
      </w:r>
      <w:r>
        <w:rPr>
          <w:rFonts w:hint="eastAsia" w:ascii="宋体" w:hAnsi="宋体" w:cs="宋体"/>
          <w:b/>
          <w:color w:val="auto"/>
          <w:sz w:val="24"/>
          <w:szCs w:val="24"/>
          <w:highlight w:val="none"/>
          <w:u w:val="single"/>
        </w:rPr>
        <w:t xml:space="preserve">                          （盖章）</w:t>
      </w:r>
    </w:p>
    <w:p w14:paraId="35130B35">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w:t>
      </w:r>
    </w:p>
    <w:p w14:paraId="228A0EDC">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其授权的代理人：</w:t>
      </w:r>
      <w:r>
        <w:rPr>
          <w:rFonts w:hint="eastAsia" w:ascii="宋体" w:hAnsi="宋体" w:cs="宋体"/>
          <w:color w:val="auto"/>
          <w:sz w:val="24"/>
          <w:szCs w:val="24"/>
          <w:highlight w:val="none"/>
          <w:u w:val="single"/>
        </w:rPr>
        <w:t xml:space="preserve">              （职务）</w:t>
      </w:r>
    </w:p>
    <w:p w14:paraId="0C4839AB">
      <w:pPr>
        <w:spacing w:line="360" w:lineRule="auto"/>
        <w:ind w:firstLine="1920" w:firstLineChars="8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（姓名）</w:t>
      </w:r>
    </w:p>
    <w:p w14:paraId="700ACA06">
      <w:pPr>
        <w:spacing w:line="360" w:lineRule="auto"/>
        <w:ind w:firstLine="1680" w:firstLineChars="7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（签字）</w:t>
      </w:r>
    </w:p>
    <w:p w14:paraId="59BB0283">
      <w:pPr>
        <w:spacing w:line="360" w:lineRule="auto"/>
        <w:ind w:firstLine="1680" w:firstLineChars="700"/>
        <w:jc w:val="left"/>
        <w:rPr>
          <w:rFonts w:hint="eastAsia" w:ascii="宋体" w:hAnsi="宋体" w:cs="宋体"/>
          <w:color w:val="auto"/>
          <w:sz w:val="24"/>
          <w:szCs w:val="24"/>
          <w:highlight w:val="none"/>
          <w:u w:val="single"/>
        </w:rPr>
      </w:pPr>
    </w:p>
    <w:p w14:paraId="50762E99">
      <w:pPr>
        <w:pStyle w:val="18"/>
        <w:rPr>
          <w:color w:val="auto"/>
          <w:highlight w:val="none"/>
        </w:rPr>
      </w:pPr>
      <w:r>
        <w:rPr>
          <w:rFonts w:hint="eastAsia" w:ascii="宋体" w:hAnsi="宋体" w:cs="宋体"/>
          <w:color w:val="auto"/>
          <w:sz w:val="24"/>
          <w:szCs w:val="24"/>
          <w:highlight w:val="none"/>
        </w:rPr>
        <w:t>时间：   年   月   日</w:t>
      </w:r>
    </w:p>
    <w:p w14:paraId="40B912C4">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asciiTheme="minorEastAsia" w:hAnsiTheme="minorEastAsia" w:eastAsiaTheme="minorEastAsia" w:cstheme="minorEastAsia"/>
          <w:color w:val="auto"/>
          <w:sz w:val="21"/>
          <w:szCs w:val="21"/>
          <w:highlight w:val="none"/>
        </w:rPr>
      </w:pPr>
    </w:p>
    <w:p w14:paraId="5DB8A6F0">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asciiTheme="minorEastAsia" w:hAnsiTheme="minorEastAsia" w:eastAsiaTheme="minorEastAsia" w:cstheme="minorEastAsia"/>
          <w:color w:val="auto"/>
          <w:sz w:val="21"/>
          <w:szCs w:val="21"/>
          <w:highlight w:val="none"/>
        </w:rPr>
      </w:pPr>
    </w:p>
    <w:p w14:paraId="161CF5BD">
      <w:pPr>
        <w:pStyle w:val="23"/>
        <w:keepNext w:val="0"/>
        <w:keepLines w:val="0"/>
        <w:pageBreakBefore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auto"/>
          <w:sz w:val="21"/>
          <w:szCs w:val="21"/>
          <w:highlight w:val="none"/>
        </w:rPr>
      </w:pPr>
    </w:p>
    <w:sectPr>
      <w:footerReference r:id="rId5" w:type="default"/>
      <w:pgSz w:w="11906" w:h="16838"/>
      <w:pgMar w:top="1440" w:right="1800" w:bottom="1440" w:left="180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auto"/>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1E402">
    <w:pPr>
      <w:pStyle w:val="2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9BD1FB">
                          <w:pPr>
                            <w:pStyle w:val="27"/>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4plRcoBAACc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4plRcoBAACcAwAADgAAAAAAAAABACAAAAAeAQAAZHJzL2Uyb0Rv&#10;Yy54bWxQSwUGAAAAAAYABgBZAQAAWgUAAAAA&#10;">
              <v:fill on="f" focussize="0,0"/>
              <v:stroke on="f"/>
              <v:imagedata o:title=""/>
              <o:lock v:ext="edit" aspectratio="f"/>
              <v:textbox inset="0mm,0mm,0mm,0mm" style="mso-fit-shape-to-text:t;">
                <w:txbxContent>
                  <w:p w14:paraId="049BD1FB">
                    <w:pPr>
                      <w:pStyle w:val="27"/>
                    </w:pPr>
                    <w:r>
                      <w:fldChar w:fldCharType="begin"/>
                    </w:r>
                    <w:r>
                      <w:instrText xml:space="preserve"> PAGE  \* MERGEFORMAT </w:instrText>
                    </w:r>
                    <w:r>
                      <w:fldChar w:fldCharType="separate"/>
                    </w:r>
                    <w:r>
                      <w:t>34</w:t>
                    </w:r>
                    <w:r>
                      <w:fldChar w:fldCharType="end"/>
                    </w:r>
                  </w:p>
                </w:txbxContent>
              </v:textbox>
            </v:shape>
          </w:pict>
        </mc:Fallback>
      </mc:AlternateContent>
    </w:r>
  </w:p>
  <w:p w14:paraId="4A0C8F5F">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2FAE7">
    <w:pPr>
      <w:pStyle w:val="2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E191F9">
                          <w:pPr>
                            <w:pStyle w:val="27"/>
                          </w:pPr>
                          <w:r>
                            <w:fldChar w:fldCharType="begin"/>
                          </w:r>
                          <w:r>
                            <w:instrText xml:space="preserve"> PAGE  \* MERGEFORMAT </w:instrText>
                          </w:r>
                          <w:r>
                            <w:fldChar w:fldCharType="separate"/>
                          </w:r>
                          <w:r>
                            <w:t>70</w:t>
                          </w:r>
                          <w: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4/cKMsBAACcAwAADgAAAGRycy9lMm9Eb2MueG1srVNLbtswEN0XyB0I&#10;7mPKRlE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OP3CjLAQAAnAMAAA4AAAAAAAAAAQAgAAAAHgEAAGRycy9lMm9E&#10;b2MueG1sUEsFBgAAAAAGAAYAWQEAAFsFAAAAAA==&#10;">
              <v:fill on="f" focussize="0,0"/>
              <v:stroke on="f"/>
              <v:imagedata o:title=""/>
              <o:lock v:ext="edit" aspectratio="f"/>
              <v:textbox inset="0mm,0mm,0mm,0mm" style="mso-fit-shape-to-text:t;">
                <w:txbxContent>
                  <w:p w14:paraId="24E191F9">
                    <w:pPr>
                      <w:pStyle w:val="27"/>
                    </w:pPr>
                    <w:r>
                      <w:fldChar w:fldCharType="begin"/>
                    </w:r>
                    <w:r>
                      <w:instrText xml:space="preserve"> PAGE  \* MERGEFORMAT </w:instrText>
                    </w:r>
                    <w:r>
                      <w:fldChar w:fldCharType="separate"/>
                    </w:r>
                    <w:r>
                      <w:t>70</w:t>
                    </w:r>
                    <w:r>
                      <w:fldChar w:fldCharType="end"/>
                    </w:r>
                  </w:p>
                </w:txbxContent>
              </v:textbox>
            </v:shape>
          </w:pict>
        </mc:Fallback>
      </mc:AlternateContent>
    </w:r>
  </w:p>
  <w:p w14:paraId="7BA52C90">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B80A1">
    <w:pPr>
      <w:pStyle w:val="1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48"/>
      <w:lvlText w:val="第%1条 "/>
      <w:lvlJc w:val="left"/>
      <w:pPr>
        <w:tabs>
          <w:tab w:val="left" w:pos="1080"/>
        </w:tabs>
        <w:ind w:left="0" w:firstLine="0"/>
      </w:pPr>
      <w:rPr>
        <w:rFonts w:hint="eastAsia" w:eastAsia="黑体"/>
        <w:b/>
        <w:i w:val="0"/>
        <w:sz w:val="24"/>
        <w:szCs w:val="24"/>
        <w:lang w:val="en-US"/>
      </w:rPr>
    </w:lvl>
    <w:lvl w:ilvl="1" w:tentative="0">
      <w:start w:val="1"/>
      <w:numFmt w:val="lowerLetter"/>
      <w:lvlText w:val="%2)"/>
      <w:lvlJc w:val="left"/>
      <w:pPr>
        <w:tabs>
          <w:tab w:val="left" w:pos="2262"/>
        </w:tabs>
        <w:ind w:left="2262" w:hanging="420"/>
      </w:pPr>
    </w:lvl>
    <w:lvl w:ilvl="2" w:tentative="0">
      <w:start w:val="1"/>
      <w:numFmt w:val="decimal"/>
      <w:lvlText w:val="%3、"/>
      <w:lvlJc w:val="left"/>
      <w:pPr>
        <w:tabs>
          <w:tab w:val="left" w:pos="2622"/>
        </w:tabs>
        <w:ind w:left="2622" w:hanging="360"/>
      </w:pPr>
      <w:rPr>
        <w:rFonts w:hint="eastAsia"/>
      </w:rPr>
    </w:lvl>
    <w:lvl w:ilvl="3" w:tentative="0">
      <w:start w:val="1"/>
      <w:numFmt w:val="decimal"/>
      <w:lvlText w:val="%4."/>
      <w:lvlJc w:val="left"/>
      <w:pPr>
        <w:tabs>
          <w:tab w:val="left" w:pos="3102"/>
        </w:tabs>
        <w:ind w:left="3102" w:hanging="420"/>
      </w:pPr>
    </w:lvl>
    <w:lvl w:ilvl="4" w:tentative="0">
      <w:start w:val="1"/>
      <w:numFmt w:val="lowerLetter"/>
      <w:lvlText w:val="%5)"/>
      <w:lvlJc w:val="left"/>
      <w:pPr>
        <w:tabs>
          <w:tab w:val="left" w:pos="3522"/>
        </w:tabs>
        <w:ind w:left="3522" w:hanging="420"/>
      </w:pPr>
    </w:lvl>
    <w:lvl w:ilvl="5" w:tentative="0">
      <w:start w:val="1"/>
      <w:numFmt w:val="lowerRoman"/>
      <w:lvlText w:val="%6."/>
      <w:lvlJc w:val="right"/>
      <w:pPr>
        <w:tabs>
          <w:tab w:val="left" w:pos="3942"/>
        </w:tabs>
        <w:ind w:left="3942" w:hanging="420"/>
      </w:pPr>
    </w:lvl>
    <w:lvl w:ilvl="6" w:tentative="0">
      <w:start w:val="1"/>
      <w:numFmt w:val="decimal"/>
      <w:lvlText w:val="%7."/>
      <w:lvlJc w:val="left"/>
      <w:pPr>
        <w:tabs>
          <w:tab w:val="left" w:pos="4362"/>
        </w:tabs>
        <w:ind w:left="4362" w:hanging="420"/>
      </w:pPr>
    </w:lvl>
    <w:lvl w:ilvl="7" w:tentative="0">
      <w:start w:val="1"/>
      <w:numFmt w:val="lowerLetter"/>
      <w:lvlText w:val="%8)"/>
      <w:lvlJc w:val="left"/>
      <w:pPr>
        <w:tabs>
          <w:tab w:val="left" w:pos="4782"/>
        </w:tabs>
        <w:ind w:left="4782" w:hanging="420"/>
      </w:pPr>
    </w:lvl>
    <w:lvl w:ilvl="8" w:tentative="0">
      <w:start w:val="1"/>
      <w:numFmt w:val="lowerRoman"/>
      <w:lvlText w:val="%9."/>
      <w:lvlJc w:val="right"/>
      <w:pPr>
        <w:tabs>
          <w:tab w:val="left" w:pos="5202"/>
        </w:tabs>
        <w:ind w:left="5202" w:hanging="420"/>
      </w:pPr>
    </w:lvl>
  </w:abstractNum>
  <w:abstractNum w:abstractNumId="2">
    <w:nsid w:val="2CE225D7"/>
    <w:multiLevelType w:val="multilevel"/>
    <w:tmpl w:val="2CE225D7"/>
    <w:lvl w:ilvl="0" w:tentative="0">
      <w:start w:val="1"/>
      <w:numFmt w:val="japaneseCounting"/>
      <w:lvlText w:val="%1、"/>
      <w:lvlJc w:val="left"/>
      <w:pPr>
        <w:tabs>
          <w:tab w:val="left" w:pos="1280"/>
        </w:tabs>
        <w:ind w:left="1280" w:hanging="720"/>
      </w:pPr>
      <w:rPr>
        <w:rFonts w:hint="default"/>
      </w:rPr>
    </w:lvl>
    <w:lvl w:ilvl="1" w:tentative="0">
      <w:start w:val="1"/>
      <w:numFmt w:val="lowerLetter"/>
      <w:lvlText w:val="%2)"/>
      <w:lvlJc w:val="left"/>
      <w:pPr>
        <w:tabs>
          <w:tab w:val="left" w:pos="1400"/>
        </w:tabs>
        <w:ind w:left="1400" w:hanging="420"/>
      </w:p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3">
    <w:nsid w:val="59ADCABA"/>
    <w:multiLevelType w:val="multilevel"/>
    <w:tmpl w:val="59ADCABA"/>
    <w:lvl w:ilvl="0" w:tentative="0">
      <w:start w:val="6"/>
      <w:numFmt w:val="chineseCounting"/>
      <w:suff w:val="nothing"/>
      <w:lvlText w:val="%1、"/>
      <w:lvlJc w:val="left"/>
      <w:pPr>
        <w:ind w:left="0" w:firstLine="0"/>
      </w:pPr>
      <w:rPr>
        <w:rFonts w:hint="eastAsia" w:ascii="宋体" w:hAnsi="宋体" w:eastAsia="宋体"/>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3"/>
    <w:lvlOverride w:ilvl="0">
      <w:startOverride w:val="6"/>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9189B"/>
    <w:rsid w:val="01437EC0"/>
    <w:rsid w:val="01E7311F"/>
    <w:rsid w:val="02B8562E"/>
    <w:rsid w:val="04535261"/>
    <w:rsid w:val="045439A3"/>
    <w:rsid w:val="05200655"/>
    <w:rsid w:val="054933A7"/>
    <w:rsid w:val="05C71A6A"/>
    <w:rsid w:val="05CA098C"/>
    <w:rsid w:val="05EA4B8A"/>
    <w:rsid w:val="05F96B7B"/>
    <w:rsid w:val="06547639"/>
    <w:rsid w:val="06FE74C6"/>
    <w:rsid w:val="08C611EC"/>
    <w:rsid w:val="08FE06A8"/>
    <w:rsid w:val="092D370C"/>
    <w:rsid w:val="095C393E"/>
    <w:rsid w:val="09614D9F"/>
    <w:rsid w:val="09616F12"/>
    <w:rsid w:val="09FD5557"/>
    <w:rsid w:val="0A00672A"/>
    <w:rsid w:val="0A0A00B0"/>
    <w:rsid w:val="0A456833"/>
    <w:rsid w:val="0A636CB9"/>
    <w:rsid w:val="0A7964DD"/>
    <w:rsid w:val="0A8A06EA"/>
    <w:rsid w:val="0AE26C87"/>
    <w:rsid w:val="0AE85D7A"/>
    <w:rsid w:val="0B220922"/>
    <w:rsid w:val="0B3C19E4"/>
    <w:rsid w:val="0B564557"/>
    <w:rsid w:val="0BCC25E2"/>
    <w:rsid w:val="0D143C44"/>
    <w:rsid w:val="0D4E3C51"/>
    <w:rsid w:val="0D63243C"/>
    <w:rsid w:val="0DBA1F1F"/>
    <w:rsid w:val="0E2F5830"/>
    <w:rsid w:val="0E682D38"/>
    <w:rsid w:val="0ED46E49"/>
    <w:rsid w:val="0F0F11BE"/>
    <w:rsid w:val="0F20161D"/>
    <w:rsid w:val="0F786C55"/>
    <w:rsid w:val="0FFA58E5"/>
    <w:rsid w:val="10110A12"/>
    <w:rsid w:val="10523A58"/>
    <w:rsid w:val="10702130"/>
    <w:rsid w:val="108C6F6A"/>
    <w:rsid w:val="10F90377"/>
    <w:rsid w:val="110E3FBE"/>
    <w:rsid w:val="11E44B84"/>
    <w:rsid w:val="12AF5192"/>
    <w:rsid w:val="12FC4414"/>
    <w:rsid w:val="14545CAF"/>
    <w:rsid w:val="1493417A"/>
    <w:rsid w:val="15127C5A"/>
    <w:rsid w:val="15806E63"/>
    <w:rsid w:val="158970E1"/>
    <w:rsid w:val="15B0428C"/>
    <w:rsid w:val="169F376F"/>
    <w:rsid w:val="16F93E55"/>
    <w:rsid w:val="172872C1"/>
    <w:rsid w:val="17345C65"/>
    <w:rsid w:val="17FD6111"/>
    <w:rsid w:val="18153CE9"/>
    <w:rsid w:val="1844012A"/>
    <w:rsid w:val="18455C50"/>
    <w:rsid w:val="18FE477D"/>
    <w:rsid w:val="19194342"/>
    <w:rsid w:val="19622BC3"/>
    <w:rsid w:val="19A76BC3"/>
    <w:rsid w:val="1A205BCC"/>
    <w:rsid w:val="1AEA48DA"/>
    <w:rsid w:val="1B1C713C"/>
    <w:rsid w:val="1BBC447B"/>
    <w:rsid w:val="1C224C26"/>
    <w:rsid w:val="1C580648"/>
    <w:rsid w:val="1CEA3F89"/>
    <w:rsid w:val="1D131341"/>
    <w:rsid w:val="1D175E0D"/>
    <w:rsid w:val="1D5E1C8E"/>
    <w:rsid w:val="1D61352C"/>
    <w:rsid w:val="1D6A1652"/>
    <w:rsid w:val="1D6D3C7F"/>
    <w:rsid w:val="1DBC4C07"/>
    <w:rsid w:val="1DE2466D"/>
    <w:rsid w:val="1E43227A"/>
    <w:rsid w:val="1F0B19A2"/>
    <w:rsid w:val="1F4924CA"/>
    <w:rsid w:val="1F5642FC"/>
    <w:rsid w:val="1FB50614"/>
    <w:rsid w:val="1FDE7EFC"/>
    <w:rsid w:val="2063161E"/>
    <w:rsid w:val="209459C7"/>
    <w:rsid w:val="21426E78"/>
    <w:rsid w:val="214C7EA6"/>
    <w:rsid w:val="21BC581B"/>
    <w:rsid w:val="21E62252"/>
    <w:rsid w:val="227E5313"/>
    <w:rsid w:val="22FD3CF7"/>
    <w:rsid w:val="230C7A96"/>
    <w:rsid w:val="234A05BF"/>
    <w:rsid w:val="240D1D18"/>
    <w:rsid w:val="24182800"/>
    <w:rsid w:val="24653902"/>
    <w:rsid w:val="24C70119"/>
    <w:rsid w:val="256E67E6"/>
    <w:rsid w:val="25C866BB"/>
    <w:rsid w:val="2639382F"/>
    <w:rsid w:val="264F6AAE"/>
    <w:rsid w:val="26993D37"/>
    <w:rsid w:val="26B612F4"/>
    <w:rsid w:val="27AE3812"/>
    <w:rsid w:val="27C77A64"/>
    <w:rsid w:val="27DD13E1"/>
    <w:rsid w:val="27E965F8"/>
    <w:rsid w:val="282A3AEE"/>
    <w:rsid w:val="28DB0637"/>
    <w:rsid w:val="29AA0009"/>
    <w:rsid w:val="2A2953D2"/>
    <w:rsid w:val="2A585CB7"/>
    <w:rsid w:val="2AAF3B29"/>
    <w:rsid w:val="2ADC2444"/>
    <w:rsid w:val="2B46302C"/>
    <w:rsid w:val="2B893597"/>
    <w:rsid w:val="2BC37160"/>
    <w:rsid w:val="2BC511C1"/>
    <w:rsid w:val="2BD24A89"/>
    <w:rsid w:val="2CA46F92"/>
    <w:rsid w:val="2CC338BC"/>
    <w:rsid w:val="2D6548BB"/>
    <w:rsid w:val="2DFB52D7"/>
    <w:rsid w:val="3036354F"/>
    <w:rsid w:val="317E4255"/>
    <w:rsid w:val="343E1A7A"/>
    <w:rsid w:val="344F012B"/>
    <w:rsid w:val="34675474"/>
    <w:rsid w:val="34A800DA"/>
    <w:rsid w:val="34B166F0"/>
    <w:rsid w:val="34BD5094"/>
    <w:rsid w:val="35EE6392"/>
    <w:rsid w:val="362C0724"/>
    <w:rsid w:val="36E0150E"/>
    <w:rsid w:val="378E69BD"/>
    <w:rsid w:val="37D05925"/>
    <w:rsid w:val="38376F0C"/>
    <w:rsid w:val="38806B05"/>
    <w:rsid w:val="389E6F8B"/>
    <w:rsid w:val="38FB78A0"/>
    <w:rsid w:val="393A1C27"/>
    <w:rsid w:val="3A1F40FB"/>
    <w:rsid w:val="3B180FBF"/>
    <w:rsid w:val="3DBF59D9"/>
    <w:rsid w:val="3E29379B"/>
    <w:rsid w:val="3E2A7486"/>
    <w:rsid w:val="3E802591"/>
    <w:rsid w:val="3EA177D5"/>
    <w:rsid w:val="3F05795C"/>
    <w:rsid w:val="3F52287D"/>
    <w:rsid w:val="3F9A711E"/>
    <w:rsid w:val="3FD21E14"/>
    <w:rsid w:val="400E0E9A"/>
    <w:rsid w:val="40F77B80"/>
    <w:rsid w:val="4148218A"/>
    <w:rsid w:val="414A5588"/>
    <w:rsid w:val="419663F4"/>
    <w:rsid w:val="419B675D"/>
    <w:rsid w:val="41B11ADD"/>
    <w:rsid w:val="42A6360C"/>
    <w:rsid w:val="434033E5"/>
    <w:rsid w:val="434547B6"/>
    <w:rsid w:val="43711072"/>
    <w:rsid w:val="43790FC1"/>
    <w:rsid w:val="43AF4BCB"/>
    <w:rsid w:val="440F51E1"/>
    <w:rsid w:val="446A2417"/>
    <w:rsid w:val="45AC070B"/>
    <w:rsid w:val="47024B89"/>
    <w:rsid w:val="473106C9"/>
    <w:rsid w:val="476A10AC"/>
    <w:rsid w:val="48526938"/>
    <w:rsid w:val="48C4659A"/>
    <w:rsid w:val="48E924A4"/>
    <w:rsid w:val="4961203A"/>
    <w:rsid w:val="49910899"/>
    <w:rsid w:val="49BE123B"/>
    <w:rsid w:val="4A1F5EB6"/>
    <w:rsid w:val="4A2117CA"/>
    <w:rsid w:val="4A253068"/>
    <w:rsid w:val="4B515E20"/>
    <w:rsid w:val="4B52058A"/>
    <w:rsid w:val="4BBA0128"/>
    <w:rsid w:val="4BD33066"/>
    <w:rsid w:val="4C583BC9"/>
    <w:rsid w:val="4CA25171"/>
    <w:rsid w:val="4CB201F1"/>
    <w:rsid w:val="4CC27294"/>
    <w:rsid w:val="4D333CEE"/>
    <w:rsid w:val="4D713137"/>
    <w:rsid w:val="4D956757"/>
    <w:rsid w:val="4D9E35AE"/>
    <w:rsid w:val="4DBA440F"/>
    <w:rsid w:val="4E427672"/>
    <w:rsid w:val="4E7A4099"/>
    <w:rsid w:val="4F272DEC"/>
    <w:rsid w:val="4F697E9B"/>
    <w:rsid w:val="50011E81"/>
    <w:rsid w:val="50153B7F"/>
    <w:rsid w:val="50795EBC"/>
    <w:rsid w:val="514566E6"/>
    <w:rsid w:val="51856AE2"/>
    <w:rsid w:val="51C413B8"/>
    <w:rsid w:val="51CC02EB"/>
    <w:rsid w:val="52635075"/>
    <w:rsid w:val="52F13373"/>
    <w:rsid w:val="531C3E18"/>
    <w:rsid w:val="534A3B3F"/>
    <w:rsid w:val="5366499C"/>
    <w:rsid w:val="53BB7D54"/>
    <w:rsid w:val="53E73A84"/>
    <w:rsid w:val="543071D9"/>
    <w:rsid w:val="545A732F"/>
    <w:rsid w:val="548968E9"/>
    <w:rsid w:val="56CA2798"/>
    <w:rsid w:val="56F91B04"/>
    <w:rsid w:val="571406EC"/>
    <w:rsid w:val="57250B4B"/>
    <w:rsid w:val="57AE6D93"/>
    <w:rsid w:val="57AF2B0B"/>
    <w:rsid w:val="57B27F05"/>
    <w:rsid w:val="57C540DC"/>
    <w:rsid w:val="5804675A"/>
    <w:rsid w:val="589715D5"/>
    <w:rsid w:val="58D65FE6"/>
    <w:rsid w:val="5A984544"/>
    <w:rsid w:val="5CD437AF"/>
    <w:rsid w:val="5D476DAC"/>
    <w:rsid w:val="5D4F3E18"/>
    <w:rsid w:val="5E783C56"/>
    <w:rsid w:val="606C36F8"/>
    <w:rsid w:val="60A644EA"/>
    <w:rsid w:val="613227E3"/>
    <w:rsid w:val="61400668"/>
    <w:rsid w:val="61BA4586"/>
    <w:rsid w:val="61D27B22"/>
    <w:rsid w:val="621A5025"/>
    <w:rsid w:val="62EC4C13"/>
    <w:rsid w:val="6424218B"/>
    <w:rsid w:val="64B96D77"/>
    <w:rsid w:val="64F5506A"/>
    <w:rsid w:val="651144BD"/>
    <w:rsid w:val="65785543"/>
    <w:rsid w:val="65907AD8"/>
    <w:rsid w:val="66150C06"/>
    <w:rsid w:val="6618187B"/>
    <w:rsid w:val="67C31D26"/>
    <w:rsid w:val="686F6E01"/>
    <w:rsid w:val="69F543AD"/>
    <w:rsid w:val="6A474526"/>
    <w:rsid w:val="6A9A31A7"/>
    <w:rsid w:val="6AA21A9A"/>
    <w:rsid w:val="6AEA5EDC"/>
    <w:rsid w:val="6B4753D2"/>
    <w:rsid w:val="6BA047ED"/>
    <w:rsid w:val="6BB35FF6"/>
    <w:rsid w:val="6BE0393A"/>
    <w:rsid w:val="6C336F72"/>
    <w:rsid w:val="6C634E6B"/>
    <w:rsid w:val="6CCD7863"/>
    <w:rsid w:val="6CD97FB6"/>
    <w:rsid w:val="6D7221B9"/>
    <w:rsid w:val="6DCF4F15"/>
    <w:rsid w:val="6DCF760B"/>
    <w:rsid w:val="6EA2262A"/>
    <w:rsid w:val="6EB74EAF"/>
    <w:rsid w:val="6F0926A9"/>
    <w:rsid w:val="6FBA53E2"/>
    <w:rsid w:val="6FC30AAA"/>
    <w:rsid w:val="6FF45107"/>
    <w:rsid w:val="701F74FE"/>
    <w:rsid w:val="70293003"/>
    <w:rsid w:val="70A72179"/>
    <w:rsid w:val="711335D5"/>
    <w:rsid w:val="71724535"/>
    <w:rsid w:val="71DC5E53"/>
    <w:rsid w:val="720E0702"/>
    <w:rsid w:val="72A746B3"/>
    <w:rsid w:val="73E94471"/>
    <w:rsid w:val="740643A1"/>
    <w:rsid w:val="742B485B"/>
    <w:rsid w:val="746C6672"/>
    <w:rsid w:val="74800CA4"/>
    <w:rsid w:val="758D2625"/>
    <w:rsid w:val="75AE687C"/>
    <w:rsid w:val="75F23E97"/>
    <w:rsid w:val="760A7432"/>
    <w:rsid w:val="76107D0B"/>
    <w:rsid w:val="769136B0"/>
    <w:rsid w:val="76960CC6"/>
    <w:rsid w:val="76D55C89"/>
    <w:rsid w:val="774F7300"/>
    <w:rsid w:val="77A45665"/>
    <w:rsid w:val="78146346"/>
    <w:rsid w:val="78931961"/>
    <w:rsid w:val="78E617A1"/>
    <w:rsid w:val="791A3702"/>
    <w:rsid w:val="7ABE4C8F"/>
    <w:rsid w:val="7AEF6BF7"/>
    <w:rsid w:val="7CC540B3"/>
    <w:rsid w:val="7D850497"/>
    <w:rsid w:val="7DB86548"/>
    <w:rsid w:val="7E1E7F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05"/>
    <w:qFormat/>
    <w:uiPriority w:val="9"/>
    <w:pPr>
      <w:keepNext/>
      <w:keepLines/>
      <w:spacing w:before="340" w:after="330" w:line="578" w:lineRule="auto"/>
      <w:outlineLvl w:val="0"/>
    </w:pPr>
    <w:rPr>
      <w:rFonts w:ascii="Calibri" w:hAnsi="Calibri"/>
      <w:b/>
      <w:bCs/>
      <w:sz w:val="44"/>
      <w:szCs w:val="44"/>
    </w:rPr>
  </w:style>
  <w:style w:type="paragraph" w:styleId="3">
    <w:name w:val="heading 2"/>
    <w:basedOn w:val="1"/>
    <w:next w:val="1"/>
    <w:link w:val="206"/>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5"/>
    <w:link w:val="208"/>
    <w:qFormat/>
    <w:uiPriority w:val="0"/>
    <w:pPr>
      <w:keepNext/>
      <w:keepLines/>
      <w:spacing w:before="260" w:after="260" w:line="416" w:lineRule="auto"/>
      <w:outlineLvl w:val="2"/>
    </w:pPr>
    <w:rPr>
      <w:rFonts w:ascii="Calibri" w:hAnsi="Calibri"/>
      <w:b/>
      <w:bCs/>
      <w:sz w:val="32"/>
      <w:szCs w:val="32"/>
    </w:rPr>
  </w:style>
  <w:style w:type="paragraph" w:styleId="6">
    <w:name w:val="heading 4"/>
    <w:basedOn w:val="1"/>
    <w:next w:val="7"/>
    <w:link w:val="209"/>
    <w:qFormat/>
    <w:uiPriority w:val="0"/>
    <w:pPr>
      <w:spacing w:before="280" w:after="290" w:line="377" w:lineRule="auto"/>
      <w:outlineLvl w:val="3"/>
    </w:pPr>
    <w:rPr>
      <w:rFonts w:ascii="Arial" w:hAnsi="Arial" w:eastAsia="黑体"/>
      <w:b/>
      <w:bCs/>
      <w:sz w:val="28"/>
      <w:szCs w:val="28"/>
    </w:rPr>
  </w:style>
  <w:style w:type="paragraph" w:styleId="8">
    <w:name w:val="heading 5"/>
    <w:basedOn w:val="1"/>
    <w:next w:val="1"/>
    <w:link w:val="62"/>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6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66"/>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5">
    <w:name w:val="正文缩进1"/>
    <w:basedOn w:val="1"/>
    <w:qFormat/>
    <w:uiPriority w:val="0"/>
    <w:pPr>
      <w:ind w:firstLine="420"/>
    </w:pPr>
    <w:rPr>
      <w:rFonts w:ascii="楷体_GB2312" w:hAnsi="楷体_GB2312"/>
      <w:sz w:val="20"/>
      <w:szCs w:val="20"/>
    </w:rPr>
  </w:style>
  <w:style w:type="paragraph" w:styleId="7">
    <w:name w:val="Normal Indent"/>
    <w:basedOn w:val="1"/>
    <w:link w:val="207"/>
    <w:unhideWhenUsed/>
    <w:qFormat/>
    <w:uiPriority w:val="0"/>
    <w:pPr>
      <w:ind w:firstLine="420"/>
    </w:pPr>
    <w:rPr>
      <w:rFonts w:ascii="Calibri" w:hAnsi="Calibri"/>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0"/>
    <w:unhideWhenUsed/>
    <w:qFormat/>
    <w:uiPriority w:val="99"/>
    <w:rPr>
      <w:rFonts w:ascii="宋体"/>
      <w:sz w:val="18"/>
      <w:szCs w:val="18"/>
    </w:rPr>
  </w:style>
  <w:style w:type="paragraph" w:styleId="16">
    <w:name w:val="annotation text"/>
    <w:basedOn w:val="1"/>
    <w:link w:val="236"/>
    <w:unhideWhenUsed/>
    <w:qFormat/>
    <w:uiPriority w:val="99"/>
    <w:pPr>
      <w:jc w:val="left"/>
    </w:pPr>
  </w:style>
  <w:style w:type="paragraph" w:styleId="17">
    <w:name w:val="Body Text"/>
    <w:basedOn w:val="1"/>
    <w:link w:val="204"/>
    <w:qFormat/>
    <w:uiPriority w:val="0"/>
    <w:rPr>
      <w:rFonts w:ascii="楷体_GB2312" w:hAnsi="Arial" w:eastAsia="楷体_GB2312"/>
      <w:sz w:val="28"/>
      <w:szCs w:val="20"/>
    </w:rPr>
  </w:style>
  <w:style w:type="paragraph" w:styleId="18">
    <w:name w:val="Body Text Indent"/>
    <w:basedOn w:val="1"/>
    <w:next w:val="19"/>
    <w:link w:val="211"/>
    <w:qFormat/>
    <w:uiPriority w:val="0"/>
    <w:pPr>
      <w:spacing w:after="120"/>
      <w:ind w:left="420"/>
    </w:pPr>
  </w:style>
  <w:style w:type="paragraph" w:styleId="19">
    <w:name w:val="envelope return"/>
    <w:basedOn w:val="1"/>
    <w:qFormat/>
    <w:uiPriority w:val="0"/>
    <w:rPr>
      <w:rFonts w:ascii="Arial" w:hAnsi="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link w:val="212"/>
    <w:unhideWhenUsed/>
    <w:qFormat/>
    <w:uiPriority w:val="99"/>
    <w:rPr>
      <w:rFonts w:ascii="宋体" w:hAnsi="Courier New"/>
      <w:sz w:val="20"/>
      <w:szCs w:val="20"/>
    </w:rPr>
  </w:style>
  <w:style w:type="paragraph" w:styleId="23">
    <w:name w:val="toc 8"/>
    <w:basedOn w:val="1"/>
    <w:next w:val="1"/>
    <w:unhideWhenUsed/>
    <w:qFormat/>
    <w:uiPriority w:val="39"/>
    <w:pPr>
      <w:ind w:left="2940"/>
    </w:pPr>
    <w:rPr>
      <w:rFonts w:ascii="等线" w:hAnsi="等线" w:eastAsia="等线" w:cs="黑体"/>
    </w:rPr>
  </w:style>
  <w:style w:type="paragraph" w:styleId="24">
    <w:name w:val="Date"/>
    <w:basedOn w:val="1"/>
    <w:next w:val="1"/>
    <w:link w:val="213"/>
    <w:qFormat/>
    <w:uiPriority w:val="0"/>
    <w:rPr>
      <w:sz w:val="24"/>
      <w:szCs w:val="20"/>
    </w:rPr>
  </w:style>
  <w:style w:type="paragraph" w:styleId="25">
    <w:name w:val="endnote text"/>
    <w:basedOn w:val="1"/>
    <w:link w:val="202"/>
    <w:semiHidden/>
    <w:unhideWhenUsed/>
    <w:qFormat/>
    <w:uiPriority w:val="99"/>
    <w:pPr>
      <w:spacing w:after="0" w:line="240" w:lineRule="auto"/>
    </w:pPr>
    <w:rPr>
      <w:sz w:val="20"/>
    </w:rPr>
  </w:style>
  <w:style w:type="paragraph" w:styleId="26">
    <w:name w:val="Balloon Text"/>
    <w:basedOn w:val="1"/>
    <w:link w:val="214"/>
    <w:unhideWhenUsed/>
    <w:qFormat/>
    <w:uiPriority w:val="99"/>
    <w:rPr>
      <w:sz w:val="18"/>
      <w:szCs w:val="18"/>
    </w:rPr>
  </w:style>
  <w:style w:type="paragraph" w:styleId="27">
    <w:name w:val="footer"/>
    <w:basedOn w:val="1"/>
    <w:link w:val="215"/>
    <w:unhideWhenUsed/>
    <w:qFormat/>
    <w:uiPriority w:val="99"/>
    <w:pPr>
      <w:tabs>
        <w:tab w:val="center" w:pos="4153"/>
        <w:tab w:val="right" w:pos="8306"/>
      </w:tabs>
      <w:jc w:val="left"/>
    </w:pPr>
    <w:rPr>
      <w:sz w:val="18"/>
      <w:szCs w:val="18"/>
    </w:rPr>
  </w:style>
  <w:style w:type="paragraph" w:styleId="28">
    <w:name w:val="header"/>
    <w:basedOn w:val="1"/>
    <w:link w:val="216"/>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rPr>
      <w:rFonts w:ascii="Calibri" w:hAnsi="Calibri"/>
    </w:r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8"/>
    <w:qFormat/>
    <w:uiPriority w:val="11"/>
    <w:pPr>
      <w:spacing w:before="200" w:after="200"/>
    </w:pPr>
    <w:rPr>
      <w:sz w:val="24"/>
      <w:szCs w:val="24"/>
    </w:rPr>
  </w:style>
  <w:style w:type="paragraph" w:styleId="32">
    <w:name w:val="footnote text"/>
    <w:basedOn w:val="1"/>
    <w:link w:val="201"/>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Body Text Indent 3"/>
    <w:basedOn w:val="1"/>
    <w:unhideWhenUsed/>
    <w:qFormat/>
    <w:uiPriority w:val="99"/>
    <w:pPr>
      <w:spacing w:after="120"/>
      <w:ind w:left="420"/>
    </w:pPr>
    <w:rPr>
      <w:sz w:val="16"/>
      <w:szCs w:val="16"/>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ind w:left="420"/>
    </w:pPr>
  </w:style>
  <w:style w:type="paragraph" w:styleId="37">
    <w:name w:val="toc 9"/>
    <w:basedOn w:val="1"/>
    <w:next w:val="1"/>
    <w:unhideWhenUsed/>
    <w:qFormat/>
    <w:uiPriority w:val="39"/>
    <w:pPr>
      <w:spacing w:after="57"/>
      <w:ind w:left="2268" w:right="0" w:firstLine="0"/>
    </w:pPr>
  </w:style>
  <w:style w:type="paragraph" w:styleId="38">
    <w:name w:val="Normal (Web)"/>
    <w:basedOn w:val="1"/>
    <w:unhideWhenUsed/>
    <w:qFormat/>
    <w:uiPriority w:val="0"/>
    <w:pPr>
      <w:jc w:val="left"/>
    </w:pPr>
    <w:rPr>
      <w:rFonts w:ascii="Calibri" w:hAnsi="Calibri"/>
      <w:sz w:val="24"/>
      <w:szCs w:val="24"/>
    </w:rPr>
  </w:style>
  <w:style w:type="paragraph" w:styleId="39">
    <w:name w:val="Title"/>
    <w:basedOn w:val="1"/>
    <w:next w:val="1"/>
    <w:link w:val="67"/>
    <w:qFormat/>
    <w:uiPriority w:val="10"/>
    <w:pPr>
      <w:spacing w:before="300" w:after="200"/>
      <w:contextualSpacing/>
    </w:pPr>
    <w:rPr>
      <w:sz w:val="48"/>
      <w:szCs w:val="48"/>
    </w:rPr>
  </w:style>
  <w:style w:type="paragraph" w:styleId="40">
    <w:name w:val="Body Text First Indent"/>
    <w:basedOn w:val="17"/>
    <w:unhideWhenUsed/>
    <w:qFormat/>
    <w:uiPriority w:val="99"/>
    <w:pPr>
      <w:ind w:firstLine="420" w:firstLineChars="100"/>
    </w:pPr>
    <w:rPr>
      <w:rFonts w:ascii="Calibri" w:hAnsi="Calibri" w:eastAsia="宋体"/>
      <w:sz w:val="22"/>
    </w:rPr>
  </w:style>
  <w:style w:type="table" w:styleId="42">
    <w:name w:val="Table Grid"/>
    <w:basedOn w:val="41"/>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qFormat/>
    <w:uiPriority w:val="0"/>
    <w:rPr>
      <w:b/>
    </w:rPr>
  </w:style>
  <w:style w:type="character" w:styleId="45">
    <w:name w:val="endnote reference"/>
    <w:basedOn w:val="43"/>
    <w:semiHidden/>
    <w:unhideWhenUsed/>
    <w:qFormat/>
    <w:uiPriority w:val="99"/>
    <w:rPr>
      <w:vertAlign w:val="superscript"/>
    </w:rPr>
  </w:style>
  <w:style w:type="character" w:styleId="46">
    <w:name w:val="Hyperlink"/>
    <w:basedOn w:val="43"/>
    <w:unhideWhenUsed/>
    <w:qFormat/>
    <w:uiPriority w:val="99"/>
    <w:rPr>
      <w:color w:val="0000FF" w:themeColor="hyperlink"/>
      <w:u w:val="single"/>
      <w14:textFill>
        <w14:solidFill>
          <w14:schemeClr w14:val="hlink"/>
        </w14:solidFill>
      </w14:textFill>
    </w:rPr>
  </w:style>
  <w:style w:type="character" w:styleId="47">
    <w:name w:val="footnote reference"/>
    <w:basedOn w:val="43"/>
    <w:unhideWhenUsed/>
    <w:qFormat/>
    <w:uiPriority w:val="99"/>
    <w:rPr>
      <w:vertAlign w:val="superscript"/>
    </w:rPr>
  </w:style>
  <w:style w:type="paragraph" w:customStyle="1" w:styleId="48">
    <w:name w:val="列表项目符号 211"/>
    <w:basedOn w:val="1"/>
    <w:unhideWhenUsed/>
    <w:qFormat/>
    <w:uiPriority w:val="0"/>
    <w:pPr>
      <w:numPr>
        <w:ilvl w:val="0"/>
        <w:numId w:val="1"/>
      </w:numPr>
      <w:tabs>
        <w:tab w:val="left" w:pos="780"/>
      </w:tabs>
      <w:ind w:left="0" w:firstLine="0"/>
    </w:pPr>
    <w:rPr>
      <w:rFonts w:ascii="Times New Roman" w:hAnsi="Times New Roman" w:cs="Times New Roman"/>
      <w:szCs w:val="24"/>
    </w:rPr>
  </w:style>
  <w:style w:type="paragraph" w:customStyle="1" w:styleId="49">
    <w:name w:val="正文（缩进）"/>
    <w:basedOn w:val="1"/>
    <w:next w:val="50"/>
    <w:qFormat/>
    <w:uiPriority w:val="0"/>
    <w:pPr>
      <w:ind w:firstLine="480"/>
    </w:pPr>
  </w:style>
  <w:style w:type="paragraph" w:customStyle="1" w:styleId="50">
    <w:name w:val="Char Char Char Char Char Char Char Char Char"/>
    <w:basedOn w:val="1"/>
    <w:next w:val="51"/>
    <w:qFormat/>
    <w:uiPriority w:val="99"/>
    <w:pPr>
      <w:ind w:left="360" w:firstLine="5784"/>
    </w:pPr>
  </w:style>
  <w:style w:type="paragraph" w:customStyle="1" w:styleId="51">
    <w:name w:val="正文文本 21"/>
    <w:basedOn w:val="1"/>
    <w:next w:val="52"/>
    <w:qFormat/>
    <w:uiPriority w:val="0"/>
    <w:pPr>
      <w:spacing w:after="120" w:line="480" w:lineRule="auto"/>
    </w:pPr>
  </w:style>
  <w:style w:type="paragraph" w:customStyle="1" w:styleId="52">
    <w:name w:val="默认段落字体 Para Char Char Char Char Char Char Char"/>
    <w:basedOn w:val="1"/>
    <w:next w:val="53"/>
    <w:qFormat/>
    <w:uiPriority w:val="0"/>
    <w:pPr>
      <w:ind w:firstLine="5632"/>
    </w:pPr>
  </w:style>
  <w:style w:type="paragraph" w:customStyle="1" w:styleId="53">
    <w:name w:val="样式 首行缩进:  2 字符"/>
    <w:basedOn w:val="1"/>
    <w:next w:val="54"/>
    <w:qFormat/>
    <w:uiPriority w:val="0"/>
    <w:pPr>
      <w:spacing w:line="360" w:lineRule="auto"/>
      <w:ind w:left="480" w:firstLine="5856"/>
    </w:pPr>
  </w:style>
  <w:style w:type="paragraph" w:customStyle="1" w:styleId="54">
    <w:name w:val="样式 段后: 0.25 行"/>
    <w:basedOn w:val="1"/>
    <w:next w:val="55"/>
    <w:qFormat/>
    <w:uiPriority w:val="0"/>
    <w:pPr>
      <w:widowControl/>
      <w:spacing w:line="300" w:lineRule="auto"/>
      <w:ind w:left="420" w:firstLine="5796"/>
    </w:pPr>
  </w:style>
  <w:style w:type="paragraph" w:customStyle="1" w:styleId="55">
    <w:name w:val="正文 New New New New New New New New New New New New New New"/>
    <w:next w:val="37"/>
    <w:qFormat/>
    <w:uiPriority w:val="0"/>
    <w:pPr>
      <w:widowControl w:val="0"/>
      <w:ind w:firstLine="2048"/>
      <w:jc w:val="both"/>
    </w:pPr>
    <w:rPr>
      <w:rFonts w:hint="default" w:ascii="Times New Roman" w:hAnsi="Times New Roman" w:eastAsia="宋体" w:cs="Times New Roman"/>
      <w:lang w:val="en-US" w:eastAsia="zh-CN" w:bidi="ar-SA"/>
    </w:rPr>
  </w:style>
  <w:style w:type="paragraph" w:customStyle="1" w:styleId="56">
    <w:name w:val="正文文本11"/>
    <w:basedOn w:val="1"/>
    <w:next w:val="57"/>
    <w:qFormat/>
    <w:uiPriority w:val="0"/>
    <w:rPr>
      <w:rFonts w:ascii="楷体_GB2312" w:hAnsi="Arial" w:eastAsia="楷体_GB2312"/>
      <w:sz w:val="28"/>
      <w:szCs w:val="20"/>
    </w:rPr>
  </w:style>
  <w:style w:type="paragraph" w:customStyle="1" w:styleId="57">
    <w:name w:val="目录 81"/>
    <w:basedOn w:val="1"/>
    <w:next w:val="1"/>
    <w:unhideWhenUsed/>
    <w:qFormat/>
    <w:uiPriority w:val="39"/>
    <w:pPr>
      <w:ind w:left="2940"/>
    </w:pPr>
    <w:rPr>
      <w:rFonts w:ascii="等线" w:hAnsi="等线" w:eastAsia="等线" w:cs="黑体"/>
    </w:rPr>
  </w:style>
  <w:style w:type="character" w:customStyle="1" w:styleId="58">
    <w:name w:val="Heading 1 Char"/>
    <w:basedOn w:val="43"/>
    <w:qFormat/>
    <w:uiPriority w:val="9"/>
    <w:rPr>
      <w:rFonts w:ascii="Arial" w:hAnsi="Arial" w:eastAsia="Arial" w:cs="Arial"/>
      <w:sz w:val="40"/>
      <w:szCs w:val="40"/>
    </w:rPr>
  </w:style>
  <w:style w:type="character" w:customStyle="1" w:styleId="59">
    <w:name w:val="Heading 2 Char"/>
    <w:basedOn w:val="43"/>
    <w:qFormat/>
    <w:uiPriority w:val="9"/>
    <w:rPr>
      <w:rFonts w:ascii="Arial" w:hAnsi="Arial" w:eastAsia="Arial" w:cs="Arial"/>
      <w:sz w:val="34"/>
    </w:rPr>
  </w:style>
  <w:style w:type="character" w:customStyle="1" w:styleId="60">
    <w:name w:val="Heading 3 Char"/>
    <w:basedOn w:val="43"/>
    <w:qFormat/>
    <w:uiPriority w:val="9"/>
    <w:rPr>
      <w:rFonts w:ascii="Arial" w:hAnsi="Arial" w:eastAsia="Arial" w:cs="Arial"/>
      <w:sz w:val="30"/>
      <w:szCs w:val="30"/>
    </w:rPr>
  </w:style>
  <w:style w:type="character" w:customStyle="1" w:styleId="61">
    <w:name w:val="Heading 4 Char"/>
    <w:basedOn w:val="43"/>
    <w:qFormat/>
    <w:uiPriority w:val="9"/>
    <w:rPr>
      <w:rFonts w:ascii="Arial" w:hAnsi="Arial" w:eastAsia="Arial" w:cs="Arial"/>
      <w:b/>
      <w:bCs/>
      <w:sz w:val="26"/>
      <w:szCs w:val="26"/>
    </w:rPr>
  </w:style>
  <w:style w:type="character" w:customStyle="1" w:styleId="62">
    <w:name w:val="Heading 5 Char"/>
    <w:basedOn w:val="43"/>
    <w:link w:val="8"/>
    <w:qFormat/>
    <w:uiPriority w:val="9"/>
    <w:rPr>
      <w:rFonts w:ascii="Arial" w:hAnsi="Arial" w:eastAsia="Arial" w:cs="Arial"/>
      <w:b/>
      <w:bCs/>
      <w:sz w:val="24"/>
      <w:szCs w:val="24"/>
    </w:rPr>
  </w:style>
  <w:style w:type="character" w:customStyle="1" w:styleId="63">
    <w:name w:val="Heading 6 Char"/>
    <w:basedOn w:val="43"/>
    <w:link w:val="9"/>
    <w:qFormat/>
    <w:uiPriority w:val="9"/>
    <w:rPr>
      <w:rFonts w:ascii="Arial" w:hAnsi="Arial" w:eastAsia="Arial" w:cs="Arial"/>
      <w:b/>
      <w:bCs/>
      <w:sz w:val="22"/>
      <w:szCs w:val="22"/>
    </w:rPr>
  </w:style>
  <w:style w:type="character" w:customStyle="1" w:styleId="64">
    <w:name w:val="Heading 7 Char"/>
    <w:basedOn w:val="43"/>
    <w:link w:val="10"/>
    <w:qFormat/>
    <w:uiPriority w:val="9"/>
    <w:rPr>
      <w:rFonts w:ascii="Arial" w:hAnsi="Arial" w:eastAsia="Arial" w:cs="Arial"/>
      <w:b/>
      <w:bCs/>
      <w:i/>
      <w:iCs/>
      <w:sz w:val="22"/>
      <w:szCs w:val="22"/>
    </w:rPr>
  </w:style>
  <w:style w:type="character" w:customStyle="1" w:styleId="65">
    <w:name w:val="Heading 8 Char"/>
    <w:basedOn w:val="43"/>
    <w:link w:val="11"/>
    <w:qFormat/>
    <w:uiPriority w:val="9"/>
    <w:rPr>
      <w:rFonts w:ascii="Arial" w:hAnsi="Arial" w:eastAsia="Arial" w:cs="Arial"/>
      <w:i/>
      <w:iCs/>
      <w:sz w:val="22"/>
      <w:szCs w:val="22"/>
    </w:rPr>
  </w:style>
  <w:style w:type="character" w:customStyle="1" w:styleId="66">
    <w:name w:val="Heading 9 Char"/>
    <w:basedOn w:val="43"/>
    <w:link w:val="12"/>
    <w:qFormat/>
    <w:uiPriority w:val="9"/>
    <w:rPr>
      <w:rFonts w:ascii="Arial" w:hAnsi="Arial" w:eastAsia="Arial" w:cs="Arial"/>
      <w:i/>
      <w:iCs/>
      <w:sz w:val="21"/>
      <w:szCs w:val="21"/>
    </w:rPr>
  </w:style>
  <w:style w:type="character" w:customStyle="1" w:styleId="67">
    <w:name w:val="Title Char"/>
    <w:basedOn w:val="43"/>
    <w:link w:val="39"/>
    <w:qFormat/>
    <w:uiPriority w:val="10"/>
    <w:rPr>
      <w:sz w:val="48"/>
      <w:szCs w:val="48"/>
    </w:rPr>
  </w:style>
  <w:style w:type="character" w:customStyle="1" w:styleId="68">
    <w:name w:val="Subtitle Char"/>
    <w:basedOn w:val="43"/>
    <w:link w:val="31"/>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basedOn w:val="43"/>
    <w:qFormat/>
    <w:uiPriority w:val="99"/>
  </w:style>
  <w:style w:type="character" w:customStyle="1" w:styleId="74">
    <w:name w:val="Footer Char"/>
    <w:basedOn w:val="43"/>
    <w:qFormat/>
    <w:uiPriority w:val="99"/>
  </w:style>
  <w:style w:type="character" w:customStyle="1" w:styleId="75">
    <w:name w:val="Caption Char"/>
    <w:qFormat/>
    <w:uiPriority w:val="99"/>
  </w:style>
  <w:style w:type="table" w:customStyle="1" w:styleId="76">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32"/>
    <w:qFormat/>
    <w:uiPriority w:val="99"/>
    <w:rPr>
      <w:sz w:val="18"/>
    </w:rPr>
  </w:style>
  <w:style w:type="character" w:customStyle="1" w:styleId="202">
    <w:name w:val="Endnote Text Char"/>
    <w:link w:val="25"/>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character" w:customStyle="1" w:styleId="204">
    <w:name w:val="正文文本 Char"/>
    <w:basedOn w:val="43"/>
    <w:link w:val="17"/>
    <w:qFormat/>
    <w:uiPriority w:val="0"/>
    <w:rPr>
      <w:rFonts w:ascii="楷体_GB2312" w:hAnsi="Arial" w:eastAsia="楷体_GB2312"/>
      <w:sz w:val="28"/>
    </w:rPr>
  </w:style>
  <w:style w:type="character" w:customStyle="1" w:styleId="205">
    <w:name w:val="标题 1 Char"/>
    <w:link w:val="2"/>
    <w:qFormat/>
    <w:uiPriority w:val="9"/>
    <w:rPr>
      <w:rFonts w:ascii="Calibri" w:hAnsi="Calibri" w:eastAsia="宋体" w:cs="Times New Roman"/>
      <w:b/>
      <w:bCs/>
      <w:sz w:val="44"/>
      <w:szCs w:val="44"/>
    </w:rPr>
  </w:style>
  <w:style w:type="character" w:customStyle="1" w:styleId="206">
    <w:name w:val="标题 2 Char"/>
    <w:link w:val="3"/>
    <w:qFormat/>
    <w:uiPriority w:val="9"/>
    <w:rPr>
      <w:rFonts w:ascii="Cambria" w:hAnsi="Cambria" w:eastAsia="宋体" w:cs="Times New Roman"/>
      <w:b/>
      <w:bCs/>
      <w:sz w:val="32"/>
      <w:szCs w:val="32"/>
    </w:rPr>
  </w:style>
  <w:style w:type="character" w:customStyle="1" w:styleId="207">
    <w:name w:val="正文缩进 Char"/>
    <w:link w:val="7"/>
    <w:qFormat/>
    <w:uiPriority w:val="0"/>
    <w:rPr>
      <w:rFonts w:ascii="Calibri" w:hAnsi="Calibri"/>
      <w:sz w:val="21"/>
      <w:szCs w:val="22"/>
    </w:rPr>
  </w:style>
  <w:style w:type="character" w:customStyle="1" w:styleId="208">
    <w:name w:val="标题 3 Char"/>
    <w:link w:val="4"/>
    <w:qFormat/>
    <w:uiPriority w:val="0"/>
    <w:rPr>
      <w:rFonts w:ascii="Calibri" w:hAnsi="Calibri" w:eastAsia="宋体" w:cs="Times New Roman"/>
      <w:b/>
      <w:bCs/>
      <w:sz w:val="32"/>
      <w:szCs w:val="32"/>
    </w:rPr>
  </w:style>
  <w:style w:type="character" w:customStyle="1" w:styleId="209">
    <w:name w:val="标题 4 Char"/>
    <w:link w:val="6"/>
    <w:qFormat/>
    <w:uiPriority w:val="0"/>
    <w:rPr>
      <w:rFonts w:ascii="Arial" w:hAnsi="Arial" w:eastAsia="黑体" w:cs="Times New Roman"/>
      <w:b/>
      <w:bCs/>
      <w:sz w:val="28"/>
      <w:szCs w:val="28"/>
    </w:rPr>
  </w:style>
  <w:style w:type="character" w:customStyle="1" w:styleId="210">
    <w:name w:val="文档结构图 Char"/>
    <w:link w:val="15"/>
    <w:semiHidden/>
    <w:qFormat/>
    <w:uiPriority w:val="99"/>
    <w:rPr>
      <w:rFonts w:ascii="宋体"/>
      <w:sz w:val="18"/>
      <w:szCs w:val="18"/>
    </w:rPr>
  </w:style>
  <w:style w:type="character" w:customStyle="1" w:styleId="211">
    <w:name w:val="正文文本缩进 Char"/>
    <w:basedOn w:val="43"/>
    <w:link w:val="18"/>
    <w:qFormat/>
    <w:uiPriority w:val="99"/>
    <w:rPr>
      <w:sz w:val="21"/>
      <w:szCs w:val="22"/>
    </w:rPr>
  </w:style>
  <w:style w:type="character" w:customStyle="1" w:styleId="212">
    <w:name w:val="纯文本 Char"/>
    <w:link w:val="22"/>
    <w:qFormat/>
    <w:uiPriority w:val="99"/>
    <w:rPr>
      <w:rFonts w:ascii="宋体" w:hAnsi="Courier New"/>
    </w:rPr>
  </w:style>
  <w:style w:type="character" w:customStyle="1" w:styleId="213">
    <w:name w:val="日期 Char"/>
    <w:link w:val="24"/>
    <w:qFormat/>
    <w:uiPriority w:val="0"/>
    <w:rPr>
      <w:rFonts w:ascii="Times New Roman" w:hAnsi="Times New Roman"/>
      <w:sz w:val="24"/>
    </w:rPr>
  </w:style>
  <w:style w:type="character" w:customStyle="1" w:styleId="214">
    <w:name w:val="批注框文本 Char"/>
    <w:link w:val="26"/>
    <w:semiHidden/>
    <w:qFormat/>
    <w:uiPriority w:val="99"/>
    <w:rPr>
      <w:sz w:val="18"/>
      <w:szCs w:val="18"/>
    </w:rPr>
  </w:style>
  <w:style w:type="character" w:customStyle="1" w:styleId="215">
    <w:name w:val="页脚 Char"/>
    <w:link w:val="27"/>
    <w:qFormat/>
    <w:uiPriority w:val="99"/>
    <w:rPr>
      <w:sz w:val="18"/>
      <w:szCs w:val="18"/>
    </w:rPr>
  </w:style>
  <w:style w:type="character" w:customStyle="1" w:styleId="216">
    <w:name w:val="页眉 Char"/>
    <w:link w:val="28"/>
    <w:qFormat/>
    <w:uiPriority w:val="99"/>
    <w:rPr>
      <w:sz w:val="18"/>
      <w:szCs w:val="18"/>
    </w:rPr>
  </w:style>
  <w:style w:type="paragraph" w:customStyle="1" w:styleId="217">
    <w:name w:val="正文1"/>
    <w:basedOn w:val="1"/>
    <w:next w:val="218"/>
    <w:qFormat/>
    <w:uiPriority w:val="0"/>
    <w:pPr>
      <w:spacing w:line="360" w:lineRule="atLeast"/>
      <w:jc w:val="left"/>
    </w:pPr>
    <w:rPr>
      <w:rFonts w:ascii="宋体" w:hAnsi="Calibri"/>
      <w:sz w:val="24"/>
      <w:szCs w:val="20"/>
    </w:rPr>
  </w:style>
  <w:style w:type="paragraph" w:customStyle="1" w:styleId="218">
    <w:name w:val="正文文本1"/>
    <w:basedOn w:val="217"/>
    <w:next w:val="219"/>
    <w:qFormat/>
    <w:uiPriority w:val="0"/>
    <w:pPr>
      <w:spacing w:after="120"/>
    </w:pPr>
    <w:rPr>
      <w:lang w:eastAsia="en-US"/>
    </w:rPr>
  </w:style>
  <w:style w:type="paragraph" w:customStyle="1" w:styleId="219">
    <w:name w:val="一级条标题"/>
    <w:basedOn w:val="220"/>
    <w:next w:val="22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0">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21">
    <w:name w:val="段"/>
    <w:basedOn w:val="217"/>
    <w:next w:val="1"/>
    <w:qFormat/>
    <w:uiPriority w:val="0"/>
    <w:pPr>
      <w:widowControl/>
      <w:ind w:firstLine="200"/>
    </w:pPr>
    <w:rPr>
      <w:sz w:val="20"/>
    </w:rPr>
  </w:style>
  <w:style w:type="character" w:customStyle="1" w:styleId="222">
    <w:name w:val="页脚 Char1"/>
    <w:semiHidden/>
    <w:qFormat/>
    <w:uiPriority w:val="99"/>
    <w:rPr>
      <w:sz w:val="18"/>
      <w:szCs w:val="18"/>
    </w:rPr>
  </w:style>
  <w:style w:type="character" w:customStyle="1" w:styleId="223">
    <w:name w:val="日期 Char1"/>
    <w:semiHidden/>
    <w:qFormat/>
    <w:uiPriority w:val="99"/>
  </w:style>
  <w:style w:type="character" w:customStyle="1" w:styleId="224">
    <w:name w:val="纯文本 Char1"/>
    <w:semiHidden/>
    <w:qFormat/>
    <w:uiPriority w:val="99"/>
    <w:rPr>
      <w:rFonts w:ascii="宋体" w:hAnsi="Courier New" w:eastAsia="宋体" w:cs="Courier New"/>
      <w:szCs w:val="21"/>
    </w:rPr>
  </w:style>
  <w:style w:type="character" w:customStyle="1" w:styleId="225">
    <w:name w:val="页眉 Char1"/>
    <w:semiHidden/>
    <w:qFormat/>
    <w:uiPriority w:val="99"/>
    <w:rPr>
      <w:sz w:val="18"/>
      <w:szCs w:val="18"/>
    </w:rPr>
  </w:style>
  <w:style w:type="paragraph" w:customStyle="1" w:styleId="22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7">
    <w:name w:val="Char"/>
    <w:basedOn w:val="1"/>
    <w:qFormat/>
    <w:uiPriority w:val="0"/>
    <w:pPr>
      <w:tabs>
        <w:tab w:val="left" w:pos="360"/>
      </w:tabs>
      <w:ind w:firstLine="200"/>
    </w:pPr>
    <w:rPr>
      <w:sz w:val="28"/>
      <w:szCs w:val="30"/>
    </w:rPr>
  </w:style>
  <w:style w:type="paragraph" w:styleId="228">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229">
    <w:name w:val="NormalCharacter"/>
    <w:qFormat/>
    <w:uiPriority w:val="0"/>
    <w:rPr>
      <w:rFonts w:ascii="Times New Roman" w:hAnsi="Times New Roman" w:eastAsia="宋体" w:cs="Times New Roman"/>
      <w:sz w:val="21"/>
      <w:szCs w:val="22"/>
      <w:lang w:val="en-US" w:eastAsia="zh-CN" w:bidi="ar-SA"/>
    </w:rPr>
  </w:style>
  <w:style w:type="table" w:customStyle="1" w:styleId="230">
    <w:name w:val="Table Normal"/>
    <w:unhideWhenUsed/>
    <w:qFormat/>
    <w:uiPriority w:val="0"/>
    <w:tblPr>
      <w:tblCellMar>
        <w:top w:w="0" w:type="dxa"/>
        <w:left w:w="0" w:type="dxa"/>
        <w:bottom w:w="0" w:type="dxa"/>
        <w:right w:w="0" w:type="dxa"/>
      </w:tblCellMar>
    </w:tblPr>
  </w:style>
  <w:style w:type="character" w:customStyle="1" w:styleId="231">
    <w:name w:val="font31"/>
    <w:basedOn w:val="43"/>
    <w:qFormat/>
    <w:uiPriority w:val="0"/>
    <w:rPr>
      <w:rFonts w:hint="eastAsia" w:ascii="宋体" w:hAnsi="宋体" w:eastAsia="宋体" w:cs="宋体"/>
      <w:color w:val="000000"/>
      <w:sz w:val="24"/>
      <w:szCs w:val="24"/>
      <w:u w:val="none"/>
    </w:rPr>
  </w:style>
  <w:style w:type="paragraph" w:customStyle="1" w:styleId="232">
    <w:name w:val="Body text|1"/>
    <w:basedOn w:val="1"/>
    <w:qFormat/>
    <w:uiPriority w:val="0"/>
    <w:pPr>
      <w:spacing w:line="353" w:lineRule="auto"/>
      <w:ind w:firstLine="400"/>
    </w:pPr>
    <w:rPr>
      <w:rFonts w:ascii="宋体" w:hAnsi="宋体" w:cs="宋体"/>
      <w:sz w:val="22"/>
      <w:lang w:val="zh-TW" w:eastAsia="zh-TW" w:bidi="zh-TW"/>
    </w:rPr>
  </w:style>
  <w:style w:type="paragraph" w:customStyle="1" w:styleId="233">
    <w:name w:val="Table Paragraph"/>
    <w:basedOn w:val="1"/>
    <w:qFormat/>
    <w:uiPriority w:val="0"/>
    <w:pPr>
      <w:jc w:val="left"/>
    </w:pPr>
    <w:rPr>
      <w:rFonts w:ascii="Arial Unicode MS" w:hAnsi="Arial Unicode MS" w:eastAsia="Arial Unicode MS" w:cs="Arial Unicode MS"/>
      <w:sz w:val="22"/>
      <w:lang w:val="zh-CN" w:bidi="zh-CN"/>
    </w:rPr>
  </w:style>
  <w:style w:type="paragraph" w:styleId="234">
    <w:name w:val="List Paragraph"/>
    <w:basedOn w:val="1"/>
    <w:qFormat/>
    <w:uiPriority w:val="34"/>
    <w:pPr>
      <w:ind w:firstLine="420"/>
    </w:pPr>
    <w:rPr>
      <w:rFonts w:ascii="Calibri" w:hAnsi="Calibri"/>
    </w:rPr>
  </w:style>
  <w:style w:type="paragraph" w:customStyle="1" w:styleId="235">
    <w:name w:val="条题"/>
    <w:basedOn w:val="1"/>
    <w:qFormat/>
    <w:uiPriority w:val="0"/>
    <w:pPr>
      <w:numPr>
        <w:ilvl w:val="0"/>
        <w:numId w:val="1"/>
      </w:numPr>
      <w:spacing w:line="420" w:lineRule="exact"/>
      <w:ind w:right="480"/>
    </w:pPr>
    <w:rPr>
      <w:sz w:val="24"/>
      <w:szCs w:val="24"/>
    </w:rPr>
  </w:style>
  <w:style w:type="character" w:customStyle="1" w:styleId="236">
    <w:name w:val="批注文字 Char"/>
    <w:link w:val="16"/>
    <w:qFormat/>
    <w:uiPriority w:val="99"/>
    <w:rPr>
      <w:sz w:val="21"/>
      <w:szCs w:val="22"/>
    </w:rPr>
  </w:style>
  <w:style w:type="paragraph" w:customStyle="1" w:styleId="237">
    <w:name w:val="正文_0_0"/>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238">
    <w:name w:val="正文2"/>
    <w:qFormat/>
    <w:uiPriority w:val="0"/>
    <w:rPr>
      <w:rFonts w:hint="default" w:ascii="Times New Roman" w:hAnsi="Times New Roman" w:eastAsia="宋体" w:cs="Times New Roman"/>
      <w:sz w:val="24"/>
      <w:szCs w:val="24"/>
      <w:lang w:val="en-US" w:eastAsia="zh-CN" w:bidi="ar-SA"/>
    </w:rPr>
  </w:style>
  <w:style w:type="paragraph" w:customStyle="1" w:styleId="239">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0">
    <w:name w:val="正文12"/>
    <w:qFormat/>
    <w:uiPriority w:val="99"/>
    <w:pPr>
      <w:widowControl w:val="0"/>
      <w:jc w:val="both"/>
    </w:pPr>
    <w:rPr>
      <w:rFonts w:hint="default" w:ascii="Times New Roman" w:hAnsi="Times New Roman" w:eastAsia="Times New Roman" w:cs="Times New Roman"/>
      <w:lang w:val="en-US" w:eastAsia="zh-CN" w:bidi="ar-SA"/>
    </w:rPr>
  </w:style>
  <w:style w:type="paragraph" w:customStyle="1" w:styleId="241">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2">
    <w:name w:val="List Paragraph1"/>
    <w:basedOn w:val="1"/>
    <w:qFormat/>
    <w:uiPriority w:val="0"/>
    <w:pPr>
      <w:ind w:firstLine="420"/>
    </w:pPr>
    <w:rPr>
      <w:rFonts w:ascii="Calibri" w:hAnsi="Calibri"/>
    </w:rPr>
  </w:style>
  <w:style w:type="paragraph" w:customStyle="1" w:styleId="243">
    <w:name w:val="msolistparagraph"/>
    <w:basedOn w:val="1"/>
    <w:qFormat/>
    <w:uiPriority w:val="0"/>
    <w:pPr>
      <w:ind w:firstLine="420"/>
    </w:pPr>
    <w:rPr>
      <w:rFonts w:ascii="Calibri" w:hAnsi="Calibri"/>
    </w:rPr>
  </w:style>
  <w:style w:type="character" w:customStyle="1" w:styleId="244">
    <w:name w:val="font21"/>
    <w:qFormat/>
    <w:uiPriority w:val="0"/>
    <w:rPr>
      <w:rFonts w:hint="eastAsia" w:ascii="宋体" w:hAnsi="宋体" w:eastAsia="宋体" w:cs="宋体"/>
      <w:color w:val="000000"/>
      <w:sz w:val="18"/>
      <w:szCs w:val="18"/>
      <w:u w:val="none"/>
    </w:rPr>
  </w:style>
  <w:style w:type="paragraph" w:customStyle="1" w:styleId="245">
    <w:name w:val="标题 11"/>
    <w:basedOn w:val="1"/>
    <w:next w:val="1"/>
    <w:qFormat/>
    <w:uiPriority w:val="9"/>
    <w:pPr>
      <w:keepNext/>
      <w:keepLines/>
      <w:spacing w:before="340" w:after="330" w:line="578" w:lineRule="auto"/>
      <w:outlineLvl w:val="0"/>
    </w:pPr>
    <w:rPr>
      <w:rFonts w:ascii="Calibri" w:hAnsi="Calibri"/>
      <w:b/>
      <w:bCs/>
      <w:sz w:val="44"/>
      <w:szCs w:val="44"/>
      <w:lang w:val="en-US" w:eastAsia="en-US"/>
    </w:rPr>
  </w:style>
  <w:style w:type="paragraph" w:customStyle="1" w:styleId="246">
    <w:name w:val="纯文本1"/>
    <w:basedOn w:val="1"/>
    <w:unhideWhenUsed/>
    <w:qFormat/>
    <w:uiPriority w:val="0"/>
    <w:rPr>
      <w:rFonts w:ascii="宋体" w:hAnsi="Courier New"/>
      <w:sz w:val="20"/>
      <w:szCs w:val="20"/>
      <w:lang w:val="en-US" w:eastAsia="en-US"/>
    </w:rPr>
  </w:style>
  <w:style w:type="paragraph" w:customStyle="1" w:styleId="24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5016e344-eee4-447a-8ff1-67952b4c1e23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75F04C71</paraID>
      <start>47</start>
      <end>50</end>
      <status>ignored</status>
      <modifiedWord/>
      <trackRevisions>false</trackRevisions>
    </reviewItem>
    <reviewItem>
      <errorID>1bb007f1-9355-4c0f-b964-710e94974883</errorID>
      <errorWord>(</errorWord>
      <group>L1_Format</group>
      <groupName>格式问题</groupName>
      <ability>L2_HalfPunc_CN</ability>
      <abilityName>全半角问题</abilityName>
      <candidateList>
        <item>（</item>
      </candidateList>
      <explain>文本全半角错误。</explain>
      <paraID>13A09352</paraID>
      <start>47</start>
      <end>48</end>
      <status>modified</status>
      <modifiedWord>（</modifiedWord>
      <trackRevisions>false</trackRevisions>
    </reviewItem>
    <reviewItem>
      <errorID>9b7aa29d-6fb9-4346-a41e-357bf2368c42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40A8FF68</paraID>
      <start>14</start>
      <end>17</end>
      <status>ignored</status>
      <modifiedWord/>
      <trackRevisions>false</trackRevisions>
    </reviewItem>
    <reviewItem>
      <errorID>f09c87be-42f7-4d46-af88-49d866f24729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3666B33D</paraID>
      <start>40</start>
      <end>43</end>
      <status>ignored</status>
      <modifiedWord/>
      <trackRevisions>false</trackRevisions>
    </reviewItem>
    <reviewItem>
      <errorID>8c6d128f-dea6-4858-a317-24d9f81cdaad</errorID>
      <errorWord>(</errorWord>
      <group>L1_Format</group>
      <groupName>格式问题</groupName>
      <ability>L2_HalfPunc_CN</ability>
      <abilityName>全半角问题</abilityName>
      <candidateList>
        <item>（</item>
      </candidateList>
      <explain>文本全半角错误。</explain>
      <paraID>70B15BD9</paraID>
      <start>19</start>
      <end>20</end>
      <status>modified</status>
      <modifiedWord>（</modifiedWord>
      <trackRevisions>false</trackRevisions>
    </reviewItem>
    <reviewItem>
      <errorID>24414a7d-1011-4de1-91bb-b84825ae70a6</errorID>
      <errorWord>(</errorWord>
      <group>L1_Format</group>
      <groupName>格式问题</groupName>
      <ability>L2_HalfPunc_CN</ability>
      <abilityName>全半角问题</abilityName>
      <candidateList>
        <item>（</item>
      </candidateList>
      <explain>文本全半角错误。</explain>
      <paraID>6C32C720</paraID>
      <start>41</start>
      <end>42</end>
      <status>modified</status>
      <modifiedWord>（</modifiedWord>
      <trackRevisions>false</trackRevisions>
    </reviewItem>
    <reviewItem>
      <errorID>53f6b098-3115-43fe-aad1-dc9caa17e52b</errorID>
      <errorWord>【2024】20号</errorWord>
      <group>L1_Knowledge</group>
      <groupName>知识性问题</groupName>
      <ability>L2_Knowledge</ability>
      <abilityName>其他知识</abilityName>
      <candidateList>
        <item>〔2024〕20号</item>
      </candidateList>
      <explain>发文字号格式错误。</explain>
      <paraID>33704E6A</paraID>
      <start>57</start>
      <end>66</end>
      <status>modified</status>
      <modifiedWord>〔2024〕20号</modifiedWord>
      <trackRevisions>false</trackRevisions>
    </reviewItem>
    <reviewItem>
      <errorID>d00bf145-cbb4-4b3a-9423-48caeff40f2d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A216A7D</paraID>
      <start>113</start>
      <end>116</end>
      <status>ignored</status>
      <modifiedWord/>
      <trackRevisions>false</trackRevisions>
    </reviewItem>
    <reviewItem>
      <errorID>16062e73-1cc0-4237-9624-670a312df0aa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8C28A0</paraID>
      <start>27</start>
      <end>30</end>
      <status>ignored</status>
      <modifiedWord/>
      <trackRevisions>false</trackRevisions>
    </reviewItem>
    <reviewItem>
      <errorID>b46c0f1a-cb46-478c-8f23-82b49f51966b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8C28A0</paraID>
      <start>60</start>
      <end>63</end>
      <status>ignored</status>
      <modifiedWord/>
      <trackRevisions>false</trackRevisions>
    </reviewItem>
    <reviewItem>
      <errorID>5e300fb5-0af2-4383-9241-a66666cd417e</errorID>
      <errorWord>做无效响应处理</errorWord>
      <group>L1_Word</group>
      <groupName>字词问题</groupName>
      <ability>L2_Typo</ability>
      <abilityName>字词错误</abilityName>
      <candidateList>
        <item>作无效响应处理</item>
      </candidateList>
      <explain/>
      <paraID>423BC81D</paraID>
      <start>68</start>
      <end>75</end>
      <status>modified</status>
      <modifiedWord>作无效响应处理</modifiedWord>
      <trackRevisions>false</trackRevisions>
    </reviewItem>
    <reviewItem>
      <errorID>ae44d34e-14aa-4416-8be9-84b26ea9f0d8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9A87097</paraID>
      <start>44</start>
      <end>47</end>
      <status>ignored</status>
      <modifiedWord/>
      <trackRevisions>false</trackRevisions>
    </reviewItem>
    <reviewItem>
      <errorID>855729b7-547c-4209-b8eb-b34dafcbb053</errorID>
      <errorWord>&lt;</errorWord>
      <group>L1_Format</group>
      <groupName>格式问题</groupName>
      <ability>L2_HalfPunc_CN</ability>
      <abilityName>全半角问题</abilityName>
      <candidateList>
        <item>〈</item>
      </candidateList>
      <explain>文本全半角错误。</explain>
      <paraID>44F7F528</paraID>
      <start>53</start>
      <end>54</end>
      <status>unmodified</status>
      <modifiedWord/>
      <trackRevisions>false</trackRevisions>
    </reviewItem>
    <reviewItem>
      <errorID>b8265ac0-c1f6-4ce7-9eea-095db84ac105</errorID>
      <errorWord>&lt;</errorWord>
      <group>L1_Format</group>
      <groupName>格式问题</groupName>
      <ability>L2_HalfPunc_CN</ability>
      <abilityName>全半角问题</abilityName>
      <candidateList>
        <item>〈</item>
      </candidateList>
      <explain>文本全半角错误。</explain>
      <paraID>2BEEE63B</paraID>
      <start>53</start>
      <end>54</end>
      <status>unmodified</status>
      <modifiedWord/>
      <trackRevisions>false</trackRevisions>
    </reviewItem>
    <reviewItem>
      <errorID>6e86b3da-251a-480f-bb64-67982e43e2a0</errorID>
      <errorWord>&lt;</errorWord>
      <group>L1_Format</group>
      <groupName>格式问题</groupName>
      <ability>L2_HalfPunc_CN</ability>
      <abilityName>全半角问题</abilityName>
      <candidateList>
        <item>〈</item>
      </candidateList>
      <explain>文本全半角错误。</explain>
      <paraID> 9407075</paraID>
      <start>40</start>
      <end>41</end>
      <status>unmodified</status>
      <modifiedWord/>
      <trackRevisions>false</trackRevisions>
    </reviewItem>
    <reviewItem>
      <errorID>6768d2d0-771d-4ae5-a10c-351cd473d5ad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615C978B</paraID>
      <start>42</start>
      <end>45</end>
      <status>ignored</status>
      <modifiedWord/>
      <trackRevisions>false</trackRevisions>
    </reviewItem>
    <reviewItem>
      <errorID>209ad2bc-de3f-47c3-8dea-083ced756c5b</errorID>
      <errorWord>人确定成交供应商</errorWord>
      <group>L1_Word</group>
      <groupName>字词问题</groupName>
      <ability>L2_Typo</ability>
      <abilityName>字词错误</abilityName>
      <candidateList>
        <item>人在确定成交供应商</item>
      </candidateList>
      <explain/>
      <paraID>2DAA23C1</paraID>
      <start>45</start>
      <end>53</end>
      <status>unmodified</status>
      <modifiedWord/>
      <trackRevisions>false</trackRevisions>
    </reviewItem>
    <reviewItem>
      <errorID>fc9b1bcc-47af-4d5c-999b-88bb392d1959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21B956DA</paraID>
      <start>25</start>
      <end>28</end>
      <status>ignored</status>
      <modifiedWord/>
      <trackRevisions>false</trackRevisions>
    </reviewItem>
    <reviewItem>
      <errorID>ba6e8e41-f4b0-489e-bb4c-34255f71a257</errorID>
      <errorWord>》</errorWord>
      <group>L1_Word</group>
      <groupName>字词问题</groupName>
      <ability>L2_Typo</ability>
      <abilityName>字词错误</abilityName>
      <candidateList>
        <item>》等</item>
      </candidateList>
      <explain/>
      <paraID>21B956DA</paraID>
      <start>40</start>
      <end>42</end>
      <status>modified</status>
      <modifiedWord>》等</modifiedWord>
      <trackRevisions>false</trackRevisions>
    </reviewItem>
    <reviewItem>
      <errorID>53570701-a119-4228-89f5-fbd8c5e545e6</errorID>
      <errorWord>(</errorWord>
      <group>L1_Format</group>
      <groupName>格式问题</groupName>
      <ability>L2_HalfPunc_CN</ability>
      <abilityName>全半角问题</abilityName>
      <candidateList>
        <item>（</item>
      </candidateList>
      <explain>文本全半角错误。</explain>
      <paraID>67444EB2</paraID>
      <start>38</start>
      <end>39</end>
      <status>modified</status>
      <modifiedWord>（</modifiedWord>
      <trackRevisions>false</trackRevisions>
    </reviewItem>
    <reviewItem>
      <errorID>3e76b0b9-5b3d-4849-aff6-da7b1eff60b8</errorID>
      <errorWord>才可</errorWord>
      <group>L1_Word</group>
      <groupName>字词问题</groupName>
      <ability>L2_Typo</ability>
      <abilityName>字词错误</abilityName>
      <candidateList>
        <item>方可</item>
      </candidateList>
      <explain>存在字形相近字词的误用。</explain>
      <paraID>2BE4ADA6</paraID>
      <start>48</start>
      <end>50</end>
      <status>modified</status>
      <modifiedWord>方可</modifiedWord>
      <trackRevisions>false</trackRevisions>
    </reviewItem>
    <reviewItem>
      <errorID>46c1100c-e13e-4b52-a3b8-b096dbd9cb79</errorID>
      <errorWord>二件</errorWord>
      <group>L1_Word</group>
      <groupName>字词问题</groupName>
      <ability>L2_Typo</ability>
      <abilityName>字词错误</abilityName>
      <candidateList>
        <item>两件</item>
      </candidateList>
      <explain/>
      <paraID>4B7D7DD8</paraID>
      <start>19</start>
      <end>21</end>
      <status>modified</status>
      <modifiedWord>两件</modifiedWord>
      <trackRevisions>false</trackRevisions>
    </reviewItem>
    <reviewItem>
      <errorID>b88797d5-70d3-4ed5-817f-61f5201c4b1a</errorID>
      <errorWord>(</errorWord>
      <group>L1_Format</group>
      <groupName>格式问题</groupName>
      <ability>L2_HalfPunc_CN</ability>
      <abilityName>全半角问题</abilityName>
      <candidateList>
        <item>（</item>
      </candidateList>
      <explain>文本全半角错误。</explain>
      <paraID>4FFB03BB</paraID>
      <start>37</start>
      <end>38</end>
      <status>modified</status>
      <modifiedWord>（</modifiedWord>
      <trackRevisions>false</trackRevisions>
    </reviewItem>
    <reviewItem>
      <errorID>4239716b-3ded-4a63-bf25-7e0b7b66e9e9</errorID>
      <errorWord>防治</errorWord>
      <group>L1_Word</group>
      <groupName>字词问题</groupName>
      <ability>L2_Typo</ability>
      <abilityName>字词错误</abilityName>
      <candidateList>
        <item>防止</item>
      </candidateList>
      <explain>〈动〉预先设法制止（坏事发生）：～煤气中毒｜～交通事故。</explain>
      <paraID>5E15582D</paraID>
      <start>62</start>
      <end>64</end>
      <status>modified</status>
      <modifiedWord>防止</modifiedWord>
      <trackRevisions>false</trackRevisions>
    </reviewItem>
    <reviewItem>
      <errorID>c44fc1a8-076f-433a-b2d3-499978a34c6c</errorID>
      <errorWord>松士</errorWord>
      <group>L1_Word</group>
      <groupName>字词问题</groupName>
      <ability>L2_Typo</ability>
      <abilityName>字词错误</abilityName>
      <candidateList>
        <item>松土</item>
      </candidateList>
      <explain>存在字形相近字词的误用。</explain>
      <paraID> B2D0415</paraID>
      <start>20</start>
      <end>22</end>
      <status>modified</status>
      <modifiedWord>松土</modifiedWord>
      <trackRevisions>false</trackRevisions>
    </reviewItem>
    <reviewItem>
      <errorID>fc78bf11-7c51-465f-bcf7-ad046ede2552</errorID>
      <errorWord>提高</errorWord>
      <group>L1_Grammar</group>
      <groupName>语法问题</groupName>
      <ability>L2_Grammar</ability>
      <abilityName>语法错误</abilityName>
      <candidateList>
        <item>增强</item>
      </candidateList>
      <explain>“提高～意识”搭配不当，建议修改为“增强～意识”。</explain>
      <paraID>70587F7A</paraID>
      <start>23</start>
      <end>25</end>
      <status>modified</status>
      <modifiedWord>增强</modifiedWord>
      <trackRevisions>false</trackRevisions>
    </reviewItem>
    <reviewItem>
      <errorID>4495c68d-186f-4992-87e4-c1d5990fff84</errorID>
      <errorWord>作好</errorWord>
      <group>L1_Grammar</group>
      <groupName>语法问题</groupName>
      <ability>L2_Grammar</ability>
      <abilityName>语法错误</abilityName>
      <candidateList>
        <item>做好</item>
      </candidateList>
      <explain>“作好～措施”搭配不当，建议修改为“做好～措施”。</explain>
      <paraID>70587F7A</paraID>
      <start>51</start>
      <end>53</end>
      <status>modified</status>
      <modifiedWord>做好</modifiedWord>
      <trackRevisions>false</trackRevisions>
    </reviewItem>
    <reviewItem>
      <errorID>14885273-40aa-4fc2-9f19-413bd944f648</errorID>
      <errorWord>树型</errorWord>
      <group>L1_Word</group>
      <groupName>字词问题</groupName>
      <ability>L2_Typo</ability>
      <abilityName>字词错误</abilityName>
      <candidateList>
        <item>树形</item>
      </candidateList>
      <explain>存在发音相同字词的误用。</explain>
      <paraID>45C64326</paraID>
      <start>60</start>
      <end>62</end>
      <status>modified</status>
      <modifiedWord>树形</modifiedWord>
      <trackRevisions>false</trackRevisions>
    </reviewItem>
    <reviewItem>
      <errorID>087b9f80-e5c7-43ea-8139-3a261796c061</errorID>
      <errorWord>造成</errorWord>
      <group>L1_Grammar</group>
      <groupName>语法问题</groupName>
      <ability>L2_Grammar</ability>
      <abilityName>语法错误</abilityName>
      <candidateList>
        <item>创造</item>
      </candidateList>
      <explain>“造成～价值”搭配不当，建议修改为“创造～价值”。</explain>
      <paraID> 5083AE2</paraID>
      <start>42</start>
      <end>44</end>
      <status>ignored</status>
      <modifiedWord/>
      <trackRevisions>false</trackRevisions>
    </reviewItem>
    <reviewItem>
      <errorID>88a34c93-489c-4f80-8f9d-624ea1492989</errorID>
      <errorWord>因不可抗拒</errorWord>
      <group>L1_Word</group>
      <groupName>字词问题</groupName>
      <ability>L2_Typo</ability>
      <abilityName>字词错误</abilityName>
      <candidateList>
        <item>因不可抗力</item>
      </candidateList>
      <explain/>
      <paraID>54496078</paraID>
      <start>2</start>
      <end>7</end>
      <status>unmodified</status>
      <modifiedWord/>
      <trackRevisions>false</trackRevisions>
    </reviewItem>
    <reviewItem>
      <errorID>be58648d-f518-4def-81b6-c8be764dda63</errorID>
      <errorWord>方</errorWord>
      <group>L1_Word</group>
      <groupName>字词问题</groupName>
      <ability>L2_Typo</ability>
      <abilityName>字词错误</abilityName>
      <candidateList>
        <item>方在</item>
      </candidateList>
      <explain/>
      <paraID>1AA6FF41</paraID>
      <start>4</start>
      <end>5</end>
      <status>unmodified</status>
      <modifiedWord/>
      <trackRevisions>false</trackRevisions>
    </reviewItem>
    <reviewItem>
      <errorID>b6bc0654-05cb-481d-ad17-c0cf70be773c</errorID>
      <errorWord>-</errorWord>
      <group>L1_Format</group>
      <groupName>格式问题</groupName>
      <ability>L2_HalfPunc_CN</ability>
      <abilityName>全半角问题</abilityName>
      <candidateList>
        <item>－</item>
      </candidateList>
      <explain>文本全半角错误。</explain>
      <paraID> 77D5AF6</paraID>
      <start>3</start>
      <end>4</end>
      <status>unmodified</status>
      <modifiedWord/>
      <trackRevisions>false</trackRevisions>
    </reviewItem>
    <reviewItem>
      <errorID>b416879e-3bf0-4167-a869-331246789512</errorID>
      <errorWord>标示</errorWord>
      <group>L1_Word</group>
      <groupName>字词问题</groupName>
      <ability>L2_Typo</ability>
      <abilityName>字词错误</abilityName>
      <candidateList>
        <item>标识</item>
      </candidateList>
      <explain>存在发音相同字词的误用。</explain>
      <paraID>1BEA3FB8</paraID>
      <start>9</start>
      <end>11</end>
      <status>unmodified</status>
      <modifiedWord/>
      <trackRevisions>false</trackRevisions>
    </reviewItem>
    <reviewItem>
      <errorID>2fa8aa56-d96e-4ae6-becf-ed00b6e56b39</errorID>
      <errorWord>;</errorWord>
      <group>L1_Format</group>
      <groupName>格式问题</groupName>
      <ability>L2_HalfPunc_CN</ability>
      <abilityName>全半角问题</abilityName>
      <candidateList>
        <item>；</item>
      </candidateList>
      <explain>文本全半角错误。</explain>
      <paraID>1662EB0C</paraID>
      <start>13</start>
      <end>14</end>
      <status>unmodified</status>
      <modifiedWord/>
      <trackRevisions>false</trackRevisions>
    </reviewItem>
    <reviewItem>
      <errorID>a46129a4-1d66-4275-be03-d206de06c89f</errorID>
      <errorWord>,</errorWord>
      <group>L1_Format</group>
      <groupName>格式问题</groupName>
      <ability>L2_HalfPunc_CN</ability>
      <abilityName>全半角问题</abilityName>
      <candidateList>
        <item>，</item>
      </candidateList>
      <explain>文本全半角错误。</explain>
      <paraID> C9CE085</paraID>
      <start>12</start>
      <end>13</end>
      <status>unmodified</status>
      <modifiedWord/>
      <trackRevisions>false</trackRevisions>
    </reviewItem>
    <reviewItem>
      <errorID>89b20255-18c8-4ee9-8903-69737800926e</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339BB611</paraID>
      <start>13</start>
      <end>14</end>
      <status>unmodified</status>
      <modifiedWord/>
      <trackRevisions>false</trackRevisions>
    </reviewItem>
    <reviewItem>
      <errorID>3353bf01-6ccc-4161-89ac-ea6411a3e416</errorID>
      <errorWord>整型</errorWord>
      <group>L1_Word</group>
      <groupName>字词问题</groupName>
      <ability>L2_Typo</ability>
      <abilityName>字词错误</abilityName>
      <candidateList>
        <item>整形</item>
      </candidateList>
      <explain>存在发音相同字词的误用。</explain>
      <paraID> DB10BC2</paraID>
      <start>32</start>
      <end>34</end>
      <status>unmodified</status>
      <modifiedWord/>
      <trackRevisions>false</trackRevisions>
    </reviewItem>
    <reviewItem>
      <errorID>4865989b-2b27-4aa8-afae-714e4c77a482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3FC0CF6F</paraID>
      <start>1</start>
      <end>2</end>
      <status>unmodified</status>
      <modifiedWord/>
      <trackRevisions>false</trackRevisions>
    </reviewItem>
    <reviewItem>
      <errorID>52683679-22a6-401b-b785-aa6e1fc98fbd</errorID>
      <errorWord>,</errorWord>
      <group>L1_Format</group>
      <groupName>格式问题</groupName>
      <ability>L2_HalfPunc_CN</ability>
      <abilityName>全半角问题</abilityName>
      <candidateList>
        <item>，</item>
      </candidateList>
      <explain>文本全半角错误。</explain>
      <paraID>3FC0CF6F</paraID>
      <start>6</start>
      <end>7</end>
      <status>unmodified</status>
      <modifiedWord/>
      <trackRevisions>false</trackRevisions>
    </reviewItem>
    <reviewItem>
      <errorID>f95fe388-4f3c-47de-9e07-5190ae7dab93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4CFD0F35</paraID>
      <start>10</start>
      <end>11</end>
      <status>unmodified</status>
      <modifiedWord/>
      <trackRevisions>false</trackRevisions>
    </reviewItem>
    <reviewItem>
      <errorID>f0c155d5-8d72-4245-a3eb-6fa5b0b1959d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70CB99</paraID>
      <start>2</start>
      <end>3</end>
      <status>unmodified</status>
      <modifiedWord/>
      <trackRevisions>false</trackRevisions>
    </reviewItem>
    <reviewItem>
      <errorID>54ac43fc-5db0-4ab1-81fd-0801810e290b</errorID>
      <errorWord>(</errorWord>
      <group>L1_Format</group>
      <groupName>格式问题</groupName>
      <ability>L2_HalfPunc_CN</ability>
      <abilityName>全半角问题</abilityName>
      <candidateList>
        <item>（</item>
      </candidateList>
      <explain>文本全半角错误。</explain>
      <paraID>61FAAF28</paraID>
      <start>6</start>
      <end>7</end>
      <status>unmodified</status>
      <modifiedWord/>
      <trackRevisions>false</trackRevisions>
    </reviewItem>
    <reviewItem>
      <errorID>f9ca1829-d36d-4566-8b43-4ebe1fd09aaa</errorID>
      <errorWord>其它</errorWord>
      <group>L1_Word</group>
      <groupName>字词问题</groupName>
      <ability>L2_Alias</ability>
      <abilityName>也作/曾用词</abilityName>
      <candidateList>
        <item>其他</item>
      </candidateList>
      <explain>词汇[其它]为不规范表述或旧称，其规范书面表述为[其他]。</explain>
      <paraID>349B1F88</paraID>
      <start>0</start>
      <end>2</end>
      <status>unmodified</status>
      <modifiedWord/>
      <trackRevisions>false</trackRevisions>
    </reviewItem>
    <reviewItem>
      <errorID>a9c89a4d-c7d7-4070-b22d-04b9102922dd</errorID>
      <errorWord>有台帐</errorWord>
      <group>L1_Word</group>
      <groupName>字词问题</groupName>
      <ability>L2_Alias</ability>
      <abilityName>也作/曾用词</abilityName>
      <candidateList>
        <item>有台账</item>
      </candidateList>
      <explain>词汇[有台帐]为不规范表述或旧称，其规范书面表述为[有台账]。</explain>
      <paraID>68B38CF3</paraID>
      <start>0</start>
      <end>3</end>
      <status>modified</status>
      <modifiedWord>有台账</modifiedWord>
      <trackRevisions>false</trackRevisions>
    </reviewItem>
    <reviewItem>
      <errorID>90d222d2-7cd2-42c2-ab7e-123c98efbd54</errorID>
      <errorWord>详实</errorWord>
      <group>L1_Word</group>
      <groupName>字词问题</groupName>
      <ability>L2_Typo</ability>
      <abilityName>字词错误</abilityName>
      <candidateList>
        <item>翔实</item>
      </candidateList>
      <explain>存在发音相同字词的误用。</explain>
      <paraID>31613DA1</paraID>
      <start>0</start>
      <end>2</end>
      <status>unmodified</status>
      <modifiedWord/>
      <trackRevisions>false</trackRevisions>
    </reviewItem>
    <reviewItem>
      <errorID>809889fb-0ca5-403f-8d34-8dc4b47b786a</errorID>
      <errorWord>台帐</errorWord>
      <group>L1_Word</group>
      <groupName>字词问题</groupName>
      <ability>L2_Typo</ability>
      <abilityName>字词错误</abilityName>
      <candidateList>
        <item>台账</item>
      </candidateList>
      <explain/>
      <paraID>195DB9BC</paraID>
      <start>3</start>
      <end>5</end>
      <status>modified</status>
      <modifiedWord>台账</modifiedWord>
      <trackRevisions>false</trackRevisions>
    </reviewItem>
    <reviewItem>
      <errorID>0ae0b2b4-1eee-41c2-8b99-7abe411909af</errorID>
      <errorWord>通讯畅通</errorWord>
      <group>L1_Word</group>
      <groupName>字词问题</groupName>
      <ability>L2_Typo</ability>
      <abilityName>字词错误</abilityName>
      <candidateList>
        <item>通信畅通</item>
      </candidateList>
      <explain/>
      <paraID>2C0F9A2E</paraID>
      <start>10</start>
      <end>14</end>
      <status>unmodified</status>
      <modifiedWord/>
      <trackRevisions>false</trackRevisions>
    </reviewItem>
    <reviewItem>
      <errorID>3be6da9d-d70c-4aac-8380-6eb00b58afa4</errorID>
      <errorWord>(</errorWord>
      <group>L1_Format</group>
      <groupName>格式问题</groupName>
      <ability>L2_HalfPunc_CN</ability>
      <abilityName>全半角问题</abilityName>
      <candidateList>
        <item>（</item>
      </candidateList>
      <explain>文本全半角错误。</explain>
      <paraID>7231B41F</paraID>
      <start>25</start>
      <end>26</end>
      <status>modified</status>
      <modifiedWord>（</modifiedWord>
      <trackRevisions>false</trackRevisions>
    </reviewItem>
    <reviewItem>
      <errorID>42627354-0a1a-44be-b21a-402f5df8015d</errorID>
      <errorWord>：。</errorWord>
      <group>L1_Punc</group>
      <groupName>标点问题</groupName>
      <ability>L2_Punc_CN</ability>
      <abilityName>标点符号问题</abilityName>
      <candidateList>
        <item>：</item>
      </candidateList>
      <explain/>
      <paraID>6B2A9C3F</paraID>
      <start>5</start>
      <end>7</end>
      <status>unmodified</status>
      <modifiedWord/>
      <trackRevisions>false</trackRevisions>
    </reviewItem>
    <reviewItem>
      <errorID>1697b290-fd35-4e35-8023-a3b97265a742</errorID>
      <errorWord>：。</errorWord>
      <group>L1_Punc</group>
      <groupName>标点问题</groupName>
      <ability>L2_Punc_CN</ability>
      <abilityName>标点符号问题</abilityName>
      <candidateList>
        <item>：</item>
      </candidateList>
      <explain/>
      <paraID>4E97B149</paraID>
      <start>9</start>
      <end>11</end>
      <status>unmodified</status>
      <modifiedWord/>
      <trackRevisions>false</trackRevisions>
    </reviewItem>
    <reviewItem>
      <errorID>9acbc367-0ccc-48c8-af51-1c949884c859</errorID>
      <errorWord>(</errorWord>
      <group>L1_Format</group>
      <groupName>格式问题</groupName>
      <ability>L2_HalfPunc_CN</ability>
      <abilityName>全半角问题</abilityName>
      <candidateList>
        <item>（</item>
      </candidateList>
      <explain>文本全半角错误。</explain>
      <paraID>6BE9F862</paraID>
      <start>30</start>
      <end>31</end>
      <status>unmodified</status>
      <modifiedWord/>
      <trackRevisions>false</trackRevisions>
    </reviewItem>
    <reviewItem>
      <errorID>07f1e66c-e40b-4dc8-8069-1a076ff41ffb</errorID>
      <errorWord>圆</errorWord>
      <group>L1_Word</group>
      <groupName>字词问题</groupName>
      <ability>L2_Typo</ability>
      <abilityName>字词错误</abilityName>
      <candidateList>
        <item>元</item>
      </candidateList>
      <explain>存在发音相同字词的误用。</explain>
      <paraID>5A828DA8</paraID>
      <start>37</start>
      <end>38</end>
      <status>unmodified</status>
      <modifiedWord/>
      <trackRevisions>false</trackRevisions>
    </reviewItem>
    <reviewItem>
      <errorID>0e20761c-c876-443b-ab3d-abacf0f29c30</errorID>
      <errorWord>(</errorWord>
      <group>L1_Format</group>
      <groupName>格式问题</groupName>
      <ability>L2_HalfPunc_CN</ability>
      <abilityName>全半角问题</abilityName>
      <candidateList>
        <item>（</item>
      </candidateList>
      <explain>文本全半角错误。</explain>
      <paraID>19188D87</paraID>
      <start>2</start>
      <end>3</end>
      <status>unmodified</status>
      <modifiedWord/>
      <trackRevisions>false</trackRevisions>
    </reviewItem>
    <reviewItem>
      <errorID>8e882ba7-00aa-4259-89c1-87db6fb1fe35</errorID>
      <errorWord>(</errorWord>
      <group>L1_Format</group>
      <groupName>格式问题</groupName>
      <ability>L2_HalfPunc_CN</ability>
      <abilityName>全半角问题</abilityName>
      <candidateList>
        <item>（</item>
      </candidateList>
      <explain>文本全半角错误。</explain>
      <paraID>757B4F94</paraID>
      <start>63</start>
      <end>64</end>
      <status>unmodified</status>
      <modifiedWord/>
      <trackRevisions>false</trackRevisions>
    </reviewItem>
    <reviewItem>
      <errorID>9140a804-b103-4c15-9466-fa3f27ec00db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7ED83D23</paraID>
      <start>0</start>
      <end>4</end>
      <status>unmodified</status>
      <modifiedWord/>
      <trackRevisions>false</trackRevisions>
    </reviewItem>
    <reviewItem>
      <errorID>ef7f8d34-179c-4f41-8864-f55fad2d9527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2731A0AC</paraID>
      <start>0</start>
      <end>4</end>
      <status>unmodified</status>
      <modifiedWord/>
      <trackRevisions>false</trackRevisions>
    </reviewItem>
    <reviewItem>
      <errorID>7534dd8f-9c3e-4154-9d76-f08317eff973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D02A35D</paraID>
      <start>0</start>
      <end>4</end>
      <status>unmodified</status>
      <modifiedWord/>
      <trackRevisions>false</trackRevisions>
    </reviewItem>
    <reviewItem>
      <errorID>6054dce1-8b9b-4594-9e2e-39a6bf8df0e4</errorID>
      <errorWord>：</errorWord>
      <group>L1_Format</group>
      <groupName>格式问题</groupName>
      <ability>L2_HalfPunc_CN</ability>
      <abilityName>全半角问题</abilityName>
      <candidateList>
        <item>:</item>
      </candidateList>
      <explain>文本全半角错误。</explain>
      <paraID>258DD86F</paraID>
      <start>12</start>
      <end>13</end>
      <status>unmodified</status>
      <modifiedWord/>
      <trackRevisions>false</trackRevisions>
    </reviewItem>
    <reviewItem>
      <errorID>5e3dc601-31e8-4679-ba0a-1d4acf60c6ae</errorID>
      <errorWord>：</errorWord>
      <group>L1_Format</group>
      <groupName>格式问题</groupName>
      <ability>L2_HalfPunc_CN</ability>
      <abilityName>全半角问题</abilityName>
      <candidateList>
        <item>:</item>
      </candidateList>
      <explain>文本全半角错误。</explain>
      <paraID>258DD86F</paraID>
      <start>18</start>
      <end>19</end>
      <status>unmodified</status>
      <modifiedWord/>
      <trackRevisions>false</trackRevisions>
    </reviewItem>
    <reviewItem>
      <errorID>dc723b15-a666-477f-88bb-d7e49119a422</errorID>
      <errorWord>(</errorWord>
      <group>L1_Format</group>
      <groupName>格式问题</groupName>
      <ability>L2_HalfPunc_CN</ability>
      <abilityName>全半角问题</abilityName>
      <candidateList>
        <item>（</item>
      </candidateList>
      <explain>文本全半角错误。</explain>
      <paraID>258DD86F</paraID>
      <start>41</start>
      <end>42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19b013-43fb-4ff6-96c2-cace92d085a8}">
  <ds:schemaRefs/>
</ds:datastoreItem>
</file>

<file path=docProps/app.xml><?xml version="1.0" encoding="utf-8"?>
<Properties xmlns="http://schemas.openxmlformats.org/officeDocument/2006/extended-properties" xmlns:vt="http://schemas.openxmlformats.org/officeDocument/2006/docPropsVTypes">
  <Template>Normal</Template>
  <Pages>76</Pages>
  <Words>1745</Words>
  <Characters>2140</Characters>
  <TotalTime>36</TotalTime>
  <ScaleCrop>false</ScaleCrop>
  <LinksUpToDate>false</LinksUpToDate>
  <CharactersWithSpaces>2215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2025-07-24T02:01:00Z</dcterms:created>
  <dc:creator>大熊出没</dc:creator>
  <cp:lastModifiedBy>雨儿</cp:lastModifiedBy>
  <cp:lastPrinted>2026-07-06T08:46:00Z</cp:lastPrinted>
  <dcterms:modified xsi:type="dcterms:W3CDTF">2026-07-17T01:12:43Z</dcterms:modified>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7962875B23164B39A10E71188E807D87_13</vt:lpwstr>
  </property>
  <property fmtid="{D5CDD505-2E9C-101B-9397-08002B2CF9AE}" pid="4" name="KSOTemplateDocerSaveRecord">
    <vt:lpwstr>eyJoZGlkIjoiYTUwZGVjNDUyNWYwMjJjMTRiMGUyZGU2M2UyMmYyOTQiLCJ1c2VySWQiOiI1NzY2Nzg1NjMifQ==</vt:lpwstr>
  </property>
</Properties>
</file>