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ind w:firstLine="0"/>
        <w:jc w:val="center"/>
        <w:spacing w:before="120" w:after="120" w:line="360" w:lineRule="auto"/>
        <w:widowControl w:val="off"/>
        <w:rPr>
          <w:rFonts w:hint="eastAsia" w:ascii="Arial" w:hAnsi="Arial" w:eastAsia="黑体" w:cs="Times New Roman"/>
          <w:b/>
          <w:bCs/>
          <w:color w:val="000000" w:themeColor="text1"/>
          <w:sz w:val="84"/>
          <w:szCs w:val="24"/>
          <w:highlight w:val="none"/>
          <w:lang w:val="en-US" w:eastAsia="zh-CN" w:bidi="ar-SA"/>
          <w14:textFill>
            <w14:solidFill>
              <w14:schemeClr w14:val="tx1"/>
            </w14:solidFill>
          </w14:textFill>
        </w:rPr>
      </w:pPr>
      <w:r>
        <w:rPr>
          <w:rFonts w:hint="eastAsia" w:ascii="Arial" w:hAnsi="Arial" w:eastAsia="黑体" w:cs="Times New Roman"/>
          <w:b/>
          <w:bCs/>
          <w:color w:val="000000" w:themeColor="text1"/>
          <w:sz w:val="84"/>
          <w:szCs w:val="24"/>
          <w:highlight w:val="none"/>
          <w:lang w:val="en-US" w:eastAsia="zh-CN" w:bidi="ar-SA"/>
          <w14:textFill>
            <w14:solidFill>
              <w14:schemeClr w14:val="tx1"/>
            </w14:solidFill>
          </w14:textFill>
        </w:rPr>
        <w:t xml:space="preserve">竞争性磋商文件</w:t>
      </w:r>
      <w:r/>
    </w:p>
    <w:p>
      <w:pPr>
        <w:ind w:firstLine="1606"/>
        <w:jc w:val="both"/>
        <w:widowControl w:val="off"/>
        <w:rPr>
          <w:rFonts w:hint="eastAsia"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pPr>
      <w:r>
        <w:rPr>
          <w:rFonts w:hint="eastAsia" w:ascii="Arial" w:hAnsi="Arial" w:eastAsia="宋体" w:cs="Times New Roman"/>
          <w:b/>
          <w:bCs/>
          <w:color w:val="000000" w:themeColor="text1"/>
          <w:sz w:val="32"/>
          <w:szCs w:val="24"/>
          <w:highlight w:val="none"/>
          <w:lang w:val="en-US" w:eastAsia="zh-CN" w:bidi="ar-SA"/>
          <w14:textFill>
            <w14:solidFill>
              <w14:schemeClr w14:val="tx1"/>
            </w14:solidFill>
          </w14:textFill>
        </w:rPr>
        <w:t xml:space="preserve">项目名称：</w:t>
      </w:r>
      <w:r>
        <w:rPr>
          <w:rFonts w:hint="eastAsia"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t xml:space="preserve">马群街道20个自管小区公交化其他垃圾清运</w:t>
      </w:r>
      <w:r>
        <w:rPr>
          <w:rFonts w:hint="eastAsia" w:cs="Times New Roman"/>
          <w:b/>
          <w:color w:val="000000" w:themeColor="text1"/>
          <w:sz w:val="32"/>
          <w:szCs w:val="32"/>
          <w:highlight w:val="none"/>
          <w:lang w:val="en-US" w:eastAsia="zh-CN" w:bidi="ar-SA"/>
          <w14:textFill>
            <w14:solidFill>
              <w14:schemeClr w14:val="tx1"/>
            </w14:solidFill>
          </w14:textFill>
        </w:rPr>
        <w:t xml:space="preserve">及街道办事处等8个非小区点位清运</w:t>
      </w:r>
      <w:r>
        <w:rPr>
          <w:rFonts w:hint="eastAsia"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t xml:space="preserve">服务项目 </w:t>
      </w:r>
      <w:r/>
    </w:p>
    <w:p>
      <w:pPr>
        <w:ind w:firstLine="1606"/>
        <w:jc w:val="left"/>
        <w:spacing w:before="120" w:after="120" w:line="360" w:lineRule="auto"/>
        <w:widowControl w:val="off"/>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Arial" w:hAnsi="Arial" w:eastAsia="宋体" w:cs="Times New Roman"/>
          <w:b/>
          <w:bCs/>
          <w:color w:val="000000" w:themeColor="text1"/>
          <w:sz w:val="32"/>
          <w:szCs w:val="24"/>
          <w:highlight w:val="none"/>
          <w:lang w:val="en-US" w:eastAsia="zh-CN" w:bidi="ar-SA"/>
          <w14:textFill>
            <w14:solidFill>
              <w14:schemeClr w14:val="tx1"/>
            </w14:solidFill>
          </w14:textFill>
        </w:rPr>
        <w:t xml:space="preserve">项目编号：</w:t>
      </w:r>
      <w:r>
        <w:rPr>
          <w:rFonts w:hint="eastAsia" w:cs="Times New Roman"/>
          <w:b/>
          <w:color w:val="000000" w:themeColor="text1"/>
          <w:sz w:val="32"/>
          <w:szCs w:val="32"/>
          <w:highlight w:val="none"/>
          <w:lang w:val="en-US" w:eastAsia="zh-CN" w:bidi="ar-SA"/>
          <w14:textFill>
            <w14:solidFill>
              <w14:schemeClr w14:val="tx1"/>
            </w14:solidFill>
          </w14:textFill>
        </w:rPr>
        <w:t xml:space="preserve">JSZC-320113-JSZS-C2026-0002</w:t>
      </w:r>
      <w:r/>
    </w:p>
    <w:p>
      <w:pPr>
        <w:jc w:val="center"/>
        <w:widowControl w:val="off"/>
        <w:rPr>
          <w:rFonts w:hint="eastAsia" w:ascii="Times New Roman" w:hAnsi="Times New Roman" w:eastAsia="宋体" w:cs="Times New Roman"/>
          <w:b/>
          <w:color w:val="000000" w:themeColor="text1"/>
          <w:sz w:val="30"/>
          <w:szCs w:val="30"/>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非专门</w:t>
      </w:r>
      <w:r>
        <w:rPr>
          <w:rFonts w:hint="eastAsia" w:ascii="Times New Roman" w:hAnsi="Times New Roman" w:eastAsia="宋体" w:cs="Times New Roman"/>
          <w:b/>
          <w:color w:val="000000" w:themeColor="text1"/>
          <w:sz w:val="30"/>
          <w:szCs w:val="30"/>
          <w:highlight w:val="none"/>
          <w:lang w:val="en-US" w:eastAsia="zh-CN" w:bidi="ar-SA"/>
          <w14:textFill>
            <w14:solidFill>
              <w14:schemeClr w14:val="tx1"/>
            </w14:solidFill>
          </w14:textFill>
        </w:rPr>
        <w:t xml:space="preserve">面向中小企业）</w:t>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center"/>
        <w:spacing w:before="120" w:after="120" w:line="360" w:lineRule="auto"/>
        <w:widowControl w:val="off"/>
        <w:rPr>
          <w:rFonts w:hint="default" w:ascii="Arial" w:hAnsi="Arial" w:eastAsia="宋体" w:cs="Times New Roman"/>
          <w:b/>
          <w:bCs/>
          <w:color w:val="000000" w:themeColor="text1"/>
          <w:sz w:val="32"/>
          <w:szCs w:val="24"/>
          <w:highlight w:val="none"/>
          <w:lang w:val="en-US" w:eastAsia="zh-CN" w:bidi="ar-SA"/>
          <w14:textFill>
            <w14:solidFill>
              <w14:schemeClr w14:val="tx1"/>
            </w14:solidFill>
          </w14:textFill>
        </w:rPr>
      </w:pPr>
      <w:r>
        <w:rPr>
          <w:rFonts w:hint="eastAsia" w:ascii="Arial" w:hAnsi="Arial" w:eastAsia="宋体" w:cs="Times New Roman"/>
          <w:b/>
          <w:bCs/>
          <w:color w:val="000000" w:themeColor="text1"/>
          <w:sz w:val="32"/>
          <w:szCs w:val="24"/>
          <w:highlight w:val="none"/>
          <w:lang w:val="en-US" w:eastAsia="zh-CN" w:bidi="ar-SA"/>
          <w14:textFill>
            <w14:solidFill>
              <w14:schemeClr w14:val="tx1"/>
            </w14:solidFill>
          </w14:textFill>
        </w:rPr>
        <w:t xml:space="preserve">采购人：南京市栖霞区人民政府马群街道办事处</w:t>
      </w:r>
      <w:r/>
    </w:p>
    <w:p>
      <w:pPr>
        <w:jc w:val="center"/>
        <w:spacing w:before="120" w:after="120" w:line="360" w:lineRule="auto"/>
        <w:widowControl w:val="off"/>
        <w:rPr>
          <w:rFonts w:hint="default" w:ascii="Arial" w:hAnsi="Arial" w:eastAsia="宋体" w:cs="Times New Roman"/>
          <w:b/>
          <w:bCs/>
          <w:color w:val="000000" w:themeColor="text1"/>
          <w:sz w:val="32"/>
          <w:szCs w:val="24"/>
          <w:highlight w:val="none"/>
          <w:lang w:val="en-US" w:eastAsia="zh-CN" w:bidi="ar-SA"/>
          <w14:textFill>
            <w14:solidFill>
              <w14:schemeClr w14:val="tx1"/>
            </w14:solidFill>
          </w14:textFill>
        </w:rPr>
      </w:pPr>
      <w:r>
        <w:rPr>
          <w:rFonts w:hint="eastAsia" w:ascii="Arial" w:hAnsi="Arial" w:eastAsia="宋体" w:cs="Times New Roman"/>
          <w:b/>
          <w:bCs/>
          <w:color w:val="000000" w:themeColor="text1"/>
          <w:sz w:val="32"/>
          <w:szCs w:val="24"/>
          <w:highlight w:val="none"/>
          <w:lang w:val="en-US" w:eastAsia="zh-CN" w:bidi="ar-SA"/>
          <w14:textFill>
            <w14:solidFill>
              <w14:schemeClr w14:val="tx1"/>
            </w14:solidFill>
          </w14:textFill>
        </w:rPr>
        <w:t xml:space="preserve">采购代理机构：江苏中审方维工程咨询有限公司</w:t>
      </w:r>
      <w:r/>
    </w:p>
    <w:p>
      <w:pPr>
        <w:jc w:val="center"/>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t xml:space="preserve">2026年0</w:t>
      </w:r>
      <w:r>
        <w:rPr>
          <w:rFonts w:hint="eastAsia" w:cs="Times New Roman"/>
          <w:b/>
          <w:color w:val="000000" w:themeColor="text1"/>
          <w:sz w:val="32"/>
          <w:szCs w:val="32"/>
          <w:highlight w:val="none"/>
          <w:lang w:val="en-US" w:eastAsia="zh-CN" w:bidi="ar-SA"/>
          <w14:textFill>
            <w14:solidFill>
              <w14:schemeClr w14:val="tx1"/>
            </w14:solidFill>
          </w14:textFill>
        </w:rPr>
        <w:t xml:space="preserve">7</w:t>
      </w:r>
      <w:r>
        <w:rPr>
          <w:rFonts w:hint="eastAsia" w:ascii="Times New Roman" w:hAnsi="Times New Roman" w:eastAsia="宋体" w:cs="Times New Roman"/>
          <w:b/>
          <w:color w:val="000000" w:themeColor="text1"/>
          <w:sz w:val="32"/>
          <w:szCs w:val="32"/>
          <w:highlight w:val="none"/>
          <w:lang w:val="en-US" w:eastAsia="zh-CN" w:bidi="ar-SA"/>
          <w14:textFill>
            <w14:solidFill>
              <w14:schemeClr w14:val="tx1"/>
            </w14:solidFill>
          </w14:textFill>
        </w:rPr>
        <w:t xml:space="preserve">月</w:t>
      </w:r>
      <w:r/>
    </w:p>
    <w:p>
      <w:pPr>
        <w:rPr>
          <w:rFonts w:hint="eastAsia"/>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bookmarkStart w:id="0" w:name="_Toc16938516"/>
      <w:r/>
      <w:bookmarkStart w:id="1" w:name="_Toc513029200"/>
      <w:r/>
      <w:bookmarkStart w:id="2" w:name="_Toc523127445"/>
      <w:r/>
      <w:bookmarkStart w:id="3" w:name="_Toc120614210"/>
      <w:r/>
      <w:bookmarkStart w:id="4" w:name="_Toc20823272"/>
      <w:r/>
      <w:bookmarkStart w:id="5" w:name="_Toc479757206"/>
      <w:r/>
      <w:r/>
    </w:p>
    <w:p>
      <w:pPr>
        <w:pStyle w:val="838"/>
        <w:numPr>
          <w:ilvl w:val="0"/>
          <w:numId w:val="4"/>
        </w:numPr>
        <w:ind w:left="0" w:firstLine="0"/>
        <w:jc w:val="center"/>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磋商邀请</w:t>
      </w:r>
      <w:r/>
    </w:p>
    <w:tbl>
      <w:tblPr>
        <w:tblStyle w:val="8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5000" w:type="pct"/>
            <w:textDirection w:val="lrTb"/>
            <w:noWrap w:val="false"/>
          </w:tcPr>
          <w:p>
            <w:pPr>
              <w:ind w:firstLine="480"/>
              <w:keepLines w:val="0"/>
              <w:keepNext w:val="0"/>
              <w:pageBreakBefore w:val="0"/>
              <w:spacing w:before="100" w:after="100" w:line="300" w:lineRule="auto"/>
              <w:widowControl w:val="off"/>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vertAlign w:val="baseline"/>
                <w14:textFill>
                  <w14:solidFill>
                    <w14:schemeClr w14:val="tx1"/>
                  </w14:solidFill>
                </w14:textFill>
              </w:rPr>
              <w:t xml:space="preserve">项目概况</w:t>
            </w:r>
            <w:r/>
          </w:p>
          <w:p>
            <w:pPr>
              <w:ind w:firstLine="480"/>
              <w:keepLines w:val="0"/>
              <w:keepNext w:val="0"/>
              <w:pageBreakBefore w:val="0"/>
              <w:spacing w:before="100" w:after="100" w:line="300" w:lineRule="auto"/>
              <w:widowControl w:val="off"/>
              <w:rPr>
                <w:rFonts w:hint="eastAsia" w:ascii="宋体" w:hAnsi="宋体"/>
                <w:color w:val="000000" w:themeColor="text1"/>
                <w:sz w:val="24"/>
                <w:szCs w:val="24"/>
                <w:highlight w:val="none"/>
                <w:vertAlign w:val="baseline"/>
                <w14:textFill>
                  <w14:solidFill>
                    <w14:schemeClr w14:val="tx1"/>
                  </w14:solidFill>
                </w14:textFill>
              </w:rPr>
            </w:pPr>
            <w:r>
              <w:rPr>
                <w:rFonts w:hint="eastAsia" w:ascii="宋体" w:hAnsi="宋体" w:eastAsia="宋体" w:cs="宋体"/>
                <w:color w:val="000000" w:themeColor="text1"/>
                <w:sz w:val="24"/>
                <w:szCs w:val="24"/>
                <w:highlight w:val="none"/>
                <w:u w:val="single"/>
                <w:vertAlign w:val="baselin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马群街道20个自管小区公交化其他垃圾清运及街道办事处等8个非小区点位清运服务项目</w:t>
            </w:r>
            <w:r>
              <w:rPr>
                <w:rFonts w:hint="eastAsia" w:ascii="宋体" w:hAnsi="宋体" w:eastAsia="宋体" w:cs="宋体"/>
                <w:color w:val="000000" w:themeColor="text1"/>
                <w:sz w:val="24"/>
                <w:szCs w:val="24"/>
                <w:highlight w:val="none"/>
                <w:u w:val="single"/>
                <w:vertAlign w:val="baseline"/>
                <w14:textFill>
                  <w14:solidFill>
                    <w14:schemeClr w14:val="tx1"/>
                  </w14:solidFill>
                </w14:textFill>
              </w:rPr>
              <w:t xml:space="preserve"> </w:t>
            </w:r>
            <w:r>
              <w:rPr>
                <w:rFonts w:hint="eastAsia" w:ascii="宋体" w:hAnsi="宋体" w:eastAsia="宋体" w:cs="宋体"/>
                <w:color w:val="000000" w:themeColor="text1"/>
                <w:sz w:val="24"/>
                <w:szCs w:val="24"/>
                <w:highlight w:val="none"/>
                <w:vertAlign w:val="baseline"/>
                <w14:textFill>
                  <w14:solidFill>
                    <w14:schemeClr w14:val="tx1"/>
                  </w14:solidFill>
                </w14:textFill>
              </w:rPr>
              <w:t xml:space="preserve">采购项目的潜在供应商应在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vertAlign w:val="baseline"/>
                <w14:textFill>
                  <w14:solidFill>
                    <w14:schemeClr w14:val="tx1"/>
                  </w14:solidFill>
                </w14:textFill>
              </w:rPr>
              <w:t xml:space="preserve">获取采购文件，并于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vertAlign w:val="baseline"/>
                <w14:textFill>
                  <w14:solidFill>
                    <w14:schemeClr w14:val="tx1"/>
                  </w14:solidFill>
                </w14:textFill>
              </w:rPr>
              <w:t xml:space="preserve">（北京时间）前提交响应文件。</w:t>
            </w:r>
            <w:r/>
          </w:p>
        </w:tc>
      </w:tr>
    </w:tbl>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bookmarkStart w:id="6" w:name="_Toc35393798"/>
      <w:r/>
      <w:bookmarkStart w:id="7" w:name="_Toc35393629"/>
      <w:r/>
      <w:bookmarkStart w:id="8" w:name="_Toc28359089"/>
      <w:r/>
      <w:bookmarkStart w:id="9" w:name="_Toc28359012"/>
      <w:r>
        <w:rPr>
          <w:color w:val="000000" w:themeColor="text1"/>
          <w:highlight w:val="none"/>
          <w14:textFill>
            <w14:solidFill>
              <w14:schemeClr w14:val="tx1"/>
            </w14:solidFill>
          </w14:textFill>
        </w:rPr>
        <w:t xml:space="preserve">项目基本情况</w:t>
      </w:r>
      <w:bookmarkEnd w:id="6"/>
      <w:r/>
      <w:bookmarkEnd w:id="7"/>
      <w:r/>
      <w:bookmarkEnd w:id="8"/>
      <w:r/>
      <w:bookmarkEnd w:id="9"/>
      <w:r/>
      <w:r/>
    </w:p>
    <w:p>
      <w:pPr>
        <w:pStyle w:val="852"/>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项目编号：</w:t>
      </w:r>
      <w:r>
        <w:rPr>
          <w:rFonts w:hint="eastAsia" w:cs="Times New Roman"/>
          <w:color w:val="000000" w:themeColor="text1"/>
          <w:sz w:val="24"/>
          <w:szCs w:val="24"/>
          <w:highlight w:val="none"/>
          <w:lang w:eastAsia="zh-CN"/>
          <w14:textFill>
            <w14:solidFill>
              <w14:schemeClr w14:val="tx1"/>
            </w14:solidFill>
          </w14:textFill>
        </w:rPr>
        <w:t xml:space="preserve">JSZC-320113-JSZS-C2026-0002</w:t>
      </w:r>
      <w:r/>
    </w:p>
    <w:p>
      <w:pPr>
        <w:pStyle w:val="852"/>
        <w:rPr>
          <w:rFonts w:hint="eastAsia" w:ascii="Times New Roman" w:hAnsi="Times New Roman" w:eastAsia="宋体" w:cs="Times New Roman"/>
          <w:color w:val="000000" w:themeColor="text1"/>
          <w:sz w:val="24"/>
          <w:szCs w:val="24"/>
          <w:highlight w:val="none"/>
          <w:u w:val="single"/>
          <w:lang w:eastAsia="zh-CN"/>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rPr>
          <w:rFonts w:hint="eastAsia" w:cs="Times New Roman"/>
          <w:color w:val="000000" w:themeColor="text1"/>
          <w:sz w:val="24"/>
          <w:szCs w:val="24"/>
          <w:highlight w:val="none"/>
          <w:lang w:eastAsia="zh-CN"/>
          <w14:textFill>
            <w14:solidFill>
              <w14:schemeClr w14:val="tx1"/>
            </w14:solidFill>
          </w14:textFill>
        </w:rPr>
        <w:t xml:space="preserve">马群街道20个自管小区公交化其他垃圾清运及街道办事处等8个非小区点位清运服务项目</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采购方式：竞争性磋商</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预算金额：180万元</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最高限价：1</w:t>
      </w:r>
      <w:r>
        <w:rPr>
          <w:rFonts w:hint="eastAsia" w:cs="Times New Roman"/>
          <w:color w:val="000000" w:themeColor="text1"/>
          <w:sz w:val="24"/>
          <w:szCs w:val="24"/>
          <w:highlight w:val="none"/>
          <w:lang w:val="en-US" w:eastAsia="zh-CN"/>
          <w14:textFill>
            <w14:solidFill>
              <w14:schemeClr w14:val="tx1"/>
            </w14:solidFill>
          </w14:textFill>
        </w:rPr>
        <w:t xml:space="preserve">7</w:t>
      </w:r>
      <w:r>
        <w:rPr>
          <w:rFonts w:ascii="Times New Roman" w:hAnsi="Times New Roman" w:eastAsia="宋体" w:cs="Times New Roman"/>
          <w:color w:val="000000" w:themeColor="text1"/>
          <w:sz w:val="24"/>
          <w:szCs w:val="24"/>
          <w:highlight w:val="none"/>
          <w14:textFill>
            <w14:solidFill>
              <w14:schemeClr w14:val="tx1"/>
            </w14:solidFill>
          </w14:textFill>
        </w:rPr>
        <w:t xml:space="preserve">0万元</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采购需求：</w:t>
      </w:r>
      <w:r>
        <w:rPr>
          <w:rFonts w:hint="eastAsia" w:cs="Times New Roman"/>
          <w:color w:val="000000" w:themeColor="text1"/>
          <w:sz w:val="24"/>
          <w:szCs w:val="24"/>
          <w:highlight w:val="none"/>
          <w:lang w:eastAsia="zh-CN"/>
          <w14:textFill>
            <w14:solidFill>
              <w14:schemeClr w14:val="tx1"/>
            </w14:solidFill>
          </w14:textFill>
        </w:rPr>
        <w:t xml:space="preserve">马群街道20个自管小区公交化其他垃圾清运及街道办事处等8个非小区点位清运服务项目</w:t>
      </w:r>
      <w:r>
        <w:rPr>
          <w:rFonts w:ascii="Times New Roman" w:hAnsi="Times New Roman" w:eastAsia="宋体" w:cs="Times New Roman"/>
          <w:color w:val="000000" w:themeColor="text1"/>
          <w:sz w:val="24"/>
          <w:szCs w:val="24"/>
          <w:highlight w:val="none"/>
          <w14:textFill>
            <w14:solidFill>
              <w14:schemeClr w14:val="tx1"/>
            </w14:solidFill>
          </w14:textFill>
        </w:rPr>
        <w:t xml:space="preserve">（马群科创园、街道办事处等8个非小区点位的清运服务属于本次项目范围），详见招标文件。</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合同履行期限：一年</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w:t>
      </w:r>
      <w:r>
        <w:rPr>
          <w:rFonts w:ascii="Times New Roman" w:hAnsi="Times New Roman" w:eastAsia="宋体" w:cs="Times New Roman"/>
          <w:i/>
          <w:color w:val="000000" w:themeColor="text1"/>
          <w:sz w:val="24"/>
          <w:szCs w:val="24"/>
          <w:highlight w:val="none"/>
          <w14:textFill>
            <w14:solidFill>
              <w14:schemeClr w14:val="tx1"/>
            </w14:solidFill>
          </w14:textFill>
        </w:rPr>
        <w:t xml:space="preserve">是否</w:t>
      </w:r>
      <w:r>
        <w:rPr>
          <w:rFonts w:ascii="Times New Roman" w:hAnsi="Times New Roman" w:eastAsia="宋体" w:cs="Times New Roman"/>
          <w:color w:val="000000" w:themeColor="text1"/>
          <w:sz w:val="24"/>
          <w:szCs w:val="24"/>
          <w:highlight w:val="none"/>
          <w14:textFill>
            <w14:solidFill>
              <w14:schemeClr w14:val="tx1"/>
            </w14:solidFill>
          </w14:textFill>
        </w:rPr>
        <w:t xml:space="preserve">接受联合体：否</w:t>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bookmarkStart w:id="10" w:name="_Toc28359090"/>
      <w:r/>
      <w:bookmarkStart w:id="11" w:name="_Toc28359013"/>
      <w:r/>
      <w:bookmarkStart w:id="12" w:name="_Toc35393799"/>
      <w:r/>
      <w:bookmarkStart w:id="13" w:name="_Toc35393630"/>
      <w:r>
        <w:rPr>
          <w:color w:val="000000" w:themeColor="text1"/>
          <w:highlight w:val="none"/>
          <w14:textFill>
            <w14:solidFill>
              <w14:schemeClr w14:val="tx1"/>
            </w14:solidFill>
          </w14:textFill>
        </w:rPr>
        <w:t xml:space="preserve">申请人的资格要求：</w:t>
      </w:r>
      <w:bookmarkEnd w:id="10"/>
      <w:r/>
      <w:bookmarkEnd w:id="11"/>
      <w:r/>
      <w:bookmarkEnd w:id="12"/>
      <w:r/>
      <w:bookmarkEnd w:id="13"/>
      <w:r/>
      <w:r/>
    </w:p>
    <w:p>
      <w:pPr>
        <w:pStyle w:val="852"/>
        <w:numPr>
          <w:ilvl w:val="0"/>
          <w:numId w:val="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bookmarkStart w:id="14" w:name="_Toc28359014"/>
      <w:r/>
      <w:bookmarkStart w:id="15" w:name="_Toc35393631"/>
      <w:r/>
      <w:bookmarkStart w:id="16" w:name="_Toc35393800"/>
      <w:r/>
      <w:bookmarkStart w:id="17" w:name="_Toc28359091"/>
      <w:r>
        <w:rPr>
          <w:rFonts w:ascii="Times New Roman" w:hAnsi="Times New Roman" w:eastAsia="宋体" w:cs="Times New Roman"/>
          <w:color w:val="000000" w:themeColor="text1"/>
          <w:sz w:val="24"/>
          <w:szCs w:val="24"/>
          <w:highlight w:val="none"/>
          <w14:textFill>
            <w14:solidFill>
              <w14:schemeClr w14:val="tx1"/>
            </w14:solidFill>
          </w14:textFill>
        </w:rPr>
        <w:t xml:space="preserve">满足《中华人民共和国政府采购法》第二十二条规定；</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具有独立承担民事责任的能力（提供法人或者其他组织的营业执照，自然人的身份证明）；</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具有良好的商业信誉和健全的财务会计制度（提供上一年度的经第三方会计师事务所审计的财务报告复印件或六个月内基本开户银行出具的资信证明或六个月内任意一个月的包括资产负债表和损益表）。</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具有履行合同所必需的设备和专业技术能力（提供书面声明或证明材料）；</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有依法缴纳税收和社会保障资金的良好记录（提供六个月内任意一个月的企业依法缴纳税收和社会保障资金的记录，如依法免税或依法不需要缴纳社会保障资金的，提供相应证明文件，自拟文件无效）；</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参加政府采购活动前三年内，在经营活动中没有重大违法记录（提供书面声明）；</w:t>
      </w:r>
      <w:r/>
    </w:p>
    <w:p>
      <w:pPr>
        <w:pStyle w:val="852"/>
        <w:numPr>
          <w:ilvl w:val="0"/>
          <w:numId w:val="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法律、行政法规规定的其他条件：</w:t>
      </w:r>
      <w:r/>
    </w:p>
    <w:p>
      <w:pPr>
        <w:pStyle w:val="852"/>
        <w:numPr>
          <w:ilvl w:val="0"/>
          <w:numId w:val="8"/>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投标人单位负责人为同一人或者存在直接控股、管理关系的不同投标人，不得参加同一合同项下的采购活动。</w:t>
      </w:r>
      <w:r/>
    </w:p>
    <w:p>
      <w:pPr>
        <w:pStyle w:val="852"/>
        <w:numPr>
          <w:ilvl w:val="0"/>
          <w:numId w:val="8"/>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凡为采购项目提供整体设计、规范编制或者项目管理、监理、检测等服务的投标人，不得再参加本项目的采购活动。</w:t>
      </w:r>
      <w:r/>
    </w:p>
    <w:p>
      <w:pPr>
        <w:pStyle w:val="852"/>
        <w:numPr>
          <w:ilvl w:val="0"/>
          <w:numId w:val="8"/>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拒绝列入失信被执行人、重大税收违法失信主体、政府采购严重违法失信行为记录名单中的投标人参加本项目的采购活动。</w:t>
      </w:r>
      <w:r/>
    </w:p>
    <w:p>
      <w:pPr>
        <w:pStyle w:val="852"/>
        <w:numPr>
          <w:ilvl w:val="0"/>
          <w:numId w:val="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落实政府采购政策需满足的资格要求：无。</w:t>
      </w:r>
      <w:r/>
    </w:p>
    <w:p>
      <w:pPr>
        <w:pStyle w:val="852"/>
        <w:numPr>
          <w:ilvl w:val="0"/>
          <w:numId w:val="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本项目的特定资格要求：无。</w:t>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获取采购文件</w:t>
      </w:r>
      <w:bookmarkEnd w:id="14"/>
      <w:r/>
      <w:bookmarkEnd w:id="15"/>
      <w:r/>
      <w:bookmarkEnd w:id="16"/>
      <w:r/>
      <w:bookmarkEnd w:id="17"/>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时间：自竞争性磋商文件公告发布之日起5个工作日</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地点：江苏政府采购网</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方式：网站下载</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售价：0.00元</w:t>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bookmarkStart w:id="18" w:name="_Toc35393632"/>
      <w:r/>
      <w:bookmarkStart w:id="19" w:name="_Toc28359092"/>
      <w:r/>
      <w:bookmarkStart w:id="20" w:name="_Toc35393801"/>
      <w:r/>
      <w:bookmarkStart w:id="21" w:name="_Toc28359015"/>
      <w:r>
        <w:rPr>
          <w:color w:val="000000" w:themeColor="text1"/>
          <w:highlight w:val="none"/>
          <w14:textFill>
            <w14:solidFill>
              <w14:schemeClr w14:val="tx1"/>
            </w14:solidFill>
          </w14:textFill>
        </w:rPr>
        <w:t xml:space="preserve">响应文件提交</w:t>
      </w:r>
      <w:bookmarkEnd w:id="18"/>
      <w:r/>
      <w:bookmarkEnd w:id="19"/>
      <w:r/>
      <w:bookmarkEnd w:id="20"/>
      <w:r/>
      <w:bookmarkEnd w:id="21"/>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bookmarkStart w:id="22" w:name="_Toc35393633"/>
      <w:r/>
      <w:bookmarkStart w:id="23" w:name="_Toc28359016"/>
      <w:r/>
      <w:bookmarkStart w:id="24" w:name="_Toc28359093"/>
      <w:r/>
      <w:bookmarkStart w:id="25" w:name="_Toc35393802"/>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2026年7月27日14点30分</w:t>
      </w:r>
      <w:r>
        <w:rPr>
          <w:rFonts w:ascii="Times New Roman" w:hAnsi="Times New Roman" w:eastAsia="宋体" w:cs="Times New Roman"/>
          <w:color w:val="000000" w:themeColor="text1"/>
          <w:sz w:val="24"/>
          <w:szCs w:val="24"/>
          <w:highlight w:val="none"/>
          <w14:textFill>
            <w14:solidFill>
              <w14:schemeClr w14:val="tx1"/>
            </w14:solidFill>
          </w14:textFill>
        </w:rPr>
        <w:t xml:space="preserve">（北京时间）</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地点：苏采云系统</w:t>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开启</w:t>
      </w:r>
      <w:bookmarkEnd w:id="22"/>
      <w:r/>
      <w:bookmarkEnd w:id="23"/>
      <w:r/>
      <w:bookmarkEnd w:id="24"/>
      <w:r/>
      <w:bookmarkEnd w:id="25"/>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bookmarkStart w:id="26" w:name="_Toc28359017"/>
      <w:r/>
      <w:bookmarkStart w:id="27" w:name="_Toc35393634"/>
      <w:r/>
      <w:bookmarkStart w:id="28" w:name="_Toc28359094"/>
      <w:r/>
      <w:bookmarkStart w:id="29" w:name="_Toc35393803"/>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2026年7月27日14点30分</w:t>
      </w:r>
      <w:r>
        <w:rPr>
          <w:rFonts w:ascii="Times New Roman" w:hAnsi="Times New Roman" w:eastAsia="宋体" w:cs="Times New Roman"/>
          <w:color w:val="000000" w:themeColor="text1"/>
          <w:sz w:val="24"/>
          <w:szCs w:val="24"/>
          <w:highlight w:val="none"/>
          <w14:textFill>
            <w14:solidFill>
              <w14:schemeClr w14:val="tx1"/>
            </w14:solidFill>
          </w14:textFill>
        </w:rPr>
        <w:t xml:space="preserve">（北京时间）</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地点：苏采云系统</w:t>
      </w:r>
      <w:bookmarkStart w:id="80" w:name="_GoBack"/>
      <w:r/>
      <w:bookmarkEnd w:id="80"/>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bookmarkEnd w:id="26"/>
      <w:r/>
      <w:bookmarkEnd w:id="27"/>
      <w:r/>
      <w:bookmarkEnd w:id="28"/>
      <w:r/>
      <w:bookmarkEnd w:id="29"/>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自本公告发布之日起3个工作日。</w:t>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bookmarkStart w:id="30" w:name="_Toc35393804"/>
      <w:r/>
      <w:bookmarkStart w:id="31" w:name="_Toc35393635"/>
      <w:r>
        <w:rPr>
          <w:color w:val="000000" w:themeColor="text1"/>
          <w:highlight w:val="none"/>
          <w14:textFill>
            <w14:solidFill>
              <w14:schemeClr w14:val="tx1"/>
            </w14:solidFill>
          </w14:textFill>
        </w:rPr>
        <w:t xml:space="preserve">其他补充事宜</w:t>
      </w:r>
      <w:bookmarkEnd w:id="30"/>
      <w:r/>
      <w:bookmarkEnd w:id="31"/>
      <w:r/>
      <w:r/>
    </w:p>
    <w:p>
      <w:pPr>
        <w:pStyle w:val="852"/>
        <w:numPr>
          <w:ilvl w:val="0"/>
          <w:numId w:val="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本项目不组织勘察及答疑，供应商如对采购需求有疑问，请咨询采购单位联系人。</w:t>
      </w:r>
      <w:r/>
    </w:p>
    <w:p>
      <w:pPr>
        <w:pStyle w:val="852"/>
        <w:numPr>
          <w:ilvl w:val="0"/>
          <w:numId w:val="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供应商须在获取采购文件截止时间前完成上述操作，未按要求完成相关手续造成无法进行磋商响应的，后果自负。</w:t>
      </w:r>
      <w:r/>
    </w:p>
    <w:p>
      <w:pPr>
        <w:pStyle w:val="852"/>
        <w:numPr>
          <w:ilvl w:val="0"/>
          <w:numId w:val="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52"/>
        <w:numPr>
          <w:ilvl w:val="0"/>
          <w:numId w:val="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有关本次招标的事项若存在变动或修改，请及时关注“江苏政府采购网”（www.ccgp-jiangsu.gov.cn）更正公告。</w:t>
      </w:r>
      <w:r/>
    </w:p>
    <w:p>
      <w:pPr>
        <w:pStyle w:val="852"/>
        <w:numPr>
          <w:ilvl w:val="0"/>
          <w:numId w:val="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供应商诚信档案管理</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ascii="Times New Roman" w:hAnsi="Times New Roman" w:eastAsia="宋体" w:cs="Times New Roman"/>
          <w:color w:val="000000" w:themeColor="text1"/>
          <w:sz w:val="24"/>
          <w:szCs w:val="24"/>
          <w:highlight w:val="none"/>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投标文件一并递交。</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符合国家相关规定的财务状况报告；</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依法缴纳税收的证明材料；</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依法缴纳社会保障资金的证明材料；</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具备履行政府采购合同所必需的设备和专业技术能力的证明材料；</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参加政府采购活动前三年内在经营活动中没有重大违法记录的证明材料；</w:t>
      </w:r>
      <w:r/>
    </w:p>
    <w:p>
      <w:pPr>
        <w:pStyle w:val="852"/>
        <w:numPr>
          <w:ilvl w:val="0"/>
          <w:numId w:val="1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未被列入失信被执行人、重大税收违法失信主体、政府采购严重违法失信行为记录名单的证明材料。</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供应商在中标后，应将上述由信用承诺书替代的证明材料（一式3份）加盖公章并胶装提交采购人或采购代理机构核验。经核验无误后，由采购人或采购代理机构发出中标通知书。</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供应商涉及以下情形的，不适用信用承诺：</w:t>
      </w:r>
      <w:r/>
    </w:p>
    <w:p>
      <w:pPr>
        <w:pStyle w:val="852"/>
        <w:numPr>
          <w:ilvl w:val="0"/>
          <w:numId w:val="1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供应商被列入严重失信主体名单；</w:t>
      </w:r>
      <w:r/>
    </w:p>
    <w:p>
      <w:pPr>
        <w:pStyle w:val="852"/>
        <w:numPr>
          <w:ilvl w:val="0"/>
          <w:numId w:val="1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被相关监管部门作出行政处罚且尚在处罚有效期内；</w:t>
      </w:r>
      <w:r/>
    </w:p>
    <w:p>
      <w:pPr>
        <w:pStyle w:val="852"/>
        <w:numPr>
          <w:ilvl w:val="0"/>
          <w:numId w:val="1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其他法律、行政法规规定的不适用信用承诺的情形。</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9"/>
        <w:numPr>
          <w:ilvl w:val="0"/>
          <w:numId w:val="5"/>
        </w:numPr>
        <w:ind w:left="0" w:firstLine="0"/>
        <w:rPr>
          <w:rFonts w:hint="eastAsia" w:ascii="黑体" w:hAnsi="黑体" w:eastAsia="黑体" w:cs="黑体"/>
          <w:b w:val="0"/>
          <w:color w:val="000000" w:themeColor="text1"/>
          <w:highlight w:val="none"/>
          <w14:textFill>
            <w14:solidFill>
              <w14:schemeClr w14:val="tx1"/>
            </w14:solidFill>
          </w14:textFill>
        </w:rPr>
      </w:pPr>
      <w:r/>
      <w:bookmarkStart w:id="32" w:name="_Toc35393805"/>
      <w:r/>
      <w:bookmarkStart w:id="33" w:name="_Toc28359095"/>
      <w:r/>
      <w:bookmarkStart w:id="34" w:name="_Toc28359018"/>
      <w:r/>
      <w:bookmarkStart w:id="35" w:name="_Toc35393636"/>
      <w:r>
        <w:rPr>
          <w:color w:val="000000" w:themeColor="text1"/>
          <w:highlight w:val="none"/>
          <w14:textFill>
            <w14:solidFill>
              <w14:schemeClr w14:val="tx1"/>
            </w14:solidFill>
          </w14:textFill>
        </w:rPr>
        <w:t xml:space="preserve">凡对本次采购提出询问，请按以下方式联系。</w:t>
      </w:r>
      <w:bookmarkEnd w:id="32"/>
      <w:r/>
      <w:bookmarkEnd w:id="33"/>
      <w:r/>
      <w:bookmarkEnd w:id="34"/>
      <w:r/>
      <w:bookmarkEnd w:id="35"/>
      <w:r/>
      <w:r/>
    </w:p>
    <w:p>
      <w:pPr>
        <w:pStyle w:val="840"/>
        <w:numPr>
          <w:ilvl w:val="0"/>
          <w:numId w:val="12"/>
        </w:numPr>
        <w:ind w:left="0" w:firstLine="0"/>
        <w:rPr>
          <w:b w:val="0"/>
          <w:color w:val="000000" w:themeColor="text1"/>
          <w:highlight w:val="none"/>
          <w14:textFill>
            <w14:solidFill>
              <w14:schemeClr w14:val="tx1"/>
            </w14:solidFill>
          </w14:textFill>
        </w:rPr>
      </w:pPr>
      <w:r/>
      <w:bookmarkStart w:id="36" w:name="_Toc28359019"/>
      <w:r/>
      <w:bookmarkStart w:id="37" w:name="_Toc35393637"/>
      <w:r/>
      <w:bookmarkStart w:id="38" w:name="_Toc28359096"/>
      <w:r/>
      <w:bookmarkStart w:id="39" w:name="_Toc35393806"/>
      <w:r>
        <w:rPr>
          <w:color w:val="000000" w:themeColor="text1"/>
          <w:highlight w:val="none"/>
          <w14:textFill>
            <w14:solidFill>
              <w14:schemeClr w14:val="tx1"/>
            </w14:solidFill>
          </w14:textFill>
        </w:rPr>
        <w:t xml:space="preserve">采购人信息</w:t>
      </w:r>
      <w:bookmarkEnd w:id="36"/>
      <w:r/>
      <w:bookmarkEnd w:id="37"/>
      <w:r/>
      <w:bookmarkEnd w:id="38"/>
      <w:r/>
      <w:bookmarkEnd w:id="39"/>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名    称：南京市栖霞区人民政府马群街道办事处</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    址：南京市栖霞区黄马路10号</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联系方式：刘主任025-84358064</w:t>
      </w:r>
      <w:r/>
    </w:p>
    <w:p>
      <w:pPr>
        <w:pStyle w:val="840"/>
        <w:numPr>
          <w:ilvl w:val="0"/>
          <w:numId w:val="12"/>
        </w:numPr>
        <w:ind w:left="0" w:firstLine="0"/>
        <w:rPr>
          <w:b w:val="0"/>
          <w:color w:val="000000" w:themeColor="text1"/>
          <w:highlight w:val="none"/>
          <w14:textFill>
            <w14:solidFill>
              <w14:schemeClr w14:val="tx1"/>
            </w14:solidFill>
          </w14:textFill>
        </w:rPr>
      </w:pPr>
      <w:r/>
      <w:bookmarkStart w:id="40" w:name="_Toc28359020"/>
      <w:r/>
      <w:bookmarkStart w:id="41" w:name="_Toc28359097"/>
      <w:r/>
      <w:bookmarkStart w:id="42" w:name="_Toc35393807"/>
      <w:r/>
      <w:bookmarkStart w:id="43" w:name="_Toc35393638"/>
      <w:r>
        <w:rPr>
          <w:color w:val="000000" w:themeColor="text1"/>
          <w:highlight w:val="none"/>
          <w14:textFill>
            <w14:solidFill>
              <w14:schemeClr w14:val="tx1"/>
            </w14:solidFill>
          </w14:textFill>
        </w:rPr>
        <w:t xml:space="preserve">采购代理机构信息（如有）</w:t>
      </w:r>
      <w:bookmarkEnd w:id="40"/>
      <w:r/>
      <w:bookmarkEnd w:id="41"/>
      <w:r/>
      <w:bookmarkEnd w:id="42"/>
      <w:r/>
      <w:bookmarkEnd w:id="43"/>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名    称：江苏中审方维工程咨询有限公司</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　　址：南京市建邺区所街100号乐基广场东区1号楼1015室</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联系方式：</w:t>
      </w:r>
      <w:r>
        <w:rPr>
          <w:rFonts w:ascii="Times New Roman" w:hAnsi="Times New Roman" w:eastAsia="宋体" w:cs="Times New Roman"/>
          <w:color w:val="000000" w:themeColor="text1"/>
          <w:sz w:val="24"/>
          <w:szCs w:val="24"/>
          <w:highlight w:val="none"/>
          <w14:textFill>
            <w14:solidFill>
              <w14:schemeClr w14:val="tx1"/>
            </w14:solidFill>
          </w14:textFill>
        </w:rPr>
        <w:t xml:space="preserve">杨薇</w:t>
      </w:r>
      <w:r>
        <w:rPr>
          <w:rFonts w:ascii="Times New Roman" w:hAnsi="Times New Roman" w:eastAsia="宋体" w:cs="Times New Roman"/>
          <w:color w:val="000000" w:themeColor="text1"/>
          <w:sz w:val="24"/>
          <w:szCs w:val="24"/>
          <w:highlight w:val="none"/>
          <w14:textFill>
            <w14:solidFill>
              <w14:schemeClr w14:val="tx1"/>
            </w14:solidFill>
          </w14:textFill>
        </w:rPr>
      </w:r>
      <w:r>
        <w:rPr>
          <w:rFonts w:ascii="Times New Roman" w:hAnsi="Times New Roman" w:eastAsia="宋体" w:cs="Times New Roman"/>
          <w:color w:val="000000" w:themeColor="text1"/>
          <w:sz w:val="24"/>
          <w:szCs w:val="24"/>
          <w:highlight w:val="none"/>
          <w14:textFill>
            <w14:solidFill>
              <w14:schemeClr w14:val="tx1"/>
            </w14:solidFill>
          </w14:textFill>
        </w:rPr>
        <w:t xml:space="preserve">18851044909</w:t>
      </w: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840"/>
        <w:numPr>
          <w:ilvl w:val="0"/>
          <w:numId w:val="12"/>
        </w:numPr>
        <w:ind w:left="0" w:firstLine="0"/>
        <w:rPr>
          <w:b w:val="0"/>
          <w:color w:val="000000" w:themeColor="text1"/>
          <w:highlight w:val="none"/>
          <w14:textFill>
            <w14:solidFill>
              <w14:schemeClr w14:val="tx1"/>
            </w14:solidFill>
          </w14:textFill>
        </w:rPr>
      </w:pPr>
      <w:r/>
      <w:bookmarkStart w:id="44" w:name="_Toc28359021"/>
      <w:r/>
      <w:bookmarkStart w:id="45" w:name="_Toc35393639"/>
      <w:r/>
      <w:bookmarkStart w:id="46" w:name="_Toc35393808"/>
      <w:r/>
      <w:bookmarkStart w:id="47" w:name="_Toc28359098"/>
      <w:r>
        <w:rPr>
          <w:color w:val="000000" w:themeColor="text1"/>
          <w:highlight w:val="none"/>
          <w14:textFill>
            <w14:solidFill>
              <w14:schemeClr w14:val="tx1"/>
            </w14:solidFill>
          </w14:textFill>
        </w:rPr>
        <w:t xml:space="preserve">项目联系方式</w:t>
      </w:r>
      <w:bookmarkEnd w:id="44"/>
      <w:r/>
      <w:bookmarkEnd w:id="45"/>
      <w:r/>
      <w:bookmarkEnd w:id="46"/>
      <w:r/>
      <w:bookmarkEnd w:id="47"/>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项目联系人：</w:t>
      </w:r>
      <w:r>
        <w:rPr>
          <w:rFonts w:ascii="Times New Roman" w:hAnsi="Times New Roman" w:eastAsia="宋体" w:cs="Times New Roman"/>
          <w:color w:val="000000" w:themeColor="text1"/>
          <w:sz w:val="24"/>
          <w:szCs w:val="24"/>
          <w:highlight w:val="none"/>
          <w14:textFill>
            <w14:solidFill>
              <w14:schemeClr w14:val="tx1"/>
            </w14:solidFill>
          </w14:textFill>
        </w:rPr>
        <w:t xml:space="preserve">杨薇</w:t>
      </w:r>
      <w: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电　　 话：</w:t>
      </w:r>
      <w:r>
        <w:rPr>
          <w:rFonts w:ascii="Times New Roman" w:hAnsi="Times New Roman" w:eastAsia="宋体" w:cs="Times New Roman"/>
          <w:color w:val="000000" w:themeColor="text1"/>
          <w:sz w:val="24"/>
          <w:szCs w:val="24"/>
          <w:highlight w:val="none"/>
          <w14:textFill>
            <w14:solidFill>
              <w14:schemeClr w14:val="tx1"/>
            </w14:solidFill>
          </w14:textFill>
        </w:rPr>
      </w:r>
      <w:r>
        <w:rPr>
          <w:rFonts w:ascii="Times New Roman" w:hAnsi="Times New Roman" w:eastAsia="宋体" w:cs="Times New Roman"/>
          <w:color w:val="000000" w:themeColor="text1"/>
          <w:sz w:val="24"/>
          <w:szCs w:val="24"/>
          <w:highlight w:val="none"/>
          <w14:textFill>
            <w14:solidFill>
              <w14:schemeClr w14:val="tx1"/>
            </w14:solidFill>
          </w14:textFill>
        </w:rPr>
        <w:t xml:space="preserve">18851044909</w:t>
      </w:r>
      <w: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838"/>
        <w:numPr>
          <w:ilvl w:val="0"/>
          <w:numId w:val="4"/>
        </w:numPr>
        <w:ind w:left="0" w:firstLine="0"/>
        <w:jc w:val="center"/>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供应商须知</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bookmarkStart w:id="48" w:name="_Toc120614214"/>
      <w:r/>
      <w:bookmarkStart w:id="49" w:name="_Toc16938519"/>
      <w:r/>
      <w:bookmarkStart w:id="50" w:name="_Toc513029203"/>
      <w:r/>
      <w:bookmarkStart w:id="51" w:name="_Toc20823275"/>
      <w:r>
        <w:rPr>
          <w:color w:val="000000" w:themeColor="text1"/>
          <w:highlight w:val="none"/>
          <w14:textFill>
            <w14:solidFill>
              <w14:schemeClr w14:val="tx1"/>
            </w14:solidFill>
          </w14:textFill>
        </w:rPr>
        <w:t xml:space="preserve">总则</w:t>
      </w:r>
      <w:r/>
    </w:p>
    <w:p>
      <w:pPr>
        <w:pStyle w:val="840"/>
        <w:numPr>
          <w:ilvl w:val="0"/>
          <w:numId w:val="14"/>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采购方式</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1.1 本次政府采购活动采取竞争性磋商(以下简称“磋商”)方式，本文件仅适用于采购公告中所述项目。</w:t>
      </w:r>
      <w:r/>
    </w:p>
    <w:p>
      <w:pPr>
        <w:pStyle w:val="840"/>
        <w:numPr>
          <w:ilvl w:val="0"/>
          <w:numId w:val="14"/>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合格的供应商</w:t>
      </w:r>
      <w:r/>
    </w:p>
    <w:p>
      <w:pPr>
        <w:pStyle w:val="852"/>
        <w:numPr>
          <w:ilvl w:val="0"/>
          <w:numId w:val="1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满足采购公告对供应商资格要求的规定。</w:t>
      </w:r>
      <w:r/>
    </w:p>
    <w:p>
      <w:pPr>
        <w:pStyle w:val="852"/>
        <w:numPr>
          <w:ilvl w:val="0"/>
          <w:numId w:val="1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满足磋商文件规定的实质性要求和条件。</w:t>
      </w:r>
      <w:r/>
    </w:p>
    <w:p>
      <w:pPr>
        <w:pStyle w:val="840"/>
        <w:numPr>
          <w:ilvl w:val="0"/>
          <w:numId w:val="14"/>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适用法律</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3.1 本次采购及由此产生的合同受中华人民共和国有关的法律法规制约和保护。</w:t>
      </w:r>
      <w:r/>
    </w:p>
    <w:p>
      <w:pPr>
        <w:pStyle w:val="840"/>
        <w:numPr>
          <w:ilvl w:val="0"/>
          <w:numId w:val="14"/>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磋商费用</w:t>
      </w:r>
      <w:r/>
    </w:p>
    <w:p>
      <w:pPr>
        <w:pStyle w:val="852"/>
        <w:numPr>
          <w:ilvl w:val="0"/>
          <w:numId w:val="1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供应商应自行承担所有与参加采购有关的费用，无论采购过程中的做法和结果如何，采购代理机构在任何情况下均无义务和责任承担这些费用。</w:t>
      </w:r>
      <w:r/>
    </w:p>
    <w:p>
      <w:pPr>
        <w:pStyle w:val="852"/>
        <w:numPr>
          <w:ilvl w:val="0"/>
          <w:numId w:val="1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招标代理服务费：本次磋商，成交供应商按《招标代理服务收费管理暂行办法》（国家发展计划委员会计价格〔2002〕1980号）代理服务招标收费标准计算，向招标代理机构支付招标代理服务费。该项费用请供应商综合考虑在投标报价中（无须在报价表中单列此费用），后期采购人不单独列支，必须在领取中标通知书前向招标代理机构支付招标服务费。</w:t>
      </w:r>
      <w:r/>
    </w:p>
    <w:p>
      <w:pPr>
        <w:pStyle w:val="840"/>
        <w:numPr>
          <w:ilvl w:val="0"/>
          <w:numId w:val="14"/>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磋商文件的约束力</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5.1 供应商一旦参加本项目采购活动，即被认为接受了本文件的规定和约束。</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磋商文件</w:t>
      </w:r>
      <w:r/>
    </w:p>
    <w:p>
      <w:pPr>
        <w:pStyle w:val="840"/>
        <w:numPr>
          <w:ilvl w:val="0"/>
          <w:numId w:val="1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磋商文件构成</w:t>
      </w:r>
      <w:r/>
    </w:p>
    <w:p>
      <w:pPr>
        <w:pStyle w:val="852"/>
        <w:numPr>
          <w:ilvl w:val="0"/>
          <w:numId w:val="1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磋商文件由以下部分组成：</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磋商邀请</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供应商须知</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合同文本</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采购需求</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评审方法与评审标准</w:t>
      </w:r>
      <w:r/>
    </w:p>
    <w:p>
      <w:pPr>
        <w:pStyle w:val="852"/>
        <w:numPr>
          <w:ilvl w:val="0"/>
          <w:numId w:val="1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响应文件格式</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供应商应仔细检查磋商文件是否齐全，如有缺漏请立即与采购代理机构联系。</w:t>
      </w:r>
      <w:r/>
    </w:p>
    <w:p>
      <w:pPr>
        <w:pStyle w:val="852"/>
        <w:numPr>
          <w:ilvl w:val="0"/>
          <w:numId w:val="1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0"/>
        <w:numPr>
          <w:ilvl w:val="0"/>
          <w:numId w:val="1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磋商文件的澄清</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7.1 任何要求对磋商文件进行澄清的供应商，应在磋商截止期五日前按采购公告中的通讯地址，以书面形式通知采购代理机构。</w:t>
      </w:r>
      <w:r/>
    </w:p>
    <w:p>
      <w:pPr>
        <w:pStyle w:val="840"/>
        <w:numPr>
          <w:ilvl w:val="0"/>
          <w:numId w:val="1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磋商文件的修改</w:t>
      </w:r>
      <w:r/>
    </w:p>
    <w:p>
      <w:pPr>
        <w:pStyle w:val="852"/>
        <w:numPr>
          <w:ilvl w:val="0"/>
          <w:numId w:val="2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在响应文件提交截止时间前，采购代理机构可以对磋商文件进行修改。磋商文件的修改将在原公告媒体发布更正公告，更正内容将作为磋商文件的组成部分，并对供应商具有约束力。</w:t>
      </w:r>
      <w:r/>
    </w:p>
    <w:p>
      <w:pPr>
        <w:pStyle w:val="852"/>
        <w:numPr>
          <w:ilvl w:val="0"/>
          <w:numId w:val="2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pStyle w:val="852"/>
        <w:numPr>
          <w:ilvl w:val="0"/>
          <w:numId w:val="2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采购代理机构有权按照法定的要求推迟提交响应文件截止时间，并在原公告媒体发布更正公告。</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响应文件的编制</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响应文件的语言及度量衡单位</w:t>
      </w:r>
      <w:r/>
    </w:p>
    <w:p>
      <w:pPr>
        <w:pStyle w:val="852"/>
        <w:numPr>
          <w:ilvl w:val="0"/>
          <w:numId w:val="2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供应商提交的响应文件以及供应商与采购代理机构就有关磋商的所有来往通知、函件和文件均应使用简体中文。</w:t>
      </w:r>
      <w:r/>
    </w:p>
    <w:p>
      <w:pPr>
        <w:pStyle w:val="852"/>
        <w:numPr>
          <w:ilvl w:val="0"/>
          <w:numId w:val="2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响应文件构成</w:t>
      </w:r>
      <w:r/>
    </w:p>
    <w:p>
      <w:pPr>
        <w:pStyle w:val="852"/>
        <w:numPr>
          <w:ilvl w:val="0"/>
          <w:numId w:val="2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供应商编写的响应文件应包括资格证明文件、符合性证明文件、分项报价表、响应及偏离表、其他证明文件、磋商响应函等部分。</w:t>
      </w:r>
      <w:r/>
    </w:p>
    <w:p>
      <w:pPr>
        <w:pStyle w:val="852"/>
        <w:numPr>
          <w:ilvl w:val="0"/>
          <w:numId w:val="2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如标书制作工具中格式和内容与“江苏政府采购网”发布的磋商文件不一致，以“江苏政府采购网”发布的磋商文件为准。</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证明磋商响应标的符合磋商文件规定的文件</w:t>
      </w:r>
      <w:r/>
    </w:p>
    <w:p>
      <w:pPr>
        <w:pStyle w:val="852"/>
        <w:numPr>
          <w:ilvl w:val="0"/>
          <w:numId w:val="2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供应商应按照法律、法规、规章和规范性文件以及磋商文件要求提交证明文件，证明其响应标的符合磋商文件规定。</w:t>
      </w:r>
      <w:r/>
    </w:p>
    <w:p>
      <w:pPr>
        <w:pStyle w:val="852"/>
        <w:numPr>
          <w:ilvl w:val="0"/>
          <w:numId w:val="2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磋商文件对证明文件无明确形式要求的，证明文件可以以文字资料、图纸和数据等形式提交。</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分项报价表（如有）</w:t>
      </w:r>
      <w:r/>
    </w:p>
    <w:p>
      <w:pPr>
        <w:pStyle w:val="852"/>
        <w:numPr>
          <w:ilvl w:val="0"/>
          <w:numId w:val="2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供应商应按照磋商文件规定格式填报分项报价表。</w:t>
      </w:r>
      <w:r/>
    </w:p>
    <w:p>
      <w:pPr>
        <w:pStyle w:val="852"/>
        <w:numPr>
          <w:ilvl w:val="0"/>
          <w:numId w:val="2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响应文件中的单价和总价无特殊规定的采用人民币报价，以元为单位标注。磋商文件另有规定的按规定执行。</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响应及偏离表</w:t>
      </w:r>
      <w:r/>
    </w:p>
    <w:p>
      <w:pPr>
        <w:pStyle w:val="852"/>
        <w:numPr>
          <w:ilvl w:val="0"/>
          <w:numId w:val="2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供应商需对磋商文件中的技术要求与商务要求逐项作出响应或偏离说明。</w:t>
      </w:r>
      <w:r/>
    </w:p>
    <w:p>
      <w:pPr>
        <w:pStyle w:val="852"/>
        <w:numPr>
          <w:ilvl w:val="0"/>
          <w:numId w:val="2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供应商可在响应文件中提供认为需要的其他技术文件或说明。</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磋商响应函</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14.1 供应商应按照磋商文件规定格式完整、正确填报磋商响应函。</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磋商有效期</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15.1 磋商有效期为采购公告规定的提交响应文件截止之日起六十天。磋商有效期比规定短的将被视为非实质性响应磋商文件而被拒绝。</w:t>
      </w:r>
      <w:r/>
    </w:p>
    <w:p>
      <w:pPr>
        <w:pStyle w:val="840"/>
        <w:numPr>
          <w:ilvl w:val="0"/>
          <w:numId w:val="21"/>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磋商有效期的延长</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响应文件的递交</w:t>
      </w:r>
      <w:r/>
    </w:p>
    <w:p>
      <w:pPr>
        <w:pStyle w:val="840"/>
        <w:numPr>
          <w:ilvl w:val="0"/>
          <w:numId w:val="2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响应文件的递交</w:t>
      </w:r>
      <w:r/>
    </w:p>
    <w:p>
      <w:pPr>
        <w:pStyle w:val="852"/>
        <w:numPr>
          <w:ilvl w:val="0"/>
          <w:numId w:val="2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供应商应当按照《操作手册》规定，在采购公告规定的提交响应文件截止时间前制作并上传电子响应文件。</w:t>
      </w:r>
      <w:r/>
    </w:p>
    <w:p>
      <w:pPr>
        <w:pStyle w:val="852"/>
        <w:numPr>
          <w:ilvl w:val="0"/>
          <w:numId w:val="2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供应商应充分考虑网络环境、网络带宽等因素可能产生的影响，如因供应商自身原因造成的电子响应文件上传不成功的，按照本磋商文件第二章第24.3条规定做无效响应处理。</w:t>
      </w:r>
      <w:r/>
    </w:p>
    <w:p>
      <w:pPr>
        <w:pStyle w:val="852"/>
        <w:numPr>
          <w:ilvl w:val="0"/>
          <w:numId w:val="2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采购代理机构可以按照规定，通过修改磋商文件酌情延长提交响应文件截止日期，在此情况下，供应商的所有权利和义务均以延长后新的截止日期为准。</w:t>
      </w:r>
      <w:r/>
    </w:p>
    <w:p>
      <w:pPr>
        <w:pStyle w:val="840"/>
        <w:numPr>
          <w:ilvl w:val="0"/>
          <w:numId w:val="2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响应文件的拒收</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18.1 提交响应文件截止时间后上传的任何响应文件将被拒绝。</w:t>
      </w:r>
      <w:r/>
    </w:p>
    <w:p>
      <w:pPr>
        <w:pStyle w:val="840"/>
        <w:numPr>
          <w:ilvl w:val="0"/>
          <w:numId w:val="27"/>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响应文件的撤回和修改</w:t>
      </w:r>
      <w:r/>
    </w:p>
    <w:p>
      <w:pPr>
        <w:pStyle w:val="852"/>
        <w:numPr>
          <w:ilvl w:val="0"/>
          <w:numId w:val="2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响应文件的撤回</w:t>
      </w:r>
      <w:r/>
    </w:p>
    <w:p>
      <w:pPr>
        <w:pStyle w:val="852"/>
        <w:numPr>
          <w:ilvl w:val="0"/>
          <w:numId w:val="3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852"/>
        <w:numPr>
          <w:ilvl w:val="0"/>
          <w:numId w:val="3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供应商撤回电子响应文件，则认为其不再参与本项目磋商活动。</w:t>
      </w:r>
      <w:r/>
    </w:p>
    <w:p>
      <w:pPr>
        <w:pStyle w:val="852"/>
        <w:numPr>
          <w:ilvl w:val="0"/>
          <w:numId w:val="2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响应文件的修改</w:t>
      </w:r>
      <w:r/>
    </w:p>
    <w:p>
      <w:pPr>
        <w:pStyle w:val="852"/>
        <w:numPr>
          <w:ilvl w:val="0"/>
          <w:numId w:val="3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852"/>
        <w:numPr>
          <w:ilvl w:val="0"/>
          <w:numId w:val="3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提交响应文件截止时间之后，供应商不得对其电子响应文件作任何修改。</w:t>
      </w:r>
      <w:r/>
    </w:p>
    <w:p>
      <w:pPr>
        <w:pStyle w:val="852"/>
        <w:numPr>
          <w:ilvl w:val="0"/>
          <w:numId w:val="2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响应文件的解密与评审</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响应文件解密</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20.1 供应商应当按照《操作手册》规定，在苏采云系统规定的时间内对响应文件进行解密。</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w:t>
      </w:r>
      <w:r/>
    </w:p>
    <w:p>
      <w:pPr>
        <w:pStyle w:val="852"/>
        <w:numPr>
          <w:ilvl w:val="0"/>
          <w:numId w:val="3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依法组建的磋商小组对响应文件进行评审。</w:t>
      </w:r>
      <w:r/>
    </w:p>
    <w:p>
      <w:pPr>
        <w:pStyle w:val="852"/>
        <w:numPr>
          <w:ilvl w:val="0"/>
          <w:numId w:val="3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磋商小组由采购人代表和有关方面专家组成，人员构成符合政府采购有关规定。</w:t>
      </w:r>
      <w:r/>
    </w:p>
    <w:p>
      <w:pPr>
        <w:pStyle w:val="852"/>
        <w:numPr>
          <w:ilvl w:val="0"/>
          <w:numId w:val="3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磋商小组独立工作，负责评审所有响应文件并推荐成交候选人，或根据采购人授权直接确定成交供应商。</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评审过程的保密与公正</w:t>
      </w:r>
      <w:r/>
    </w:p>
    <w:p>
      <w:pPr>
        <w:pStyle w:val="852"/>
        <w:numPr>
          <w:ilvl w:val="0"/>
          <w:numId w:val="3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磋商小组、采购人和采购代理机构工作人员、相关监督人员等与评审工作有关的人员，对评审情况以及在评审过程中获悉的国家秘密、商业秘密负有保密责任。</w:t>
      </w:r>
      <w:r/>
    </w:p>
    <w:p>
      <w:pPr>
        <w:pStyle w:val="852"/>
        <w:numPr>
          <w:ilvl w:val="0"/>
          <w:numId w:val="3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供应商不得以任何方式影响评审过程，否则其响应文件将被作为无效响应文件。</w:t>
      </w:r>
      <w:r/>
    </w:p>
    <w:p>
      <w:pPr>
        <w:pStyle w:val="852"/>
        <w:numPr>
          <w:ilvl w:val="0"/>
          <w:numId w:val="3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采购代理机构和磋商小组不向未成交的供应商解释未成交原因，也不公布评审过程中的相关细节。</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评审过程中的澄清</w:t>
      </w:r>
      <w:r/>
    </w:p>
    <w:p>
      <w:pPr>
        <w:pStyle w:val="852"/>
        <w:numPr>
          <w:ilvl w:val="0"/>
          <w:numId w:val="3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项目评审期间，磋商小组有权要求供应商对响应文件中含义不明确、同类问题表述不一致或者有明显文字和计算错误的内容等作出必要的澄清、说明或者补正。</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供应商的澄清、说明或者补正不得超出响应文件的范围或者改变响应文件的实质性内容。</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磋商小组并非对每个供应商都做澄清要求。</w:t>
      </w:r>
      <w:r/>
    </w:p>
    <w:p>
      <w:pPr>
        <w:pStyle w:val="852"/>
        <w:numPr>
          <w:ilvl w:val="0"/>
          <w:numId w:val="3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852"/>
        <w:numPr>
          <w:ilvl w:val="0"/>
          <w:numId w:val="3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接到磋商小组澄清、说明和补正要求的供应商如未按规定做出澄清、说明和补正，其风险由供应商自行承担。</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响应文件的审查</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响应文件审查分为资格审查和符合性审查。</w:t>
      </w:r>
      <w:r/>
    </w:p>
    <w:p>
      <w:pPr>
        <w:pStyle w:val="852"/>
        <w:numPr>
          <w:ilvl w:val="0"/>
          <w:numId w:val="3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资格审查。依据法律法规和磋商文件的规定，磋商小组对响应文件中的资格证明文件进行审查，以确定供应商是否具备参加磋商的资格。</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接受联合体的项目，联合体成员存在不良信用记录的，视同联合体存在不良信用记录。</w:t>
      </w:r>
      <w:r/>
    </w:p>
    <w:p>
      <w:pPr>
        <w:pStyle w:val="852"/>
        <w:numPr>
          <w:ilvl w:val="0"/>
          <w:numId w:val="3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符合性审查。依据磋商文件的规定，由磋商小组从有效性、完整性和对磋商文件的响应程度等方面对响应文件进行审查，以确定是否对磋商文件的实质性要求作出响应。</w:t>
      </w:r>
      <w:r/>
    </w:p>
    <w:p>
      <w:pPr>
        <w:pStyle w:val="852"/>
        <w:numPr>
          <w:ilvl w:val="0"/>
          <w:numId w:val="3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未通过资格审查或符合性审查的供应商，磋商小组将通过苏采云系统告知具体原因，评审结束后将不再接受有关询问。</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异常低价投标审查</w:t>
      </w:r>
      <w:r/>
    </w:p>
    <w:p>
      <w:pPr>
        <w:pStyle w:val="852"/>
        <w:numPr>
          <w:ilvl w:val="0"/>
          <w:numId w:val="38"/>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评审过程中出现下列情形之一的，磋商小组应当启动异常低价投标审查程序：</w:t>
      </w:r>
      <w:r/>
    </w:p>
    <w:p>
      <w:pPr>
        <w:pStyle w:val="852"/>
        <w:numPr>
          <w:ilvl w:val="0"/>
          <w:numId w:val="3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最后报价低于全部通过符合性审查供应商最后报价平均值</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50%</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的，即最后报价&lt;全部通过符合性审查供应商最后报价平均值×</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50%</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numPr>
          <w:ilvl w:val="0"/>
          <w:numId w:val="3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最后报价低于通过符合性审查的次低报价供应商最后报价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50%</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的，即最后报价&lt;通过符合性审查的次低报价供应商最后报价×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50%</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numPr>
          <w:ilvl w:val="0"/>
          <w:numId w:val="3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最后报价低于采购项目最高限价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45%</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的，即最后报价&lt;采购项目最高限价×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45%</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numPr>
          <w:ilvl w:val="0"/>
          <w:numId w:val="3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磋商小组基于专业判断，认为供应商最后报价过低，有可能影响产品质量或者不能诚信履约的其他情形。</w:t>
      </w:r>
      <w:r/>
    </w:p>
    <w:p>
      <w:pPr>
        <w:pStyle w:val="852"/>
        <w:numPr>
          <w:ilvl w:val="0"/>
          <w:numId w:val="38"/>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w:t>
      </w:r>
      <w:bookmarkStart w:id="52" w:name="OLE_LINK2"/>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供应商已随响应文件一并提交相关书面说明及必要的证明材料的，在评审现场可不再重复提交</w:t>
      </w:r>
      <w:bookmarkEnd w:id="52"/>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未实质性响应磋商文件的情形</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供应商在苏采云系统规定的时间内未成功解密电子响应文件。</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供应商未按照磋商文件要求上传电子响应文件。</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同一供应商提交两个（含两个）以上不同的响应文件或者最后报价。</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供应商不具备磋商文件中规定的资格要求。</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供应商的最后报价超过了采购预算或最高限价或单价上限。</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不符合磋商文件中规定的实质性要求和条件（</w:t>
      </w:r>
      <w:r>
        <w:rPr>
          <w:rFonts w:ascii="Times New Roman" w:hAnsi="Times New Roman" w:eastAsia="宋体" w:cs="Times New Roman"/>
          <w:b/>
          <w:color w:val="000000" w:themeColor="text1"/>
          <w:sz w:val="24"/>
          <w:szCs w:val="24"/>
          <w:highlight w:val="none"/>
          <w14:textFill>
            <w14:solidFill>
              <w14:schemeClr w14:val="tx1"/>
            </w14:solidFill>
          </w14:textFill>
        </w:rPr>
        <w:t xml:space="preserve">本文件中斜体且有下划线部分或者打“★”内容，为实质性要求和条件</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响应文件含有采购人不能接受的附加条件。</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磋商小组按照本采购文件规定对供应商进行异常低价投标审查后，认为供应商不能证明其报价合理性的。</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采购产品被财政部、国家发改委、生态环境部等列入“节能产品品目清单”强制采购范围，而供应商提供的产品不在强制采购范围内。</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响应文件未按照磋商文件要求加盖电子公章。</w:t>
      </w:r>
      <w:r/>
    </w:p>
    <w:p>
      <w:pPr>
        <w:pStyle w:val="852"/>
        <w:numPr>
          <w:ilvl w:val="0"/>
          <w:numId w:val="4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法律法规及本磋商文件规定的其他无效响应的情形。</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未实质性响应磋商文件的响应文件按无效响应处理。</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pStyle w:val="852"/>
        <w:numPr>
          <w:ilvl w:val="0"/>
          <w:numId w:val="3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供应商在项目评审全过程中应保持通讯畅通，及时登录苏采云系统查阅、答复相关信息，并安排专人与采购代理机构及磋商小组联系。</w:t>
      </w:r>
      <w:r/>
    </w:p>
    <w:p>
      <w:pPr>
        <w:pStyle w:val="840"/>
        <w:numPr>
          <w:ilvl w:val="0"/>
          <w:numId w:val="32"/>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磋商程序及评审方法与评审标准</w:t>
      </w:r>
      <w:r/>
    </w:p>
    <w:p>
      <w:pPr>
        <w:pStyle w:val="852"/>
        <w:numPr>
          <w:ilvl w:val="0"/>
          <w:numId w:val="4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磋商程序</w:t>
      </w:r>
      <w:r/>
    </w:p>
    <w:p>
      <w:pPr>
        <w:pStyle w:val="852"/>
        <w:numPr>
          <w:ilvl w:val="0"/>
          <w:numId w:val="4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磋商小组将与通过资格审查和符合性审查的供应商分别进行磋商。磋商小组通过苏采云系统向供应商发出《磋商函》，供应商应当按照要求在苏采云系统提交《磋商响应函》并加盖电子公章。</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52"/>
        <w:numPr>
          <w:ilvl w:val="0"/>
          <w:numId w:val="4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52"/>
        <w:numPr>
          <w:ilvl w:val="0"/>
          <w:numId w:val="4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852"/>
        <w:numPr>
          <w:ilvl w:val="0"/>
          <w:numId w:val="4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评审方法与评审标准</w:t>
      </w:r>
      <w:r/>
    </w:p>
    <w:p>
      <w:pPr>
        <w:pStyle w:val="852"/>
        <w:numPr>
          <w:ilvl w:val="0"/>
          <w:numId w:val="4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评审方法。见磋商文件第五章。</w:t>
      </w:r>
      <w:r/>
    </w:p>
    <w:p>
      <w:pPr>
        <w:pStyle w:val="852"/>
        <w:numPr>
          <w:ilvl w:val="0"/>
          <w:numId w:val="4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评审标准。见磋商文件第五章。</w:t>
      </w:r>
      <w:r/>
    </w:p>
    <w:p>
      <w:pPr>
        <w:pStyle w:val="852"/>
        <w:numPr>
          <w:ilvl w:val="0"/>
          <w:numId w:val="4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采购活动终止</w:t>
      </w:r>
      <w:r/>
    </w:p>
    <w:p>
      <w:pPr>
        <w:pStyle w:val="852"/>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出现下列情形之一的，本次采购活动终止：</w:t>
      </w:r>
      <w:r/>
    </w:p>
    <w:p>
      <w:pPr>
        <w:pStyle w:val="852"/>
        <w:numPr>
          <w:ilvl w:val="0"/>
          <w:numId w:val="4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因情况变化，不再符合竞争性磋商采购方式适用情形。</w:t>
      </w:r>
      <w:r/>
    </w:p>
    <w:p>
      <w:pPr>
        <w:pStyle w:val="852"/>
        <w:numPr>
          <w:ilvl w:val="0"/>
          <w:numId w:val="4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出现影响采购公正的违法、违规行为。</w:t>
      </w:r>
      <w:r/>
    </w:p>
    <w:p>
      <w:pPr>
        <w:pStyle w:val="852"/>
        <w:numPr>
          <w:ilvl w:val="0"/>
          <w:numId w:val="4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在苏采云系统规定时间内成功解密电子响应文件的供应商不足三家。</w:t>
      </w:r>
      <w:r/>
    </w:p>
    <w:p>
      <w:pPr>
        <w:pStyle w:val="852"/>
        <w:numPr>
          <w:ilvl w:val="0"/>
          <w:numId w:val="4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除本磋商文件第二章第25.1.2条第三款规定的情形外，磋商过程中符合要求的供应商或者提交最后报价且未超过采购预算或最高限价的供应商不足三家。</w:t>
      </w:r>
      <w:r/>
    </w:p>
    <w:p>
      <w:pPr>
        <w:pStyle w:val="852"/>
        <w:numPr>
          <w:ilvl w:val="0"/>
          <w:numId w:val="4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法律法规规定的其他应当终止情形。</w:t>
      </w:r>
      <w:r/>
    </w:p>
    <w:p>
      <w:pPr>
        <w:pStyle w:val="852"/>
        <w:numPr>
          <w:ilvl w:val="0"/>
          <w:numId w:val="41"/>
        </w:numPr>
        <w:ind w:left="0" w:firstLine="480"/>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如出现25.3.3或25.3.4情形，采购活动失败，磋商小组应对磋商文件是否存在不合理条款进行论证，并在评审报告中写明论证意见。</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成交</w:t>
      </w:r>
      <w:r/>
    </w:p>
    <w:p>
      <w:pPr>
        <w:pStyle w:val="840"/>
        <w:numPr>
          <w:ilvl w:val="0"/>
          <w:numId w:val="45"/>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确定成交单位</w:t>
      </w:r>
      <w:r/>
    </w:p>
    <w:p>
      <w:pPr>
        <w:pStyle w:val="852"/>
        <w:numPr>
          <w:ilvl w:val="0"/>
          <w:numId w:val="4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成交候选供应商的确定原则和数量见磋商文件第五章。</w:t>
      </w:r>
      <w:r/>
    </w:p>
    <w:p>
      <w:pPr>
        <w:pStyle w:val="852"/>
        <w:numPr>
          <w:ilvl w:val="0"/>
          <w:numId w:val="4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按以下第（2）种方式确定成交供应商</w:t>
      </w:r>
      <w:r/>
    </w:p>
    <w:p>
      <w:pPr>
        <w:pStyle w:val="852"/>
        <w:numPr>
          <w:ilvl w:val="0"/>
          <w:numId w:val="4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磋商小组直接确定排名第一的成交候选供应商为成交供应商；</w:t>
      </w:r>
      <w:r/>
    </w:p>
    <w:p>
      <w:pPr>
        <w:pStyle w:val="852"/>
        <w:numPr>
          <w:ilvl w:val="0"/>
          <w:numId w:val="47"/>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采购人在磋商小组推荐的成交候选供应商中按顺序确定成交供应商。</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pStyle w:val="852"/>
        <w:numPr>
          <w:ilvl w:val="0"/>
          <w:numId w:val="4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采购代理机构将在“江苏政府采购网”发布成交结果公告，公告期限为1个工作日。</w:t>
      </w:r>
      <w:r/>
    </w:p>
    <w:p>
      <w:pPr>
        <w:pStyle w:val="852"/>
        <w:numPr>
          <w:ilvl w:val="0"/>
          <w:numId w:val="46"/>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若有充分证据证明成交供应商有下列情况之一的，一经查实将被取消成交资格：</w:t>
      </w:r>
      <w:r/>
    </w:p>
    <w:p>
      <w:pPr>
        <w:pStyle w:val="852"/>
        <w:numPr>
          <w:ilvl w:val="0"/>
          <w:numId w:val="4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提供虚假材料谋取成交。</w:t>
      </w:r>
      <w:r/>
    </w:p>
    <w:p>
      <w:pPr>
        <w:pStyle w:val="852"/>
        <w:numPr>
          <w:ilvl w:val="0"/>
          <w:numId w:val="4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向评审专家、采购人或采购代理机构工作人员行贿或者提供其他不正当利益。</w:t>
      </w:r>
      <w:r/>
    </w:p>
    <w:p>
      <w:pPr>
        <w:pStyle w:val="852"/>
        <w:numPr>
          <w:ilvl w:val="0"/>
          <w:numId w:val="4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与其他供应商、评审专家、采购人或采购代理机构工作人员恶意串通。</w:t>
      </w:r>
      <w:r/>
    </w:p>
    <w:p>
      <w:pPr>
        <w:pStyle w:val="852"/>
        <w:numPr>
          <w:ilvl w:val="0"/>
          <w:numId w:val="4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不满足本磋商文件规定的实质性要求，但在评审过程中未被磋商小组发现。</w:t>
      </w:r>
      <w:r/>
    </w:p>
    <w:p>
      <w:pPr>
        <w:pStyle w:val="852"/>
        <w:numPr>
          <w:ilvl w:val="0"/>
          <w:numId w:val="48"/>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采取不正当手段诋毁、排挤其他供应商。</w:t>
      </w:r>
      <w:r/>
    </w:p>
    <w:p>
      <w:pPr>
        <w:pStyle w:val="840"/>
        <w:numPr>
          <w:ilvl w:val="0"/>
          <w:numId w:val="45"/>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成交通知书</w:t>
      </w:r>
      <w:r/>
    </w:p>
    <w:p>
      <w:pPr>
        <w:pStyle w:val="852"/>
        <w:numPr>
          <w:ilvl w:val="0"/>
          <w:numId w:val="4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成交结果确定后，采购代理机构将向成交供应商发出《成交通知书》。成交供应商可在成交结果公告届满之日起三十日内，登录苏采云系统下载。    </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pStyle w:val="852"/>
        <w:numPr>
          <w:ilvl w:val="0"/>
          <w:numId w:val="49"/>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《成交通知书》是合同的一个组成部分，对采购人和成交供应商均具有法律效力。《成交通知书》发出后，采购人改变成交结果的，或者成交供应商放弃成交项目的，应当依法承担法律责任。</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授予合同</w:t>
      </w:r>
      <w:r/>
    </w:p>
    <w:p>
      <w:pPr>
        <w:pStyle w:val="840"/>
        <w:numPr>
          <w:ilvl w:val="0"/>
          <w:numId w:val="50"/>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w:t>
      </w:r>
      <w:r/>
    </w:p>
    <w:p>
      <w:pPr>
        <w:pStyle w:val="852"/>
        <w:numPr>
          <w:ilvl w:val="0"/>
          <w:numId w:val="50"/>
        </w:numPr>
        <w:ind w:left="0" w:firstLine="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l 成交供应商应当在《成交通知书》发出之日起三十日内，按照磋商文件确定的事项与采购人签订政府采购合同。采购人于合同签订后2个工作日内通过苏采云系统进行公示。</w:t>
      </w:r>
      <w:r/>
    </w:p>
    <w:p>
      <w:pPr>
        <w:pStyle w:val="852"/>
        <w:numPr>
          <w:ilvl w:val="0"/>
          <w:numId w:val="5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磋商文件、成交供应商的响应文件及磋商过程中有关澄清、承诺文件均作为合同附件。</w:t>
      </w:r>
      <w:r/>
    </w:p>
    <w:p>
      <w:pPr>
        <w:pStyle w:val="852"/>
        <w:numPr>
          <w:ilvl w:val="0"/>
          <w:numId w:val="5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52"/>
        <w:numPr>
          <w:ilvl w:val="0"/>
          <w:numId w:val="51"/>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成交供应商因自身原因拒绝与采购人签订合同的，不得参加采购人重新组织的采购活动，且将可能被拒绝参加该采购人一年内的其他政府采购活动。</w:t>
      </w:r>
      <w:r/>
    </w:p>
    <w:p>
      <w:pPr>
        <w:pStyle w:val="840"/>
        <w:numPr>
          <w:ilvl w:val="0"/>
          <w:numId w:val="50"/>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标的物的追加</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0"/>
        <w:numPr>
          <w:ilvl w:val="0"/>
          <w:numId w:val="50"/>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政府采购履约资金扶持政策</w:t>
      </w:r>
      <w:r/>
    </w:p>
    <w:p>
      <w:pPr>
        <w:pStyle w:val="852"/>
        <w:numPr>
          <w:ilvl w:val="0"/>
          <w:numId w:val="5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成交供应商通过南京市公共资源交易平台网站“小企业融资平台”，选择相应的金融机构办理融资贷款。</w:t>
      </w:r>
      <w:r/>
    </w:p>
    <w:p>
      <w:pPr>
        <w:pStyle w:val="852"/>
        <w:numPr>
          <w:ilvl w:val="0"/>
          <w:numId w:val="5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依据《关于在全省政府采购领域推行电子履约保函（保险）的通知》（苏财购〔2023〕150号），需要缴纳履约保证金的，成交供应商可通过江苏政府采购网“政府采购电子履约保函（保险）综合服务平台”线上办理履约保函（保险）。</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供应商认为采购文件、采购过程和采购结果使自己的权益受到损害的，可以在知道或应知其权益受到损害之日起七个工作日内，按照第34条、第35条之规定以书面形式向采购人或采购代理机构提出质疑。</w:t>
      </w:r>
      <w:r>
        <w:rPr>
          <w:rFonts w:ascii="Times New Roman" w:hAnsi="Times New Roman" w:eastAsia="宋体" w:cs="Times New Roman"/>
          <w:b/>
          <w:color w:val="000000" w:themeColor="text1"/>
          <w:sz w:val="24"/>
          <w:szCs w:val="24"/>
          <w:highlight w:val="none"/>
          <w14:textFill>
            <w14:solidFill>
              <w14:schemeClr w14:val="tx1"/>
            </w14:solidFill>
          </w14:textFill>
        </w:rPr>
        <w:t xml:space="preserve">上述应知其权益受到损害之日是指：</w:t>
      </w:r>
      <w:r/>
    </w:p>
    <w:p>
      <w:pPr>
        <w:pStyle w:val="852"/>
        <w:numPr>
          <w:ilvl w:val="0"/>
          <w:numId w:val="5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对采购文件提出质疑的，为收到采购文件之日或者采购文件公告期限届满之日。</w:t>
      </w:r>
      <w:r/>
    </w:p>
    <w:p>
      <w:pPr>
        <w:pStyle w:val="852"/>
        <w:numPr>
          <w:ilvl w:val="0"/>
          <w:numId w:val="5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对采购过程提出质疑的，为各采购程序环节结束之日。</w:t>
      </w:r>
      <w:r/>
    </w:p>
    <w:p>
      <w:pPr>
        <w:pStyle w:val="852"/>
        <w:numPr>
          <w:ilvl w:val="0"/>
          <w:numId w:val="54"/>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对成交结果提出质疑的，为成交结果公告期限届满之日。</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供应商应当在法定质疑期内一次性提出针对同一采购程序环节的质疑。供应商如在法定期限内对同一采购程序环节提出多次质疑的，采购代理机构或采购人将只对供应商第一次质疑作出答复。</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供应商提出质疑应提交《质疑函》原件。《质疑函》应</w:t>
      </w:r>
      <w:r>
        <w:rPr>
          <w:rFonts w:hint="eastAsia" w:cs="Times New Roman"/>
          <w:color w:val="000000" w:themeColor="text1"/>
          <w:sz w:val="24"/>
          <w:szCs w:val="24"/>
          <w:highlight w:val="none"/>
          <w:lang w:val="en-US" w:eastAsia="zh-CN"/>
          <w14:textFill>
            <w14:solidFill>
              <w14:schemeClr w14:val="tx1"/>
            </w14:solidFill>
          </w14:textFill>
        </w:rPr>
        <w:t xml:space="preserve">符合</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中华人民共和国财政部令第94号《政府采购质疑和投诉办法》</w:t>
      </w:r>
      <w:r>
        <w:rPr>
          <w:rFonts w:hint="eastAsia" w:cs="Times New Roman"/>
          <w:color w:val="000000" w:themeColor="text1"/>
          <w:sz w:val="24"/>
          <w:szCs w:val="24"/>
          <w:highlight w:val="none"/>
          <w:lang w:val="en-US" w:eastAsia="zh-CN"/>
          <w14:textFill>
            <w14:solidFill>
              <w14:schemeClr w14:val="tx1"/>
            </w14:solidFill>
          </w14:textFill>
        </w:rPr>
        <w:t xml:space="preserve">的规定</w:t>
      </w: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b/>
          <w:color w:val="000000" w:themeColor="text1"/>
          <w:sz w:val="24"/>
          <w:szCs w:val="24"/>
          <w:highlight w:val="none"/>
          <w14:textFill>
            <w14:solidFill>
              <w14:schemeClr w14:val="tx1"/>
            </w14:solidFill>
          </w14:textFill>
        </w:rPr>
        <w:t xml:space="preserve">由授权代表负责质疑事宜的，《质疑函》附件中应提交由质疑供应商法定代表人或主要负责人签署的《授权委托书》。</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供应商如组成联合体参加采购活动，《质疑函范本》中要求加盖公章之处，联合体各方均须按要求加盖公章。</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供应商根据质疑事项向相应的质疑答复主体提出质疑，具体详见采购文件第一章。由采购人负责答复的质疑，采购人将《质疑答复函》抄送采购代理机构。</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以下情形的质疑不予受理：</w:t>
      </w:r>
      <w:r/>
    </w:p>
    <w:p>
      <w:pPr>
        <w:pStyle w:val="852"/>
        <w:numPr>
          <w:ilvl w:val="0"/>
          <w:numId w:val="5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超出政府采购法定期限的质疑；</w:t>
      </w:r>
      <w:r/>
    </w:p>
    <w:p>
      <w:pPr>
        <w:pStyle w:val="852"/>
        <w:numPr>
          <w:ilvl w:val="0"/>
          <w:numId w:val="5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属于第33条规定的对同一采购程序环节提出的多次质疑；</w:t>
      </w:r>
      <w:r/>
    </w:p>
    <w:p>
      <w:pPr>
        <w:pStyle w:val="852"/>
        <w:numPr>
          <w:ilvl w:val="0"/>
          <w:numId w:val="55"/>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法律法规规定的其他不予受理情形。</w:t>
      </w:r>
      <w:r/>
    </w:p>
    <w:p>
      <w:pPr>
        <w:pStyle w:val="852"/>
        <w:numPr>
          <w:ilvl w:val="0"/>
          <w:numId w:val="53"/>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839"/>
        <w:numPr>
          <w:ilvl w:val="0"/>
          <w:numId w:val="13"/>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政策功能落实</w:t>
      </w:r>
      <w:r/>
    </w:p>
    <w:p>
      <w:pPr>
        <w:pStyle w:val="840"/>
        <w:numPr>
          <w:ilvl w:val="0"/>
          <w:numId w:val="56"/>
        </w:numPr>
        <w:ind w:left="0" w:firstLine="0"/>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促进中小企业发展</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本项目服务由中小企业承接的，参与磋商的供应商享受中小企业扶持政策：</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中小企业参加政府采购活动，应当出具《中小企业声明函》，否则不享受相关中小企业支持政策。</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52"/>
        <w:numPr>
          <w:ilvl w:val="0"/>
          <w:numId w:val="5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残疾人福利性单位视同小型、微型企业。按照《关于促进残疾人就业政府采购政策的通知》（财库〔2017〕141号）规定，残疾人福利单位需提供《残疾人福利性单位声明函》。</w:t>
      </w:r>
      <w:bookmarkEnd w:id="48"/>
      <w:bookmarkEnd w:id="49"/>
      <w:bookmarkEnd w:id="50"/>
      <w:bookmarkEnd w:id="51"/>
      <w:r/>
    </w:p>
    <w:p>
      <w:pPr>
        <w:pStyle w:val="838"/>
        <w:numPr>
          <w:ilvl w:val="0"/>
          <w:numId w:val="4"/>
        </w:numPr>
        <w:ind w:left="0" w:firstLine="0"/>
        <w:jc w:val="center"/>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合同文本</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以下为本项目的合同条款，合同双方不得对磋商、响应文件内容作实质性修改。</w:t>
      </w:r>
      <w:r/>
    </w:p>
    <w:p>
      <w:pPr>
        <w:pStyle w:val="1101"/>
        <w:ind w:left="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0"/>
      <w:bookmarkEnd w:id="1"/>
      <w:bookmarkEnd w:id="2"/>
      <w:bookmarkEnd w:id="3"/>
      <w:bookmarkEnd w:id="4"/>
      <w:bookmarkEnd w:id="5"/>
      <w:r/>
    </w:p>
    <w:p>
      <w:pPr>
        <w:jc w:val="center"/>
        <w:rPr>
          <w:rFonts w:eastAsia="黑体"/>
          <w:color w:val="000000" w:themeColor="text1"/>
          <w:sz w:val="52"/>
          <w:highlight w:val="none"/>
          <w14:textFill>
            <w14:solidFill>
              <w14:schemeClr w14:val="tx1"/>
            </w14:solidFill>
          </w14:textFill>
        </w:rPr>
      </w:pPr>
      <w:r/>
      <w:bookmarkStart w:id="53" w:name="_Toc16938590"/>
      <w:r/>
      <w:bookmarkStart w:id="54" w:name="_Toc120614244"/>
      <w:r/>
      <w:bookmarkStart w:id="55" w:name="_Hlt16619350"/>
      <w:r/>
      <w:bookmarkStart w:id="56" w:name="_Toc20823346"/>
      <w:r/>
      <w:bookmarkStart w:id="57" w:name="_Toc479757211"/>
      <w:r/>
      <w:bookmarkStart w:id="58" w:name="_Toc462564139"/>
      <w:r>
        <w:rPr>
          <w:rFonts w:hint="eastAsia" w:ascii="Calibri" w:hAnsi="Calibri" w:eastAsia="黑体" w:cs="黑体"/>
          <w:color w:val="000000" w:themeColor="text1"/>
          <w:sz w:val="52"/>
          <w:highlight w:val="none"/>
          <w14:textFill>
            <w14:solidFill>
              <w14:schemeClr w14:val="tx1"/>
            </w14:solidFill>
          </w14:textFill>
        </w:rPr>
        <w:t xml:space="preserve">南京市政府采购合同</w:t>
      </w:r>
      <w:r/>
    </w:p>
    <w:p>
      <w:pPr>
        <w:rPr>
          <w:rFonts w:ascii="黑体" w:hAnsi="Calibri" w:eastAsia="黑体" w:cs="黑体"/>
          <w:b/>
          <w:color w:val="000000" w:themeColor="text1"/>
          <w:sz w:val="36"/>
          <w:highlight w:val="none"/>
          <w14:textFill>
            <w14:solidFill>
              <w14:schemeClr w14:val="tx1"/>
            </w14:solidFill>
          </w14:textFill>
        </w:rPr>
      </w:pPr>
      <w:r>
        <w:rPr>
          <w:rFonts w:ascii="黑体" w:hAnsi="Calibri" w:eastAsia="黑体" w:cs="黑体"/>
          <w:b/>
          <w:color w:val="000000" w:themeColor="text1"/>
          <w:sz w:val="36"/>
          <w:highlight w:val="none"/>
          <w14:textFill>
            <w14:solidFill>
              <w14:schemeClr w14:val="tx1"/>
            </w14:solidFill>
          </w14:textFill>
        </w:rPr>
      </w:r>
      <w:r/>
    </w:p>
    <w:p>
      <w:pPr>
        <w:rPr>
          <w:rFonts w:ascii="黑体" w:hAnsi="Calibri" w:eastAsia="黑体" w:cs="黑体"/>
          <w:b/>
          <w:color w:val="000000" w:themeColor="text1"/>
          <w:sz w:val="36"/>
          <w:highlight w:val="none"/>
          <w14:textFill>
            <w14:solidFill>
              <w14:schemeClr w14:val="tx1"/>
            </w14:solidFill>
          </w14:textFill>
        </w:rPr>
      </w:pPr>
      <w:r>
        <w:rPr>
          <w:rFonts w:ascii="黑体" w:hAnsi="Calibri" w:eastAsia="黑体" w:cs="黑体"/>
          <w:b/>
          <w:color w:val="000000" w:themeColor="text1"/>
          <w:sz w:val="36"/>
          <w:highlight w:val="none"/>
          <w14:textFill>
            <w14:solidFill>
              <w14:schemeClr w14:val="tx1"/>
            </w14:solidFill>
          </w14:textFill>
        </w:rPr>
      </w:r>
      <w:r/>
    </w:p>
    <w:p>
      <w:pPr>
        <w:pStyle w:val="853"/>
        <w:ind w:left="0"/>
        <w:rPr>
          <w:rFonts w:ascii="黑体" w:eastAsia="黑体" w:cs="黑体"/>
          <w:b/>
          <w:color w:val="000000" w:themeColor="text1"/>
          <w:sz w:val="36"/>
          <w:highlight w:val="none"/>
          <w14:textFill>
            <w14:solidFill>
              <w14:schemeClr w14:val="tx1"/>
            </w14:solidFill>
          </w14:textFill>
        </w:rPr>
      </w:pPr>
      <w:r>
        <w:rPr>
          <w:rFonts w:ascii="黑体" w:eastAsia="黑体" w:cs="黑体"/>
          <w:b/>
          <w:color w:val="000000" w:themeColor="text1"/>
          <w:sz w:val="36"/>
          <w:highlight w:val="none"/>
          <w14:textFill>
            <w14:solidFill>
              <w14:schemeClr w14:val="tx1"/>
            </w14:solidFill>
          </w14:textFill>
        </w:rPr>
      </w:r>
      <w:r/>
    </w:p>
    <w:p>
      <w:pPr>
        <w:rPr>
          <w:rFonts w:ascii="黑体" w:hAnsi="Calibri" w:eastAsia="黑体" w:cs="黑体"/>
          <w:b/>
          <w:color w:val="000000" w:themeColor="text1"/>
          <w:sz w:val="36"/>
          <w:highlight w:val="none"/>
          <w14:textFill>
            <w14:solidFill>
              <w14:schemeClr w14:val="tx1"/>
            </w14:solidFill>
          </w14:textFill>
        </w:rPr>
      </w:pPr>
      <w:r>
        <w:rPr>
          <w:rFonts w:ascii="黑体" w:hAnsi="Calibri" w:eastAsia="黑体" w:cs="黑体"/>
          <w:b/>
          <w:color w:val="000000" w:themeColor="text1"/>
          <w:sz w:val="36"/>
          <w:highlight w:val="none"/>
          <w14:textFill>
            <w14:solidFill>
              <w14:schemeClr w14:val="tx1"/>
            </w14:solidFill>
          </w14:textFill>
        </w:rPr>
      </w:r>
      <w:r/>
    </w:p>
    <w:p>
      <w:pPr>
        <w:ind w:firstLine="1918"/>
        <w:rPr>
          <w:rFonts w:ascii="黑体" w:hAnsi="Calibri" w:eastAsia="黑体" w:cs="黑体"/>
          <w:b/>
          <w:color w:val="000000" w:themeColor="text1"/>
          <w:sz w:val="36"/>
          <w:highlight w:val="non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合同编号 ：</w:t>
      </w:r>
      <w:r>
        <w:rPr>
          <w:rFonts w:hint="eastAsia" w:ascii="黑体" w:hAnsi="Calibri" w:eastAsia="黑体" w:cs="黑体"/>
          <w:b/>
          <w:color w:val="000000" w:themeColor="text1"/>
          <w:sz w:val="36"/>
          <w:highlight w:val="none"/>
          <w:u w:val="single"/>
          <w14:textFill>
            <w14:solidFill>
              <w14:schemeClr w14:val="tx1"/>
            </w14:solidFill>
          </w14:textFill>
        </w:rPr>
        <w:t xml:space="preserve">                    </w:t>
      </w:r>
      <w:r/>
    </w:p>
    <w:p>
      <w:pPr>
        <w:ind w:firstLine="1918"/>
        <w:rPr>
          <w:rFonts w:ascii="黑体" w:hAnsi="Calibri" w:eastAsia="黑体" w:cs="黑体"/>
          <w:b/>
          <w:color w:val="000000" w:themeColor="text1"/>
          <w:sz w:val="36"/>
          <w:highlight w:val="none"/>
          <w:u w:val="singl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项目名称 ：</w:t>
      </w:r>
      <w:r>
        <w:rPr>
          <w:rFonts w:hint="eastAsia" w:ascii="黑体" w:hAnsi="Calibri" w:eastAsia="黑体" w:cs="黑体"/>
          <w:b/>
          <w:color w:val="000000" w:themeColor="text1"/>
          <w:sz w:val="36"/>
          <w:highlight w:val="none"/>
          <w:u w:val="single"/>
          <w14:textFill>
            <w14:solidFill>
              <w14:schemeClr w14:val="tx1"/>
            </w14:solidFill>
          </w14:textFill>
        </w:rPr>
        <w:t xml:space="preserve">                    </w:t>
      </w:r>
      <w:r/>
    </w:p>
    <w:p>
      <w:pPr>
        <w:ind w:firstLine="1918"/>
        <w:rPr>
          <w:rFonts w:ascii="黑体" w:hAnsi="Calibri" w:eastAsia="黑体" w:cs="黑体"/>
          <w:b/>
          <w:color w:val="000000" w:themeColor="text1"/>
          <w:sz w:val="36"/>
          <w:highlight w:val="none"/>
          <w:u w:val="singl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使用单位 ：</w:t>
      </w:r>
      <w:r>
        <w:rPr>
          <w:rFonts w:hint="eastAsia" w:ascii="黑体" w:hAnsi="Calibri" w:eastAsia="黑体" w:cs="黑体"/>
          <w:b/>
          <w:color w:val="000000" w:themeColor="text1"/>
          <w:sz w:val="36"/>
          <w:highlight w:val="none"/>
          <w:u w:val="single"/>
          <w14:textFill>
            <w14:solidFill>
              <w14:schemeClr w14:val="tx1"/>
            </w14:solidFill>
          </w14:textFill>
        </w:rPr>
        <w:t xml:space="preserve">                    </w:t>
      </w:r>
      <w:r/>
    </w:p>
    <w:p>
      <w:pPr>
        <w:ind w:firstLine="1916"/>
        <w:rPr>
          <w:rFonts w:ascii="黑体" w:hAnsi="Calibri" w:eastAsia="黑体" w:cs="黑体"/>
          <w:b/>
          <w:color w:val="000000" w:themeColor="text1"/>
          <w:sz w:val="36"/>
          <w:highlight w:val="non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服务单位 ：</w:t>
      </w:r>
      <w:r>
        <w:rPr>
          <w:rFonts w:hint="eastAsia" w:ascii="黑体" w:hAnsi="Calibri" w:eastAsia="黑体" w:cs="黑体"/>
          <w:b/>
          <w:color w:val="000000" w:themeColor="text1"/>
          <w:sz w:val="36"/>
          <w:highlight w:val="none"/>
          <w:u w:val="single"/>
          <w14:textFill>
            <w14:solidFill>
              <w14:schemeClr w14:val="tx1"/>
            </w14:solidFill>
          </w14:textFill>
        </w:rPr>
        <w:t xml:space="preserve">                    </w:t>
      </w:r>
      <w:r/>
    </w:p>
    <w:p>
      <w:pPr>
        <w:ind w:firstLine="1916"/>
        <w:rPr>
          <w:rFonts w:ascii="黑体" w:hAnsi="Calibri" w:eastAsia="黑体" w:cs="黑体"/>
          <w:b/>
          <w:color w:val="000000" w:themeColor="text1"/>
          <w:sz w:val="36"/>
          <w:highlight w:val="non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签订日期 ：</w:t>
      </w:r>
      <w:r>
        <w:rPr>
          <w:rFonts w:hint="eastAsia" w:ascii="黑体" w:hAnsi="Calibri" w:eastAsia="黑体" w:cs="黑体"/>
          <w:b/>
          <w:color w:val="000000" w:themeColor="text1"/>
          <w:sz w:val="36"/>
          <w:highlight w:val="none"/>
          <w:u w:val="single"/>
          <w14:textFill>
            <w14:solidFill>
              <w14:schemeClr w14:val="tx1"/>
            </w14:solidFill>
          </w14:textFill>
        </w:rPr>
        <w:t xml:space="preserve">                    </w:t>
      </w:r>
      <w:r/>
    </w:p>
    <w:p>
      <w:pPr>
        <w:rPr>
          <w:rFonts w:ascii="黑体" w:hAnsi="Calibri" w:eastAsia="黑体" w:cs="黑体"/>
          <w:color w:val="000000" w:themeColor="text1"/>
          <w:sz w:val="36"/>
          <w:highlight w:val="none"/>
          <w14:textFill>
            <w14:solidFill>
              <w14:schemeClr w14:val="tx1"/>
            </w14:solidFill>
          </w14:textFill>
        </w:rPr>
      </w:pPr>
      <w:r>
        <w:rPr>
          <w:rFonts w:ascii="黑体" w:hAnsi="Calibri" w:eastAsia="黑体" w:cs="黑体"/>
          <w:color w:val="000000" w:themeColor="text1"/>
          <w:sz w:val="36"/>
          <w:highlight w:val="none"/>
          <w14:textFill>
            <w14:solidFill>
              <w14:schemeClr w14:val="tx1"/>
            </w14:solidFill>
          </w14:textFill>
        </w:rPr>
      </w:r>
      <w:r/>
    </w:p>
    <w:p>
      <w:pPr>
        <w:rPr>
          <w:rFonts w:ascii="黑体" w:hAnsi="Calibri" w:eastAsia="黑体" w:cs="黑体"/>
          <w:color w:val="000000" w:themeColor="text1"/>
          <w:sz w:val="36"/>
          <w:highlight w:val="none"/>
          <w14:textFill>
            <w14:solidFill>
              <w14:schemeClr w14:val="tx1"/>
            </w14:solidFill>
          </w14:textFill>
        </w:rPr>
      </w:pPr>
      <w:r>
        <w:rPr>
          <w:rFonts w:ascii="黑体" w:hAnsi="Calibri" w:eastAsia="黑体" w:cs="黑体"/>
          <w:color w:val="000000" w:themeColor="text1"/>
          <w:sz w:val="36"/>
          <w:highlight w:val="none"/>
          <w14:textFill>
            <w14:solidFill>
              <w14:schemeClr w14:val="tx1"/>
            </w14:solidFill>
          </w14:textFill>
        </w:rPr>
      </w:r>
      <w:r/>
    </w:p>
    <w:p>
      <w:pPr>
        <w:rPr>
          <w:rFonts w:ascii="黑体" w:hAnsi="Calibri" w:eastAsia="黑体" w:cs="黑体"/>
          <w:color w:val="000000" w:themeColor="text1"/>
          <w:sz w:val="36"/>
          <w:highlight w:val="none"/>
          <w14:textFill>
            <w14:solidFill>
              <w14:schemeClr w14:val="tx1"/>
            </w14:solidFill>
          </w14:textFill>
        </w:rPr>
      </w:pPr>
      <w:r>
        <w:rPr>
          <w:rFonts w:ascii="黑体" w:hAnsi="Calibri" w:eastAsia="黑体" w:cs="黑体"/>
          <w:color w:val="000000" w:themeColor="text1"/>
          <w:sz w:val="36"/>
          <w:highlight w:val="none"/>
          <w14:textFill>
            <w14:solidFill>
              <w14:schemeClr w14:val="tx1"/>
            </w14:solidFill>
          </w14:textFill>
        </w:rPr>
      </w:r>
      <w:r/>
    </w:p>
    <w:p>
      <w:pPr>
        <w:rPr>
          <w:rFonts w:ascii="黑体" w:hAnsi="Calibri" w:eastAsia="黑体" w:cs="黑体"/>
          <w:color w:val="000000" w:themeColor="text1"/>
          <w:sz w:val="36"/>
          <w:highlight w:val="none"/>
          <w14:textFill>
            <w14:solidFill>
              <w14:schemeClr w14:val="tx1"/>
            </w14:solidFill>
          </w14:textFill>
        </w:rPr>
      </w:pPr>
      <w:r>
        <w:rPr>
          <w:rFonts w:ascii="黑体" w:hAnsi="Calibri" w:eastAsia="黑体" w:cs="黑体"/>
          <w:color w:val="000000" w:themeColor="text1"/>
          <w:sz w:val="36"/>
          <w:highlight w:val="none"/>
          <w14:textFill>
            <w14:solidFill>
              <w14:schemeClr w14:val="tx1"/>
            </w14:solidFill>
          </w14:textFill>
        </w:rPr>
      </w:r>
      <w:r/>
    </w:p>
    <w:p>
      <w:pPr>
        <w:rPr>
          <w:rFonts w:ascii="黑体" w:hAnsi="Calibri" w:eastAsia="黑体" w:cs="黑体"/>
          <w:color w:val="000000" w:themeColor="text1"/>
          <w:sz w:val="36"/>
          <w:highlight w:val="none"/>
          <w14:textFill>
            <w14:solidFill>
              <w14:schemeClr w14:val="tx1"/>
            </w14:solidFill>
          </w14:textFill>
        </w:rPr>
      </w:pPr>
      <w:r>
        <w:rPr>
          <w:rFonts w:ascii="黑体" w:hAnsi="Calibri" w:eastAsia="黑体" w:cs="黑体"/>
          <w:color w:val="000000" w:themeColor="text1"/>
          <w:sz w:val="36"/>
          <w:highlight w:val="none"/>
          <w14:textFill>
            <w14:solidFill>
              <w14:schemeClr w14:val="tx1"/>
            </w14:solidFill>
          </w14:textFill>
        </w:rPr>
      </w:r>
      <w:r/>
    </w:p>
    <w:p>
      <w:pPr>
        <w:jc w:val="center"/>
        <w:rPr>
          <w:rFonts w:ascii="黑体" w:hAnsi="Calibri" w:eastAsia="黑体" w:cs="黑体"/>
          <w:b/>
          <w:color w:val="000000" w:themeColor="text1"/>
          <w:sz w:val="36"/>
          <w:highlight w:val="non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南京市工商行政管理局</w:t>
      </w:r>
      <w:r/>
    </w:p>
    <w:p>
      <w:pPr>
        <w:jc w:val="center"/>
        <w:rPr>
          <w:rFonts w:ascii="黑体" w:hAnsi="Calibri" w:eastAsia="黑体" w:cs="黑体"/>
          <w:b/>
          <w:color w:val="000000" w:themeColor="text1"/>
          <w:sz w:val="36"/>
          <w:highlight w:val="none"/>
          <w14:textFill>
            <w14:solidFill>
              <w14:schemeClr w14:val="tx1"/>
            </w14:solidFill>
          </w14:textFill>
        </w:rPr>
      </w:pPr>
      <w:r>
        <w:rPr>
          <w:rFonts w:ascii="黑体" w:hAnsi="Calibri" w:eastAsia="黑体" w:cs="黑体"/>
          <w:b/>
          <w:color w:val="000000" w:themeColor="text1"/>
          <w:sz w:val="36"/>
          <w:highlight w:val="none"/>
          <w14:textFill>
            <w14:solidFill>
              <w14:schemeClr w14:val="tx1"/>
            </w14:solidFill>
          </w14:textFill>
        </w:rPr>
      </w:r>
      <w:r/>
    </w:p>
    <w:p>
      <w:pPr>
        <w:jc w:val="center"/>
        <w:rPr>
          <w:rFonts w:ascii="黑体" w:hAnsi="Calibri" w:eastAsia="黑体" w:cs="黑体"/>
          <w:b/>
          <w:color w:val="000000" w:themeColor="text1"/>
          <w:sz w:val="36"/>
          <w:highlight w:val="none"/>
          <w14:textFill>
            <w14:solidFill>
              <w14:schemeClr w14:val="tx1"/>
            </w14:solidFill>
          </w14:textFill>
        </w:rPr>
      </w:pPr>
      <w:r>
        <w:rPr>
          <w:rFonts w:hint="eastAsia" w:ascii="黑体" w:hAnsi="Calibri" w:eastAsia="黑体" w:cs="黑体"/>
          <w:b/>
          <w:color w:val="000000" w:themeColor="text1"/>
          <w:sz w:val="36"/>
          <w:highlight w:val="none"/>
          <w14:textFill>
            <w14:solidFill>
              <w14:schemeClr w14:val="tx1"/>
            </w14:solidFill>
          </w14:textFill>
        </w:rPr>
        <w:t xml:space="preserve">南 京 市 财 政 局  监制</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br w:type="page" w:clear="all"/>
      </w:r>
      <w:r>
        <w:rPr>
          <w:rFonts w:ascii="Times New Roman" w:hAnsi="Times New Roman" w:eastAsia="宋体" w:cs="Times New Roman"/>
          <w:color w:val="000000" w:themeColor="text1"/>
          <w:sz w:val="24"/>
          <w:szCs w:val="24"/>
          <w:highlight w:val="none"/>
          <w14:textFill>
            <w14:solidFill>
              <w14:schemeClr w14:val="tx1"/>
            </w14:solidFill>
          </w14:textFill>
        </w:rPr>
        <w:t xml:space="preserve">合同编号：</w:t>
      </w:r>
      <w:r/>
    </w:p>
    <w:tbl>
      <w:tblPr>
        <w:tblStyle w:val="848"/>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4873"/>
        <w:gridCol w:w="4871"/>
      </w:tblGrid>
      <w:tr>
        <w:trPr/>
        <w:tc>
          <w:tcPr>
            <w:tcW w:w="2500" w:type="pct"/>
            <w:textDirection w:val="lrTb"/>
            <w:noWrap w:val="false"/>
          </w:tcPr>
          <w:p>
            <w:pPr>
              <w:ind w:firstLine="120"/>
              <w:spacing w:line="276" w:lineRule="auto"/>
              <w:rPr>
                <w:rFonts w:ascii="宋体" w:cs="宋体"/>
                <w:color w:val="000000" w:themeColor="text1"/>
                <w:sz w:val="24"/>
                <w:highlight w:val="none"/>
                <w:lang w:val="zh-CN"/>
                <w14:textFill>
                  <w14:solidFill>
                    <w14:schemeClr w14:val="tx1"/>
                  </w14:solidFill>
                </w14:textFill>
              </w:rPr>
            </w:pPr>
            <w:r>
              <w:rPr>
                <w:rFonts w:hint="eastAsia" w:ascii="宋体" w:cs="宋体"/>
                <w:color w:val="000000" w:themeColor="text1"/>
                <w:sz w:val="24"/>
                <w:highlight w:val="none"/>
                <w:lang w:val="zh-CN"/>
                <w14:textFill>
                  <w14:solidFill>
                    <w14:schemeClr w14:val="tx1"/>
                  </w14:solidFill>
                </w14:textFill>
              </w:rPr>
              <w:t xml:space="preserve">采购人（以下称甲方）</w:t>
            </w:r>
            <w:r/>
          </w:p>
        </w:tc>
        <w:tc>
          <w:tcPr>
            <w:tcW w:w="2499" w:type="pct"/>
            <w:textDirection w:val="lrTb"/>
            <w:noWrap w:val="false"/>
          </w:tcPr>
          <w:p>
            <w:pPr>
              <w:spacing w:line="276" w:lineRule="auto"/>
              <w:rPr>
                <w:rFonts w:ascii="宋体" w:cs="宋体"/>
                <w:color w:val="000000" w:themeColor="text1"/>
                <w:sz w:val="24"/>
                <w:highlight w:val="none"/>
                <w:lang w:val="zh-CN"/>
                <w14:textFill>
                  <w14:solidFill>
                    <w14:schemeClr w14:val="tx1"/>
                  </w14:solidFill>
                </w14:textFill>
              </w:rPr>
            </w:pPr>
            <w:r>
              <w:rPr>
                <w:rFonts w:hint="eastAsia" w:ascii="宋体" w:cs="宋体"/>
                <w:color w:val="000000" w:themeColor="text1"/>
                <w:sz w:val="24"/>
                <w:highlight w:val="none"/>
                <w:lang w:val="zh-CN"/>
                <w14:textFill>
                  <w14:solidFill>
                    <w14:schemeClr w14:val="tx1"/>
                  </w14:solidFill>
                </w14:textFill>
              </w:rPr>
              <w:t xml:space="preserve">供应商：（以下称乙方）</w:t>
            </w:r>
            <w:r/>
          </w:p>
        </w:tc>
      </w:tr>
    </w:tbl>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根据《中华人民共和国民法典》等法律法规的规定，甲乙双方按照代理机构的公开招标结果签订本合同。</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合同标的</w:t>
      </w:r>
      <w:r>
        <w:rPr>
          <w:rFonts w:ascii="Times New Roman" w:hAnsi="Times New Roman" w:eastAsia="宋体" w:cs="Times New Roman"/>
          <w:color w:val="000000" w:themeColor="text1"/>
          <w:sz w:val="24"/>
          <w:szCs w:val="24"/>
          <w:highlight w:val="none"/>
          <w14:textFill>
            <w14:solidFill>
              <w14:schemeClr w14:val="tx1"/>
            </w14:solidFill>
          </w14:textFill>
        </w:rPr>
        <w:t xml:space="preserve">乙方根据甲方需求提供下列服务：招标文件列明的</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马群街道20个自管小区及列明的8个公共点位的其他垃圾清运、厨余垃圾清运、有害垃圾巡查清运服务，具体要求符合招标文件及乙方响应文件承诺</w:t>
      </w:r>
      <w:r>
        <w:rPr>
          <w:rFonts w:ascii="Times New Roman" w:hAnsi="Times New Roman" w:eastAsia="宋体" w:cs="Times New Roman"/>
          <w:color w:val="000000" w:themeColor="text1"/>
          <w:sz w:val="24"/>
          <w:szCs w:val="24"/>
          <w:highlight w:val="none"/>
          <w14:textFill>
            <w14:solidFill>
              <w14:schemeClr w14:val="tx1"/>
            </w14:solidFill>
          </w14:textFill>
        </w:rPr>
        <w:t xml:space="preserve">，具体要求详见招标文件及乙方响应文件承诺”。。</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合同总价款</w:t>
      </w: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本合同项下服务总价款为___________（大写）元人民币，分项价款在“报价表”中有明确规定。</w:t>
      </w:r>
      <w:r/>
    </w:p>
    <w:p>
      <w:pPr>
        <w:pStyle w:val="852"/>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本合同总价款是完成本项目所发生的所有含税费用、支付给员工的工资和国家强制缴纳的各种社会保障资金，以及供应商认为需要的其他费用等。</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本合同执行期间合同总价款不变。</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组成本合同的有关文件</w:t>
      </w:r>
      <w:r>
        <w:rPr>
          <w:rFonts w:ascii="Times New Roman" w:hAnsi="Times New Roman" w:eastAsia="宋体" w:cs="Times New Roman"/>
          <w:color w:val="000000" w:themeColor="text1"/>
          <w:sz w:val="24"/>
          <w:szCs w:val="24"/>
          <w:highlight w:val="none"/>
          <w14:textFill>
            <w14:solidFill>
              <w14:schemeClr w14:val="tx1"/>
            </w14:solidFill>
          </w14:textFill>
        </w:rPr>
        <w:t xml:space="preserve">下列关于</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号的招标文件、供应商响应文件，或与本次采购活动方式相适应的文件，以及有关附件是本合同不可分割的组成部分，与本合同具有同等法律效力，这些文件包括但不限于：</w:t>
      </w:r>
      <w:r/>
    </w:p>
    <w:p>
      <w:pPr>
        <w:pStyle w:val="852"/>
        <w:numPr>
          <w:ilvl w:val="0"/>
          <w:numId w:val="5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乙方提供的响应文件和报价表；</w:t>
      </w:r>
      <w:r/>
    </w:p>
    <w:p>
      <w:pPr>
        <w:pStyle w:val="852"/>
        <w:numPr>
          <w:ilvl w:val="0"/>
          <w:numId w:val="5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技术规格响应表；</w:t>
      </w:r>
      <w:r/>
    </w:p>
    <w:p>
      <w:pPr>
        <w:pStyle w:val="852"/>
        <w:numPr>
          <w:ilvl w:val="0"/>
          <w:numId w:val="5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投标承诺/服务承诺；</w:t>
      </w:r>
      <w:r/>
    </w:p>
    <w:p>
      <w:pPr>
        <w:pStyle w:val="852"/>
        <w:numPr>
          <w:ilvl w:val="0"/>
          <w:numId w:val="5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中标通知书；</w:t>
      </w:r>
      <w:r/>
    </w:p>
    <w:p>
      <w:pPr>
        <w:pStyle w:val="852"/>
        <w:numPr>
          <w:ilvl w:val="0"/>
          <w:numId w:val="59"/>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甲乙双方商定的其他文件等。</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权利保证</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包括但不限于诉讼费用、保全费用、律师费用、交通费、住宿费等)。</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质量保证</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乙方所提供的服务的技术规格应与采购文件规定的技术规格及所附的“技术条款偏离表”相一致；若技术性能无特殊说明，则按国家有关部门最新颁布的标准及规范为准。</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交付和验收</w:t>
      </w:r>
      <w:r/>
    </w:p>
    <w:p>
      <w:pPr>
        <w:pStyle w:val="852"/>
        <w:numPr>
          <w:ilvl w:val="0"/>
          <w:numId w:val="6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服务期限：一年；</w:t>
      </w:r>
      <w:r/>
    </w:p>
    <w:p>
      <w:pPr>
        <w:pStyle w:val="852"/>
        <w:numPr>
          <w:ilvl w:val="0"/>
          <w:numId w:val="6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验收标准：按行业通行标准和乙方响应文件的承诺（详见合同附件载明的标准，并不低于国家相关标准）。</w:t>
      </w:r>
      <w:r/>
    </w:p>
    <w:p>
      <w:pPr>
        <w:pStyle w:val="852"/>
        <w:numPr>
          <w:ilvl w:val="0"/>
          <w:numId w:val="60"/>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每月由甲方联合城管部门开展月度考核，考核制度见本合同附件。每季度月平均考核得分≥90分的全额支付当季度服务费；80≤得分&lt;90分的扣减当季度服务费的5%；70≤得分&lt;80分的扣减当季度服务费的10%；得分&lt;70分的扣减当季度服务费的20%，连续两个月或累计三个月考核得分&lt;70分的，甲方有权解除合同”。</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履约保证金：无</w:t>
      </w:r>
      <w:r/>
    </w:p>
    <w:p>
      <w:pPr>
        <w:pStyle w:val="852"/>
        <w:numPr>
          <w:ilvl w:val="0"/>
          <w:numId w:val="58"/>
        </w:numPr>
        <w:ind w:left="0" w:firstLine="482"/>
        <w:rPr>
          <w:rFonts w:hint="eastAsia" w:ascii="宋体" w:hAnsi="宋体" w:eastAsia="宋体" w:cs="宋体"/>
          <w:b/>
          <w:i/>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合同款支付</w:t>
      </w:r>
      <w:r/>
    </w:p>
    <w:p>
      <w:pPr>
        <w:pStyle w:val="852"/>
        <w:numPr>
          <w:ilvl w:val="0"/>
          <w:numId w:val="6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本合同项下所有款项均以人民币支付。</w:t>
      </w:r>
      <w:r/>
    </w:p>
    <w:p>
      <w:pPr>
        <w:pStyle w:val="852"/>
        <w:numPr>
          <w:ilvl w:val="0"/>
          <w:numId w:val="6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项下的采购资金由财政支付，乙方应在每次付款节点前先向甲方开具发票，甲方收到乙方发票后15个工作日内支付对应季度服务费。若因乙方未提供发票或迟延提供发票，甲方有权拒绝付款且不承担违约责任。</w:t>
      </w:r>
      <w:r/>
    </w:p>
    <w:p>
      <w:pPr>
        <w:pStyle w:val="852"/>
        <w:numPr>
          <w:ilvl w:val="0"/>
          <w:numId w:val="61"/>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结算方式：每季度结算一次，于每个季度的下一季度支付上一季度费用。</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违约责任</w:t>
      </w:r>
      <w:r/>
    </w:p>
    <w:p>
      <w:pPr>
        <w:pStyle w:val="852"/>
        <w:numPr>
          <w:ilvl w:val="0"/>
          <w:numId w:val="62"/>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甲方违约责任：</w:t>
      </w:r>
      <w:r/>
    </w:p>
    <w:p>
      <w:pPr>
        <w:pStyle w:val="852"/>
        <w:numPr>
          <w:ilvl w:val="0"/>
          <w:numId w:val="63"/>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甲方无正当理由拒收服务的，视为甲方单方擅自解除合同，甲方向乙方偿付合同总价的5%违约金。</w:t>
      </w:r>
      <w:r/>
    </w:p>
    <w:p>
      <w:pPr>
        <w:pStyle w:val="852"/>
        <w:numPr>
          <w:ilvl w:val="0"/>
          <w:numId w:val="63"/>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甲方未按合同规定的期限向乙方支付服务费的，每逾期1天甲方向乙方偿付欠款总额的0.1‰滞纳金，但累计滞纳金总额不超过欠款总额的5% 。</w:t>
      </w:r>
      <w:r/>
    </w:p>
    <w:p>
      <w:pPr>
        <w:pStyle w:val="852"/>
        <w:numPr>
          <w:ilvl w:val="0"/>
          <w:numId w:val="62"/>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乙方违约责任：</w:t>
      </w:r>
      <w:r/>
    </w:p>
    <w:p>
      <w:pPr>
        <w:pStyle w:val="852"/>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1）通用违约条款</w:t>
      </w:r>
      <w:r/>
    </w:p>
    <w:tbl>
      <w:tblPr>
        <w:tblStyle w:val="848"/>
        <w:tblW w:w="9962" w:type="dxa"/>
        <w:tblInd w:w="0" w:type="dxa"/>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18"/>
        <w:gridCol w:w="5344"/>
      </w:tblGrid>
      <w:tr>
        <w:trPr/>
        <w:tc>
          <w:tcPr>
            <w:tcMar>
              <w:left w:w="120" w:type="dxa"/>
              <w:top w:w="120" w:type="dxa"/>
              <w:right w:w="120" w:type="dxa"/>
              <w:bottom w:w="120" w:type="dxa"/>
            </w:tcMar>
            <w:tcW w:w="4618" w:type="dxa"/>
            <w:vAlign w:val="center"/>
            <w:textDirection w:val="lrTb"/>
            <w:noWrap w:val="false"/>
          </w:tcPr>
          <w:p>
            <w:pPr>
              <w:pStyle w:val="852"/>
              <w:ind w:left="0" w:right="0" w:firstLine="0"/>
              <w:jc w:val="center"/>
              <w:spacing w:line="24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违约情形</w:t>
            </w:r>
            <w:r/>
          </w:p>
        </w:tc>
        <w:tc>
          <w:tcPr>
            <w:tcMar>
              <w:left w:w="120" w:type="dxa"/>
              <w:top w:w="120" w:type="dxa"/>
              <w:right w:w="120" w:type="dxa"/>
              <w:bottom w:w="120" w:type="dxa"/>
            </w:tcMar>
            <w:tcW w:w="5344" w:type="dxa"/>
            <w:vAlign w:val="center"/>
            <w:textDirection w:val="lrTb"/>
            <w:noWrap w:val="false"/>
          </w:tcPr>
          <w:p>
            <w:pPr>
              <w:pStyle w:val="852"/>
              <w:ind w:left="0" w:right="0" w:firstLine="0"/>
              <w:jc w:val="center"/>
              <w:spacing w:line="24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违约责任</w:t>
            </w:r>
            <w:r/>
          </w:p>
        </w:tc>
      </w:tr>
      <w:tr>
        <w:trPr/>
        <w:tc>
          <w:tcPr>
            <w:tcMar>
              <w:left w:w="120" w:type="dxa"/>
              <w:top w:w="120" w:type="dxa"/>
              <w:right w:w="120" w:type="dxa"/>
              <w:bottom w:w="120" w:type="dxa"/>
            </w:tcMar>
            <w:tcW w:w="4618"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乙方擅自转包、分包本项目服务，或转让合同义务</w:t>
            </w:r>
            <w:r/>
          </w:p>
        </w:tc>
        <w:tc>
          <w:tcPr>
            <w:tcMar>
              <w:left w:w="120" w:type="dxa"/>
              <w:top w:w="120" w:type="dxa"/>
              <w:right w:w="120" w:type="dxa"/>
              <w:bottom w:w="120" w:type="dxa"/>
            </w:tcMar>
            <w:tcW w:w="5344"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甲方有权直接解除合同，乙方支付合同总金额10%的违约金，且履约保证金不予退还</w:t>
            </w:r>
            <w:r/>
          </w:p>
        </w:tc>
      </w:tr>
      <w:tr>
        <w:trPr/>
        <w:tc>
          <w:tcPr>
            <w:tcMar>
              <w:left w:w="120" w:type="dxa"/>
              <w:top w:w="120" w:type="dxa"/>
              <w:right w:w="120" w:type="dxa"/>
              <w:bottom w:w="120" w:type="dxa"/>
            </w:tcMar>
            <w:tcW w:w="4618"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乙方提供虚假资质、虚假承诺谋取中标，或履约过程中提交虚假清运台账、考核资料</w:t>
            </w:r>
            <w:r/>
          </w:p>
        </w:tc>
        <w:tc>
          <w:tcPr>
            <w:tcMar>
              <w:left w:w="120" w:type="dxa"/>
              <w:top w:w="120" w:type="dxa"/>
              <w:right w:w="120" w:type="dxa"/>
              <w:bottom w:w="120" w:type="dxa"/>
            </w:tcMar>
            <w:tcW w:w="5344"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甲方有权直接解除合同，乙方支付合同总金额20%的违约金，列入甲方供应商失信名单，3年内不得参与甲方所有采购项目</w:t>
            </w:r>
            <w:r/>
          </w:p>
        </w:tc>
      </w:tr>
      <w:tr>
        <w:trPr/>
        <w:tc>
          <w:tcPr>
            <w:tcMar>
              <w:left w:w="120" w:type="dxa"/>
              <w:top w:w="120" w:type="dxa"/>
              <w:right w:w="120" w:type="dxa"/>
              <w:bottom w:w="120" w:type="dxa"/>
            </w:tcMar>
            <w:tcW w:w="4618"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乙方逾期完成清运服务（单次超出招</w:t>
            </w:r>
            <w:r>
              <w:rPr>
                <w:rFonts w:hint="eastAsia" w:ascii="宋体" w:hAnsi="宋体" w:cs="宋体"/>
                <w:color w:val="000000" w:themeColor="text1"/>
                <w:highlight w:val="none"/>
                <w14:textFill>
                  <w14:solidFill>
                    <w14:schemeClr w14:val="tx1"/>
                  </w14:solidFill>
                </w14:textFill>
              </w:rPr>
              <w:t xml:space="preserve">投</w:t>
            </w:r>
            <w:r>
              <w:rPr>
                <w:rFonts w:ascii="宋体" w:hAnsi="宋体" w:cs="宋体"/>
                <w:color w:val="000000" w:themeColor="text1"/>
                <w:highlight w:val="none"/>
                <w14:textFill>
                  <w14:solidFill>
                    <w14:schemeClr w14:val="tx1"/>
                  </w14:solidFill>
                </w14:textFill>
              </w:rPr>
              <w:t xml:space="preserve">标文件规定的时间节点）</w:t>
            </w:r>
            <w:r/>
          </w:p>
        </w:tc>
        <w:tc>
          <w:tcPr>
            <w:tcMar>
              <w:left w:w="120" w:type="dxa"/>
              <w:top w:w="120" w:type="dxa"/>
              <w:right w:w="120" w:type="dxa"/>
              <w:bottom w:w="120" w:type="dxa"/>
            </w:tcMar>
            <w:tcW w:w="5344"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每逾期1小时支付违约金500元；单日逾期超过4小时的，按日支付合同总金额1‰的违约金；逾期超过3天的，甲方有权解除合同</w:t>
            </w:r>
            <w:r/>
          </w:p>
        </w:tc>
      </w:tr>
      <w:tr>
        <w:trPr/>
        <w:tc>
          <w:tcPr>
            <w:tcMar>
              <w:left w:w="120" w:type="dxa"/>
              <w:top w:w="120" w:type="dxa"/>
              <w:right w:w="120" w:type="dxa"/>
              <w:bottom w:w="120" w:type="dxa"/>
            </w:tcMar>
            <w:tcW w:w="4618"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乙方服务导致第三方人身损害、财产损失（如清运作业损坏公共设施、运输滴漏致路人滑倒、车辆交通事故等）</w:t>
            </w:r>
            <w:r/>
          </w:p>
        </w:tc>
        <w:tc>
          <w:tcPr>
            <w:tcMar>
              <w:left w:w="120" w:type="dxa"/>
              <w:top w:w="120" w:type="dxa"/>
              <w:right w:w="120" w:type="dxa"/>
              <w:bottom w:w="120" w:type="dxa"/>
            </w:tcMar>
            <w:tcW w:w="5344" w:type="dxa"/>
            <w:vAlign w:val="center"/>
            <w:textDirection w:val="lrTb"/>
            <w:noWrap w:val="false"/>
          </w:tcPr>
          <w:p>
            <w:pPr>
              <w:pStyle w:val="852"/>
              <w:ind w:left="0" w:right="0" w:firstLine="0"/>
              <w:spacing w:line="240"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由乙方承担全部赔偿责任；若甲方因此被追索的，有权向乙方全额追偿，相关费用从履约保证金或待付服务费中直接扣除</w:t>
            </w:r>
            <w:r/>
          </w:p>
        </w:tc>
      </w:tr>
    </w:tbl>
    <w:p>
      <w:pPr>
        <w:pStyle w:val="852"/>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2） 服务质量违约条款（与考核标准联动）</w:t>
      </w:r>
      <w:r/>
    </w:p>
    <w:tbl>
      <w:tblPr>
        <w:tblStyle w:val="848"/>
        <w:tblW w:w="4999" w:type="pct"/>
        <w:tblInd w:w="0" w:type="dxa"/>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23"/>
        <w:gridCol w:w="5261"/>
      </w:tblGrid>
      <w:tr>
        <w:trPr>
          <w:tblHeader/>
        </w:trPr>
        <w:tc>
          <w:tcPr>
            <w:tcMar>
              <w:left w:w="120" w:type="dxa"/>
              <w:top w:w="120" w:type="dxa"/>
              <w:right w:w="120" w:type="dxa"/>
              <w:bottom w:w="120" w:type="dxa"/>
            </w:tcMar>
            <w:tcW w:w="2365" w:type="pct"/>
            <w:vAlign w:val="center"/>
            <w:textDirection w:val="lrTb"/>
            <w:noWrap w:val="false"/>
          </w:tcPr>
          <w:p>
            <w:pPr>
              <w:pStyle w:val="852"/>
              <w:ind w:firstLine="0"/>
              <w:jc w:val="center"/>
              <w:keepLines w:val="0"/>
              <w:keepNext w:val="0"/>
              <w:pageBreakBefore w:val="0"/>
              <w:widowControl w:val="off"/>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违约情形</w:t>
            </w:r>
            <w:r/>
          </w:p>
        </w:tc>
        <w:tc>
          <w:tcPr>
            <w:tcMar>
              <w:left w:w="120" w:type="dxa"/>
              <w:top w:w="120" w:type="dxa"/>
              <w:right w:w="120" w:type="dxa"/>
              <w:bottom w:w="120" w:type="dxa"/>
            </w:tcMar>
            <w:tcW w:w="2634" w:type="pct"/>
            <w:vAlign w:val="center"/>
            <w:textDirection w:val="lrTb"/>
            <w:noWrap w:val="false"/>
          </w:tcPr>
          <w:p>
            <w:pPr>
              <w:pStyle w:val="852"/>
              <w:ind w:firstLine="0"/>
              <w:jc w:val="center"/>
              <w:keepLines w:val="0"/>
              <w:keepNext w:val="0"/>
              <w:pageBreakBefore w:val="0"/>
              <w:widowControl w:val="off"/>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违约责任</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未按要求配备清运车辆（数量不足、未装北斗定位、非合规新能源车辆、车辆故障未在1小时内增派备用车辆）</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每次扣减违约金2000元；累计出现3次的，甲方有权解除合同</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未做到日产日清，存在垃圾堆积、满溢情况</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每发现1个点位扣减违约金1000元；同一点位当月累计出现3次的，额外扣减当季度服务费的3%</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运输过程中出现垃圾滴漏、撒落，或车容车貌不整洁、标识不规范</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每次扣减违约金500元；造成路面污染的，乙方需在2小时内清理完毕，逾期未清理的额外承担甲方委托第三方清理的全部费用</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未将垃圾转运至合法中转站，或擅自变更清运路线</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每次扣减违约金5000元；累计出现2次的，甲方有权解除合同，由此产生的环保处罚由乙方全部承担</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被市民投诉、媒体曝光、城管部门通报批评且属实</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每起投诉/曝光/通报扣减违约金2000元；造成恶劣社会影响的，额外扣减当季度服务费的10%</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不服从甲方、城管部门、垃圾中转站的调度安排，或拒不配合应急保障任务</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每次扣减违约金3000元；累计出现2次的，甲方有权解除合同</w:t>
            </w:r>
            <w:r/>
          </w:p>
        </w:tc>
      </w:tr>
      <w:tr>
        <w:trPr/>
        <w:tc>
          <w:tcPr>
            <w:tcMar>
              <w:left w:w="120" w:type="dxa"/>
              <w:top w:w="120" w:type="dxa"/>
              <w:right w:w="120" w:type="dxa"/>
              <w:bottom w:w="120" w:type="dxa"/>
            </w:tcMar>
            <w:tcW w:w="2365"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考核发现问题后，乙方未在要求时限内整改到位</w:t>
            </w:r>
            <w:r/>
          </w:p>
        </w:tc>
        <w:tc>
          <w:tcPr>
            <w:tcMar>
              <w:left w:w="120" w:type="dxa"/>
              <w:top w:w="120" w:type="dxa"/>
              <w:right w:w="120" w:type="dxa"/>
              <w:bottom w:w="120" w:type="dxa"/>
            </w:tcMar>
            <w:tcW w:w="2634" w:type="pct"/>
            <w:vAlign w:val="center"/>
            <w:textDirection w:val="lrTb"/>
            <w:noWrap w:val="false"/>
          </w:tcPr>
          <w:p>
            <w:pPr>
              <w:pStyle w:val="852"/>
              <w:ind w:firstLine="480"/>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每逾期1天按该问题对应违约金的2倍累加处罚；逾期超过3天未整改的，甲方有权委托第三方整改，费用由乙方承担</w:t>
            </w:r>
            <w:r/>
          </w:p>
        </w:tc>
      </w:tr>
    </w:tbl>
    <w:p>
      <w:pPr>
        <w:pStyle w:val="852"/>
        <w:numPr>
          <w:ilvl w:val="0"/>
          <w:numId w:val="62"/>
        </w:numPr>
        <w:ind w:left="0" w:firstLine="480"/>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严重违约条款</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出现以下情形之一的，甲方有权单方解除合同，乙方支付合同总金额30%的违约金，履约保证金不予退还，且需承担甲方因此产生的全部损失（包括临时委托第三方清运的溢价成本、行政部门处罚等）：</w:t>
      </w:r>
      <w:r/>
    </w:p>
    <w:p>
      <w:pPr>
        <w:pStyle w:val="852"/>
        <w:numPr>
          <w:ilvl w:val="0"/>
          <w:numId w:val="64"/>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连续2个月或累计3个月考核得分低于70分；</w:t>
      </w:r>
      <w:r/>
    </w:p>
    <w:p>
      <w:pPr>
        <w:pStyle w:val="852"/>
        <w:numPr>
          <w:ilvl w:val="0"/>
          <w:numId w:val="64"/>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发生重大安全生产责任事故，造成人员死亡或3人以上重伤；</w:t>
      </w:r>
      <w:r/>
    </w:p>
    <w:p>
      <w:pPr>
        <w:pStyle w:val="852"/>
        <w:numPr>
          <w:ilvl w:val="0"/>
          <w:numId w:val="64"/>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因乙方违规清运被环保、城管部门处以2次以上（含2次）行政处罚；</w:t>
      </w:r>
      <w:r/>
    </w:p>
    <w:p>
      <w:pPr>
        <w:pStyle w:val="852"/>
        <w:numPr>
          <w:ilvl w:val="0"/>
          <w:numId w:val="64"/>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乙方工作人员出现行贿、寻衅滋事等违法违规行为，影响甲方正常工作秩序；</w:t>
      </w:r>
      <w:r/>
    </w:p>
    <w:p>
      <w:pPr>
        <w:pStyle w:val="852"/>
        <w:numPr>
          <w:ilvl w:val="0"/>
          <w:numId w:val="64"/>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乙方擅自停止服务超过24小时，导致辖区垃圾大面积堆积。</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合同的变更和终止</w:t>
      </w:r>
      <w:r/>
    </w:p>
    <w:p>
      <w:pPr>
        <w:pStyle w:val="852"/>
        <w:numPr>
          <w:ilvl w:val="0"/>
          <w:numId w:val="65"/>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本合同一经签订，甲乙双方不得擅自变更、中止或终止合同。</w:t>
      </w:r>
      <w:r/>
    </w:p>
    <w:p>
      <w:pPr>
        <w:pStyle w:val="852"/>
        <w:numPr>
          <w:ilvl w:val="0"/>
          <w:numId w:val="6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除发生法律规定的不能预见、不能避免并不能克服的客观情况外，甲乙双方不得放弃或拒绝履行合同。</w:t>
      </w:r>
      <w:r/>
    </w:p>
    <w:p>
      <w:pPr>
        <w:pStyle w:val="852"/>
        <w:numPr>
          <w:ilvl w:val="0"/>
          <w:numId w:val="58"/>
        </w:numPr>
        <w:ind w:left="0" w:firstLine="482"/>
        <w:widowControl/>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合同的转让</w:t>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乙方不得擅自部分或全部转让其应履行的合同义务。否则，甲方有权解除合同，并要求乙方支付合同总金额30%的违约金。</w:t>
      </w:r>
      <w:r/>
    </w:p>
    <w:p>
      <w:pPr>
        <w:pStyle w:val="852"/>
        <w:numPr>
          <w:ilvl w:val="0"/>
          <w:numId w:val="58"/>
        </w:numPr>
        <w:ind w:left="0" w:firstLine="482"/>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争议的解决</w:t>
      </w:r>
      <w:r/>
    </w:p>
    <w:p>
      <w:pPr>
        <w:pStyle w:val="852"/>
        <w:numPr>
          <w:ilvl w:val="0"/>
          <w:numId w:val="66"/>
        </w:numPr>
        <w:ind w:lef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pStyle w:val="852"/>
        <w:numPr>
          <w:ilvl w:val="0"/>
          <w:numId w:val="66"/>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因履行本合同引起的或与本合同有关的争议，甲、乙双方应首先通过友好协商解决，如果协商不能解决争议，则采取以下第（1）种方式解决争议：</w:t>
      </w:r>
      <w:r/>
    </w:p>
    <w:p>
      <w:pPr>
        <w:pStyle w:val="852"/>
        <w:numPr>
          <w:ilvl w:val="0"/>
          <w:numId w:val="6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向甲方所在地有管辖权的人民法院提起诉讼；</w:t>
      </w:r>
      <w:r/>
    </w:p>
    <w:p>
      <w:pPr>
        <w:pStyle w:val="852"/>
        <w:numPr>
          <w:ilvl w:val="0"/>
          <w:numId w:val="6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向南京仲裁委员会按其仲裁规则申请仲裁。</w:t>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除涉及解除合同的纠纷外，在诉讼期间，本合同应继续履行。</w:t>
      </w:r>
      <w:r/>
    </w:p>
    <w:p>
      <w:pPr>
        <w:pStyle w:val="852"/>
        <w:numPr>
          <w:ilvl w:val="0"/>
          <w:numId w:val="58"/>
        </w:numPr>
        <w:ind w:left="0" w:firstLine="482"/>
        <w:widowControl/>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诚实信用</w:t>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乙方应诚实信用，严格按照招标文件要求和响应承诺履行合同，不向甲方进行商业贿赂或者提供不正当利益。</w:t>
      </w:r>
      <w:r/>
    </w:p>
    <w:p>
      <w:pPr>
        <w:pStyle w:val="852"/>
        <w:numPr>
          <w:ilvl w:val="0"/>
          <w:numId w:val="58"/>
        </w:numPr>
        <w:ind w:left="0" w:firstLine="482"/>
        <w:widowControl/>
        <w:rPr>
          <w:rFonts w:hint="eastAsia" w:ascii="宋体" w:hAnsi="宋体" w:eastAsia="宋体" w:cs="宋体"/>
          <w:b/>
          <w:color w:val="000000" w:themeColor="text1"/>
          <w:sz w:val="24"/>
          <w:szCs w:val="24"/>
          <w:highlight w:val="none"/>
          <w14:textFill>
            <w14:solidFill>
              <w14:schemeClr w14:val="tx1"/>
            </w14:solidFill>
          </w14:textFill>
        </w:rPr>
      </w:pPr>
      <w:r>
        <w:rPr>
          <w:rFonts w:ascii="Times New Roman" w:hAnsi="Times New Roman" w:eastAsia="宋体" w:cs="Times New Roman"/>
          <w:b/>
          <w:color w:val="000000" w:themeColor="text1"/>
          <w:sz w:val="24"/>
          <w:szCs w:val="24"/>
          <w:highlight w:val="none"/>
          <w14:textFill>
            <w14:solidFill>
              <w14:schemeClr w14:val="tx1"/>
            </w14:solidFill>
          </w14:textFill>
        </w:rPr>
        <w:t xml:space="preserve">合同生效及其他</w:t>
      </w:r>
      <w:r/>
    </w:p>
    <w:p>
      <w:pPr>
        <w:pStyle w:val="852"/>
        <w:numPr>
          <w:ilvl w:val="0"/>
          <w:numId w:val="68"/>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本合同自签订之日起生效。</w:t>
      </w:r>
      <w:r/>
    </w:p>
    <w:p>
      <w:pPr>
        <w:pStyle w:val="852"/>
        <w:numPr>
          <w:ilvl w:val="0"/>
          <w:numId w:val="68"/>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本合同一式陆份，甲方执肆份乙方执贰份，具有同等法律效力。</w:t>
      </w:r>
      <w:r/>
    </w:p>
    <w:p>
      <w:pPr>
        <w:pStyle w:val="852"/>
        <w:numPr>
          <w:ilvl w:val="0"/>
          <w:numId w:val="68"/>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本合同应按照中华人民共和国的现行法律进行解释。</w:t>
      </w:r>
      <w:r/>
    </w:p>
    <w:tbl>
      <w:tblPr>
        <w:tblStyle w:val="848"/>
        <w:tblW w:w="4999" w:type="pct"/>
        <w:jc w:val="center"/>
        <w:tblLayout w:type="autofit"/>
        <w:tblCellMar>
          <w:left w:w="0" w:type="dxa"/>
          <w:top w:w="0" w:type="dxa"/>
          <w:right w:w="0" w:type="dxa"/>
          <w:bottom w:w="0" w:type="dxa"/>
        </w:tblCellMar>
        <w:tblLook w:val="04A0" w:firstRow="1" w:lastRow="0" w:firstColumn="1" w:lastColumn="0" w:noHBand="0" w:noVBand="1"/>
      </w:tblPr>
      <w:tblGrid>
        <w:gridCol w:w="4979"/>
        <w:gridCol w:w="4981"/>
      </w:tblGrid>
      <w:tr>
        <w:trPr>
          <w:jc w:val="center"/>
        </w:trPr>
        <w:tc>
          <w:tcPr>
            <w:tcMar>
              <w:left w:w="108" w:type="dxa"/>
              <w:right w:w="108" w:type="dxa"/>
            </w:tcMar>
            <w:tcW w:w="2499"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甲方（采购人）：</w:t>
            </w:r>
            <w:r/>
          </w:p>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（盖章）</w:t>
            </w:r>
            <w:r/>
          </w:p>
        </w:tc>
        <w:tc>
          <w:tcPr>
            <w:tcMar>
              <w:left w:w="108" w:type="dxa"/>
              <w:right w:w="108" w:type="dxa"/>
            </w:tcMar>
            <w:tcW w:w="2500" w:type="pct"/>
            <w:textDirection w:val="lrTb"/>
            <w:noWrap w:val="false"/>
          </w:tcPr>
          <w:p>
            <w:pPr>
              <w:jc w:val="left"/>
              <w:spacing w:line="276"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乙方（供应商）：</w:t>
            </w:r>
            <w:r/>
          </w:p>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（盖章）</w:t>
            </w:r>
            <w:r/>
          </w:p>
        </w:tc>
      </w:tr>
      <w:tr>
        <w:trPr>
          <w:jc w:val="center"/>
        </w:trPr>
        <w:tc>
          <w:tcPr>
            <w:tcMar>
              <w:left w:w="108" w:type="dxa"/>
              <w:right w:w="108" w:type="dxa"/>
            </w:tcMar>
            <w:tcW w:w="2499"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代表人：</w:t>
            </w:r>
            <w:r/>
          </w:p>
        </w:tc>
        <w:tc>
          <w:tcPr>
            <w:tcMar>
              <w:left w:w="108" w:type="dxa"/>
              <w:right w:w="108" w:type="dxa"/>
            </w:tcMar>
            <w:tcW w:w="2500"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代表人：</w:t>
            </w:r>
            <w:r/>
          </w:p>
        </w:tc>
      </w:tr>
      <w:tr>
        <w:trPr>
          <w:jc w:val="center"/>
        </w:trPr>
        <w:tc>
          <w:tcPr>
            <w:tcMar>
              <w:left w:w="108" w:type="dxa"/>
              <w:right w:w="108" w:type="dxa"/>
            </w:tcMar>
            <w:tcW w:w="2499"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w:t>
            </w:r>
            <w:r>
              <w:rPr>
                <w:rFonts w:asci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话：</w:t>
            </w:r>
            <w:r/>
          </w:p>
        </w:tc>
        <w:tc>
          <w:tcPr>
            <w:tcMar>
              <w:left w:w="108" w:type="dxa"/>
              <w:right w:w="108" w:type="dxa"/>
            </w:tcMar>
            <w:tcW w:w="2500"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w:t>
            </w:r>
            <w:r>
              <w:rPr>
                <w:rFonts w:asci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话：</w:t>
            </w:r>
            <w:r/>
          </w:p>
        </w:tc>
      </w:tr>
      <w:tr>
        <w:trPr>
          <w:jc w:val="center"/>
        </w:trPr>
        <w:tc>
          <w:tcPr>
            <w:tcMar>
              <w:left w:w="108" w:type="dxa"/>
              <w:right w:w="108" w:type="dxa"/>
            </w:tcMar>
            <w:tcW w:w="2499"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开户银行：</w:t>
            </w:r>
            <w:r/>
          </w:p>
        </w:tc>
        <w:tc>
          <w:tcPr>
            <w:tcMar>
              <w:left w:w="108" w:type="dxa"/>
              <w:right w:w="108" w:type="dxa"/>
            </w:tcMar>
            <w:tcW w:w="2500" w:type="pct"/>
            <w:textDirection w:val="lrTb"/>
            <w:noWrap w:val="false"/>
          </w:tcPr>
          <w:p>
            <w:pPr>
              <w:jc w:val="left"/>
              <w:spacing w:line="276" w:lineRule="auto"/>
              <w:widowControl/>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开户银行：</w:t>
            </w:r>
            <w:r/>
          </w:p>
        </w:tc>
      </w:tr>
      <w:tr>
        <w:trPr>
          <w:jc w:val="center"/>
        </w:trPr>
        <w:tc>
          <w:tcPr>
            <w:tcMar>
              <w:left w:w="108" w:type="dxa"/>
              <w:right w:w="108" w:type="dxa"/>
            </w:tcMar>
            <w:tcW w:w="2499" w:type="pct"/>
            <w:textDirection w:val="lrTb"/>
            <w:noWrap w:val="false"/>
          </w:tcPr>
          <w:p>
            <w:pPr>
              <w:jc w:val="left"/>
              <w:spacing w:line="276" w:lineRule="auto"/>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帐</w:t>
            </w:r>
            <w:r>
              <w:rPr>
                <w:rFonts w:asci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号：</w:t>
            </w:r>
            <w:r/>
          </w:p>
        </w:tc>
        <w:tc>
          <w:tcPr>
            <w:tcMar>
              <w:left w:w="108" w:type="dxa"/>
              <w:right w:w="108" w:type="dxa"/>
            </w:tcMar>
            <w:tcW w:w="2500" w:type="pct"/>
            <w:textDirection w:val="lrTb"/>
            <w:noWrap w:val="false"/>
          </w:tcPr>
          <w:p>
            <w:pPr>
              <w:jc w:val="left"/>
              <w:spacing w:line="276" w:lineRule="auto"/>
              <w:widowControl/>
              <w:rPr>
                <w:rFonts w:asci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帐</w:t>
            </w:r>
            <w:r>
              <w:rPr>
                <w:rFonts w:asci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号：</w:t>
            </w:r>
            <w:r/>
          </w:p>
        </w:tc>
      </w:tr>
    </w:tbl>
    <w:p>
      <w:pPr>
        <w:pStyle w:val="838"/>
        <w:numPr>
          <w:ilvl w:val="0"/>
          <w:numId w:val="4"/>
        </w:numPr>
        <w:ind w:left="0" w:firstLine="0"/>
        <w:jc w:val="center"/>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53"/>
      <w:r/>
      <w:bookmarkEnd w:id="54"/>
      <w:r/>
      <w:bookmarkEnd w:id="55"/>
      <w:r/>
      <w:bookmarkEnd w:id="56"/>
      <w:r/>
      <w:bookmarkStart w:id="59" w:name="_Toc49090575"/>
      <w:r/>
      <w:bookmarkStart w:id="60" w:name="_Toc26554093"/>
      <w:r>
        <w:rPr>
          <w:color w:val="000000" w:themeColor="text1"/>
          <w:highlight w:val="none"/>
          <w14:textFill>
            <w14:solidFill>
              <w14:schemeClr w14:val="tx1"/>
            </w14:solidFill>
          </w14:textFill>
        </w:rPr>
        <w:t xml:space="preserve">采购需求</w:t>
      </w:r>
      <w:r/>
    </w:p>
    <w:p>
      <w:pPr>
        <w:pStyle w:val="839"/>
        <w:numPr>
          <w:ilvl w:val="0"/>
          <w:numId w:val="69"/>
        </w:numPr>
        <w:ind w:left="0" w:firstLine="0"/>
        <w:rPr>
          <w:rFonts w:hint="eastAsia" w:ascii="黑体" w:hAnsi="黑体" w:eastAsia="黑体" w:cs="黑体"/>
          <w:b w:val="0"/>
          <w:color w:val="000000" w:themeColor="text1"/>
          <w:highlight w:val="none"/>
          <w14:textFill>
            <w14:solidFill>
              <w14:schemeClr w14:val="tx1"/>
            </w14:solidFill>
          </w14:textFill>
        </w:rPr>
      </w:pPr>
      <w:r/>
      <w:bookmarkStart w:id="61" w:name="_Toc120614281"/>
      <w:r>
        <w:rPr>
          <w:color w:val="000000" w:themeColor="text1"/>
          <w:highlight w:val="none"/>
          <w14:textFill>
            <w14:solidFill>
              <w14:schemeClr w14:val="tx1"/>
            </w14:solidFill>
          </w14:textFill>
        </w:rPr>
        <w:t xml:space="preserve">项目概况</w:t>
      </w:r>
      <w:r/>
    </w:p>
    <w:p>
      <w:pPr>
        <w:pStyle w:val="852"/>
        <w:widowControl/>
        <w:rPr>
          <w:rFonts w:ascii="Times New Roman" w:hAnsi="Times New Roman" w:eastAsia="宋体" w:cs="Times New Roman"/>
          <w:b/>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本项目为马群街道 20 个自管小区（21590 户）产生的其他垃圾及马群科创园、街道办事处等8个非小区点位</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提供垃圾收运服务和常态化垃圾巡查服务</w:t>
      </w:r>
      <w:r>
        <w:rPr>
          <w:rFonts w:ascii="Times New Roman" w:hAnsi="Times New Roman" w:eastAsia="宋体" w:cs="Times New Roman"/>
          <w:color w:val="000000" w:themeColor="text1"/>
          <w:sz w:val="24"/>
          <w:szCs w:val="24"/>
          <w:highlight w:val="none"/>
          <w14:textFill>
            <w14:solidFill>
              <w14:schemeClr w14:val="tx1"/>
            </w14:solidFill>
          </w14:textFill>
        </w:rPr>
        <w:t xml:space="preserve">，要求配备规范的清运车辆，保证小区内各收集点的其他垃圾及马群科创园、街道办事处等8个非小区点位</w:t>
      </w:r>
      <w:r>
        <w:rPr>
          <w:rFonts w:hint="eastAsia" w:cs="Times New Roman"/>
          <w:color w:val="000000" w:themeColor="text1"/>
          <w:sz w:val="24"/>
          <w:szCs w:val="24"/>
          <w:highlight w:val="none"/>
          <w:lang w:val="en-US" w:eastAsia="zh-CN"/>
          <w14:textFill>
            <w14:solidFill>
              <w14:schemeClr w14:val="tx1"/>
            </w14:solidFill>
          </w14:textFill>
        </w:rPr>
        <w:t xml:space="preserve">产生的垃圾</w:t>
      </w:r>
      <w:r>
        <w:rPr>
          <w:rFonts w:ascii="Times New Roman" w:hAnsi="Times New Roman" w:eastAsia="宋体" w:cs="Times New Roman"/>
          <w:color w:val="000000" w:themeColor="text1"/>
          <w:sz w:val="24"/>
          <w:szCs w:val="24"/>
          <w:highlight w:val="none"/>
          <w14:textFill>
            <w14:solidFill>
              <w14:schemeClr w14:val="tx1"/>
            </w14:solidFill>
          </w14:textFill>
        </w:rPr>
        <w:t xml:space="preserve">日产日清。</w:t>
      </w:r>
      <w:r/>
    </w:p>
    <w:p>
      <w:pPr>
        <w:pStyle w:val="839"/>
        <w:numPr>
          <w:ilvl w:val="0"/>
          <w:numId w:val="6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技术要求</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栖霞区马群街道 20 </w:t>
      </w:r>
      <w:r>
        <w:rPr>
          <w:rFonts w:ascii="Times New Roman" w:hAnsi="Times New Roman" w:eastAsia="宋体" w:cs="Times New Roman"/>
          <w:color w:val="000000" w:themeColor="text1"/>
          <w:sz w:val="24"/>
          <w:szCs w:val="24"/>
          <w:highlight w:val="none"/>
          <w14:textFill>
            <w14:solidFill>
              <w14:schemeClr w14:val="tx1"/>
            </w14:solidFill>
          </w14:textFill>
        </w:rPr>
        <w:t xml:space="preserve">个自管小区户数共 21590 户，日均产生其他垃圾 32 吨，要求每日至少清运两次，做到日产日清，每日收集后由供应商运送至合法垃圾中转站，每日上午 8:30 前完成户数较多小区点位的其他垃圾清运工作，其余小区清运点位在 10:00 前清运完毕，二次清运在 16:00 前完成，清运的其他垃圾要转运至合法垃圾中转站，不允许转移至其它非法场地内。并做好清运记录纸质台账和行车轨迹上传至城管局平台。垃圾清运车辆优先使用新能源车辆，并根据城管局最新要求实时调整。出现车辆损坏等情况需要更换清运车辆的，需及时向采购人报备。</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垃圾清运车辆应符合下列要求：</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本项目要求中标单位须提供</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ascii="Times New Roman" w:hAnsi="Times New Roman" w:eastAsia="宋体" w:cs="Times New Roman"/>
          <w:color w:val="000000" w:themeColor="text1"/>
          <w:sz w:val="24"/>
          <w:szCs w:val="24"/>
          <w:highlight w:val="none"/>
          <w14:textFill>
            <w14:solidFill>
              <w14:schemeClr w14:val="tx1"/>
            </w14:solidFill>
          </w14:textFill>
        </w:rPr>
        <w:t xml:space="preserve">辆</w:t>
      </w:r>
      <w:r>
        <w:rPr>
          <w:rFonts w:hint="eastAsia" w:cs="Times New Roman"/>
          <w:color w:val="000000" w:themeColor="text1"/>
          <w:sz w:val="24"/>
          <w:szCs w:val="24"/>
          <w:highlight w:val="none"/>
          <w:lang w:val="en-US" w:eastAsia="zh-CN"/>
          <w14:textFill>
            <w14:solidFill>
              <w14:schemeClr w14:val="tx1"/>
            </w14:solidFill>
          </w14:textFill>
        </w:rPr>
        <w:t xml:space="preserve">新能源</w:t>
      </w:r>
      <w:r>
        <w:rPr>
          <w:rFonts w:ascii="Times New Roman" w:hAnsi="Times New Roman" w:eastAsia="宋体" w:cs="Times New Roman"/>
          <w:color w:val="000000" w:themeColor="text1"/>
          <w:sz w:val="24"/>
          <w:szCs w:val="24"/>
          <w:highlight w:val="none"/>
          <w14:textFill>
            <w14:solidFill>
              <w14:schemeClr w14:val="tx1"/>
            </w14:solidFill>
          </w14:textFill>
        </w:rPr>
        <w:t xml:space="preserve">垃圾车</w:t>
      </w:r>
      <w:r>
        <w:rPr>
          <w:rFonts w:hint="eastAsia" w:cs="Times New Roman"/>
          <w:color w:val="000000" w:themeColor="text1"/>
          <w:sz w:val="24"/>
          <w:szCs w:val="24"/>
          <w:highlight w:val="none"/>
          <w:lang w:val="en-US" w:eastAsia="zh-CN"/>
          <w14:textFill>
            <w14:solidFill>
              <w14:schemeClr w14:val="tx1"/>
            </w14:solidFill>
          </w14:textFill>
        </w:rPr>
        <w:t xml:space="preserve">及</w:t>
      </w:r>
      <w:r>
        <w:rPr>
          <w:rFonts w:ascii="Times New Roman" w:hAnsi="Times New Roman" w:eastAsia="宋体" w:cs="Times New Roman"/>
          <w:color w:val="000000" w:themeColor="text1"/>
          <w:sz w:val="24"/>
          <w:szCs w:val="24"/>
          <w:highlight w:val="none"/>
          <w14:textFill>
            <w14:solidFill>
              <w14:schemeClr w14:val="tx1"/>
            </w14:solidFill>
          </w14:textFill>
        </w:rPr>
        <w:t xml:space="preserve">1辆轻型箱式货车用于项目垃圾清运。</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运输垃圾应密闭，在运输过程中无垃圾滴、漏、撒现象。不得沿路污染城市路面，影响城市环境卫生。</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垃圾清运应以车辆的额定荷载和有效容积为限，不得超重、超高运输。 </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装卸垃圾应符合作业要求，不得乱倒、乱卸、乱抛垃圾。</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供应商须保障车辆故障无法正常作业的情况下，1小时内增派同类型车辆至现场，保障作业顺利完成。</w:t>
      </w:r>
      <w:r/>
    </w:p>
    <w:p>
      <w:pPr>
        <w:pStyle w:val="852"/>
        <w:numPr>
          <w:ilvl w:val="0"/>
          <w:numId w:val="71"/>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垃圾清运车辆</w:t>
      </w:r>
      <w:r>
        <w:rPr>
          <w:rFonts w:hint="eastAsia" w:cs="Times New Roman"/>
          <w:color w:val="000000" w:themeColor="text1"/>
          <w:sz w:val="24"/>
          <w:szCs w:val="24"/>
          <w:highlight w:val="none"/>
          <w:lang w:val="en-US" w:eastAsia="zh-CN"/>
          <w14:textFill>
            <w14:solidFill>
              <w14:schemeClr w14:val="tx1"/>
            </w14:solidFill>
          </w14:textFill>
        </w:rPr>
        <w:t xml:space="preserve">应</w:t>
      </w:r>
      <w:r>
        <w:rPr>
          <w:rFonts w:ascii="Times New Roman" w:hAnsi="Times New Roman" w:eastAsia="宋体" w:cs="Times New Roman"/>
          <w:color w:val="000000" w:themeColor="text1"/>
          <w:sz w:val="24"/>
          <w:szCs w:val="24"/>
          <w:highlight w:val="none"/>
          <w14:textFill>
            <w14:solidFill>
              <w14:schemeClr w14:val="tx1"/>
            </w14:solidFill>
          </w14:textFill>
        </w:rPr>
        <w:t xml:space="preserve">装有车辆定位系统</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北斗</w:t>
      </w:r>
      <w:r>
        <w:rPr>
          <w:rFonts w:hint="eastAsia" w:cs="Times New Roman"/>
          <w:color w:val="000000" w:themeColor="text1"/>
          <w:sz w:val="24"/>
          <w:szCs w:val="24"/>
          <w:highlight w:val="none"/>
          <w:lang w:eastAsia="zh-CN"/>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，车容应整洁，标志标识应规范清晰，保持卫生状态良好，不得影响环保和市容市貌</w:t>
      </w:r>
      <w:r>
        <w:rPr>
          <w:rFonts w:hint="eastAsia" w:cs="Times New Roman"/>
          <w:color w:val="000000" w:themeColor="text1"/>
          <w:sz w:val="24"/>
          <w:szCs w:val="24"/>
          <w:highlight w:val="none"/>
          <w:lang w:eastAsia="zh-CN"/>
          <w14:textFill>
            <w14:solidFill>
              <w14:schemeClr w14:val="tx1"/>
            </w14:solidFill>
          </w14:textFill>
        </w:rPr>
        <w:t xml:space="preserve">。</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规范作业要求： </w:t>
      </w:r>
      <w:r/>
    </w:p>
    <w:p>
      <w:pPr>
        <w:pStyle w:val="852"/>
        <w:numPr>
          <w:ilvl w:val="0"/>
          <w:numId w:val="72"/>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垃圾清运车辆应经常检查，及时发现排除故障，不得带故障运行，所有车辆停放必须遵守交通法规。</w:t>
      </w:r>
      <w:r/>
    </w:p>
    <w:p>
      <w:pPr>
        <w:pStyle w:val="852"/>
        <w:numPr>
          <w:ilvl w:val="0"/>
          <w:numId w:val="72"/>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加强作业车辆的日常管理，确保专车专用，遵守交通规则，文明行驶，安全行驶。</w:t>
      </w:r>
      <w:r/>
    </w:p>
    <w:p>
      <w:pPr>
        <w:pStyle w:val="852"/>
        <w:numPr>
          <w:ilvl w:val="0"/>
          <w:numId w:val="72"/>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根据采购的要求和自身实际作业标准建立相关台账，做好车辆使用记录。</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遇有重大活动或突发事件，及时组织力量听从采购人的指挥和调度无条件配合采购人做好相关工作。</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必须服从垃圾中转站管理单位相关垃圾清运事项的日常调配管理和安排。</w:t>
      </w:r>
      <w:r/>
    </w:p>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栖霞区马群街道 20 个自管小区明细</w:t>
      </w:r>
      <w:r/>
    </w:p>
    <w:tbl>
      <w:tblPr>
        <w:tblStyle w:val="8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307"/>
        <w:gridCol w:w="5183"/>
        <w:gridCol w:w="1448"/>
      </w:tblGrid>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小区名称</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户数</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99号小区</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南京市栖霞区马群街99号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156</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马群公寓</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马群新街37号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377</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上水坊</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南京市栖霞区马群街道宁杭公路2号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735</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百水芊城</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南京市栖霞区马群街道宁杭公路2号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2696</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枫林园</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鸿福城内</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716</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叠水园</w:t>
            </w:r>
            <w:r/>
          </w:p>
        </w:tc>
        <w:tc>
          <w:tcPr>
            <w:tcW w:w="2602" w:type="pct"/>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鸿福城内</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705</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锦山园</w:t>
            </w:r>
            <w:r/>
          </w:p>
        </w:tc>
        <w:tc>
          <w:tcPr>
            <w:tcW w:w="2602" w:type="pct"/>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鸿福城内</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802</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翠城园</w:t>
            </w:r>
            <w:r/>
          </w:p>
        </w:tc>
        <w:tc>
          <w:tcPr>
            <w:tcW w:w="2602" w:type="pct"/>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鸿福城内</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952</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泰康苑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百水桥南路10号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520</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馨康苑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百水南路8号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1704</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富康苑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百水桥南路10号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932</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宁康苑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百水南路1号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2504</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润康苑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百水南路5号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1302</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融康苑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百水桥南路2号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1976</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文康苑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百水南路6号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1412</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煦康苑</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百水桥南路7号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981</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芝嘉花园</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栖霞区白水桥村105号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949</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中心村小区</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马群宁狮路10号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129</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怡水坊一期二期</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百水桥路7号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794</w:t>
            </w:r>
            <w:r/>
          </w:p>
        </w:tc>
      </w:tr>
      <w:tr>
        <w:trPr>
          <w:trHeight w:val="510"/>
        </w:trPr>
        <w:tc>
          <w:tcPr>
            <w:tcW w:w="51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w:t>
            </w:r>
            <w:r/>
          </w:p>
        </w:tc>
        <w:tc>
          <w:tcPr>
            <w:tcW w:w="1158"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云水坊</w:t>
            </w:r>
            <w:r/>
          </w:p>
        </w:tc>
        <w:tc>
          <w:tcPr>
            <w:tcW w:w="260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百水桥路9号</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1248</w:t>
            </w:r>
            <w:r/>
          </w:p>
        </w:tc>
      </w:tr>
      <w:tr>
        <w:trPr>
          <w:trHeight w:val="510"/>
        </w:trPr>
        <w:tc>
          <w:tcPr>
            <w:gridSpan w:val="3"/>
            <w:tcW w:w="4272"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合计</w:t>
            </w:r>
            <w:r/>
          </w:p>
        </w:tc>
        <w:tc>
          <w:tcPr>
            <w:tcW w:w="727" w:type="pct"/>
            <w:textDirection w:val="lrTb"/>
            <w:noWrap w:val="false"/>
          </w:tcPr>
          <w:p>
            <w:pPr>
              <w:pStyle w:val="852"/>
              <w:ind w:firstLine="0"/>
              <w:jc w:val="center"/>
              <w:spacing w:line="24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21590</w:t>
            </w:r>
            <w:r/>
          </w:p>
        </w:tc>
      </w:tr>
    </w:tbl>
    <w:p>
      <w:pPr>
        <w:pStyle w:val="852"/>
        <w:numPr>
          <w:ilvl w:val="0"/>
          <w:numId w:val="70"/>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供应商在服务期内须按下表要求提供垃圾收运服务</w:t>
      </w:r>
      <w:r>
        <w:rPr>
          <w:rFonts w:hint="eastAsia" w:cs="Times New Roman"/>
          <w:color w:val="000000" w:themeColor="text1"/>
          <w:sz w:val="24"/>
          <w:szCs w:val="24"/>
          <w:highlight w:val="none"/>
          <w:lang w:val="en-US" w:eastAsia="zh-CN"/>
          <w14:textFill>
            <w14:solidFill>
              <w14:schemeClr w14:val="tx1"/>
            </w14:solidFill>
          </w14:textFill>
        </w:rPr>
        <w:t xml:space="preserve">和常态化垃圾巡查服务</w:t>
      </w:r>
      <w:r/>
    </w:p>
    <w:tbl>
      <w:tblPr>
        <w:tblStyle w:val="8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894"/>
        <w:gridCol w:w="2894"/>
        <w:gridCol w:w="3470"/>
      </w:tblGrid>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点位</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类型</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垃圾量</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马群科创园</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马群街道办事处</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其他垃圾、厨余垃圾、大件垃圾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其他垃圾4桶/日、厨余垃圾1桶/日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特警</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马群派出所</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其他垃圾、厨余垃圾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其他垃圾4桶/日、厨余垃圾1桶/7日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马群市民广场及河道边</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果皮箱垃圾收集</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南湾营菜场</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其他垃圾、厨余垃圾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其他垃圾8桶/日、厨余垃圾5-7桶/日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融康苑、润康苑</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4个临时亭房管理</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28-30桶/日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西花岗菜场</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其他垃圾、厨余垃圾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其他垃圾2桶/日</w:t>
            </w:r>
            <w:r/>
          </w:p>
        </w:tc>
      </w:tr>
      <w:tr>
        <w:trPr>
          <w:jc w:val="center"/>
        </w:trPr>
        <w:tc>
          <w:tcPr>
            <w:tcW w:w="353" w:type="pct"/>
            <w:vAlign w:val="center"/>
            <w:textDirection w:val="lrTb"/>
            <w:noWrap w:val="false"/>
          </w:tcPr>
          <w:p>
            <w:pPr>
              <w:jc w:val="center"/>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非自管小区的有害垃圾清运巡查</w:t>
            </w:r>
            <w:r/>
          </w:p>
        </w:tc>
        <w:tc>
          <w:tcPr>
            <w:tcW w:w="1452"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有害垃圾</w:t>
            </w:r>
            <w:r/>
          </w:p>
        </w:tc>
        <w:tc>
          <w:tcPr>
            <w:tcW w:w="174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每周二清运车辆巡查</w:t>
            </w:r>
            <w:r/>
          </w:p>
        </w:tc>
      </w:tr>
    </w:tbl>
    <w:p>
      <w:pPr>
        <w:pStyle w:val="852"/>
        <w:numPr>
          <w:ilvl w:val="0"/>
          <w:numId w:val="0"/>
        </w:numPr>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839"/>
        <w:numPr>
          <w:ilvl w:val="0"/>
          <w:numId w:val="6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★商务要求</w:t>
      </w:r>
      <w:r/>
    </w:p>
    <w:p>
      <w:pPr>
        <w:pStyle w:val="852"/>
        <w:numPr>
          <w:ilvl w:val="0"/>
          <w:numId w:val="7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项目名称：马群街道 20 个自管小区公交化其他垃圾清运服务项目 </w:t>
      </w:r>
      <w:r/>
    </w:p>
    <w:p>
      <w:pPr>
        <w:pStyle w:val="852"/>
        <w:numPr>
          <w:ilvl w:val="0"/>
          <w:numId w:val="7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垃圾清运数量：日均清运其他垃圾 32 吨。 </w:t>
      </w:r>
      <w:r/>
    </w:p>
    <w:p>
      <w:pPr>
        <w:pStyle w:val="852"/>
        <w:numPr>
          <w:ilvl w:val="0"/>
          <w:numId w:val="7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服务期一年。</w:t>
      </w:r>
      <w:r/>
    </w:p>
    <w:p>
      <w:pPr>
        <w:pStyle w:val="852"/>
        <w:numPr>
          <w:ilvl w:val="0"/>
          <w:numId w:val="7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付款方式：每季度结算一次。</w:t>
      </w:r>
      <w:r/>
    </w:p>
    <w:p>
      <w:pPr>
        <w:pStyle w:val="839"/>
        <w:numPr>
          <w:ilvl w:val="0"/>
          <w:numId w:val="6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★其他要求</w:t>
      </w:r>
      <w:r/>
    </w:p>
    <w:p>
      <w:pPr>
        <w:pStyle w:val="8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考核要求</w:t>
      </w:r>
      <w:r/>
    </w:p>
    <w:p>
      <w:pPr>
        <w:pStyle w:val="840"/>
        <w:numPr>
          <w:ilvl w:val="0"/>
          <w:numId w:val="74"/>
        </w:numPr>
        <w:ind w:left="0" w:firstLine="0"/>
        <w:widowControl/>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垃圾清运工作人员的岗位要求</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供应商按要求统一着装，严格遵守中转站的各项规章制度。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每天清运量日产日清，根据具体情况，需要加班或者晚上清运的，应无条件服从安排；每次出现不服从安排现象扣分处罚。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垃圾清运过程，要注意保持周围环境卫生，如灰尘较多的，应先洒水，涉及进出人员安全的要围安全警示带。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垃圾清运过程，要注意爱护现场的所有公共设施设备，如系人为损坏，照价赔偿。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供应商工作人员对中转站所配置的清运工具责任到人，如系人为破坏、丢失，将照价赔偿。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供应商应及时清洗工作车辆的卫生问题。垃圾运输车辆存在车身脏乱、积垢重的，每次检查发现的扣分处罚。 </w:t>
      </w:r>
      <w:r/>
    </w:p>
    <w:p>
      <w:pPr>
        <w:pStyle w:val="852"/>
        <w:numPr>
          <w:ilvl w:val="0"/>
          <w:numId w:val="75"/>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供应商应遵守相关法律法规及各管理处具体管理规定。</w:t>
      </w:r>
      <w:r/>
    </w:p>
    <w:p>
      <w:pPr>
        <w:pStyle w:val="840"/>
        <w:numPr>
          <w:ilvl w:val="0"/>
          <w:numId w:val="74"/>
        </w:numPr>
        <w:ind w:left="0" w:firstLine="0"/>
        <w:widowControl/>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供应商垃圾清运员工考核管理办法</w:t>
      </w:r>
      <w:r/>
    </w:p>
    <w:p>
      <w:pPr>
        <w:pStyle w:val="852"/>
        <w:numPr>
          <w:ilvl w:val="0"/>
          <w:numId w:val="76"/>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供应商垃圾清运人员的上班时间为 </w:t>
      </w:r>
      <w:r>
        <w:rPr>
          <w:rFonts w:hint="eastAsia" w:cs="Times New Roman"/>
          <w:color w:val="000000" w:themeColor="text1"/>
          <w:sz w:val="24"/>
          <w:szCs w:val="24"/>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 w:val="24"/>
          <w:szCs w:val="24"/>
          <w:highlight w:val="none"/>
          <w14:textFill>
            <w14:solidFill>
              <w14:schemeClr w14:val="tx1"/>
            </w14:solidFill>
          </w14:textFill>
        </w:rPr>
        <w:t xml:space="preserve">:00 至 17:00，在垃圾车停放的中转站管理人员处签到</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（或工作点打卡）</w:t>
      </w:r>
      <w:r>
        <w:rPr>
          <w:rFonts w:ascii="Times New Roman" w:hAnsi="Times New Roman" w:eastAsia="宋体" w:cs="Times New Roman"/>
          <w:color w:val="000000" w:themeColor="text1"/>
          <w:sz w:val="24"/>
          <w:szCs w:val="24"/>
          <w:highlight w:val="none"/>
          <w14:textFill>
            <w14:solidFill>
              <w14:schemeClr w14:val="tx1"/>
            </w14:solidFill>
          </w14:textFill>
        </w:rPr>
        <w:t xml:space="preserve">，考核方法以</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采购人与供应商</w:t>
      </w:r>
      <w:r>
        <w:rPr>
          <w:rFonts w:hint="eastAsia" w:cs="Times New Roman"/>
          <w:color w:val="000000" w:themeColor="text1"/>
          <w:sz w:val="24"/>
          <w:szCs w:val="24"/>
          <w:highlight w:val="none"/>
          <w:lang w:val="en-US" w:eastAsia="zh-CN"/>
          <w14:textFill>
            <w14:solidFill>
              <w14:schemeClr w14:val="tx1"/>
            </w14:solidFill>
          </w14:textFill>
        </w:rPr>
        <w:t xml:space="preserve">协商</w:t>
      </w:r>
      <w:r>
        <w:rPr>
          <w:rFonts w:ascii="Times New Roman" w:hAnsi="Times New Roman" w:eastAsia="宋体" w:cs="Times New Roman"/>
          <w:color w:val="000000" w:themeColor="text1"/>
          <w:sz w:val="24"/>
          <w:szCs w:val="24"/>
          <w:highlight w:val="none"/>
          <w14:textFill>
            <w14:solidFill>
              <w14:schemeClr w14:val="tx1"/>
            </w14:solidFill>
          </w14:textFill>
        </w:rPr>
        <w:t xml:space="preserve">为准。</w:t>
      </w:r>
      <w:r/>
    </w:p>
    <w:p>
      <w:pPr>
        <w:pStyle w:val="852"/>
        <w:numPr>
          <w:ilvl w:val="0"/>
          <w:numId w:val="76"/>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每出一车垃圾，按要求在相应的表上填写签字，手续不全的，视为无效车次。 </w:t>
      </w:r>
      <w:r/>
    </w:p>
    <w:p>
      <w:pPr>
        <w:pStyle w:val="852"/>
        <w:numPr>
          <w:ilvl w:val="0"/>
          <w:numId w:val="76"/>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垃圾清运人员应如实记录清运车次，若发现未装满一车垃圾（无垃圾除外）扣分处罚，发现没有按要求清运、检验、多报等其他违规行为的，责任人按相关程序给予扣罚，情节严重的，终止合同处理。 </w:t>
      </w:r>
      <w:r/>
    </w:p>
    <w:p>
      <w:pPr>
        <w:pStyle w:val="852"/>
        <w:numPr>
          <w:ilvl w:val="0"/>
          <w:numId w:val="76"/>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因清运任务的变化，需要调整为夜间清运的，白天按相应的时间调休。</w:t>
      </w:r>
      <w:r/>
    </w:p>
    <w:p>
      <w:pPr>
        <w:pStyle w:val="840"/>
        <w:numPr>
          <w:ilvl w:val="0"/>
          <w:numId w:val="74"/>
        </w:numPr>
        <w:ind w:left="0" w:firstLine="0"/>
        <w:widowControl/>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垃圾清运的管理要求</w:t>
      </w:r>
      <w:r/>
    </w:p>
    <w:p>
      <w:pPr>
        <w:pStyle w:val="852"/>
        <w:numPr>
          <w:ilvl w:val="0"/>
          <w:numId w:val="7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有临时保障任务要提前一天向供应商管理人员通报垃圾清运要求及数量，以便作好调车准备，以可装满一车为标准。 </w:t>
      </w:r>
      <w:r/>
    </w:p>
    <w:p>
      <w:pPr>
        <w:pStyle w:val="852"/>
        <w:numPr>
          <w:ilvl w:val="0"/>
          <w:numId w:val="7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每出一车垃圾由所在项目的清运负责人和当班班长进行检验并在记录表上签字确认，如清运负责人休息，管理处主任检验签字或指定专人负责。 </w:t>
      </w:r>
      <w:r/>
    </w:p>
    <w:p>
      <w:pPr>
        <w:pStyle w:val="852"/>
        <w:numPr>
          <w:ilvl w:val="0"/>
          <w:numId w:val="7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当班门卫人员要对垃圾清运过程全程跟踪，在确认现场公共设备设施无异常情况，双方签字确认，如未及时发现设施设备有异常情况，责任由当班门卫人员负责。 </w:t>
      </w:r>
      <w:r/>
    </w:p>
    <w:p>
      <w:pPr>
        <w:pStyle w:val="852"/>
        <w:numPr>
          <w:ilvl w:val="0"/>
          <w:numId w:val="7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垃圾清运过程现场协调由供应商清运负责人、垃圾转运主管负责，供应商垃圾转运部主管负责统筹所有清运工作的安排。 </w:t>
      </w:r>
      <w:r/>
    </w:p>
    <w:p>
      <w:pPr>
        <w:pStyle w:val="852"/>
        <w:numPr>
          <w:ilvl w:val="0"/>
          <w:numId w:val="77"/>
        </w:numPr>
        <w:ind w:left="0" w:firstLine="480"/>
        <w:widowControl/>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采购人</w:t>
      </w:r>
      <w:r>
        <w:rPr>
          <w:rFonts w:ascii="Times New Roman" w:hAnsi="Times New Roman" w:eastAsia="宋体" w:cs="Times New Roman"/>
          <w:color w:val="000000" w:themeColor="text1"/>
          <w:sz w:val="24"/>
          <w:szCs w:val="24"/>
          <w:highlight w:val="none"/>
          <w14:textFill>
            <w14:solidFill>
              <w14:schemeClr w14:val="tx1"/>
            </w14:solidFill>
          </w14:textFill>
        </w:rPr>
        <w:t xml:space="preserve">对清运的情况不定时检查，发现没有按要求清运、检验、多报等其他违规行为的，责任人按相关程序给予考核扣分罚款，情节严重的，终止合同。</w:t>
      </w:r>
      <w:r/>
    </w:p>
    <w:p>
      <w:pPr>
        <w:pStyle w:val="840"/>
        <w:numPr>
          <w:ilvl w:val="0"/>
          <w:numId w:val="74"/>
        </w:numPr>
        <w:ind w:left="0" w:firstLine="0"/>
        <w:widowControl/>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考核评判</w:t>
      </w:r>
      <w:r/>
    </w:p>
    <w:p>
      <w:pPr>
        <w:pStyle w:val="852"/>
        <w:numPr>
          <w:ilvl w:val="0"/>
          <w:numId w:val="78"/>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采购人</w:t>
      </w:r>
      <w:r>
        <w:rPr>
          <w:rFonts w:ascii="Times New Roman" w:hAnsi="Times New Roman" w:eastAsia="宋体" w:cs="Times New Roman"/>
          <w:color w:val="000000" w:themeColor="text1"/>
          <w:sz w:val="24"/>
          <w:szCs w:val="24"/>
          <w:highlight w:val="none"/>
          <w14:textFill>
            <w14:solidFill>
              <w14:schemeClr w14:val="tx1"/>
            </w14:solidFill>
          </w14:textFill>
        </w:rPr>
        <w:t xml:space="preserve">组织评判小组对每月的清运情况做具体考核，发现问题没有及时整改的，每过 24 小时重复扣分。考核分数满分 100 分。（考核详见附表 1） </w:t>
      </w:r>
      <w:r/>
    </w:p>
    <w:p>
      <w:pPr>
        <w:pStyle w:val="852"/>
        <w:numPr>
          <w:ilvl w:val="0"/>
          <w:numId w:val="78"/>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以上条款均为考核条款，每月出现 3 次以上不遵守现象视情况大小而定可解除此次合作，合同做无效处理。</w:t>
      </w:r>
      <w:r/>
    </w:p>
    <w:p>
      <w:pPr>
        <w:pStyle w:val="8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附表1.</w:t>
      </w:r>
      <w:r/>
    </w:p>
    <w:tbl>
      <w:tblPr>
        <w:tblStyle w:val="87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5054"/>
        <w:gridCol w:w="1983"/>
        <w:gridCol w:w="1517"/>
      </w:tblGrid>
      <w:tr>
        <w:trPr/>
        <w:tc>
          <w:tcPr>
            <w:tcW w:w="704"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考评内容</w:t>
            </w:r>
            <w:r/>
          </w:p>
        </w:tc>
        <w:tc>
          <w:tcPr>
            <w:tcW w:w="2538"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问题详细描述</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发现一处扣分</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tc>
          <w:tcPr>
            <w:tcW w:w="704" w:type="pct"/>
            <w:vAlign w:val="center"/>
            <w:vMerge w:val="restart"/>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考核要求</w:t>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1、未按招投标要求配置车辆的；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2、供应商未按要求统一着装，严格遵守中转站的各项规章制度；</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3、每天清运量日产日清，根据具体情况，需要加班或者晚上清运的，应无条件服从安排；不服从管理的；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4、本项目车辆未按指定路线行驶，擅自变更</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s="宋体"/>
                <w:color w:val="000000" w:themeColor="text1"/>
                <w:sz w:val="24"/>
                <w:szCs w:val="24"/>
                <w:highlight w:val="none"/>
                <w14:textFill>
                  <w14:solidFill>
                    <w14:schemeClr w14:val="tx1"/>
                  </w14:solidFill>
                </w14:textFill>
              </w:rPr>
              <w:t xml:space="preserve">垃圾运输线路的；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5、未将</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s="宋体"/>
                <w:color w:val="000000" w:themeColor="text1"/>
                <w:sz w:val="24"/>
                <w:szCs w:val="24"/>
                <w:highlight w:val="none"/>
                <w14:textFill>
                  <w14:solidFill>
                    <w14:schemeClr w14:val="tx1"/>
                  </w14:solidFill>
                </w14:textFill>
              </w:rPr>
              <w:t xml:space="preserve">垃圾运送到指定的处置终端进行处置的；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6、无故不服从区环卫管理部门工作安排和垃圾调度的；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7、不配合各垃圾中转站的工作的、消极怠工，寻找不正当理由拒绝运输的；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8、与转运站操作人员、前端垃圾收运人员发生矛盾，存在错误的；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9、不服从管理人员的管理，违反安全操作规定的；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10、因环卫作业车辆未遵守《道路交通安全法》导致交通事故承担主要责任，并造成恶劣影响的；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11、作业车辆未按规定停放或其他违章行为的；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造成过错，由供应商承担相应责任</w:t>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12、故意遮挡号牌的；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13、垃圾运输车辆存在车身脏乱，积垢重的；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14、车容车貌差、号牌不清的；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15、被媒体曝光属实的；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16、被市民投诉查实的；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17、出现问题被市、区、街道、城管局领导督办的，被市、区、街道、城管局领导点名批评的，以及在市、区、街道点评</w:t>
            </w:r>
            <w:r>
              <w:rPr>
                <w:rFonts w:hint="eastAsia" w:ascii="宋体" w:hAnsi="宋体" w:cs="宋体"/>
                <w:color w:val="000000" w:themeColor="text1"/>
                <w:sz w:val="24"/>
                <w:szCs w:val="24"/>
                <w:highlight w:val="none"/>
                <w:lang w:val="en-US" w:eastAsia="zh-CN"/>
                <w14:textFill>
                  <w14:solidFill>
                    <w14:schemeClr w14:val="tx1"/>
                  </w14:solidFill>
                </w14:textFill>
              </w:rPr>
              <w:t xml:space="preserve">会</w:t>
            </w:r>
            <w:r>
              <w:rPr>
                <w:rFonts w:hint="eastAsia" w:ascii="宋体" w:hAnsi="宋体" w:cs="宋体"/>
                <w:color w:val="000000" w:themeColor="text1"/>
                <w:sz w:val="24"/>
                <w:szCs w:val="24"/>
                <w:highlight w:val="none"/>
                <w14:textFill>
                  <w14:solidFill>
                    <w14:schemeClr w14:val="tx1"/>
                  </w14:solidFill>
                </w14:textFill>
              </w:rPr>
              <w:t xml:space="preserve">中出现的问题尚未整改的；</w:t>
            </w:r>
            <w:r/>
          </w:p>
        </w:tc>
        <w:tc>
          <w:tcPr>
            <w:tcW w:w="996"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18、车辆出现损坏需维修，但未提前报备的；</w:t>
            </w:r>
            <w:r/>
          </w:p>
        </w:tc>
        <w:tc>
          <w:tcPr>
            <w:tcW w:w="996" w:type="pct"/>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704" w:type="pct"/>
            <w:vAlign w:val="center"/>
            <w:vMerge w:val="continue"/>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2538" w:type="pct"/>
            <w:vAlign w:val="center"/>
            <w:textDirection w:val="lrTb"/>
            <w:noWrap w:val="false"/>
          </w:tcPr>
          <w:p>
            <w:pPr>
              <w:jc w:val="left"/>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cs="宋体"/>
                <w:color w:val="000000" w:themeColor="text1"/>
                <w:sz w:val="24"/>
                <w:szCs w:val="24"/>
                <w:highlight w:val="none"/>
                <w14:textFill>
                  <w14:solidFill>
                    <w14:schemeClr w14:val="tx1"/>
                  </w14:solidFill>
                </w14:textFill>
              </w:rPr>
              <w:t xml:space="preserve">车辆定位相关设备损坏，未及时安排维修处理的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996" w:type="pct"/>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761"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gridSpan w:val="4"/>
            <w:tcW w:w="5000" w:type="pct"/>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发现问题没有及时整改的，每过 24 小时重复扣分</w:t>
            </w:r>
            <w:r/>
          </w:p>
        </w:tc>
      </w:tr>
    </w:tbl>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pStyle w:val="838"/>
        <w:numPr>
          <w:ilvl w:val="0"/>
          <w:numId w:val="4"/>
        </w:numPr>
        <w:ind w:left="0" w:firstLine="0"/>
        <w:jc w:val="center"/>
        <w:rPr>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评审方法与评审标准</w:t>
      </w:r>
      <w:r/>
    </w:p>
    <w:p>
      <w:pPr>
        <w:pStyle w:val="839"/>
        <w:numPr>
          <w:ilvl w:val="0"/>
          <w:numId w:val="7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评审方法</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采用综合评分法，对满足磋商文件全部实质性要求的响应文件按评审因素的量化指标评审总分对供应商进行排序。</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经磋商确定最终采购需求和提交最后报价的供应商后，磋商小组成员独立对提交最后报价的供应商的响应文件和最后报价进行综合评分。</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磋商小组按照评审总分由高到低顺序推荐3名成交候选供应商，并编写评审报告。评审得分相同的，按照最后报价由低到高的顺序推荐。评审得分且最后报价相同的，按照“评审标准-2.技术”得分由高到低顺序推荐。</w:t>
      </w:r>
      <w:r/>
    </w:p>
    <w:p>
      <w:pPr>
        <w:pStyle w:val="839"/>
        <w:numPr>
          <w:ilvl w:val="0"/>
          <w:numId w:val="7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小微企业价格扣除</w:t>
      </w:r>
      <w:r/>
    </w:p>
    <w:p>
      <w:pPr>
        <w:pStyle w:val="852"/>
        <w:numPr>
          <w:ilvl w:val="0"/>
          <w:numId w:val="8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本项目服务全部由小微企业承接的，对报价给予10%的扣除，用扣除后的价格参与评审。</w:t>
      </w:r>
      <w:r/>
    </w:p>
    <w:p>
      <w:pPr>
        <w:pStyle w:val="852"/>
        <w:numPr>
          <w:ilvl w:val="0"/>
          <w:numId w:val="80"/>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39"/>
        <w:numPr>
          <w:ilvl w:val="0"/>
          <w:numId w:val="79"/>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评审标准</w:t>
      </w:r>
      <w:r/>
    </w:p>
    <w:tbl>
      <w:tblPr>
        <w:tblStyle w:val="84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216"/>
        <w:gridCol w:w="7588"/>
        <w:gridCol w:w="637"/>
      </w:tblGrid>
      <w:tr>
        <w:trPr>
          <w:jc w:val="center"/>
          <w:trHeight w:val="50"/>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评标项目</w:t>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评标标准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分值</w:t>
            </w:r>
            <w:r/>
          </w:p>
        </w:tc>
      </w:tr>
      <w:tr>
        <w:trPr>
          <w:jc w:val="center"/>
          <w:trHeight w:val="50"/>
        </w:trPr>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价格部分</w:t>
            </w:r>
            <w:r/>
          </w:p>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（小数点保留两位）</w:t>
            </w:r>
            <w:r/>
          </w:p>
        </w:tc>
        <w:tc>
          <w:tcPr>
            <w:tcBorders>
              <w:top w:val="single" w:color="auto" w:sz="4" w:space="0"/>
              <w:left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jc w:val="center"/>
          <w:trHeight w:val="51"/>
        </w:trPr>
        <w:tc>
          <w:tcPr>
            <w:tcBorders>
              <w:top w:val="single" w:color="auto" w:sz="4" w:space="0"/>
              <w:left w:val="single" w:color="auto" w:sz="4" w:space="0"/>
              <w:right w:val="single" w:color="auto" w:sz="4" w:space="0"/>
            </w:tcBorders>
            <w:tcW w:w="255" w:type="pct"/>
            <w:vAlign w:val="center"/>
            <w:vMerge w:val="restart"/>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611" w:type="pct"/>
            <w:vAlign w:val="center"/>
            <w:vMerge w:val="restart"/>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服务方案</w:t>
            </w:r>
            <w:r/>
          </w:p>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（56分）</w:t>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根据供应商提供的日常管理制度进行评分。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需提供完善的员工管理制度、安全管理制度、安全培训制度、质量（含机械化作业）管理制度；</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制度方案合理、实用、完整、可行的得12分；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制度方案基本合理、基本实用、基本完整、基本可行的得9分；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制度方案合理性、实用性、完整性、可行性有明显的欠缺的得6分，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制作方案不合理、不实用、不完整、不可行的得3分，未提供不得分。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r>
      <w:tr>
        <w:trPr>
          <w:jc w:val="center"/>
          <w:trHeight w:val="50"/>
        </w:trPr>
        <w:tc>
          <w:tcPr>
            <w:tcBorders>
              <w:left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根据企业内部管理运作进行评分。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需要提供具有满足作业需要的组织机构图、运作流程图说明、内部考核方案、专门机构负责对本项目进行质量监管，制定具体的质量管理考核细则等进行评价：</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方案合理、实用、完整、可行的得12分；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方案基本合理、基本实用、基本完整、基本可行的得9分；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方案合理性、实用性、完整性、可行性有明显的欠缺的得6分，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方案不合理、不实用、不完整、不可行的得3分，未提供不得分。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r>
      <w:tr>
        <w:trPr>
          <w:jc w:val="center"/>
          <w:trHeight w:val="473"/>
        </w:trPr>
        <w:tc>
          <w:tcPr>
            <w:tcBorders>
              <w:left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根据供应商提供的针对本项目的生活垃圾清运整体服务方案进行评分。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方案周全、详细有落实措施、有针对性的得12分；方案基本详细、有基本的针对性措施的得9分；方案基本详细、没有针对性的得6分；方案不详细、没有针对性的得3分；无不得分。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r>
      <w:tr>
        <w:trPr>
          <w:jc w:val="center"/>
          <w:trHeight w:val="50"/>
        </w:trPr>
        <w:tc>
          <w:tcPr>
            <w:tcBorders>
              <w:left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根据供应商提供的针对本项目的各项服务管理人员配置进行评分。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符合项目特点、配备合理的得10分；较符合项目特点、配备较合理的得7分；人员配备基本合理的得4分；没有针对性、不合理的得1分；无不得分。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jc w:val="center"/>
          <w:trHeight w:val="50"/>
        </w:trPr>
        <w:tc>
          <w:tcPr>
            <w:tcBorders>
              <w:left w:val="single" w:color="auto" w:sz="4" w:space="0"/>
              <w:bottom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813" w:type="pct"/>
            <w:vAlign w:val="center"/>
            <w:textDirection w:val="lrTb"/>
            <w:noWrap w:val="false"/>
          </w:tcPr>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根据供应商提供的针对本项目的台风、扫雪、防雨（汛）、防霾、处理突发事件方案、重大活动应急保障方案进行评分。</w:t>
            </w:r>
            <w:r/>
          </w:p>
          <w:p>
            <w:pPr>
              <w:contextualSpacing/>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方案周全、详细有落实措施、有针对性的得10分；方案较周全、较详细有落实措施、较有针对性的得7分；方案基本详细、有基本的针对性措施的得4分；方案不完善、没有针对性的得1分；无不得分。</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jc w:val="center"/>
          <w:trHeight w:val="50"/>
        </w:trPr>
        <w:tc>
          <w:tcPr>
            <w:tcBorders>
              <w:top w:val="single" w:color="auto" w:sz="4" w:space="0"/>
              <w:left w:val="single" w:color="auto" w:sz="4" w:space="0"/>
              <w:right w:val="single" w:color="auto" w:sz="4" w:space="0"/>
            </w:tcBorders>
            <w:tcW w:w="255" w:type="pct"/>
            <w:vAlign w:val="center"/>
            <w:vMerge w:val="restart"/>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611" w:type="pct"/>
            <w:vAlign w:val="center"/>
            <w:vMerge w:val="restart"/>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综合实力</w:t>
            </w:r>
            <w:r/>
          </w:p>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（34分）</w:t>
            </w:r>
            <w:r/>
          </w:p>
        </w:tc>
        <w:tc>
          <w:tcPr>
            <w:tcBorders>
              <w:top w:val="single" w:color="auto" w:sz="4" w:space="0"/>
              <w:left w:val="single" w:color="auto" w:sz="4" w:space="0"/>
              <w:right w:val="single" w:color="auto" w:sz="4" w:space="0"/>
            </w:tcBorders>
            <w:tcW w:w="3813" w:type="pct"/>
            <w:vAlign w:val="center"/>
            <w:textDirection w:val="lrTb"/>
            <w:noWrap w:val="false"/>
          </w:tcPr>
          <w:p>
            <w:pPr>
              <w:contextualSpacing/>
              <w:jc w:val="left"/>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供应商自2023年1月1日（含）以来承担过类似项目的每个得3分，满分9分。（提供合同复印件加盖公章，合同须能反映相关信息，否则视为未提供，时间、内容均以合同为准）</w:t>
            </w:r>
            <w:r/>
          </w:p>
        </w:tc>
        <w:tc>
          <w:tcPr>
            <w:tcBorders>
              <w:top w:val="single" w:color="auto" w:sz="4" w:space="0"/>
              <w:left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r>
      <w:tr>
        <w:trPr>
          <w:jc w:val="center"/>
          <w:trHeight w:val="604"/>
        </w:trPr>
        <w:tc>
          <w:tcPr>
            <w:tcBorders>
              <w:left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813" w:type="pct"/>
            <w:vAlign w:val="center"/>
            <w:textDirection w:val="lrTb"/>
            <w:noWrap w:val="false"/>
          </w:tcPr>
          <w:p>
            <w:pPr>
              <w:contextualSpacing/>
              <w:jc w:val="left"/>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供应商为本项目投入</w:t>
            </w:r>
            <w:r>
              <w:rPr>
                <w:rFonts w:hint="eastAsia" w:ascii="宋体" w:hAnsi="宋体" w:cs="宋体"/>
                <w:color w:val="000000" w:themeColor="text1"/>
                <w:sz w:val="24"/>
                <w:szCs w:val="24"/>
                <w:highlight w:val="none"/>
                <w:lang w:val="en-US" w:eastAsia="zh-CN"/>
                <w14:textFill>
                  <w14:solidFill>
                    <w14:schemeClr w14:val="tx1"/>
                  </w14:solidFill>
                </w14:textFill>
              </w:rPr>
              <w:t xml:space="preserve">4辆</w:t>
            </w:r>
            <w:r>
              <w:rPr>
                <w:rFonts w:hint="eastAsia" w:ascii="宋体" w:hAnsi="宋体" w:cs="宋体"/>
                <w:color w:val="000000" w:themeColor="text1"/>
                <w:sz w:val="24"/>
                <w:szCs w:val="24"/>
                <w:highlight w:val="none"/>
                <w:lang w:bidi="ar"/>
                <w14:textFill>
                  <w14:solidFill>
                    <w14:schemeClr w14:val="tx1"/>
                  </w14:solidFill>
                </w14:textFill>
              </w:rPr>
              <w:t xml:space="preserve">新能源</w:t>
            </w:r>
            <w:r>
              <w:rPr>
                <w:rFonts w:hint="eastAsia" w:ascii="宋体" w:hAnsi="宋体" w:cs="宋体"/>
                <w:color w:val="000000" w:themeColor="text1"/>
                <w:sz w:val="24"/>
                <w:szCs w:val="24"/>
                <w:highlight w:val="none"/>
                <w14:textFill>
                  <w14:solidFill>
                    <w14:schemeClr w14:val="tx1"/>
                  </w14:solidFill>
                </w14:textFill>
              </w:rPr>
              <w:t xml:space="preserve">垃圾车的，每一辆得3分，最多得1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同时本项目须提供一辆轻型箱式货车，每一辆得3分，最多得3分；本项最多共计得15分。</w:t>
            </w:r>
            <w:r>
              <w:rPr>
                <w:rFonts w:hint="eastAsia" w:ascii="宋体" w:hAnsi="宋体" w:cs="宋体"/>
                <w:color w:val="000000" w:themeColor="text1"/>
                <w:sz w:val="24"/>
                <w:szCs w:val="24"/>
                <w:highlight w:val="none"/>
                <w14:textFill>
                  <w14:solidFill>
                    <w14:schemeClr w14:val="tx1"/>
                  </w14:solidFill>
                </w14:textFill>
              </w:rPr>
              <w:t xml:space="preserve">（自有车辆需提供车辆登记证书、行驶证、购车发票复印件加盖公章；租赁车辆需提供车辆登记证书、行驶证、车辆租赁合同复印件加盖公章）</w:t>
            </w:r>
            <w:r/>
          </w:p>
        </w:tc>
        <w:tc>
          <w:tcPr>
            <w:tcBorders>
              <w:top w:val="single" w:color="auto" w:sz="4" w:space="0"/>
              <w:left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r>
      <w:tr>
        <w:trPr>
          <w:jc w:val="center"/>
          <w:trHeight w:val="90"/>
        </w:trPr>
        <w:tc>
          <w:tcPr>
            <w:tcBorders>
              <w:left w:val="single" w:color="auto" w:sz="4" w:space="0"/>
              <w:right w:val="single" w:color="auto" w:sz="4" w:space="0"/>
            </w:tcBorders>
            <w:tcW w:w="255"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611" w:type="pct"/>
            <w:vAlign w:val="center"/>
            <w:vMerge w:val="continue"/>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813" w:type="pct"/>
            <w:vAlign w:val="center"/>
            <w:textDirection w:val="lrTb"/>
            <w:noWrap w:val="false"/>
          </w:tcPr>
          <w:p>
            <w:pPr>
              <w:contextualSpacing/>
              <w:jc w:val="left"/>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拟投入本项目的驾驶员人数5人及以上的得10分，4人的得7分，3人的得4分，2人的得1分，不足2人的不得分。（提供人员名单列表及有效的驾驶证复印件并加盖公章）</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4679"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总计</w:t>
            </w:r>
            <w:r/>
          </w:p>
        </w:tc>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contextualSpacing/>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r>
    </w:tbl>
    <w:p>
      <w:pPr>
        <w:numPr>
          <w:ilvl w:val="0"/>
          <w:numId w:val="4"/>
        </w:num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8"/>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第六章  </w:t>
      </w:r>
      <w:bookmarkEnd w:id="59"/>
      <w:r/>
      <w:bookmarkEnd w:id="60"/>
      <w:r/>
      <w:bookmarkEnd w:id="61"/>
      <w:r>
        <w:rPr>
          <w:color w:val="000000" w:themeColor="text1"/>
          <w:highlight w:val="none"/>
          <w14:textFill>
            <w14:solidFill>
              <w14:schemeClr w14:val="tx1"/>
            </w14:solidFill>
          </w14:textFill>
        </w:rPr>
        <w:t xml:space="preserve">响应文件格式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62" w:name="_Hlt26671244"/>
      <w:r/>
      <w:bookmarkEnd w:id="62"/>
      <w:r/>
      <w:bookmarkStart w:id="63" w:name="_Hlt26955039"/>
      <w:r/>
      <w:bookmarkEnd w:id="63"/>
      <w:r/>
      <w:bookmarkStart w:id="64" w:name="_Toc26554094"/>
      <w:r/>
      <w:bookmarkStart w:id="65" w:name="_Toc49090576"/>
      <w:r/>
      <w:bookmarkStart w:id="66"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   </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839"/>
        <w:numPr>
          <w:ilvl w:val="0"/>
          <w:numId w:val="81"/>
        </w:numPr>
        <w:ind w:left="0" w:firstLine="0"/>
        <w:rPr>
          <w:rFonts w:hint="eastAsia" w:ascii="黑体" w:hAnsi="黑体" w:eastAsia="黑体" w:cs="黑体"/>
          <w:b w:val="0"/>
          <w:color w:val="000000" w:themeColor="text1"/>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bookmarkEnd w:id="64"/>
      <w:r/>
      <w:bookmarkEnd w:id="65"/>
      <w:r/>
      <w:bookmarkEnd w:id="66"/>
      <w:r/>
      <w:bookmarkStart w:id="67" w:name="_Toc120614284"/>
      <w:r>
        <w:rPr>
          <w:color w:val="000000" w:themeColor="text1"/>
          <w:highlight w:val="none"/>
          <w14:textFill>
            <w14:solidFill>
              <w14:schemeClr w14:val="tx1"/>
            </w14:solidFill>
          </w14:textFill>
        </w:rPr>
        <w:t xml:space="preserve">法人授权书</w:t>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法人授权书</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本授权书声明：</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（供应商名称）授权</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（被授权人的姓名）作为我方就编号为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的项目采购活动的合法代理人，以本单位名义全权处理一切与该项目采购有关的事务。</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本授权书于______年____月____日起生效，特此声明。</w:t>
      </w:r>
      <w:r/>
    </w:p>
    <w:p>
      <w:pPr>
        <w:pStyle w:val="1112"/>
        <w:ind w:firstLine="0"/>
        <w:spacing w:line="480" w:lineRule="auto"/>
        <w:rPr>
          <w:rFonts w:hint="eastAsia" w:ascii="Times New Roman" w:hAnsi="Times New Roman" w:eastAsia="宋体" w:cs="Times New Roman"/>
          <w:color w:val="000000" w:themeColor="text1"/>
          <w:sz w:val="24"/>
          <w:szCs w:val="24"/>
          <w:highlight w:val="none"/>
          <w:u w:val="singl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被授权人身份证号码：</w:t>
      </w:r>
      <w:r/>
    </w:p>
    <w:p>
      <w:pPr>
        <w:pStyle w:val="1112"/>
        <w:ind w:firstLine="480"/>
        <w:spacing w:line="480" w:lineRule="auto"/>
        <w:rPr>
          <w:rFonts w:hint="eastAsia" w:ascii="Times New Roman" w:hAnsi="Times New Roman" w:eastAsia="宋体" w:cs="Times New Roman"/>
          <w:color w:val="000000" w:themeColor="text1"/>
          <w:sz w:val="24"/>
          <w:szCs w:val="24"/>
          <w:highlight w:val="none"/>
          <w:u w:val="singl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被授权人联系电话：（手机）</w:t>
      </w:r>
      <w:r/>
    </w:p>
    <w:p>
      <w:pPr>
        <w:pStyle w:val="1112"/>
        <w:ind w:firstLine="480"/>
        <w:spacing w:line="48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授权单位名称：（加盖电子公章）</w:t>
      </w:r>
      <w:r/>
    </w:p>
    <w:p>
      <w:pPr>
        <w:pStyle w:val="1112"/>
        <w:ind w:firstLine="480"/>
        <w:spacing w:line="480" w:lineRule="auto"/>
        <w:rPr>
          <w:rFonts w:hint="eastAsia" w:ascii="Times New Roman" w:hAnsi="Times New Roman" w:eastAsia="宋体" w:cs="Times New Roman"/>
          <w:color w:val="000000" w:themeColor="text1"/>
          <w:sz w:val="24"/>
          <w:szCs w:val="24"/>
          <w:highlight w:val="none"/>
          <w:u w:val="singl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单位地址：</w:t>
      </w:r>
      <w:r/>
    </w:p>
    <w:p>
      <w:pPr>
        <w:pStyle w:val="1112"/>
        <w:ind w:firstLine="480"/>
        <w:spacing w:line="48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    期：</w:t>
      </w:r>
      <w:bookmarkStart w:id="68" w:name="_Hlt26955070"/>
      <w:r/>
      <w:bookmarkEnd w:id="68"/>
      <w:r/>
      <w:bookmarkStart w:id="69" w:name="_Hlt26671380"/>
      <w:r/>
      <w:bookmarkEnd w:id="69"/>
      <w:r/>
      <w:bookmarkStart w:id="70" w:name="_格式3__银行出具的资信证明"/>
      <w:r/>
      <w:bookmarkEnd w:id="70"/>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39"/>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color w:val="000000" w:themeColor="text1"/>
          <w:highlight w:val="none"/>
          <w14:textFill>
            <w14:solidFill>
              <w14:schemeClr w14:val="tx1"/>
            </w14:solidFill>
          </w14:textFill>
        </w:rPr>
        <w:t xml:space="preserve">、磋商响应函</w:t>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磋商响应函</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致：江苏中审方维工程咨询有限公司</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根据贵方编号为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的项目磋商文件，我方正式提交磋商响应函，并宣布同意如下内容：</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按磋商文件规定的各项要求，向买方提供所需服务（包含与货物相关的服务及与服务相关的货物）。</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我们完全理解贵方不一定将合同授予最低报价的供应商。</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我们已详细审核全部磋商文件及其有效补充文件，我们知道必须放弃提出含糊不清或误解问题的权利。</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我们同意从规定的磋商日期起遵循本响应文件，并在规定的磋商有效期期满之前均具有约束力。</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一旦我方成交，我方将根据磋商文件的规定，严格履行合同的责任和义务,并保证在磋商文件规定的时间完成项目，交付买方验收、使用。</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我方为：¨大型企业 ¨中型企业 ¨小型企业 ¨微型企业（在对应¨内打“√”）</w:t>
      </w:r>
      <w:r/>
    </w:p>
    <w:p>
      <w:pPr>
        <w:pStyle w:val="852"/>
        <w:numPr>
          <w:ilvl w:val="0"/>
          <w:numId w:val="82"/>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我方与本磋商有关的正式通讯地址为：</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地  址：</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邮  编：</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电  话：</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传  真：</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开户行：</w:t>
      </w:r>
      <w:r/>
    </w:p>
    <w:p>
      <w:pPr>
        <w:pStyle w:val="852"/>
        <w:rPr>
          <w:rFonts w:ascii="Times New Roman" w:hAnsi="Times New Roman" w:eastAsia="宋体" w:cs="Times New Roman"/>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账  号：</w:t>
      </w:r>
      <w:r/>
    </w:p>
    <w:p>
      <w:pPr>
        <w:ind w:right="180"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供应商名称：（加盖电子公章）</w:t>
      </w:r>
      <w:r/>
    </w:p>
    <w:p>
      <w:pPr>
        <w:pStyle w:val="1114"/>
        <w:spacing w:before="0" w:after="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  期：</w:t>
      </w:r>
      <w:r/>
    </w:p>
    <w:p>
      <w:pPr>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rFonts w:hint="eastAsia" w:ascii="黑体" w:hAnsi="黑体" w:cs="黑体"/>
          <w:b w:val="0"/>
          <w:color w:val="000000" w:themeColor="text1"/>
          <w:sz w:val="30"/>
          <w:szCs w:val="32"/>
          <w:highlight w:val="none"/>
          <w:lang w:val="en-US" w:eastAsia="zh-CN" w:bidi="ar-SA"/>
          <w14:textFill>
            <w14:solidFill>
              <w14:schemeClr w14:val="tx1"/>
            </w14:solidFill>
          </w14:textFill>
        </w:rPr>
        <w:t xml:space="preserve">三</w:t>
      </w:r>
      <w:r>
        <w:rPr>
          <w:rFonts w:hint="eastAsia" w:ascii="黑体" w:hAnsi="黑体" w:eastAsia="黑体" w:cs="黑体"/>
          <w:b w:val="0"/>
          <w:color w:val="000000" w:themeColor="text1"/>
          <w:sz w:val="30"/>
          <w:szCs w:val="32"/>
          <w:highlight w:val="none"/>
          <w:lang w:bidi="ar-SA"/>
          <w14:textFill>
            <w14:solidFill>
              <w14:schemeClr w14:val="tx1"/>
            </w14:solidFill>
          </w14:textFill>
        </w:rPr>
        <w:t xml:space="preserve">、</w:t>
      </w:r>
      <w:r>
        <w:rPr>
          <w:color w:val="000000" w:themeColor="text1"/>
          <w:highlight w:val="none"/>
          <w14:textFill>
            <w14:solidFill>
              <w14:schemeClr w14:val="tx1"/>
            </w14:solidFill>
          </w14:textFill>
        </w:rPr>
        <w:t xml:space="preserve">报价一览表</w:t>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报价一览表</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供应商名称：（加盖电子公章） </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采购包号：                                 </w:t>
      </w:r>
      <w:r/>
    </w:p>
    <w:tbl>
      <w:tblPr>
        <w:tblStyle w:val="8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cantSplit/>
          <w:trHeight w:val="725"/>
        </w:trPr>
        <w:tc>
          <w:tcPr>
            <w:tcW w:w="5000" w:type="pct"/>
            <w:vAlign w:val="center"/>
            <w:textDirection w:val="lrTb"/>
            <w:noWrap w:val="false"/>
          </w:tcPr>
          <w:p>
            <w:pPr>
              <w:jc w:val="cente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总报价</w:t>
            </w:r>
            <w:r/>
          </w:p>
        </w:tc>
      </w:tr>
      <w:tr>
        <w:trPr>
          <w:cantSplit/>
          <w:trHeight w:val="780"/>
        </w:trPr>
        <w:tc>
          <w:tcPr>
            <w:tcW w:w="5000" w:type="pct"/>
            <w:vAlign w:val="center"/>
            <w:textDirection w:val="lrTb"/>
            <w:noWrap w:val="false"/>
          </w:tcPr>
          <w:p>
            <w:pPr>
              <w:pStyle w:val="1114"/>
              <w:ind w:firstLine="0"/>
              <w:spacing w:before="0" w:after="0"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hint="eastAsia" w:ascii="Times New Roman" w:hAnsi="Times New Roman" w:eastAsia="宋体" w:cs="Times New Roman"/>
          <w:b/>
          <w:i/>
          <w:color w:val="000000" w:themeColor="text1"/>
          <w:sz w:val="24"/>
          <w:szCs w:val="24"/>
          <w:highlight w:val="none"/>
          <w:u w:val="singl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日  期：</w:t>
      </w:r>
      <w:r/>
    </w:p>
    <w:p>
      <w:pPr>
        <w:rPr>
          <w:rFonts w:hint="eastAsia" w:ascii="黑体" w:hAnsi="黑体" w:eastAsia="黑体" w:cs="黑体"/>
          <w:b w:val="0"/>
          <w:color w:val="000000" w:themeColor="text1"/>
          <w:sz w:val="30"/>
          <w:szCs w:val="32"/>
          <w:highlight w:val="none"/>
          <w:lang w:bidi="ar-SA"/>
          <w14:textFill>
            <w14:solidFill>
              <w14:schemeClr w14:val="tx1"/>
            </w14:solidFill>
          </w14:textFill>
        </w:rPr>
      </w:pPr>
      <w:r>
        <w:rPr>
          <w:rFonts w:hint="eastAsia" w:ascii="黑体" w:hAnsi="黑体" w:eastAsia="黑体" w:cs="黑体"/>
          <w:b w:val="0"/>
          <w:color w:val="000000" w:themeColor="text1"/>
          <w:sz w:val="30"/>
          <w:szCs w:val="32"/>
          <w:highlight w:val="none"/>
          <w:lang w:bidi="ar-SA"/>
          <w14:textFill>
            <w14:solidFill>
              <w14:schemeClr w14:val="tx1"/>
            </w14:solidFill>
          </w14:textFill>
        </w:rPr>
        <w:br w:type="page" w:clear="all"/>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rFonts w:hint="eastAsia" w:ascii="黑体" w:hAnsi="黑体" w:cs="黑体"/>
          <w:b w:val="0"/>
          <w:color w:val="000000" w:themeColor="text1"/>
          <w:sz w:val="30"/>
          <w:szCs w:val="32"/>
          <w:highlight w:val="none"/>
          <w:lang w:val="en-US" w:eastAsia="zh-CN" w:bidi="ar-SA"/>
          <w14:textFill>
            <w14:solidFill>
              <w14:schemeClr w14:val="tx1"/>
            </w14:solidFill>
          </w14:textFill>
        </w:rPr>
        <w:t xml:space="preserve">四</w:t>
      </w:r>
      <w:r>
        <w:rPr>
          <w:rFonts w:hint="eastAsia" w:ascii="黑体" w:hAnsi="黑体" w:eastAsia="黑体" w:cs="黑体"/>
          <w:b w:val="0"/>
          <w:color w:val="000000" w:themeColor="text1"/>
          <w:sz w:val="30"/>
          <w:szCs w:val="32"/>
          <w:highlight w:val="none"/>
          <w:lang w:bidi="ar-SA"/>
          <w14:textFill>
            <w14:solidFill>
              <w14:schemeClr w14:val="tx1"/>
            </w14:solidFill>
          </w14:textFill>
        </w:rPr>
        <w:t xml:space="preserve">、</w:t>
      </w:r>
      <w:r>
        <w:rPr>
          <w:color w:val="000000" w:themeColor="text1"/>
          <w:highlight w:val="none"/>
          <w14:textFill>
            <w14:solidFill>
              <w14:schemeClr w14:val="tx1"/>
            </w14:solidFill>
          </w14:textFill>
        </w:rPr>
        <w:t xml:space="preserve">分项报价表</w:t>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分项报价表</w:t>
      </w:r>
      <w:r/>
    </w:p>
    <w:tbl>
      <w:tblPr>
        <w:tblStyle w:val="848"/>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062"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4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1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35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3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695"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062"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分项名称</w:t>
            </w:r>
            <w:r/>
          </w:p>
        </w:tc>
        <w:tc>
          <w:tcPr>
            <w:tcW w:w="14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交付期（天）</w:t>
            </w:r>
            <w:r/>
          </w:p>
        </w:tc>
        <w:tc>
          <w:tcPr>
            <w:tcW w:w="11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35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1320" w:type="dxa"/>
            <w:vAlign w:val="center"/>
            <w:textDirection w:val="lrTb"/>
            <w:noWrap w:val="false"/>
          </w:tcPr>
          <w:p>
            <w:pPr>
              <w:jc w:val="center"/>
              <w:spacing w:line="0" w:lineRule="atLeast"/>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单价（元）</w:t>
            </w:r>
            <w:r/>
          </w:p>
        </w:tc>
        <w:tc>
          <w:tcPr>
            <w:tcW w:w="169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062"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062"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062"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062"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088"/>
        <w:jc w:val="both"/>
        <w:spacing w:before="0" w:beforeAutospacing="0" w:after="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供应商名称：（加盖电子公章）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备注： </w:t>
      </w:r>
      <w:r/>
    </w:p>
    <w:p>
      <w:pPr>
        <w:pStyle w:val="852"/>
        <w:numPr>
          <w:ilvl w:val="0"/>
          <w:numId w:val="8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“总报价”应包括为完成整个项目所产生的所有费用，采购文件另有规定的除外。</w:t>
      </w:r>
      <w:r/>
    </w:p>
    <w:p>
      <w:pPr>
        <w:pStyle w:val="852"/>
        <w:numPr>
          <w:ilvl w:val="0"/>
          <w:numId w:val="8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《分项报价表》中“总报价”应当与《磋商报价表》中“总报价”一致。</w:t>
      </w:r>
      <w:r/>
    </w:p>
    <w:p>
      <w:pPr>
        <w:pStyle w:val="852"/>
        <w:numPr>
          <w:ilvl w:val="0"/>
          <w:numId w:val="83"/>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行数不够，可自行添加。</w:t>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br w:type="page" w:clear="all"/>
      </w:r>
      <w:bookmarkEnd w:id="57"/>
      <w:r/>
      <w:bookmarkEnd w:id="58"/>
      <w:r/>
      <w:bookmarkEnd w:id="67"/>
      <w:r>
        <w:rPr>
          <w:rFonts w:hint="eastAsia"/>
          <w:color w:val="000000" w:themeColor="text1"/>
          <w:highlight w:val="none"/>
          <w:u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技术要求响应及偏离表</w:t>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技术要求响应及偏离表</w:t>
      </w:r>
      <w:r/>
    </w:p>
    <w:tbl>
      <w:tblPr>
        <w:tblStyle w:val="8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951"/>
        <w:gridCol w:w="2858"/>
        <w:gridCol w:w="3396"/>
      </w:tblGrid>
      <w:tr>
        <w:trPr>
          <w:cantSplit/>
        </w:trPr>
        <w:tc>
          <w:tcPr>
            <w:tcW w:w="378"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481"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磋商文件要求</w:t>
            </w:r>
            <w:r/>
          </w:p>
        </w:tc>
        <w:tc>
          <w:tcPr>
            <w:tcW w:w="1434"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1704"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81"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04"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088"/>
        <w:jc w:val="both"/>
        <w:spacing w:before="0" w:beforeAutospacing="0" w:after="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供应商名称：（加盖电子公章）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备注： </w:t>
      </w:r>
      <w:r/>
    </w:p>
    <w:p>
      <w:pPr>
        <w:pStyle w:val="852"/>
        <w:numPr>
          <w:ilvl w:val="0"/>
          <w:numId w:val="84"/>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供应商须对磋商文件技术要求中的实质性要求（斜体下划线内容或打“★”内容）及其他要求做出明确响应，否则视为无效响应。</w:t>
      </w:r>
      <w:r/>
    </w:p>
    <w:p>
      <w:pPr>
        <w:pStyle w:val="852"/>
        <w:numPr>
          <w:ilvl w:val="0"/>
          <w:numId w:val="84"/>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52"/>
        <w:numPr>
          <w:ilvl w:val="0"/>
          <w:numId w:val="84"/>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行数不够，可自行添加。</w:t>
      </w:r>
      <w:r/>
    </w:p>
    <w:p>
      <w:pPr>
        <w:rPr>
          <w:rFonts w:hint="eastAsia" w:ascii="黑体" w:hAnsi="黑体" w:eastAsia="黑体" w:cs="黑体"/>
          <w:b w:val="0"/>
          <w:color w:val="000000" w:themeColor="text1"/>
          <w:sz w:val="30"/>
          <w:szCs w:val="32"/>
          <w:highlight w:val="none"/>
          <w:lang w:bidi="ar-SA"/>
          <w14:textFill>
            <w14:solidFill>
              <w14:schemeClr w14:val="tx1"/>
            </w14:solidFill>
          </w14:textFill>
        </w:rPr>
      </w:pPr>
      <w:r/>
      <w:bookmarkStart w:id="71" w:name="_Hlt26955054"/>
      <w:r/>
      <w:bookmarkEnd w:id="71"/>
      <w:r>
        <w:rPr>
          <w:rFonts w:hint="eastAsia" w:ascii="黑体" w:hAnsi="黑体" w:eastAsia="黑体" w:cs="黑体"/>
          <w:b w:val="0"/>
          <w:color w:val="000000" w:themeColor="text1"/>
          <w:sz w:val="30"/>
          <w:szCs w:val="32"/>
          <w:highlight w:val="none"/>
          <w:lang w:bidi="ar-SA"/>
          <w14:textFill>
            <w14:solidFill>
              <w14:schemeClr w14:val="tx1"/>
            </w14:solidFill>
          </w14:textFill>
        </w:rPr>
        <w:br w:type="page" w:clear="all"/>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rFonts w:hint="eastAsia" w:ascii="黑体" w:hAnsi="黑体" w:cs="黑体"/>
          <w:b w:val="0"/>
          <w:color w:val="000000" w:themeColor="text1"/>
          <w:sz w:val="30"/>
          <w:szCs w:val="32"/>
          <w:highlight w:val="none"/>
          <w:lang w:val="en-US" w:eastAsia="zh-CN" w:bidi="ar-SA"/>
          <w14:textFill>
            <w14:solidFill>
              <w14:schemeClr w14:val="tx1"/>
            </w14:solidFill>
          </w14:textFill>
        </w:rPr>
        <w:t xml:space="preserve">六</w:t>
      </w:r>
      <w:r>
        <w:rPr>
          <w:rFonts w:hint="eastAsia" w:ascii="黑体" w:hAnsi="黑体" w:eastAsia="黑体" w:cs="黑体"/>
          <w:b w:val="0"/>
          <w:color w:val="000000" w:themeColor="text1"/>
          <w:sz w:val="30"/>
          <w:szCs w:val="32"/>
          <w:highlight w:val="none"/>
          <w:lang w:bidi="ar-SA"/>
          <w14:textFill>
            <w14:solidFill>
              <w14:schemeClr w14:val="tx1"/>
            </w14:solidFill>
          </w14:textFill>
        </w:rPr>
        <w:t xml:space="preserve">、</w:t>
      </w:r>
      <w:r>
        <w:rPr>
          <w:color w:val="000000" w:themeColor="text1"/>
          <w:highlight w:val="none"/>
          <w14:textFill>
            <w14:solidFill>
              <w14:schemeClr w14:val="tx1"/>
            </w14:solidFill>
          </w14:textFill>
        </w:rPr>
        <w:t xml:space="preserve">商务要求响应及偏离表</w:t>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商务要求响应及偏离表</w:t>
      </w:r>
      <w:r/>
    </w:p>
    <w:tbl>
      <w:tblPr>
        <w:tblStyle w:val="84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870"/>
        <w:gridCol w:w="2864"/>
        <w:gridCol w:w="3384"/>
      </w:tblGrid>
      <w:tr>
        <w:trPr>
          <w:cantSplit/>
        </w:trPr>
        <w:tc>
          <w:tcPr>
            <w:tcW w:w="423"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bookmarkStart w:id="72" w:name="_Hlt24879081"/>
            <w:r/>
            <w:bookmarkEnd w:id="72"/>
            <w:r/>
            <w:bookmarkStart w:id="73" w:name="_Hlt26671372"/>
            <w:r/>
            <w:bookmarkEnd w:id="73"/>
            <w:r/>
            <w:bookmarkStart w:id="74" w:name="_Hlt26955056"/>
            <w:r/>
            <w:bookmarkEnd w:id="74"/>
            <w:r/>
            <w:bookmarkStart w:id="75" w:name="_Hlt26671343"/>
            <w:r/>
            <w:bookmarkEnd w:id="75"/>
            <w:r/>
            <w:bookmarkStart w:id="76" w:name="_Hlt26782999"/>
            <w:r/>
            <w:bookmarkEnd w:id="76"/>
            <w:r/>
            <w:bookmarkStart w:id="77" w:name="_Hlt26955064"/>
            <w:r/>
            <w:bookmarkEnd w:id="77"/>
            <w:r/>
            <w:bookmarkStart w:id="78" w:name="_Hlt26609391"/>
            <w:r/>
            <w:bookmarkEnd w:id="78"/>
            <w:r/>
            <w:bookmarkStart w:id="79" w:name="_Hlt26580838"/>
            <w:r/>
            <w:bookmarkEnd w:id="79"/>
            <w:r>
              <w:rPr>
                <w:rFonts w:hint="eastAsia" w:ascii="宋体" w:hAnsi="宋体"/>
                <w:color w:val="000000" w:themeColor="text1"/>
                <w:sz w:val="24"/>
                <w:szCs w:val="24"/>
                <w:highlight w:val="none"/>
                <w14:textFill>
                  <w14:solidFill>
                    <w14:schemeClr w14:val="tx1"/>
                  </w14:solidFill>
                </w14:textFill>
              </w:rPr>
              <w:t xml:space="preserve">序号</w:t>
            </w:r>
            <w:r/>
          </w:p>
        </w:tc>
        <w:tc>
          <w:tcPr>
            <w:tcW w:w="1440"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磋商文件要求</w:t>
            </w:r>
            <w:r/>
          </w:p>
        </w:tc>
        <w:tc>
          <w:tcPr>
            <w:tcW w:w="1437"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1698" w:type="pct"/>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423"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40"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37"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98" w:type="pct"/>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088"/>
        <w:jc w:val="both"/>
        <w:spacing w:before="0" w:beforeAutospacing="0" w:after="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48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供应商名称：（加盖电子公章）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52"/>
        <w:widowControl/>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备注： </w:t>
      </w:r>
      <w:r/>
    </w:p>
    <w:p>
      <w:pPr>
        <w:pStyle w:val="852"/>
        <w:numPr>
          <w:ilvl w:val="0"/>
          <w:numId w:val="85"/>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供应商须对磋商文件商务要求中的实质性要求（斜体下划线内容或打“★”内容）做出明确响应，否则视为无效响应。</w:t>
      </w:r>
      <w:r/>
    </w:p>
    <w:p>
      <w:pPr>
        <w:pStyle w:val="852"/>
        <w:numPr>
          <w:ilvl w:val="0"/>
          <w:numId w:val="85"/>
        </w:numPr>
        <w:ind w:left="0" w:firstLine="480"/>
        <w:widowControl/>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行数不够，可自行添加。</w:t>
      </w:r>
      <w:r/>
    </w:p>
    <w:p>
      <w:pPr>
        <w:rPr>
          <w:rFonts w:hint="eastAsia" w:ascii="黑体" w:hAnsi="黑体" w:cs="黑体"/>
          <w:b w:val="0"/>
          <w:color w:val="000000" w:themeColor="text1"/>
          <w:sz w:val="30"/>
          <w:szCs w:val="32"/>
          <w:highlight w:val="none"/>
          <w:lang w:val="en-US" w:eastAsia="zh-CN" w:bidi="ar-SA"/>
          <w14:textFill>
            <w14:solidFill>
              <w14:schemeClr w14:val="tx1"/>
            </w14:solidFill>
          </w14:textFill>
        </w:rPr>
      </w:pPr>
      <w:r>
        <w:rPr>
          <w:rFonts w:hint="eastAsia" w:ascii="黑体" w:hAnsi="黑体" w:cs="黑体"/>
          <w:b w:val="0"/>
          <w:color w:val="000000" w:themeColor="text1"/>
          <w:sz w:val="30"/>
          <w:szCs w:val="32"/>
          <w:highlight w:val="none"/>
          <w:lang w:val="en-US" w:eastAsia="zh-CN" w:bidi="ar-SA"/>
          <w14:textFill>
            <w14:solidFill>
              <w14:schemeClr w14:val="tx1"/>
            </w14:solidFill>
          </w14:textFill>
        </w:rPr>
        <w:br w:type="page" w:clear="all"/>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rFonts w:hint="eastAsia" w:ascii="黑体" w:hAnsi="黑体" w:cs="黑体"/>
          <w:b w:val="0"/>
          <w:color w:val="000000" w:themeColor="text1"/>
          <w:sz w:val="30"/>
          <w:szCs w:val="32"/>
          <w:highlight w:val="none"/>
          <w:lang w:val="en-US" w:eastAsia="zh-CN" w:bidi="ar-SA"/>
          <w14:textFill>
            <w14:solidFill>
              <w14:schemeClr w14:val="tx1"/>
            </w14:solidFill>
          </w14:textFill>
        </w:rPr>
        <w:t xml:space="preserve">七</w:t>
      </w:r>
      <w:r>
        <w:rPr>
          <w:rFonts w:hint="eastAsia" w:ascii="黑体" w:hAnsi="黑体" w:eastAsia="黑体" w:cs="黑体"/>
          <w:b w:val="0"/>
          <w:color w:val="000000" w:themeColor="text1"/>
          <w:sz w:val="30"/>
          <w:szCs w:val="32"/>
          <w:highlight w:val="none"/>
          <w:lang w:bidi="ar-SA"/>
          <w14:textFill>
            <w14:solidFill>
              <w14:schemeClr w14:val="tx1"/>
            </w14:solidFill>
          </w14:textFill>
        </w:rPr>
        <w:t xml:space="preserve">、</w:t>
      </w:r>
      <w:r>
        <w:rPr>
          <w:color w:val="000000" w:themeColor="text1"/>
          <w:highlight w:val="none"/>
          <w14:textFill>
            <w14:solidFill>
              <w14:schemeClr w14:val="tx1"/>
            </w14:solidFill>
          </w14:textFill>
        </w:rPr>
        <w:t xml:space="preserve">中小企业声明函</w:t>
      </w:r>
      <w:r/>
    </w:p>
    <w:p>
      <w:pPr>
        <w:pStyle w:val="11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中小企业声明函（服务）</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XXXXXXXXXXXXXXXXXXXXXXXXX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（单位名称）采购编号为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XXXXXXXXXXXXXXXXXXXXXXXXX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项目（采购包号：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852"/>
        <w:numPr>
          <w:ilvl w:val="0"/>
          <w:numId w:val="86"/>
        </w:numPr>
        <w:ind w:left="0" w:firstLine="480"/>
        <w:rPr>
          <w:rFonts w:ascii="Times New Roman" w:hAnsi="Times New Roman" w:eastAsia="宋体" w:cs="Times New Roman"/>
          <w:b w:val="0"/>
          <w:i/>
          <w:color w:val="000000" w:themeColor="text1"/>
          <w:sz w:val="24"/>
          <w:szCs w:val="24"/>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（标的名称）属于</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行业（磋商文件中明确的所属行业）；承接企业为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（企业名称），从业人员</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人，营业收入为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万元，资产总额为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万元</w:t>
      </w:r>
      <w:r>
        <w:rPr>
          <w:rFonts w:ascii="Times New Roman" w:hAnsi="Times New Roman" w:eastAsia="宋体" w:cs="Times New Roman"/>
          <w:color w:val="000000" w:themeColor="text1"/>
          <w:sz w:val="24"/>
          <w:szCs w:val="24"/>
          <w:highlight w:val="none"/>
          <w:vertAlign w:val="superscript"/>
          <w14:textFill>
            <w14:solidFill>
              <w14:schemeClr w14:val="tx1"/>
            </w14:solidFill>
          </w14:textFill>
        </w:rPr>
        <w:t xml:space="preserve">1</w:t>
      </w:r>
      <w:r>
        <w:rPr>
          <w:rFonts w:ascii="Times New Roman" w:hAnsi="Times New Roman" w:eastAsia="宋体" w:cs="Times New Roman"/>
          <w:color w:val="000000" w:themeColor="text1"/>
          <w:sz w:val="24"/>
          <w:szCs w:val="24"/>
          <w:highlight w:val="none"/>
          <w14:textFill>
            <w14:solidFill>
              <w14:schemeClr w14:val="tx1"/>
            </w14:solidFill>
          </w14:textFill>
        </w:rPr>
        <w:t xml:space="preserve">，属于¨中型企业 ¨小型企业 ¨微型企业。</w:t>
      </w:r>
      <w:r/>
    </w:p>
    <w:p>
      <w:pPr>
        <w:pStyle w:val="852"/>
        <w:numPr>
          <w:ilvl w:val="0"/>
          <w:numId w:val="86"/>
        </w:numPr>
        <w:ind w:left="0" w:firstLine="480"/>
        <w:rPr>
          <w:rFonts w:ascii="Times New Roman" w:hAnsi="Times New Roman" w:eastAsia="宋体" w:cs="Times New Roman"/>
          <w:b w:val="0"/>
          <w:i/>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（标的名称）属于</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行业（磋商文件中明确的所属行业）；承接企业为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（企业名称），从业人员</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人，营业收入为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万元，资产总额为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万元</w:t>
      </w:r>
      <w:r>
        <w:rPr>
          <w:rFonts w:ascii="Times New Roman" w:hAnsi="Times New Roman" w:eastAsia="宋体" w:cs="Times New Roman"/>
          <w:color w:val="000000" w:themeColor="text1"/>
          <w:sz w:val="24"/>
          <w:szCs w:val="24"/>
          <w:highlight w:val="none"/>
          <w:vertAlign w:val="superscript"/>
          <w14:textFill>
            <w14:solidFill>
              <w14:schemeClr w14:val="tx1"/>
            </w14:solidFill>
          </w14:textFill>
        </w:rPr>
        <w:t xml:space="preserve">1</w:t>
      </w:r>
      <w:r>
        <w:rPr>
          <w:rFonts w:ascii="Times New Roman" w:hAnsi="Times New Roman" w:eastAsia="宋体" w:cs="Times New Roman"/>
          <w:color w:val="000000" w:themeColor="text1"/>
          <w:sz w:val="24"/>
          <w:szCs w:val="24"/>
          <w:highlight w:val="none"/>
          <w14:textFill>
            <w14:solidFill>
              <w14:schemeClr w14:val="tx1"/>
            </w14:solidFill>
          </w14:textFill>
        </w:rPr>
        <w:t xml:space="preserve">，属于¨中型企业 ¨小型企业 ¨微型企业。</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10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180" w:firstLine="360"/>
        <w:jc w:val="center"/>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    期：</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839"/>
        <w:numPr>
          <w:ilvl w:val="0"/>
          <w:numId w:val="0"/>
        </w:numPr>
        <w:ind w:left="0" w:firstLine="0"/>
        <w:rPr>
          <w:rFonts w:hint="eastAsia" w:ascii="黑体" w:hAnsi="黑体" w:eastAsia="黑体" w:cs="黑体"/>
          <w:b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lang w:val="en-US" w:eastAsia="zh-CN"/>
          <w14:textFill>
            <w14:solidFill>
              <w14:schemeClr w14:val="tx1"/>
            </w14:solidFill>
          </w14:textFill>
        </w:rPr>
        <w:t xml:space="preserve">八、</w:t>
      </w:r>
      <w:r>
        <w:rPr>
          <w:color w:val="000000" w:themeColor="text1"/>
          <w:highlight w:val="none"/>
          <w14:textFill>
            <w14:solidFill>
              <w14:schemeClr w14:val="tx1"/>
            </w14:solidFill>
          </w14:textFill>
        </w:rPr>
        <w:t xml:space="preserve">残疾人福利性单位声明函</w:t>
      </w:r>
      <w:r/>
    </w:p>
    <w:p>
      <w:pPr>
        <w:pStyle w:val="11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中国残疾人联合会关于促进残疾人就业政府采购政策的通知》（财库〔2017〕141号）的规定，本单位为符合条件的残疾人福利性单位，参加</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XXXXXXXXXXXXXXXXXXXXXXXXX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（单位名称）采购编号为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XXXXXXXXXXXXXXXXXXXXXXXXX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项目（采购包号：</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XXX</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）的采购活动，服务全部由本单位提供。</w:t>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110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180" w:firstLine="360"/>
        <w:jc w:val="center"/>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    期：</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852"/>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备注：</w:t>
      </w:r>
      <w:r/>
    </w:p>
    <w:p>
      <w:pPr>
        <w:pStyle w:val="852"/>
        <w:numPr>
          <w:ilvl w:val="0"/>
          <w:numId w:val="8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供应商如不提供此声明函，价格将不做相应扣除。</w:t>
      </w:r>
      <w:r/>
    </w:p>
    <w:p>
      <w:pPr>
        <w:pStyle w:val="852"/>
        <w:numPr>
          <w:ilvl w:val="0"/>
          <w:numId w:val="87"/>
        </w:numPr>
        <w:ind w:left="0" w:firstLine="480"/>
        <w:rPr>
          <w:rFonts w:ascii="Times New Roman" w:hAnsi="Times New Roman" w:eastAsia="宋体" w:cs="Times New Roman"/>
          <w:b w:val="0"/>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成交供应商为残疾人福利性单位的，此声明函将随成交结果同时公告，接受社会监督。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6"/>
      </w:rPr>
      <w:framePr w:wrap="around" w:vAnchor="text" w:hAnchor="margin" w:xAlign="center" w:y="1"/>
    </w:pPr>
    <w:r>
      <w:fldChar w:fldCharType="begin"/>
    </w:r>
    <w:r>
      <w:rPr>
        <w:rStyle w:val="1096"/>
      </w:rPr>
      <w:instrText xml:space="preserve">PAGE  </w:instrText>
    </w:r>
    <w:r>
      <w:fldChar w:fldCharType="separate"/>
    </w:r>
    <w:r>
      <w:rPr>
        <w:rStyle w:val="1096"/>
      </w:rPr>
      <w:t xml:space="preserve">1</w:t>
    </w:r>
    <w:r>
      <w:fldChar w:fldCharType="end"/>
    </w:r>
    <w:r/>
  </w:p>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9.%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25.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3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11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9.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9"/>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8"/>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space"/>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4.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6.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space"/>
      <w:lvlText w:val="2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28"/>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9.%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FullWidth"/>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9"/>
      <w:isLgl w:val="false"/>
      <w:suff w:val="nothing"/>
      <w:lvlText w:val=""/>
      <w:lvlJc w:val="left"/>
      <w:pPr>
        <w:ind w:left="0" w:firstLine="0"/>
      </w:pPr>
      <w:rPr>
        <w:rFonts w:hint="eastAsia"/>
      </w:rPr>
    </w:lvl>
    <w:lvl w:ilvl="6">
      <w:start w:val="1"/>
      <w:numFmt w:val="decimal"/>
      <w:pStyle w:val="1030"/>
      <w:isLgl w:val="false"/>
      <w:suff w:val="nothing"/>
      <w:lvlText w:val=""/>
      <w:lvlJc w:val="left"/>
      <w:pPr>
        <w:ind w:left="0" w:firstLine="0"/>
      </w:pPr>
      <w:rPr>
        <w:rFonts w:hint="eastAsia"/>
      </w:rPr>
    </w:lvl>
    <w:lvl w:ilvl="7">
      <w:start w:val="1"/>
      <w:numFmt w:val="decimal"/>
      <w:pStyle w:val="1031"/>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42">
    <w:multiLevelType w:val="hybridMultilevel"/>
    <w:lvl w:ilvl="0">
      <w:start w:val="1"/>
      <w:numFmt w:val="decimal"/>
      <w:isLgl w:val="false"/>
      <w:suff w:val="space"/>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25.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25.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2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space"/>
      <w:lvlText w:val="24.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space"/>
      <w:lvlText w:val="2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space"/>
      <w:lvlText w:val="24.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20"/>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space"/>
      <w:lvlText w:val="3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chineseCounting"/>
      <w:isLgl w:val="false"/>
      <w:suff w:val="space"/>
      <w:lvlText w:val="第%1条"/>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space"/>
      <w:lvlText w:val="3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6"/>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3">
    <w:multiLevelType w:val="hybridMultilevel"/>
    <w:lvl w:ilvl="0">
      <w:start w:val="26"/>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space"/>
      <w:lvlText w:val="3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space"/>
      <w:lvlText w:val="1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space"/>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1"/>
  </w:num>
  <w:num w:numId="2">
    <w:abstractNumId w:val="17"/>
  </w:num>
  <w:num w:numId="3">
    <w:abstractNumId w:val="72"/>
  </w:num>
  <w:num w:numId="4">
    <w:abstractNumId w:val="49"/>
  </w:num>
  <w:num w:numId="5">
    <w:abstractNumId w:val="19"/>
  </w:num>
  <w:num w:numId="6">
    <w:abstractNumId w:val="5"/>
  </w:num>
  <w:num w:numId="7">
    <w:abstractNumId w:val="43"/>
  </w:num>
  <w:num w:numId="8">
    <w:abstractNumId w:val="25"/>
  </w:num>
  <w:num w:numId="9">
    <w:abstractNumId w:val="57"/>
  </w:num>
  <w:num w:numId="10">
    <w:abstractNumId w:val="32"/>
  </w:num>
  <w:num w:numId="11">
    <w:abstractNumId w:val="27"/>
  </w:num>
  <w:num w:numId="12">
    <w:abstractNumId w:val="50"/>
  </w:num>
  <w:num w:numId="13">
    <w:abstractNumId w:val="79"/>
  </w:num>
  <w:num w:numId="14">
    <w:abstractNumId w:val="68"/>
  </w:num>
  <w:num w:numId="15">
    <w:abstractNumId w:val="83"/>
  </w:num>
  <w:num w:numId="16">
    <w:abstractNumId w:val="42"/>
  </w:num>
  <w:num w:numId="17">
    <w:abstractNumId w:val="71"/>
  </w:num>
  <w:num w:numId="18">
    <w:abstractNumId w:val="11"/>
  </w:num>
  <w:num w:numId="19">
    <w:abstractNumId w:val="74"/>
  </w:num>
  <w:num w:numId="20">
    <w:abstractNumId w:val="77"/>
  </w:num>
  <w:num w:numId="21">
    <w:abstractNumId w:val="23"/>
  </w:num>
  <w:num w:numId="22">
    <w:abstractNumId w:val="39"/>
  </w:num>
  <w:num w:numId="23">
    <w:abstractNumId w:val="37"/>
  </w:num>
  <w:num w:numId="24">
    <w:abstractNumId w:val="9"/>
  </w:num>
  <w:num w:numId="25">
    <w:abstractNumId w:val="81"/>
  </w:num>
  <w:num w:numId="26">
    <w:abstractNumId w:val="20"/>
  </w:num>
  <w:num w:numId="27">
    <w:abstractNumId w:val="2"/>
  </w:num>
  <w:num w:numId="28">
    <w:abstractNumId w:val="12"/>
  </w:num>
  <w:num w:numId="29">
    <w:abstractNumId w:val="0"/>
  </w:num>
  <w:num w:numId="30">
    <w:abstractNumId w:val="21"/>
  </w:num>
  <w:num w:numId="31">
    <w:abstractNumId w:val="80"/>
  </w:num>
  <w:num w:numId="32">
    <w:abstractNumId w:val="60"/>
  </w:num>
  <w:num w:numId="33">
    <w:abstractNumId w:val="61"/>
  </w:num>
  <w:num w:numId="34">
    <w:abstractNumId w:val="4"/>
  </w:num>
  <w:num w:numId="35">
    <w:abstractNumId w:val="75"/>
  </w:num>
  <w:num w:numId="36">
    <w:abstractNumId w:val="54"/>
  </w:num>
  <w:num w:numId="37">
    <w:abstractNumId w:val="58"/>
  </w:num>
  <w:num w:numId="38">
    <w:abstractNumId w:val="28"/>
  </w:num>
  <w:num w:numId="39">
    <w:abstractNumId w:val="18"/>
  </w:num>
  <w:num w:numId="40">
    <w:abstractNumId w:val="53"/>
  </w:num>
  <w:num w:numId="41">
    <w:abstractNumId w:val="56"/>
  </w:num>
  <w:num w:numId="42">
    <w:abstractNumId w:val="45"/>
  </w:num>
  <w:num w:numId="43">
    <w:abstractNumId w:val="47"/>
  </w:num>
  <w:num w:numId="44">
    <w:abstractNumId w:val="10"/>
  </w:num>
  <w:num w:numId="45">
    <w:abstractNumId w:val="73"/>
  </w:num>
  <w:num w:numId="46">
    <w:abstractNumId w:val="85"/>
  </w:num>
  <w:num w:numId="47">
    <w:abstractNumId w:val="35"/>
  </w:num>
  <w:num w:numId="48">
    <w:abstractNumId w:val="29"/>
  </w:num>
  <w:num w:numId="49">
    <w:abstractNumId w:val="48"/>
  </w:num>
  <w:num w:numId="50">
    <w:abstractNumId w:val="36"/>
  </w:num>
  <w:num w:numId="51">
    <w:abstractNumId w:val="31"/>
  </w:num>
  <w:num w:numId="52">
    <w:abstractNumId w:val="70"/>
  </w:num>
  <w:num w:numId="53">
    <w:abstractNumId w:val="13"/>
  </w:num>
  <w:num w:numId="54">
    <w:abstractNumId w:val="65"/>
  </w:num>
  <w:num w:numId="55">
    <w:abstractNumId w:val="78"/>
  </w:num>
  <w:num w:numId="56">
    <w:abstractNumId w:val="24"/>
  </w:num>
  <w:num w:numId="57">
    <w:abstractNumId w:val="15"/>
  </w:num>
  <w:num w:numId="58">
    <w:abstractNumId w:val="67"/>
  </w:num>
  <w:num w:numId="59">
    <w:abstractNumId w:val="16"/>
  </w:num>
  <w:num w:numId="60">
    <w:abstractNumId w:val="33"/>
  </w:num>
  <w:num w:numId="61">
    <w:abstractNumId w:val="64"/>
  </w:num>
  <w:num w:numId="62">
    <w:abstractNumId w:val="40"/>
  </w:num>
  <w:num w:numId="63">
    <w:abstractNumId w:val="34"/>
  </w:num>
  <w:num w:numId="64">
    <w:abstractNumId w:val="86"/>
  </w:num>
  <w:num w:numId="65">
    <w:abstractNumId w:val="82"/>
  </w:num>
  <w:num w:numId="66">
    <w:abstractNumId w:val="51"/>
  </w:num>
  <w:num w:numId="67">
    <w:abstractNumId w:val="38"/>
  </w:num>
  <w:num w:numId="68">
    <w:abstractNumId w:val="3"/>
  </w:num>
  <w:num w:numId="69">
    <w:abstractNumId w:val="63"/>
  </w:num>
  <w:num w:numId="70">
    <w:abstractNumId w:val="6"/>
  </w:num>
  <w:num w:numId="71">
    <w:abstractNumId w:val="22"/>
  </w:num>
  <w:num w:numId="72">
    <w:abstractNumId w:val="44"/>
  </w:num>
  <w:num w:numId="73">
    <w:abstractNumId w:val="59"/>
  </w:num>
  <w:num w:numId="74">
    <w:abstractNumId w:val="52"/>
  </w:num>
  <w:num w:numId="75">
    <w:abstractNumId w:val="7"/>
  </w:num>
  <w:num w:numId="76">
    <w:abstractNumId w:val="69"/>
  </w:num>
  <w:num w:numId="77">
    <w:abstractNumId w:val="8"/>
  </w:num>
  <w:num w:numId="78">
    <w:abstractNumId w:val="30"/>
  </w:num>
  <w:num w:numId="79">
    <w:abstractNumId w:val="76"/>
  </w:num>
  <w:num w:numId="80">
    <w:abstractNumId w:val="66"/>
  </w:num>
  <w:num w:numId="81">
    <w:abstractNumId w:val="1"/>
  </w:num>
  <w:num w:numId="82">
    <w:abstractNumId w:val="55"/>
  </w:num>
  <w:num w:numId="83">
    <w:abstractNumId w:val="26"/>
  </w:num>
  <w:num w:numId="84">
    <w:abstractNumId w:val="62"/>
  </w:num>
  <w:num w:numId="85">
    <w:abstractNumId w:val="84"/>
  </w:num>
  <w:num w:numId="86">
    <w:abstractNumId w:val="14"/>
  </w:num>
  <w:num w:numId="8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link w:val="11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8">
    <w:name w:val="Heading 1"/>
    <w:next w:val="837"/>
    <w:link w:val="875"/>
    <w:uiPriority w:val="9"/>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839">
    <w:name w:val="Heading 2"/>
    <w:next w:val="837"/>
    <w:uiPriority w:val="9"/>
    <w:unhideWhenUsed/>
    <w:qFormat/>
    <w:pPr>
      <w:jc w:val="both"/>
      <w:spacing w:before="280" w:line="300" w:lineRule="auto"/>
      <w:widowControl w:val="off"/>
      <w:outlineLvl w:val="1"/>
    </w:pPr>
    <w:rPr>
      <w:rFonts w:ascii="Times New Roman" w:hAnsi="Times New Roman" w:eastAsia="黑体" w:cs="Times New Roman"/>
      <w:sz w:val="30"/>
      <w:szCs w:val="32"/>
      <w:lang w:bidi="ar-SA"/>
    </w:rPr>
  </w:style>
  <w:style w:type="paragraph" w:styleId="840">
    <w:name w:val="Heading 3"/>
    <w:next w:val="837"/>
    <w:uiPriority w:val="9"/>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841">
    <w:name w:val="Heading 4"/>
    <w:next w:val="837"/>
    <w:link w:val="878"/>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paragraph" w:styleId="842">
    <w:name w:val="Heading 5"/>
    <w:next w:val="837"/>
    <w:link w:val="879"/>
    <w:uiPriority w:val="9"/>
    <w:unhideWhenUsed/>
    <w:qFormat/>
    <w:pPr>
      <w:jc w:val="both"/>
      <w:keepLines/>
      <w:keepNext/>
      <w:spacing w:before="160" w:line="300" w:lineRule="auto"/>
      <w:widowControl w:val="off"/>
      <w:outlineLvl w:val="4"/>
    </w:pPr>
    <w:rPr>
      <w:rFonts w:ascii="Times New Roman" w:hAnsi="Times New Roman" w:eastAsia="黑体" w:cs="Times New Roman"/>
      <w:bCs/>
      <w:sz w:val="28"/>
      <w:szCs w:val="28"/>
      <w:lang w:bidi="ar-SA"/>
    </w:rPr>
  </w:style>
  <w:style w:type="paragraph" w:styleId="843">
    <w:name w:val="Heading 6"/>
    <w:next w:val="837"/>
    <w:link w:val="880"/>
    <w:uiPriority w:val="9"/>
    <w:unhideWhenUsed/>
    <w:qFormat/>
    <w:pPr>
      <w:jc w:val="both"/>
      <w:keepLines/>
      <w:keepNext/>
      <w:spacing w:before="120" w:line="300" w:lineRule="auto"/>
      <w:widowControl w:val="off"/>
      <w:outlineLvl w:val="5"/>
    </w:pPr>
    <w:rPr>
      <w:rFonts w:ascii="Times New Roman" w:hAnsi="Times New Roman" w:eastAsia="黑体" w:cs="Times New Roman"/>
      <w:bCs/>
      <w:sz w:val="28"/>
      <w:szCs w:val="24"/>
      <w:lang w:bidi="ar-SA"/>
    </w:rPr>
  </w:style>
  <w:style w:type="paragraph" w:styleId="844">
    <w:name w:val="Heading 7"/>
    <w:next w:val="837"/>
    <w:link w:val="881"/>
    <w:uiPriority w:val="9"/>
    <w:unhideWhenUsed/>
    <w:qFormat/>
    <w:pPr>
      <w:jc w:val="both"/>
      <w:keepLines/>
      <w:keepNext/>
      <w:spacing w:before="120" w:line="300" w:lineRule="auto"/>
      <w:widowControl w:val="off"/>
      <w:outlineLvl w:val="6"/>
    </w:pPr>
    <w:rPr>
      <w:rFonts w:ascii="Times New Roman" w:hAnsi="Times New Roman" w:eastAsia="黑体" w:cs="Times New Roman"/>
      <w:bCs/>
      <w:sz w:val="24"/>
      <w:szCs w:val="24"/>
      <w:lang w:bidi="ar-SA"/>
    </w:rPr>
  </w:style>
  <w:style w:type="paragraph" w:styleId="845">
    <w:name w:val="Heading 8"/>
    <w:next w:val="837"/>
    <w:link w:val="882"/>
    <w:uiPriority w:val="9"/>
    <w:unhideWhenUsed/>
    <w:qFormat/>
    <w:pPr>
      <w:jc w:val="both"/>
      <w:keepLines/>
      <w:keepNext/>
      <w:spacing w:before="120" w:line="300" w:lineRule="auto"/>
      <w:widowControl w:val="off"/>
      <w:outlineLvl w:val="7"/>
    </w:pPr>
    <w:rPr>
      <w:rFonts w:ascii="Times New Roman" w:hAnsi="Times New Roman" w:eastAsia="黑体" w:cs="Times New Roman"/>
      <w:sz w:val="24"/>
      <w:szCs w:val="24"/>
      <w:lang w:bidi="ar-SA"/>
    </w:rPr>
  </w:style>
  <w:style w:type="paragraph" w:styleId="846">
    <w:name w:val="Heading 9"/>
    <w:next w:val="837"/>
    <w:link w:val="883"/>
    <w:uiPriority w:val="9"/>
    <w:unhideWhenUsed/>
    <w:qFormat/>
    <w:pPr>
      <w:jc w:val="both"/>
      <w:keepLines/>
      <w:keepNext/>
      <w:spacing w:before="120" w:line="300" w:lineRule="auto"/>
      <w:widowControl w:val="off"/>
      <w:outlineLvl w:val="8"/>
    </w:pPr>
    <w:rPr>
      <w:rFonts w:ascii="Times New Roman" w:hAnsi="Times New Roman" w:eastAsia="黑体" w:cs="Times New Roman"/>
      <w:sz w:val="21"/>
      <w:szCs w:val="21"/>
      <w:lang w:bidi="ar-SA"/>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right="0" w:firstLine="0"/>
      <w:spacing w:after="57"/>
    </w:pPr>
  </w:style>
  <w:style w:type="paragraph" w:styleId="850">
    <w:name w:val="Caption"/>
    <w:basedOn w:val="837"/>
    <w:next w:val="83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1">
    <w:name w:val="annotation text"/>
    <w:basedOn w:val="837"/>
    <w:uiPriority w:val="99"/>
    <w:semiHidden/>
    <w:unhideWhenUsed/>
    <w:qFormat/>
    <w:pPr>
      <w:jc w:val="left"/>
    </w:pPr>
  </w:style>
  <w:style w:type="paragraph" w:styleId="852">
    <w:name w:val="Body Text"/>
    <w:uiPriority w:val="0"/>
    <w:qFormat/>
    <w:pPr>
      <w:ind w:firstLine="1044"/>
      <w:jc w:val="both"/>
      <w:spacing w:before="100" w:after="100" w:afterAutospacing="0" w:line="300" w:lineRule="auto"/>
      <w:widowControl w:val="off"/>
    </w:pPr>
    <w:rPr>
      <w:rFonts w:ascii="Times New Roman" w:hAnsi="Times New Roman" w:eastAsia="宋体" w:cs="Times New Roman"/>
      <w:sz w:val="24"/>
      <w:szCs w:val="24"/>
      <w:lang w:bidi="ar-SA"/>
    </w:rPr>
  </w:style>
  <w:style w:type="paragraph" w:styleId="853">
    <w:name w:val="index 4"/>
    <w:basedOn w:val="837"/>
    <w:next w:val="837"/>
    <w:uiPriority w:val="0"/>
    <w:semiHidden/>
    <w:qFormat/>
    <w:pPr>
      <w:ind w:left="1260"/>
    </w:pPr>
    <w:rPr>
      <w:rFonts w:ascii="Calibri" w:hAnsi="Calibri" w:eastAsia="Calibri" w:cs="宋体"/>
      <w:sz w:val="20"/>
      <w:lang w:val="zh-CN"/>
    </w:rPr>
  </w:style>
  <w:style w:type="paragraph" w:styleId="854">
    <w:name w:val="toc 5"/>
    <w:basedOn w:val="837"/>
    <w:next w:val="837"/>
    <w:uiPriority w:val="39"/>
    <w:unhideWhenUsed/>
    <w:qFormat/>
    <w:pPr>
      <w:ind w:left="1134" w:right="0" w:firstLine="0"/>
      <w:spacing w:after="57"/>
    </w:pPr>
  </w:style>
  <w:style w:type="paragraph" w:styleId="855">
    <w:name w:val="toc 3"/>
    <w:basedOn w:val="837"/>
    <w:next w:val="837"/>
    <w:uiPriority w:val="39"/>
    <w:unhideWhenUsed/>
    <w:qFormat/>
    <w:pPr>
      <w:ind w:left="567" w:right="0" w:firstLine="0"/>
      <w:spacing w:after="57"/>
    </w:pPr>
  </w:style>
  <w:style w:type="paragraph" w:styleId="856">
    <w:name w:val="Plain Text"/>
    <w:basedOn w:val="837"/>
    <w:uiPriority w:val="0"/>
    <w:qFormat/>
    <w:rPr>
      <w:rFonts w:ascii="宋体" w:hAnsi="Courier New" w:eastAsiaTheme="minorEastAsia" w:cstheme="minorBidi"/>
      <w:szCs w:val="22"/>
    </w:rPr>
  </w:style>
  <w:style w:type="paragraph" w:styleId="857">
    <w:name w:val="toc 8"/>
    <w:basedOn w:val="837"/>
    <w:next w:val="837"/>
    <w:uiPriority w:val="39"/>
    <w:unhideWhenUsed/>
    <w:qFormat/>
    <w:pPr>
      <w:ind w:left="1984" w:right="0" w:firstLine="0"/>
      <w:spacing w:after="57"/>
    </w:pPr>
  </w:style>
  <w:style w:type="paragraph" w:styleId="858">
    <w:name w:val="endnote text"/>
    <w:basedOn w:val="837"/>
    <w:link w:val="1021"/>
    <w:uiPriority w:val="99"/>
    <w:semiHidden/>
    <w:unhideWhenUsed/>
    <w:qFormat/>
    <w:pPr>
      <w:spacing w:after="0" w:line="240" w:lineRule="auto"/>
    </w:pPr>
    <w:rPr>
      <w:sz w:val="20"/>
    </w:rPr>
  </w:style>
  <w:style w:type="paragraph" w:styleId="859">
    <w:name w:val="Footer"/>
    <w:basedOn w:val="837"/>
    <w:link w:val="894"/>
    <w:uiPriority w:val="99"/>
    <w:unhideWhenUsed/>
    <w:qFormat/>
    <w:pPr>
      <w:spacing w:after="0" w:line="240" w:lineRule="auto"/>
      <w:tabs>
        <w:tab w:val="center" w:pos="7143" w:leader="none"/>
        <w:tab w:val="right" w:pos="14287" w:leader="none"/>
      </w:tabs>
    </w:pPr>
  </w:style>
  <w:style w:type="paragraph" w:styleId="860">
    <w:name w:val="Header"/>
    <w:basedOn w:val="837"/>
    <w:link w:val="892"/>
    <w:uiPriority w:val="99"/>
    <w:unhideWhenUsed/>
    <w:qFormat/>
    <w:pPr>
      <w:spacing w:after="0" w:line="240" w:lineRule="auto"/>
      <w:tabs>
        <w:tab w:val="center" w:pos="7143" w:leader="none"/>
        <w:tab w:val="right" w:pos="14287" w:leader="none"/>
      </w:tabs>
    </w:pPr>
  </w:style>
  <w:style w:type="paragraph" w:styleId="861">
    <w:name w:val="toc 1"/>
    <w:basedOn w:val="837"/>
    <w:next w:val="837"/>
    <w:uiPriority w:val="39"/>
    <w:unhideWhenUsed/>
    <w:qFormat/>
    <w:pPr>
      <w:ind w:left="0" w:right="0" w:firstLine="0"/>
      <w:spacing w:after="57"/>
    </w:pPr>
  </w:style>
  <w:style w:type="paragraph" w:styleId="862">
    <w:name w:val="toc 4"/>
    <w:basedOn w:val="837"/>
    <w:next w:val="837"/>
    <w:uiPriority w:val="39"/>
    <w:unhideWhenUsed/>
    <w:qFormat/>
    <w:pPr>
      <w:ind w:left="850" w:right="0" w:firstLine="0"/>
      <w:spacing w:after="57"/>
    </w:pPr>
  </w:style>
  <w:style w:type="paragraph" w:styleId="863">
    <w:name w:val="Subtitle"/>
    <w:next w:val="837"/>
    <w:uiPriority w:val="11"/>
    <w:qFormat/>
    <w:pPr>
      <w:jc w:val="center"/>
      <w:spacing w:before="100" w:after="100" w:line="240" w:lineRule="auto"/>
      <w:widowControl w:val="off"/>
      <w:outlineLvl w:val="9"/>
    </w:pPr>
    <w:rPr>
      <w:rFonts w:ascii="Times New Roman" w:hAnsi="Times New Roman" w:eastAsia="黑体" w:cs="Times New Roman"/>
      <w:sz w:val="32"/>
      <w:szCs w:val="24"/>
      <w:lang w:bidi="ar-SA"/>
    </w:rPr>
  </w:style>
  <w:style w:type="paragraph" w:styleId="864">
    <w:name w:val="footnote text"/>
    <w:basedOn w:val="837"/>
    <w:link w:val="1020"/>
    <w:uiPriority w:val="99"/>
    <w:semiHidden/>
    <w:unhideWhenUsed/>
    <w:qFormat/>
    <w:pPr>
      <w:spacing w:after="40" w:line="240" w:lineRule="auto"/>
    </w:pPr>
    <w:rPr>
      <w:sz w:val="18"/>
    </w:rPr>
  </w:style>
  <w:style w:type="paragraph" w:styleId="865">
    <w:name w:val="toc 6"/>
    <w:basedOn w:val="837"/>
    <w:next w:val="837"/>
    <w:uiPriority w:val="39"/>
    <w:unhideWhenUsed/>
    <w:qFormat/>
    <w:pPr>
      <w:ind w:left="1417" w:right="0" w:firstLine="0"/>
      <w:spacing w:after="57"/>
    </w:pPr>
  </w:style>
  <w:style w:type="paragraph" w:styleId="866">
    <w:name w:val="table of figures"/>
    <w:basedOn w:val="837"/>
    <w:next w:val="837"/>
    <w:uiPriority w:val="99"/>
    <w:unhideWhenUsed/>
    <w:qFormat/>
    <w:pPr>
      <w:spacing w:after="0" w:afterAutospacing="0"/>
    </w:pPr>
  </w:style>
  <w:style w:type="paragraph" w:styleId="867">
    <w:name w:val="toc 2"/>
    <w:basedOn w:val="837"/>
    <w:next w:val="837"/>
    <w:uiPriority w:val="39"/>
    <w:unhideWhenUsed/>
    <w:qFormat/>
    <w:pPr>
      <w:ind w:left="283" w:right="0" w:firstLine="0"/>
      <w:spacing w:after="57"/>
    </w:pPr>
  </w:style>
  <w:style w:type="paragraph" w:styleId="868">
    <w:name w:val="toc 9"/>
    <w:basedOn w:val="837"/>
    <w:next w:val="837"/>
    <w:uiPriority w:val="39"/>
    <w:unhideWhenUsed/>
    <w:qFormat/>
    <w:pPr>
      <w:ind w:left="2268" w:right="0" w:firstLine="0"/>
      <w:spacing w:after="57"/>
    </w:pPr>
  </w:style>
  <w:style w:type="paragraph" w:styleId="869">
    <w:name w:val="Normal (Web)"/>
    <w:basedOn w:val="837"/>
    <w:uiPriority w:val="99"/>
    <w:semiHidden/>
    <w:unhideWhenUsed/>
    <w:qFormat/>
    <w:pPr>
      <w:ind w:left="0" w:right="0"/>
      <w:jc w:val="left"/>
      <w:spacing w:before="0" w:beforeAutospacing="1" w:after="0" w:afterAutospacing="1"/>
    </w:pPr>
    <w:rPr>
      <w:sz w:val="24"/>
      <w:lang w:val="en-US" w:eastAsia="zh-CN" w:bidi="ar"/>
    </w:rPr>
  </w:style>
  <w:style w:type="paragraph" w:styleId="870">
    <w:name w:val="Title"/>
    <w:next w:val="837"/>
    <w:uiPriority w:val="10"/>
    <w:qFormat/>
    <w:pPr>
      <w:jc w:val="center"/>
      <w:spacing w:before="100" w:beforeAutospacing="0" w:after="100" w:afterAutospacing="0" w:line="240" w:lineRule="auto"/>
      <w:widowControl w:val="off"/>
      <w:outlineLvl w:val="9"/>
    </w:pPr>
    <w:rPr>
      <w:rFonts w:ascii="Times New Roman" w:hAnsi="Times New Roman" w:eastAsia="黑体" w:cs="Times New Roman"/>
      <w:sz w:val="36"/>
      <w:szCs w:val="24"/>
      <w:lang w:bidi="ar-SA"/>
    </w:r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26e5"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character" w:styleId="875" w:customStyle="1">
    <w:name w:val="Heading 1 Char"/>
    <w:basedOn w:val="847"/>
    <w:link w:val="838"/>
    <w:uiPriority w:val="9"/>
    <w:qFormat/>
    <w:rPr>
      <w:rFonts w:ascii="Times New Roman" w:hAnsi="Times New Roman" w:eastAsia="黑体" w:cs="Times New Roman"/>
      <w:color w:val="000000"/>
      <w:sz w:val="32"/>
      <w:szCs w:val="44"/>
    </w:rPr>
  </w:style>
  <w:style w:type="character" w:styleId="876" w:customStyle="1">
    <w:name w:val="Heading 2 Char"/>
    <w:uiPriority w:val="9"/>
    <w:qFormat/>
    <w:rPr>
      <w:rFonts w:ascii="Arial" w:hAnsi="Arial" w:eastAsia="Arial" w:cs="Arial"/>
      <w:sz w:val="34"/>
    </w:rPr>
  </w:style>
  <w:style w:type="character" w:styleId="877" w:customStyle="1">
    <w:name w:val="Heading 3 Char"/>
    <w:uiPriority w:val="9"/>
    <w:qFormat/>
    <w:rPr>
      <w:rFonts w:ascii="Arial" w:hAnsi="Arial" w:eastAsia="Arial" w:cs="Arial"/>
      <w:sz w:val="30"/>
      <w:szCs w:val="30"/>
    </w:rPr>
  </w:style>
  <w:style w:type="character" w:styleId="878" w:customStyle="1">
    <w:name w:val="Heading 4 Char"/>
    <w:basedOn w:val="847"/>
    <w:link w:val="841"/>
    <w:uiPriority w:val="9"/>
    <w:qFormat/>
    <w:rPr>
      <w:rFonts w:ascii="Times New Roman" w:hAnsi="Times New Roman" w:eastAsia="黑体" w:cs="Times New Roman"/>
      <w:bCs/>
      <w:sz w:val="28"/>
      <w:szCs w:val="28"/>
    </w:rPr>
  </w:style>
  <w:style w:type="character" w:styleId="879" w:customStyle="1">
    <w:name w:val="Heading 5 Char"/>
    <w:basedOn w:val="847"/>
    <w:link w:val="842"/>
    <w:uiPriority w:val="9"/>
    <w:qFormat/>
    <w:rPr>
      <w:rFonts w:ascii="Times New Roman" w:hAnsi="Times New Roman" w:eastAsia="黑体" w:cs="Times New Roman"/>
      <w:bCs/>
      <w:sz w:val="28"/>
      <w:szCs w:val="28"/>
    </w:rPr>
  </w:style>
  <w:style w:type="character" w:styleId="880" w:customStyle="1">
    <w:name w:val="Heading 6 Char"/>
    <w:basedOn w:val="847"/>
    <w:link w:val="843"/>
    <w:uiPriority w:val="9"/>
    <w:qFormat/>
    <w:rPr>
      <w:rFonts w:ascii="Times New Roman" w:hAnsi="Times New Roman" w:eastAsia="黑体" w:cs="Times New Roman"/>
      <w:bCs/>
      <w:sz w:val="28"/>
      <w:szCs w:val="24"/>
    </w:rPr>
  </w:style>
  <w:style w:type="character" w:styleId="881" w:customStyle="1">
    <w:name w:val="Heading 7 Char"/>
    <w:basedOn w:val="847"/>
    <w:link w:val="844"/>
    <w:uiPriority w:val="9"/>
    <w:qFormat/>
    <w:rPr>
      <w:rFonts w:ascii="Times New Roman" w:hAnsi="Times New Roman" w:eastAsia="黑体" w:cs="Times New Roman"/>
      <w:bCs/>
      <w:sz w:val="24"/>
      <w:szCs w:val="24"/>
    </w:rPr>
  </w:style>
  <w:style w:type="character" w:styleId="882" w:customStyle="1">
    <w:name w:val="Heading 8 Char"/>
    <w:basedOn w:val="847"/>
    <w:link w:val="845"/>
    <w:uiPriority w:val="9"/>
    <w:qFormat/>
    <w:rPr>
      <w:rFonts w:ascii="Times New Roman" w:hAnsi="Times New Roman" w:eastAsia="黑体" w:cs="Times New Roman"/>
      <w:sz w:val="24"/>
      <w:szCs w:val="24"/>
    </w:rPr>
  </w:style>
  <w:style w:type="character" w:styleId="883" w:customStyle="1">
    <w:name w:val="Heading 9 Char"/>
    <w:basedOn w:val="847"/>
    <w:link w:val="846"/>
    <w:uiPriority w:val="9"/>
    <w:qFormat/>
    <w:rPr>
      <w:rFonts w:ascii="Times New Roman" w:hAnsi="Times New Roman" w:eastAsia="黑体" w:cs="Times New Roman"/>
      <w:sz w:val="21"/>
      <w:szCs w:val="21"/>
    </w:rPr>
  </w:style>
  <w:style w:type="paragraph" w:styleId="884">
    <w:name w:val="List Paragraph"/>
    <w:basedOn w:val="837"/>
    <w:uiPriority w:val="34"/>
    <w:qFormat/>
    <w:pPr>
      <w:contextualSpacing/>
      <w:ind w:left="720"/>
    </w:p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uiPriority w:val="10"/>
    <w:qFormat/>
    <w:rPr>
      <w:sz w:val="48"/>
      <w:szCs w:val="48"/>
    </w:rPr>
  </w:style>
  <w:style w:type="character" w:styleId="887" w:customStyle="1">
    <w:name w:val="Subtitle Char"/>
    <w:uiPriority w:val="11"/>
    <w:qFormat/>
    <w:rPr>
      <w:sz w:val="24"/>
      <w:szCs w:val="24"/>
    </w:rPr>
  </w:style>
  <w:style w:type="paragraph" w:styleId="888">
    <w:name w:val="Quote"/>
    <w:basedOn w:val="837"/>
    <w:next w:val="837"/>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37"/>
    <w:next w:val="837"/>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link w:val="860"/>
    <w:uiPriority w:val="99"/>
    <w:qFormat/>
  </w:style>
  <w:style w:type="character" w:styleId="893" w:customStyle="1">
    <w:name w:val="Footer Char"/>
    <w:link w:val="859"/>
    <w:uiPriority w:val="99"/>
    <w:qFormat/>
  </w:style>
  <w:style w:type="character" w:styleId="894" w:customStyle="1">
    <w:name w:val="Caption Char"/>
    <w:link w:val="859"/>
    <w:uiPriority w:val="99"/>
    <w:qFormat/>
  </w:style>
  <w:style w:type="table" w:styleId="8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4" w:customStyle="1">
    <w:name w:val="Grid Table 4 - Accent 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5" w:customStyle="1">
    <w:name w:val="Grid Table 4 - Accent 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6" w:customStyle="1">
    <w:name w:val="Grid Table 4 - Accent 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7" w:customStyle="1">
    <w:name w:val="Grid Table 4 - Accent 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8" w:customStyle="1">
    <w:name w:val="Grid Table 4 - Accent 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0" w:customStyle="1">
    <w:name w:val="Grid Table 6 Colorful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2" w:customStyle="1">
    <w:name w:val="Grid Table 6 Colorful - Accent 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9" w:customStyle="1">
    <w:name w:val="List Table 2 - Accent 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0" w:customStyle="1">
    <w:name w:val="List Table 2 - Accent 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1" w:customStyle="1">
    <w:name w:val="List Table 2 - Accent 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2" w:customStyle="1">
    <w:name w:val="List Table 2 - Accent 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3" w:customStyle="1">
    <w:name w:val="List Table 2 - Accent 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7" w:customStyle="1">
    <w:name w:val="List Table 6 Colorful - Accent 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8" w:customStyle="1">
    <w:name w:val="List Table 6 Colorful - Accent 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9" w:customStyle="1">
    <w:name w:val="List Table 6 Colorful - Accent 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0" w:customStyle="1">
    <w:name w:val="List Table 6 Colorful - Accent 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1" w:customStyle="1">
    <w:name w:val="List Table 6 Colorful - Accent 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Bordered &amp; Lined - Accent 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Bordered &amp; Lined - Accent 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Bordered &amp; Lined - Accent 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Bordered &amp; Lined - Accent 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Bordered &amp; Lined - Accent 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5" w:customStyle="1">
    <w:name w:val="Bordered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6" w:customStyle="1">
    <w:name w:val="Bordered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7" w:customStyle="1">
    <w:name w:val="Bordered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8" w:customStyle="1">
    <w:name w:val="Bordered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9" w:customStyle="1">
    <w:name w:val="Bordered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0" w:customStyle="1">
    <w:name w:val="Footnote Text Char"/>
    <w:link w:val="864"/>
    <w:uiPriority w:val="99"/>
    <w:qFormat/>
    <w:rPr>
      <w:sz w:val="18"/>
    </w:rPr>
  </w:style>
  <w:style w:type="character" w:styleId="1021" w:customStyle="1">
    <w:name w:val="Endnote Text Char"/>
    <w:link w:val="858"/>
    <w:uiPriority w:val="99"/>
    <w:qFormat/>
    <w:rPr>
      <w:sz w:val="20"/>
    </w:rPr>
  </w:style>
  <w:style w:type="paragraph" w:styleId="1022" w:customStyle="1">
    <w:name w:val="TOC Heading"/>
    <w:uiPriority w:val="39"/>
    <w:unhideWhenUsed/>
    <w:qFormat/>
    <w:rPr>
      <w:rFonts w:hint="default" w:ascii="Times New Roman" w:hAnsi="Times New Roman" w:eastAsia="宋体" w:cs="Times New Roman"/>
    </w:rPr>
  </w:style>
  <w:style w:type="paragraph" w:styleId="1023" w:customStyle="1">
    <w:name w:val="标题 11"/>
    <w:basedOn w:val="837"/>
    <w:next w:val="837"/>
    <w:link w:val="1040"/>
    <w:uiPriority w:val="0"/>
    <w:qFormat/>
    <w:pPr>
      <w:jc w:val="center"/>
      <w:keepNext/>
      <w:outlineLvl w:val="0"/>
    </w:pPr>
    <w:rPr>
      <w:rFonts w:ascii="楷体_GB2312" w:hAnsi="Times New Roman" w:eastAsia="楷体_GB2312" w:cs="Times New Roman"/>
      <w:sz w:val="28"/>
      <w:szCs w:val="28"/>
    </w:rPr>
  </w:style>
  <w:style w:type="paragraph" w:styleId="1024" w:customStyle="1">
    <w:name w:val="标题 21"/>
    <w:basedOn w:val="837"/>
    <w:next w:val="1025"/>
    <w:link w:val="10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缩进1"/>
    <w:basedOn w:val="837"/>
    <w:link w:val="1042"/>
    <w:uiPriority w:val="0"/>
    <w:qFormat/>
    <w:pPr>
      <w:ind w:firstLine="420"/>
    </w:pPr>
    <w:rPr>
      <w:szCs w:val="21"/>
    </w:rPr>
  </w:style>
  <w:style w:type="paragraph" w:styleId="1026" w:customStyle="1">
    <w:name w:val="标题 31"/>
    <w:basedOn w:val="837"/>
    <w:next w:val="1025"/>
    <w:link w:val="104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7" w:customStyle="1">
    <w:name w:val="标题 41"/>
    <w:basedOn w:val="837"/>
    <w:next w:val="1025"/>
    <w:link w:val="1044"/>
    <w:uiPriority w:val="0"/>
    <w:qFormat/>
    <w:pPr>
      <w:keepLines/>
      <w:keepNext/>
      <w:spacing w:before="280" w:after="290" w:line="376" w:lineRule="auto"/>
      <w:outlineLvl w:val="3"/>
    </w:pPr>
    <w:rPr>
      <w:rFonts w:ascii="Arial" w:hAnsi="Arial" w:eastAsia="黑体" w:cs="Arial"/>
      <w:b/>
      <w:bCs/>
      <w:sz w:val="28"/>
      <w:szCs w:val="28"/>
    </w:rPr>
  </w:style>
  <w:style w:type="paragraph" w:styleId="1028" w:customStyle="1">
    <w:name w:val="标题 51"/>
    <w:basedOn w:val="837"/>
    <w:next w:val="1025"/>
    <w:link w:val="1045"/>
    <w:uiPriority w:val="0"/>
    <w:qFormat/>
    <w:pPr>
      <w:keepNext/>
      <w:outlineLvl w:val="4"/>
    </w:pPr>
    <w:rPr>
      <w:rFonts w:ascii="宋体" w:hAnsi="Times New Roman" w:eastAsia="宋体" w:cs="Times New Roman"/>
      <w:color w:val="000000"/>
      <w:sz w:val="28"/>
      <w:szCs w:val="28"/>
    </w:rPr>
  </w:style>
  <w:style w:type="paragraph" w:styleId="1029" w:customStyle="1">
    <w:name w:val="标题 61"/>
    <w:basedOn w:val="837"/>
    <w:next w:val="837"/>
    <w:link w:val="104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30" w:customStyle="1">
    <w:name w:val="标题 71"/>
    <w:basedOn w:val="837"/>
    <w:next w:val="837"/>
    <w:link w:val="104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31" w:customStyle="1">
    <w:name w:val="标题 81"/>
    <w:basedOn w:val="837"/>
    <w:next w:val="837"/>
    <w:link w:val="104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32" w:customStyle="1">
    <w:name w:val="标题 91"/>
    <w:basedOn w:val="837"/>
    <w:next w:val="837"/>
    <w:link w:val="104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3" w:customStyle="1">
    <w:name w:val="默认段落字体1"/>
    <w:link w:val="837"/>
    <w:uiPriority w:val="1"/>
    <w:unhideWhenUsed/>
    <w:qFormat/>
  </w:style>
  <w:style w:type="table" w:styleId="1034" w:customStyle="1">
    <w:name w:val="普通表格11"/>
    <w:uiPriority w:val="99"/>
    <w:unhideWhenUsed/>
    <w:qFormat/>
    <w:tblPr/>
  </w:style>
  <w:style w:type="paragraph" w:styleId="1035" w:customStyle="1">
    <w:name w:val="正文首行缩进 21"/>
    <w:basedOn w:val="1036"/>
    <w:next w:val="837"/>
    <w:link w:val="1039"/>
    <w:uiPriority w:val="0"/>
    <w:qFormat/>
    <w:pPr>
      <w:ind w:left="0" w:firstLine="420"/>
      <w:spacing w:after="0" w:line="360" w:lineRule="auto"/>
    </w:pPr>
    <w:rPr>
      <w:rFonts w:ascii="宋体" w:hAnsi="宋体" w:eastAsia="宋体" w:cs="Times New Roman"/>
      <w:szCs w:val="20"/>
    </w:rPr>
  </w:style>
  <w:style w:type="paragraph" w:styleId="1036" w:customStyle="1">
    <w:name w:val="正文文本缩进11"/>
    <w:basedOn w:val="837"/>
    <w:next w:val="1037"/>
    <w:link w:val="1038"/>
    <w:uiPriority w:val="0"/>
    <w:unhideWhenUsed/>
    <w:qFormat/>
    <w:pPr>
      <w:ind w:left="420"/>
      <w:spacing w:after="120"/>
    </w:pPr>
  </w:style>
  <w:style w:type="paragraph" w:styleId="1037" w:customStyle="1">
    <w:name w:val="寄信人地址1"/>
    <w:basedOn w:val="837"/>
    <w:uiPriority w:val="0"/>
    <w:qFormat/>
    <w:rPr>
      <w:rFonts w:ascii="Arial" w:hAnsi="Arial" w:eastAsia="宋体" w:cs="宋体"/>
    </w:rPr>
  </w:style>
  <w:style w:type="character" w:styleId="1038" w:customStyle="1">
    <w:name w:val="正文文本缩进 Char"/>
    <w:link w:val="1036"/>
    <w:uiPriority w:val="99"/>
    <w:semiHidden/>
    <w:qFormat/>
  </w:style>
  <w:style w:type="character" w:styleId="1039" w:customStyle="1">
    <w:name w:val="正文首行缩进 2 Char"/>
    <w:link w:val="1035"/>
    <w:uiPriority w:val="0"/>
    <w:qFormat/>
    <w:rPr>
      <w:rFonts w:ascii="宋体" w:hAnsi="宋体" w:eastAsia="宋体" w:cs="Times New Roman"/>
      <w:szCs w:val="20"/>
    </w:rPr>
  </w:style>
  <w:style w:type="character" w:styleId="1040" w:customStyle="1">
    <w:name w:val="标题 1 Char"/>
    <w:link w:val="1023"/>
    <w:uiPriority w:val="0"/>
    <w:qFormat/>
    <w:rPr>
      <w:rFonts w:ascii="楷体_GB2312" w:hAnsi="Times New Roman" w:eastAsia="楷体_GB2312" w:cs="Times New Roman"/>
      <w:sz w:val="28"/>
      <w:szCs w:val="28"/>
    </w:rPr>
  </w:style>
  <w:style w:type="character" w:styleId="1041" w:customStyle="1">
    <w:name w:val="标题 2 Char"/>
    <w:link w:val="1024"/>
    <w:uiPriority w:val="0"/>
    <w:qFormat/>
    <w:rPr>
      <w:rFonts w:ascii="Arial" w:hAnsi="Arial" w:eastAsia="幼圆" w:cs="Arial"/>
      <w:b/>
      <w:bCs/>
      <w:sz w:val="44"/>
      <w:szCs w:val="44"/>
    </w:rPr>
  </w:style>
  <w:style w:type="character" w:styleId="1042" w:customStyle="1">
    <w:name w:val="正文缩进 Char"/>
    <w:link w:val="1025"/>
    <w:uiPriority w:val="0"/>
    <w:qFormat/>
    <w:rPr>
      <w:szCs w:val="21"/>
    </w:rPr>
  </w:style>
  <w:style w:type="character" w:styleId="1043" w:customStyle="1">
    <w:name w:val="标题 3 Char"/>
    <w:link w:val="1026"/>
    <w:uiPriority w:val="0"/>
    <w:qFormat/>
    <w:rPr>
      <w:rFonts w:ascii="Times New Roman" w:hAnsi="Times New Roman" w:eastAsia="宋体" w:cs="Times New Roman"/>
      <w:b/>
      <w:bCs/>
      <w:sz w:val="32"/>
      <w:szCs w:val="32"/>
    </w:rPr>
  </w:style>
  <w:style w:type="character" w:styleId="1044" w:customStyle="1">
    <w:name w:val="标题 4 Char"/>
    <w:link w:val="1027"/>
    <w:uiPriority w:val="0"/>
    <w:qFormat/>
    <w:rPr>
      <w:rFonts w:ascii="Arial" w:hAnsi="Arial" w:eastAsia="黑体" w:cs="Arial"/>
      <w:b/>
      <w:bCs/>
      <w:sz w:val="28"/>
      <w:szCs w:val="28"/>
    </w:rPr>
  </w:style>
  <w:style w:type="character" w:styleId="1045" w:customStyle="1">
    <w:name w:val="标题 5 Char"/>
    <w:link w:val="1028"/>
    <w:uiPriority w:val="0"/>
    <w:qFormat/>
    <w:rPr>
      <w:rFonts w:ascii="宋体" w:hAnsi="Times New Roman" w:eastAsia="宋体" w:cs="Times New Roman"/>
      <w:color w:val="000000"/>
      <w:sz w:val="28"/>
      <w:szCs w:val="28"/>
    </w:rPr>
  </w:style>
  <w:style w:type="character" w:styleId="1046" w:customStyle="1">
    <w:name w:val="标题 6 Char"/>
    <w:link w:val="1029"/>
    <w:uiPriority w:val="0"/>
    <w:qFormat/>
    <w:rPr>
      <w:rFonts w:ascii="Arial" w:hAnsi="Arial" w:eastAsia="黑体" w:cs="Times New Roman"/>
      <w:b/>
      <w:bCs/>
      <w:sz w:val="24"/>
      <w:szCs w:val="24"/>
    </w:rPr>
  </w:style>
  <w:style w:type="character" w:styleId="1047" w:customStyle="1">
    <w:name w:val="标题 7 Char"/>
    <w:link w:val="1030"/>
    <w:uiPriority w:val="0"/>
    <w:qFormat/>
    <w:rPr>
      <w:rFonts w:ascii="Times New Roman" w:hAnsi="Times New Roman" w:eastAsia="宋体" w:cs="Times New Roman"/>
      <w:b/>
      <w:bCs/>
      <w:sz w:val="24"/>
      <w:szCs w:val="24"/>
    </w:rPr>
  </w:style>
  <w:style w:type="character" w:styleId="1048" w:customStyle="1">
    <w:name w:val="标题 8 Char"/>
    <w:link w:val="1031"/>
    <w:uiPriority w:val="0"/>
    <w:qFormat/>
    <w:rPr>
      <w:rFonts w:ascii="Arial" w:hAnsi="Arial" w:eastAsia="黑体" w:cs="Times New Roman"/>
      <w:sz w:val="24"/>
      <w:szCs w:val="24"/>
    </w:rPr>
  </w:style>
  <w:style w:type="character" w:styleId="1049" w:customStyle="1">
    <w:name w:val="标题 9 Char"/>
    <w:link w:val="1032"/>
    <w:uiPriority w:val="0"/>
    <w:qFormat/>
    <w:rPr>
      <w:rFonts w:ascii="Arial" w:hAnsi="Arial" w:eastAsia="黑体" w:cs="Times New Roman"/>
      <w:szCs w:val="21"/>
    </w:rPr>
  </w:style>
  <w:style w:type="paragraph" w:styleId="1050" w:customStyle="1">
    <w:name w:val="列表 31"/>
    <w:basedOn w:val="837"/>
    <w:uiPriority w:val="0"/>
    <w:qFormat/>
    <w:pPr>
      <w:ind w:left="100" w:hanging="200"/>
    </w:pPr>
    <w:rPr>
      <w:rFonts w:ascii="Times New Roman" w:hAnsi="Times New Roman" w:eastAsia="宋体" w:cs="Times New Roman"/>
      <w:szCs w:val="21"/>
    </w:rPr>
  </w:style>
  <w:style w:type="paragraph" w:styleId="1051" w:customStyle="1">
    <w:name w:val="目录 71"/>
    <w:basedOn w:val="837"/>
    <w:next w:val="837"/>
    <w:uiPriority w:val="0"/>
    <w:semiHidden/>
    <w:qFormat/>
    <w:pPr>
      <w:ind w:left="1260"/>
      <w:jc w:val="left"/>
    </w:pPr>
    <w:rPr>
      <w:rFonts w:ascii="Times New Roman" w:hAnsi="Times New Roman" w:eastAsia="宋体" w:cs="Times New Roman"/>
      <w:szCs w:val="21"/>
    </w:rPr>
  </w:style>
  <w:style w:type="paragraph" w:styleId="1052" w:customStyle="1">
    <w:name w:val="文档结构图1"/>
    <w:basedOn w:val="837"/>
    <w:link w:val="1053"/>
    <w:uiPriority w:val="0"/>
    <w:semiHidden/>
    <w:qFormat/>
    <w:pPr>
      <w:shd w:val="clear" w:color="auto" w:fill="000080"/>
    </w:pPr>
    <w:rPr>
      <w:rFonts w:ascii="Times New Roman" w:hAnsi="Times New Roman" w:eastAsia="宋体" w:cs="Times New Roman"/>
      <w:szCs w:val="21"/>
    </w:rPr>
  </w:style>
  <w:style w:type="character" w:styleId="1053" w:customStyle="1">
    <w:name w:val="文档结构图 Char"/>
    <w:link w:val="1052"/>
    <w:uiPriority w:val="0"/>
    <w:semiHidden/>
    <w:qFormat/>
    <w:rPr>
      <w:rFonts w:ascii="Times New Roman" w:hAnsi="Times New Roman" w:eastAsia="宋体" w:cs="Times New Roman"/>
      <w:szCs w:val="21"/>
      <w:shd w:val="clear" w:color="auto" w:fill="000080"/>
    </w:rPr>
  </w:style>
  <w:style w:type="paragraph" w:styleId="1054" w:customStyle="1">
    <w:name w:val="批注文字1"/>
    <w:basedOn w:val="837"/>
    <w:link w:val="1055"/>
    <w:uiPriority w:val="0"/>
    <w:unhideWhenUsed/>
    <w:qFormat/>
    <w:pPr>
      <w:jc w:val="left"/>
    </w:pPr>
  </w:style>
  <w:style w:type="character" w:styleId="1055" w:customStyle="1">
    <w:name w:val="批注文字 Char"/>
    <w:link w:val="1054"/>
    <w:uiPriority w:val="0"/>
    <w:qFormat/>
  </w:style>
  <w:style w:type="paragraph" w:styleId="1056" w:customStyle="1">
    <w:name w:val="正文文本 31"/>
    <w:basedOn w:val="837"/>
    <w:link w:val="1057"/>
    <w:uiPriority w:val="0"/>
    <w:qFormat/>
    <w:rPr>
      <w:rFonts w:ascii="仿宋_GB2312" w:hAnsi="Arial" w:eastAsia="仿宋_GB2312" w:cs="Times New Roman"/>
      <w:sz w:val="32"/>
      <w:szCs w:val="32"/>
    </w:rPr>
  </w:style>
  <w:style w:type="character" w:styleId="1057" w:customStyle="1">
    <w:name w:val="正文文本 3 Char"/>
    <w:link w:val="1056"/>
    <w:uiPriority w:val="0"/>
    <w:qFormat/>
    <w:rPr>
      <w:rFonts w:ascii="仿宋_GB2312" w:hAnsi="Arial" w:eastAsia="仿宋_GB2312" w:cs="Times New Roman"/>
      <w:sz w:val="32"/>
      <w:szCs w:val="32"/>
    </w:rPr>
  </w:style>
  <w:style w:type="paragraph" w:styleId="1058" w:customStyle="1">
    <w:name w:val="正文文本11"/>
    <w:basedOn w:val="837"/>
    <w:link w:val="1059"/>
    <w:uiPriority w:val="0"/>
    <w:qFormat/>
    <w:rPr>
      <w:rFonts w:ascii="楷体_GB2312" w:hAnsi="Arial" w:eastAsia="楷体_GB2312" w:cs="Times New Roman"/>
      <w:sz w:val="28"/>
      <w:szCs w:val="28"/>
    </w:rPr>
  </w:style>
  <w:style w:type="character" w:styleId="1059" w:customStyle="1">
    <w:name w:val="正文文本 Char"/>
    <w:link w:val="1058"/>
    <w:uiPriority w:val="0"/>
    <w:qFormat/>
    <w:rPr>
      <w:rFonts w:ascii="楷体_GB2312" w:hAnsi="Arial" w:eastAsia="楷体_GB2312" w:cs="Times New Roman"/>
      <w:sz w:val="28"/>
      <w:szCs w:val="28"/>
    </w:rPr>
  </w:style>
  <w:style w:type="paragraph" w:styleId="1060" w:customStyle="1">
    <w:name w:val="列表 21"/>
    <w:basedOn w:val="837"/>
    <w:uiPriority w:val="0"/>
    <w:qFormat/>
    <w:pPr>
      <w:ind w:left="100" w:hanging="200"/>
    </w:pPr>
    <w:rPr>
      <w:rFonts w:ascii="Times New Roman" w:hAnsi="Times New Roman" w:eastAsia="宋体" w:cs="Times New Roman"/>
      <w:szCs w:val="21"/>
    </w:rPr>
  </w:style>
  <w:style w:type="paragraph" w:styleId="1061" w:customStyle="1">
    <w:name w:val="索引 411"/>
    <w:basedOn w:val="837"/>
    <w:next w:val="837"/>
    <w:uiPriority w:val="0"/>
    <w:semiHidden/>
    <w:qFormat/>
    <w:pPr>
      <w:ind w:left="1260"/>
    </w:pPr>
    <w:rPr>
      <w:rFonts w:ascii="Calibri" w:hAnsi="Calibri" w:eastAsia="Calibri" w:cs="宋体"/>
      <w:sz w:val="20"/>
      <w:lang w:val="zh-CN"/>
    </w:rPr>
  </w:style>
  <w:style w:type="paragraph" w:styleId="1062" w:customStyle="1">
    <w:name w:val="目录 51"/>
    <w:basedOn w:val="837"/>
    <w:next w:val="837"/>
    <w:uiPriority w:val="0"/>
    <w:semiHidden/>
    <w:qFormat/>
    <w:pPr>
      <w:ind w:left="840"/>
      <w:jc w:val="left"/>
    </w:pPr>
    <w:rPr>
      <w:rFonts w:ascii="Times New Roman" w:hAnsi="Times New Roman" w:eastAsia="宋体" w:cs="Times New Roman"/>
      <w:szCs w:val="21"/>
    </w:rPr>
  </w:style>
  <w:style w:type="paragraph" w:styleId="1063" w:customStyle="1">
    <w:name w:val="目录 31"/>
    <w:basedOn w:val="837"/>
    <w:next w:val="837"/>
    <w:uiPriority w:val="0"/>
    <w:semiHidden/>
    <w:qFormat/>
    <w:pPr>
      <w:ind w:left="420"/>
      <w:jc w:val="left"/>
    </w:pPr>
    <w:rPr>
      <w:rFonts w:ascii="Times New Roman" w:hAnsi="Times New Roman" w:eastAsia="宋体" w:cs="Times New Roman"/>
      <w:i/>
      <w:iCs/>
      <w:szCs w:val="24"/>
    </w:rPr>
  </w:style>
  <w:style w:type="paragraph" w:styleId="1064" w:customStyle="1">
    <w:name w:val="纯文本11"/>
    <w:basedOn w:val="837"/>
    <w:link w:val="1065"/>
    <w:uiPriority w:val="0"/>
    <w:qFormat/>
    <w:rPr>
      <w:rFonts w:ascii="宋体" w:hAnsi="Courier New" w:eastAsia="宋体" w:cs="Courier New"/>
      <w:szCs w:val="21"/>
    </w:rPr>
  </w:style>
  <w:style w:type="character" w:styleId="1065" w:customStyle="1">
    <w:name w:val="纯文本 Char"/>
    <w:link w:val="1064"/>
    <w:uiPriority w:val="0"/>
    <w:qFormat/>
    <w:rPr>
      <w:rFonts w:ascii="宋体" w:hAnsi="Courier New" w:eastAsia="宋体" w:cs="Courier New"/>
      <w:szCs w:val="21"/>
    </w:rPr>
  </w:style>
  <w:style w:type="paragraph" w:styleId="1066" w:customStyle="1">
    <w:name w:val="目录 81"/>
    <w:basedOn w:val="837"/>
    <w:next w:val="837"/>
    <w:uiPriority w:val="0"/>
    <w:semiHidden/>
    <w:qFormat/>
    <w:pPr>
      <w:ind w:left="1470"/>
      <w:jc w:val="left"/>
    </w:pPr>
    <w:rPr>
      <w:rFonts w:ascii="Times New Roman" w:hAnsi="Times New Roman" w:eastAsia="宋体" w:cs="Times New Roman"/>
      <w:szCs w:val="21"/>
    </w:rPr>
  </w:style>
  <w:style w:type="paragraph" w:styleId="1067" w:customStyle="1">
    <w:name w:val="日期1"/>
    <w:basedOn w:val="837"/>
    <w:next w:val="837"/>
    <w:link w:val="1068"/>
    <w:uiPriority w:val="0"/>
    <w:qFormat/>
    <w:rPr>
      <w:rFonts w:ascii="Times New Roman" w:hAnsi="Times New Roman" w:eastAsia="宋体" w:cs="Times New Roman"/>
      <w:sz w:val="24"/>
      <w:szCs w:val="24"/>
    </w:rPr>
  </w:style>
  <w:style w:type="character" w:styleId="1068" w:customStyle="1">
    <w:name w:val="日期 Char"/>
    <w:link w:val="1067"/>
    <w:uiPriority w:val="0"/>
    <w:qFormat/>
    <w:rPr>
      <w:rFonts w:ascii="Times New Roman" w:hAnsi="Times New Roman" w:eastAsia="宋体" w:cs="Times New Roman"/>
      <w:sz w:val="24"/>
      <w:szCs w:val="24"/>
    </w:rPr>
  </w:style>
  <w:style w:type="paragraph" w:styleId="1069" w:customStyle="1">
    <w:name w:val="正文文本缩进 21"/>
    <w:basedOn w:val="837"/>
    <w:link w:val="1070"/>
    <w:uiPriority w:val="0"/>
    <w:qFormat/>
    <w:pPr>
      <w:ind w:left="630" w:firstLine="645"/>
    </w:pPr>
    <w:rPr>
      <w:rFonts w:ascii="Arial" w:hAnsi="Arial" w:eastAsia="仿宋_GB2312" w:cs="Arial"/>
      <w:sz w:val="32"/>
      <w:szCs w:val="32"/>
    </w:rPr>
  </w:style>
  <w:style w:type="character" w:styleId="1070" w:customStyle="1">
    <w:name w:val="正文文本缩进 2 Char"/>
    <w:link w:val="1069"/>
    <w:uiPriority w:val="0"/>
    <w:qFormat/>
    <w:rPr>
      <w:rFonts w:ascii="Arial" w:hAnsi="Arial" w:eastAsia="仿宋_GB2312" w:cs="Arial"/>
      <w:sz w:val="32"/>
      <w:szCs w:val="32"/>
    </w:rPr>
  </w:style>
  <w:style w:type="paragraph" w:styleId="1071" w:customStyle="1">
    <w:name w:val="批注框文本1"/>
    <w:basedOn w:val="837"/>
    <w:link w:val="1072"/>
    <w:uiPriority w:val="0"/>
    <w:semiHidden/>
    <w:qFormat/>
    <w:rPr>
      <w:rFonts w:ascii="Times New Roman" w:hAnsi="Times New Roman" w:eastAsia="宋体" w:cs="Times New Roman"/>
      <w:sz w:val="18"/>
      <w:szCs w:val="18"/>
    </w:rPr>
  </w:style>
  <w:style w:type="character" w:styleId="1072" w:customStyle="1">
    <w:name w:val="批注框文本 Char"/>
    <w:link w:val="1071"/>
    <w:uiPriority w:val="0"/>
    <w:semiHidden/>
    <w:qFormat/>
    <w:rPr>
      <w:rFonts w:ascii="Times New Roman" w:hAnsi="Times New Roman" w:eastAsia="宋体" w:cs="Times New Roman"/>
      <w:sz w:val="18"/>
      <w:szCs w:val="18"/>
    </w:rPr>
  </w:style>
  <w:style w:type="paragraph" w:styleId="1073" w:customStyle="1">
    <w:name w:val="页脚1"/>
    <w:basedOn w:val="837"/>
    <w:link w:val="107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74" w:customStyle="1">
    <w:name w:val="页脚 Char"/>
    <w:link w:val="1073"/>
    <w:uiPriority w:val="0"/>
    <w:qFormat/>
    <w:rPr>
      <w:rFonts w:ascii="Times New Roman" w:hAnsi="Times New Roman" w:eastAsia="宋体" w:cs="Times New Roman"/>
      <w:sz w:val="18"/>
      <w:szCs w:val="18"/>
    </w:rPr>
  </w:style>
  <w:style w:type="paragraph" w:styleId="1075" w:customStyle="1">
    <w:name w:val="页眉1"/>
    <w:basedOn w:val="837"/>
    <w:link w:val="107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6" w:customStyle="1">
    <w:name w:val="页眉 Char"/>
    <w:link w:val="1075"/>
    <w:uiPriority w:val="0"/>
    <w:qFormat/>
    <w:rPr>
      <w:rFonts w:ascii="Times New Roman" w:hAnsi="Times New Roman" w:eastAsia="宋体" w:cs="Times New Roman"/>
      <w:sz w:val="18"/>
      <w:szCs w:val="18"/>
    </w:rPr>
  </w:style>
  <w:style w:type="paragraph" w:styleId="1077" w:customStyle="1">
    <w:name w:val="目录 11"/>
    <w:basedOn w:val="837"/>
    <w:next w:val="83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8" w:customStyle="1">
    <w:name w:val="目录 41"/>
    <w:basedOn w:val="837"/>
    <w:next w:val="837"/>
    <w:uiPriority w:val="0"/>
    <w:semiHidden/>
    <w:qFormat/>
    <w:pPr>
      <w:ind w:left="630"/>
      <w:jc w:val="left"/>
    </w:pPr>
    <w:rPr>
      <w:rFonts w:ascii="Times New Roman" w:hAnsi="Times New Roman" w:eastAsia="宋体" w:cs="Times New Roman"/>
      <w:szCs w:val="21"/>
    </w:rPr>
  </w:style>
  <w:style w:type="paragraph" w:styleId="1079" w:customStyle="1">
    <w:name w:val="列表1"/>
    <w:basedOn w:val="837"/>
    <w:uiPriority w:val="0"/>
    <w:qFormat/>
    <w:pPr>
      <w:ind w:left="200" w:hanging="200"/>
    </w:pPr>
    <w:rPr>
      <w:rFonts w:ascii="Times New Roman" w:hAnsi="Times New Roman" w:eastAsia="宋体" w:cs="Times New Roman"/>
      <w:szCs w:val="21"/>
    </w:rPr>
  </w:style>
  <w:style w:type="paragraph" w:styleId="1080" w:customStyle="1">
    <w:name w:val="目录 61"/>
    <w:basedOn w:val="837"/>
    <w:next w:val="837"/>
    <w:uiPriority w:val="0"/>
    <w:semiHidden/>
    <w:qFormat/>
    <w:pPr>
      <w:ind w:left="1050"/>
      <w:jc w:val="left"/>
    </w:pPr>
    <w:rPr>
      <w:rFonts w:ascii="Times New Roman" w:hAnsi="Times New Roman" w:eastAsia="宋体" w:cs="Times New Roman"/>
      <w:szCs w:val="21"/>
    </w:rPr>
  </w:style>
  <w:style w:type="paragraph" w:styleId="1081" w:customStyle="1">
    <w:name w:val="正文文本缩进 31"/>
    <w:basedOn w:val="837"/>
    <w:link w:val="1082"/>
    <w:uiPriority w:val="0"/>
    <w:qFormat/>
    <w:pPr>
      <w:ind w:left="645" w:firstLine="645"/>
    </w:pPr>
    <w:rPr>
      <w:rFonts w:ascii="Arial" w:hAnsi="Arial" w:eastAsia="仿宋_GB2312" w:cs="Arial"/>
      <w:color w:val="ffff00"/>
      <w:sz w:val="32"/>
      <w:szCs w:val="32"/>
    </w:rPr>
  </w:style>
  <w:style w:type="character" w:styleId="1082" w:customStyle="1">
    <w:name w:val="正文文本缩进 3 Char"/>
    <w:link w:val="1081"/>
    <w:uiPriority w:val="0"/>
    <w:qFormat/>
    <w:rPr>
      <w:rFonts w:ascii="Arial" w:hAnsi="Arial" w:eastAsia="仿宋_GB2312" w:cs="Arial"/>
      <w:color w:val="ffff00"/>
      <w:sz w:val="32"/>
      <w:szCs w:val="32"/>
    </w:rPr>
  </w:style>
  <w:style w:type="paragraph" w:styleId="1083" w:customStyle="1">
    <w:name w:val="图表目录1"/>
    <w:basedOn w:val="837"/>
    <w:next w:val="837"/>
    <w:uiPriority w:val="0"/>
    <w:semiHidden/>
    <w:qFormat/>
    <w:pPr>
      <w:ind w:left="840" w:hanging="420"/>
    </w:pPr>
    <w:rPr>
      <w:rFonts w:ascii="Times New Roman" w:hAnsi="Times New Roman" w:eastAsia="宋体" w:cs="Times New Roman"/>
      <w:szCs w:val="21"/>
    </w:rPr>
  </w:style>
  <w:style w:type="paragraph" w:styleId="1084" w:customStyle="1">
    <w:name w:val="目录 21"/>
    <w:basedOn w:val="837"/>
    <w:next w:val="837"/>
    <w:uiPriority w:val="0"/>
    <w:semiHidden/>
    <w:qFormat/>
    <w:pPr>
      <w:ind w:left="210"/>
      <w:jc w:val="left"/>
    </w:pPr>
    <w:rPr>
      <w:rFonts w:ascii="Times New Roman" w:hAnsi="Times New Roman" w:eastAsia="宋体" w:cs="Times New Roman"/>
      <w:smallCaps/>
      <w:szCs w:val="24"/>
    </w:rPr>
  </w:style>
  <w:style w:type="paragraph" w:styleId="1085" w:customStyle="1">
    <w:name w:val="目录 91"/>
    <w:basedOn w:val="837"/>
    <w:next w:val="837"/>
    <w:uiPriority w:val="0"/>
    <w:semiHidden/>
    <w:qFormat/>
    <w:pPr>
      <w:ind w:left="1680"/>
      <w:jc w:val="left"/>
    </w:pPr>
    <w:rPr>
      <w:rFonts w:ascii="Times New Roman" w:hAnsi="Times New Roman" w:eastAsia="宋体" w:cs="Times New Roman"/>
      <w:szCs w:val="21"/>
    </w:rPr>
  </w:style>
  <w:style w:type="paragraph" w:styleId="1086" w:customStyle="1">
    <w:name w:val="正文文本 21"/>
    <w:basedOn w:val="837"/>
    <w:link w:val="1087"/>
    <w:uiPriority w:val="0"/>
    <w:qFormat/>
    <w:pPr>
      <w:jc w:val="center"/>
      <w:widowControl/>
    </w:pPr>
    <w:rPr>
      <w:rFonts w:ascii="楷体_GB2312" w:hAnsi="Times New Roman" w:eastAsia="楷体_GB2312" w:cs="Times New Roman"/>
      <w:sz w:val="28"/>
      <w:szCs w:val="28"/>
    </w:rPr>
  </w:style>
  <w:style w:type="character" w:styleId="1087" w:customStyle="1">
    <w:name w:val="正文文本 2 Char"/>
    <w:link w:val="1086"/>
    <w:uiPriority w:val="0"/>
    <w:qFormat/>
    <w:rPr>
      <w:rFonts w:ascii="楷体_GB2312" w:hAnsi="Times New Roman" w:eastAsia="楷体_GB2312" w:cs="Times New Roman"/>
      <w:sz w:val="28"/>
      <w:szCs w:val="28"/>
    </w:rPr>
  </w:style>
  <w:style w:type="paragraph" w:styleId="1088" w:customStyle="1">
    <w:name w:val="普通(网站)1"/>
    <w:basedOn w:val="837"/>
    <w:uiPriority w:val="99"/>
    <w:qFormat/>
    <w:pPr>
      <w:jc w:val="left"/>
      <w:spacing w:before="100" w:beforeAutospacing="1" w:after="100" w:afterAutospacing="1"/>
      <w:widowControl/>
    </w:pPr>
    <w:rPr>
      <w:rFonts w:ascii="宋体" w:hAnsi="宋体" w:eastAsia="宋体" w:cs="宋体"/>
      <w:sz w:val="24"/>
      <w:szCs w:val="24"/>
    </w:rPr>
  </w:style>
  <w:style w:type="paragraph" w:styleId="1089" w:customStyle="1">
    <w:name w:val="索引 11"/>
    <w:basedOn w:val="837"/>
    <w:next w:val="837"/>
    <w:uiPriority w:val="0"/>
    <w:semiHidden/>
    <w:qFormat/>
    <w:pPr>
      <w:spacing w:line="240" w:lineRule="atLeast"/>
    </w:pPr>
    <w:rPr>
      <w:rFonts w:ascii="Times New Roman" w:hAnsi="Times New Roman" w:eastAsia="宋体" w:cs="Times New Roman"/>
      <w:b/>
      <w:bCs/>
      <w:szCs w:val="21"/>
    </w:rPr>
  </w:style>
  <w:style w:type="paragraph" w:styleId="1090" w:customStyle="1">
    <w:name w:val="批注主题1"/>
    <w:basedOn w:val="1054"/>
    <w:next w:val="1054"/>
    <w:link w:val="1091"/>
    <w:uiPriority w:val="0"/>
    <w:semiHidden/>
    <w:qFormat/>
    <w:rPr>
      <w:rFonts w:ascii="Times New Roman" w:hAnsi="Times New Roman" w:eastAsia="宋体" w:cs="Times New Roman"/>
      <w:b/>
      <w:bCs/>
      <w:szCs w:val="21"/>
    </w:rPr>
  </w:style>
  <w:style w:type="character" w:styleId="1091" w:customStyle="1">
    <w:name w:val="批注主题 Char"/>
    <w:link w:val="1090"/>
    <w:uiPriority w:val="0"/>
    <w:semiHidden/>
    <w:qFormat/>
    <w:rPr>
      <w:rFonts w:ascii="Times New Roman" w:hAnsi="Times New Roman" w:eastAsia="宋体" w:cs="Times New Roman"/>
      <w:b/>
      <w:bCs/>
      <w:szCs w:val="21"/>
    </w:rPr>
  </w:style>
  <w:style w:type="paragraph" w:styleId="1092" w:customStyle="1">
    <w:name w:val="正文首行缩进1"/>
    <w:basedOn w:val="837"/>
    <w:link w:val="1093"/>
    <w:uiPriority w:val="0"/>
    <w:qFormat/>
    <w:pPr>
      <w:ind w:firstLine="200"/>
      <w:spacing w:line="360" w:lineRule="auto"/>
    </w:pPr>
    <w:rPr>
      <w:rFonts w:ascii="仿宋_GB2312" w:hAnsi="Times New Roman" w:eastAsia="仿宋_GB2312" w:cs="Times New Roman"/>
      <w:sz w:val="30"/>
      <w:szCs w:val="30"/>
    </w:rPr>
  </w:style>
  <w:style w:type="character" w:styleId="1093" w:customStyle="1">
    <w:name w:val="正文首行缩进 Char"/>
    <w:link w:val="1092"/>
    <w:uiPriority w:val="0"/>
    <w:qFormat/>
    <w:rPr>
      <w:rFonts w:ascii="仿宋_GB2312" w:hAnsi="Times New Roman" w:eastAsia="仿宋_GB2312" w:cs="Times New Roman"/>
      <w:sz w:val="30"/>
      <w:szCs w:val="30"/>
    </w:rPr>
  </w:style>
  <w:style w:type="table" w:styleId="1094" w:customStyle="1">
    <w:name w:val="网格型11"/>
    <w:basedOn w:val="1034"/>
    <w:uiPriority w:val="0"/>
    <w:qFormat/>
    <w:pPr>
      <w:jc w:val="both"/>
      <w:widowControl w:val="off"/>
    </w:pPr>
    <w:rPr>
      <w:rFonts w:ascii="Times New Roman" w:hAnsi="Times New Roman" w:eastAsia="宋体" w:cs="Times New Roman"/>
      <w:sz w:val="20"/>
      <w:szCs w:val="20"/>
    </w:rPr>
    <w:tblPr/>
  </w:style>
  <w:style w:type="character" w:styleId="1095" w:customStyle="1">
    <w:name w:val="要点1"/>
    <w:link w:val="837"/>
    <w:uiPriority w:val="0"/>
    <w:qFormat/>
    <w:rPr>
      <w:b/>
      <w:bCs/>
    </w:rPr>
  </w:style>
  <w:style w:type="character" w:styleId="1096" w:customStyle="1">
    <w:name w:val="页码1"/>
    <w:link w:val="837"/>
    <w:uiPriority w:val="0"/>
    <w:qFormat/>
  </w:style>
  <w:style w:type="character" w:styleId="1097" w:customStyle="1">
    <w:name w:val="已访问的超链接1"/>
    <w:link w:val="837"/>
    <w:uiPriority w:val="0"/>
    <w:qFormat/>
    <w:rPr>
      <w:color w:val="800080"/>
      <w:u w:val="single"/>
    </w:rPr>
  </w:style>
  <w:style w:type="character" w:styleId="1098" w:customStyle="1">
    <w:name w:val="强调1"/>
    <w:link w:val="837"/>
    <w:uiPriority w:val="0"/>
    <w:qFormat/>
    <w:rPr>
      <w:i/>
    </w:rPr>
  </w:style>
  <w:style w:type="character" w:styleId="1099" w:customStyle="1">
    <w:name w:val="超链接1"/>
    <w:link w:val="837"/>
    <w:uiPriority w:val="0"/>
    <w:qFormat/>
    <w:rPr>
      <w:color w:val="0000ff"/>
      <w:u w:val="single"/>
    </w:rPr>
  </w:style>
  <w:style w:type="character" w:styleId="1100" w:customStyle="1">
    <w:name w:val="批注引用1"/>
    <w:link w:val="837"/>
    <w:uiPriority w:val="99"/>
    <w:qFormat/>
    <w:rPr>
      <w:sz w:val="21"/>
      <w:szCs w:val="21"/>
    </w:rPr>
  </w:style>
  <w:style w:type="paragraph" w:styleId="1101" w:customStyle="1">
    <w:name w:val="索引 41"/>
    <w:basedOn w:val="837"/>
    <w:next w:val="837"/>
    <w:uiPriority w:val="0"/>
    <w:semiHidden/>
    <w:qFormat/>
    <w:pPr>
      <w:ind w:left="1260"/>
    </w:pPr>
    <w:rPr>
      <w:rFonts w:ascii="Calibri" w:hAnsi="Calibri" w:eastAsia="Calibri" w:cs="宋体"/>
      <w:sz w:val="20"/>
      <w:lang w:val="zh-CN"/>
    </w:rPr>
  </w:style>
  <w:style w:type="paragraph" w:styleId="1102" w:customStyle="1">
    <w:name w:val="正文文本缩进1"/>
    <w:basedOn w:val="837"/>
    <w:next w:val="1103"/>
    <w:uiPriority w:val="0"/>
    <w:unhideWhenUsed/>
    <w:qFormat/>
    <w:pPr>
      <w:ind w:left="420"/>
      <w:spacing w:after="120"/>
    </w:pPr>
  </w:style>
  <w:style w:type="paragraph" w:styleId="1103" w:customStyle="1">
    <w:name w:val="正文文本首行缩进 2"/>
    <w:basedOn w:val="1102"/>
    <w:uiPriority w:val="0"/>
    <w:qFormat/>
    <w:pPr>
      <w:ind w:left="0" w:firstLine="420"/>
      <w:spacing w:after="0" w:line="360" w:lineRule="auto"/>
    </w:pPr>
    <w:rPr>
      <w:rFonts w:ascii="宋体" w:hAnsi="宋体"/>
      <w:sz w:val="20"/>
      <w:szCs w:val="20"/>
      <w:lang w:val="en-US" w:eastAsia="en-US"/>
    </w:rPr>
  </w:style>
  <w:style w:type="character" w:styleId="1104" w:customStyle="1">
    <w:name w:val="font5 Char"/>
    <w:link w:val="837"/>
    <w:uiPriority w:val="0"/>
    <w:qFormat/>
    <w:rPr>
      <w:rFonts w:ascii="宋体" w:hAnsi="宋体" w:eastAsia="宋体"/>
      <w:sz w:val="28"/>
      <w:szCs w:val="28"/>
      <w:lang w:val="en-US" w:eastAsia="zh-CN" w:bidi="ar-SA"/>
    </w:rPr>
  </w:style>
  <w:style w:type="character" w:styleId="1105" w:customStyle="1">
    <w:name w:val="二级目录 Char"/>
    <w:link w:val="1106"/>
    <w:uiPriority w:val="0"/>
    <w:qFormat/>
    <w:rPr>
      <w:b/>
      <w:sz w:val="30"/>
      <w:szCs w:val="28"/>
    </w:rPr>
  </w:style>
  <w:style w:type="paragraph" w:styleId="1106" w:customStyle="1">
    <w:name w:val="二级目录"/>
    <w:next w:val="837"/>
    <w:link w:val="110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7" w:customStyle="1">
    <w:name w:val="列出段落 Char"/>
    <w:link w:val="1108"/>
    <w:uiPriority w:val="0"/>
    <w:qFormat/>
    <w:rPr>
      <w:rFonts w:ascii="Calibri" w:hAnsi="Calibri"/>
      <w:sz w:val="24"/>
      <w:szCs w:val="24"/>
      <w:lang w:eastAsia="en-US" w:bidi="en-US"/>
    </w:rPr>
  </w:style>
  <w:style w:type="paragraph" w:styleId="1108" w:customStyle="1">
    <w:name w:val="列出段落1"/>
    <w:basedOn w:val="837"/>
    <w:link w:val="1107"/>
    <w:uiPriority w:val="0"/>
    <w:qFormat/>
    <w:pPr>
      <w:contextualSpacing/>
      <w:ind w:left="720"/>
      <w:jc w:val="left"/>
      <w:widowControl/>
    </w:pPr>
    <w:rPr>
      <w:rFonts w:ascii="Calibri" w:hAnsi="Calibri"/>
      <w:sz w:val="24"/>
      <w:szCs w:val="24"/>
      <w:lang w:eastAsia="en-US" w:bidi="en-US"/>
    </w:rPr>
  </w:style>
  <w:style w:type="paragraph" w:styleId="1109" w:customStyle="1">
    <w:name w:val="Body Text(ch)"/>
    <w:basedOn w:val="837"/>
    <w:next w:val="1058"/>
    <w:uiPriority w:val="0"/>
    <w:qFormat/>
    <w:pPr>
      <w:spacing w:after="120"/>
    </w:pPr>
    <w:rPr>
      <w:rFonts w:ascii="宋体" w:hAnsi="Arial" w:eastAsia="宋体" w:cs="Times New Roman"/>
      <w:bCs/>
      <w:iCs/>
      <w:szCs w:val="24"/>
    </w:rPr>
  </w:style>
  <w:style w:type="paragraph" w:styleId="1110" w:customStyle="1">
    <w:name w:val="xl27"/>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1" w:customStyle="1">
    <w:name w:val="xl26"/>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2" w:customStyle="1">
    <w:name w:val="Char"/>
    <w:basedOn w:val="837"/>
    <w:uiPriority w:val="0"/>
    <w:qFormat/>
    <w:pPr>
      <w:ind w:firstLine="200"/>
      <w:tabs>
        <w:tab w:val="left" w:pos="360" w:leader="none"/>
      </w:tabs>
    </w:pPr>
    <w:rPr>
      <w:rFonts w:ascii="Times New Roman" w:hAnsi="Times New Roman" w:eastAsia="宋体" w:cs="Times New Roman"/>
      <w:sz w:val="28"/>
      <w:szCs w:val="30"/>
    </w:rPr>
  </w:style>
  <w:style w:type="paragraph" w:styleId="1113" w:customStyle="1">
    <w:name w:val=" Char"/>
    <w:basedOn w:val="1052"/>
    <w:uiPriority w:val="0"/>
    <w:qFormat/>
    <w:rPr>
      <w:rFonts w:ascii="Tahoma" w:hAnsi="Tahoma"/>
      <w:sz w:val="24"/>
      <w:szCs w:val="24"/>
    </w:rPr>
  </w:style>
  <w:style w:type="paragraph" w:styleId="1114" w:customStyle="1">
    <w:name w:val="普通正文"/>
    <w:basedOn w:val="837"/>
    <w:uiPriority w:val="0"/>
    <w:qFormat/>
    <w:pPr>
      <w:ind w:firstLine="480"/>
      <w:jc w:val="left"/>
      <w:spacing w:before="120" w:after="120" w:line="360" w:lineRule="auto"/>
    </w:pPr>
    <w:rPr>
      <w:rFonts w:ascii="Arial" w:hAnsi="Arial" w:eastAsia="宋体" w:cs="Times New Roman"/>
      <w:sz w:val="24"/>
      <w:szCs w:val="24"/>
    </w:rPr>
  </w:style>
  <w:style w:type="paragraph" w:styleId="1115" w:customStyle="1">
    <w:name w:val="table_lines"/>
    <w:basedOn w:val="837"/>
    <w:uiPriority w:val="0"/>
    <w:qFormat/>
    <w:pPr>
      <w:jc w:val="left"/>
      <w:widowControl/>
    </w:pPr>
    <w:rPr>
      <w:rFonts w:ascii="Times New Roman" w:hAnsi="Times New Roman" w:eastAsia="宋体" w:cs="Times New Roman"/>
      <w:sz w:val="20"/>
      <w:szCs w:val="20"/>
      <w:lang w:val="de-DE" w:eastAsia="de-DE"/>
    </w:rPr>
  </w:style>
  <w:style w:type="paragraph" w:styleId="11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7" w:customStyle="1">
    <w:name w:val="font7"/>
    <w:basedOn w:val="83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18" w:customStyle="1">
    <w:name w:val=" Char Char Char Char"/>
    <w:basedOn w:val="1052"/>
    <w:uiPriority w:val="0"/>
    <w:qFormat/>
    <w:pPr>
      <w:spacing w:line="360" w:lineRule="auto"/>
    </w:pPr>
    <w:rPr>
      <w:rFonts w:ascii="Tahoma" w:hAnsi="Tahoma"/>
      <w:sz w:val="24"/>
      <w:szCs w:val="24"/>
    </w:rPr>
  </w:style>
  <w:style w:type="paragraph" w:styleId="1119" w:customStyle="1">
    <w:name w:val="列出段落"/>
    <w:basedOn w:val="837"/>
    <w:uiPriority w:val="0"/>
    <w:qFormat/>
    <w:pPr>
      <w:contextualSpacing/>
      <w:ind w:left="720"/>
      <w:jc w:val="left"/>
      <w:widowControl/>
    </w:pPr>
    <w:rPr>
      <w:rFonts w:ascii="Calibri" w:hAnsi="Calibri" w:eastAsia="宋体" w:cs="Times New Roman"/>
      <w:sz w:val="24"/>
      <w:szCs w:val="24"/>
      <w:lang w:eastAsia="en-US" w:bidi="en-US"/>
    </w:rPr>
  </w:style>
  <w:style w:type="paragraph" w:styleId="1120" w:customStyle="1">
    <w:name w:val="4"/>
    <w:basedOn w:val="837"/>
    <w:next w:val="1081"/>
    <w:uiPriority w:val="0"/>
    <w:qFormat/>
    <w:pPr>
      <w:ind w:firstLine="420"/>
      <w:spacing w:line="360" w:lineRule="auto"/>
    </w:pPr>
    <w:rPr>
      <w:rFonts w:ascii="Times New Roman" w:hAnsi="Times New Roman" w:eastAsia="宋体" w:cs="Times New Roman"/>
      <w:color w:val="ff0000"/>
      <w:sz w:val="24"/>
      <w:szCs w:val="24"/>
    </w:rPr>
  </w:style>
  <w:style w:type="paragraph" w:styleId="1121" w:customStyle="1">
    <w:name w:val="普通 (Web)"/>
    <w:basedOn w:val="837"/>
    <w:uiPriority w:val="0"/>
    <w:qFormat/>
    <w:pPr>
      <w:jc w:val="left"/>
      <w:spacing w:before="100" w:beforeAutospacing="1" w:after="100" w:afterAutospacing="1"/>
      <w:widowControl/>
    </w:pPr>
    <w:rPr>
      <w:rFonts w:ascii="宋体" w:hAnsi="宋体" w:eastAsia="宋体" w:cs="Times New Roman"/>
      <w:sz w:val="24"/>
      <w:szCs w:val="24"/>
    </w:rPr>
  </w:style>
  <w:style w:type="paragraph" w:styleId="1122" w:customStyle="1">
    <w:name w:val=" Char Char Char Char Char Char Char Char Char Char"/>
    <w:basedOn w:val="837"/>
    <w:uiPriority w:val="0"/>
    <w:qFormat/>
    <w:pPr>
      <w:spacing w:line="360" w:lineRule="auto"/>
    </w:pPr>
    <w:rPr>
      <w:rFonts w:ascii="Times New Roman" w:hAnsi="Times New Roman" w:eastAsia="宋体" w:cs="Times New Roman"/>
      <w:sz w:val="24"/>
      <w:szCs w:val="20"/>
    </w:rPr>
  </w:style>
  <w:style w:type="paragraph" w:styleId="1123" w:customStyle="1">
    <w:name w:val="样式1"/>
    <w:basedOn w:val="837"/>
    <w:uiPriority w:val="0"/>
    <w:qFormat/>
    <w:pPr>
      <w:numPr>
        <w:ilvl w:val="0"/>
        <w:numId w:val="3"/>
      </w:numPr>
    </w:pPr>
    <w:rPr>
      <w:rFonts w:ascii="宋体" w:hAnsi="宋体" w:eastAsia="宋体" w:cs="Times New Roman"/>
      <w:szCs w:val="21"/>
    </w:rPr>
  </w:style>
  <w:style w:type="paragraph" w:styleId="1124" w:customStyle="1">
    <w:name w:val="font6"/>
    <w:basedOn w:val="83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25" w:customStyle="1">
    <w:name w:val="xl25"/>
    <w:basedOn w:val="8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6" w:customStyle="1">
    <w:name w:val="图标"/>
    <w:basedOn w:val="837"/>
    <w:next w:val="8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7" w:customStyle="1">
    <w:name w:val="标题3"/>
    <w:basedOn w:val="837"/>
    <w:next w:val="837"/>
    <w:uiPriority w:val="0"/>
    <w:qFormat/>
    <w:pPr>
      <w:ind w:firstLine="624"/>
      <w:spacing w:line="590" w:lineRule="atLeast"/>
    </w:pPr>
    <w:rPr>
      <w:rFonts w:ascii="方正黑体_GBK" w:hAnsi="Times New Roman" w:eastAsia="方正黑体_GBK" w:cs="Times New Roman"/>
      <w:sz w:val="32"/>
      <w:szCs w:val="32"/>
    </w:rPr>
  </w:style>
  <w:style w:type="paragraph" w:styleId="1128" w:customStyle="1">
    <w:name w:val="xl24"/>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9" w:customStyle="1">
    <w:name w:val="xl29"/>
    <w:basedOn w:val="83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30" w:customStyle="1">
    <w:name w:val="Char Char Char Char Char Char Char Char"/>
    <w:basedOn w:val="837"/>
    <w:uiPriority w:val="0"/>
    <w:qFormat/>
    <w:pPr>
      <w:jc w:val="left"/>
      <w:spacing w:after="160" w:line="240" w:lineRule="exact"/>
      <w:widowControl/>
    </w:pPr>
    <w:rPr>
      <w:rFonts w:ascii="Verdana" w:hAnsi="Verdana" w:eastAsia="宋体" w:cs="Times New Roman"/>
      <w:sz w:val="20"/>
      <w:szCs w:val="20"/>
      <w:lang w:eastAsia="en-US"/>
    </w:rPr>
  </w:style>
  <w:style w:type="paragraph" w:styleId="1131" w:customStyle="1">
    <w:name w:val="xl28"/>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32" w:customStyle="1">
    <w:name w:val=" Char Char Char Char Char Char Char Char"/>
    <w:basedOn w:val="837"/>
    <w:uiPriority w:val="0"/>
    <w:qFormat/>
    <w:pPr>
      <w:jc w:val="left"/>
      <w:spacing w:after="160" w:line="240" w:lineRule="exact"/>
      <w:widowControl/>
    </w:pPr>
    <w:rPr>
      <w:rFonts w:ascii="Verdana" w:hAnsi="Verdana" w:eastAsia="宋体" w:cs="Times New Roman"/>
      <w:sz w:val="20"/>
      <w:szCs w:val="20"/>
      <w:lang w:eastAsia="en-US"/>
    </w:rPr>
  </w:style>
  <w:style w:type="paragraph" w:styleId="1133" w:customStyle="1">
    <w:name w:val="xl30"/>
    <w:basedOn w:val="83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34" w:customStyle="1">
    <w:name w:val="Char Char Char Char"/>
    <w:basedOn w:val="1052"/>
    <w:uiPriority w:val="0"/>
    <w:qFormat/>
    <w:pPr>
      <w:spacing w:line="360" w:lineRule="auto"/>
    </w:pPr>
    <w:rPr>
      <w:rFonts w:ascii="Tahoma" w:hAnsi="Tahoma"/>
      <w:sz w:val="24"/>
      <w:szCs w:val="24"/>
    </w:rPr>
  </w:style>
  <w:style w:type="paragraph" w:styleId="1135" w:customStyle="1">
    <w:name w:val="table_1stline"/>
    <w:basedOn w:val="83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36" w:customStyle="1">
    <w:name w:val="font5"/>
    <w:basedOn w:val="83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37" w:customStyle="1">
    <w:name w:val="标题1"/>
    <w:basedOn w:val="837"/>
    <w:next w:val="83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8"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13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0" w:customStyle="1">
    <w:name w:val="Table Normal"/>
    <w:uiPriority w:val="0"/>
    <w:qFormat/>
    <w:rPr>
      <w:lang w:val="en-US" w:eastAsia="zh-CN" w:bidi="ar-SA"/>
    </w:rPr>
    <w:tblPr/>
  </w:style>
  <w:style w:type="paragraph" w:styleId="1141" w:customStyle="1">
    <w:name w:val="正文文本 211"/>
    <w:basedOn w:val="837"/>
    <w:uiPriority w:val="99"/>
    <w:qFormat/>
    <w:pPr>
      <w:jc w:val="center"/>
    </w:pPr>
    <w:rPr>
      <w:b/>
      <w:bCs/>
      <w:sz w:val="20"/>
      <w:szCs w:val="20"/>
    </w:rPr>
  </w:style>
  <w:style w:type="paragraph" w:styleId="1142" w:customStyle="1">
    <w:name w:val="正文文本1"/>
    <w:basedOn w:val="837"/>
    <w:next w:val="837"/>
    <w:uiPriority w:val="0"/>
    <w:semiHidden/>
    <w:qFormat/>
    <w:rPr>
      <w:rFonts w:ascii="Arial" w:hAnsi="Arial" w:eastAsia="Arial" w:cs="Arial"/>
      <w:sz w:val="21"/>
      <w:szCs w:val="21"/>
      <w:lang w:val="en-US" w:eastAsia="en-US" w:bidi="ar-SA"/>
    </w:rPr>
  </w:style>
  <w:style w:type="paragraph" w:styleId="1143" w:customStyle="1">
    <w:name w:val="正文文本12"/>
    <w:basedOn w:val="837"/>
    <w:uiPriority w:val="1"/>
    <w:qFormat/>
    <w:pPr>
      <w:ind w:left="120"/>
    </w:pPr>
    <w:rPr>
      <w:rFonts w:ascii="宋体" w:hAnsi="宋体" w:eastAsia="宋体" w:cs="宋体"/>
      <w:sz w:val="21"/>
      <w:szCs w:val="21"/>
      <w:lang w:val="zh-CN" w:eastAsia="zh-CN" w:bidi="zh-CN"/>
    </w:rPr>
  </w:style>
  <w:style w:type="paragraph" w:styleId="1144" w:customStyle="1">
    <w:name w:val="纯文本1"/>
    <w:basedOn w:val="837"/>
    <w:uiPriority w:val="0"/>
    <w:qFormat/>
    <w:rPr>
      <w:rFonts w:ascii="宋体" w:hAnsi="Courier New" w:cs="Courier New"/>
    </w:rPr>
  </w:style>
  <w:style w:type="table" w:styleId="1145" w:customStyle="1">
    <w:name w:val="网格型1"/>
    <w:basedOn w:val="1146"/>
    <w:uiPriority w:val="0"/>
    <w:qFormat/>
    <w:pPr>
      <w:jc w:val="both"/>
      <w:widowControl w:val="off"/>
    </w:pPr>
    <w:tblPr/>
  </w:style>
  <w:style w:type="table" w:styleId="1146" w:customStyle="1">
    <w:name w:val="普通表格1"/>
    <w:uiPriority w:val="99"/>
    <w:unhideWhenUsed/>
    <w:qFormat/>
    <w:rPr>
      <w:lang w:val="en-US" w:eastAsia="zh-CN" w:bidi="ar-SA"/>
    </w:rPr>
    <w:tblPr/>
  </w:style>
  <w:style w:type="character" w:styleId="1147" w:customStyle="1">
    <w:name w:val="Strong"/>
    <w:uiPriority w:val="0"/>
    <w:qFormat/>
    <w:rPr>
      <w:b/>
    </w:rPr>
  </w:style>
  <w:style w:type="character" w:styleId="1148" w:customStyle="1">
    <w:name w:val="Emphasis"/>
    <w:uiPriority w:val="0"/>
    <w:qFormat/>
    <w:rPr>
      <w:i/>
    </w:rPr>
  </w:style>
  <w:style w:type="paragraph" w:styleId="1149" w:customStyle="1">
    <w:name w:val="Normal (Web)"/>
    <w:uiPriority w:val="0"/>
    <w:qFormat/>
    <w:pPr>
      <w:contextualSpacing w:val="0"/>
      <w:ind w:left="0" w:right="0" w:firstLine="0"/>
      <w:jc w:val="left"/>
      <w:keepLines w:val="0"/>
      <w:keepNext w:val="0"/>
      <w:pageBreakBefore w:val="0"/>
      <w:spacing w:before="0" w:beforeAutospacing="1" w:after="0" w:afterAutospacing="1"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Pr>
      <w:rFonts w:hint="default" w:asciiTheme="minorHAnsi" w:hAnsiTheme="minorHAnsi" w:eastAsiaTheme="minorEastAsia" w:cstheme="minorBidi"/>
      <w:color w:val="auto"/>
      <w:spacing w:val="0"/>
      <w:position w:val="0"/>
      <w:sz w:val="24"/>
      <w:szCs w:val="24"/>
      <w:highlight w:val="none"/>
      <w:u w:val="none"/>
      <w:vertAlign w:val="baseline"/>
      <w:rtl w:val="0"/>
      <w:cs w:val="0"/>
      <w:lang w:val="en-US" w:eastAsia="zh-CN" w:bidi="ar"/>
      <w14:ligatures w14:val="none"/>
    </w:rPr>
  </w:style>
  <w:style w:type="paragraph" w:styleId="1150" w:customStyle="1">
    <w:name w:val="附录标题"/>
    <w:next w:val="837"/>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paragraph" w:styleId="1151" w:customStyle="1">
    <w:name w:val="章标题"/>
    <w:next w:val="837"/>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paragraph" w:styleId="1152" w:customStyle="1">
    <w:name w:val="题注1"/>
    <w:next w:val="837"/>
    <w:uiPriority w:val="0"/>
    <w:qFormat/>
    <w:pPr>
      <w:jc w:val="center"/>
      <w:spacing w:before="240" w:after="120" w:line="288" w:lineRule="auto"/>
      <w:widowControl w:val="off"/>
    </w:pPr>
    <w:rPr>
      <w:rFonts w:ascii="Times New Roman" w:hAnsi="Times New Roman" w:eastAsia="宋体" w:cs="宋体"/>
      <w:sz w:val="24"/>
      <w:szCs w:val="22"/>
      <w:lang w:bidi="ar-SA"/>
    </w:rPr>
  </w:style>
  <w:style w:type="numbering" w:styleId="7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殷沛中</cp:lastModifiedBy>
  <cp:revision>12</cp:revision>
  <dcterms:created xsi:type="dcterms:W3CDTF">2023-03-27T07:28:00Z</dcterms:created>
  <dcterms:modified xsi:type="dcterms:W3CDTF">2026-07-10T07:51:45Z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eyJoZGlkIjoiZGI4OGE1MzAzZDVmOTFjNmE2ZjdjMjE4MWFmMWJkZTAiLCJ1c2VySWQiOiIxMTc5MTU0ODc0In0=</vt:lpwstr>
  </property>
  <property fmtid="{D5CDD505-2E9C-101B-9397-08002B2CF9AE}" pid="3" name="KSOProductBuildVer">
    <vt:lpwstr>2052-12.1.0.26895</vt:lpwstr>
  </property>
  <property fmtid="{D5CDD505-2E9C-101B-9397-08002B2CF9AE}" pid="4" name="ICV">
    <vt:lpwstr>2162CFF0B1B043CE85A4AA300DE9235E_13</vt:lpwstr>
  </property>
</Properties>
</file>