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ascii="Arial" w:hAnsi="Arial" w:eastAsia="宋体" w:cs="Arial"/>
          <w:b/>
          <w:bCs/>
          <w:sz w:val="84"/>
          <w:szCs w:val="84"/>
        </w:rPr>
      </w:pPr>
      <w:r>
        <w:rPr>
          <w:rFonts w:ascii="Arial" w:hAnsi="Arial" w:eastAsia="宋体" w:cs="Arial"/>
          <w:b/>
          <w:bCs/>
          <w:sz w:val="84"/>
          <w:szCs w:val="84"/>
        </w:rPr>
      </w:r>
      <w:r/>
    </w:p>
    <w:p>
      <w:pPr>
        <w:jc w:val="center"/>
        <w:spacing w:before="120" w:after="120" w:line="360" w:lineRule="auto"/>
        <w:rPr>
          <w:rFonts w:ascii="宋体" w:hAnsi="宋体" w:eastAsia="宋体" w:cs="宋体"/>
          <w:sz w:val="24"/>
          <w:szCs w:val="24"/>
        </w:rPr>
      </w:pPr>
      <w:r>
        <w:rPr>
          <w:rFonts w:ascii="Arial" w:hAnsi="Arial" w:eastAsia="宋体" w:cs="Arial"/>
          <w:b/>
          <w:bCs/>
          <w:sz w:val="84"/>
          <w:szCs w:val="84"/>
        </w:rPr>
        <w:t xml:space="preserve">招 标 文 件</w:t>
      </w:r>
      <w:r/>
    </w:p>
    <w:p>
      <w:pPr>
        <w:jc w:val="center"/>
        <w:spacing w:before="120" w:after="120" w:line="440" w:lineRule="exact"/>
        <w:rPr>
          <w:rFonts w:ascii="Arial" w:hAnsi="Arial" w:eastAsia="宋体" w:cs="Arial"/>
          <w:b/>
          <w:bCs/>
          <w:sz w:val="32"/>
          <w:szCs w:val="32"/>
        </w:rPr>
      </w:pPr>
      <w:r>
        <w:rPr>
          <w:rFonts w:ascii="Arial" w:hAnsi="Arial" w:eastAsia="宋体" w:cs="Arial"/>
          <w:b/>
          <w:bCs/>
          <w:sz w:val="32"/>
          <w:szCs w:val="32"/>
        </w:rPr>
      </w:r>
      <w:r/>
    </w:p>
    <w:p>
      <w:pPr>
        <w:pStyle w:val="745"/>
        <w:spacing w:line="440" w:lineRule="exact"/>
        <w:rPr>
          <w:rFonts w:ascii="Arial" w:hAnsi="Arial" w:eastAsia="宋体" w:cs="Arial"/>
          <w:b/>
          <w:bCs/>
          <w:sz w:val="32"/>
          <w:szCs w:val="32"/>
        </w:rPr>
      </w:pPr>
      <w:r>
        <w:rPr>
          <w:rFonts w:ascii="Arial" w:hAnsi="Arial" w:eastAsia="宋体" w:cs="Arial"/>
          <w:b/>
          <w:bCs/>
          <w:sz w:val="32"/>
          <w:szCs w:val="32"/>
        </w:rPr>
      </w:r>
      <w:r/>
    </w:p>
    <w:p>
      <w:pPr>
        <w:spacing w:line="440" w:lineRule="exact"/>
      </w:pPr>
      <w:r/>
      <w:r/>
    </w:p>
    <w:p>
      <w:pPr>
        <w:jc w:val="center"/>
        <w:spacing w:before="120" w:after="120" w:line="440" w:lineRule="exact"/>
        <w:rPr>
          <w:rFonts w:ascii="宋体" w:hAnsi="宋体" w:eastAsia="宋体" w:cs="宋体"/>
          <w:sz w:val="24"/>
          <w:szCs w:val="24"/>
        </w:rPr>
      </w:pPr>
      <w:r>
        <w:rPr>
          <w:rFonts w:ascii="Arial" w:hAnsi="Arial" w:eastAsia="宋体" w:cs="Arial"/>
          <w:b/>
          <w:bCs/>
          <w:sz w:val="32"/>
          <w:szCs w:val="32"/>
        </w:rPr>
        <w:t xml:space="preserve">项目</w:t>
      </w:r>
      <w:r>
        <w:rPr>
          <w:rFonts w:hint="eastAsia" w:ascii="Times New Roman" w:hAnsi="Times New Roman" w:eastAsia="宋体" w:cs="Times New Roman"/>
          <w:b/>
          <w:bCs/>
          <w:sz w:val="32"/>
          <w:szCs w:val="32"/>
        </w:rPr>
        <w:t xml:space="preserve">名称：泰州市中级人民法院大案要案法庭改（扩）建信息化建设</w:t>
      </w:r>
      <w:r/>
    </w:p>
    <w:p>
      <w:pPr>
        <w:jc w:val="center"/>
        <w:spacing w:line="440" w:lineRule="exact"/>
        <w:rPr>
          <w:rFonts w:ascii="宋体" w:hAnsi="宋体" w:eastAsia="宋体" w:cs="宋体"/>
          <w:sz w:val="24"/>
          <w:szCs w:val="24"/>
        </w:rPr>
      </w:pPr>
      <w:r>
        <w:rPr>
          <w:rFonts w:ascii="Times New Roman" w:hAnsi="Times New Roman" w:eastAsia="宋体" w:cs="Times New Roman"/>
          <w:b/>
          <w:bCs/>
          <w:sz w:val="32"/>
          <w:szCs w:val="32"/>
        </w:rPr>
        <w:t xml:space="preserve">项目编号：</w:t>
      </w:r>
      <w:r>
        <w:rPr>
          <w:rFonts w:hint="eastAsia" w:ascii="Times New Roman" w:hAnsi="Times New Roman" w:eastAsia="宋体" w:cs="Times New Roman"/>
          <w:b/>
          <w:bCs/>
          <w:sz w:val="32"/>
          <w:szCs w:val="32"/>
        </w:rPr>
        <w:t xml:space="preserve">JSZC-321200-JZCG-G2026-0025</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before="120" w:after="120" w:line="440" w:lineRule="exact"/>
        <w:rPr>
          <w:rFonts w:ascii="宋体" w:hAnsi="宋体" w:eastAsia="宋体" w:cs="宋体"/>
          <w:sz w:val="24"/>
          <w:szCs w:val="24"/>
        </w:rPr>
      </w:pPr>
      <w:r>
        <w:rPr>
          <w:rFonts w:ascii="Arial" w:hAnsi="Arial" w:eastAsia="宋体" w:cs="Arial"/>
          <w:b/>
          <w:bCs/>
          <w:sz w:val="32"/>
          <w:szCs w:val="32"/>
        </w:rPr>
        <w:t xml:space="preserve">泰州市</w:t>
      </w:r>
      <w:r>
        <w:rPr>
          <w:rFonts w:hint="eastAsia" w:ascii="Arial" w:hAnsi="Arial" w:eastAsia="宋体" w:cs="Arial"/>
          <w:b/>
          <w:bCs/>
          <w:sz w:val="32"/>
          <w:szCs w:val="32"/>
        </w:rPr>
        <w:t xml:space="preserve">政务服务中心</w:t>
      </w:r>
      <w:r/>
    </w:p>
    <w:p>
      <w:pPr>
        <w:jc w:val="center"/>
        <w:spacing w:before="120" w:after="120" w:line="440" w:lineRule="exact"/>
        <w:rPr>
          <w:rFonts w:ascii="宋体" w:hAnsi="宋体" w:eastAsia="宋体" w:cs="宋体"/>
          <w:sz w:val="24"/>
          <w:szCs w:val="24"/>
        </w:rPr>
      </w:pPr>
      <w:r>
        <w:rPr>
          <w:rFonts w:ascii="Arial" w:hAnsi="Arial" w:eastAsia="宋体" w:cs="Arial"/>
          <w:b/>
          <w:bCs/>
          <w:sz w:val="32"/>
          <w:szCs w:val="32"/>
        </w:rPr>
        <w:t xml:space="preserve">202</w:t>
      </w:r>
      <w:r>
        <w:rPr>
          <w:rFonts w:hint="eastAsia" w:ascii="Arial" w:hAnsi="Arial" w:eastAsia="宋体" w:cs="Arial"/>
          <w:b/>
          <w:bCs/>
          <w:sz w:val="32"/>
          <w:szCs w:val="32"/>
        </w:rPr>
        <w:t xml:space="preserve">6</w:t>
      </w:r>
      <w:r>
        <w:rPr>
          <w:rFonts w:ascii="Arial" w:hAnsi="Arial" w:eastAsia="宋体" w:cs="Arial"/>
          <w:b/>
          <w:bCs/>
          <w:sz w:val="32"/>
          <w:szCs w:val="32"/>
        </w:rPr>
        <w:t xml:space="preserve">年</w:t>
      </w:r>
      <w:r>
        <w:rPr>
          <w:rFonts w:hint="eastAsia" w:ascii="Arial" w:hAnsi="Arial" w:eastAsia="宋体" w:cs="Arial"/>
          <w:b/>
          <w:bCs/>
          <w:sz w:val="32"/>
          <w:szCs w:val="32"/>
        </w:rPr>
        <w:t xml:space="preserve">7</w:t>
      </w:r>
      <w:r>
        <w:rPr>
          <w:rFonts w:ascii="Arial" w:hAnsi="Arial" w:eastAsia="宋体" w:cs="Arial"/>
          <w:b/>
          <w:bCs/>
          <w:sz w:val="32"/>
          <w:szCs w:val="32"/>
        </w:rPr>
        <w:t xml:space="preserve">月</w:t>
      </w:r>
      <w:r>
        <w:rPr>
          <w:rFonts w:hint="eastAsia" w:ascii="Arial" w:hAnsi="Arial" w:eastAsia="宋体" w:cs="Arial"/>
          <w:b/>
          <w:bCs/>
          <w:sz w:val="32"/>
          <w:szCs w:val="32"/>
          <w:lang w:val="en-US" w:eastAsia="zh-CN"/>
        </w:rPr>
        <w:t xml:space="preserve">21</w:t>
      </w:r>
      <w:bookmarkStart w:id="212" w:name="_GoBack"/>
      <w:r/>
      <w:bookmarkEnd w:id="212"/>
      <w:r>
        <w:rPr>
          <w:rFonts w:ascii="Arial" w:hAnsi="Arial" w:eastAsia="宋体" w:cs="Arial"/>
          <w:b/>
          <w:bCs/>
          <w:sz w:val="32"/>
          <w:szCs w:val="32"/>
        </w:rPr>
        <w:t xml:space="preserve">日</w:t>
      </w:r>
      <w:r/>
    </w:p>
    <w:p>
      <w:pPr>
        <w:jc w:val="left"/>
        <w:spacing w:before="120" w:after="120" w:line="440" w:lineRule="exact"/>
        <w:rPr>
          <w:rFonts w:ascii="宋体" w:hAnsi="宋体" w:eastAsia="宋体" w:cs="宋体"/>
          <w:sz w:val="24"/>
          <w:szCs w:val="24"/>
        </w:rPr>
      </w:pPr>
      <w:r>
        <w:rPr>
          <w:rFonts w:ascii="Arial" w:hAnsi="Arial" w:eastAsia="宋体" w:cs="Arial"/>
          <w:sz w:val="24"/>
          <w:szCs w:val="24"/>
        </w:rPr>
        <w:t xml:space="preserve">                        </w:t>
      </w:r>
      <w:r/>
    </w:p>
    <w:p>
      <w:pPr>
        <w:jc w:val="center"/>
        <w:spacing w:before="120" w:after="120"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Times New Roman" w:hAnsi="Times New Roman" w:eastAsia="宋体" w:cs="Times New Roman"/>
          <w:szCs w:val="21"/>
        </w:rPr>
        <w:br w:type="page" w:clear="all"/>
      </w:r>
      <w:r>
        <w:rPr>
          <w:rFonts w:ascii="Times New Roman" w:hAnsi="Times New Roman" w:eastAsia="宋体" w:cs="Times New Roman"/>
          <w:szCs w:val="21"/>
        </w:rPr>
        <w:t xml:space="preserve"> </w:t>
      </w:r>
      <w:bookmarkStart w:id="0" w:name="_Toc16938516"/>
      <w:r/>
      <w:bookmarkEnd w:id="0"/>
      <w:r/>
      <w:bookmarkStart w:id="1" w:name="_Toc479757206"/>
      <w:r/>
      <w:bookmarkEnd w:id="1"/>
      <w:r/>
      <w:bookmarkStart w:id="2" w:name="_Toc20823272"/>
      <w:r/>
      <w:bookmarkEnd w:id="2"/>
      <w:r/>
      <w:bookmarkStart w:id="3" w:name="_Toc523127445"/>
      <w:r/>
      <w:bookmarkEnd w:id="3"/>
      <w:r/>
      <w:bookmarkStart w:id="4" w:name="_Toc513029200"/>
      <w:r/>
      <w:bookmarkEnd w:id="4"/>
      <w:r/>
      <w:bookmarkStart w:id="5" w:name="_Toc120614210"/>
      <w:r>
        <w:rPr>
          <w:rFonts w:ascii="Times New Roman" w:hAnsi="Times New Roman" w:eastAsia="宋体" w:cs="Times New Roman"/>
          <w:szCs w:val="21"/>
        </w:rPr>
        <w:t xml:space="preserve"> </w:t>
      </w:r>
      <w:r>
        <w:rPr>
          <w:rFonts w:hint="eastAsia" w:ascii="黑体" w:hAnsi="黑体" w:eastAsia="黑体" w:cs="宋体"/>
          <w:b/>
          <w:bCs/>
          <w:sz w:val="44"/>
          <w:szCs w:val="44"/>
        </w:rPr>
        <w:t xml:space="preserve">总</w:t>
      </w:r>
      <w:r>
        <w:rPr>
          <w:rFonts w:ascii="Calibri" w:hAnsi="Calibri" w:eastAsia="黑体" w:cs="Calibri"/>
          <w:b/>
          <w:bCs/>
          <w:sz w:val="44"/>
          <w:szCs w:val="44"/>
        </w:rPr>
        <w:t xml:space="preserve"> </w:t>
      </w:r>
      <w:r>
        <w:rPr>
          <w:rFonts w:hint="eastAsia" w:ascii="黑体" w:hAnsi="黑体" w:eastAsia="黑体" w:cs="宋体"/>
          <w:b/>
          <w:bCs/>
          <w:sz w:val="44"/>
          <w:szCs w:val="44"/>
        </w:rPr>
        <w:t xml:space="preserve"> 目</w:t>
      </w:r>
      <w:r>
        <w:rPr>
          <w:rFonts w:ascii="Calibri" w:hAnsi="Calibri" w:eastAsia="黑体" w:cs="Calibri"/>
          <w:b/>
          <w:bCs/>
          <w:sz w:val="44"/>
          <w:szCs w:val="44"/>
        </w:rPr>
        <w:t xml:space="preserve"> </w:t>
      </w:r>
      <w:r>
        <w:rPr>
          <w:rFonts w:hint="eastAsia" w:ascii="黑体" w:hAnsi="黑体" w:eastAsia="黑体" w:cs="宋体"/>
          <w:b/>
          <w:bCs/>
          <w:sz w:val="44"/>
          <w:szCs w:val="44"/>
        </w:rPr>
        <w:t xml:space="preserve"> 录</w:t>
      </w:r>
      <w:bookmarkEnd w:id="5"/>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投标邀请…………………………………… </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投标人须知…………………………………</w:t>
      </w:r>
      <w:r>
        <w:rPr>
          <w:rFonts w:ascii="Calibri" w:hAnsi="Calibri" w:eastAsia="黑体" w:cs="Calibri"/>
          <w:sz w:val="36"/>
          <w:szCs w:val="36"/>
        </w:rPr>
        <w:t xml:space="preserve"> </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合同文本……………………………………</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采购需求……………………………………</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评标方法与评标标准………………………</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投标文件格式………………………………</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pStyle w:val="745"/>
        <w:rPr>
          <w:rFonts w:hAnsi="宋体" w:eastAsia="宋体" w:cs="宋体"/>
          <w:sz w:val="24"/>
          <w:szCs w:val="24"/>
        </w:rPr>
      </w:pPr>
      <w:r>
        <w:rPr>
          <w:rFonts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745"/>
        <w:rPr>
          <w:rFonts w:hAnsi="宋体" w:eastAsia="宋体" w:cs="宋体"/>
          <w:sz w:val="24"/>
          <w:szCs w:val="24"/>
        </w:rPr>
      </w:pPr>
      <w:r>
        <w:rPr>
          <w:rFonts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745"/>
        <w:rPr>
          <w:rFonts w:hAnsi="宋体" w:eastAsia="宋体" w:cs="宋体"/>
          <w:sz w:val="24"/>
          <w:szCs w:val="24"/>
        </w:rPr>
      </w:pPr>
      <w:r>
        <w:rPr>
          <w:rFonts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745"/>
      </w:pPr>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hint="eastAsia" w:ascii="黑体" w:hAnsi="黑体" w:eastAsia="黑体" w:cs="宋体"/>
          <w:sz w:val="44"/>
          <w:szCs w:val="44"/>
        </w:rPr>
        <w:t xml:space="preserve">第一章</w:t>
      </w:r>
      <w:r>
        <w:rPr>
          <w:rFonts w:ascii="Calibri" w:hAnsi="Calibri" w:eastAsia="黑体" w:cs="Calibri"/>
          <w:sz w:val="44"/>
          <w:szCs w:val="44"/>
        </w:rPr>
        <w:t xml:space="preserve"> </w:t>
      </w:r>
      <w:r>
        <w:rPr>
          <w:rFonts w:hint="eastAsia" w:ascii="黑体" w:hAnsi="黑体" w:eastAsia="黑体" w:cs="宋体"/>
          <w:sz w:val="44"/>
          <w:szCs w:val="44"/>
        </w:rPr>
        <w:t xml:space="preserve"> 投标邀请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受[泰州市中级人民法院]的委托，泰州市政务服务中心就[</w:t>
      </w:r>
      <w:r>
        <w:rPr>
          <w:rFonts w:hint="eastAsia" w:ascii="宋体" w:hAnsi="宋体" w:eastAsia="宋体" w:cs="宋体"/>
          <w:sz w:val="24"/>
          <w:szCs w:val="24"/>
          <w:u w:val="single"/>
        </w:rPr>
        <w:t xml:space="preserve">泰州市中级人民法院大案要案法庭建设信息化项目]([JSZC-321200-JZCG-G2026-0025])项</w:t>
      </w:r>
      <w:r>
        <w:rPr>
          <w:rFonts w:hint="eastAsia" w:ascii="宋体" w:hAnsi="宋体" w:eastAsia="宋体" w:cs="宋体"/>
          <w:sz w:val="24"/>
          <w:szCs w:val="24"/>
        </w:rPr>
        <w:t xml:space="preserve">目进行公开招标采购，欢迎符合条件的供应商投标。</w:t>
      </w:r>
      <w:r/>
    </w:p>
    <w:p>
      <w:pPr>
        <w:ind w:firstLine="480"/>
        <w:spacing w:line="440" w:lineRule="exact"/>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480"/>
        <w:spacing w:line="440" w:lineRule="exact"/>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rPr>
        <w:t xml:space="preserve">(泰州市中级人民法院大案要案法庭建设信息化项目)</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12</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北京时间）前递交投标文件。</w:t>
      </w:r>
      <w:r/>
    </w:p>
    <w:p>
      <w:pPr>
        <w:ind w:firstLine="498"/>
        <w:keepLines/>
        <w:keepNext/>
        <w:spacing w:before="145" w:after="145" w:line="440" w:lineRule="exact"/>
        <w:rPr>
          <w:rFonts w:ascii="宋体" w:hAnsi="宋体" w:eastAsia="宋体" w:cs="宋体"/>
          <w:sz w:val="24"/>
          <w:szCs w:val="24"/>
        </w:rPr>
      </w:pPr>
      <w:r/>
      <w:bookmarkStart w:id="6" w:name="_Toc35393621"/>
      <w:r/>
      <w:bookmarkEnd w:id="6"/>
      <w:r/>
      <w:bookmarkStart w:id="7" w:name="_Toc28359002"/>
      <w:r/>
      <w:bookmarkEnd w:id="7"/>
      <w:r/>
      <w:bookmarkStart w:id="8" w:name="_Toc28359079"/>
      <w:r/>
      <w:bookmarkEnd w:id="8"/>
      <w:r/>
      <w:bookmarkStart w:id="9" w:name="_Toc38985263"/>
      <w:r/>
      <w:bookmarkEnd w:id="9"/>
      <w:r/>
      <w:bookmarkStart w:id="10" w:name="_Toc35393790"/>
      <w:r/>
      <w:bookmarkEnd w:id="10"/>
      <w:r/>
      <w:bookmarkStart w:id="11" w:name="_Hlk24379207"/>
      <w:r>
        <w:rPr>
          <w:rFonts w:ascii="Times New Roman" w:hAnsi="Times New Roman" w:eastAsia="宋体" w:cs="Times New Roman"/>
          <w:b/>
          <w:bCs/>
          <w:sz w:val="32"/>
          <w:szCs w:val="32"/>
        </w:rPr>
        <w:t xml:space="preserve">一、项目基本情况</w:t>
      </w:r>
      <w:bookmarkEnd w:id="11"/>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1.项目编号：JSZC-321200-JZCG-G2026-0025</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rPr>
        <w:t xml:space="preserve">泰州市中级人民法院大案要案法庭建设信息化项目</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3.预算金额：1296.3万元</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4.最高限价：1296.3万元</w:t>
      </w:r>
      <w:r/>
    </w:p>
    <w:p>
      <w:pPr>
        <w:pStyle w:val="706"/>
        <w:ind w:firstLine="480"/>
        <w:spacing w:line="440" w:lineRule="exact"/>
        <w:rPr>
          <w:rFonts w:ascii="宋体" w:hAnsi="宋体" w:eastAsia="宋体"/>
          <w:sz w:val="24"/>
          <w:szCs w:val="28"/>
        </w:rPr>
      </w:pPr>
      <w:r>
        <w:rPr>
          <w:rFonts w:hint="eastAsia" w:ascii="宋体" w:hAnsi="宋体" w:eastAsia="宋体" w:cs="宋体"/>
          <w:sz w:val="24"/>
          <w:szCs w:val="24"/>
        </w:rPr>
        <w:t xml:space="preserve">5.采购需求：</w:t>
      </w:r>
      <w:r>
        <w:rPr>
          <w:rFonts w:hint="eastAsia" w:ascii="宋体" w:hAnsi="宋体" w:eastAsia="宋体"/>
          <w:sz w:val="24"/>
          <w:szCs w:val="28"/>
        </w:rPr>
        <w:t xml:space="preserve">本项目建设内容共包含</w:t>
      </w:r>
      <w:r>
        <w:rPr>
          <w:rFonts w:ascii="宋体" w:hAnsi="宋体" w:eastAsia="宋体"/>
          <w:sz w:val="24"/>
          <w:szCs w:val="28"/>
        </w:rPr>
        <w:t xml:space="preserve">17个系统，按照技术先进、安全可靠、协调配套、互联互通、实用高效的原则，搭建适配大案要案审判业务需求的全冗余、高安全、智慧化一体化法庭智能业务体系，实现大案要案全审判流程数字化闭环管控、全环节智能业务支撑、全维度安全运行保障，保障各类审判活动依法规范、安全有序、高效顺畅开展；同步覆盖多部门联动协同调度、全媒体专业庭审服务、上级机关远程实时监管等多元应用场景，着力打造契合新时代现代化法院建设标准的重大案件智慧审判示范标杆。</w:t>
      </w:r>
      <w:r/>
    </w:p>
    <w:p>
      <w:pPr>
        <w:ind w:firstLine="480"/>
        <w:jc w:val="left"/>
        <w:spacing w:line="440" w:lineRule="exact"/>
        <w:widowControl/>
        <w:rPr>
          <w:sz w:val="24"/>
        </w:rPr>
      </w:pPr>
      <w:r>
        <w:rPr>
          <w:rFonts w:hint="eastAsia" w:ascii="宋体" w:hAnsi="宋体"/>
          <w:sz w:val="24"/>
        </w:rPr>
        <w:t xml:space="preserve">17个</w:t>
      </w:r>
      <w:r>
        <w:rPr>
          <w:rFonts w:hint="eastAsia"/>
          <w:sz w:val="24"/>
        </w:rPr>
        <w:t xml:space="preserve">系统明细如下：</w:t>
      </w:r>
      <w:r/>
    </w:p>
    <w:tbl>
      <w:tblPr>
        <w:tblStyle w:val="7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0"/>
        <w:gridCol w:w="6852"/>
      </w:tblGrid>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名称</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科技法庭系统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庭审辅助设备</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信号屏蔽系统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语音转写和笔录校对系统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显示系统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专用控制室</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综合指挥会议系统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音频扩声系统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中控系统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视频会议系统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安保监控系统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专用机房系统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13</w:t>
            </w:r>
            <w:r/>
          </w:p>
        </w:tc>
        <w:tc>
          <w:tcPr>
            <w:tcW w:w="4020" w:type="pct"/>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网络及网络安全系统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14</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综合布线系统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15</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其他配套保障系统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16</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服务器虚拟化系统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17</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专用UPS供电系统</w:t>
            </w:r>
            <w:r/>
          </w:p>
        </w:tc>
      </w:tr>
    </w:tbl>
    <w:p>
      <w:pPr>
        <w:jc w:val="left"/>
        <w:spacing w:line="440" w:lineRule="exact"/>
        <w:widowControl/>
        <w:rPr>
          <w:sz w:val="24"/>
        </w:rPr>
      </w:pPr>
      <w:r>
        <w:rPr>
          <w:sz w:val="24"/>
        </w:rPr>
      </w:r>
      <w:r/>
    </w:p>
    <w:p>
      <w:pPr>
        <w:spacing w:line="440" w:lineRule="exact"/>
        <w:rPr>
          <w:rFonts w:ascii="宋体" w:hAnsi="宋体" w:cs="等线"/>
          <w:color w:val="000000"/>
          <w:sz w:val="24"/>
        </w:rPr>
      </w:pPr>
      <w:r>
        <w:rPr>
          <w:rFonts w:hint="eastAsia" w:ascii="宋体" w:hAnsi="宋体" w:cs="等线"/>
          <w:color w:val="000000"/>
          <w:sz w:val="24"/>
        </w:rPr>
        <w:t xml:space="preserve">项目采购清单见如下文设备清单。</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6.合同履行期限：</w:t>
      </w:r>
      <w:r>
        <w:rPr>
          <w:rFonts w:hint="eastAsia"/>
          <w:sz w:val="24"/>
          <w:szCs w:val="24"/>
        </w:rPr>
        <w:t xml:space="preserve">合同签订后</w:t>
      </w:r>
      <w:r>
        <w:rPr>
          <w:rFonts w:hint="eastAsia" w:ascii="宋体" w:hAnsi="宋体" w:eastAsia="宋体"/>
          <w:sz w:val="24"/>
          <w:szCs w:val="24"/>
        </w:rPr>
        <w:t xml:space="preserve">105</w:t>
      </w:r>
      <w:r>
        <w:rPr>
          <w:rFonts w:hint="eastAsia"/>
          <w:sz w:val="24"/>
          <w:szCs w:val="24"/>
        </w:rPr>
        <w:t xml:space="preserve">个日历天</w:t>
      </w:r>
      <w:r/>
    </w:p>
    <w:p>
      <w:pPr>
        <w:ind w:firstLine="498"/>
        <w:keepLines/>
        <w:keepNext/>
        <w:spacing w:before="145" w:after="145" w:line="440" w:lineRule="exact"/>
        <w:rPr>
          <w:rFonts w:ascii="宋体" w:hAnsi="宋体" w:eastAsia="宋体" w:cs="宋体"/>
          <w:sz w:val="24"/>
          <w:szCs w:val="24"/>
        </w:rPr>
      </w:pPr>
      <w:r/>
      <w:bookmarkStart w:id="12" w:name="_Toc35393791"/>
      <w:r/>
      <w:bookmarkEnd w:id="12"/>
      <w:r/>
      <w:bookmarkStart w:id="13" w:name="_Toc35393622"/>
      <w:r/>
      <w:bookmarkEnd w:id="13"/>
      <w:r/>
      <w:bookmarkStart w:id="14" w:name="_Toc38985264"/>
      <w:r/>
      <w:bookmarkEnd w:id="14"/>
      <w:r/>
      <w:bookmarkStart w:id="15" w:name="_Toc28359080"/>
      <w:r/>
      <w:bookmarkEnd w:id="15"/>
      <w:r/>
      <w:bookmarkStart w:id="16" w:name="_Toc28359003"/>
      <w:r>
        <w:rPr>
          <w:rFonts w:ascii="Times New Roman" w:hAnsi="Times New Roman" w:eastAsia="宋体" w:cs="Times New Roman"/>
          <w:b/>
          <w:bCs/>
          <w:sz w:val="32"/>
          <w:szCs w:val="32"/>
        </w:rPr>
        <w:t xml:space="preserve">二、申请人的资格要求：</w:t>
      </w:r>
      <w:bookmarkEnd w:id="16"/>
      <w:r/>
      <w:r/>
    </w:p>
    <w:p>
      <w:pPr>
        <w:ind w:firstLine="480"/>
        <w:spacing w:line="440" w:lineRule="exact"/>
        <w:rPr>
          <w:rFonts w:ascii="宋体" w:hAnsi="宋体" w:eastAsia="宋体" w:cs="宋体"/>
          <w:sz w:val="24"/>
          <w:szCs w:val="24"/>
        </w:rPr>
      </w:pPr>
      <w:r/>
      <w:bookmarkStart w:id="17" w:name="_Toc28359004"/>
      <w:r/>
      <w:bookmarkEnd w:id="17"/>
      <w:r/>
      <w:bookmarkStart w:id="18" w:name="_Toc28359081"/>
      <w:r/>
      <w:bookmarkEnd w:id="18"/>
      <w:r/>
      <w:bookmarkStart w:id="19" w:name="_Toc35393623"/>
      <w:r/>
      <w:bookmarkEnd w:id="19"/>
      <w:r/>
      <w:bookmarkStart w:id="20" w:name="_Toc38985265"/>
      <w:r/>
      <w:bookmarkEnd w:id="20"/>
      <w:r/>
      <w:bookmarkStart w:id="21" w:name="_Toc35393792"/>
      <w:r>
        <w:rPr>
          <w:rFonts w:hint="eastAsia" w:ascii="宋体" w:hAnsi="宋体" w:eastAsia="宋体" w:cs="宋体"/>
          <w:sz w:val="24"/>
          <w:szCs w:val="24"/>
        </w:rPr>
        <w:t xml:space="preserve">（一）通用资格要求</w:t>
      </w:r>
      <w:bookmarkEnd w:id="21"/>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 上一年度的财务状况报告（成立不满一年无需提供）；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（二）落实政府采购政策需满足的资格要求：无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（三）本项目的特定资格要求：无</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（四）本项目</w:t>
      </w:r>
      <w:r>
        <w:rPr>
          <w:rFonts w:hint="eastAsia" w:ascii="宋体" w:hAnsi="宋体" w:eastAsia="宋体" w:cs="宋体"/>
          <w:sz w:val="24"/>
          <w:szCs w:val="24"/>
          <w:u w:val="single"/>
        </w:rPr>
        <w:t xml:space="preserve">  接受  </w:t>
      </w:r>
      <w:r>
        <w:rPr>
          <w:rFonts w:hint="eastAsia" w:ascii="宋体" w:hAnsi="宋体" w:eastAsia="宋体" w:cs="宋体"/>
          <w:sz w:val="24"/>
          <w:szCs w:val="24"/>
        </w:rPr>
        <w:t xml:space="preserve">联合体投标，</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进口产品。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若以联合体形式投标时，联合体各成员必须完全满足合格投标人的所有条件。应符合以下规定要求：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联合体各成员之间应签订《联合体协议书》，明确联合体各成员的权利、义务以及份额比例、工作人员分配和成本分担方案，供应商的投标响应文件及中标后签署的合同书，对联合体的每一成员均有法律约束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②联合体投标人代表应被授权作为联合体各方的代表（该代表须为联合体成员之一），承担责任和接受指令，并负责整个合同的全面履行。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③所有联合体成员应按合同条件的规定，为实施合同共同和分别承担责任。在联合体协议书和授权委托书中，以及在投标文件和中标后签署的合同书中应对此作出相应的声明。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④联合体各成员之间签订的联合体协议书应与投标文件一起递交。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⑤参加联合体的各成员不得再以自己名义单独投标，也不得同时参加两个或两个以上的联合体投标。如有违反将取消该联合体及联合体各成员的投标资格。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⑥若联合体中任一成员单位中途退出，则该联合体的响应无效。</w:t>
      </w:r>
      <w:r>
        <w:rPr>
          <w:sz w:val="21"/>
        </w:rPr>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sz w:val="32"/>
          <w:szCs w:val="32"/>
        </w:rPr>
        <w:t xml:space="preserve">三、获取招标文件</w:t>
      </w:r>
      <w:r/>
    </w:p>
    <w:p>
      <w:pPr>
        <w:ind w:firstLine="540"/>
        <w:spacing w:line="440" w:lineRule="exact"/>
        <w:rPr>
          <w:rFonts w:hint="default" w:ascii="宋体" w:hAnsi="宋体" w:eastAsia="宋体" w:cs="宋体"/>
          <w:sz w:val="24"/>
          <w:szCs w:val="24"/>
          <w:lang w:val="en-US" w:eastAsia="zh-CN"/>
        </w:rPr>
      </w:pPr>
      <w:r/>
      <w:bookmarkStart w:id="22" w:name="_Toc28359082"/>
      <w:r/>
      <w:bookmarkEnd w:id="22"/>
      <w:r/>
      <w:bookmarkStart w:id="23" w:name="_Toc28359005"/>
      <w:r/>
      <w:bookmarkEnd w:id="23"/>
      <w:r/>
      <w:bookmarkStart w:id="24" w:name="_Toc35393793"/>
      <w:r/>
      <w:bookmarkEnd w:id="24"/>
      <w:r/>
      <w:bookmarkStart w:id="25" w:name="_Toc35393624"/>
      <w:r/>
      <w:bookmarkEnd w:id="25"/>
      <w:r/>
      <w:bookmarkStart w:id="26" w:name="_Toc38985266"/>
      <w:r>
        <w:rPr>
          <w:rFonts w:hint="eastAsia" w:ascii="宋体" w:hAnsi="宋体" w:eastAsia="宋体" w:cs="宋体"/>
          <w:sz w:val="24"/>
          <w:szCs w:val="24"/>
        </w:rPr>
        <w:t xml:space="preserve">1.时间：</w:t>
      </w:r>
      <w:bookmarkEnd w:id="26"/>
      <w:r>
        <w:rPr>
          <w:rFonts w:hint="eastAsia" w:ascii="宋体" w:hAnsi="宋体" w:eastAsia="宋体" w:cs="宋体"/>
          <w:sz w:val="24"/>
          <w:szCs w:val="24"/>
        </w:rPr>
        <w:t xml:space="preserve">自招标文件公告发布之日起</w:t>
      </w:r>
      <w:r>
        <w:rPr>
          <w:rFonts w:hint="eastAsia" w:ascii="宋体" w:hAnsi="宋体" w:eastAsia="宋体" w:cs="宋体"/>
          <w:sz w:val="24"/>
          <w:szCs w:val="24"/>
          <w:lang w:val="en-US" w:eastAsia="zh-CN"/>
        </w:rPr>
        <w:t xml:space="preserve">至2026年7月28日截止。</w:t>
      </w:r>
      <w:r/>
    </w:p>
    <w:p>
      <w:pPr>
        <w:ind w:firstLine="540"/>
        <w:spacing w:line="440" w:lineRule="exact"/>
        <w:rPr>
          <w:rFonts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pStyle w:val="745"/>
        <w:ind w:firstLine="600"/>
        <w:spacing w:line="440" w:lineRule="exact"/>
        <w:rPr>
          <w:rFonts w:hAnsi="宋体" w:eastAsia="宋体" w:cs="宋体"/>
          <w:sz w:val="24"/>
          <w:szCs w:val="24"/>
        </w:rPr>
      </w:pPr>
      <w:r>
        <w:rPr>
          <w:rFonts w:hint="eastAsia" w:hAnsi="宋体" w:eastAsia="宋体" w:cs="宋体"/>
          <w:sz w:val="24"/>
          <w:szCs w:val="24"/>
        </w:rPr>
        <w:t xml:space="preserve">3.售价：免费</w:t>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sz w:val="32"/>
          <w:szCs w:val="32"/>
        </w:rPr>
        <w:t xml:space="preserve">四、提交投标文件截止时间、开标时间和地点</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1.时间：2026年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点</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t xml:space="preserve">（北京时间）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bookmarkStart w:id="27" w:name="_Toc28359084"/>
      <w:r/>
      <w:bookmarkEnd w:id="27"/>
      <w:r/>
      <w:bookmarkStart w:id="28" w:name="_Toc35393625"/>
      <w:r/>
      <w:bookmarkEnd w:id="28"/>
      <w:r/>
      <w:bookmarkStart w:id="29" w:name="_Toc35393794"/>
      <w:r/>
      <w:bookmarkEnd w:id="29"/>
      <w:r/>
      <w:bookmarkStart w:id="30" w:name="_Toc38985267"/>
      <w:r/>
      <w:bookmarkEnd w:id="30"/>
      <w:r/>
      <w:bookmarkStart w:id="31" w:name="_Toc28359007"/>
      <w:r/>
      <w:r/>
    </w:p>
    <w:p>
      <w:pPr>
        <w:ind w:firstLine="498"/>
        <w:keepLines/>
        <w:keepNext/>
        <w:spacing w:before="145" w:after="145"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五、公告期限</w:t>
      </w:r>
      <w:bookmarkEnd w:id="31"/>
      <w:r/>
      <w:bookmarkStart w:id="32" w:name="_Toc35393626"/>
      <w:r/>
      <w:bookmarkEnd w:id="32"/>
      <w:r/>
      <w:bookmarkStart w:id="33" w:name="_Toc35393795"/>
      <w:r/>
      <w:bookmarkEnd w:id="33"/>
      <w:r/>
      <w:bookmarkStart w:id="34" w:name="_Toc38985268"/>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t xml:space="preserve">。</w:t>
      </w:r>
      <w:bookmarkEnd w:id="34"/>
      <w:r/>
      <w:r/>
    </w:p>
    <w:p>
      <w:pPr>
        <w:ind w:firstLine="498"/>
        <w:keepLines/>
        <w:keepNext/>
        <w:spacing w:before="145" w:after="145"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r/>
    </w:p>
    <w:p>
      <w:pPr>
        <w:ind w:firstLine="480"/>
        <w:spacing w:line="440" w:lineRule="exact"/>
        <w:rPr>
          <w:rFonts w:hint="eastAsia" w:ascii="宋体" w:hAnsi="宋体" w:eastAsia="宋体" w:cs="宋体"/>
          <w:sz w:val="24"/>
          <w:szCs w:val="24"/>
        </w:rPr>
      </w:pPr>
      <w:r/>
      <w:bookmarkStart w:id="35" w:name="_Toc38985269"/>
      <w:r/>
      <w:bookmarkEnd w:id="35"/>
      <w:r/>
      <w:bookmarkStart w:id="36" w:name="_Toc35393796"/>
      <w:r/>
      <w:bookmarkEnd w:id="36"/>
      <w:r/>
      <w:bookmarkStart w:id="37" w:name="_Toc28359008"/>
      <w:r/>
      <w:bookmarkEnd w:id="37"/>
      <w:r/>
      <w:bookmarkStart w:id="38" w:name="_Toc35393627"/>
      <w:r/>
      <w:bookmarkEnd w:id="38"/>
      <w:r/>
      <w:bookmarkStart w:id="39" w:name="_Toc28359085"/>
      <w:r>
        <w:rPr>
          <w:rFonts w:hint="eastAsia" w:ascii="宋体" w:hAnsi="宋体" w:eastAsia="宋体" w:cs="宋体"/>
          <w:sz w:val="24"/>
          <w:szCs w:val="24"/>
        </w:rPr>
        <w:t xml:space="preserve">无</w:t>
      </w:r>
      <w:r/>
    </w:p>
    <w:p>
      <w:pPr>
        <w:ind w:firstLine="498"/>
        <w:keepLines/>
        <w:keepNext/>
        <w:spacing w:before="145" w:after="145"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七、本次招标联系方式</w:t>
      </w:r>
      <w:bookmarkEnd w:id="39"/>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名 称： 江苏省泰州市中级人民法院</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地址：泰州市凤凰东路52号</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联系人：陈先生</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0" w:name="_Toc28359086"/>
      <w:r/>
      <w:bookmarkEnd w:id="40"/>
      <w:r/>
      <w:bookmarkStart w:id="41" w:name="_Toc28359009"/>
      <w:r/>
      <w:bookmarkEnd w:id="41"/>
      <w:r>
        <w:rPr>
          <w:rFonts w:hint="eastAsia" w:ascii="宋体" w:hAnsi="宋体" w:eastAsia="宋体" w:cs="宋体"/>
          <w:sz w:val="24"/>
          <w:szCs w:val="24"/>
        </w:rPr>
        <w:t xml:space="preserve">86391951</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名称：泰州市政务服务中心</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 址：泰州市泰州大道388号  </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联系人：严先生    </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2" w:name="_Toc28359010"/>
      <w:r/>
      <w:bookmarkEnd w:id="42"/>
      <w:r/>
      <w:bookmarkStart w:id="43" w:name="_Toc28359087"/>
      <w:r>
        <w:rPr>
          <w:rFonts w:hint="eastAsia" w:ascii="宋体" w:hAnsi="宋体" w:eastAsia="宋体" w:cs="宋体"/>
          <w:sz w:val="24"/>
          <w:szCs w:val="24"/>
        </w:rPr>
        <w:t xml:space="preserve">0523-86897181</w:t>
      </w:r>
      <w:bookmarkEnd w:id="43"/>
      <w:r/>
      <w:r/>
    </w:p>
    <w:p>
      <w:pPr>
        <w:ind w:firstLine="498"/>
        <w:keepLines/>
        <w:keepNext/>
        <w:spacing w:before="145" w:after="145"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八、其他</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 根据省财政厅《关于</w:t>
      </w:r>
      <w:r>
        <w:rPr>
          <w:rFonts w:hint="eastAsia" w:ascii="宋体" w:hAnsi="宋体" w:eastAsia="宋体" w:cs="宋体"/>
          <w:sz w:val="24"/>
          <w:szCs w:val="24"/>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政务中心W3馆西南角泰州市公共资源中心）一楼大厅6号窗口办理，具体联系方式见《苏采云系统供应商操作手册》（以下简称《操作手册》））、进行注册并按《操作手册》要求制作、上传电子投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 有关本次招标的事项若存在变动或修改，敬请及时关注泰州市政务服务中心在“江苏政府采购网”发布的更正公告。</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 本次招标不收取投标保证金。</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840"/>
        <w:jc w:val="center"/>
        <w:spacing w:line="440" w:lineRule="exact"/>
        <w:rPr>
          <w:rFonts w:ascii="宋体" w:hAnsi="宋体" w:eastAsia="宋体" w:cs="宋体"/>
          <w:sz w:val="24"/>
          <w:szCs w:val="24"/>
        </w:rPr>
      </w:pPr>
      <w:r>
        <w:rPr>
          <w:rFonts w:hint="eastAsia" w:ascii="宋体" w:hAnsi="宋体" w:eastAsia="宋体" w:cs="宋体"/>
          <w:sz w:val="24"/>
          <w:szCs w:val="24"/>
        </w:rPr>
        <w:br w:type="page" w:clear="all"/>
      </w:r>
      <w:bookmarkStart w:id="44" w:name="_Toc120614211"/>
      <w:r>
        <w:rPr>
          <w:rFonts w:hint="eastAsia" w:ascii="黑体" w:hAnsi="黑体" w:eastAsia="黑体" w:cs="宋体"/>
          <w:b/>
          <w:bCs/>
          <w:sz w:val="44"/>
          <w:szCs w:val="44"/>
        </w:rPr>
        <w:t xml:space="preserve">第二章</w:t>
      </w:r>
      <w:r>
        <w:rPr>
          <w:rFonts w:ascii="Calibri" w:hAnsi="Calibri" w:eastAsia="黑体" w:cs="Calibri"/>
          <w:b/>
          <w:bCs/>
          <w:sz w:val="44"/>
          <w:szCs w:val="44"/>
        </w:rPr>
        <w:t xml:space="preserve"> </w:t>
      </w:r>
      <w:bookmarkEnd w:id="44"/>
      <w:r/>
      <w:bookmarkStart w:id="45" w:name="_Toc20823274"/>
      <w:r/>
      <w:bookmarkEnd w:id="45"/>
      <w:r/>
      <w:bookmarkStart w:id="46" w:name="_Toc16938518"/>
      <w:r/>
      <w:bookmarkEnd w:id="46"/>
      <w:r/>
      <w:bookmarkStart w:id="47" w:name="_Toc513029202"/>
      <w:r/>
      <w:bookmarkEnd w:id="47"/>
      <w:r/>
      <w:bookmarkStart w:id="48" w:name="_Toc120614213"/>
      <w:r>
        <w:rPr>
          <w:rFonts w:hint="eastAsia" w:ascii="黑体" w:hAnsi="黑体" w:eastAsia="黑体" w:cs="宋体"/>
          <w:b/>
          <w:bCs/>
          <w:sz w:val="44"/>
          <w:szCs w:val="44"/>
        </w:rPr>
        <w:t xml:space="preserve">投标人须知</w:t>
      </w:r>
      <w:bookmarkEnd w:id="48"/>
      <w:r/>
      <w:r/>
    </w:p>
    <w:p>
      <w:pPr>
        <w:ind w:firstLine="498"/>
        <w:keepLines/>
        <w:keepNext/>
        <w:spacing w:before="145" w:after="145" w:line="440" w:lineRule="exact"/>
        <w:rPr>
          <w:rFonts w:ascii="宋体" w:hAnsi="宋体" w:eastAsia="宋体" w:cs="宋体"/>
          <w:sz w:val="24"/>
          <w:szCs w:val="24"/>
        </w:rPr>
      </w:pPr>
      <w:r/>
      <w:bookmarkStart w:id="49" w:name="_Toc513029203"/>
      <w:r/>
      <w:bookmarkEnd w:id="49"/>
      <w:r/>
      <w:bookmarkStart w:id="50" w:name="_Toc16938519"/>
      <w:r/>
      <w:bookmarkEnd w:id="50"/>
      <w:r/>
      <w:bookmarkStart w:id="51" w:name="_Toc20823275"/>
      <w:r/>
      <w:bookmarkEnd w:id="51"/>
      <w:r/>
      <w:bookmarkStart w:id="52" w:name="_Toc120614214"/>
      <w:r>
        <w:rPr>
          <w:rFonts w:ascii="Times New Roman" w:hAnsi="Times New Roman" w:eastAsia="宋体" w:cs="Times New Roman"/>
          <w:b/>
          <w:bCs/>
          <w:sz w:val="32"/>
          <w:szCs w:val="32"/>
        </w:rPr>
        <w:t xml:space="preserve">一、总则</w:t>
      </w:r>
      <w:bookmarkEnd w:id="52"/>
      <w:r/>
      <w:r/>
    </w:p>
    <w:p>
      <w:pPr>
        <w:ind w:firstLine="420"/>
        <w:keepLines/>
        <w:keepNext/>
        <w:spacing w:line="440" w:lineRule="exact"/>
        <w:rPr>
          <w:rFonts w:ascii="宋体" w:hAnsi="宋体" w:eastAsia="宋体" w:cs="宋体"/>
          <w:sz w:val="24"/>
          <w:szCs w:val="24"/>
        </w:rPr>
      </w:pPr>
      <w:r/>
      <w:bookmarkStart w:id="53" w:name="_Hlt16619475"/>
      <w:r/>
      <w:bookmarkEnd w:id="53"/>
      <w:r/>
      <w:bookmarkStart w:id="54" w:name="_Toc458694821"/>
      <w:r/>
      <w:bookmarkEnd w:id="54"/>
      <w:r/>
      <w:bookmarkStart w:id="55" w:name="_Toc513029204"/>
      <w:r/>
      <w:bookmarkEnd w:id="55"/>
      <w:r/>
      <w:bookmarkStart w:id="56" w:name="_Toc20823276"/>
      <w:r/>
      <w:bookmarkEnd w:id="56"/>
      <w:r/>
      <w:bookmarkStart w:id="57" w:name="_Toc16938520"/>
      <w:r>
        <w:rPr>
          <w:rFonts w:ascii="Arial" w:hAnsi="Arial" w:eastAsia="宋体" w:cs="Arial"/>
          <w:sz w:val="28"/>
          <w:szCs w:val="28"/>
        </w:rPr>
        <w:t xml:space="preserve">1</w:t>
      </w:r>
      <w:bookmarkEnd w:id="57"/>
      <w:r>
        <w:rPr>
          <w:rFonts w:ascii="Arial" w:hAnsi="Arial" w:eastAsia="宋体" w:cs="Arial"/>
          <w:sz w:val="28"/>
          <w:szCs w:val="28"/>
        </w:rPr>
        <w:t xml:space="preserve">、招标方式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20"/>
        <w:keepLines/>
        <w:keepNext/>
        <w:spacing w:line="440" w:lineRule="exact"/>
        <w:rPr>
          <w:rFonts w:ascii="宋体" w:hAnsi="宋体" w:eastAsia="宋体" w:cs="宋体"/>
          <w:sz w:val="24"/>
          <w:szCs w:val="24"/>
        </w:rPr>
      </w:pPr>
      <w:r/>
      <w:bookmarkStart w:id="58" w:name="_Toc20823277"/>
      <w:r/>
      <w:bookmarkEnd w:id="58"/>
      <w:r/>
      <w:bookmarkStart w:id="59" w:name="_Toc513029205"/>
      <w:r/>
      <w:bookmarkEnd w:id="59"/>
      <w:r/>
      <w:bookmarkStart w:id="60" w:name="_Toc16938521"/>
      <w:r>
        <w:rPr>
          <w:rFonts w:ascii="Arial" w:hAnsi="Arial" w:eastAsia="宋体" w:cs="Arial"/>
          <w:sz w:val="28"/>
          <w:szCs w:val="28"/>
        </w:rPr>
        <w:t xml:space="preserve">2、合格的投标人</w:t>
      </w:r>
      <w:bookmarkEnd w:id="60"/>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420"/>
        <w:keepLines/>
        <w:keepNext/>
        <w:spacing w:line="440" w:lineRule="exact"/>
        <w:rPr>
          <w:rFonts w:ascii="宋体" w:hAnsi="宋体" w:eastAsia="宋体" w:cs="宋体"/>
          <w:sz w:val="24"/>
          <w:szCs w:val="24"/>
        </w:rPr>
      </w:pPr>
      <w:r/>
      <w:bookmarkStart w:id="61" w:name="_Toc20823278"/>
      <w:r/>
      <w:bookmarkEnd w:id="61"/>
      <w:r/>
      <w:bookmarkStart w:id="62" w:name="_Toc513029206"/>
      <w:r/>
      <w:bookmarkEnd w:id="62"/>
      <w:r/>
      <w:bookmarkStart w:id="63" w:name="_Toc16938522"/>
      <w:r>
        <w:rPr>
          <w:rFonts w:ascii="Arial" w:hAnsi="Arial" w:eastAsia="宋体" w:cs="Arial"/>
          <w:sz w:val="28"/>
          <w:szCs w:val="28"/>
        </w:rPr>
        <w:t xml:space="preserve">3、适用法律</w:t>
      </w:r>
      <w:bookmarkEnd w:id="63"/>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keepLines/>
        <w:keepNext/>
        <w:spacing w:line="440" w:lineRule="exact"/>
        <w:rPr>
          <w:rFonts w:ascii="宋体" w:hAnsi="宋体" w:eastAsia="宋体" w:cs="宋体"/>
          <w:sz w:val="24"/>
          <w:szCs w:val="24"/>
        </w:rPr>
      </w:pPr>
      <w:r/>
      <w:bookmarkStart w:id="64" w:name="_Toc513029207"/>
      <w:r/>
      <w:bookmarkEnd w:id="64"/>
      <w:r/>
      <w:bookmarkStart w:id="65" w:name="_Toc20823279"/>
      <w:r/>
      <w:bookmarkEnd w:id="65"/>
      <w:r/>
      <w:bookmarkStart w:id="66" w:name="_Toc462564067"/>
      <w:r/>
      <w:bookmarkEnd w:id="66"/>
      <w:r/>
      <w:bookmarkStart w:id="67" w:name="_Toc16938523"/>
      <w:r>
        <w:rPr>
          <w:rFonts w:ascii="Arial" w:hAnsi="Arial" w:eastAsia="宋体" w:cs="Arial"/>
          <w:sz w:val="28"/>
          <w:szCs w:val="28"/>
        </w:rPr>
        <w:t xml:space="preserve">4、投标费用</w:t>
      </w:r>
      <w:bookmarkEnd w:id="67"/>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投标人应自行承担所有与参加投标有关的费用，无论投标过程中的做法和结果如何，泰州市政务服务中心（以下简称政务中心）在任何情况下均无义务和责任承担这些费用。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4.2本次招标政务中心和采购人不收取标书工本费与中标服务费。</w:t>
      </w:r>
      <w:r/>
    </w:p>
    <w:p>
      <w:pPr>
        <w:ind w:firstLine="602"/>
        <w:keepLines/>
        <w:keepNext/>
        <w:spacing w:line="440" w:lineRule="exact"/>
        <w:rPr>
          <w:rFonts w:ascii="宋体" w:hAnsi="宋体" w:eastAsia="宋体" w:cs="宋体"/>
          <w:sz w:val="24"/>
          <w:szCs w:val="24"/>
        </w:rPr>
      </w:pPr>
      <w:r>
        <w:rPr>
          <w:rFonts w:hint="eastAsia" w:ascii="宋体" w:hAnsi="宋体" w:eastAsia="宋体" w:cs="宋体"/>
          <w:b/>
          <w:bCs/>
          <w:sz w:val="30"/>
          <w:szCs w:val="30"/>
        </w:rPr>
        <w:t xml:space="preserve">5、</w:t>
      </w:r>
      <w:r>
        <w:rPr>
          <w:rFonts w:hint="eastAsia" w:ascii="黑体" w:hAnsi="黑体" w:eastAsia="黑体" w:cs="宋体"/>
          <w:sz w:val="28"/>
          <w:szCs w:val="28"/>
        </w:rPr>
        <w:t xml:space="preserve">招标文件的约束力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321"/>
        <w:keepLines/>
        <w:keepNext/>
        <w:spacing w:before="145" w:after="145" w:line="440" w:lineRule="exact"/>
        <w:rPr>
          <w:rFonts w:ascii="宋体" w:hAnsi="宋体" w:eastAsia="宋体" w:cs="宋体"/>
          <w:sz w:val="24"/>
          <w:szCs w:val="24"/>
        </w:rPr>
      </w:pPr>
      <w:r/>
      <w:bookmarkStart w:id="68" w:name="_Toc120614215"/>
      <w:r/>
      <w:bookmarkEnd w:id="68"/>
      <w:r/>
      <w:bookmarkStart w:id="69" w:name="_Toc513029209"/>
      <w:r/>
      <w:bookmarkEnd w:id="69"/>
      <w:r/>
      <w:bookmarkStart w:id="70" w:name="_Toc16938525"/>
      <w:r/>
      <w:bookmarkEnd w:id="70"/>
      <w:r/>
      <w:bookmarkStart w:id="71" w:name="_Toc20823281"/>
      <w:r>
        <w:rPr>
          <w:rFonts w:ascii="Times New Roman" w:hAnsi="Times New Roman" w:eastAsia="宋体" w:cs="Times New Roman"/>
          <w:b/>
          <w:bCs/>
          <w:sz w:val="32"/>
          <w:szCs w:val="32"/>
        </w:rPr>
        <w:t xml:space="preserve">二、招标文件</w:t>
      </w:r>
      <w:bookmarkEnd w:id="71"/>
      <w:r/>
      <w:r/>
    </w:p>
    <w:p>
      <w:pPr>
        <w:ind w:firstLine="420"/>
        <w:keepLines/>
        <w:keepNext/>
        <w:spacing w:line="440" w:lineRule="exact"/>
        <w:rPr>
          <w:rFonts w:ascii="宋体" w:hAnsi="宋体" w:eastAsia="宋体" w:cs="宋体"/>
          <w:sz w:val="24"/>
          <w:szCs w:val="24"/>
        </w:rPr>
      </w:pPr>
      <w:r/>
      <w:bookmarkStart w:id="72" w:name="_Toc513029210"/>
      <w:r/>
      <w:bookmarkEnd w:id="72"/>
      <w:r/>
      <w:bookmarkStart w:id="73" w:name="_Toc16938526"/>
      <w:r/>
      <w:bookmarkEnd w:id="73"/>
      <w:r/>
      <w:bookmarkStart w:id="74" w:name="_Toc20823282"/>
      <w:r>
        <w:rPr>
          <w:rFonts w:ascii="Arial" w:hAnsi="Arial" w:eastAsia="宋体" w:cs="Arial"/>
          <w:sz w:val="28"/>
          <w:szCs w:val="28"/>
        </w:rPr>
        <w:t xml:space="preserve">6、招标文件构成</w:t>
      </w:r>
      <w:bookmarkEnd w:id="74"/>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（1）投标邀请</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（3）合同文本</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（4）采购需求</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（5）</w:t>
      </w:r>
      <w:r>
        <w:rPr>
          <w:rFonts w:ascii="Times New Roman" w:hAnsi="Times New Roman" w:eastAsia="宋体" w:cs="Times New Roman"/>
          <w:sz w:val="24"/>
          <w:szCs w:val="24"/>
        </w:rPr>
        <w:t xml:space="preserve">评标方法与评标标准</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请仔细检查招标文件是否齐全，如有缺漏请立即与政务中心联系解决。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宋体" w:hAnsi="宋体" w:eastAsia="宋体" w:cs="宋体"/>
          <w:sz w:val="24"/>
          <w:szCs w:val="24"/>
        </w:rPr>
      </w:pPr>
      <w:r/>
      <w:bookmarkStart w:id="75" w:name="_Toc462564070"/>
      <w:r/>
      <w:bookmarkEnd w:id="75"/>
      <w:r/>
      <w:bookmarkStart w:id="76" w:name="_Toc16938527"/>
      <w:r/>
      <w:bookmarkEnd w:id="76"/>
      <w:r/>
      <w:bookmarkStart w:id="77" w:name="_Toc513029211"/>
      <w:r/>
      <w:bookmarkEnd w:id="77"/>
      <w:r/>
      <w:bookmarkStart w:id="78" w:name="_Toc20823283"/>
      <w:r>
        <w:rPr>
          <w:rFonts w:ascii="Arial" w:hAnsi="Arial" w:eastAsia="宋体" w:cs="Arial"/>
          <w:sz w:val="28"/>
          <w:szCs w:val="28"/>
        </w:rPr>
        <w:t xml:space="preserve">7、招标文件的澄清</w:t>
      </w:r>
      <w:bookmarkEnd w:id="78"/>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w:t>
      </w:r>
      <w:r>
        <w:rPr>
          <w:rFonts w:hint="eastAsia" w:ascii="仿宋_GB2312" w:hAnsi="宋体" w:eastAsia="仿宋_GB2312" w:cs="宋体"/>
          <w:b/>
          <w:bCs/>
          <w:sz w:val="24"/>
          <w:szCs w:val="24"/>
        </w:rPr>
        <w:t xml:space="preserve">十日</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按招标公告中的通讯地址，以书面形式通知政务中心。</w:t>
      </w:r>
      <w:r/>
    </w:p>
    <w:p>
      <w:pPr>
        <w:ind w:firstLine="560"/>
        <w:keepLines/>
        <w:keepNext/>
        <w:spacing w:line="440" w:lineRule="exact"/>
        <w:rPr>
          <w:rFonts w:ascii="宋体" w:hAnsi="宋体" w:eastAsia="宋体" w:cs="宋体"/>
          <w:sz w:val="24"/>
          <w:szCs w:val="24"/>
        </w:rPr>
      </w:pPr>
      <w:r/>
      <w:bookmarkStart w:id="79" w:name="_Toc16938528"/>
      <w:r/>
      <w:bookmarkEnd w:id="79"/>
      <w:r/>
      <w:bookmarkStart w:id="80" w:name="_Toc513029212"/>
      <w:r/>
      <w:bookmarkEnd w:id="80"/>
      <w:r/>
      <w:bookmarkStart w:id="81" w:name="_Toc20823284"/>
      <w:r/>
      <w:bookmarkEnd w:id="81"/>
      <w:r/>
      <w:bookmarkStart w:id="82" w:name="_Toc462564071"/>
      <w:r>
        <w:rPr>
          <w:rFonts w:ascii="Arial" w:hAnsi="Arial" w:eastAsia="宋体" w:cs="Arial"/>
          <w:sz w:val="28"/>
          <w:szCs w:val="28"/>
        </w:rPr>
        <w:t xml:space="preserve">8、招标文件的修改</w:t>
      </w:r>
      <w:bookmarkEnd w:id="82"/>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8.1 在投标截止时间</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，政务中心可以对招标文件进行修改。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8.2 政务中心有权按照法定的要求推迟投标截止日期和开标日期。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2"/>
        <w:keepLines/>
        <w:keepNext/>
        <w:spacing w:before="145" w:after="145" w:line="440" w:lineRule="exact"/>
        <w:rPr>
          <w:rFonts w:ascii="宋体" w:hAnsi="宋体" w:eastAsia="宋体" w:cs="宋体"/>
          <w:sz w:val="24"/>
          <w:szCs w:val="24"/>
        </w:rPr>
      </w:pPr>
      <w:r/>
      <w:bookmarkStart w:id="83" w:name="_Toc16938529"/>
      <w:r/>
      <w:bookmarkEnd w:id="83"/>
      <w:r/>
      <w:bookmarkStart w:id="84" w:name="_Toc513029213"/>
      <w:r/>
      <w:bookmarkEnd w:id="84"/>
      <w:r/>
      <w:bookmarkStart w:id="85" w:name="_Toc20823285"/>
      <w:r/>
      <w:bookmarkEnd w:id="85"/>
      <w:r/>
      <w:bookmarkStart w:id="86" w:name="_Toc120614216"/>
      <w:r/>
      <w:bookmarkEnd w:id="86"/>
      <w:r/>
      <w:bookmarkStart w:id="87" w:name="_Toc462564072"/>
      <w:r>
        <w:rPr>
          <w:rFonts w:ascii="Times New Roman" w:hAnsi="Times New Roman" w:eastAsia="宋体" w:cs="Times New Roman"/>
          <w:b/>
          <w:bCs/>
          <w:sz w:val="32"/>
          <w:szCs w:val="32"/>
        </w:rPr>
        <w:t xml:space="preserve">三、投标文件的编制</w:t>
      </w:r>
      <w:bookmarkEnd w:id="87"/>
      <w:r/>
      <w:r/>
    </w:p>
    <w:p>
      <w:pPr>
        <w:ind w:firstLine="560"/>
        <w:keepLines/>
        <w:keepNext/>
        <w:spacing w:line="440" w:lineRule="exact"/>
        <w:rPr>
          <w:rFonts w:ascii="宋体" w:hAnsi="宋体" w:eastAsia="宋体" w:cs="宋体"/>
          <w:sz w:val="24"/>
          <w:szCs w:val="24"/>
        </w:rPr>
      </w:pPr>
      <w:r/>
      <w:bookmarkStart w:id="88" w:name="_Toc16938530"/>
      <w:r/>
      <w:bookmarkEnd w:id="88"/>
      <w:r/>
      <w:bookmarkStart w:id="89" w:name="_Toc513029214"/>
      <w:r/>
      <w:bookmarkEnd w:id="89"/>
      <w:r/>
      <w:bookmarkStart w:id="90" w:name="_Toc462564073"/>
      <w:r/>
      <w:bookmarkEnd w:id="90"/>
      <w:r/>
      <w:bookmarkStart w:id="91" w:name="_Toc20823286"/>
      <w:r>
        <w:rPr>
          <w:rFonts w:ascii="Arial" w:hAnsi="Arial" w:eastAsia="宋体" w:cs="Arial"/>
          <w:sz w:val="28"/>
          <w:szCs w:val="28"/>
        </w:rPr>
        <w:t xml:space="preserve">9、投标文件的语言及度量衡单位</w:t>
      </w:r>
      <w:bookmarkEnd w:id="91"/>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9.1 投标人提交的投标文件以及投标人与政务中心就有关投标的所有来往通知、函件和文件均应使用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20"/>
        <w:keepLines/>
        <w:keepNext/>
        <w:spacing w:line="440" w:lineRule="exact"/>
        <w:rPr>
          <w:rFonts w:ascii="宋体" w:hAnsi="宋体" w:eastAsia="宋体" w:cs="宋体"/>
          <w:sz w:val="24"/>
          <w:szCs w:val="24"/>
        </w:rPr>
      </w:pPr>
      <w:r/>
      <w:bookmarkStart w:id="92" w:name="_Toc16938531"/>
      <w:r/>
      <w:bookmarkEnd w:id="92"/>
      <w:r/>
      <w:bookmarkStart w:id="93" w:name="_Toc513029215"/>
      <w:r/>
      <w:bookmarkEnd w:id="93"/>
      <w:r/>
      <w:bookmarkStart w:id="94" w:name="_Toc462564074"/>
      <w:r/>
      <w:bookmarkEnd w:id="94"/>
      <w:r/>
      <w:bookmarkStart w:id="95" w:name="_Toc20823287"/>
      <w:r>
        <w:rPr>
          <w:rFonts w:ascii="Arial" w:hAnsi="Arial" w:eastAsia="宋体" w:cs="Arial"/>
          <w:sz w:val="28"/>
          <w:szCs w:val="28"/>
        </w:rPr>
        <w:t xml:space="preserve">10、投标文件构成</w:t>
      </w:r>
      <w:bookmarkEnd w:id="95"/>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20"/>
        <w:keepLines/>
        <w:keepNext/>
        <w:spacing w:line="440" w:lineRule="exact"/>
        <w:rPr>
          <w:rFonts w:ascii="宋体" w:hAnsi="宋体" w:eastAsia="宋体" w:cs="宋体"/>
          <w:sz w:val="24"/>
          <w:szCs w:val="24"/>
        </w:rPr>
      </w:pPr>
      <w:r/>
      <w:bookmarkStart w:id="96" w:name="_Toc14577357"/>
      <w:r/>
      <w:bookmarkEnd w:id="96"/>
      <w:r/>
      <w:bookmarkStart w:id="97" w:name="_Toc513029219"/>
      <w:r/>
      <w:bookmarkEnd w:id="97"/>
      <w:r/>
      <w:bookmarkStart w:id="98" w:name="_Toc49090509"/>
      <w:r/>
      <w:bookmarkEnd w:id="98"/>
      <w:r/>
      <w:bookmarkStart w:id="99" w:name="_Toc14577354"/>
      <w:r/>
      <w:bookmarkEnd w:id="99"/>
      <w:r/>
      <w:bookmarkStart w:id="100" w:name="_Hlt26954838"/>
      <w:r/>
      <w:bookmarkEnd w:id="100"/>
      <w:r/>
      <w:bookmarkStart w:id="101" w:name="_Toc513029216"/>
      <w:r/>
      <w:bookmarkEnd w:id="101"/>
      <w:r/>
      <w:bookmarkStart w:id="102" w:name="_Hlt26668975"/>
      <w:r/>
      <w:bookmarkEnd w:id="102"/>
      <w:r/>
      <w:bookmarkStart w:id="103" w:name="_Hlt26670360"/>
      <w:r/>
      <w:bookmarkEnd w:id="103"/>
      <w:r/>
      <w:bookmarkStart w:id="104" w:name="_Toc49090507"/>
      <w:r>
        <w:rPr>
          <w:rFonts w:ascii="Arial" w:hAnsi="Arial" w:eastAsia="宋体" w:cs="Arial"/>
          <w:sz w:val="28"/>
          <w:szCs w:val="28"/>
        </w:rPr>
        <w:t xml:space="preserve">11、证明投标人及投标标的符合招标文件规定的文件</w:t>
      </w:r>
      <w:bookmarkEnd w:id="104"/>
      <w:r/>
      <w:r/>
    </w:p>
    <w:p>
      <w:pPr>
        <w:spacing w:line="440" w:lineRule="exact"/>
        <w:rPr>
          <w:rFonts w:ascii="宋体" w:hAnsi="宋体" w:eastAsia="宋体" w:cs="宋体"/>
          <w:sz w:val="24"/>
          <w:szCs w:val="24"/>
        </w:rPr>
      </w:pPr>
      <w:r/>
      <w:bookmarkStart w:id="105" w:name="_Toc14577355"/>
      <w:r/>
      <w:bookmarkEnd w:id="105"/>
      <w:r/>
      <w:bookmarkStart w:id="106"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bookmarkEnd w:id="106"/>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20"/>
        <w:keepLines/>
        <w:keepNext/>
        <w:spacing w:line="440" w:lineRule="exact"/>
        <w:rPr>
          <w:rFonts w:ascii="宋体" w:hAnsi="宋体" w:eastAsia="宋体" w:cs="宋体"/>
          <w:sz w:val="24"/>
          <w:szCs w:val="24"/>
        </w:rPr>
      </w:pPr>
      <w:r>
        <w:rPr>
          <w:rFonts w:ascii="Arial" w:hAnsi="Arial" w:eastAsia="宋体" w:cs="Arial"/>
          <w:sz w:val="28"/>
          <w:szCs w:val="28"/>
        </w:rPr>
        <w:t xml:space="preserve">12、投标分项报价</w:t>
      </w:r>
      <w:bookmarkStart w:id="107" w:name="_Hlt26670373"/>
      <w:r>
        <w:rPr>
          <w:rFonts w:ascii="Arial" w:hAnsi="Arial" w:eastAsia="宋体" w:cs="Arial"/>
          <w:sz w:val="28"/>
          <w:szCs w:val="28"/>
        </w:rPr>
        <w:t xml:space="preserve">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12.1 投</w:t>
      </w:r>
      <w:bookmarkEnd w:id="107"/>
      <w:r/>
      <w:bookmarkStart w:id="108" w:name="_Hlt26954840"/>
      <w:r>
        <w:rPr>
          <w:rFonts w:hint="eastAsia" w:ascii="宋体" w:hAnsi="宋体" w:eastAsia="宋体" w:cs="宋体"/>
          <w:sz w:val="24"/>
          <w:szCs w:val="24"/>
        </w:rPr>
        <w:t xml:space="preserve">标人应按照招标文件规定格式填报投标分项报价表</w:t>
      </w:r>
      <w:bookmarkEnd w:id="108"/>
      <w:r/>
      <w:bookmarkStart w:id="109" w:name="_Hlt26670399"/>
      <w:r>
        <w:rPr>
          <w:rFonts w:hint="eastAsia" w:ascii="宋体" w:hAnsi="宋体" w:eastAsia="宋体" w:cs="宋体"/>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bookmarkEnd w:id="109"/>
      <w:r/>
      <w:r/>
    </w:p>
    <w:p>
      <w:pPr>
        <w:ind w:firstLine="420"/>
        <w:keepLines/>
        <w:keepNext/>
        <w:spacing w:line="440" w:lineRule="exact"/>
        <w:rPr>
          <w:rFonts w:ascii="宋体" w:hAnsi="宋体" w:eastAsia="宋体" w:cs="宋体"/>
          <w:sz w:val="24"/>
          <w:szCs w:val="24"/>
        </w:rPr>
      </w:pPr>
      <w:r/>
      <w:bookmarkStart w:id="110" w:name="_Hlt26954842"/>
      <w:r/>
      <w:bookmarkEnd w:id="110"/>
      <w:r/>
      <w:bookmarkStart w:id="111" w:name="_Hlt26670425"/>
      <w:r/>
      <w:bookmarkEnd w:id="111"/>
      <w:r/>
      <w:bookmarkStart w:id="112" w:name="_Hlt26670403"/>
      <w:r/>
      <w:bookmarkEnd w:id="112"/>
      <w:r/>
      <w:bookmarkStart w:id="113" w:name="_Hlt26954846"/>
      <w:r/>
      <w:bookmarkEnd w:id="113"/>
      <w:r/>
      <w:bookmarkStart w:id="114" w:name="_Hlt26954848"/>
      <w:r/>
      <w:bookmarkEnd w:id="114"/>
      <w:r/>
      <w:bookmarkStart w:id="115" w:name="_Hlt26670482"/>
      <w:r/>
      <w:bookmarkEnd w:id="115"/>
      <w:r/>
      <w:bookmarkStart w:id="116" w:name="_Hlt26668983"/>
      <w:r/>
      <w:bookmarkEnd w:id="116"/>
      <w:r/>
      <w:bookmarkStart w:id="117" w:name="_Hlt26954731"/>
      <w:r/>
      <w:bookmarkEnd w:id="117"/>
      <w:r/>
      <w:bookmarkStart w:id="118" w:name="_Hlt26670486"/>
      <w:r/>
      <w:bookmarkEnd w:id="118"/>
      <w:r/>
      <w:bookmarkStart w:id="119" w:name="_Hlt26954844"/>
      <w:r>
        <w:rPr>
          <w:rFonts w:ascii="Arial" w:hAnsi="Arial" w:eastAsia="宋体" w:cs="Arial"/>
          <w:sz w:val="28"/>
          <w:szCs w:val="28"/>
        </w:rPr>
        <w:t xml:space="preserve">13、技术要求响应及偏离表、商务要求响应及偏离表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13.1 投标人需对招标文件中的技术要求与商务要求逐项作出响应或偏离，并说明原因。</w:t>
      </w:r>
      <w:r/>
    </w:p>
    <w:p>
      <w:pPr>
        <w:ind w:firstLine="480"/>
        <w:spacing w:line="440" w:lineRule="exact"/>
        <w:tabs>
          <w:tab w:val="left" w:pos="1035" w:leader="none"/>
        </w:tabs>
        <w:rPr>
          <w:rFonts w:ascii="宋体" w:hAnsi="宋体" w:eastAsia="宋体" w:cs="宋体"/>
          <w:sz w:val="24"/>
          <w:szCs w:val="24"/>
        </w:rPr>
      </w:pPr>
      <w:r>
        <w:rPr>
          <w:rFonts w:hint="eastAsia" w:ascii="宋体" w:hAnsi="宋体" w:eastAsia="宋体" w:cs="宋体"/>
          <w:sz w:val="24"/>
          <w:szCs w:val="24"/>
        </w:rPr>
        <w:t xml:space="preserve">13.2 投标人可在投标文件中提供认为需要的其他技术文件或说明。</w:t>
      </w:r>
      <w:bookmarkEnd w:id="119"/>
      <w:r/>
      <w:r/>
    </w:p>
    <w:p>
      <w:pPr>
        <w:ind w:firstLine="420"/>
        <w:keepLines/>
        <w:keepNext/>
        <w:spacing w:line="440" w:lineRule="exact"/>
        <w:rPr>
          <w:rFonts w:ascii="宋体" w:hAnsi="宋体" w:eastAsia="宋体" w:cs="宋体"/>
          <w:sz w:val="24"/>
          <w:szCs w:val="24"/>
        </w:rPr>
      </w:pPr>
      <w:r/>
      <w:bookmarkStart w:id="120" w:name="_Toc14577359"/>
      <w:r/>
      <w:bookmarkEnd w:id="120"/>
      <w:r/>
      <w:bookmarkStart w:id="121" w:name="_Toc49090510"/>
      <w:r>
        <w:rPr>
          <w:rFonts w:ascii="Arial" w:hAnsi="Arial" w:eastAsia="宋体" w:cs="Arial"/>
          <w:sz w:val="28"/>
          <w:szCs w:val="28"/>
        </w:rPr>
        <w:t xml:space="preserve">14、投标函和开标一览表</w:t>
      </w:r>
      <w:bookmarkEnd w:id="121"/>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20"/>
        <w:keepLines/>
        <w:keepNext/>
        <w:spacing w:line="440" w:lineRule="exact"/>
        <w:rPr>
          <w:rFonts w:ascii="宋体" w:hAnsi="宋体" w:eastAsia="宋体" w:cs="宋体"/>
          <w:sz w:val="24"/>
          <w:szCs w:val="24"/>
        </w:rPr>
      </w:pPr>
      <w:r/>
      <w:bookmarkStart w:id="122" w:name="_Toc49090511"/>
      <w:r/>
      <w:bookmarkEnd w:id="122"/>
      <w:r/>
      <w:bookmarkStart w:id="123" w:name="_Hlt26670489"/>
      <w:r/>
      <w:bookmarkEnd w:id="123"/>
      <w:r/>
      <w:bookmarkStart w:id="124" w:name="_Hlt26954850"/>
      <w:r/>
      <w:bookmarkEnd w:id="124"/>
      <w:r/>
      <w:bookmarkStart w:id="125" w:name="_Hlt26954734"/>
      <w:r/>
      <w:bookmarkEnd w:id="125"/>
      <w:r/>
      <w:bookmarkStart w:id="126" w:name="_Toc14577360"/>
      <w:r>
        <w:rPr>
          <w:rFonts w:ascii="Arial" w:hAnsi="Arial" w:eastAsia="宋体" w:cs="Arial"/>
          <w:sz w:val="28"/>
          <w:szCs w:val="28"/>
        </w:rPr>
        <w:t xml:space="preserve">15、投标有效期</w:t>
      </w:r>
      <w:bookmarkEnd w:id="126"/>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15.1 投标有效期为政务中心规定的开标之日后</w:t>
      </w:r>
      <w:r>
        <w:rPr>
          <w:rFonts w:hint="eastAsia" w:ascii="仿宋_GB2312" w:hAnsi="宋体" w:eastAsia="仿宋_GB2312"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keepLines/>
        <w:keepNext/>
        <w:spacing w:line="440" w:lineRule="exact"/>
        <w:rPr>
          <w:rFonts w:ascii="宋体" w:hAnsi="宋体" w:eastAsia="宋体" w:cs="宋体"/>
          <w:sz w:val="24"/>
          <w:szCs w:val="24"/>
        </w:rPr>
      </w:pPr>
      <w:r>
        <w:rPr>
          <w:rFonts w:ascii="Arial" w:hAnsi="Arial" w:eastAsia="宋体" w:cs="Arial"/>
          <w:sz w:val="28"/>
          <w:szCs w:val="28"/>
        </w:rPr>
        <w:t xml:space="preserve">16、投标有效期的延长</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16.1 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440" w:lineRule="exact"/>
        <w:rPr>
          <w:rFonts w:ascii="宋体" w:hAnsi="宋体" w:eastAsia="宋体" w:cs="宋体"/>
          <w:sz w:val="24"/>
          <w:szCs w:val="24"/>
        </w:rPr>
      </w:pPr>
      <w:r/>
      <w:bookmarkStart w:id="127" w:name="_Toc20823296"/>
      <w:r/>
      <w:bookmarkEnd w:id="127"/>
      <w:r/>
      <w:bookmarkStart w:id="128" w:name="_Hlt26954852"/>
      <w:r/>
      <w:bookmarkEnd w:id="128"/>
      <w:r/>
      <w:bookmarkStart w:id="129" w:name="_Hlt26954739"/>
      <w:r/>
      <w:bookmarkEnd w:id="129"/>
      <w:r/>
      <w:bookmarkStart w:id="130" w:name="_Toc120614217"/>
      <w:r/>
      <w:bookmarkEnd w:id="130"/>
      <w:r/>
      <w:bookmarkStart w:id="131" w:name="_Toc513029224"/>
      <w:r/>
      <w:bookmarkEnd w:id="131"/>
      <w:r/>
      <w:bookmarkStart w:id="132" w:name="_Toc16938540"/>
      <w:r>
        <w:rPr>
          <w:rFonts w:ascii="Times New Roman" w:hAnsi="Times New Roman" w:eastAsia="宋体" w:cs="Times New Roman"/>
          <w:b/>
          <w:bCs/>
          <w:sz w:val="32"/>
          <w:szCs w:val="32"/>
        </w:rPr>
        <w:t xml:space="preserve">四、投标文件的递交</w:t>
      </w:r>
      <w:bookmarkEnd w:id="132"/>
      <w:r/>
      <w:r/>
    </w:p>
    <w:p>
      <w:pPr>
        <w:ind w:firstLine="560"/>
        <w:keepLines/>
        <w:keepNext/>
        <w:spacing w:line="440" w:lineRule="exact"/>
        <w:rPr>
          <w:rFonts w:ascii="宋体" w:hAnsi="宋体" w:eastAsia="宋体" w:cs="宋体"/>
          <w:sz w:val="24"/>
          <w:szCs w:val="24"/>
        </w:rPr>
      </w:pPr>
      <w:r/>
      <w:bookmarkStart w:id="133" w:name="_Toc16938541"/>
      <w:r/>
      <w:bookmarkEnd w:id="133"/>
      <w:r/>
      <w:bookmarkStart w:id="134" w:name="_Toc20823297"/>
      <w:r/>
      <w:bookmarkEnd w:id="134"/>
      <w:r/>
      <w:bookmarkStart w:id="135" w:name="_Toc462564084"/>
      <w:r/>
      <w:bookmarkEnd w:id="135"/>
      <w:r/>
      <w:bookmarkStart w:id="136" w:name="_Toc513029225"/>
      <w:r>
        <w:rPr>
          <w:rFonts w:ascii="Arial" w:hAnsi="Arial" w:eastAsia="宋体" w:cs="Arial"/>
          <w:sz w:val="28"/>
          <w:szCs w:val="28"/>
        </w:rPr>
        <w:t xml:space="preserve">17、</w:t>
      </w:r>
      <w:r>
        <w:rPr>
          <w:rFonts w:hint="eastAsia" w:ascii="黑体" w:hAnsi="黑体" w:eastAsia="黑体" w:cs="宋体"/>
          <w:sz w:val="28"/>
          <w:szCs w:val="28"/>
        </w:rPr>
        <w:t xml:space="preserve">投标文件</w:t>
      </w:r>
      <w:bookmarkEnd w:id="136"/>
      <w:r>
        <w:rPr>
          <w:rFonts w:hint="eastAsia" w:ascii="黑体" w:hAnsi="黑体" w:eastAsia="黑体" w:cs="宋体"/>
          <w:sz w:val="28"/>
          <w:szCs w:val="28"/>
        </w:rPr>
        <w:t xml:space="preserve">的递交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17.1 电子投标文件的递交</w:t>
      </w:r>
      <w:r/>
    </w:p>
    <w:p>
      <w:pPr>
        <w:ind w:left="525"/>
        <w:spacing w:line="440" w:lineRule="exact"/>
        <w:rPr>
          <w:rFonts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37" w:name="_Toc16938542"/>
      <w:r/>
      <w:bookmarkEnd w:id="137"/>
      <w:r/>
      <w:bookmarkStart w:id="138" w:name="_Toc513029226"/>
      <w:r/>
      <w:bookmarkEnd w:id="138"/>
      <w:r/>
      <w:bookmarkStart w:id="139" w:name="_Toc20823298"/>
      <w:r/>
      <w:bookmarkEnd w:id="139"/>
      <w:r/>
      <w:r/>
    </w:p>
    <w:p>
      <w:pPr>
        <w:ind w:firstLine="420"/>
        <w:keepLines/>
        <w:keepNext/>
        <w:spacing w:before="280" w:after="290" w:line="440" w:lineRule="exact"/>
        <w:rPr>
          <w:rFonts w:ascii="宋体" w:hAnsi="宋体" w:eastAsia="宋体" w:cs="宋体"/>
          <w:sz w:val="24"/>
          <w:szCs w:val="24"/>
        </w:rPr>
      </w:pPr>
      <w:r>
        <w:rPr>
          <w:rFonts w:ascii="Arial" w:hAnsi="Arial" w:eastAsia="宋体" w:cs="Arial"/>
          <w:sz w:val="28"/>
          <w:szCs w:val="28"/>
        </w:rPr>
        <w:t xml:space="preserve">18、投标截止时间</w:t>
      </w:r>
      <w:r/>
    </w:p>
    <w:p>
      <w:pPr>
        <w:ind w:firstLine="480"/>
        <w:spacing w:line="440" w:lineRule="exact"/>
        <w:rPr>
          <w:rFonts w:ascii="宋体" w:hAnsi="宋体" w:eastAsia="宋体" w:cs="宋体"/>
          <w:sz w:val="24"/>
          <w:szCs w:val="24"/>
        </w:rPr>
      </w:pPr>
      <w:r>
        <w:rPr>
          <w:rFonts w:hint="eastAsia" w:ascii="宋体" w:hAnsi="宋体" w:eastAsia="宋体" w:cs="宋体"/>
          <w:i/>
          <w:iCs/>
          <w:sz w:val="24"/>
          <w:szCs w:val="24"/>
          <w:u w:val="single"/>
        </w:rPr>
        <w:t xml:space="preserve">18.1 投标人上传电子投标文件的时间不得迟于招标公告中规定的投标截止时间。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18.2 政务中心可以按照规定，通过修改招标文件酌情延长投标截止时间，在此情况下，投标人的所有权利和义务以及投标人受制的截止时间均应以延长后新的截止时间为准。</w:t>
      </w:r>
      <w:r/>
    </w:p>
    <w:p>
      <w:pPr>
        <w:ind w:firstLine="420"/>
        <w:keepLines/>
        <w:keepNext/>
        <w:spacing w:line="440" w:lineRule="exact"/>
        <w:rPr>
          <w:rFonts w:ascii="宋体" w:hAnsi="宋体" w:eastAsia="宋体" w:cs="宋体"/>
          <w:sz w:val="24"/>
          <w:szCs w:val="24"/>
        </w:rPr>
      </w:pPr>
      <w:r/>
      <w:bookmarkStart w:id="140" w:name="_Toc20823299"/>
      <w:r/>
      <w:bookmarkEnd w:id="140"/>
      <w:r/>
      <w:bookmarkStart w:id="141" w:name="_Toc513029227"/>
      <w:r/>
      <w:bookmarkEnd w:id="141"/>
      <w:r/>
      <w:bookmarkStart w:id="142" w:name="_Toc16938543"/>
      <w:r>
        <w:rPr>
          <w:rFonts w:ascii="Arial" w:hAnsi="Arial" w:eastAsia="宋体" w:cs="Arial"/>
          <w:sz w:val="28"/>
          <w:szCs w:val="28"/>
        </w:rPr>
        <w:t xml:space="preserve">19、投标文件</w:t>
      </w:r>
      <w:bookmarkEnd w:id="142"/>
      <w:r>
        <w:rPr>
          <w:rFonts w:ascii="Arial" w:hAnsi="Arial" w:eastAsia="宋体" w:cs="Arial"/>
          <w:sz w:val="28"/>
          <w:szCs w:val="28"/>
        </w:rPr>
        <w:t xml:space="preserve">的拒收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19.1政务中心拒绝接收在其规定的投标截止时间后上传的任何投标文件。</w:t>
      </w:r>
      <w:r/>
    </w:p>
    <w:p>
      <w:pPr>
        <w:ind w:firstLine="420"/>
        <w:keepLines/>
        <w:keepNext/>
        <w:spacing w:line="440" w:lineRule="exact"/>
        <w:rPr>
          <w:rFonts w:ascii="宋体" w:hAnsi="宋体" w:eastAsia="宋体" w:cs="宋体"/>
          <w:sz w:val="24"/>
          <w:szCs w:val="24"/>
        </w:rPr>
      </w:pPr>
      <w:r/>
      <w:bookmarkStart w:id="143" w:name="_Toc20823300"/>
      <w:r/>
      <w:bookmarkEnd w:id="143"/>
      <w:r/>
      <w:bookmarkStart w:id="144" w:name="_Toc16938544"/>
      <w:r/>
      <w:bookmarkEnd w:id="144"/>
      <w:r/>
      <w:bookmarkStart w:id="145" w:name="_Toc513029228"/>
      <w:r>
        <w:rPr>
          <w:rFonts w:ascii="Arial" w:hAnsi="Arial" w:eastAsia="宋体" w:cs="Arial"/>
          <w:sz w:val="28"/>
          <w:szCs w:val="28"/>
        </w:rPr>
        <w:t xml:space="preserve">20、投标文件的撤回和修改</w:t>
      </w:r>
      <w:bookmarkEnd w:id="145"/>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20.1 投标文件的撤回</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20.1.1 电子投标文件的撤回</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20.1.2 投标人撤回电子投标文件，则认为其不再参与本项目投标活动。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20.2 投标文件的修改</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482"/>
        <w:keepLines/>
        <w:keepNext/>
        <w:spacing w:before="145" w:after="145" w:line="440" w:lineRule="exact"/>
        <w:rPr>
          <w:rFonts w:ascii="宋体" w:hAnsi="宋体" w:eastAsia="宋体" w:cs="宋体"/>
          <w:sz w:val="24"/>
          <w:szCs w:val="24"/>
        </w:rPr>
      </w:pPr>
      <w:r/>
      <w:bookmarkStart w:id="146" w:name="_Toc120614218"/>
      <w:r/>
      <w:bookmarkEnd w:id="146"/>
      <w:r/>
      <w:bookmarkStart w:id="147" w:name="_Toc16938545"/>
      <w:r/>
      <w:bookmarkEnd w:id="147"/>
      <w:r/>
      <w:bookmarkStart w:id="148" w:name="_Toc513029229"/>
      <w:r/>
      <w:bookmarkEnd w:id="148"/>
      <w:r/>
      <w:bookmarkStart w:id="149" w:name="_Toc20823301"/>
      <w:r>
        <w:rPr>
          <w:rFonts w:ascii="Times New Roman" w:hAnsi="Times New Roman" w:eastAsia="宋体" w:cs="Times New Roman"/>
          <w:b/>
          <w:bCs/>
          <w:sz w:val="32"/>
          <w:szCs w:val="32"/>
        </w:rPr>
        <w:t xml:space="preserve">五、开标与评标</w:t>
      </w:r>
      <w:bookmarkEnd w:id="149"/>
      <w:r/>
      <w:r/>
    </w:p>
    <w:p>
      <w:pPr>
        <w:ind w:firstLine="420"/>
        <w:keepLines/>
        <w:keepNext/>
        <w:spacing w:line="440" w:lineRule="exact"/>
        <w:rPr>
          <w:rFonts w:ascii="宋体" w:hAnsi="宋体" w:eastAsia="宋体" w:cs="宋体"/>
          <w:sz w:val="24"/>
          <w:szCs w:val="24"/>
        </w:rPr>
      </w:pPr>
      <w:r/>
      <w:bookmarkStart w:id="150" w:name="_Toc20823302"/>
      <w:r/>
      <w:bookmarkEnd w:id="150"/>
      <w:r/>
      <w:bookmarkStart w:id="151" w:name="_Toc16938546"/>
      <w:r/>
      <w:bookmarkEnd w:id="151"/>
      <w:r/>
      <w:bookmarkStart w:id="152" w:name="_Toc513029230"/>
      <w:r>
        <w:rPr>
          <w:rFonts w:ascii="Arial" w:hAnsi="Arial" w:eastAsia="宋体" w:cs="Arial"/>
          <w:sz w:val="28"/>
          <w:szCs w:val="28"/>
        </w:rPr>
        <w:t xml:space="preserve">21、开标</w:t>
      </w:r>
      <w:bookmarkEnd w:id="152"/>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21.1 政务中心将在招标公告中规定的时间和地点组织公开开标。投标人应当按照《操作手册》规定，参加开标活动和在苏采云系统规定的时间内对投标文件进行解密。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21.2开标仪式由政务中心组织。苏采云系统将自动对项目进行开标，并宣布各投标人名称和投标价格。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spacing w:line="440" w:lineRule="exact"/>
        <w:rPr>
          <w:rFonts w:ascii="宋体" w:hAnsi="宋体" w:eastAsia="宋体" w:cs="宋体"/>
          <w:sz w:val="24"/>
          <w:szCs w:val="24"/>
        </w:rPr>
      </w:pPr>
      <w:r/>
      <w:bookmarkStart w:id="153" w:name="_Toc16938547"/>
      <w:r/>
      <w:bookmarkEnd w:id="153"/>
      <w:r/>
      <w:bookmarkStart w:id="154" w:name="_Toc513029231"/>
      <w:r/>
      <w:bookmarkEnd w:id="154"/>
      <w:r/>
      <w:bookmarkStart w:id="155" w:name="_Toc20823303"/>
      <w:r>
        <w:rPr>
          <w:rFonts w:ascii="Arial" w:hAnsi="Arial" w:eastAsia="宋体" w:cs="Arial"/>
          <w:sz w:val="28"/>
          <w:szCs w:val="28"/>
        </w:rPr>
        <w:t xml:space="preserve">22、评标委员会</w:t>
      </w:r>
      <w:bookmarkEnd w:id="155"/>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开标后，政务中心将立即组织评标委员会（以下简称评委会）进行评标。</w:t>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22.2 评委会由采购人代表和有关技术、经济等方面的专家组成，且人员构成符合政府采购有关规定。</w:t>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22.3评委会独立工作，负责评审所有投标文件并确定中标候选人。</w:t>
      </w:r>
      <w:r/>
    </w:p>
    <w:p>
      <w:pPr>
        <w:ind w:firstLine="420"/>
        <w:keepLines/>
        <w:keepNext/>
        <w:spacing w:line="440" w:lineRule="exact"/>
        <w:rPr>
          <w:rFonts w:ascii="宋体" w:hAnsi="宋体" w:eastAsia="宋体" w:cs="宋体"/>
          <w:sz w:val="24"/>
          <w:szCs w:val="24"/>
        </w:rPr>
      </w:pPr>
      <w:r>
        <w:rPr>
          <w:rFonts w:hint="eastAsia" w:ascii="黑体" w:hAnsi="黑体" w:eastAsia="黑体" w:cs="宋体"/>
          <w:sz w:val="28"/>
          <w:szCs w:val="28"/>
        </w:rPr>
        <w:t xml:space="preserve">23、评标过程的保密与公正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23.1凡是与审查、澄清、评价和比较投标的有关资料以及授标建议等，采购人、评委、政务中心均不得向投标人或与评标无关的其他人员透露。</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23.3 政务中心和评标委员会不向未中标的投标人解释未中标原因，也不公布评标过程中的相关细节。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20"/>
        <w:keepLines/>
        <w:keepNext/>
        <w:spacing w:line="440" w:lineRule="exact"/>
        <w:rPr>
          <w:rFonts w:ascii="宋体" w:hAnsi="宋体" w:eastAsia="宋体" w:cs="宋体"/>
          <w:sz w:val="24"/>
          <w:szCs w:val="24"/>
        </w:rPr>
      </w:pPr>
      <w:r/>
      <w:bookmarkStart w:id="156" w:name="_Toc513029232"/>
      <w:r/>
      <w:bookmarkEnd w:id="156"/>
      <w:r/>
      <w:bookmarkStart w:id="157" w:name="_Toc16938548"/>
      <w:r/>
      <w:bookmarkEnd w:id="157"/>
      <w:r/>
      <w:bookmarkStart w:id="158" w:name="_Toc20823304"/>
      <w:r>
        <w:rPr>
          <w:rFonts w:ascii="Arial" w:hAnsi="Arial" w:eastAsia="宋体" w:cs="Arial"/>
          <w:sz w:val="28"/>
          <w:szCs w:val="28"/>
        </w:rPr>
        <w:t xml:space="preserve">24、投标文件的澄清</w:t>
      </w:r>
      <w:bookmarkEnd w:id="158"/>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ind w:firstLine="420"/>
        <w:keepLines/>
        <w:keepNext/>
        <w:spacing w:line="440" w:lineRule="exact"/>
        <w:rPr>
          <w:rFonts w:ascii="宋体" w:hAnsi="宋体" w:eastAsia="宋体" w:cs="宋体"/>
          <w:sz w:val="24"/>
          <w:szCs w:val="24"/>
        </w:rPr>
      </w:pPr>
      <w:r/>
      <w:bookmarkStart w:id="159" w:name="_Toc16938549"/>
      <w:r/>
      <w:bookmarkEnd w:id="159"/>
      <w:r/>
      <w:bookmarkStart w:id="160" w:name="_Toc20823305"/>
      <w:r/>
      <w:bookmarkEnd w:id="160"/>
      <w:r/>
      <w:bookmarkStart w:id="161" w:name="_Toc513029233"/>
      <w:r>
        <w:rPr>
          <w:rFonts w:ascii="Arial" w:hAnsi="Arial" w:eastAsia="宋体" w:cs="Arial"/>
          <w:sz w:val="28"/>
          <w:szCs w:val="28"/>
        </w:rPr>
        <w:t xml:space="preserve">25、对投标文件的初审</w:t>
      </w:r>
      <w:bookmarkEnd w:id="161"/>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25.1.3 未通过资格审查或符合性审查的投标人，政务中心将在苏采云系统中告知未通过资格审查或符合性审查的原因，评标结束后，政务中心将不再告知未通过资格审查和符合性审查的原因。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40" w:lineRule="exact"/>
        <w:rPr>
          <w:rFonts w:ascii="宋体" w:hAnsi="宋体" w:eastAsia="宋体" w:cs="宋体"/>
          <w:sz w:val="24"/>
          <w:szCs w:val="24"/>
        </w:rPr>
      </w:pPr>
      <w:r/>
      <w:bookmarkStart w:id="162" w:name="_Toc513029234"/>
      <w:r/>
      <w:bookmarkEnd w:id="162"/>
      <w:r/>
      <w:bookmarkStart w:id="163" w:name="_Toc16938550"/>
      <w:r/>
      <w:bookmarkEnd w:id="163"/>
      <w:r/>
      <w:bookmarkStart w:id="164" w:name="_Toc20823306"/>
      <w:r>
        <w:rPr>
          <w:rFonts w:hint="eastAsia" w:ascii="宋体" w:hAnsi="宋体" w:eastAsia="宋体" w:cs="宋体"/>
          <w:sz w:val="24"/>
          <w:szCs w:val="24"/>
        </w:rPr>
        <w:t xml:space="preserve">25.6投标人在开、评标全过程中应保持通讯畅通，及时登录苏采云系统查阅、答复相关信息，并安排专人与政务中心及评标委员会联系。</w:t>
      </w:r>
      <w:bookmarkEnd w:id="164"/>
      <w:r/>
      <w:r/>
    </w:p>
    <w:p>
      <w:pPr>
        <w:ind w:firstLine="420"/>
        <w:keepLines/>
        <w:keepNext/>
        <w:spacing w:line="440" w:lineRule="exact"/>
        <w:rPr>
          <w:rFonts w:ascii="宋体" w:hAnsi="宋体" w:eastAsia="宋体" w:cs="宋体"/>
          <w:sz w:val="24"/>
          <w:szCs w:val="24"/>
        </w:rPr>
      </w:pPr>
      <w:r>
        <w:rPr>
          <w:rFonts w:ascii="Arial" w:hAnsi="Arial" w:eastAsia="宋体" w:cs="Arial"/>
          <w:sz w:val="28"/>
          <w:szCs w:val="28"/>
        </w:rPr>
        <w:t xml:space="preserve">26、无效投标条款和废标条款</w:t>
      </w:r>
      <w:r/>
    </w:p>
    <w:p>
      <w:pPr>
        <w:ind w:left="479"/>
        <w:spacing w:line="440" w:lineRule="exact"/>
        <w:rPr>
          <w:rFonts w:ascii="宋体" w:hAnsi="宋体" w:eastAsia="宋体" w:cs="宋体"/>
          <w:sz w:val="24"/>
          <w:szCs w:val="24"/>
        </w:rPr>
      </w:pPr>
      <w:r/>
      <w:bookmarkStart w:id="165" w:name="_Toc20823307"/>
      <w:r/>
      <w:bookmarkEnd w:id="165"/>
      <w:r/>
      <w:bookmarkStart w:id="166" w:name="_Toc16938551"/>
      <w:r/>
      <w:bookmarkEnd w:id="166"/>
      <w:r/>
      <w:bookmarkStart w:id="167" w:name="_Toc513029235"/>
      <w:r>
        <w:rPr>
          <w:rFonts w:hint="eastAsia" w:ascii="宋体" w:hAnsi="宋体" w:eastAsia="宋体" w:cs="宋体"/>
          <w:sz w:val="24"/>
          <w:szCs w:val="24"/>
        </w:rPr>
        <w:t xml:space="preserve">26.1无效投标条款</w:t>
      </w:r>
      <w:bookmarkEnd w:id="167"/>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26.1.11</w:t>
      </w:r>
      <w:bookmarkStart w:id="168"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26.1.12投标文件未按照招标文件要求加盖电子签章或签署的。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26.1.14投标文件未按招标文件规定的内容和要求填写的。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26.1.15其他法律、法规及本招标文件规定的属无效投标的情形。</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26.2废标条款</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26.3 投标截止时间结束后参加投标的供应商不足三家的处理：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440" w:lineRule="exact"/>
        <w:rPr>
          <w:rFonts w:ascii="宋体" w:hAnsi="宋体" w:eastAsia="宋体" w:cs="宋体"/>
          <w:sz w:val="24"/>
          <w:szCs w:val="24"/>
        </w:rPr>
      </w:pPr>
      <w:r/>
      <w:bookmarkStart w:id="169" w:name="_Toc120614219"/>
      <w:r>
        <w:rPr>
          <w:rFonts w:ascii="Times New Roman" w:hAnsi="Times New Roman" w:eastAsia="宋体" w:cs="Times New Roman"/>
          <w:b/>
          <w:bCs/>
          <w:sz w:val="32"/>
          <w:szCs w:val="32"/>
        </w:rPr>
        <w:t xml:space="preserve">六、定标</w:t>
      </w:r>
      <w:bookmarkEnd w:id="169"/>
      <w:r/>
      <w:r/>
    </w:p>
    <w:p>
      <w:pPr>
        <w:ind w:firstLine="600"/>
        <w:keepLines/>
        <w:keepNext/>
        <w:spacing w:line="440" w:lineRule="exact"/>
        <w:rPr>
          <w:rFonts w:ascii="宋体" w:hAnsi="宋体" w:eastAsia="宋体" w:cs="宋体"/>
          <w:sz w:val="24"/>
          <w:szCs w:val="24"/>
        </w:rPr>
      </w:pPr>
      <w:r/>
      <w:bookmarkStart w:id="170" w:name="_Toc16938554"/>
      <w:r/>
      <w:bookmarkEnd w:id="170"/>
      <w:r/>
      <w:bookmarkStart w:id="171" w:name="_Toc513029238"/>
      <w:r/>
      <w:bookmarkEnd w:id="171"/>
      <w:r/>
      <w:bookmarkStart w:id="172" w:name="_Toc20823310"/>
      <w:r>
        <w:rPr>
          <w:rFonts w:hint="eastAsia" w:ascii="黑体" w:hAnsi="黑体" w:eastAsia="黑体" w:cs="宋体"/>
          <w:sz w:val="30"/>
          <w:szCs w:val="30"/>
        </w:rPr>
        <w:t xml:space="preserve">27、</w:t>
      </w:r>
      <w:bookmarkEnd w:id="172"/>
      <w:r>
        <w:rPr>
          <w:rFonts w:hint="eastAsia" w:ascii="黑体" w:hAnsi="黑体" w:eastAsia="黑体" w:cs="宋体"/>
          <w:sz w:val="30"/>
          <w:szCs w:val="30"/>
        </w:rPr>
        <w:t xml:space="preserve">确定中标单位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27.3 政务中心将在“江苏政府采购网”发布中标公告，公告期限为1个工作日。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27.4.2向采购人、政务中心行贿或者提供其他不正当利益的。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spacing w:line="440" w:lineRule="exact"/>
        <w:rPr>
          <w:rFonts w:ascii="宋体" w:hAnsi="宋体" w:eastAsia="宋体" w:cs="宋体"/>
          <w:sz w:val="24"/>
          <w:szCs w:val="24"/>
        </w:rPr>
      </w:pPr>
      <w:r/>
      <w:bookmarkStart w:id="173" w:name="_Toc200451960"/>
      <w:r>
        <w:rPr>
          <w:rFonts w:hint="eastAsia" w:ascii="宋体" w:hAnsi="宋体" w:eastAsia="宋体" w:cs="宋体"/>
          <w:sz w:val="24"/>
          <w:szCs w:val="24"/>
        </w:rPr>
        <w:t xml:space="preserve">27.5 </w:t>
      </w:r>
      <w:r>
        <w:rPr>
          <w:rFonts w:ascii="Times New Roman" w:hAnsi="Times New Roman" w:eastAsia="宋体" w:cs="Times New Roman"/>
          <w:sz w:val="24"/>
          <w:szCs w:val="24"/>
        </w:rPr>
        <w:t xml:space="preserve">有下列情形之一的，视为投标人串通投标，投标无效：</w:t>
      </w:r>
      <w:bookmarkEnd w:id="173"/>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600"/>
        <w:keepLines/>
        <w:keepNext/>
        <w:spacing w:line="440" w:lineRule="exact"/>
        <w:rPr>
          <w:rFonts w:ascii="宋体" w:hAnsi="宋体" w:eastAsia="宋体" w:cs="宋体"/>
          <w:sz w:val="24"/>
          <w:szCs w:val="24"/>
        </w:rPr>
      </w:pPr>
      <w:r>
        <w:rPr>
          <w:rFonts w:hint="eastAsia" w:ascii="黑体" w:hAnsi="黑体" w:eastAsia="黑体" w:cs="宋体"/>
          <w:sz w:val="30"/>
          <w:szCs w:val="30"/>
        </w:rPr>
        <w:t xml:space="preserve">28、质疑处理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政务中心或采购人提出质疑。上述应知其权益受到损害之日，是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28.2.2</w:t>
      </w:r>
      <w:r>
        <w:rPr>
          <w:rFonts w:ascii="Times New Roman" w:hAnsi="Times New Roman" w:eastAsia="宋体" w:cs="Times New Roman"/>
          <w:sz w:val="24"/>
          <w:szCs w:val="24"/>
        </w:rPr>
        <w:t xml:space="preserve">对采购过程提出质疑的，为各采购程序环节结束之日；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440" w:lineRule="exact"/>
        <w:rPr>
          <w:rFonts w:ascii="宋体" w:hAnsi="宋体" w:eastAsia="宋体" w:cs="宋体"/>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rPr>
        <w:t xml:space="preserve">政务中心</w:t>
      </w:r>
      <w:r>
        <w:rPr>
          <w:rFonts w:ascii="Times New Roman" w:hAnsi="Times New Roman" w:eastAsia="宋体" w:cs="Times New Roman"/>
          <w:sz w:val="24"/>
          <w:szCs w:val="24"/>
        </w:rPr>
        <w:t xml:space="preserve">、采购人将只对供应商第一次质疑作出答复。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eastAsia="宋体" w:cs="宋体"/>
          <w:b/>
          <w:bCs/>
          <w:sz w:val="24"/>
          <w:szCs w:val="24"/>
          <w:shd w:val="clear" w:color="auto" w:fill="ffff00"/>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政务中心提出，由政务中心负责答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政务中心及采购人只接收以纸质原件形式送达的质疑,建议供应商尽量通过邮寄方式提交质疑（采购人和政务中心不接受未填写快递运单的快件）。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spacing w:line="440" w:lineRule="exact"/>
        <w:rPr>
          <w:rFonts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spacing w:line="440" w:lineRule="exact"/>
        <w:rPr>
          <w:rFonts w:ascii="宋体" w:hAnsi="宋体" w:eastAsia="宋体" w:cs="宋体"/>
          <w:sz w:val="24"/>
          <w:szCs w:val="24"/>
        </w:rPr>
      </w:pPr>
      <w:r>
        <w:rPr>
          <w:rFonts w:hint="eastAsia" w:ascii="黑体" w:hAnsi="黑体" w:eastAsia="黑体" w:cs="宋体"/>
          <w:sz w:val="30"/>
          <w:szCs w:val="30"/>
        </w:rPr>
        <w:t xml:space="preserve">29、中标通知书</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中标结果确定后，政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440" w:lineRule="exact"/>
        <w:rPr>
          <w:rFonts w:ascii="宋体" w:hAnsi="宋体" w:eastAsia="宋体" w:cs="宋体"/>
          <w:sz w:val="24"/>
          <w:szCs w:val="24"/>
        </w:rPr>
      </w:pPr>
      <w:r/>
      <w:bookmarkStart w:id="174" w:name="_Toc120614220"/>
      <w:r/>
      <w:bookmarkEnd w:id="174"/>
      <w:r/>
      <w:bookmarkStart w:id="175" w:name="_Toc513029236"/>
      <w:r/>
      <w:bookmarkEnd w:id="175"/>
      <w:r/>
      <w:bookmarkStart w:id="176" w:name="_Toc20823308"/>
      <w:r/>
      <w:bookmarkEnd w:id="176"/>
      <w:r/>
      <w:bookmarkStart w:id="177" w:name="_Toc16938552"/>
      <w:r>
        <w:rPr>
          <w:rFonts w:ascii="Times New Roman" w:hAnsi="Times New Roman" w:eastAsia="宋体" w:cs="Times New Roman"/>
          <w:b/>
          <w:bCs/>
          <w:sz w:val="32"/>
          <w:szCs w:val="32"/>
        </w:rPr>
        <w:t xml:space="preserve">七、授予合同</w:t>
      </w:r>
      <w:bookmarkEnd w:id="177"/>
      <w:r/>
      <w:r/>
    </w:p>
    <w:p>
      <w:pPr>
        <w:ind w:firstLine="600"/>
        <w:keepLines/>
        <w:keepNext/>
        <w:spacing w:line="440" w:lineRule="exact"/>
        <w:rPr>
          <w:rFonts w:ascii="宋体" w:hAnsi="宋体" w:eastAsia="宋体" w:cs="宋体"/>
          <w:sz w:val="24"/>
          <w:szCs w:val="24"/>
        </w:rPr>
      </w:pPr>
      <w:r/>
      <w:bookmarkStart w:id="178" w:name="_Toc20823309"/>
      <w:r/>
      <w:bookmarkEnd w:id="178"/>
      <w:r/>
      <w:bookmarkStart w:id="179" w:name="_Toc513029237"/>
      <w:r/>
      <w:bookmarkEnd w:id="179"/>
      <w:r/>
      <w:bookmarkStart w:id="180" w:name="_Toc16938553"/>
      <w:r>
        <w:rPr>
          <w:rFonts w:hint="eastAsia" w:ascii="黑体" w:hAnsi="黑体" w:eastAsia="黑体" w:cs="宋体"/>
          <w:sz w:val="30"/>
          <w:szCs w:val="30"/>
        </w:rPr>
        <w:t xml:space="preserve">30. 签订合同</w:t>
      </w:r>
      <w:bookmarkEnd w:id="180"/>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spacing w:line="440" w:lineRule="exact"/>
        <w:rPr>
          <w:rFonts w:ascii="宋体" w:hAnsi="宋体" w:eastAsia="宋体" w:cs="宋体"/>
          <w:sz w:val="24"/>
          <w:szCs w:val="24"/>
        </w:rPr>
      </w:pPr>
      <w:r>
        <w:rPr>
          <w:rFonts w:hint="eastAsia" w:ascii="黑体" w:hAnsi="黑体" w:eastAsia="黑体" w:cs="宋体"/>
          <w:sz w:val="30"/>
          <w:szCs w:val="30"/>
        </w:rPr>
        <w:t xml:space="preserve">31、服务（包含与服务相关的货物）的追加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spacing w:line="440" w:lineRule="exact"/>
        <w:rPr>
          <w:rFonts w:ascii="宋体" w:hAnsi="宋体" w:eastAsia="宋体" w:cs="宋体"/>
          <w:sz w:val="24"/>
          <w:szCs w:val="24"/>
        </w:rPr>
      </w:pPr>
      <w:r/>
      <w:bookmarkStart w:id="181" w:name="_Toc120614221"/>
      <w:r/>
      <w:bookmarkEnd w:id="181"/>
      <w:r/>
      <w:bookmarkStart w:id="182" w:name="_Toc16938558"/>
      <w:r/>
      <w:bookmarkEnd w:id="182"/>
      <w:r/>
      <w:bookmarkStart w:id="183" w:name="_Toc513029242"/>
      <w:r/>
      <w:bookmarkEnd w:id="183"/>
      <w:r/>
      <w:bookmarkStart w:id="184" w:name="_Toc479757207"/>
      <w:r/>
      <w:bookmarkEnd w:id="184"/>
      <w:r/>
      <w:bookmarkStart w:id="185" w:name="_Toc20823314"/>
      <w:r>
        <w:rPr>
          <w:rFonts w:hint="eastAsia" w:ascii="黑体" w:hAnsi="黑体" w:eastAsia="黑体" w:cs="宋体"/>
          <w:sz w:val="30"/>
          <w:szCs w:val="30"/>
        </w:rPr>
        <w:t xml:space="preserve">32、政府采购履约资金扶持政策</w:t>
      </w:r>
      <w:bookmarkEnd w:id="185"/>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44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八、政府采购政策功能落实</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33.1中小企业政策</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2  </w:t>
      </w:r>
      <w:r>
        <w:rPr>
          <w:rFonts w:hint="eastAsia" w:ascii="宋体" w:hAnsi="宋体" w:eastAsia="宋体" w:cs="宋体"/>
          <w:sz w:val="24"/>
          <w:szCs w:val="24"/>
        </w:rPr>
        <w:t xml:space="preserve">种政策落实：</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（2）对符合规定情形的小微企业报价给予 20% 扣除，用扣除后的价格参加评审。</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33.3.3绿色采购</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44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（4）评标委员会基于专业判断，认为供应商报价过低，有可能影响产品质量或者不能诚信履约的其他情形。</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44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37.</w:t>
      </w:r>
      <w:bookmarkStart w:id="186"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86"/>
      <w:r/>
      <w:r/>
    </w:p>
    <w:p>
      <w:pPr>
        <w:ind w:firstLine="480"/>
        <w:spacing w:line="440" w:lineRule="exact"/>
        <w:rPr>
          <w:rFonts w:ascii="宋体" w:hAnsi="宋体" w:cs="宋体"/>
          <w:sz w:val="24"/>
          <w:szCs w:val="24"/>
        </w:rPr>
      </w:pPr>
      <w:r>
        <w:rPr>
          <w:rFonts w:hint="eastAsia" w:ascii="宋体" w:hAnsi="宋体" w:eastAsia="宋体" w:cs="宋体"/>
          <w:sz w:val="24"/>
          <w:szCs w:val="24"/>
        </w:rPr>
        <w:t xml:space="preserve">40. 本项目所属行业为</w:t>
      </w:r>
      <w:r>
        <w:rPr>
          <w:rFonts w:hint="eastAsia"/>
          <w:sz w:val="24"/>
          <w:szCs w:val="24"/>
          <w:u w:val="single"/>
        </w:rPr>
        <w:t xml:space="preserve">软件和信息技术服务业（本项目以货物采购为主）。</w:t>
      </w:r>
      <w:r/>
    </w:p>
    <w:p>
      <w:pPr>
        <w:pStyle w:val="745"/>
        <w:spacing w:line="440" w:lineRule="exact"/>
      </w:pPr>
      <w:r/>
      <w:r/>
    </w:p>
    <w:p>
      <w:r/>
      <w:r/>
    </w:p>
    <w:p>
      <w:pPr>
        <w:pStyle w:val="745"/>
      </w:pPr>
      <w:r/>
      <w:r/>
    </w:p>
    <w:p>
      <w:r/>
      <w:r/>
    </w:p>
    <w:p>
      <w:pPr>
        <w:pStyle w:val="745"/>
      </w:pPr>
      <w:r/>
      <w:r/>
    </w:p>
    <w:p>
      <w:r/>
      <w:r/>
    </w:p>
    <w:p>
      <w:pPr>
        <w:pStyle w:val="745"/>
      </w:pPr>
      <w:r/>
      <w:r/>
    </w:p>
    <w:p>
      <w:r/>
      <w:r/>
    </w:p>
    <w:p>
      <w:r/>
      <w:r/>
    </w:p>
    <w:p>
      <w:pPr>
        <w:pStyle w:val="745"/>
      </w:pPr>
      <w:r/>
      <w:r/>
    </w:p>
    <w:p>
      <w:pPr>
        <w:ind w:firstLine="42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jc w:val="center"/>
        <w:keepNext/>
        <w:spacing w:line="440" w:lineRule="exact"/>
        <w:rPr>
          <w:rFonts w:ascii="宋体" w:hAnsi="宋体" w:eastAsia="宋体" w:cs="宋体"/>
          <w:sz w:val="24"/>
          <w:szCs w:val="24"/>
        </w:rPr>
      </w:pPr>
      <w:r/>
      <w:bookmarkStart w:id="187"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spacing w:line="440" w:lineRule="exact"/>
        <w:rPr>
          <w:rFonts w:ascii="宋体" w:hAnsi="宋体" w:eastAsia="宋体" w:cs="宋体"/>
          <w:sz w:val="24"/>
          <w:szCs w:val="24"/>
        </w:rPr>
      </w:pPr>
      <w:r/>
      <w:bookmarkStart w:id="188" w:name="_Toc16938559"/>
      <w:r/>
      <w:bookmarkEnd w:id="188"/>
      <w:r/>
      <w:bookmarkStart w:id="189" w:name="_Toc20823315"/>
      <w:r/>
      <w:bookmarkEnd w:id="189"/>
      <w:r/>
      <w:bookmarkStart w:id="190"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0"/>
      <w:r/>
      <w:r/>
    </w:p>
    <w:p>
      <w:pPr>
        <w:jc w:val="center"/>
        <w:spacing w:before="145" w:after="145"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line="440" w:lineRule="exact"/>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江苏省政府采购合同（服务）（合同编号）</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1.6履行方式：</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 </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 %作为本合同的履约保证金，项目验收合格后30个工作日内返还。（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08" w:hanging="408"/>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7.2</w:t>
      </w:r>
      <w:r>
        <w:rPr>
          <w:rFonts w:ascii="宋体" w:hAnsi="宋体" w:eastAsia="宋体" w:cs="宋体"/>
          <w:color w:val="000000"/>
          <w:sz w:val="24"/>
          <w:szCs w:val="24"/>
        </w:rPr>
        <w:t xml:space="preserve">未经采购人同意，乙方不得将合同标的分包给他人履行。</w:t>
      </w:r>
      <w:r/>
    </w:p>
    <w:p>
      <w:pPr>
        <w:spacing w:before="145" w:after="145" w:line="440" w:lineRule="exact"/>
        <w:rPr>
          <w:rFonts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spacing w:before="120" w:after="120" w:line="440" w:lineRule="exact"/>
        <w:rPr>
          <w:rFonts w:ascii="宋体" w:hAnsi="宋体" w:eastAsia="宋体" w:cs="宋体"/>
          <w:sz w:val="24"/>
          <w:szCs w:val="24"/>
        </w:rPr>
      </w:pPr>
      <w:r>
        <w:rPr>
          <w:rFonts w:hint="eastAsia" w:ascii="宋体" w:hAnsi="宋体" w:eastAsia="宋体" w:cs="宋体"/>
          <w:b/>
          <w:bCs/>
          <w:sz w:val="24"/>
          <w:szCs w:val="24"/>
        </w:rPr>
        <w:t xml:space="preserve">八、合同款项支付</w:t>
      </w:r>
      <w:r/>
    </w:p>
    <w:p>
      <w:pPr>
        <w:spacing w:before="120" w:after="120" w:line="440" w:lineRule="exact"/>
        <w:rPr>
          <w:rFonts w:ascii="宋体" w:hAnsi="宋体" w:eastAsia="宋体" w:cs="宋体"/>
          <w:sz w:val="24"/>
          <w:szCs w:val="24"/>
        </w:rPr>
      </w:pPr>
      <w:r>
        <w:rPr>
          <w:rFonts w:hint="eastAsia" w:ascii="宋体" w:hAnsi="宋体" w:eastAsia="宋体" w:cs="宋体"/>
          <w:sz w:val="24"/>
          <w:szCs w:val="24"/>
        </w:rPr>
        <w:t xml:space="preserve">8.1合同款项的支付方式及进度安排：</w:t>
      </w:r>
      <w:r/>
    </w:p>
    <w:p>
      <w:pPr>
        <w:ind w:firstLine="480"/>
        <w:spacing w:line="440" w:lineRule="exact"/>
        <w:rPr>
          <w:u w:val="single"/>
        </w:rPr>
      </w:pPr>
      <w:r>
        <w:rPr>
          <w:rFonts w:hint="eastAsia"/>
          <w:sz w:val="24"/>
          <w:szCs w:val="24"/>
        </w:rPr>
        <w:t xml:space="preserve">合同签订后支付合同总金额的</w:t>
      </w:r>
      <w:r>
        <w:rPr>
          <w:sz w:val="24"/>
          <w:szCs w:val="24"/>
        </w:rPr>
        <w:t xml:space="preserve">30%，</w:t>
      </w:r>
      <w:r>
        <w:rPr>
          <w:rFonts w:hint="eastAsia"/>
          <w:sz w:val="24"/>
          <w:szCs w:val="24"/>
        </w:rPr>
        <w:t xml:space="preserve">所有硬件</w:t>
      </w:r>
      <w:r>
        <w:rPr>
          <w:sz w:val="24"/>
          <w:szCs w:val="24"/>
        </w:rPr>
        <w:t xml:space="preserve">设备到货后支付至合同总金额的60%，项目验收合格后</w:t>
      </w:r>
      <w:r>
        <w:rPr>
          <w:rFonts w:hint="eastAsia"/>
          <w:sz w:val="24"/>
          <w:szCs w:val="24"/>
        </w:rPr>
        <w:t xml:space="preserve">一次性付清。</w:t>
      </w:r>
      <w:r/>
    </w:p>
    <w:p>
      <w:pPr>
        <w:pStyle w:val="745"/>
        <w:ind w:firstLine="0"/>
        <w:spacing w:line="440" w:lineRule="exact"/>
        <w:rPr>
          <w:rFonts w:hAnsi="宋体" w:eastAsia="宋体" w:cs="宋体"/>
          <w:sz w:val="24"/>
          <w:szCs w:val="24"/>
        </w:rPr>
      </w:pPr>
      <w:r>
        <w:rPr>
          <w:rFonts w:hint="eastAsia" w:hAnsi="宋体" w:eastAsia="宋体" w:cs="宋体"/>
          <w:b/>
          <w:bCs/>
          <w:color w:val="000000"/>
          <w:sz w:val="24"/>
          <w:szCs w:val="24"/>
        </w:rPr>
        <w:t xml:space="preserve">九、税费</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lang w:val="en-US" w:eastAsia="zh-CN"/>
        </w:rPr>
        <w:t xml:space="preserve"> 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jc w:val="center"/>
        <w:spacing w:before="120" w:after="120" w:line="440" w:lineRule="exact"/>
        <w:rPr>
          <w:rFonts w:ascii="黑体" w:hAnsi="黑体" w:eastAsia="黑体" w:cs="宋体"/>
          <w:sz w:val="44"/>
          <w:szCs w:val="44"/>
        </w:rPr>
      </w:pPr>
      <w:r>
        <w:rPr>
          <w:rFonts w:hint="eastAsia" w:ascii="宋体" w:hAnsi="宋体" w:eastAsia="宋体" w:cs="宋体"/>
          <w:color w:val="000000"/>
          <w:szCs w:val="21"/>
        </w:rPr>
        <w:t xml:space="preserve">                                          签订日期：      年    月   日</w:t>
      </w:r>
      <w:r>
        <w:rPr>
          <w:rFonts w:hint="eastAsia" w:ascii="黑体" w:hAnsi="黑体" w:eastAsia="黑体" w:cs="宋体"/>
          <w:sz w:val="44"/>
          <w:szCs w:val="44"/>
        </w:rPr>
        <w:br w:type="page" w:clear="all"/>
      </w:r>
      <w:bookmarkEnd w:id="187"/>
      <w:r/>
      <w:r/>
    </w:p>
    <w:p>
      <w:pPr>
        <w:jc w:val="center"/>
        <w:spacing w:before="120" w:after="120" w:line="440" w:lineRule="exact"/>
        <w:rPr>
          <w:rFonts w:ascii="黑体" w:hAnsi="黑体" w:eastAsia="黑体"/>
          <w:sz w:val="36"/>
          <w:szCs w:val="36"/>
        </w:rPr>
      </w:pPr>
      <w:r>
        <w:rPr>
          <w:rFonts w:ascii="Calibri" w:hAnsi="Calibri" w:eastAsia="黑体" w:cs="Calibri"/>
          <w:sz w:val="44"/>
          <w:szCs w:val="44"/>
        </w:rPr>
        <w:t xml:space="preserve"> </w:t>
      </w:r>
      <w:r>
        <w:rPr>
          <w:rFonts w:hint="eastAsia" w:ascii="黑体" w:hAnsi="黑体" w:eastAsia="黑体" w:cs="宋体"/>
          <w:sz w:val="44"/>
          <w:szCs w:val="44"/>
        </w:rPr>
        <w:t xml:space="preserve">第四章 采购需求</w:t>
      </w:r>
      <w:bookmarkStart w:id="191" w:name="_Toc120614281"/>
      <w:r/>
      <w:r/>
    </w:p>
    <w:p>
      <w:pPr>
        <w:ind w:firstLine="420"/>
        <w:spacing w:line="440" w:lineRule="exact"/>
        <w:rPr>
          <w:sz w:val="24"/>
          <w:szCs w:val="24"/>
        </w:rPr>
      </w:pPr>
      <w:r>
        <w:rPr>
          <w:rFonts w:hint="eastAsia"/>
          <w:sz w:val="24"/>
          <w:szCs w:val="24"/>
        </w:rPr>
        <w:t xml:space="preserve">核心产品名称：4K</w:t>
      </w:r>
      <w:r>
        <w:rPr>
          <w:sz w:val="24"/>
          <w:szCs w:val="24"/>
        </w:rPr>
        <w:t xml:space="preserve">标准庭审主机</w:t>
      </w:r>
      <w:r/>
    </w:p>
    <w:p>
      <w:pPr>
        <w:ind w:firstLine="480"/>
        <w:spacing w:line="440" w:lineRule="exact"/>
        <w:rPr>
          <w:rFonts w:ascii="宋体"/>
          <w:bCs/>
          <w:sz w:val="24"/>
        </w:rPr>
      </w:pPr>
      <w:r>
        <w:rPr>
          <w:rFonts w:hint="eastAsia"/>
          <w:sz w:val="24"/>
          <w:szCs w:val="24"/>
        </w:rPr>
        <w:t xml:space="preserve">核心产品（主要标的物）数量：3台</w:t>
      </w:r>
      <w:r>
        <w:rPr>
          <w:rFonts w:hint="eastAsia" w:ascii="宋体" w:hAnsi="宋体"/>
          <w:bCs/>
          <w:sz w:val="24"/>
        </w:rPr>
        <w:t xml:space="preserve">。</w:t>
      </w:r>
      <w:r/>
    </w:p>
    <w:p>
      <w:pPr>
        <w:pStyle w:val="695"/>
        <w:jc w:val="both"/>
        <w:spacing w:line="440" w:lineRule="exact"/>
        <w:tabs>
          <w:tab w:val="clear" w:pos="879" w:leader="none"/>
        </w:tabs>
        <w:rPr>
          <w:sz w:val="40"/>
          <w:szCs w:val="36"/>
        </w:rPr>
      </w:pPr>
      <w:r>
        <w:rPr>
          <w:rFonts w:hint="eastAsia"/>
          <w:sz w:val="40"/>
          <w:szCs w:val="36"/>
        </w:rPr>
        <w:t xml:space="preserve">一、项目背景</w:t>
      </w:r>
      <w:r/>
    </w:p>
    <w:p>
      <w:pPr>
        <w:ind w:firstLine="480"/>
        <w:jc w:val="left"/>
        <w:spacing w:line="440" w:lineRule="exact"/>
        <w:widowControl/>
        <w:rPr>
          <w:rFonts w:ascii="宋体" w:hAnsi="宋体"/>
          <w:sz w:val="24"/>
          <w:szCs w:val="28"/>
        </w:rPr>
      </w:pPr>
      <w:r>
        <w:rPr>
          <w:rFonts w:hint="eastAsia" w:ascii="宋体" w:hAnsi="宋体"/>
          <w:sz w:val="24"/>
          <w:szCs w:val="28"/>
        </w:rPr>
        <w:t xml:space="preserve">当前，我国全面推进依法治国进入深水区，大案要案作为法治建设的重要试金石，其审理质量直接关系司法公信力、社会公平正义和国家治理效能。近年来，各类重大刑事、行政、民商事案件频发，部分案件案情复杂、社会影响广泛、涉及利益主体多元，泰州市中级人民法院现有审判资源配置难以完全满足专业化、高效化审理需求，设立大案要案法庭成为司法改革的必然举措。</w:t>
      </w:r>
      <w:r/>
    </w:p>
    <w:p>
      <w:pPr>
        <w:pStyle w:val="695"/>
        <w:jc w:val="both"/>
        <w:spacing w:line="440" w:lineRule="exact"/>
        <w:tabs>
          <w:tab w:val="clear" w:pos="879" w:leader="none"/>
        </w:tabs>
        <w:rPr>
          <w:sz w:val="40"/>
          <w:szCs w:val="36"/>
        </w:rPr>
      </w:pPr>
      <w:r>
        <w:rPr>
          <w:rFonts w:hint="eastAsia"/>
          <w:sz w:val="40"/>
          <w:szCs w:val="36"/>
        </w:rPr>
        <w:t xml:space="preserve">二、项目现状</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目前，泰州市中级人民法院已初步建成覆盖庭审、会议、语音转写及无纸化办公等多场景的信息化支撑体系，核心系统运行稳定，且部分已完成与全国法院“一张网”系统的对接，为后续大案要案审判专用法庭的建设奠定了一定基础。具体现状如下：</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（一）专用法庭功能缺失</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现有法庭及配套系统未针对大案要案设计，缺乏组织指挥区、新闻发布区、医疗保障室等专用场所，难以满足重大案件的安全保障、应急指挥及信息公开需求。</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（二）信息化设施尚不完善</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缺少专用机房、UPS供电、信号屏蔽、身份识别访客管理等关键系统，庭审信息安全及设备连续运行缺乏保障。</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（三）缺乏主备设计</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现有法庭未采用主备形式设计，一旦关键设备或供电发生故障，庭审难以及时恢复，影响审判公信力。</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（四）主要业务系统现状</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1.庭审系统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系统名称：全场景融合庭审系统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建设时间：2024年完成改造</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主要功能：支持跨网开庭、多端实时交互；当事人可通过“云庭审”小程序便捷接入；庭审视频及补充材料自动保存至法院专网。</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对接情况：2025年10月全省法院上线全国法院“一张网”系统后，该系统已完成与“一张网”的对接，实现数据互通与业务协同。</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2.</w:t>
      </w:r>
      <w:r>
        <w:rPr>
          <w:rFonts w:asciiTheme="minorEastAsia" w:hAnsiTheme="minorEastAsia"/>
          <w:sz w:val="24"/>
          <w:szCs w:val="28"/>
        </w:rPr>
        <w:t xml:space="preserve">视频会议系统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系统名称：视频会议系统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部署范围：全省法院统一使用</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运行状态：运行稳定，主要用于远程会议、跨域沟通等场景，具备较好的兼容性和扩展性。</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3.</w:t>
      </w:r>
      <w:r>
        <w:rPr>
          <w:rFonts w:asciiTheme="minorEastAsia" w:hAnsiTheme="minorEastAsia"/>
          <w:sz w:val="24"/>
          <w:szCs w:val="28"/>
        </w:rPr>
        <w:t xml:space="preserve">语音转写系统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系统名称：语音转写软件</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部署范围：审委会会议室及14个普通法庭</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主要功能：实现庭审语音</w:t>
      </w:r>
      <w:r>
        <w:rPr>
          <w:rFonts w:hint="eastAsia" w:asciiTheme="minorEastAsia" w:hAnsiTheme="minorEastAsia"/>
          <w:sz w:val="24"/>
          <w:szCs w:val="28"/>
        </w:rPr>
        <w:t xml:space="preserve">、审委会语音</w:t>
      </w:r>
      <w:r>
        <w:rPr>
          <w:rFonts w:asciiTheme="minorEastAsia" w:hAnsiTheme="minorEastAsia"/>
          <w:sz w:val="24"/>
          <w:szCs w:val="28"/>
        </w:rPr>
        <w:t xml:space="preserve">实时转写为文字，提升庭审记录</w:t>
      </w:r>
      <w:r>
        <w:rPr>
          <w:rFonts w:hint="eastAsia" w:asciiTheme="minorEastAsia" w:hAnsiTheme="minorEastAsia"/>
          <w:sz w:val="24"/>
          <w:szCs w:val="28"/>
        </w:rPr>
        <w:t xml:space="preserve">及审委会记录</w:t>
      </w:r>
      <w:r>
        <w:rPr>
          <w:rFonts w:asciiTheme="minorEastAsia" w:hAnsiTheme="minorEastAsia"/>
          <w:sz w:val="24"/>
          <w:szCs w:val="28"/>
        </w:rPr>
        <w:t xml:space="preserve">效率。</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说明：目前系统运行正常，尚未与“一张网”进行深度整合，但具备接口开放能力。</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4.</w:t>
      </w:r>
      <w:r>
        <w:rPr>
          <w:rFonts w:asciiTheme="minorEastAsia" w:hAnsiTheme="minorEastAsia"/>
          <w:sz w:val="24"/>
          <w:szCs w:val="28"/>
        </w:rPr>
        <w:t xml:space="preserve">无纸化会议系统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系统名称：无纸化会议系统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对接情况：已与“一张网”系统中的审委会模块完成对接</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主要功能：支持审委会会议材料的电子化阅览、批注和归档，系统运行稳定。</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5.</w:t>
      </w:r>
      <w:r>
        <w:rPr>
          <w:rFonts w:asciiTheme="minorEastAsia" w:hAnsiTheme="minorEastAsia"/>
          <w:sz w:val="24"/>
          <w:szCs w:val="28"/>
        </w:rPr>
        <w:t xml:space="preserve">安防监控系统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办公楼监控：于2023年完成改造，采用</w:t>
      </w:r>
      <w:r>
        <w:rPr>
          <w:rFonts w:hint="eastAsia" w:asciiTheme="minorEastAsia" w:hAnsiTheme="minorEastAsia"/>
          <w:sz w:val="24"/>
          <w:szCs w:val="28"/>
        </w:rPr>
        <w:t xml:space="preserve">网络</w:t>
      </w:r>
      <w:r>
        <w:rPr>
          <w:rFonts w:asciiTheme="minorEastAsia" w:hAnsiTheme="minorEastAsia"/>
          <w:sz w:val="24"/>
          <w:szCs w:val="28"/>
        </w:rPr>
        <w:t xml:space="preserve">高清摄像机，通过硬盘录像机（DVR/NVR）存储录像，运行状态良好。</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审判楼监控：于2013年建成，至今未进行改造，使用的是模拟摄像头，图像清晰度低、夜视效果差，且设备老化严重，存在监控盲区和存储故障风险。</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新诉讼服务中心监控：于2018年建成，采用</w:t>
      </w:r>
      <w:r>
        <w:rPr>
          <w:rFonts w:hint="eastAsia" w:asciiTheme="minorEastAsia" w:hAnsiTheme="minorEastAsia"/>
          <w:sz w:val="24"/>
          <w:szCs w:val="28"/>
        </w:rPr>
        <w:t xml:space="preserve">适配监控</w:t>
      </w:r>
      <w:r>
        <w:rPr>
          <w:rFonts w:asciiTheme="minorEastAsia" w:hAnsiTheme="minorEastAsia"/>
          <w:sz w:val="24"/>
          <w:szCs w:val="28"/>
        </w:rPr>
        <w:t xml:space="preserve">平台管理，后端使用磁盘阵列存储录像，系统运行较为稳定。</w:t>
      </w:r>
      <w:r/>
    </w:p>
    <w:p>
      <w:pPr>
        <w:pStyle w:val="695"/>
        <w:jc w:val="both"/>
        <w:spacing w:line="440" w:lineRule="exact"/>
        <w:tabs>
          <w:tab w:val="clear" w:pos="879" w:leader="none"/>
        </w:tabs>
        <w:rPr>
          <w:sz w:val="40"/>
          <w:szCs w:val="36"/>
        </w:rPr>
      </w:pPr>
      <w:r>
        <w:rPr>
          <w:rFonts w:hint="eastAsia"/>
          <w:sz w:val="40"/>
          <w:szCs w:val="36"/>
        </w:rPr>
        <w:t xml:space="preserve">三、建设内容概述</w:t>
      </w:r>
      <w:r/>
    </w:p>
    <w:p>
      <w:pPr>
        <w:pStyle w:val="706"/>
        <w:ind w:firstLine="480"/>
        <w:spacing w:line="440" w:lineRule="exact"/>
        <w:rPr>
          <w:rFonts w:ascii="宋体" w:hAnsi="宋体" w:eastAsia="宋体"/>
          <w:sz w:val="24"/>
          <w:szCs w:val="28"/>
        </w:rPr>
      </w:pPr>
      <w:r>
        <w:rPr>
          <w:rFonts w:hint="eastAsia" w:ascii="宋体" w:hAnsi="宋体" w:eastAsia="宋体"/>
          <w:sz w:val="24"/>
          <w:szCs w:val="28"/>
        </w:rPr>
        <w:t xml:space="preserve">本项目建设内容共包含17个系统，</w:t>
      </w:r>
      <w:r>
        <w:rPr>
          <w:rFonts w:ascii="宋体" w:hAnsi="宋体" w:eastAsia="宋体"/>
          <w:sz w:val="24"/>
          <w:szCs w:val="28"/>
        </w:rPr>
        <w:t xml:space="preserve">按照</w:t>
      </w:r>
      <w:r>
        <w:rPr>
          <w:rFonts w:hint="eastAsia" w:ascii="宋体" w:hAnsi="宋体" w:eastAsia="宋体"/>
          <w:sz w:val="24"/>
          <w:szCs w:val="28"/>
        </w:rPr>
        <w:t xml:space="preserve">技术先进、安全可靠、协调配套、互联互通、实用高效</w:t>
      </w:r>
      <w:r>
        <w:rPr>
          <w:rFonts w:ascii="宋体" w:hAnsi="宋体" w:eastAsia="宋体"/>
          <w:sz w:val="24"/>
          <w:szCs w:val="28"/>
        </w:rPr>
        <w:t xml:space="preserve">的原则</w:t>
      </w:r>
      <w:r>
        <w:rPr>
          <w:rFonts w:hint="eastAsia" w:ascii="宋体" w:hAnsi="宋体" w:eastAsia="宋体"/>
          <w:sz w:val="24"/>
          <w:szCs w:val="28"/>
        </w:rPr>
        <w:t xml:space="preserve">，</w:t>
      </w:r>
      <w:r>
        <w:rPr>
          <w:rFonts w:ascii="宋体" w:hAnsi="宋体" w:eastAsia="宋体"/>
          <w:sz w:val="24"/>
          <w:szCs w:val="28"/>
        </w:rPr>
        <w:t xml:space="preserve">搭建适配</w:t>
      </w:r>
      <w:r>
        <w:rPr>
          <w:rFonts w:hint="eastAsia" w:ascii="宋体" w:hAnsi="宋体" w:eastAsia="宋体"/>
          <w:sz w:val="24"/>
          <w:szCs w:val="28"/>
        </w:rPr>
        <w:t xml:space="preserve">大案要案</w:t>
      </w:r>
      <w:r>
        <w:rPr>
          <w:rFonts w:ascii="宋体" w:hAnsi="宋体" w:eastAsia="宋体"/>
          <w:sz w:val="24"/>
          <w:szCs w:val="28"/>
        </w:rPr>
        <w:t xml:space="preserve">审判业务需求的全冗余、高安全、智慧化一体化法庭智能业务体系，实现大案要案全审判流程数字化闭环管控、全环节智能业务支撑、全维度安全运行保障，保障各类审判活动依法规范、安全有序、高效顺畅开展；同步覆盖多部门联动协同调度、全媒体专业庭审服务、上级机关远程实时监管等多元应用场景，着力打造契合新时代现代化法院建设标准的重大案件智慧审判示范标杆。</w:t>
      </w:r>
      <w:r/>
    </w:p>
    <w:p>
      <w:pPr>
        <w:ind w:firstLine="480"/>
        <w:jc w:val="left"/>
        <w:spacing w:line="440" w:lineRule="exact"/>
        <w:widowControl/>
        <w:rPr>
          <w:sz w:val="24"/>
        </w:rPr>
      </w:pPr>
      <w:r>
        <w:rPr>
          <w:rFonts w:hint="eastAsia" w:ascii="宋体" w:hAnsi="宋体"/>
          <w:sz w:val="24"/>
        </w:rPr>
        <w:t xml:space="preserve">17个</w:t>
      </w:r>
      <w:r>
        <w:rPr>
          <w:rFonts w:hint="eastAsia"/>
          <w:sz w:val="24"/>
        </w:rPr>
        <w:t xml:space="preserve">系统明细如下（项目采购清单见下文设备清单)：</w:t>
      </w:r>
      <w:r/>
    </w:p>
    <w:tbl>
      <w:tblPr>
        <w:tblStyle w:val="70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0"/>
        <w:gridCol w:w="6852"/>
      </w:tblGrid>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名称</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科技法庭系统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庭审辅助设备</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信号屏蔽系统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语音转写和笔录校对系统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显示系统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专用控制室</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综合指挥会议系统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音频扩声系统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中控系统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视频会议系统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安保监控系统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专用机房系统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13</w:t>
            </w:r>
            <w:r/>
          </w:p>
        </w:tc>
        <w:tc>
          <w:tcPr>
            <w:tcW w:w="4020" w:type="pct"/>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网络及网络安全系统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14</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综合布线系统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15</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其他配套保障系统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16</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服务器虚拟化系统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17</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专用UPS供电系统</w:t>
            </w:r>
            <w:r/>
          </w:p>
        </w:tc>
      </w:tr>
    </w:tbl>
    <w:p>
      <w:pPr>
        <w:jc w:val="left"/>
        <w:spacing w:line="440" w:lineRule="exact"/>
        <w:widowControl/>
        <w:rPr>
          <w:sz w:val="24"/>
        </w:rPr>
      </w:pPr>
      <w:r>
        <w:rPr>
          <w:sz w:val="24"/>
        </w:rPr>
      </w:r>
      <w:r/>
    </w:p>
    <w:p>
      <w:pPr>
        <w:spacing w:line="440" w:lineRule="exact"/>
        <w:rPr>
          <w:sz w:val="24"/>
          <w:szCs w:val="24"/>
        </w:rPr>
      </w:pPr>
      <w:r>
        <w:rPr>
          <w:rFonts w:hint="eastAsia"/>
          <w:sz w:val="24"/>
          <w:szCs w:val="24"/>
        </w:rPr>
        <w:t xml:space="preserve">3.1采购项目完工期或交货期及地点</w:t>
      </w:r>
      <w:r/>
    </w:p>
    <w:p>
      <w:pPr>
        <w:ind w:firstLine="420"/>
        <w:spacing w:line="440" w:lineRule="exact"/>
        <w:rPr>
          <w:sz w:val="24"/>
          <w:szCs w:val="24"/>
        </w:rPr>
      </w:pPr>
      <w:r>
        <w:rPr>
          <w:rFonts w:hint="eastAsia"/>
          <w:sz w:val="24"/>
          <w:szCs w:val="24"/>
        </w:rPr>
        <w:t xml:space="preserve">采购项目完工期或交货期：合同签订后105个日历天</w:t>
      </w:r>
      <w:r/>
    </w:p>
    <w:p>
      <w:pPr>
        <w:ind w:firstLine="420"/>
        <w:spacing w:line="440" w:lineRule="exact"/>
        <w:rPr>
          <w:sz w:val="24"/>
          <w:szCs w:val="24"/>
        </w:rPr>
      </w:pPr>
      <w:r>
        <w:rPr>
          <w:rFonts w:hint="eastAsia"/>
          <w:sz w:val="24"/>
          <w:szCs w:val="24"/>
        </w:rPr>
        <w:t xml:space="preserve">采购项目交付或执行的地点：</w:t>
      </w:r>
      <w:r>
        <w:rPr>
          <w:rFonts w:hint="eastAsia" w:ascii="宋体" w:hAnsi="宋体"/>
          <w:color w:val="000000"/>
          <w:sz w:val="24"/>
        </w:rPr>
        <w:t xml:space="preserve">泰州市中级人民法院</w:t>
      </w:r>
      <w:r/>
    </w:p>
    <w:p>
      <w:pPr>
        <w:pStyle w:val="695"/>
        <w:jc w:val="both"/>
        <w:spacing w:line="440" w:lineRule="exact"/>
        <w:rPr>
          <w:sz w:val="40"/>
          <w:szCs w:val="36"/>
        </w:rPr>
      </w:pPr>
      <w:r>
        <w:rPr>
          <w:rFonts w:hint="eastAsia"/>
          <w:sz w:val="40"/>
          <w:szCs w:val="36"/>
        </w:rPr>
        <w:t xml:space="preserve">四、其他服务要求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（一）免费运维</w:t>
      </w:r>
      <w:r>
        <w:rPr>
          <w:rFonts w:hint="eastAsia" w:asciiTheme="minorEastAsia" w:hAnsiTheme="minorEastAsia"/>
          <w:sz w:val="24"/>
          <w:szCs w:val="24"/>
        </w:rPr>
        <w:t xml:space="preserve">及培训</w:t>
      </w:r>
      <w:r>
        <w:rPr>
          <w:rFonts w:asciiTheme="minorEastAsia" w:hAnsiTheme="minorEastAsia"/>
          <w:sz w:val="24"/>
          <w:szCs w:val="24"/>
        </w:rPr>
        <w:t xml:space="preserve">服务</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本项目自最终验收合格之日起，中标人须提供3年免费运维服务（含软件升级、硬件保修、技术支持等全部费用）。</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在免费运维期内至少提供3场原厂现场培训服务。</w:t>
      </w:r>
      <w:r/>
    </w:p>
    <w:p>
      <w:pPr>
        <w:ind w:firstLine="480"/>
        <w:spacing w:line="440" w:lineRule="exact"/>
      </w:pPr>
      <w:r>
        <w:rPr>
          <w:rFonts w:hint="eastAsia" w:asciiTheme="minorEastAsia" w:hAnsiTheme="minorEastAsia"/>
          <w:sz w:val="24"/>
          <w:szCs w:val="24"/>
        </w:rPr>
        <w:t xml:space="preserve">在免费运维期内重大案件审理期间需要提供现场保障服务。</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（二）运维服务级别要求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故障恢复时间：自接到报修后，≤2小时恢复系统正常运行。</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故障复盘要求：每次故障恢复后，中标人须在48小时内提交故障复盘报告，内容包括故障原因、处理过程、改进措施等。</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巡检与文档管理：</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中标人应按合同约定周期（每周/每月/每季度）开展系统巡检，并按时提交巡检报告。各类巡检操作、文档提交的实际完成时间，超出合同约定周期总时长的比例不得超过10%。（例如：月度巡检约定周期为30天，若巡检或提交报告延迟超过3天，即视为不达标。）</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（三）故障响应时间要求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远程支持：提供7×24小时远程技术支持服务。</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现场支持：</w:t>
      </w:r>
      <w:r/>
    </w:p>
    <w:p>
      <w:pPr>
        <w:ind w:firstLine="960"/>
        <w:spacing w:line="440" w:lineRule="exact"/>
        <w:rPr>
          <w:rFonts w:asciiTheme="minorEastAsia" w:hAnsiTheme="minorEastAsia"/>
          <w:sz w:val="24"/>
          <w:szCs w:val="24"/>
        </w:rPr>
      </w:pPr>
      <w:r>
        <w:rPr>
          <w:rFonts w:asciiTheme="minorEastAsia" w:hAnsiTheme="minorEastAsia"/>
          <w:sz w:val="24"/>
          <w:szCs w:val="24"/>
        </w:rPr>
        <w:t xml:space="preserve">响应时间：接到现场支持请求后0.5小时内响应。</w:t>
      </w:r>
      <w:r/>
    </w:p>
    <w:p>
      <w:pPr>
        <w:ind w:firstLine="960"/>
        <w:spacing w:line="440" w:lineRule="exact"/>
        <w:rPr>
          <w:rFonts w:asciiTheme="minorEastAsia" w:hAnsiTheme="minorEastAsia"/>
          <w:sz w:val="24"/>
          <w:szCs w:val="24"/>
        </w:rPr>
      </w:pPr>
      <w:r>
        <w:rPr>
          <w:rFonts w:asciiTheme="minorEastAsia" w:hAnsiTheme="minorEastAsia"/>
          <w:sz w:val="24"/>
          <w:szCs w:val="24"/>
        </w:rPr>
        <w:t xml:space="preserve">到达时间：2小时内到达泰州市中级人民法院现场。</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（四）系统集成与兼容要求（</w:t>
      </w:r>
      <w:r>
        <w:rPr>
          <w:rFonts w:cs="Segoe UI Symbol" w:asciiTheme="minorEastAsia" w:hAnsiTheme="minorEastAsia"/>
          <w:sz w:val="24"/>
          <w:szCs w:val="24"/>
        </w:rPr>
        <w:t xml:space="preserve">★</w:t>
      </w:r>
      <w:r>
        <w:rPr>
          <w:rFonts w:asciiTheme="minorEastAsia" w:hAnsiTheme="minorEastAsia"/>
          <w:sz w:val="24"/>
          <w:szCs w:val="24"/>
        </w:rPr>
        <w:t xml:space="preserve">关键条款）</w:t>
      </w:r>
      <w:r/>
    </w:p>
    <w:p>
      <w:pPr>
        <w:ind w:firstLine="480"/>
        <w:spacing w:line="440" w:lineRule="exact"/>
        <w:rPr>
          <w:rFonts w:asciiTheme="minorEastAsia" w:hAnsiTheme="minorEastAsia"/>
          <w:sz w:val="24"/>
          <w:szCs w:val="24"/>
        </w:rPr>
      </w:pPr>
      <w:r>
        <w:rPr>
          <w:rFonts w:hint="eastAsia" w:cs="Segoe UI Symbol" w:asciiTheme="minorEastAsia" w:hAnsiTheme="minorEastAsia"/>
          <w:sz w:val="24"/>
          <w:szCs w:val="24"/>
        </w:rPr>
        <w:t xml:space="preserve">1.</w:t>
      </w:r>
      <w:r>
        <w:rPr>
          <w:rFonts w:cs="Segoe UI Symbol" w:asciiTheme="minorEastAsia" w:hAnsiTheme="minorEastAsia"/>
          <w:sz w:val="24"/>
          <w:szCs w:val="24"/>
        </w:rPr>
        <w:t xml:space="preserve">★</w:t>
      </w:r>
      <w:r>
        <w:rPr>
          <w:rFonts w:asciiTheme="minorEastAsia" w:hAnsiTheme="minorEastAsia"/>
          <w:sz w:val="24"/>
          <w:szCs w:val="24"/>
        </w:rPr>
        <w:t xml:space="preserve">系统集成与兼容要求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大要案法庭建设中需新增或升级相关系统，必须确保与泰州市中级人民法院现有庭审系统、视频会议系统、语音转写系统、无纸化会议（审委会）系统、安防监控系统实现互联互通，其中庭审系统、无纸化会议（审委会）系统需对接全国法院“</w:t>
      </w:r>
      <w:r>
        <w:rPr>
          <w:rFonts w:asciiTheme="minorEastAsia" w:hAnsiTheme="minorEastAsia"/>
          <w:sz w:val="24"/>
          <w:szCs w:val="24"/>
        </w:rPr>
        <w:t xml:space="preserve">一张网”系统，避免形成信息孤岛；视频会议系统须无缝接入全省法院视频会议平台，实现与省高院及省内各中院的音视频双向互通、双流共享及统一会控；语音转写系统须与我院现有庭审系统、无纸化会议系统无缝对接，纳入统一管理平台，确保数据互联互通；安防监控系统新建安防管理平台须兼容ONVIF、GB/T 28181等标准协议，将我院历年分批建设的各品牌摄像头及录像设备统一纳管至同一界面，实现集中预览、录像调取和报警联动。平台须支持新旧设备混合组网运行，不得因升级淘汰任何尚可使用的既有设备，确保改造期间原安防系统独立正常运行。</w:t>
      </w:r>
      <w:r/>
    </w:p>
    <w:p>
      <w:pPr>
        <w:ind w:firstLine="482"/>
        <w:spacing w:line="440" w:lineRule="exact"/>
        <w:rPr>
          <w:rFonts w:asciiTheme="minorEastAsia" w:hAnsiTheme="minorEastAsia"/>
          <w:b/>
          <w:bCs/>
          <w:sz w:val="24"/>
          <w:szCs w:val="24"/>
        </w:rPr>
      </w:pPr>
      <w:r>
        <w:rPr>
          <w:rFonts w:hint="eastAsia" w:asciiTheme="minorEastAsia" w:hAnsiTheme="minorEastAsia"/>
          <w:b/>
          <w:bCs/>
          <w:sz w:val="24"/>
          <w:szCs w:val="24"/>
        </w:rPr>
        <w:t xml:space="preserve">2.</w:t>
      </w:r>
      <w:r>
        <w:rPr>
          <w:rFonts w:asciiTheme="minorEastAsia" w:hAnsiTheme="minorEastAsia"/>
          <w:b/>
          <w:bCs/>
          <w:sz w:val="24"/>
          <w:szCs w:val="24"/>
        </w:rPr>
        <w:t xml:space="preserve">投标人须提供承诺函，格式自拟，加盖公章，否则投标无效。</w:t>
      </w:r>
      <w:r/>
    </w:p>
    <w:p>
      <w:pPr>
        <w:spacing w:line="440" w:lineRule="exact"/>
        <w:rPr>
          <w:rFonts w:asciiTheme="minorEastAsia" w:hAnsiTheme="minorEastAsia"/>
          <w:sz w:val="24"/>
          <w:szCs w:val="24"/>
        </w:rPr>
      </w:pPr>
      <w:r>
        <w:rPr>
          <w:rFonts w:asciiTheme="minorEastAsia" w:hAnsiTheme="minorEastAsia"/>
          <w:sz w:val="24"/>
          <w:szCs w:val="24"/>
        </w:rPr>
        <w:t xml:space="preserve">（五）项目团队与人员管理</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驻场服务要求</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中标人须在项目验收</w:t>
      </w:r>
      <w:r>
        <w:rPr>
          <w:rFonts w:hint="eastAsia" w:asciiTheme="minorEastAsia" w:hAnsiTheme="minorEastAsia"/>
          <w:sz w:val="24"/>
          <w:szCs w:val="24"/>
        </w:rPr>
        <w:t xml:space="preserve">合格</w:t>
      </w:r>
      <w:r>
        <w:rPr>
          <w:rFonts w:asciiTheme="minorEastAsia" w:hAnsiTheme="minorEastAsia"/>
          <w:sz w:val="24"/>
          <w:szCs w:val="24"/>
        </w:rPr>
        <w:t xml:space="preserve">后</w:t>
      </w:r>
      <w:r>
        <w:rPr>
          <w:rFonts w:hint="eastAsia" w:asciiTheme="minorEastAsia" w:hAnsiTheme="minorEastAsia"/>
          <w:sz w:val="24"/>
          <w:szCs w:val="24"/>
        </w:rPr>
        <w:t xml:space="preserve">免费</w:t>
      </w:r>
      <w:r>
        <w:rPr>
          <w:rFonts w:asciiTheme="minorEastAsia" w:hAnsiTheme="minorEastAsia"/>
          <w:sz w:val="24"/>
          <w:szCs w:val="24"/>
        </w:rPr>
        <w:t xml:space="preserve">提供不少于1年的驻场服务，驻场人员为2名。</w:t>
      </w:r>
      <w:r/>
    </w:p>
    <w:p>
      <w:pPr>
        <w:ind w:left="420"/>
        <w:spacing w:line="440" w:lineRule="exact"/>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驻场人员应具备以下条件：</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具有本项目同类信息化系统的运维经验；</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熟悉法院工作流程及保密要求；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经泰州市中级人民法院</w:t>
      </w:r>
      <w:r>
        <w:rPr>
          <w:rFonts w:hint="eastAsia" w:asciiTheme="minorEastAsia" w:hAnsiTheme="minorEastAsia"/>
          <w:sz w:val="24"/>
          <w:szCs w:val="24"/>
        </w:rPr>
        <w:t xml:space="preserve">相关职能部门</w:t>
      </w:r>
      <w:r>
        <w:rPr>
          <w:rFonts w:asciiTheme="minorEastAsia" w:hAnsiTheme="minorEastAsia"/>
          <w:sz w:val="24"/>
          <w:szCs w:val="24"/>
        </w:rPr>
        <w:t xml:space="preserve">认可后方可进场。</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驻场人员的工作内容包括但不限于：系统日常巡检、故障处理、用户培训、协助庭审保障、配合上级法院大要案保障任务等。</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4.</w:t>
      </w:r>
      <w:r>
        <w:rPr>
          <w:rFonts w:asciiTheme="minorEastAsia" w:hAnsiTheme="minorEastAsia"/>
          <w:sz w:val="24"/>
          <w:szCs w:val="24"/>
        </w:rPr>
        <w:t xml:space="preserve">项目团队稳定性要求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为保证交付质量，项目实施过程中不得擅自更换项目团队成员。确需更换的，须向泰州市中级人民法院提出书面申请，经同意后方可实施。更换后的人员资质、项目经验及技术水平不得低于更换前。</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5.</w:t>
      </w:r>
      <w:r>
        <w:rPr>
          <w:rFonts w:asciiTheme="minorEastAsia" w:hAnsiTheme="minorEastAsia"/>
          <w:sz w:val="24"/>
          <w:szCs w:val="24"/>
        </w:rPr>
        <w:t xml:space="preserve">保密要求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所有参与本项目的服务人员须严格遵守《中华人民共和国保守国家秘密法》及法院有关保密制度，接受背景审查，并签订保密协议。未经法院书面许可，不得以任何形式泄露、复制、传播与本项目相关的任何信息。</w:t>
      </w:r>
      <w:r/>
    </w:p>
    <w:p>
      <w:pPr>
        <w:spacing w:line="440" w:lineRule="exact"/>
        <w:rPr>
          <w:rFonts w:asciiTheme="minorEastAsia" w:hAnsiTheme="minorEastAsia"/>
          <w:sz w:val="24"/>
          <w:szCs w:val="24"/>
        </w:rPr>
      </w:pPr>
      <w:r>
        <w:rPr>
          <w:rFonts w:asciiTheme="minorEastAsia" w:hAnsiTheme="minorEastAsia"/>
          <w:sz w:val="24"/>
          <w:szCs w:val="24"/>
        </w:rPr>
        <w:t xml:space="preserve">（六）其他通用要求</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本项目所有服务工作须严格按照国家、江苏省及泰州市有关技术规范、规程和规定执行。</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中标人应严格遵循政府采购项目要求，从严约束工作内容，不得随意变更或缩减服务范围。</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中标人应按照服务工作程序，秉持“独立、公正、公平”的原则处理项目服务的一切事务。</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4.</w:t>
      </w:r>
      <w:r>
        <w:rPr>
          <w:rFonts w:asciiTheme="minorEastAsia" w:hAnsiTheme="minorEastAsia"/>
          <w:sz w:val="24"/>
          <w:szCs w:val="24"/>
        </w:rPr>
        <w:t xml:space="preserve">中标人应自觉接受项目相关主管部门的监督，认真履行服务合同各项义务，妥善处理各方意见，做好服务工作。</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5.</w:t>
      </w:r>
      <w:r>
        <w:rPr>
          <w:rFonts w:asciiTheme="minorEastAsia" w:hAnsiTheme="minorEastAsia"/>
          <w:sz w:val="24"/>
          <w:szCs w:val="24"/>
        </w:rPr>
        <w:t xml:space="preserve">中标人应做好项目施工、验收等阶段的伴随服务（包括但不限于现场指导、操作培训、文档移交等），确保服务工作善始善终。</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6.</w:t>
      </w:r>
      <w:r>
        <w:rPr>
          <w:rFonts w:asciiTheme="minorEastAsia" w:hAnsiTheme="minorEastAsia"/>
          <w:sz w:val="24"/>
          <w:szCs w:val="24"/>
        </w:rPr>
        <w:t xml:space="preserve">中标人须严格按照国家及泰州市中级人民法院有关保密要求开展服务工作。</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7.</w:t>
      </w:r>
      <w:r>
        <w:rPr>
          <w:rFonts w:asciiTheme="minorEastAsia" w:hAnsiTheme="minorEastAsia"/>
          <w:sz w:val="24"/>
          <w:szCs w:val="24"/>
        </w:rPr>
        <w:t xml:space="preserve">如因上级政策调整，导致本服务需求与新的文件政策相违背，则按新的文件政策执行。</w:t>
      </w:r>
      <w:r/>
    </w:p>
    <w:p>
      <w:pPr>
        <w:ind w:firstLine="480"/>
        <w:spacing w:line="440" w:lineRule="exact"/>
        <w:rPr>
          <w:rFonts w:asciiTheme="minorEastAsia" w:hAnsiTheme="minorEastAsia"/>
          <w:sz w:val="24"/>
          <w:szCs w:val="24"/>
        </w:rPr>
      </w:pPr>
      <w:r/>
      <w:bookmarkStart w:id="192" w:name="OLE_LINK1"/>
      <w:r>
        <w:rPr>
          <w:rFonts w:hint="eastAsia" w:asciiTheme="minorEastAsia" w:hAnsiTheme="minorEastAsia"/>
          <w:sz w:val="24"/>
          <w:szCs w:val="24"/>
        </w:rPr>
        <w:t xml:space="preserve">8.</w:t>
      </w:r>
      <w:r>
        <w:rPr>
          <w:rFonts w:asciiTheme="minorEastAsia" w:hAnsiTheme="minorEastAsia"/>
          <w:sz w:val="24"/>
          <w:szCs w:val="24"/>
        </w:rPr>
        <w:t xml:space="preserve">投标人报价时需综合考虑完成系统搭建所需的全部辅材、调试及施工费用</w:t>
      </w:r>
      <w:r>
        <w:rPr>
          <w:rFonts w:hint="eastAsia" w:asciiTheme="minorEastAsia" w:hAnsiTheme="minorEastAsia"/>
          <w:sz w:val="24"/>
          <w:szCs w:val="24"/>
        </w:rPr>
        <w:t xml:space="preserve">等</w:t>
      </w:r>
      <w:r>
        <w:rPr>
          <w:rFonts w:asciiTheme="minorEastAsia" w:hAnsiTheme="minorEastAsia"/>
          <w:sz w:val="24"/>
          <w:szCs w:val="24"/>
        </w:rPr>
        <w:t xml:space="preserve">，采购清单中未列出但为实现系统完整功能所必需的配套材料，均视为已包含在投标总价中</w:t>
      </w:r>
      <w:r>
        <w:rPr>
          <w:rFonts w:hint="eastAsia" w:asciiTheme="minorEastAsia" w:hAnsiTheme="minorEastAsia"/>
          <w:sz w:val="24"/>
          <w:szCs w:val="24"/>
        </w:rPr>
        <w:t xml:space="preserve">，采购人不额外承担其他费用。</w:t>
      </w:r>
      <w:bookmarkEnd w:id="192"/>
      <w:r/>
      <w:r/>
    </w:p>
    <w:p>
      <w:pPr>
        <w:ind w:firstLine="480"/>
        <w:spacing w:line="440" w:lineRule="exact"/>
        <w:rPr>
          <w:rFonts w:asciiTheme="minorEastAsia" w:hAnsiTheme="minorEastAsia"/>
          <w:sz w:val="24"/>
          <w:szCs w:val="24"/>
        </w:rPr>
      </w:pPr>
      <w:r>
        <w:rPr>
          <w:rFonts w:asciiTheme="minorEastAsia" w:hAnsiTheme="minorEastAsia"/>
          <w:sz w:val="24"/>
          <w:szCs w:val="24"/>
        </w:rPr>
      </w:r>
      <w:r/>
    </w:p>
    <w:p>
      <w:pPr>
        <w:ind w:firstLine="480"/>
        <w:spacing w:line="440" w:lineRule="exact"/>
        <w:rPr>
          <w:rFonts w:asciiTheme="minorEastAsia" w:hAnsiTheme="minorEastAsia"/>
          <w:sz w:val="24"/>
          <w:szCs w:val="24"/>
        </w:rPr>
      </w:pPr>
      <w:r>
        <w:rPr>
          <w:rFonts w:asciiTheme="minorEastAsia" w:hAnsiTheme="minorEastAsia"/>
          <w:sz w:val="24"/>
          <w:szCs w:val="24"/>
        </w:rPr>
      </w:r>
      <w:r/>
    </w:p>
    <w:p>
      <w:pPr>
        <w:pStyle w:val="745"/>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
    </w:p>
    <w:p>
      <w:pPr>
        <w:pStyle w:val="695"/>
        <w:jc w:val="both"/>
        <w:spacing w:line="440" w:lineRule="exact"/>
        <w:tabs>
          <w:tab w:val="clear" w:pos="879" w:leader="none"/>
        </w:tabs>
        <w:rPr>
          <w:sz w:val="40"/>
          <w:szCs w:val="36"/>
        </w:rPr>
      </w:pPr>
      <w:r>
        <w:rPr>
          <w:rFonts w:hint="eastAsia"/>
          <w:sz w:val="40"/>
          <w:szCs w:val="36"/>
        </w:rPr>
        <w:t xml:space="preserve">五、建设清单</w:t>
      </w:r>
      <w:r/>
    </w:p>
    <w:p>
      <w:pPr>
        <w:spacing w:line="440" w:lineRule="exact"/>
      </w:pPr>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91"/>
        <w:gridCol w:w="426"/>
        <w:gridCol w:w="405"/>
        <w:gridCol w:w="6398"/>
        <w:gridCol w:w="567"/>
        <w:gridCol w:w="434"/>
      </w:tblGrid>
      <w:tr>
        <w:trPr>
          <w:trHeight w:val="3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4K会议摄像机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1、图像传感器 1/2.8英寸高品质CMOS传感器</w:t>
              <w:br/>
              <w:t xml:space="preserve">2、有效像素不低于851M、16：9  </w:t>
              <w:br/>
              <w:t xml:space="preserve">3、镜头光学变倍不低于12倍光学变焦</w:t>
              <w:br/>
              <w:t xml:space="preserve">4、光圈系数 F1.6 ～ F2.8±5%</w:t>
              <w:br/>
              <w:t xml:space="preserve">5、最低照度 0.5Lux(F1.8, AGC ON)</w:t>
              <w:br/>
              <w:t xml:space="preserve">6、视频输出接口 HDMI、SDI、LAN、USB3.0</w:t>
              <w:br/>
              <w:t xml:space="preserve">7、视频压缩格式 LAN接口支持：H.264、H.265</w:t>
              <w:br/>
              <w:t xml:space="preserve">8、音频输入接口双声道3.5mm线性输入</w:t>
              <w:br/>
              <w:t xml:space="preserve">9、音频压缩格式AAC、MP3、G.711A</w:t>
              <w:br/>
              <w:t xml:space="preserve">10、网络接口10M/100M/1000M自适应以太网口，支持POE供电，支</w:t>
            </w:r>
            <w:r>
              <w:rPr>
                <w:rFonts w:ascii="SimSun" w:hAnsi="SimSun" w:eastAsia="SimSun" w:cs="SimSun"/>
                <w:color w:val="000000"/>
                <w:sz w:val="24"/>
              </w:rPr>
              <w:t xml:space="preserve">持音视频输出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庭审数字音频处理器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w:t>
              <w:br/>
              <w:t xml:space="preserve">2.持远程控制通道开关和音量大小；</w:t>
              <w:br/>
              <w:t xml:space="preserve">3.支持话筒输入信号；</w:t>
              <w:br/>
              <w:t xml:space="preserve">4.数字音频处理器核心处理平台提供半开放式架构，开放式用户管理界面，提供24BIT/48kHz高清音频采样处理；</w:t>
              <w:br/>
              <w:t xml:space="preserve">5.数字音频处理器采用专业连接器作为输入输出通道连接使用。所有音频输入通道具备幻象供电功能，可以对话筒提供48v幻象供电；</w:t>
              <w:br/>
              <w:t xml:space="preserve">6.支持不少于16通道PCM音频流传输；</w:t>
              <w:br/>
              <w:t xml:space="preserve">7.支持不少于16通道模拟输入和16通道模式输出；</w:t>
              <w:br/>
              <w:t xml:space="preserve">8.支持全双工回声消除、降噪、声反馈、音频路由分配、音频延时处理、矩阵混音器、自动</w:t>
            </w:r>
            <w:r>
              <w:rPr>
                <w:rFonts w:ascii="SimSun" w:hAnsi="SimSun" w:eastAsia="SimSun" w:cs="SimSun"/>
                <w:color w:val="000000"/>
                <w:sz w:val="24"/>
              </w:rPr>
              <w:t xml:space="preserve">增益控制；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4K标准庭审主机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硬件参数：</w:t>
              <w:br/>
              <w:t xml:space="preserve">1.机箱结构：背板插拔式，板卡模块化设计。</w:t>
              <w:br/>
              <w:t xml:space="preserve">2.音频输入：≥12路MIC（支持线路切换）、6路立体声、3路远程提讯解码输入、1路HDMI输入内嵌分离音频输入。</w:t>
              <w:br/>
              <w:t xml:space="preserve">3.音频输出：≥8路平衡输出、1路音频录制、3路远程提讯编码输出。</w:t>
              <w:br/>
              <w:t xml:space="preserve">4.视频输入：≥4个板卡槽位，单卡4路。支持HDMI、DVI-I、SDI、VGA、HDBaseT。</w:t>
              <w:br/>
              <w:t xml:space="preserve">HDMI/HDBaseT 支持4K(3840X2160@30)输入。</w:t>
              <w:br/>
              <w:t xml:space="preserve">5.视频输出：≥4个板卡槽位，单卡4路。支持HDMI、DVI-I、SDI、VGA、HDBaseT。</w:t>
              <w:br/>
              <w:t xml:space="preserve">H</w:t>
            </w:r>
            <w:r>
              <w:rPr>
                <w:rFonts w:ascii="SimSun" w:hAnsi="SimSun" w:eastAsia="SimSun" w:cs="SimSun"/>
                <w:color w:val="000000"/>
                <w:sz w:val="24"/>
              </w:rPr>
              <w:t xml:space="preserve">DMI和HDBaseT 支持4K(3840X2160@30)输出;具备单图层拼接功能。</w:t>
              <w:br/>
              <w:t xml:space="preserve">6.网络：不少于1路主控RJ45网口，1路Dante RJ45网口。</w:t>
              <w:br/>
              <w:t xml:space="preserve">软件参数：</w:t>
              <w:br/>
              <w:t xml:space="preserve">1.编解算法：H.265，H.264(HP/MP/BP)。</w:t>
              <w:br/>
              <w:t xml:space="preserve">2.编码分辨率：4K(3840×2160)、1080P、1920x1200、720P，向下兼容。</w:t>
              <w:br/>
              <w:t xml:space="preserve">3.解码分辨率：4K(3840×2160)、1080P、1920x1200、720P，向下兼容。</w:t>
              <w:br/>
              <w:t xml:space="preserve">4.画面合成：3路合成画面：主合成画面 ,语音激励独立画面，远程提讯合成画面。</w:t>
              <w:br/>
              <w:t xml:space="preserve">主合成</w:t>
            </w:r>
            <w:r>
              <w:rPr>
                <w:rFonts w:ascii="SimSun" w:hAnsi="SimSun" w:eastAsia="SimSun" w:cs="SimSun"/>
                <w:color w:val="000000"/>
                <w:sz w:val="24"/>
              </w:rPr>
              <w:t xml:space="preserve">画面分辨率最高支持4K (3840X 2160)。</w:t>
              <w:br/>
              <w:t xml:space="preserve">5.音频编解码：G.711A、G.711U、AAC-LC、OPUS。</w:t>
              <w:br/>
              <w:t xml:space="preserve">▲6.语音激励：支持设置MIC语音激励调取摄像机画面、导播特写。支持PC图像运动检测跟踪。并可设置语音激励优先级、发码延时间隔的调节。语音激励关系支持保存为预案场景。（需提供具备CMA或CNAS资质的第三方检测机构出具的检测报告）</w:t>
              <w:br/>
              <w:t xml:space="preserve">▲7.远程提审：支持H.323、SIP协议。支持主机与主机、主机与第三方视频会议终端对接、主机与移动通讯终端对接，实现音视频远程提审。（需提供具备CMA或CN</w:t>
            </w:r>
            <w:r>
              <w:rPr>
                <w:rFonts w:ascii="SimSun" w:hAnsi="SimSun" w:eastAsia="SimSun" w:cs="SimSun"/>
                <w:color w:val="000000"/>
                <w:sz w:val="24"/>
              </w:rPr>
              <w:t xml:space="preserve">AS资质的第三方检测机构出具的检测报告）</w:t>
              <w:br/>
              <w:t xml:space="preserve">▲8.刻录加密：支持刻录光盘加密功能，加密后的光盘自动播放时需使用专用播放器输入正确密码后才能查看和播放光盘内的音视频及附件；支持对光盘进行数字加密，生成唯一不可修改加密序列号，需要检验密码才能查看光盘内录像文件，支持防擦写。（需提供具备CMA或CNAS资质的第三方检测机构出具的检测报告）</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DengXian" w:hAnsi="DengXian" w:eastAsia="DengXian" w:cs="DengXian"/>
                <w:color w:val="000000"/>
                <w:sz w:val="21"/>
              </w:rPr>
              <w:t xml:space="preserve"> </w:t>
            </w:r>
            <w:r>
              <w:rPr>
                <w:rFonts w:ascii="SimSun" w:hAnsi="SimSun" w:eastAsia="SimSun" w:cs="SimSun"/>
                <w:color w:val="000000"/>
                <w:sz w:val="24"/>
              </w:rPr>
              <w:t xml:space="preserve">中标供应商在签订合同前或供货时，须向采购人提供核心产品（4K标准庭审主机）的原厂授权函及售后服务承诺函。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庭审主机终端软件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1.视频编码：H.265，H.264(HP/MP/BP)</w:t>
              <w:br/>
              <w:t xml:space="preserve">编码分辨率: 1920x1200，1280x800，1440x900，1366x768，1280x1024，1024x768，800x600、3840*2160【4K】</w:t>
              <w:br/>
              <w:t xml:space="preserve">码率： 32kbps～16Mbps</w:t>
              <w:br/>
              <w:t xml:space="preserve">2.画面合成：多画面 2路合成画面，多种合成模式</w:t>
              <w:br/>
              <w:t xml:space="preserve">3.音频编解：G.711A、G.711U、AAC-LC</w:t>
              <w:br/>
              <w:t xml:space="preserve">4.录播应用：录制10路同时存储，多任务多模式录制方式</w:t>
              <w:br/>
              <w:t xml:space="preserve">回放：切换至任一输出实现音视频回放</w:t>
              <w:br/>
              <w:t xml:space="preserve">合成布局：1/2/3/4/5/6/7/8 共23种</w:t>
            </w:r>
            <w:r>
              <w:rPr>
                <w:rFonts w:ascii="SimSun" w:hAnsi="SimSun" w:eastAsia="SimSun" w:cs="SimSun"/>
                <w:color w:val="000000"/>
                <w:sz w:val="24"/>
              </w:rPr>
              <w:br/>
              <w:t xml:space="preserve">5.视频会议：互动协议 RTSP/H.323/SIP/RTMP</w:t>
              <w:br/>
              <w:t xml:space="preserve">内置MCU，4点1080P30 MCU</w:t>
              <w:br/>
              <w:t xml:space="preserve">6.需提供相应软件的软件著作权登记证书复印件。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庭审流媒体服务器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CPU：不低于48核*2，主频≥2.6GHz，满足安全可靠测评需求； </w:t>
              <w:br/>
              <w:t xml:space="preserve">内存：不低于通用内存-DDR4 RDIMM-128GB；  </w:t>
              <w:br/>
              <w:t xml:space="preserve">硬盘：不少于480 SATA SSD*2；</w:t>
              <w:br/>
              <w:t xml:space="preserve">数据盘：不少于10T </w:t>
            </w:r>
            <w:r/>
          </w:p>
          <w:p>
            <w:pPr>
              <w:ind w:left="0" w:right="0" w:firstLine="0"/>
              <w:jc w:val="left"/>
              <w:spacing w:before="200" w:after="20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2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音视频统一调度平台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1.平台架构：平台应采用服务化、弹性架构，支持多服务器节点灵活组网，具备高性能、高并发和高可靠性。</w:t>
              <w:br/>
              <w:t xml:space="preserve">2.多级级联组网：平台应支持多节点组网，节点之间可建立上下层级关系，并按照用户行政隶属关系划分层级。整体架构应支持多级纵向级联及横向扩展，能够满足用户对未来接入节点和用户规模扩展的需求。</w:t>
              <w:br/>
              <w:t xml:space="preserve">3.资源统一管理：平台应建立统一的资源管理体系，将全网视频资源对象（如上级域、下级域、组织机构、设备、通道、资源等）进行统一编目和管理，每种资源在全网内具备唯一标识。支持多级平台间的资源数据同步机制，确保各级平台资源数据的一</w:t>
            </w:r>
            <w:r>
              <w:rPr>
                <w:rFonts w:ascii="SimSun" w:hAnsi="SimSun" w:eastAsia="SimSun" w:cs="SimSun"/>
                <w:color w:val="000000"/>
                <w:sz w:val="24"/>
              </w:rPr>
              <w:t xml:space="preserve">致性。</w:t>
              <w:br/>
              <w:t xml:space="preserve">4.媒体处理性能：流媒体服务应具备高性能、高并发处理能力，端到端音视频延迟≤500ms（常规网络），支持大规模并发接入，具备高可靠性和可扩展性。</w:t>
              <w:br/>
              <w:t xml:space="preserve">5.移动终端接入：支持多类型移动终端（含智能手机）码流采集与传输，支持全频带语音处理，兼容主流手机终端操作系统；具备网络自适应能力，在移动网络环境下能够根据网络状况自动调整编码码率，达到良好的延迟和流畅度平衡。</w:t>
              <w:br/>
              <w:t xml:space="preserve">6.网络自适应：具备复杂网络自适应能力，支持抖动缓冲、前向纠错（FEC）、丢帧补偿等抗弱网机制。在最高30%网络丢包率下，仍能保证语音清晰连续、视</w:t>
            </w:r>
            <w:r>
              <w:rPr>
                <w:rFonts w:ascii="SimSun" w:hAnsi="SimSun" w:eastAsia="SimSun" w:cs="SimSun"/>
                <w:color w:val="000000"/>
                <w:sz w:val="24"/>
              </w:rPr>
              <w:t xml:space="preserve">频流畅无卡顿；在最高55%网络丢包率下，保证语音清晰可懂。</w:t>
              <w:br/>
              <w:t xml:space="preserve">7.语音前处理：具备完整语音前处理能力，包括声学回声消除（AEC）、噪声抑制（NS）、自动增益控制（AGC），确保在不同声学环境下均能提供清晰流畅的语音通话体验。</w:t>
              <w:br/>
              <w:t xml:space="preserve">8.跨平台兼容性：系统服务端应支持Linux、Windows等主流服务器操作系统部署；客户端应支持主流桌面操作系统及移动操作系统。</w:t>
              <w:br/>
              <w:t xml:space="preserve">9.安全可靠测评要求：平台应支持在信创环境下部署，CPU、操作系统应符合安全可靠测评要求。</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10.标准协议兼容：平台应支持GB/T 28181等国家及行业标准协议，支持与符合标准的视频监控系统互联对接，实现视频资源的统一汇聚与调度。</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11.▲兼容江苏省内监狱、看守所现有远程减刑假释、远程提讯系统； （提供承诺函，加盖投标人公章）</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12.需支持和跨网音视频通道的对接，实现互联网、法庭、监狱、看守所跨网域场景的无缝衔接。</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需支持从法庭内音视频设备（如摄像头、话筒、数字音频处理器、音视频编码器等）、互联网端、监狱、看守所端等音视频源获取RTSP音视频流。</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14.需支持向法庭内音视频设备（如显示大屏、音视频解码器等）、互联网端、监狱、看守所端等推送RTSP音视频流，推送的音视频流分辨率可自定义。</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▲15.需提供相应软件的软件著作权登记证书复印件。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智慧庭审终端（法官席位）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CPU：不低于8核， 主频≥2.7GHz，满足安全可靠测评需求</w:t>
              <w:br/>
              <w:t xml:space="preserve">系统：满足安全可靠测评需求</w:t>
              <w:br/>
              <w:t xml:space="preserve">系统内存：≥16GB</w:t>
              <w:br/>
              <w:t xml:space="preserve">硬盘：≥256GB</w:t>
              <w:br/>
              <w:t xml:space="preserve">尺寸：不小于29寸</w:t>
              <w:br/>
              <w:t xml:space="preserve">分辨率：不低于1920*1080@60Hz，支持触屏</w:t>
            </w:r>
            <w:r/>
          </w:p>
          <w:p>
            <w:pPr>
              <w:ind w:left="0" w:right="0" w:firstLine="0"/>
              <w:jc w:val="left"/>
              <w:spacing w:before="200" w:after="20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智慧庭审终端（当事人席位）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CPU：不低于8核， 主频≥2.7GHz，满足安全可靠测评需求；</w:t>
              <w:br/>
              <w:t xml:space="preserve">操作系统：满足安全可靠测评需求</w:t>
              <w:br/>
              <w:t xml:space="preserve">系统内存：≥16GB</w:t>
              <w:br/>
              <w:t xml:space="preserve">硬盘：≥256GB</w:t>
              <w:br/>
              <w:t xml:space="preserve">尺寸：不小于29寸</w:t>
              <w:br/>
              <w:t xml:space="preserve">分辨率：不低于1920*1080@60Hz，支持触屏</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提供3年硬盘不返还服务</w:t>
              <w:br/>
              <w:t xml:space="preserve">可视角度178°，调节角度角度调节范围100度(与桌面垂直)至180度，上下调节范围:0~100mm                                               </w:t>
              <w:br/>
              <w:t xml:space="preserve">支持身份证识别仪和指纹采集、高拍仪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智慧终端系统软件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1.支持泛终端应用，可支持PC电脑、笔记本电脑、智能手机、Pad、一体化终端。</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2.支持终端自检功能，可检测设备是否满足参与庭审需要。</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3.支持全场景庭审同屏展示：笔录展示区、法官阅卷区、质证交互区、视频交互等。</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4.视音频传输：系统支持音视频跨网传输，并且通过安全隔离技术保证数据安全性，支持庭审画面同步展示。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5.笔录展示：笔录同步展示，支持文本传输及书记员屏幕分享两种方式实时展示。</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6.质证控制：支持画笔、直线、批注、擦除、清空、颜色等标绘方式；同时支持旋转、放大缩小、上下页选择等查看方式，支持法官、当事人同屏标绘。</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7.庭审交流：支持庭内法官、书记员、当事人以文字方式进行通讯及指令发放，支持合议庭交流，交流对象支持手动选择。                                                                8.当庭证据提交：支持图片、文件、音视频临时证据材料上传，在庭审过程中参考使用，庭审结束后书记员可选择是否回传法综。                                                                               </w:t>
            </w:r>
            <w:r>
              <w:rPr>
                <w:rFonts w:ascii="SimSun" w:hAnsi="SimSun" w:eastAsia="SimSun" w:cs="SimSun"/>
                <w:color w:val="000000"/>
                <w:sz w:val="24"/>
              </w:rPr>
              <w:t xml:space="preserve">                                                                                                                                        9.证据同屏对比。支持勾选两份或者多份证据材料，同屏对照展示，方便法官当庭完成比对质证 。                                                                           </w:t>
            </w:r>
            <w:r>
              <w:rPr>
                <w:rFonts w:ascii="SimSun" w:hAnsi="SimSun" w:eastAsia="SimSun" w:cs="SimSun"/>
                <w:color w:val="000000"/>
                <w:sz w:val="24"/>
              </w:rPr>
              <w:t xml:space="preserve">                                                                                                                                                                                                                                                                </w:t>
            </w:r>
            <w:r>
              <w:rPr>
                <w:rFonts w:ascii="SimSun" w:hAnsi="SimSun" w:eastAsia="SimSun" w:cs="SimSun"/>
                <w:color w:val="000000"/>
                <w:sz w:val="24"/>
              </w:rPr>
              <w:t xml:space="preserve">       10.法律法规查询：支持客户端内法律法规查询、法条检索，类案检索、裁判规则、法律观点、人民法院案例库检索等。支持全文检索和分类浏览；</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11.笔录电子签名：支持触摸笔/扫码和电子签名板签名，签名结果支持末页嵌入或每页嵌入.</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▲12.需提供相应软件的软件著作权登记证书复印件。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全场景融合数字法庭系统软件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支持法院专网本地庭审；法院专网跨域远程庭审（如跟看守所、监狱、检察院、公安等协调单位或内网互通的其他基层院开庭或庭审观摩）；法院专网到互联网跨网远程庭审。系统支持多端协同，法官支持pad端通过VPN网段进行庭审，具备无纸化视频会议相关能力。</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2.动态组庭：系统支持动态添加诉讼参与方，灵活方便，并可进行混合模式开庭。                                                                                                                                                      3.庭审笔录：支持笔录预设。支持doc/docx/html/htm/wps等格式的本地笔录模板导入系统，并在庭审笔录区域展示,诉讼参与人可</w:t>
            </w:r>
            <w:r>
              <w:rPr>
                <w:rFonts w:ascii="SimSun" w:hAnsi="SimSun" w:eastAsia="SimSun" w:cs="SimSun"/>
                <w:color w:val="000000"/>
                <w:sz w:val="24"/>
              </w:rPr>
              <w:t xml:space="preserve">实时查看书记员庭审笔录。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笔录精简：支持人工智能大模型技术。通过大模型技术实现语音转写后的庭审笔录精简辅助功能。（需提供具备CMA或CNAS资质的第三方检测机构出具的检测报告）。                                                                      5.举证质证：系统支持法官/书记员/当事人进行举证质证，支持电子卷宗证据调阅和临时证据交互，支持双向屏幕分享。</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6.电子签名：支持远程签名，电子签名及电子指纹支持同步叠加至笔录中。</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7.庭审控制：支持法官或书记员对线上当事人进行禁屏禁言控制。</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法官、部分当事人在本地法庭，其他当事人在互联网远程开庭。当事人可通过小程序、手机APP、PC方式接入法庭，与法官或其他庭审参与人共同完成庭审相关活动；系统支持纯互联网开庭，当事人端(互联网)软件支持虚拟背景设置，可以将当事人端的背景设置成庄严背景，提升庭审效果；系统支持跨网开庭法庭内支持播放互联网接入的视频信号，视频流畅无卡顿，视频延迟小于300ms。互联网端多方接入庭审，满足不低于16方互联网端音视频接入（需提供具备CMA或CNAS资质的第三方检测机构出具的检测报告）              </w:t>
            </w:r>
            <w:r>
              <w:rPr>
                <w:rFonts w:ascii="SimSun" w:hAnsi="SimSun" w:eastAsia="SimSun" w:cs="SimSun"/>
                <w:color w:val="000000"/>
                <w:sz w:val="24"/>
              </w:rPr>
              <w:t xml:space="preserve">                                                                                                                                                                                                                                                                </w:t>
            </w:r>
            <w:r>
              <w:rPr>
                <w:rFonts w:ascii="SimSun" w:hAnsi="SimSun" w:eastAsia="SimSun" w:cs="SimSun"/>
                <w:color w:val="000000"/>
                <w:sz w:val="24"/>
              </w:rPr>
              <w:t xml:space="preserve">                                                                                    ▲9.系统支持历史录像查看点播功能，录像查看具备视频、笔录同步回溯，根据录像内容快速定位到笔录，或者根据笔录快速定位到录像，辅助快速定位以修正笔录内容（需提供具备CMA或CNAS资质的第三方检测机构出具的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高清解码服务器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处理器：不低于4核，满足安全可靠测评需求</w:t>
              <w:br/>
              <w:t xml:space="preserve">内存：不低于8G DDR4 ECC 2400</w:t>
              <w:br/>
              <w:t xml:space="preserve">硬盘：不少于2块SSD/480GB 企业级 系统盘</w:t>
              <w:br/>
              <w:t xml:space="preserve">存储盘：无，最大支持8盘位</w:t>
              <w:br/>
              <w:t xml:space="preserve">网络接口：不少于2×10/100/1000M业务接口</w:t>
              <w:br/>
              <w:t xml:space="preserve">显存：不小于4GB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高清解码器系统软件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支持接多个显示器，每个显示器支持播放一路视频，服务器可以动态推送视频上墙，下墙功能，支持将服务器推送的视频播放地址在硬解码器指定的显示器上播放。</w:t>
              <w:br/>
              <w:t xml:space="preserve">支持多路视频解码，每路视频最大支持1080P分辨率；</w:t>
              <w:br/>
              <w:t xml:space="preserve">支持远程查看各通道的解码状态；</w:t>
              <w:br/>
              <w:t xml:space="preserve">支持通用RTSP、ONVIF、28181协议、华为SDK、海康SDK、大华SDK、天地SDK、科达SDK及航星设备的解码输出；</w:t>
              <w:br/>
              <w:t xml:space="preserve">支持第三方设备（厂家提供SDK）解码输出。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双面显示屏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1、一体化支架，可移动式设计；</w:t>
              <w:br/>
              <w:t xml:space="preserve">2、显示屏大小范围不低于55寸;</w:t>
              <w:br/>
              <w:t xml:space="preserve">3、双面显示屏，显示屏分辨率不低于1080P，支持异步显示;</w:t>
              <w:br/>
              <w:t xml:space="preserve">4、具有HDMI视频输入口，可放置在审判区，用作显示互联网庭审画面。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开庭公告一体机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1、屏幕尺寸：≥ 27寸；</w:t>
              <w:br/>
              <w:t xml:space="preserve">2、CPU：不低于四核，最高主频≥1.8GHz，满足安全可靠测评需求；</w:t>
              <w:br/>
              <w:t xml:space="preserve">3、内存：≥DDR3 2GB；</w:t>
              <w:br/>
              <w:t xml:space="preserve">4、不低于16GB EMMC NAND芯片；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开庭公告应用软件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1.▲支持与全国法院"一张网"系统互联互通，从该系统中获取完整开庭信息。（投标人需提供承诺函并加盖公章）</w:t>
              <w:br/>
              <w:t xml:space="preserve">2.支持每个法庭庭审排期信息的独立筛选与投影。</w:t>
              <w:br/>
              <w:t xml:space="preserve">3支持当前庭审状态实时显示。</w:t>
              <w:br/>
              <w:t xml:space="preserve">4.支持承办人信息显示。</w:t>
              <w:br/>
              <w:t xml:space="preserve">5.安全性：支持SSL安全传输；支持操作系统、数据库安全加固。</w:t>
            </w:r>
            <w:r/>
          </w:p>
          <w:p>
            <w:pPr>
              <w:ind w:left="0" w:right="0" w:firstLine="0"/>
              <w:jc w:val="left"/>
              <w:spacing w:before="200" w:after="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6.需提供相应软件的软件著作权登记证书复印件。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屏幕尺寸≥27寸，支持DP、HDMI接口，含折叠支架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HDMI视频分配器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包含16路HDMI视频分配器（1进16出）2台，2路HDMI视频分配器（1进2出）10台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高清HDMI信号转换器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光纤转HDMI 1080P</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4KHDMI信号转换器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光纤转HDMI 4K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报警按钮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能够接入报警主机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环境检测使用，平台报警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电子时钟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电子时钟，连接时间同步服务器，校准时间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2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法庭公告屏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1.硬件参数：</w:t>
              <w:br/>
              <w:t xml:space="preserve">屏幕尺寸≥43寸，≥500W摄像头（内置），处理器，CPU 不低于四核，满足安全可靠测评需求，运行内存 ≥4G，内部存储≥ 32G  </w:t>
              <w:br/>
              <w:t xml:space="preserve">解码类型 支持最高4K 3840X216010bitH265/H264视频解码</w:t>
              <w:br/>
              <w:t xml:space="preserve">触控点数 ≥10点红外触摸</w:t>
              <w:br/>
              <w:t xml:space="preserve">2.软件功能：</w:t>
              <w:br/>
              <w:t xml:space="preserve">会议室状态监控：通过无纸化楼层导览屏软件，利用实时数据更新技术，门牌首页能够精准呈现当前会议室的占用状态、会议信息、LOGO、实时日期与时间，为参会人员和管理者提供即时的会议室使用概览。</w:t>
              <w:br/>
              <w:t xml:space="preserve">人脸识别：利用深度学习算法和计算机视觉技术</w:t>
            </w:r>
            <w:r>
              <w:rPr>
                <w:rFonts w:ascii="SimSun" w:hAnsi="SimSun" w:eastAsia="SimSun" w:cs="SimSun"/>
                <w:color w:val="000000"/>
                <w:sz w:val="24"/>
              </w:rPr>
              <w:t xml:space="preserve">利用OpenCV库集成深度学习算法，实现高精度的人脸识别签到功能。通过捕捉面部特征并进行比对，实现参会人员的快速、准确签到。</w:t>
              <w:br/>
              <w:t xml:space="preserve">图形化座位布局引擎：将会议室座位布局以直观、易懂的图形方式展示在导览屏上。参会人员可以通过触摸操作，轻松查找自己的座位位置。</w:t>
              <w:br/>
              <w:t xml:space="preserve">智能签到导位系统：基于人脸识别技术，结合智能导位算法，系统能够自动识别参会人员并提示其入座位置。通过DOM操作实现名字高亮、位置闪烁以及语音提示等方式，实现智能化的签到导位功能。</w:t>
              <w:br/>
              <w:t xml:space="preserve">个性化声音配置模块：软件提供声音配置模块，管理员可以根据实际需求调整音频输出参数</w:t>
            </w:r>
            <w:r>
              <w:rPr>
                <w:rFonts w:ascii="SimSun" w:hAnsi="SimSun" w:eastAsia="SimSun" w:cs="SimSun"/>
                <w:color w:val="000000"/>
                <w:sz w:val="24"/>
              </w:rPr>
              <w:t xml:space="preserve">，如音量、语速、音色等，以满足不同场景下的声音播放需求。</w:t>
              <w:br/>
              <w:t xml:space="preserve">信息发布推送机制：当会议室处于空闲状态时，导览屏能够自动接收并显示管理系统推送的信息内容，利用WebSocket或轮询机制实现信息的实时更新和展示。</w:t>
              <w:br/>
              <w:t xml:space="preserve">姓名搜索与签到接口：软件提供姓名搜索功能，支持通过关键字搜索参会人员姓名，并提供签到接口，实现基于姓名的签到操作。</w:t>
              <w:br/>
              <w:t xml:space="preserve">远程设备控制协议：通过实现特定的远程通信协议，管理员可以在管理系统中远程控制导览屏的熄屏和亮屏操作，实现设备的远程管理和维护。</w:t>
              <w:br/>
              <w:t xml:space="preserve">自助座次查询系统：参会人员可以通过触摸屏上的自助查询功能，输</w:t>
            </w:r>
            <w:r>
              <w:rPr>
                <w:rFonts w:ascii="SimSun" w:hAnsi="SimSun" w:eastAsia="SimSun" w:cs="SimSun"/>
                <w:color w:val="000000"/>
                <w:sz w:val="24"/>
              </w:rPr>
              <w:t xml:space="preserve">入个人信息或扫描二维码等方式，快速查询自己的座次信息，提高会议入座的效率。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四通道画面分割器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四通道画面分割器,输入支持4K@60HZ,支持HDCP2.2,输出支持HDMI4K@60HZ,支持单画面无缝切换，支持音频分离输出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分布式音视频管理平台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1、系统由独立的输入，输出模块集合构成，各模块之间通过标准以太网交换机CAT网线进行连接，规模易于扩展，且不受机箱规模限制。采用标准CAT网线即可完成整个系统链路连接。</w:t>
              <w:br/>
              <w:t xml:space="preserve">2. 上位机支持高清模式、标清模式、流畅模式选择，节点可输出3种不同分辨率的码流；可根据当前硬件性能调节最佳的监看效果，当前画面卡顿时可通过调节不同模式实现流畅监看；可支持32路画面同时预监。</w:t>
              <w:br/>
              <w:t xml:space="preserve">3、支持输入信号丢失后通知用户具体哪路输入信号丢失，支持输入信号上线后通知用户具体哪路输入信号上线，</w:t>
              <w:br/>
              <w:t xml:space="preserve">4、支持大屏、矩阵场景预案，支持鹰眼定位，对于</w:t>
            </w:r>
            <w:r>
              <w:rPr>
                <w:rFonts w:ascii="SimSun" w:hAnsi="SimSun" w:eastAsia="SimSun" w:cs="SimSun"/>
                <w:color w:val="000000"/>
                <w:sz w:val="24"/>
              </w:rPr>
              <w:t xml:space="preserve">大屏管理的精准定位控制，支持大屏底图管控，统一设置和使用底图资源，支持音频和视频同时切换（随路音频）。</w:t>
              <w:br/>
              <w:t xml:space="preserve">5、分布式节点支持远程设置超低功耗模式，在分布式节点闲置时，可通过远程设置节点为超低功耗（功耗＜1W）模式。</w:t>
              <w:br/>
              <w:t xml:space="preserve">6、CPU及操作系统应当符合安全可靠测评要求。</w:t>
              <w:br/>
              <w:t xml:space="preserve">7、▲支持对节点、交换机等设备进行实时监测，包括节点在线状态、各节点当前温度、节点类型、端口实时速率、端口CPU利用率、端口丢包率等进行监视，支持对监测数据进行可视化展示，异常发生时产生告警通知，支持系统拓扑图自动生成和手动调整(需提供含CNAS标识</w:t>
            </w:r>
            <w:r>
              <w:rPr>
                <w:rFonts w:ascii="SimSun" w:hAnsi="SimSun" w:eastAsia="SimSun" w:cs="SimSun"/>
                <w:color w:val="000000"/>
                <w:sz w:val="24"/>
              </w:rPr>
              <w:t xml:space="preserve">的检测报告)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7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4K60一体化节点分布式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1.去中心化分布式架构设计，分布式系统内无服务器。可设定任意一个或多个分布式节点提供分布式系统信息服务，无服务器或工作站，任意分布式节点断开，系统不受影响。</w:t>
              <w:br/>
              <w:t xml:space="preserve">2.单个节点至少具备1路视频输入接口、1路视频输出接口、1路3.5mm音频输入接口、1路3.5mm音频输出（环出）接口、1路2 Pin音频输入接口、1路2 Pin音频环出接口、1路2 Pin音频反向输出接口。2个USB TYPE-A接口、1路千兆电口、1路千兆光口，1路12V供电接口。1路RS232接口、1路RS485接口、1路Relay OUT（继电</w:t>
            </w:r>
            <w:r>
              <w:rPr>
                <w:rFonts w:ascii="SimSun" w:hAnsi="SimSun" w:eastAsia="SimSun" w:cs="SimSun"/>
                <w:color w:val="000000"/>
                <w:sz w:val="24"/>
              </w:rPr>
              <w:t xml:space="preserve">器）接口、1路Relay IN（继电器）接口、1路GPIO（IR）接口。</w:t>
              <w:br/>
              <w:t xml:space="preserve">3.单个终端硬件可根据实际场景需求，通过软件升级的方式切换编码应用或解码应用。作为解码应用时可选择编解码、坐席、或拼接等不同场景功能。</w:t>
              <w:br/>
              <w:t xml:space="preserve">4.支持信号源画面实时预览与输出显示内容的实时监看；支持高清模式、标清模式、流畅模式选择，节点可输出3种不同分辨率的码流；支持32路画面同时预监。</w:t>
              <w:br/>
              <w:t xml:space="preserve">5.支持POE供电和1路DC直流供电，POE供电或DC直流供电接口任意一路故障后仍可保障设备正常工作；节点采用无风扇被动散热方式，运行时可保持静音。</w:t>
              <w:br/>
              <w:t xml:space="preserve">6.</w:t>
            </w:r>
            <w:r>
              <w:rPr>
                <w:rFonts w:ascii="SimSun" w:hAnsi="SimSun" w:eastAsia="SimSun" w:cs="SimSun"/>
                <w:color w:val="000000"/>
                <w:sz w:val="24"/>
              </w:rPr>
              <w:t xml:space="preserve">输入/输出节点支持4K分辨率采集或输出，支持3840x2160@60Hz、1920x1200@60Hz、1920x1080P@60Hz等分辨率。支持去隔行处理，并向下兼容其他分辨率，无丢帧、卡顿现象。</w:t>
              <w:br/>
              <w:t xml:space="preserve">7.支持多链路备份，输入节点均采用1.25G光口+千兆网口两种传输形式，支持光纤+网络两种传输链路热备份功能；节点支持链路备份的自协商模式设置，可选择网口优先模式及光口优先模式。</w:t>
              <w:br/>
              <w:t xml:space="preserve">8.输出节点支持不少于4路4K画面显示功能，单路输出可同进行坐席控制、调取、显示不少于16个不同的信号源。</w:t>
              <w:br/>
              <w:t xml:space="preserve">9.支持多用户同时管理</w:t>
            </w:r>
            <w:r>
              <w:rPr>
                <w:rFonts w:ascii="SimSun" w:hAnsi="SimSun" w:eastAsia="SimSun" w:cs="SimSun"/>
                <w:color w:val="000000"/>
                <w:sz w:val="24"/>
              </w:rPr>
              <w:t xml:space="preserve">，多用户同步操作实现协同办公，单个用户端操作可同步到其他客户端。支持多用户之间数据实时同步，信息共享，支持按组织单元或区域划分组织树，提供输出分组管理。</w:t>
              <w:br/>
              <w:t xml:space="preserve">10.支持鼠标键盘远程信号源控制功能，可通过坐席键盘鼠标对前端不同操作系统、不同分辨率的信号源主机进行远程KVM操作与控制。支持 Windows、UOS、IOS、Andriod、Linux、Ubuntu、Redhat、Mac OS、银河麒麟、中标麒麟，鸿蒙操作系统的接入并进行控制。</w:t>
              <w:br/>
              <w:t xml:space="preserve">11.▲具有文字、图片滚动字幕显示功能，可配置并存储多条滚动字幕；可自定义</w:t>
            </w:r>
            <w:r>
              <w:rPr>
                <w:rFonts w:ascii="SimSun" w:hAnsi="SimSun" w:eastAsia="SimSun" w:cs="SimSun"/>
                <w:color w:val="000000"/>
                <w:sz w:val="24"/>
              </w:rPr>
              <w:t xml:space="preserve">调整字幕的样式、动作、方向、速度、颜色、字体等。无需外置储存设备，单屏内置底图存储功能，可叠加显示不小于16K的超大分辨率点对点背景底图。加载底图时，不影响视频图像显示，底图不占用当前输出端口的窗口图层。（提供第三方权威机构出具的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HDMI一分二分配器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HDMI一分二分配器,支持4k@60Hz,支持HDCP2.2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r>
      <w:tr>
        <w:trPr>
          <w:trHeight w:val="3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1.对外接口采用间距3.8mm凤凰端子接口，兼容RS- 232、RS- 485、DMX- 512协议，能兼容全范围的波特率设置，DMX- 512兼容250K波特率。</w:t>
              <w:br/>
              <w:t xml:space="preserve">2.4路触点，每路都可支持30V/1A DC, 125V/0 .5A AC负载。</w:t>
              <w:br/>
              <w:t xml:space="preserve">3.不少于8路可编程的红外发射接口或8路数字输入／输出I/O 接口，每路I/O 输出驱动可达电流10mA, 输出电压0- 5V。</w:t>
              <w:br/>
              <w:t xml:space="preserve">4.2路带供电T-NET总线信号管理，波特率为125Kbps, 单个总线主机最大管理终端数量为：110台。</w:t>
              <w:br/>
              <w:t xml:space="preserve">5.设备具备端口复用功能，</w:t>
            </w:r>
            <w:r>
              <w:rPr>
                <w:rFonts w:ascii="SimSun" w:hAnsi="SimSun" w:eastAsia="SimSun" w:cs="SimSun"/>
                <w:color w:val="000000"/>
                <w:sz w:val="24"/>
              </w:rPr>
              <w:t xml:space="preserve">支持8路可自定义协议的串口，可配置RS-232、RS-485、DMX512协议，第一第五路支持24V供电输出</w:t>
              <w:br/>
              <w:t xml:space="preserve">6.配置不低于4核CPU, 1G内存，8G Flash闪存</w:t>
              <w:br/>
              <w:t xml:space="preserve">7.综合处理能力1.4GHz的多线层多核处理器</w:t>
              <w:br/>
              <w:t xml:space="preserve">8.四种网络通讯：T-NET、Ethernet、WIFI、TCP/IP;</w:t>
              <w:br/>
              <w:t xml:space="preserve">9.对外接口采用间距3.8mm凤凰端子接口，兼容RS- 232、RS- 485、DMX- 512协议，能兼容全范围的波特率设置，DMX- 512兼容250K波特率。</w:t>
              <w:br/>
              <w:t xml:space="preserve">10.4路触点，每路都可支持30V/1A DC, 12</w:t>
            </w:r>
            <w:r>
              <w:rPr>
                <w:rFonts w:ascii="SimSun" w:hAnsi="SimSun" w:eastAsia="SimSun" w:cs="SimSun"/>
                <w:color w:val="000000"/>
                <w:sz w:val="24"/>
              </w:rPr>
              <w:t xml:space="preserve">5V/0 .5A AC负载。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8路串口扩展器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八路串口扩展器,通过TCP/IP链接扩展8个协议口,支持有线网络232,485,422接口。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软件编程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1.支持人机交互界面自定义编辑功能，可根据用户的需求定制化人机交互界面，可添加全屏页面、子页面；在页面中可以添加按钮、文本、编辑框、拖动条、图片、等控件</w:t>
              <w:br/>
              <w:t xml:space="preserve">2.支持页面跳转功能，支持主页与主页，主页与子页，子页与子页的相互跳转</w:t>
              <w:br/>
              <w:t xml:space="preserve">3.支持中文简体、英文两种语言界面，支持图形化加语句式编程；支持新建自定义宏、可编辑宏、可导入或导出宏、宏处理，针对特定场景编辑宏后，后续可进行复用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可视化平台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视化交互控制功能。具备基于多点触控的可视化操作界面，至少支持大屏布局管理、矩阵信号切换、视频文件点播、音频参数调节、音频路由切换及中央控制设备管理。界面应采用图形化实时反馈方式，用户对信号源、显示窗口、设备状态的操作结果应在界面上即时同步显示</w:t>
              <w:br/>
              <w:t xml:space="preserve">2.触控操作与窗口管理。支持多点触控，既可通过拖拽实现开窗、窗口移动、关闭窗口，也可通过双指捏合/展开手势实现窗口的等比缩放或自定义缩放。</w:t>
              <w:br/>
              <w:t xml:space="preserve">3.中控工程管理与设备兼容性。支持中控工程管理功能，配合各型中控可实现电源、电视、大屏、灯光、灯光窗帘环境、视频会议、音频</w:t>
            </w:r>
            <w:r>
              <w:rPr>
                <w:rFonts w:ascii="SimSun" w:hAnsi="SimSun" w:eastAsia="SimSun" w:cs="SimSun"/>
                <w:color w:val="000000"/>
                <w:sz w:val="24"/>
              </w:rPr>
              <w:t xml:space="preserve">扩声、无纸化、同声传译、信息发布、融合通信指挥的统一管控和无缝兼容。</w:t>
              <w:br/>
              <w:t xml:space="preserve">4.智能导播与媒体资源管理。应具备扩展的导播功能，可整合源端计算机内的PDF文档、图片、PPT、视频、网页等形成媒体资源库，通过可视化控制终端可直接控制媒体演播流程以及资源播放控制。</w:t>
              <w:br/>
              <w:t xml:space="preserve">5.音频随路控制与可视化管理。支持对视频随路音频的统一管控，实现音频控制与音频切换调度，能通过可视化的交互方式调节每个声道的音量大小、控制静音和效果处理，也能实时反馈音量动态电平和音值，支持音频预案的切换调度和管理。</w:t>
              <w:br/>
              <w:t xml:space="preserve">6.▲系统支持事件管理功能，可按业务场景</w:t>
            </w:r>
            <w:r>
              <w:rPr>
                <w:rFonts w:ascii="SimSun" w:hAnsi="SimSun" w:eastAsia="SimSun" w:cs="SimSun"/>
                <w:color w:val="000000"/>
                <w:sz w:val="24"/>
              </w:rPr>
              <w:t xml:space="preserve">需求在日历系统中对应日期建立事件，实现在指定事件执行受控系统的预案切换和其他管控指令，事件支持定时触发、手动触发、流程式触发或周期重复执行可应用于各种智能化控制场景。（需提供含CNAS标识的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音视频综合服务云平台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1.具备对任意视频窗口的完整控制能力，包括：窗口锁定/解锁、置顶、置底、上移一层、下移一层、窗口推送（至指定显示设备）、窗口属性编辑（位置、大小、透明度等）。所有窗口操作响应时间≤200ms。</w:t>
              <w:br/>
              <w:t xml:space="preserve">2.系统应对每步操作（无论成功或失败）提供可配置的弹窗提示（支持开启/关闭）。</w:t>
              <w:br/>
              <w:t xml:space="preserve">3.支持不少于16路1080P信号同时实时浏览，支持1/4/6/7/8/9/10/13/16分屏布局及其他布局模式定制；</w:t>
              <w:br/>
              <w:t xml:space="preserve">4.支持对实时点播视频的本地抓拍、音频控制、窗口调节、云台控制、本地录像启停以及点播投送大屏等操作；</w:t>
              <w:br/>
              <w:t xml:space="preserve">5.支持信号源</w:t>
            </w:r>
            <w:r>
              <w:rPr>
                <w:rFonts w:ascii="SimSun" w:hAnsi="SimSun" w:eastAsia="SimSun" w:cs="SimSun"/>
                <w:color w:val="000000"/>
                <w:sz w:val="24"/>
              </w:rPr>
              <w:t xml:space="preserve">轮巡功能，支持循环、非循环模式轮巡，最高不低于16画面的信号源轮巡支持单屏多信号源轮巡和整屏轮巡；</w:t>
              <w:br/>
              <w:t xml:space="preserve">6.具备大屏M*N的任意拼接方式选择，任意信号都可在大屏显示范围内开窗显示、整屏拼接、 任意漫游、信号叠加、任意跨屏、信号分割，相互之间不受影响；</w:t>
              <w:br/>
              <w:t xml:space="preserve">7.支持背景屏幕名称、文字格式设置，能够针对用户或者角色，按照屏幕区域进行授权。</w:t>
              <w:br/>
              <w:t xml:space="preserve">8.支持对信号源进行任意分组，并且支持信号源收藏夹；可以进行自动的信号源轮巡应用。</w:t>
              <w:br/>
              <w:t xml:space="preserve">9.支持布局管理，可以将当前开窗保存为布局模式，实现对全屏布局的快速切换应用而不关联信号源。</w:t>
              <w:br/>
              <w:t xml:space="preserve">10</w:t>
            </w:r>
            <w:r>
              <w:rPr>
                <w:rFonts w:ascii="SimSun" w:hAnsi="SimSun" w:eastAsia="SimSun" w:cs="SimSun"/>
                <w:color w:val="000000"/>
                <w:sz w:val="24"/>
              </w:rPr>
              <w:t xml:space="preserve">.在软件界面上可对所有接入信号源和大屏幕当前显示的画面进行实时预览观看，对信号源的预监画面帧率可达60Hz且可以切换超高清、高清、标清和流畅四种预监模式，以适配不同性能的终端设备。</w:t>
              <w:br/>
              <w:t xml:space="preserve">11.支持大屏预编辑功能，在不影响大屏显示的前提下进行后台布局，让大屏操作更加精确无误。</w:t>
              <w:br/>
              <w:t xml:space="preserve">12.支持一键锁定大屏以固定当前图像窗口，可使后续操作不影响锁定前大屏的显示状态。</w:t>
              <w:br/>
              <w:t xml:space="preserve">13.支持对大屏的可视化监管，实时监管大屏显示内容和信号源的预监管理应用，保证信号源的准确上屏显示，同时对4k信号可以进行预监回显，单个客户端回显支持不少于</w:t>
            </w:r>
            <w:r>
              <w:rPr>
                <w:rFonts w:ascii="SimSun" w:hAnsi="SimSun" w:eastAsia="SimSun" w:cs="SimSun"/>
                <w:color w:val="000000"/>
                <w:sz w:val="24"/>
              </w:rPr>
              <w:t xml:space="preserve">256路图像同时开窗回显。</w:t>
              <w:br/>
              <w:t xml:space="preserve">14.▲系统采用C/S和B/S架构，支持多种形态的客户端，支持部署在全系各种版本Windows、Linux、Android、IOS、UOS及麒麟等主流操作系统中，支持飞腾、鲲鹏、海光、Intel、AMD等主流硬件平台。（需提供含CNAS标识的检测报告）</w:t>
              <w:br/>
              <w:t xml:space="preserve">15.系统支持与GB28181、SDK私有协议对接，实现信号统一管理和资源共享。系统支持对IPC进行管理，可通过系统点播查看IP摄像机视频资源画面，同时可对IPC监控画面进行视频质量分析。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显示尺寸不低于12英寸， 不低于8核处理器，内存≥12GB，存储≥256GB，10000mAh电池，2K以上分辨率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其他配套保障系统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无线讲解器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充满电持续使用至少10小时，至少配备4个讲解器，50个耳麦（挂耳式），配备智能充电箱。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嵌入式录音干扰设备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嵌入式录音干扰设备根据现场实际情况定制</w:t>
              <w:br/>
              <w:t xml:space="preserve">1.频段：20KHz-30KHz</w:t>
              <w:br/>
              <w:t xml:space="preserve">2.距离设备：30cm处声强&gt;120dB</w:t>
              <w:br/>
              <w:t xml:space="preserve">3.覆盖范围：≥90°</w:t>
              <w:br/>
              <w:t xml:space="preserve">4.支持多档位调节功能，适应不同干扰强度需求；</w:t>
              <w:br/>
              <w:t xml:space="preserve">5.需支持功耗≤20W及作用半径&gt;2米，确保干扰效果；安装方式：隐藏、嵌入式安 装，与室内装修风格协调一致；</w:t>
              <w:br/>
              <w:t xml:space="preserve">6.支持通过手机App无线遥控操作功能，每台设备独立可控；</w:t>
              <w:br/>
              <w:t xml:space="preserve">7. ▲提供公安部防录音设备装备名录编号；(提供复印件加盖投标人公章)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壁挂式录音干扰设备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壁挂式录音干扰设备根据现场实际情况定制</w:t>
              <w:br/>
              <w:t xml:space="preserve">1.频段：20KHz-30KHz</w:t>
              <w:br/>
              <w:t xml:space="preserve">2.距离设备：30cm处声强&gt;120dB</w:t>
              <w:br/>
              <w:t xml:space="preserve">3.覆盖范围≥90°</w:t>
              <w:br/>
              <w:t xml:space="preserve">4.支持多档位调节功能，适应不同干扰强度需求；</w:t>
              <w:br/>
              <w:t xml:space="preserve">5.需支持功耗≤20W及作用半径&gt;2米，确保干扰效果；安装方式：隐藏、嵌入式安 装，与室内装修风格协调一致；</w:t>
              <w:br/>
              <w:t xml:space="preserve">6.支持通过手机App无线遥控操作功能，每台设备独立可控；</w:t>
              <w:br/>
              <w:t xml:space="preserve">7. ▲提供公安部防录音设备装备名录编号；(提供复印件加盖投标人公章)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桌下式录音干扰设备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桌下式录音干扰设备根据现场实际情况定制</w:t>
              <w:br/>
              <w:t xml:space="preserve">1.频段：20KHz-30KHz</w:t>
              <w:br/>
              <w:t xml:space="preserve">2.距离设备：30cm处声强&gt;120dB</w:t>
              <w:br/>
              <w:t xml:space="preserve">3.覆盖范围≥90°</w:t>
              <w:br/>
              <w:t xml:space="preserve">4.支持多档位调节功能，适应不同干扰强度需求；</w:t>
              <w:br/>
              <w:t xml:space="preserve">5.需支持功耗≤20W及作用半径&gt;2米，确保干扰效果；安装方式：隐藏、嵌入式安 装，与室内装修风格协调一致；</w:t>
              <w:br/>
              <w:t xml:space="preserve">6.支持通过手机App无线遥控操作功能，每台设备独立可控；</w:t>
              <w:br/>
              <w:t xml:space="preserve">7. ▲提供公安部防录音设备装备名录编号；(提供复印件加盖投标人公章)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3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信号屏蔽器（定向）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1.屏蔽手机/WiFi信号范围：</w:t>
              <w:br/>
              <w:t xml:space="preserve">2.通道CH1:广电5G/移动5G,758-803MHz,频段输出功率：40aBm,信道输出功 率：5dBm/30KHz(min);</w:t>
              <w:br/>
              <w:t xml:space="preserve">3.通道CH2:CDMA/电信2G/4G,869-880MHz,频段输出功率：40dBm,信道输出功 率：5dBm/30KHz(min);</w:t>
              <w:br/>
              <w:t xml:space="preserve">4.通道CH3:GSM/移动2G 4G联通4G,925-960MHz,频段输出功率：40dBm,信道输出功率：5dBm/30KHz(min);</w:t>
              <w:br/>
              <w:t xml:space="preserve">5.通道CH4:DCS移动2G 4G联通4G电信4G,180</w:t>
            </w:r>
            <w:r>
              <w:rPr>
                <w:rFonts w:ascii="SimSun" w:hAnsi="SimSun" w:eastAsia="SimSun" w:cs="SimSun"/>
                <w:color w:val="000000"/>
                <w:sz w:val="24"/>
              </w:rPr>
              <w:t xml:space="preserve">5-1918MHz,频段输出功率：40dBm,信道输出功率：2dBm/30KHz(min);</w:t>
              <w:br/>
              <w:t xml:space="preserve">6.通道CH5:PHS移动2G 4G联通4G电信4G,1805-1920MHz,频段输出功率：40dBm,信道输出功率：2dBm/30KHz(min);</w:t>
              <w:br/>
              <w:t xml:space="preserve">7.通道CH6:3G移动联通电信3G 4G,2010-2170MHZ,频段输出功率：40dBm,信道输出功率：2dBm/30KHz(min);</w:t>
              <w:br/>
              <w:t xml:space="preserve">8.通道CH7:3G联通电信3G 4G,2110-2170MHZ,频段输出功率：40dBm,信道输出功率：2dBm/30</w:t>
            </w:r>
            <w:r>
              <w:rPr>
                <w:rFonts w:ascii="SimSun" w:hAnsi="SimSun" w:eastAsia="SimSun" w:cs="SimSun"/>
                <w:color w:val="000000"/>
                <w:sz w:val="24"/>
              </w:rPr>
              <w:t xml:space="preserve">KHz(min);</w:t>
              <w:br/>
              <w:t xml:space="preserve">9.通道CH8:4G1移动4G(室内覆盖),2300-2390MHZ,频段输出功率：40dBm,信道输出功率：2dBm/30KHz(min);</w:t>
              <w:br/>
              <w:t xml:space="preserve">10.通道CH9:WIFI2.4G 5.8G,2400-2483MHZ/5725-5850mhz,频段输出功率：37dBm,信道输出功率：2dBm/30KHz(min);</w:t>
              <w:br/>
              <w:t xml:space="preserve">11.通道CH10:移动4G 5G,2515-2600MHZ,频段输出功率：39.5dBm,信道输出功  率：2dBm/30KHz(min),移动4G 5G,2600-2675</w:t>
            </w:r>
            <w:r>
              <w:rPr>
                <w:rFonts w:ascii="SimSun" w:hAnsi="SimSun" w:eastAsia="SimSun" w:cs="SimSun"/>
                <w:color w:val="000000"/>
                <w:sz w:val="24"/>
              </w:rPr>
              <w:t xml:space="preserve">MHZ,频段输出功率：39.5dBm, 信道输出功率：2dBm/30KHz(min);</w:t>
              <w:br/>
              <w:t xml:space="preserve">12.通道CH11:5G1电信5G,3400-3500MHz,频段输出功率：39dBm,信道输出功率：2dBm/30KHz(min),5G2联通5G,3500-3600MHz,频段输出功率：39dBm,信道输出功率：2dBm/30KHz (min);</w:t>
              <w:br/>
              <w:t xml:space="preserve">13.通道CH12:5G2移动5G(室内分布)WIFI5.2G,4800-4900MHz/5150-5350MHZ,频段输出功率：37dBm,信道输出功率：2dBm/30K</w:t>
            </w:r>
            <w:r>
              <w:rPr>
                <w:rFonts w:ascii="SimSun" w:hAnsi="SimSun" w:eastAsia="SimSun" w:cs="SimSun"/>
                <w:color w:val="000000"/>
                <w:sz w:val="24"/>
              </w:rPr>
              <w:t xml:space="preserve">Hz(min);</w:t>
              <w:br/>
              <w:t xml:space="preserve">14.屏蔽范围：8-50米(视手机运营商网络信号强弱)需支持信号屏蔽功率可调功能， 满足不同场景需求。</w:t>
              <w:br/>
              <w:t xml:space="preserve">15.需支持频段独立控制开关功能，可针对性屏蔽指定频段。</w:t>
              <w:br/>
              <w:t xml:space="preserve">16.支持智能检测功能，实现检测到室内通信信号时自动开启屏蔽，无信号时长期关 闭以节能。</w:t>
              <w:br/>
              <w:t xml:space="preserve">17.安装方式：墙面膨胀螺丝+承重支架固定式安装(可调方向),与室内装修风格协调一致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外观定制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定制，与整体环境风格一致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81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语音庭审系统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智能庭审客户端：实现笔录模板管理、个性化热词、麦克风角色管理、笔录修改、同人智能合并、庭审录音标记回听、导出笔录音频、打印笔录等功能。将庭审语音自动转化文字并可快速修改。主要功能：案件模板导入、卷宗资料识别、个性化词语配置、多角色区分识别、庭审笔录智能修正、庭审录音标记回听、智能模糊查找替换、庭审信息语音播报、导出打印等功能。</w:t>
              <w:br/>
              <w:t xml:space="preserve">2.专网部署：系统要求在本地法院专网中进行所有软硬件设备的安装部署，全部数据都要求保存在专网服务器上，与外网无任何数据交互。</w:t>
              <w:br/>
              <w:t xml:space="preserve">3. 笔录模板管理：支持将庭审过程案件常用的模板导</w:t>
            </w:r>
            <w:r>
              <w:rPr>
                <w:rFonts w:ascii="SimSun" w:hAnsi="SimSun" w:eastAsia="SimSun" w:cs="SimSun"/>
                <w:color w:val="000000"/>
                <w:sz w:val="24"/>
              </w:rPr>
              <w:t xml:space="preserve">入到系统，并可将其设定为常用庭审模板，减少书记员记录量，提升记录效率。对于修改后的笔录，书记员可以保存到模板库，以供下次开庭直接使用。</w:t>
              <w:br/>
              <w:t xml:space="preserve">4.个案训练：语音笔录在具体开庭场景，可对案件相关词汇自动加载为热词，也可以手动添加热词或手动上传资料进行训练，形成个案资源包，有效解决人名、地名等特定词汇识别瓶颈从而有针对性的进一步提升识别率。</w:t>
              <w:br/>
              <w:t xml:space="preserve">5.麦克风角色管理：支持法庭麦克风配置审判人员、书记员、当事人、第三方证人相对应的陈述人角色信息，系统麦名称配置后在整个庭审过程全局生效, 实现在庭审过程中多角色的说话时识别内容</w:t>
            </w:r>
            <w:r>
              <w:rPr>
                <w:rFonts w:ascii="SimSun" w:hAnsi="SimSun" w:eastAsia="SimSun" w:cs="SimSun"/>
                <w:color w:val="000000"/>
                <w:sz w:val="24"/>
              </w:rPr>
              <w:t xml:space="preserve">的区分。</w:t>
              <w:br/>
              <w:t xml:space="preserve">▲6.庭审信息语音播报：对于开庭需要宣读的法庭纪律、审判人员入庭和证人出庭等内容，系统能够通过客户端软件由系统进行自动语音播报，并且支持播报速度的人工调整。语音播报的中文语音合成技术自然度≥4.5分（按播音员播报标准为5分计算）。（需提供系统功能截图，并提供具备省级及以上CMA或CNAS检验资质的机构出具的检测报告）</w:t>
              <w:br/>
              <w:t xml:space="preserve">7.笔录修改：按照正常文本操作习惯提供正常的增删改、复制、粘贴、字号、段落、页面（页眉、页脚、页码），编辑（查找、替换、撤销、恢复）等。</w:t>
              <w:br/>
              <w:t xml:space="preserve">8.同人智能合并：书记员可以在庭审记录中选择</w:t>
            </w:r>
            <w:r>
              <w:rPr>
                <w:rFonts w:ascii="SimSun" w:hAnsi="SimSun" w:eastAsia="SimSun" w:cs="SimSun"/>
                <w:color w:val="000000"/>
                <w:sz w:val="24"/>
              </w:rPr>
              <w:t xml:space="preserve">陈述人名称，将整行删除，当上下文为同一个陈述人的识别文字，会自动合并成同一个人的文字记录。</w:t>
              <w:br/>
              <w:t xml:space="preserve">9.庭审录音标记、回听: 书记员在庭审记录过程中，对当前笔录有疑问时，可快速进行标记，标记后的内容在庭审结束后可进行回听，辅助书记员进行笔录的修正工作。</w:t>
              <w:br/>
              <w:t xml:space="preserve">10、智能模糊查找替换：系统支持在模糊搜索框输入希望查找的关键字，实现摘要笔录页面将所有和关键字发音相似、文本相近、内容相同的结果高亮显示，并进行全文匹配的修改和替换.</w:t>
              <w:br/>
              <w:t xml:space="preserve">11.导出笔录、音频：书记员在整个庭审结束后，可以从系统的客户端软件中将庭审生成的庭审笔录和音频</w:t>
            </w:r>
            <w:r>
              <w:rPr>
                <w:rFonts w:ascii="SimSun" w:hAnsi="SimSun" w:eastAsia="SimSun" w:cs="SimSun"/>
                <w:color w:val="000000"/>
                <w:sz w:val="24"/>
              </w:rPr>
              <w:t xml:space="preserve">导出，导出操作自动保存系统的样式，默认按照案件号进行命名，保存在本地默认路径。</w:t>
              <w:br/>
              <w:t xml:space="preserve">12.打印笔录：可从系统的客户端软件中将庭审生成的庭审记录连接打印机进行打印，并可支持打印预览。 </w:t>
              <w:br/>
              <w:t xml:space="preserve">▲13.为了保证转写正确率，中文标准普通话实时识别,声源取自近距离麦克风收音，识别准确率≥99%；（需提供具备省级及以上CMA或CNAS检验资质的机构出具的检测报告）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智能媒体主机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1、音频输入参数：</w:t>
              <w:br/>
              <w:t xml:space="preserve">1) 频响： 20HZ-20KHZ（±0.5dB)</w:t>
              <w:br/>
              <w:t xml:space="preserve">2) 动态范围：≥105dB，A计权</w:t>
              <w:br/>
              <w:t xml:space="preserve">3) 噪声级别：≤-92dBu，A计权</w:t>
              <w:br/>
              <w:t xml:space="preserve">4) 阻抗：≥5.4kΩ（平衡接法）</w:t>
              <w:br/>
              <w:t xml:space="preserve">5) 输入电平：+4dBu</w:t>
              <w:br/>
              <w:t xml:space="preserve">6) 可调节增益范围：0dB~51dB（数字调节）</w:t>
              <w:br/>
              <w:t xml:space="preserve">2、音频输出参数：</w:t>
              <w:br/>
              <w:t xml:space="preserve">1) 频响：20HZ-20KHZ（±0.5dB）</w:t>
              <w:br/>
              <w:t xml:space="preserve">2) 动态范围：≥105dB，A计权</w:t>
              <w:br/>
              <w:t xml:space="preserve">3) 噪声级别：≤-92dBu，A计权</w:t>
              <w:br/>
              <w:t xml:space="preserve">4) 阻抗：≤600Ω（平衡接法）</w:t>
              <w:br/>
              <w:t xml:space="preserve">5) 输出电平：+4dBu</w:t>
              <w:br/>
              <w:t xml:space="preserve">3、接口默认数字音频参数：</w:t>
              <w:br/>
              <w:t xml:space="preserve">1)</w:t>
            </w:r>
            <w:r>
              <w:rPr>
                <w:rFonts w:ascii="SimSun" w:hAnsi="SimSun" w:eastAsia="SimSun" w:cs="SimSun"/>
                <w:color w:val="000000"/>
                <w:sz w:val="24"/>
              </w:rPr>
              <w:t xml:space="preserve"> 采样率：≥48kHz、24bit或更佳</w:t>
              <w:br/>
              <w:t xml:space="preserve">2) 位深：≥24bit</w:t>
              <w:br/>
              <w:t xml:space="preserve">3) 通道：≥12通道</w:t>
              <w:br/>
              <w:t xml:space="preserve">4) 光纤同步接口：≥1路光纤同步输入、≥1路光纤同步输出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6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语音审委会系统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1.系统基础功能：具备账号系统登录、创建临时会议、启动会议、继续会议等功能。</w:t>
              <w:br/>
              <w:t xml:space="preserve">2.会前资料准备：支持会前材料导入，可提前提供所需材料供参会人员查阅。</w:t>
              <w:br/>
              <w:t xml:space="preserve">3.支持案件会议：支持多议程的案件会议，并支持从本地上传会议材料，格式支持（doc、docx、pdf、txt、、png、jpg、wav、mp3、pcm、wma、mp4）。</w:t>
              <w:br/>
              <w:t xml:space="preserve">4.会中议题控制：支持新增议题、编辑议题、给议题上传相关材料、对材料进行训练优化。</w:t>
              <w:br/>
              <w:t xml:space="preserve">5.会议议程顺序灵活切换：针对多议程会议，支持对会议议程顺序灵活切换。</w:t>
              <w:br/>
              <w:t xml:space="preserve">6.材料参阅：提供材料查阅功能：参</w:t>
            </w:r>
            <w:r>
              <w:rPr>
                <w:rFonts w:ascii="SimSun" w:hAnsi="SimSun" w:eastAsia="SimSun" w:cs="SimSun"/>
                <w:color w:val="000000"/>
                <w:sz w:val="24"/>
              </w:rPr>
              <w:t xml:space="preserve">会人员可随时查看已上传的会议材料。支持多格式文件在线浏览。</w:t>
              <w:br/>
              <w:t xml:space="preserve">7.随讲随翻：支持会议材料随讲随翻，支持通过语音调度技术，对会议材料进行随讲随翻。</w:t>
              <w:br/>
              <w:t xml:space="preserve">8.实时语音转写：对参会者的语音以及会议中播放的音频资料进行实时的文本转写。</w:t>
              <w:br/>
              <w:t xml:space="preserve">9.关键词优化：可以通过关键词优化功能将会议相关的关键词进行添加，有效提升该专业词汇（人名、地名等）的识别准确率。</w:t>
              <w:br/>
              <w:t xml:space="preserve">10禁忌词屏蔽：如果有一些不希望展示的词语，如政治敏感词、脏词、口头禅等，可以屏蔽不显示。</w:t>
              <w:br/>
              <w:t xml:space="preserve">11.语气词过滤：提供语气词过滤开关，开启后可自动去除“嗯、啊、那个”等语气词，保</w:t>
            </w:r>
            <w:r>
              <w:rPr>
                <w:rFonts w:ascii="SimSun" w:hAnsi="SimSun" w:eastAsia="SimSun" w:cs="SimSun"/>
                <w:color w:val="000000"/>
                <w:sz w:val="24"/>
              </w:rPr>
              <w:t xml:space="preserve">持文稿规整。过滤规则支持用户自定义（增删改）。</w:t>
              <w:br/>
              <w:t xml:space="preserve">12.辅助会议记录：支持实时编辑转写结果。提供会议纪要标注功能，通过对文本重点标注，实现标注音频资料回听功能。</w:t>
              <w:br/>
              <w:t xml:space="preserve">13.持离线转写：支持2G以内多种文件类型（wav\mp3\pcm）的快速离线转写，支持录音文件的批量导入，方便用户将录制的音频材料在会后进行转写和记录整理。</w:t>
              <w:br/>
              <w:t xml:space="preserve">14.会后记录管理：支持历史会议检索（按案号、会议名称、时间）、查看详情、删除（需二次确认）。支持整个会议音频回听（进度条拖拽、倍速0.5x-2x）。删除操作记入审计日志。</w:t>
              <w:br/>
              <w:t xml:space="preserve">14）文本资料导出</w:t>
            </w:r>
            <w:r>
              <w:rPr>
                <w:rFonts w:ascii="SimSun" w:hAnsi="SimSun" w:eastAsia="SimSun" w:cs="SimSun"/>
                <w:color w:val="000000"/>
                <w:sz w:val="24"/>
              </w:rPr>
              <w:t xml:space="preserve">：支持导出全文本、会议记录（含参会人、议程等）、音频文件、重点文本（标注内容）、筛选文本（按角色/时间段）。导出以文件夹形式，文件名称默认“议题名称+会议纪要”，支持自定义。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1.系统结构:集中式的信号处理架构，分布式信号接入，支持通过配置实现集中式或分散式部署。</w:t>
              <w:br/>
              <w:t xml:space="preserve">2.网络音频协议：支持AES67网络音频协议，兼容Dante协议。AES67网络通道能力：发送≥64路，接收≥64路，合计≥128×128路。</w:t>
              <w:br/>
              <w:t xml:space="preserve">3.处理器类型：处理器应符合安全可靠测评要求，支持以下DSP功能模块：图示均衡、延时、压缩器、峰值限幅器、分频器、噪声门、AGC（自动增益）、混音器（支持增益共享式混音和门限式混音）、路由矩阵。</w:t>
              <w:br/>
              <w:t xml:space="preserve">4.反馈抑制：具备≥24个可编程陷波点反馈抑制器，可自由分配动态/静态陷波点，支持</w:t>
            </w:r>
            <w:r>
              <w:rPr>
                <w:rFonts w:ascii="SimSun" w:hAnsi="SimSun" w:eastAsia="SimSun" w:cs="SimSun"/>
                <w:color w:val="000000"/>
                <w:sz w:val="24"/>
              </w:rPr>
              <w:t xml:space="preserve">自动/手动切换。支持移频反馈抑制功能。</w:t>
              <w:br/>
              <w:t xml:space="preserve">5.回声消除：具备最大 40 个独立回声消除（AEC）。</w:t>
              <w:br/>
              <w:t xml:space="preserve">6.控制协议：支持TCP/IP/UDP等方式通过中控对服务器进行信号路由切换/DSP等控制。</w:t>
              <w:br/>
              <w:t xml:space="preserve">7.USB Audio通道：支持USB Audio通道≥8×8通道。</w:t>
              <w:br/>
              <w:t xml:space="preserve">8.固件升级：支持OTA固件升级。</w:t>
              <w:br/>
              <w:t xml:space="preserve">9.离线编辑：支持离线编辑,用户可离线设计此平台的音频处理流程、系统音频网络管理流程，并可仿真运行。</w:t>
              <w:br/>
              <w:t xml:space="preserve">10.操作系统兼容性：系统控制软件应具备跨平台能力，兼容银河麒麟桌面操作系统（兆芯版）、银河麒麟桌面操作系统（飞</w:t>
            </w:r>
            <w:r>
              <w:rPr>
                <w:rFonts w:ascii="SimSun" w:hAnsi="SimSun" w:eastAsia="SimSun" w:cs="SimSun"/>
                <w:color w:val="000000"/>
                <w:sz w:val="24"/>
              </w:rPr>
              <w:t xml:space="preserve">腾版）、统信UOS等主流系统。</w:t>
              <w:br/>
              <w:t xml:space="preserve">11.矩阵混音与自动混音：最大矩阵混音:512*512，最大8组自动混音器，自动混音每组最大64路，自动混音支持增益共享式和门限式两种算法。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1.整体要求：采用模块化设计，支持标准机架式安装。具备至少16路平衡式话筒/线路输入（XLR接口）和16路平衡式线路输出（XLR接口），所有输入输出接口均支持+48V幻象供电独立开关控制。</w:t>
              <w:br/>
              <w:t xml:space="preserve">2.网络音频协议：设备核心支持AES67网络音频协议，实现网络音频数据的高品质、低延时传输。须兼容Dante协议，确保与业界主流网络音频生态系统互通。</w:t>
              <w:br/>
              <w:t xml:space="preserve">3.核心性能指标：</w:t>
              <w:br/>
              <w:t xml:space="preserve">  采样率:48 kHz，± 100 ppm;</w:t>
              <w:br/>
              <w:t xml:space="preserve">  总谐波失真加噪声（THD+N）：在+17dBu测试电平下，＜ -95dB；</w:t>
              <w:br/>
              <w:t xml:space="preserve">  模拟输入至网络输出</w:t>
            </w:r>
            <w:r>
              <w:rPr>
                <w:rFonts w:ascii="SimSun" w:hAnsi="SimSun" w:eastAsia="SimSun" w:cs="SimSun"/>
                <w:color w:val="000000"/>
                <w:sz w:val="24"/>
              </w:rPr>
              <w:t xml:space="preserve">的等效输入噪声（EIN）低，动态范围（A计权）≥113dB；</w:t>
              <w:br/>
              <w:t xml:space="preserve">  模拟输出动态范围（A计权）≥113dB。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反馈抑制器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1.配置≥2路卡侬平衡信号输入，≥2路卡侬平衡信号输出。</w:t>
              <w:br/>
              <w:t xml:space="preserve">2.MIC1/MIC2平衡信号输入具备48V供电和独立增益调节，可调节不同阻抗的输入设备信号，  互不干扰。</w:t>
              <w:br/>
              <w:t xml:space="preserve">3.后面板具备AFS拨码开关或独立按键，开启后进入自适应反馈模式/自动抑制啸叫功能，免人工调试，全时自适应。</w:t>
              <w:br/>
              <w:t xml:space="preserve">4.频率响应: 20Hz-20KHz</w:t>
              <w:br/>
              <w:t xml:space="preserve">5.通道噪音: &lt;-90dBu</w:t>
              <w:br/>
              <w:t xml:space="preserve">6.采样率: 48k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语音引擎服务器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1、CPU：不低于48核*2，主频：≥2.6GHz，满足安全可靠测评要求； </w:t>
              <w:br/>
              <w:t xml:space="preserve">2、内存：≥128GB；</w:t>
              <w:br/>
              <w:t xml:space="preserve">3、硬盘：≥480 SATA SSD，1200GB SAS；</w:t>
              <w:br/>
              <w:t xml:space="preserve">4、RAID：RAID标卡-PCIE 4.0 X8 -4GB cache-RAID 0,1,5,6,10,50,60,支持超级电容和边带管理；</w:t>
              <w:br/>
              <w:t xml:space="preserve">5、Riser模组：3*16X SLOT (PCIE X8) RISER1&amp;2 模组；</w:t>
              <w:br/>
              <w:t xml:space="preserve">6、NPU≥2*atlas300i pro</w:t>
            </w:r>
            <w:r/>
          </w:p>
          <w:p>
            <w:pPr>
              <w:ind w:left="0" w:right="0" w:firstLine="0"/>
              <w:jc w:val="left"/>
              <w:spacing w:before="200" w:after="20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P1.5LED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1.像素结构：1R1G1B。</w:t>
              <w:br/>
              <w:t xml:space="preserve">2.封装方式：SMD。</w:t>
              <w:br/>
              <w:t xml:space="preserve">3.像素间距：≤1.538mm。</w:t>
              <w:br/>
              <w:t xml:space="preserve">4.像素密度：422500点/㎡。</w:t>
              <w:br/>
              <w:t xml:space="preserve">5.箱体材质：压铸铝箱体。</w:t>
              <w:br/>
              <w:t xml:space="preserve">6.维护方式：完全前维护。</w:t>
              <w:br/>
              <w:t xml:space="preserve">7.封装工艺：采用铜线或金线封装。</w:t>
              <w:br/>
              <w:t xml:space="preserve">8. 白平衡亮度≥600 cd/㎡。</w:t>
              <w:br/>
              <w:t xml:space="preserve">9. 色温：3000-18000K可调。</w:t>
              <w:br/>
              <w:t xml:space="preserve">10. 灰度等级≥16bit</w:t>
              <w:br/>
              <w:t xml:space="preserve">11. 可视角：水平≥160°，垂直≥160°。</w:t>
              <w:br/>
              <w:t xml:space="preserve">12. 亮度均匀性：≥97%。</w:t>
              <w:br/>
              <w:t xml:space="preserve">13. 平整度：≤0.15mm。</w:t>
              <w:br/>
              <w:t xml:space="preserve">14. 峰值功耗：≤450W/㎡。</w:t>
              <w:br/>
              <w:t xml:space="preserve">15. 平均功耗：≤160W/㎡。</w:t>
            </w:r>
            <w:r>
              <w:rPr>
                <w:rFonts w:ascii="SimSun" w:hAnsi="SimSun" w:eastAsia="SimSun" w:cs="SimSun"/>
                <w:color w:val="000000"/>
                <w:sz w:val="24"/>
              </w:rPr>
              <w:br/>
              <w:t xml:space="preserve">16. 视频输入接口：至少具备HDMI、DVI、VGA、CVBS等常用接口。</w:t>
              <w:br/>
              <w:t xml:space="preserve">17. 控制接口：支持RS232/USB/网络控制。</w:t>
              <w:br/>
              <w:t xml:space="preserve">18. 工作电压：AC 110V-240V宽电压。</w:t>
              <w:br/>
              <w:t xml:space="preserve">19. 使用寿命：≥100,000小时。</w:t>
              <w:br/>
              <w:t xml:space="preserve">20. 失控点参数：出厂时无失控点，整屏失控点≤1/10000。</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21.包含两块大屏，单块显示尺寸约2.24m*1.28m，可能会根据现场情况有细微调整，供应商报价时需一并考虑。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室内LED服务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包含大屏设计，支架安装，大屏安装，系统调试，使用培训，信号线布置，包含大要案法庭、观摩室（大法庭）、观摩室（大法庭）、指挥中心、新闻发布中心、安检区域场所、审判楼的所有LED大屏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配套支架，材质为优质冷轧钢板，大要案法庭、观摩室（大法庭）、观摩室（大法庭）、指挥中心、新闻发布中心、安检区域、审判楼以上区域的所有LED大屏支架，支架尺寸于对应区域的大屏的尺寸。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LED大屏2K发送卡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支持1路视频信号输入，支持HDMI1.4 分辨率1920*1200@60Hz</w:t>
              <w:br/>
              <w:t xml:space="preserve">支持帧率自适应，图像采集可支持25HZ~60HZ自适应</w:t>
              <w:br/>
              <w:t xml:space="preserve">支持6路网口带载输出，带载高达390万像素，单台设备最大带载最大宽度5120，最大高度5120，每网口最大65W</w:t>
              <w:br/>
              <w:t xml:space="preserve">支持HDMI音视频复合流输入，支持3.5mm音频输出</w:t>
              <w:br/>
              <w:t xml:space="preserve">支持HDCP 2.2协议的高带宽数字内容保护技术。</w:t>
              <w:br/>
              <w:t xml:space="preserve">支持通过客户端、Web等多软件端进行操作支持。</w:t>
              <w:br/>
              <w:t xml:space="preserve">音频输入接口数≥1</w:t>
              <w:br/>
              <w:t xml:space="preserve">音频输入接口类型≥1路HDMI输入内嵌</w:t>
              <w:br/>
              <w:t xml:space="preserve">音频输出接口数≥1</w:t>
              <w:br/>
              <w:t xml:space="preserve">音频输出接口类型≥3.5mm </w:t>
            </w:r>
            <w:r>
              <w:rPr>
                <w:rFonts w:ascii="SimSun" w:hAnsi="SimSun" w:eastAsia="SimSun" w:cs="SimSun"/>
                <w:color w:val="000000"/>
                <w:sz w:val="24"/>
              </w:rPr>
              <w:t xml:space="preserve">音频输出 </w:t>
              <w:br/>
              <w:t xml:space="preserve">视频输入接口数≥1</w:t>
              <w:br/>
              <w:t xml:space="preserve">视频输入接口类型≥HDMI1.4</w:t>
              <w:br/>
              <w:t xml:space="preserve">视频输入最大分辨率≥1080P</w:t>
              <w:br/>
              <w:t xml:space="preserve">视频输入分辨率：HDMI1.4接口</w:t>
              <w:br/>
              <w:t xml:space="preserve">最大支持分辨率：1920*1200@60Hz</w:t>
              <w:br/>
              <w:t xml:space="preserve">最小支持分辨率：320*180@60Hz</w:t>
              <w:br/>
              <w:t xml:space="preserve">支持自定义分辨率，总分辨率不超过 260W@60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10KW配电柜产品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控制方式：面板控制、电脑控制、电脑定时、中控控制</w:t>
              <w:br/>
              <w:t xml:space="preserve">保护内容：1）零线电缆高温保护  2）高温断电保护  3）短路保护  4）烟雾保护</w:t>
              <w:br/>
              <w:t xml:space="preserve">输入电压：380V</w:t>
              <w:br/>
              <w:t xml:space="preserve">输出电压：220V</w:t>
              <w:br/>
              <w:t xml:space="preserve">额定功率：10KW</w:t>
              <w:br/>
              <w:t xml:space="preserve">输出回路：3个单相回路（AC220V） </w:t>
              <w:br/>
              <w:t xml:space="preserve">每路输出最大带载功率：≤3.33KW</w:t>
              <w:br/>
              <w:t xml:space="preserve">回路状态监测：单回路</w:t>
              <w:br/>
              <w:t xml:space="preserve">主断路器：32A断路器*1</w:t>
              <w:br/>
              <w:t xml:space="preserve">交流接触器：32A交流接触器*1</w:t>
              <w:br/>
              <w:t xml:space="preserve">子断路器：32A微型1P断路器*3</w:t>
              <w:br/>
              <w:t xml:space="preserve">控制回路断路器：10A 1P+N微型漏电保护断路器*1</w:t>
              <w:br/>
              <w:t xml:space="preserve">零地排：8位铜排*1</w:t>
              <w:br/>
              <w:t xml:space="preserve">PLC控制器：PLC-180控制器*1</w:t>
              <w:br/>
            </w:r>
            <w:r>
              <w:rPr>
                <w:rFonts w:ascii="SimSun" w:hAnsi="SimSun" w:eastAsia="SimSun" w:cs="SimSun"/>
                <w:color w:val="000000"/>
                <w:sz w:val="24"/>
              </w:rPr>
              <w:t xml:space="preserve">PLC控制电源模块：DC24V电源*1</w:t>
              <w:br/>
              <w:t xml:space="preserve">串口服务器：485转USB头*1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观摩室（大法庭）LED大屏（P1.2COB箱体）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1.采用高精度压铸铝箱体结构设计，支持灯板、电源、接收卡正面拆卸，实现完全前维护，显示尺寸约10.2m×3.71m，可能会根据现场情况有细微调整，供应商报价时需一并考虑。</w:t>
              <w:br/>
              <w:t xml:space="preserve">2.产品类别：室内小间距全彩LED。</w:t>
              <w:br/>
              <w:t xml:space="preserve">3.像素结构：1R1G1B。</w:t>
              <w:br/>
              <w:t xml:space="preserve">4.封装方式：COB</w:t>
              <w:br/>
              <w:t xml:space="preserve">5.像素间距：1.25mm。</w:t>
              <w:br/>
              <w:t xml:space="preserve">6.像素密度：640000点/㎡</w:t>
              <w:br/>
              <w:t xml:space="preserve">7.白平衡亮度：600 cd/㎡</w:t>
              <w:br/>
              <w:t xml:space="preserve">8.色温：1700-15000K可调</w:t>
              <w:br/>
              <w:t xml:space="preserve">9.可视角：水平≥160°，垂直≥140°</w:t>
              <w:br/>
              <w:t xml:space="preserve">10.对比度：≥3000:1。</w:t>
              <w:br/>
              <w:t xml:space="preserve">11.色度均匀性：±0.003Cx,C</w:t>
            </w:r>
            <w:r>
              <w:rPr>
                <w:rFonts w:ascii="SimSun" w:hAnsi="SimSun" w:eastAsia="SimSun" w:cs="SimSun"/>
                <w:color w:val="000000"/>
                <w:sz w:val="24"/>
              </w:rPr>
              <w:t xml:space="preserve">y之内。</w:t>
              <w:br/>
              <w:t xml:space="preserve">12.亮度均匀性：≥95％。</w:t>
              <w:br/>
              <w:t xml:space="preserve">13.驱动方式：恒流驱动</w:t>
              <w:br/>
              <w:t xml:space="preserve">14.换帧频率：60 Hz</w:t>
              <w:br/>
              <w:t xml:space="preserve">15.刷新率：3840 Hz</w:t>
              <w:br/>
              <w:t xml:space="preserve">16.灰度等级：≥18 bit</w:t>
              <w:br/>
              <w:t xml:space="preserve">17,峰值功耗（600nits亮度下）：≤300W/㎡</w:t>
              <w:br/>
              <w:t xml:space="preserve">18.平均功耗（600nits亮度下）：≤100W/㎡</w:t>
              <w:br/>
              <w:t xml:space="preserve">19.提供备用LED显示模组≥10张，含配套排线、连接线，须与主屏模组为同一品牌、同一生产批次，并同时调试。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20.▲LED制造商应具有较强的实验室检测能力，具备灯和灯系统的光生物安全性 GB/T 20145-2006标准的测试能力。（提供国家认可的中心实验室认证证书复印件及体现检测范围内容项）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37.84</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LED大屏4K发送卡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提供不少于3路视频信号输入接口 ，任选1个接口进行视频输入。1个HDMI 2.0接口支持分辨率4096 × 2160@60 Hz，1个 DP 1.2 接口支持分辨率4096 × 2160@60 Hz，1个DVI接口支持分辨率1920 × 1200@60 Hz。</w:t>
              <w:br/>
              <w:t xml:space="preserve">支持20路网口带载输出，每网口最大带载65W像素，产品最大带载1300W像素。</w:t>
              <w:br/>
              <w:t xml:space="preserve">支持HDMI音视频复合流输入，支持3.5mm音频输出。</w:t>
              <w:br/>
              <w:t xml:space="preserve">支持HDMI2.0 环通输出 最大支持4096*2160@60Hz</w:t>
              <w:br/>
              <w:t xml:space="preserve">视频输入接口数≥3</w:t>
              <w:br/>
              <w:t xml:space="preserve">视频输入接口类型≥1路HD</w:t>
            </w:r>
            <w:r>
              <w:rPr>
                <w:rFonts w:ascii="SimSun" w:hAnsi="SimSun" w:eastAsia="SimSun" w:cs="SimSun"/>
                <w:color w:val="000000"/>
                <w:sz w:val="24"/>
              </w:rPr>
              <w:t xml:space="preserve">MI2.0+1路DP1.2+1路DVI IN</w:t>
              <w:br/>
              <w:t xml:space="preserve">视频输入最大分辨率：HDMI2.0:4K;DVI:1080P;DP1.2:4K</w:t>
              <w:br/>
              <w:t xml:space="preserve">视频输入分辨率：HDMI2.0接口：最大支持分辨率：4096*2160@60Hz，最小支持分辨率：320*180@60Hz</w:t>
              <w:br/>
              <w:t xml:space="preserve">DP1.2接口：最大支持分辨率：4096*2160@60Hz，最小支持分辨率：320*180@60Hz，可自定义分辨率，总分辨率不超过 884W@60Hz，支持HDCP2.2</w:t>
              <w:br/>
              <w:t xml:space="preserve">DVI接口：最大支持分辨率：1920*1200@60Hz，最小支持分辨率：320*18</w:t>
            </w:r>
            <w:r>
              <w:rPr>
                <w:rFonts w:ascii="SimSun" w:hAnsi="SimSun" w:eastAsia="SimSun" w:cs="SimSun"/>
                <w:color w:val="000000"/>
                <w:sz w:val="24"/>
              </w:rPr>
              <w:t xml:space="preserve">0@60Hz，可自定义分辨率，总分辨率不超过 260W@60Hz</w:t>
              <w:br/>
              <w:t xml:space="preserve">音频输入接口数：1，音频输入接口类型：1路HDMI输入内嵌 ，音频输出接口数：1，音频输出接口类型：3.5mm 音频输出 </w:t>
              <w:br/>
              <w:t xml:space="preserve">控制网口：2个RJ45，10M/100M/1000M自适应以太网口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20KW配电柜产品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控制方式：面板控制、电脑控制、电脑定时、中控控制</w:t>
              <w:br/>
              <w:t xml:space="preserve">保护内容：1）零线电缆高温保护  2）高温断电保护  3）短路保护  4）烟雾保护</w:t>
              <w:br/>
              <w:t xml:space="preserve">输入电压：380V，三相五线</w:t>
              <w:br/>
              <w:t xml:space="preserve">输出电压：220V</w:t>
              <w:br/>
              <w:t xml:space="preserve">额定功率：20KW</w:t>
              <w:br/>
              <w:t xml:space="preserve">输出回路：6个单相回路（AC220V） </w:t>
              <w:br/>
              <w:t xml:space="preserve">每路输出最大带载功率：≤3.33KW</w:t>
              <w:br/>
              <w:t xml:space="preserve">主断路器：63A断路器*1</w:t>
              <w:br/>
              <w:t xml:space="preserve">交流接触器：32A交流接触器*2</w:t>
              <w:br/>
              <w:t xml:space="preserve">子断路器：32A微型1P断路器*6</w:t>
              <w:br/>
              <w:t xml:space="preserve">控制回路断路器：10A 1P+N微型漏电保护断路器*1</w:t>
              <w:br/>
              <w:t xml:space="preserve">零地排：8位铜排*1</w:t>
              <w:br/>
              <w:t xml:space="preserve">PLC控制器：PLC-180控制器*1</w:t>
              <w:br/>
              <w:t xml:space="preserve">PLC控制电</w:t>
            </w:r>
            <w:r>
              <w:rPr>
                <w:rFonts w:ascii="SimSun" w:hAnsi="SimSun" w:eastAsia="SimSun" w:cs="SimSun"/>
                <w:color w:val="000000"/>
                <w:sz w:val="24"/>
              </w:rPr>
              <w:t xml:space="preserve">源模块：DC24V电源*1</w:t>
              <w:br/>
              <w:t xml:space="preserve">串口服务器：485转USB头*1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P4.75室内红绿双色LED（前屏）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产品类别：LED室内双色显示屏，显示尺寸约10.3m×0.45m，可能会根据现场情况有细微调整，供应商报价时需一并考虑。 </w:t>
              <w:br/>
              <w:t xml:space="preserve">亮度≥700 cd/m²</w:t>
              <w:br/>
              <w:t xml:space="preserve">刷新率：1920 Hz</w:t>
              <w:br/>
              <w:t xml:space="preserve">显示颜色：红色、绿色、黄色</w:t>
              <w:br/>
              <w:t xml:space="preserve">像素结构：红色、绿色发光管</w:t>
              <w:br/>
              <w:t xml:space="preserve">模组分辨率：64×32</w:t>
              <w:br/>
              <w:t xml:space="preserve">像素密度：44321点/㎡ </w:t>
              <w:br/>
              <w:t xml:space="preserve">驱动方式：恒流驱动</w:t>
              <w:br/>
              <w:t xml:space="preserve">换帧频率：60 Hz</w:t>
              <w:br/>
              <w:t xml:space="preserve">灰度等级：14-bit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P4.75室内红绿双色LED（后屏）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产品类别：LED室内双色显示屏，显示尺寸约5.1m×0.45m，可能会根据现场情况有细微调整，供应商报价时需一并考虑。 </w:t>
              <w:br/>
              <w:t xml:space="preserve">亮度≥700 cd/m²</w:t>
              <w:br/>
              <w:t xml:space="preserve">刷新率：1920 Hz</w:t>
              <w:br/>
              <w:t xml:space="preserve">显示颜色：红色、绿色、黄色</w:t>
              <w:br/>
              <w:t xml:space="preserve">像素结构：红色、绿色发光管</w:t>
              <w:br/>
              <w:t xml:space="preserve">模组分辨率：64×32</w:t>
              <w:br/>
              <w:t xml:space="preserve">像素密度：44321点/㎡ </w:t>
              <w:br/>
              <w:t xml:space="preserve">驱动方式：恒流驱动</w:t>
              <w:br/>
              <w:t xml:space="preserve">换帧频率：60 Hz</w:t>
              <w:br/>
              <w:t xml:space="preserve">灰度等级：14-bit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观摩室（大法庭）LED二合一拼控卡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采用1U半宽机架式设计，前面板具备全彩OLED非触摸屏，分辨率128x64</w:t>
              <w:br/>
              <w:t xml:space="preserve">支持3路HDMI视频信号输入，4路网口带载输出，带载高达260万像素</w:t>
              <w:br/>
              <w:t xml:space="preserve">支持视频信号输入全屏缩放及自定义缩放.支持任意切换，拼接</w:t>
              <w:br/>
              <w:t xml:space="preserve">视频输入分辨率（HDMI）：总分辨率不超过260W@60，可自定义分辨率，最大支持分辨率：2048*1269@60Hz，最小支持分辨率：320*180@60Hz</w:t>
              <w:br/>
              <w:t xml:space="preserve">视频输入接口≥HDMI1.4*3</w:t>
              <w:br/>
              <w:t xml:space="preserve">视频输入极限高度（HDMI）：180~4096</w:t>
              <w:br/>
              <w:t xml:space="preserve">视频输入极限宽度（HDMI）：320~4096 </w:t>
              <w:br/>
              <w:t xml:space="preserve">LED带载输出</w:t>
            </w:r>
            <w:r>
              <w:rPr>
                <w:rFonts w:ascii="SimSun" w:hAnsi="SimSun" w:eastAsia="SimSun" w:cs="SimSun"/>
                <w:color w:val="000000"/>
                <w:sz w:val="24"/>
              </w:rPr>
              <w:t xml:space="preserve">接口≥千兆网口*4</w:t>
              <w:br/>
              <w:t xml:space="preserve">视频输出极限宽度：320~5120</w:t>
              <w:br/>
              <w:t xml:space="preserve">LED带载输出分辨率：单网口带载65W，最大带载260万像素，可自定义分辨率</w:t>
              <w:br/>
              <w:t xml:space="preserve">视频输出极限高度：180~5120 </w:t>
              <w:br/>
              <w:t xml:space="preserve">音频输入接口≥HDMI内嵌*3 </w:t>
              <w:br/>
              <w:t xml:space="preserve">音频输出接口≥LINE OUT 3.5mm*1 </w:t>
              <w:br/>
              <w:t xml:space="preserve">其他接口：HDMI1.4*1（视频预监输出）、10M/100M/1000M自适应以太网口*2（管理使用）、IR输入*1、串口*1、RS485*1、USB 2.0*1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75寸信息展示屏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≥75寸电视，含壁挂支架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100寸信息展示屏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≥100寸信息展示屏，含壁挂支架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提词器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尺寸不小于30寸，支持遥控器控制，包含移动支架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指挥中心LED大屏（P1.2COB箱体）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1.采用高精度压铸铝箱体结构设计，支持灯板、电源、接收卡正面拆卸，实现完全前维护，显示尺寸约6m×2.7m，可能会根据现场情况有细微调整，供应商报价时需一并考虑。</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2.产品类别：室内小间距全彩LED。</w:t>
              <w:br/>
              <w:t xml:space="preserve">3.像素结构：1R1G1B。</w:t>
              <w:br/>
              <w:t xml:space="preserve">4.封装方式：COB</w:t>
              <w:br/>
              <w:t xml:space="preserve">5.像素间距：1.25mm。</w:t>
              <w:br/>
              <w:t xml:space="preserve">6.像素密度：640000点/㎡</w:t>
              <w:br/>
              <w:t xml:space="preserve">7.白平衡亮度：600 cd/㎡</w:t>
              <w:br/>
              <w:t xml:space="preserve">8.色温：1700-15000K可调</w:t>
              <w:br/>
              <w:t xml:space="preserve">9.可视角：水平≥160°，垂直≥140°</w:t>
              <w:br/>
              <w:t xml:space="preserve">10.对比度：≥3000:1。</w:t>
              <w:br/>
              <w:t xml:space="preserve">11.色度均匀性：±0.003Cx,Cy之内。</w:t>
              <w:br/>
              <w:t xml:space="preserve">12.亮度均匀性：≥95％。</w:t>
              <w:br/>
              <w:t xml:space="preserve">13.驱动方式：恒流驱动</w:t>
              <w:br/>
              <w:t xml:space="preserve">14.换帧频率：60 Hz</w:t>
              <w:br/>
              <w:t xml:space="preserve">15.刷新率：3840 Hz</w:t>
              <w:br/>
              <w:t xml:space="preserve">16.灰度等级：≥18 bit</w:t>
              <w:br/>
              <w:t xml:space="preserve">17,峰值功耗（</w:t>
            </w:r>
            <w:r>
              <w:rPr>
                <w:rFonts w:ascii="SimSun" w:hAnsi="SimSun" w:eastAsia="SimSun" w:cs="SimSun"/>
                <w:color w:val="000000"/>
                <w:sz w:val="24"/>
              </w:rPr>
              <w:t xml:space="preserve">600nits亮度下）：≤300W/㎡</w:t>
              <w:br/>
              <w:t xml:space="preserve">18.平均功耗（600nits亮度下）：≤100W/㎡</w:t>
              <w:br/>
              <w:t xml:space="preserve">19.提供备用LED显示模组≥4张，含配套排线、连接线，须与主屏模组为同一品牌、同一生产批次，并同时调试。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20.▲LED制造商应具有较强的实验室检测能力，具备灯和灯系统的光生物安全性 GB/T 20145-2006标准的测试能力。（提供国家认可的中心实验室认证证书复印件及体现检测范围内容项）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新闻发布中心LED大屏（P1.2COB箱体）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1.采用高精度压铸铝箱体结构设计，支持灯板、电源、接收卡正面拆卸，实现完全前维护，显示尺寸约4.2m×2.36m，可能会根据现场情况有细微调整，供应商报价时需一并考虑。</w:t>
              <w:br/>
              <w:t xml:space="preserve">2.产品类别：室内小间距全彩LED。</w:t>
              <w:br/>
              <w:t xml:space="preserve">3.像素结构：1R1G1B。</w:t>
              <w:br/>
              <w:t xml:space="preserve">4.封装方式：COB</w:t>
              <w:br/>
              <w:t xml:space="preserve">5.像素间距：1.25mm。</w:t>
              <w:br/>
              <w:t xml:space="preserve">6.像素密度：640000点/㎡</w:t>
              <w:br/>
              <w:t xml:space="preserve">7.白平衡亮度：600 cd/㎡</w:t>
              <w:br/>
              <w:t xml:space="preserve">8.色温：1700-15000K可调</w:t>
              <w:br/>
              <w:t xml:space="preserve">9.可视角：水平≥160°，垂直≥140°</w:t>
              <w:br/>
              <w:t xml:space="preserve">10.对比度：≥3000:1。</w:t>
              <w:br/>
              <w:t xml:space="preserve">11.色度均匀性：±0.003Cx,Cy</w:t>
            </w:r>
            <w:r>
              <w:rPr>
                <w:rFonts w:ascii="SimSun" w:hAnsi="SimSun" w:eastAsia="SimSun" w:cs="SimSun"/>
                <w:color w:val="000000"/>
                <w:sz w:val="24"/>
              </w:rPr>
              <w:t xml:space="preserve">之内。</w:t>
              <w:br/>
              <w:t xml:space="preserve">12.亮度均匀性：≥95％。</w:t>
              <w:br/>
              <w:t xml:space="preserve">13.驱动方式：恒流驱动</w:t>
              <w:br/>
              <w:t xml:space="preserve">14.换帧频率：60 Hz</w:t>
              <w:br/>
              <w:t xml:space="preserve">15.刷新率：3840 Hz</w:t>
              <w:br/>
              <w:t xml:space="preserve">16.灰度等级：≥18 bit</w:t>
              <w:br/>
              <w:t xml:space="preserve">17,峰值功耗（600nits亮度下）：≤300W/㎡</w:t>
              <w:br/>
              <w:t xml:space="preserve">18.平均功耗（600nits亮度下）：≤100W/㎡</w:t>
              <w:br/>
              <w:t xml:space="preserve">19.提供备用LED显示模组≥2张，含配套排线、连接线，须与主屏模组为同一品牌、同一生产批次，并同时调试。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20.▲LED制造商应具有较强的实验室检测能力，具备灯和灯系统的光生物安全性 GB/T 20145-2006标准的测试能力。（提供国家认可的中心实验室认证证书复印件及体现检测范围内容项）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P4.75室内红绿双色LED（新闻发布中心）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产品类别：LED室内双色显示屏，显示尺寸约5.1m×0.45m，可能会根据现场情况有细微调整，供应商报价时需一并考虑。</w:t>
              <w:br/>
              <w:t xml:space="preserve">亮度≥700 cd/m²</w:t>
              <w:br/>
              <w:t xml:space="preserve">刷新率：1920 Hz</w:t>
              <w:br/>
              <w:t xml:space="preserve">显示颜色：红色、绿色、黄色</w:t>
              <w:br/>
              <w:t xml:space="preserve">像素结构：红色、绿色发光管</w:t>
              <w:br/>
              <w:t xml:space="preserve">模组分辨率：64×32</w:t>
              <w:br/>
              <w:t xml:space="preserve">像素密度：44321点/㎡ </w:t>
              <w:br/>
              <w:t xml:space="preserve">驱动方式：恒流驱动</w:t>
              <w:br/>
              <w:t xml:space="preserve">换帧频率：60 Hz</w:t>
              <w:br/>
              <w:t xml:space="preserve">灰度等级：14-bit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双色LED条屏升降支架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新闻发布中心LED二合一拼控卡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支持不少于3路HDMI视频信号输入，4路网口带载输出，带载高达260万像素</w:t>
              <w:br/>
              <w:t xml:space="preserve">支持视频信号输入全屏缩放及自定义缩放.支持任意切换，拼接</w:t>
              <w:br/>
              <w:t xml:space="preserve">视频输入分辨率（HDMI）：总分辨率不超过260W@60，可自定义分辨率，最大支持分辨率：2048*1269@60Hz，最小支持分辨率：320*180@60Hz</w:t>
              <w:br/>
              <w:t xml:space="preserve">视频输入接口≥HDMI1.4*3</w:t>
              <w:br/>
              <w:t xml:space="preserve">视频输入极限高度（HDMI）：180~4096</w:t>
              <w:br/>
              <w:t xml:space="preserve">视频输入极限宽度（HDMI）：320~4096 </w:t>
              <w:br/>
              <w:t xml:space="preserve">LED带载输出接口≥千兆网口*4</w:t>
              <w:br/>
              <w:t xml:space="preserve">视频输出极限宽度：320~5120</w:t>
              <w:br/>
              <w:t xml:space="preserve">LED带载输出</w:t>
            </w:r>
            <w:r>
              <w:rPr>
                <w:rFonts w:ascii="SimSun" w:hAnsi="SimSun" w:eastAsia="SimSun" w:cs="SimSun"/>
                <w:color w:val="000000"/>
                <w:sz w:val="24"/>
              </w:rPr>
              <w:t xml:space="preserve">分辨率：单网口带载65W，最大带载260万像素，可自定义分辨率</w:t>
              <w:br/>
              <w:t xml:space="preserve">视频输出极限高度：180~5120 </w:t>
              <w:br/>
              <w:t xml:space="preserve">音频输入接口≥HDMI内嵌*3 </w:t>
              <w:br/>
              <w:t xml:space="preserve">音频输出接口≥LINE OUT 3.5mm*1 </w:t>
              <w:br/>
              <w:t xml:space="preserve">其他接口：HDMI1.4*1（视频预监输出）、10M/100M/1000M自适应以太网口*2（管理使用）、IR输入*1、串口*1、RS485*1、USB 2.0*1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55寸拼接屏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尺寸：≥55英寸。</w:t>
              <w:br/>
              <w:t xml:space="preserve">背光类型：D-LED或等效直下式LED背光源。</w:t>
              <w:br/>
              <w:t xml:space="preserve">双边物理拼缝：≤1.7mm。</w:t>
              <w:br/>
              <w:t xml:space="preserve">物理分辨率：≥1920×1080，刷新率≥60Hz。</w:t>
              <w:br/>
              <w:t xml:space="preserve">亮度：≥500cd/m²。</w:t>
              <w:br/>
              <w:t xml:space="preserve">显示色彩：≥16.7M（8bit）。</w:t>
              <w:br/>
              <w:t xml:space="preserve">使用寿命：≥50,000小时，支持7×24小时连续工作。</w:t>
              <w:br/>
              <w:t xml:space="preserve">视频输入接口：至少具备HDMI输入×1、DVI输入×1、USB×1。外观材质：金属外壳，防辐射、防磁场、防强电场干扰。</w:t>
              <w:br/>
              <w:t xml:space="preserve">电源：支持100~240V宽电压输入。</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控制方式：支持红外遥控器、快捷面板和串口客户端统一控制。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拼接屏安装服务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包含支架安装，屏幕安装，系统调试，使用培训，信号线布置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LCD拼接屏支架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55英寸-气动前维护壁挂支架</w:t>
              <w:br/>
              <w:t xml:space="preserve">表面处理：静电喷塑，涂层厚度&gt;60微米</w:t>
              <w:br/>
              <w:t xml:space="preserve">可定制厚度，颜色，四周封板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LCD拼接屏快捷操作面板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LCD拼接屏快捷操作面板</w:t>
              <w:br/>
              <w:t xml:space="preserve">支持全屏开关机</w:t>
              <w:br/>
              <w:t xml:space="preserve">支持屏幕亮度调节</w:t>
              <w:br/>
              <w:t xml:space="preserve">支持切换4种不同显示场景</w:t>
              <w:br/>
              <w:t xml:space="preserve">86盒大小</w:t>
              <w:br/>
              <w:t xml:space="preserve">按键数量≥8个</w:t>
              <w:br/>
              <w:t xml:space="preserve">供电方式：干电池供电</w:t>
              <w:br/>
              <w:t xml:space="preserve">遥控距离：≥10米（空旷无阻挡）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9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4路超高清解码器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视频输入</w:t>
              <w:br/>
              <w:t xml:space="preserve">• 支持电脑、视频会议终端等视频输入信号源，支持不少于2路1080P@50/60 或1路4K@30，通过HDMI 1.4本地输入，HDMI可内嵌音频</w:t>
              <w:br/>
              <w:t xml:space="preserve"> 视频输出</w:t>
              <w:br/>
              <w:t xml:space="preserve">• 支持HDMI 1.4视频信号输出，支持4K分辨率（3840 × 2160@30 Hz）超高清输出；支持对接LED显示系统，视频输出最大的LED带载能力为单口260 W</w:t>
              <w:br/>
              <w:t xml:space="preserve">视频编解码</w:t>
              <w:br/>
              <w:t xml:space="preserve">• 最大支持3200w分辨率解码，具有64个解码通道，支持32路200W或64路720P视频同时解码上墙</w:t>
              <w:br/>
              <w:t xml:space="preserve">电视墙功能</w:t>
              <w:br/>
              <w:t xml:space="preserve">• 支持单面电视墙拼接、开窗、窗口跨屏</w:t>
            </w:r>
            <w:r>
              <w:rPr>
                <w:rFonts w:ascii="SimSun" w:hAnsi="SimSun" w:eastAsia="SimSun" w:cs="SimSun"/>
                <w:color w:val="000000"/>
                <w:sz w:val="24"/>
              </w:rPr>
              <w:t xml:space="preserve">漫游、场景轮巡和窗口轮巡功能，单屏支持4个1080P或2个4K图层，单窗口支持1/4/6/8/9/16/25/36窗口分屏功能，整机最大支持64个场景，整机支持256个平台预案轮巡组</w:t>
              <w:br/>
              <w:t xml:space="preserve">• 支持RTP\RTSP协议进行网络源预览，可通过客户端进行桌面投屏上墙</w:t>
              <w:br/>
              <w:t xml:space="preserve">解码分辨率：最高3200W像素</w:t>
              <w:br/>
              <w:t xml:space="preserve">视频解码能力：H.264/H.265：支持2路3200W，或2路2400W，或4路1200W，或8路800W，或10路600W，或16路400W，或32路1080P，或64路720P及以下分辨率实时解码</w:t>
              <w:br/>
              <w:t xml:space="preserve">单口画面分割数：1</w:t>
            </w:r>
            <w:r>
              <w:rPr>
                <w:rFonts w:ascii="SimSun" w:hAnsi="SimSun" w:eastAsia="SimSun" w:cs="SimSun"/>
                <w:color w:val="000000"/>
                <w:sz w:val="24"/>
              </w:rPr>
              <w:t xml:space="preserve">,2,4,6,8,9,12,16,25,36 </w:t>
              <w:br/>
              <w:t xml:space="preserve">音频输入接口：≥2路HDMI内嵌 </w:t>
              <w:br/>
              <w:t xml:space="preserve">视频输入接口：≥2路HDMI 1.4，最大支持4K（仅奇数口） </w:t>
              <w:br/>
              <w:t xml:space="preserve">视频输出分辨率：3840 × 2160@30 Hz、2560 × 1440@30 Hz、1920 × 1200@60 Hz、1920 × 1080@60 Hz、1920 × 1080@50 Hz、1680 × 1050@60 Hz、1600 × 1200@60 Hz、1280 × 1024@60 Hz、1280 × 720@60 Hz、1280 × 720@5</w:t>
            </w:r>
            <w:r>
              <w:rPr>
                <w:rFonts w:ascii="SimSun" w:hAnsi="SimSun" w:eastAsia="SimSun" w:cs="SimSun"/>
                <w:color w:val="000000"/>
                <w:sz w:val="24"/>
              </w:rPr>
              <w:t xml:space="preserve">0 Hz、1024 × 768@60 Hz</w:t>
              <w:br/>
              <w:t xml:space="preserve">机箱接口：RJ45 10M/100 M/1000 Mbps 自适应以太网接口*1； 光口 100base-FX/1000base-X*1，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安检区域大屏（P1.5模组）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像素结构：1R1G1B</w:t>
              <w:br/>
              <w:t xml:space="preserve">像素间距：1.538mm</w:t>
              <w:br/>
              <w:t xml:space="preserve">像素密度：422500点/㎡ </w:t>
              <w:br/>
              <w:t xml:space="preserve">维护方式：完全前维护 </w:t>
              <w:br/>
            </w:r>
            <w:r>
              <w:rPr>
                <w:rFonts w:ascii="SimSun" w:hAnsi="SimSun" w:eastAsia="SimSun" w:cs="SimSun"/>
                <w:color w:val="000000"/>
                <w:sz w:val="24"/>
                <w:u w:val="none"/>
              </w:rPr>
              <w:t xml:space="preserve">封装工艺：采用铜线或金线封装</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白平衡亮度≥600 cd/㎡</w:t>
              <w:br/>
              <w:t xml:space="preserve">色温：3000-10000 K可调</w:t>
              <w:br/>
              <w:t xml:space="preserve">可视角：160°(H)/160°(V)</w:t>
              <w:br/>
              <w:t xml:space="preserve">对比度：3000：1</w:t>
              <w:br/>
              <w:t xml:space="preserve">色度均匀性：± 0.003Cx，Cy之内</w:t>
              <w:br/>
              <w:t xml:space="preserve">亮度均匀性：≥ 97％</w:t>
              <w:br/>
              <w:t xml:space="preserve">灰度等级：最大支持16 bit </w:t>
              <w:br/>
              <w:t xml:space="preserve">峰值功耗：≤420W/㎡</w:t>
              <w:br/>
              <w:t xml:space="preserve">平均功耗：≤140W/㎡</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显示尺寸约，3.2m×1.6m,可能会根据现场情况有细微调整，供应商报价时需一并考虑。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审判楼大屏（P1.5模组）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像素结构：1R1G1B</w:t>
              <w:br/>
              <w:t xml:space="preserve">像素间距：1.538mm</w:t>
              <w:br/>
              <w:t xml:space="preserve">像素密度：422500点/㎡ </w:t>
              <w:br/>
              <w:t xml:space="preserve">维护方式：完全前维护 </w:t>
              <w:br/>
              <w:t xml:space="preserve">封装工艺：采用铜线或金线封装</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白平衡亮度≥600 cd/㎡</w:t>
              <w:br/>
              <w:t xml:space="preserve">色温：3000-10000 K可调</w:t>
              <w:br/>
              <w:t xml:space="preserve">可视角：160°(H)/160°(V)</w:t>
              <w:br/>
              <w:t xml:space="preserve">对比度：3000：1</w:t>
              <w:br/>
              <w:t xml:space="preserve">色度均匀性：± 0.003Cx，Cy之内</w:t>
              <w:br/>
              <w:t xml:space="preserve">亮度均匀性：≥ 97％</w:t>
              <w:br/>
              <w:t xml:space="preserve">灰度等级：最大支持16 bit </w:t>
              <w:br/>
              <w:t xml:space="preserve">峰值功耗：≤420W/㎡</w:t>
              <w:br/>
              <w:t xml:space="preserve">平均功耗：≤140W/㎡</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显示尺寸约3.2m×2.4m，可能会根据现场情况有细微调整，供应商报价时需一并考虑。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控制室部分装修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大要案法庭、观摩室（大法庭）、综合指挥中心、新闻发布中心4个区域控制室的防静电地板（总计约56.71平方），支架之间引线接地、防尘及保温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600*800*2000前玻璃后钢板门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PDU</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8位带16A插口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64A空开2个、32A空开8个，尺寸为 1200*800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3*16电缆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YJV 3*16  国标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防雷接地系统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铜排、绝缘子、等电位段子、铜箔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三联，带椅子 ，长度不小于 1.8米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其他配套保障系统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4口电话光端机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电话光端机，端口数量≥4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2P 空调挂机， 含安装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温湿度检测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环境温湿度检测设备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会议摄像头支架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隐藏式安装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其他配套保障系统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8口电话光端机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电话光端机，端口数量≥8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会议吊装升降支架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总高2米、隐藏式安装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4路HDMI视频分配器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HDMI1进4出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POE交换机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千兆POE交换机，端口数量≥8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UPS主机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输入参数：</w:t>
              <w:br/>
              <w:t xml:space="preserve">额定电压：220VAC（L+N+PE）</w:t>
              <w:br/>
              <w:t xml:space="preserve">电压范围：120～275VAC；176～275VAC 满载</w:t>
              <w:br/>
              <w:t xml:space="preserve">频率范围：40～70Hz，50/60Hz 自适应，兼容发电机</w:t>
              <w:br/>
              <w:t xml:space="preserve">输入功率因数：≥0.99（满载）</w:t>
              <w:br/>
              <w:t xml:space="preserve">输入谐波 THDi：＜5%（满载）</w:t>
              <w:br/>
              <w:t xml:space="preserve">输出参数：</w:t>
              <w:br/>
              <w:t xml:space="preserve">额定电压：220VAC ±1%</w:t>
              <w:br/>
              <w:t xml:space="preserve">频率：</w:t>
              <w:br/>
              <w:t xml:space="preserve">市电模式：与输入同步（46.5～55Hz）</w:t>
              <w:br/>
              <w:t xml:space="preserve">电池模式：50Hz ±0.1%</w:t>
              <w:br/>
              <w:t xml:space="preserve">波形：纯正弦波；线性负载 THDv≤1%，非线性负载≤3%</w:t>
              <w:br/>
              <w:t xml:space="preserve">电流峰值比：≥3:1</w:t>
              <w:br/>
              <w:t xml:space="preserve">整机效率：≥90%（满载）；ECO 模式 ≥98%</w:t>
              <w:br/>
              <w:t xml:space="preserve">配置：</w:t>
            </w:r>
            <w:r>
              <w:rPr>
                <w:rFonts w:ascii="SimSun" w:hAnsi="SimSun" w:eastAsia="SimSun" w:cs="SimSun"/>
                <w:color w:val="000000"/>
                <w:sz w:val="24"/>
              </w:rPr>
              <w:t xml:space="preserve">内置 16 节 ×12V 铅酸电池，DC 192V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15.6寸超薄多点触摸液晶升降屏一体机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1.采用≥15.6英寸电容触摸液晶屏升降一体机。触摸屏为10点电容触控屏，窄边框设计，感应力度≤10g，触摸反应时间≤5ms，动态对比度≥100000:1。</w:t>
              <w:br/>
              <w:t xml:space="preserve">2.升降精度:水平≤0.5mm、垂直≤0.3mm。</w:t>
              <w:br/>
              <w:t xml:space="preserve">3.分辨率:≥1920×1080(Full HD)，显示比例16:9。</w:t>
              <w:br/>
              <w:t xml:space="preserve">4.升降屏可控制前后仰角0-30度电动调节(前后仰角为电子显示面相对于垂直面的倾斜角度)，便于不同身高与会人员获得最佳观看与触控角度。</w:t>
              <w:br/>
              <w:t xml:space="preserve">5.采用超薄一体化设计，显示区域覆盖钢化玻璃，四周边框窄边处理，外形美观、贴合桌面，与会议室整</w:t>
            </w:r>
            <w:r>
              <w:rPr>
                <w:rFonts w:ascii="SimSun" w:hAnsi="SimSun" w:eastAsia="SimSun" w:cs="SimSun"/>
                <w:color w:val="000000"/>
                <w:sz w:val="24"/>
              </w:rPr>
              <w:t xml:space="preserve">体装修风格协调。</w:t>
              <w:br/>
              <w:t xml:space="preserve">6.液晶屏外壳及面板采用金属材质(如铝合金等)，经CNC精密加工成型，表面进行喷砂阳极氧化或同等等级处理。面板需自带不少于1个USB接口和电源按钮。</w:t>
              <w:br/>
              <w:t xml:space="preserve">7.升降器面板需配备上升、暂停、下降、开关机、显示信号切换等按键或触摸按键，并至少包含1个USB接口。</w:t>
              <w:br/>
              <w:t xml:space="preserve">8.升降与仰角机构应采用精密机械传动结构(如齿轮齿条、螺杆螺母等)，运行平稳、定位准确，且具备防夹手功能。</w:t>
              <w:br/>
              <w:t xml:space="preserve">9. ▲升降一体机工作噪音≤50dB(静态时/翻转时)。升降装置机械可靠性:液晶屏升降≥5000次循环后，仍可正常升降；仰角调节装置</w:t>
            </w:r>
            <w:r>
              <w:rPr>
                <w:rFonts w:ascii="SimSun" w:hAnsi="SimSun" w:eastAsia="SimSun" w:cs="SimSun"/>
                <w:color w:val="000000"/>
                <w:sz w:val="24"/>
              </w:rPr>
              <w:t xml:space="preserve">可靠性:液晶屏仰角调节≥5000次循环后，仍可正常调节。（须提供CNAS/CMA认证的第三方检测报告）</w:t>
              <w:br/>
              <w:t xml:space="preserve">10.整机外壳防护等级≥IP5X(防尘)，显示屏表面满足IK08或同等等级耐冲击要求。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r>
      <w:tr>
        <w:trPr>
          <w:trHeight w:val="66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无纸化终端软件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1.支持多种会议角色，各会议角色具有不同的与会权限。</w:t>
              <w:br/>
              <w:t xml:space="preserve">2.无纸化会议支持手写签到功能，签到信息可查看本场会议基本信息，可查看已签到、未签到人员，签到信息会后可导出。</w:t>
              <w:br/>
              <w:t xml:space="preserve">3.文件支持批注和源文件两种打开方式；支持文件协同功能，可对文件进行协同批注和审阅，批注数据同步且有角色分离显示；支持批注页查看，支持批注信息生成个人新文件或者修改原文件。</w:t>
              <w:br/>
              <w:t xml:space="preserve">4.支持会中信息交互功能，可查看后台通知的消息，可与其他参会人发送消息，可向后台呼叫服务。</w:t>
              <w:br/>
              <w:t xml:space="preserve">5.支持会议纪要功能，自动生成会议基本信息，方便会中纪要，会后可导出。</w:t>
              <w:br/>
              <w:t xml:space="preserve">6.支持</w:t>
            </w:r>
            <w:r>
              <w:rPr>
                <w:rFonts w:ascii="SimSun" w:hAnsi="SimSun" w:eastAsia="SimSun" w:cs="SimSun"/>
                <w:color w:val="000000"/>
                <w:sz w:val="24"/>
              </w:rPr>
              <w:t xml:space="preserve">任一终端发起同屏、大屏，查看外部信号的功能。</w:t>
              <w:br/>
              <w:t xml:space="preserve">7.主持人支持切换会议功能；切换议题功能；模块一键定位功能（可全选或多选人员切换指定模块界面）；信号控制功能；发起和展示投票结果的功能。</w:t>
              <w:br/>
              <w:t xml:space="preserve">8.会议角色分为委员、列席、秘书、主持人角色，各角色对应的界面功能和权限不同。根据审委会人员排座，欢迎界面显示法院名称、logo、委员姓名，可切换参会人员，支持免账号进入会议系统。</w:t>
              <w:br/>
              <w:t xml:space="preserve">9.支持案件议题、汇报材料的自动获取与展示，支持对接法院“一张网”，查看电子卷宗。</w:t>
              <w:br/>
              <w:t xml:space="preserve">10.支持法律法规的一键查询。</w:t>
              <w:br/>
              <w:t xml:space="preserve">11.支持汇报材料批注打开和源</w:t>
            </w:r>
            <w:r>
              <w:rPr>
                <w:rFonts w:ascii="SimSun" w:hAnsi="SimSun" w:eastAsia="SimSun" w:cs="SimSun"/>
                <w:color w:val="000000"/>
                <w:sz w:val="24"/>
              </w:rPr>
              <w:t xml:space="preserve">文件打开两种方式，支持文件协同功能，可对文件进行协同批注和审阅，批注数据同步且有角色分离显示；支持批注页查看，支持批注信息生成个人新文件或者修改原文件。</w:t>
              <w:br/>
              <w:t xml:space="preserve">12.▲支持笔录信息和语音转写的对接，语音信息同传到无纸化终端笔录模块同步展示，委员可查看当前和历史议题的笔录信息，并且可对个人笔录信息进行修改，修改后的笔录信息实时同步回审委会。（提供功能截图）。</w:t>
              <w:br/>
              <w:t xml:space="preserve">13.支持交流提示，委员可在会中针对案件进行一对一信息交流，采用国标级加密算法SM4，交流信息在结束会议时前端销毁。</w:t>
              <w:br/>
              <w:t xml:space="preserve">14.▲审委会发起投票后，前端自动同步投</w:t>
            </w:r>
            <w:r>
              <w:rPr>
                <w:rFonts w:ascii="SimSun" w:hAnsi="SimSun" w:eastAsia="SimSun" w:cs="SimSun"/>
                <w:color w:val="000000"/>
                <w:sz w:val="24"/>
              </w:rPr>
              <w:t xml:space="preserve">票界面进行投票，投票时可动态查看表决结果，投票结束后投票信息及投票人员统一展现，投票结果实时同步回审委会。（提供功能截图）。</w:t>
              <w:br/>
              <w:t xml:space="preserve">15.含47套授权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无纸化终端电脑（含操作系统）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1.CPU：不低于8核，主频不低于2.2GHz，满足安全可靠测评需求</w:t>
              <w:br/>
              <w:t xml:space="preserve">2.内存：不低于DDR4 16G</w:t>
              <w:br/>
              <w:t xml:space="preserve">3.硬盘容量：不低于SSD 128G</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4.含键鼠套装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大屏控制器</w:t>
              <w:br/>
              <w:t xml:space="preserve">（含大屏控制系统）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1.CPU：不低于8核，满足安全可靠测评需求</w:t>
              <w:br/>
              <w:t xml:space="preserve">2.内存不低于8G</w:t>
              <w:br/>
              <w:t xml:space="preserve">3.硬盘：不低于不低于128G</w:t>
              <w:br/>
              <w:t xml:space="preserve">4.含操作系统</w:t>
              <w:br/>
              <w:t xml:space="preserve">5.无纸化投屏控制管理软件，支持将任何一路无纸化终端的桌面投放到显示大屏上；支持本地和远程信号的切换；支持同时接收多个客户端的投影请求，遵循先入先出的投影显示模式将客户端的同步内容输出到大屏；没有有输出信号时，显示当前会议内容以及时间，支持自定义输出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无纸化会议管理平台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后端审委会功能：</w:t>
              <w:br/>
              <w:t xml:space="preserve">1.会议排座：支持审委会页面排座功能，支持议题排位；支持自动排位，全部排位，拖拽式排位；支持修改参会人员角色身份；会议开始后自动同步到终端显示。</w:t>
              <w:br/>
              <w:t xml:space="preserve">2.一键拉会：支持审委会页面同步会议功能，审委会开始、结束会议，终端自动获取会议数据，更改会议状态。</w:t>
              <w:br/>
              <w:t xml:space="preserve">3.▲卷宗查看：支持案件信息接入功能，访问一张网，查看电子卷宗。（提供功能截图）</w:t>
              <w:br/>
              <w:t xml:space="preserve">4.汇报材料：支持汇报材料接入功能，可批注和源文件打开。</w:t>
              <w:br/>
              <w:t xml:space="preserve">5.笔录信息：支持笔录信息同步功能，终端实时展示审委会笔录信息，可对个人笔录进行修改，修改信息回传审委会。</w:t>
            </w:r>
            <w:r>
              <w:rPr>
                <w:rFonts w:ascii="SimSun" w:hAnsi="SimSun" w:eastAsia="SimSun" w:cs="SimSun"/>
                <w:color w:val="000000"/>
                <w:sz w:val="24"/>
              </w:rPr>
              <w:br/>
              <w:t xml:space="preserve">6.▲会议表决：支持会中同步会议表决信息，审委会一键开始、结束表决，会议终端同步投票状态，投票时可动态查看表决结果，结束后返回审委会表决结果。（提供功能截图）</w:t>
              <w:br/>
              <w:br/>
              <w:t xml:space="preserve">后端无纸化功能：</w:t>
              <w:br/>
              <w:t xml:space="preserve">1.系统包含会议服务软件和文件管理软件，提供无纸化系统会前、会中、会后的后台操作管理功能。</w:t>
              <w:br/>
              <w:t xml:space="preserve">2.支持会议管理员对参会者进行模拟排位，支持拖动参会者图标安排人员就位且终端实时显示模拟排位后的参会者信息。</w:t>
              <w:br/>
              <w:t xml:space="preserve">3.管理后台提供自选会议模块组建成会议向导流程模板（模块包含会议、议题、资料、投票、前后屏管理、参会人员、人员中控排座），可创建</w:t>
            </w:r>
            <w:r>
              <w:rPr>
                <w:rFonts w:ascii="SimSun" w:hAnsi="SimSun" w:eastAsia="SimSun" w:cs="SimSun"/>
                <w:color w:val="000000"/>
                <w:sz w:val="24"/>
              </w:rPr>
              <w:t xml:space="preserve">多套会议向导流程模板。</w:t>
              <w:br/>
              <w:t xml:space="preserve">4.上传文件采用国标SM4加密算法加密。</w:t>
              <w:br/>
              <w:t xml:space="preserve">5.系统可自动检测带密码保护的文档，管理员在管理界面输入文件密码后系统自动解密文档，参会人员无需密码可以查看文件，后端也可以不做处理，由参会人员输入密码解开文件查看；可对红头文件进行去红头转换；资料列表可拖拽排序。</w:t>
              <w:br/>
              <w:t xml:space="preserve">6.支持大文件上传，可上传2GB以上的视频文件；可自定义资料上传后缀范围、资料上传大小限制，支持全办公文件格式（doc、docx、xls、xlsx、ppt、pptx、pdf、png、jpg、html、htm、mht、tif、tif</w:t>
            </w:r>
            <w:r>
              <w:rPr>
                <w:rFonts w:ascii="SimSun" w:hAnsi="SimSun" w:eastAsia="SimSun" w:cs="SimSun"/>
                <w:color w:val="000000"/>
                <w:sz w:val="24"/>
              </w:rPr>
              <w:t xml:space="preserve">f、txt）、支持扩展行业用文件格式（ceb、dwg、dxf）；</w:t>
              <w:br/>
              <w:t xml:space="preserve">7.支持会后管理员对会议信息打包下载，包含签到、资料、批注、会议纪要、投票。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流媒体服务器</w:t>
              <w:br/>
              <w:t xml:space="preserve">（含嵌入式流媒体分享控制系统）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支持流媒体信号分发，支持视频信号的流媒体输出及局域网一体机单元视频的播放</w:t>
              <w:br/>
              <w:t xml:space="preserve">1.CPU： 不低于4核，满足安全可靠测评要求；</w:t>
              <w:br/>
              <w:t xml:space="preserve">2.内存：≥8G</w:t>
              <w:br/>
              <w:t xml:space="preserve">3.硬盘：≥128G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无纸化同屏高清线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包含同屏所需的各类高清线，包含15米高清线4根，12米8根，10米4根，8米8根，5米10根，3米6根，2米6根，1米8根，0.5米3根，一进十六出分配器3台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1.成像器件：采用CMOS图像传感器，传感器靶面尺寸≥1/2.8英寸，有效像素≥800万。</w:t>
              <w:br/>
              <w:t xml:space="preserve">2.低照度性能：最低照度彩色≤0.5Lux，黑白≤0.1Lux（测试条件下）。</w:t>
              <w:br/>
              <w:t xml:space="preserve">3.宽动态：支持宽动态（WDR）功能，动态范围≥120dB。</w:t>
              <w:br/>
              <w:t xml:space="preserve">4.光学变焦：光学变焦≥20倍。</w:t>
              <w:br/>
              <w:t xml:space="preserve">5.视场角：水平视场角广角端≥60°，长焦端≤10°（或等效覆盖范围）。</w:t>
              <w:br/>
              <w:t xml:space="preserve">6.视频输出格式：最高支持4K（3840×2160）@60fps超高清视频输出，向下兼容1080P、720P等多种分辨率。</w:t>
              <w:br/>
              <w:t xml:space="preserve">7.视频接口：支持IP网络接口、HDMI接口及</w:t>
            </w:r>
            <w:r>
              <w:rPr>
                <w:rFonts w:ascii="SimSun" w:hAnsi="SimSun" w:eastAsia="SimSun" w:cs="SimSun"/>
                <w:color w:val="000000"/>
                <w:sz w:val="24"/>
              </w:rPr>
              <w:t xml:space="preserve">USB接口（不低于USB 3.0）。</w:t>
              <w:br/>
              <w:t xml:space="preserve">8.云台旋转范围：平移范围≥±170°，俯仰范围≥±30°（或等效范围），支持图像自动翻转（倒挂安装）。</w:t>
              <w:br/>
              <w:t xml:space="preserve">9.预置位：支持预置位存储与调用，数量≥255个。</w:t>
              <w:br/>
              <w:t xml:space="preserve">10.控制方式：支持RS-232、RS-422/RS-485、IP网络控制及红外遥控等多种控制方式。</w:t>
              <w:br/>
              <w:t xml:space="preserve">11.网络协议：支持ONVIF、RTSP、RTMP等标准网络流媒体传输协议。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刻录主机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主处理器：高性能工业级嵌入式微控制器；</w:t>
              <w:br/>
              <w:t xml:space="preserve">操作系统：嵌入式Linux操作系统；</w:t>
              <w:br/>
              <w:t xml:space="preserve">刻录光驱：内置2个蓝光光驱，可进行双光盘同步刻录、循环刻录和无盘刻录；</w:t>
              <w:br/>
              <w:t xml:space="preserve">物证切换：支持4个物证视频输入和音频输入同步切换（2个VGA+2个HDMI输入）；</w:t>
              <w:br/>
              <w:t xml:space="preserve">音量调节：支持模拟输入音频通道 输入音频和输出音频的音量调节支持模拟输入音频和网络音频通道，混音叠加到合成通道的音量调节支持模拟和HDMI本地输出接口音量调节Mic in 、mic out（语音对讲的输入输出）；</w:t>
              <w:br/>
              <w:t xml:space="preserve">视频输入：4路SDI/CVI/TVI/AHD/CVBS输入接口（</w:t>
            </w:r>
            <w:r>
              <w:rPr>
                <w:rFonts w:ascii="SimSun" w:hAnsi="SimSun" w:eastAsia="SimSun" w:cs="SimSun"/>
                <w:color w:val="000000"/>
                <w:sz w:val="24"/>
              </w:rPr>
              <w:t xml:space="preserve">SDI接口和其他的接口不共用，共计8个BNC接口），其中SDI，CVI，TVI，AHD最大支持1080P</w:t>
              <w:br/>
              <w:t xml:space="preserve">25fps;2路VGA输入接口（最大支持1080P50Hz）;2路HDMI输入接口（最大支持1080P50Hz）;4路网络输入接口（默认4路网络通道，4路模拟通道可以数模转换为网络通道，最大支持8路网络音频）；</w:t>
              <w:br/>
              <w:t xml:space="preserve">视频输出：2路VGA接口;2路HDMI接口;1路前面板液晶屏输出（7寸，支持电容触控）；</w:t>
              <w:br/>
              <w:t xml:space="preserve">合成通道：分割模式：支持1、2、3、4、5、6、8路拼接画中画模式：支持1大1小到1大8小画面布局，在任</w:t>
            </w:r>
            <w:r>
              <w:rPr>
                <w:rFonts w:ascii="SimSun" w:hAnsi="SimSun" w:eastAsia="SimSun" w:cs="SimSun"/>
                <w:color w:val="000000"/>
                <w:sz w:val="24"/>
              </w:rPr>
              <w:t xml:space="preserve">意布局下小画面都可以任意调整位置及大小；</w:t>
              <w:br/>
              <w:t xml:space="preserve">网络接口：2个RJ-45接口 10M/100M/1000M以太网口；</w:t>
              <w:br/>
              <w:t xml:space="preserve">前面板按键：支持一键刻录/暂停、打点标记、停止刻录、切换功能；</w:t>
              <w:br/>
              <w:t xml:space="preserve">含4T硬盘</w:t>
            </w:r>
            <w:r/>
          </w:p>
          <w:p>
            <w:pPr>
              <w:ind w:left="0" w:right="0" w:firstLine="0"/>
              <w:jc w:val="left"/>
              <w:spacing w:before="200" w:after="20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摄像机安装架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摄像机安装架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综合指挥中心音柱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1.系统类型：采用垂直排列的多个低音单元与独立高音单元相结合的二分频设计，低音单元总数不少于6个，单元尺寸不低于3.5寸。</w:t>
              <w:br/>
              <w:t xml:space="preserve">2.频率范围：频率响应（±3dB）应涵盖或优于80Hz-18kHz。</w:t>
              <w:br/>
              <w:t xml:space="preserve">3.灵敏度：≥95dB</w:t>
              <w:br/>
              <w:t xml:space="preserve">4.输入阻抗：8Ω </w:t>
              <w:br/>
              <w:t xml:space="preserve">5.额定功率：≥300W </w:t>
              <w:br/>
              <w:t xml:space="preserve">6.最大功率：≥600Watts  </w:t>
              <w:br/>
              <w:t xml:space="preserve">7.最大声压级：≥121dB（峰值）</w:t>
              <w:br/>
              <w:t xml:space="preserve">8.覆盖范围：覆盖范围应不低于H100°×V100°。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综合指挥中心功放1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1.额定功率(THD=1%，连续正弦 1kHz，典型值)</w:t>
              <w:br/>
              <w:t xml:space="preserve">8Ω/立体声：两通道，每通道≥450W</w:t>
              <w:br/>
              <w:t xml:space="preserve">4Ω/立体声：两通道，每通道≥700W</w:t>
              <w:br/>
              <w:t xml:space="preserve">2Ω/立体声：两通道，每通道≥1300W</w:t>
              <w:br/>
              <w:t xml:space="preserve">8Ω/桥接：单通道≥1500W</w:t>
              <w:br/>
              <w:t xml:space="preserve">4Ω/桥接：单通道≥2600W</w:t>
              <w:br/>
              <w:t xml:space="preserve">2.输入灵敏度：可选择：至少提供35dB，32dB，29dB，26dB档位</w:t>
              <w:br/>
              <w:t xml:space="preserve">3.THD+N：典型值：0.01%(10%额定输出功率，1kHz，8Ω)</w:t>
              <w:br/>
              <w:t xml:space="preserve">4.串扰抑制：≥90dB(低于额定功率，20Hz-1kHz，8Ω)</w:t>
              <w:br/>
              <w:t xml:space="preserve">5.频率响应：典型值：+0dB，-0.5dB(10</w:t>
            </w:r>
            <w:r>
              <w:rPr>
                <w:rFonts w:ascii="SimSun" w:hAnsi="SimSun" w:eastAsia="SimSun" w:cs="SimSun"/>
                <w:color w:val="000000"/>
                <w:sz w:val="24"/>
              </w:rPr>
              <w:t xml:space="preserve">%额定输出功率，20Hz-20kHz，8Ω)</w:t>
              <w:br/>
              <w:t xml:space="preserve">6.输入阻抗：20kΩ(平衡)，10kΩ(非平衡)</w:t>
              <w:br/>
              <w:t xml:space="preserve">7.阻尼系数：典型值：≥1000(8Ω，20Hz-200Hz)</w:t>
              <w:br/>
              <w:t xml:space="preserve">8.信噪比：≥105dB(A 记权，20Hz-20kHz，8Ω)</w:t>
              <w:br/>
              <w:t xml:space="preserve">9.电源要求：90∽260VAC，50/60Hz</w:t>
              <w:br/>
              <w:t xml:space="preserve">10.保护功能：必须具备完善的保护电路，包括但不限于：电源欠压保护、功放输出直流保护、过热保护、温度功率控制、过载功率控制。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综合指挥中心吸顶音箱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1.采用二分频同轴吸顶扬声器设计，低音单元与高音单元组合为一体。</w:t>
              <w:br/>
              <w:t xml:space="preserve">2.最大/额定功率：200W/100W</w:t>
              <w:br/>
              <w:t xml:space="preserve">3.输入方式：8</w:t>
            </w:r>
            <w:r>
              <w:rPr>
                <w:rFonts w:ascii="Microsoft YaHei" w:hAnsi="Microsoft YaHei" w:eastAsia="Microsoft YaHei" w:cs="Microsoft YaHei"/>
                <w:color w:val="000000"/>
                <w:sz w:val="24"/>
              </w:rPr>
              <w:t xml:space="preserve">Ω</w:t>
              <w:br/>
            </w:r>
            <w:r>
              <w:rPr>
                <w:rFonts w:ascii="SimSun" w:hAnsi="SimSun" w:eastAsia="SimSun" w:cs="SimSun"/>
                <w:color w:val="000000"/>
                <w:sz w:val="24"/>
              </w:rPr>
              <w:t xml:space="preserve">4.灵敏度(1m ，1w)：≥90dB±3dB</w:t>
              <w:br/>
              <w:t xml:space="preserve">5.频响：在50Hz-20kHz范围内满足要求</w:t>
              <w:br/>
              <w:t xml:space="preserve">6.最大声压级：在额定功率下连续声压级≥110dB，峰值声压级≥116dB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综合指挥中心功放2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1.额定功率(THD=1%，连续正弦1kHz，典型值)</w:t>
              <w:br/>
              <w:t xml:space="preserve">8Ω/立体声：两通道，每通道≥250W</w:t>
              <w:br/>
              <w:t xml:space="preserve">4Ω/立体声：两通道，每通道≥425W</w:t>
              <w:br/>
              <w:t xml:space="preserve">2Ω/立体声：两通道，每通道≥720W</w:t>
              <w:br/>
              <w:t xml:space="preserve">16Ω/桥接：单通道≥500W</w:t>
              <w:br/>
              <w:t xml:space="preserve">8Ω/桥接：单通道≥850W</w:t>
              <w:br/>
              <w:t xml:space="preserve">4Ω/桥接：单通道≥1440W</w:t>
              <w:br/>
              <w:t xml:space="preserve">2.输入灵敏度：可选择，至少提供35dB、32dB、29dB、26dB四档</w:t>
              <w:br/>
              <w:t xml:space="preserve">3.THD+N：典型值：0.01%(10%额定输出功率，1kHz，8Ω)</w:t>
              <w:br/>
              <w:t xml:space="preserve">4.串扰抑制：≥90dB(低于额定功率，20Hz-1kHz，8Ω)</w:t>
              <w:br/>
              <w:t xml:space="preserve">5.频率响应：典型值：+</w:t>
            </w:r>
            <w:r>
              <w:rPr>
                <w:rFonts w:ascii="SimSun" w:hAnsi="SimSun" w:eastAsia="SimSun" w:cs="SimSun"/>
                <w:color w:val="000000"/>
                <w:sz w:val="24"/>
              </w:rPr>
              <w:t xml:space="preserve">0dB，-0.5dB(10%额定输出功率，20Hz-20kHz，8Ω)</w:t>
              <w:br/>
              <w:t xml:space="preserve">6.输入阻抗：20kΩ(平衡)，10kΩ(非平衡)</w:t>
              <w:br/>
              <w:t xml:space="preserve">7.阻尼系数：典型值：≥1000(8Ω，20Hz-200Hz)</w:t>
              <w:br/>
              <w:t xml:space="preserve">8.信噪比：≥100dB(A记权，20Hz-20kHz，8Ω)</w:t>
              <w:br/>
              <w:t xml:space="preserve">9.电源要求：90∽260VAC，50/60Hz</w:t>
              <w:br/>
              <w:t xml:space="preserve">10.保护功能：必须具备完善的保护电路，包括但不限于：电源欠压保护、功放输出直流保护、过热保护、温度功率控制、过载功率控制。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综合指挥中心数字调音台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1.输入：≥24路Mic输入，≥3组立体声输入；</w:t>
              <w:br/>
              <w:t xml:space="preserve">2.输出：≥14AUX输出；</w:t>
              <w:br/>
              <w:t xml:space="preserve">3.支持USB立体声数字录音功能；</w:t>
              <w:br/>
              <w:t xml:space="preserve">4.集成反馈抑制器管理；</w:t>
              <w:br/>
              <w:t xml:space="preserve">5.支持≥8个DAC编组，支持≥8个静音编组；</w:t>
              <w:br/>
              <w:t xml:space="preserve">6.支持≥10.1寸高清电容触摸显示屏，不低于1280*800分辨率；</w:t>
              <w:br/>
              <w:t xml:space="preserve">7.支持≥8个用户自定义按键，内置≥4个独立的DSP效果器；</w:t>
              <w:br/>
              <w:t xml:space="preserve">8.集成自动混音功能；</w:t>
              <w:br/>
              <w:t xml:space="preserve">9.支持≥26个100mm电动推杆；；</w:t>
              <w:br/>
              <w:t xml:space="preserve">10.支持RS232端口，实现与第三方控制系统对接；</w:t>
              <w:br/>
              <w:t xml:space="preserve">11.支持MIDI接口；</w:t>
              <w:br/>
              <w:t xml:space="preserve">12.支持≥2个AES接口；</w:t>
              <w:br/>
              <w:t xml:space="preserve">13.支持≥3</w:t>
            </w:r>
            <w:r>
              <w:rPr>
                <w:rFonts w:ascii="SimSun" w:hAnsi="SimSun" w:eastAsia="SimSun" w:cs="SimSun"/>
                <w:color w:val="000000"/>
                <w:sz w:val="24"/>
              </w:rPr>
              <w:t xml:space="preserve">个网络端口，用于扩展接口箱，连接无线路由器；</w:t>
              <w:br/>
              <w:t xml:space="preserve">14.支持电脑端软件控制；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1.模拟输入通道数量：≥8路，模拟输出通道数量：≥8路；</w:t>
              <w:br/>
              <w:t xml:space="preserve">2.支持自动混音，支持自动增益，每个通道支持反馈抑制，支持噪声抑制；</w:t>
              <w:br/>
              <w:t xml:space="preserve">3.支持回声消除；</w:t>
              <w:br/>
              <w:t xml:space="preserve">4.≥4个GPIO接口可配置输入输出；</w:t>
              <w:br/>
              <w:t xml:space="preserve">5.支持苹果、安卓、windows端操作界面，支持自定义用户界面；</w:t>
              <w:br/>
              <w:t xml:space="preserve">6.支持USB接口，支持音乐播放、录制；</w:t>
              <w:br/>
              <w:t xml:space="preserve">7.支持RS485、RS232、网口，可发送控制代码控制第三方设备；</w:t>
              <w:br/>
              <w:t xml:space="preserve">8.可选配多种类型控制面板，可使用软件编程；</w:t>
              <w:br/>
              <w:t xml:space="preserve">9.输入通道≥8段PEQ；</w:t>
              <w:br/>
              <w:t xml:space="preserve">10.动态范围：≥110dB； </w:t>
              <w:br/>
              <w:t xml:space="preserve">11.频率响应范围：不低于20～20</w:t>
            </w:r>
            <w:r>
              <w:rPr>
                <w:rFonts w:ascii="SimSun" w:hAnsi="SimSun" w:eastAsia="SimSun" w:cs="SimSun"/>
                <w:color w:val="000000"/>
                <w:sz w:val="24"/>
              </w:rPr>
              <w:t xml:space="preserve">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综合指挥中心话筒处理器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1.配备≥10寸彩色LCD超大条形屏幕，能够详尽展示产品各项信息</w:t>
              <w:br/>
              <w:t xml:space="preserve">2.采用飞梭旋钮或等效便捷操作控件，简化操作流程</w:t>
              <w:br/>
              <w:t xml:space="preserve">3.支持≥4路卡侬XLR和TRS复合接口输入，每路输入支持独立48V幻象供电开关，每路输入支持独立音量控制，独立信号电平显示</w:t>
              <w:br/>
              <w:t xml:space="preserve">4.支持≥2路卡侬XLR线路输入，支持音量控制及信号电平显示；支持≥1组RCA线路输入，支持独立音量控制及信号电平显示</w:t>
              <w:br/>
              <w:t xml:space="preserve">5.支持≥2路卡侬 XLR 输出，≥1组RCA线路输出</w:t>
              <w:br/>
              <w:t xml:space="preserve">6.内置≥16段均衡设置，每段均衡均可独立设置调节，支持一键复位设置、一键直通、实时保存</w:t>
              <w:br/>
              <w:t xml:space="preserve">8.</w:t>
            </w:r>
            <w:r>
              <w:rPr>
                <w:rFonts w:ascii="SimSun" w:hAnsi="SimSun" w:eastAsia="SimSun" w:cs="SimSun"/>
                <w:color w:val="000000"/>
                <w:sz w:val="24"/>
              </w:rPr>
              <w:t xml:space="preserve">支持网络传输，支持音频网络传输协议，实现网络音频的传输、监控、管理，支持与其他品牌网络音频进行音频的互联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综合指挥中心网络电源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  </w:t>
              <w:br/>
              <w:t xml:space="preserve">2.支持批量控制设备开关；</w:t>
              <w:br/>
              <w:t xml:space="preserve">3.支持预约设备开关；</w:t>
              <w:br/>
              <w:t xml:space="preserve">4.8路电源时序控制，每路延时1秒，延时10分钟关闭；</w:t>
              <w:br/>
              <w:t xml:space="preserve">5.整机容量不低于50A；</w:t>
              <w:br/>
              <w:t xml:space="preserve">6.采用符合CCC要求不低于24平方RVV软电缆，内部设计保留20%电流余量；</w:t>
              <w:br/>
              <w:t xml:space="preserve">7.支持标准RJ/45和RS232串口控制功能；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综合指挥中心模拟话筒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1.支持+48V幻象供电，话筒可直连到48V话筒前置放大器供电组件。</w:t>
              <w:br/>
              <w:t xml:space="preserve">2.超心型。具备良好的邻位话筒抑制和反馈抑制能力，有效减少环境声反馈风险。</w:t>
              <w:br/>
              <w:t xml:space="preserve">3.换能方式：电容式。收音头采用镀金工艺处理。指向性为超心型。</w:t>
              <w:br/>
              <w:t xml:space="preserve">4.话筒采用单杆枪式拾音，话筒可调仰角-50°至45°（水平）。</w:t>
              <w:br/>
              <w:t xml:space="preserve">5.最大声压级（Max SPL）：≥130dB（总谐波失真+噪声≤3% @1kHz，测试标准参考GB/T 12060.4）。</w:t>
              <w:br/>
              <w:t xml:space="preserve">6.灵敏度：≥ -28 dB（0dB=1V/Pa，@1kHz，±3dB公差）。</w:t>
              <w:br/>
              <w:t xml:space="preserve">7.频率响应：不劣于40Hz～</w:t>
            </w:r>
            <w:r>
              <w:rPr>
                <w:rFonts w:ascii="SimSun" w:hAnsi="SimSun" w:eastAsia="SimSun" w:cs="SimSun"/>
                <w:color w:val="000000"/>
                <w:sz w:val="24"/>
              </w:rPr>
              <w:t xml:space="preserve">18kHz.</w:t>
              <w:br/>
              <w:t xml:space="preserve">8.信噪比：≥60dB（A计权）。</w:t>
              <w:br/>
              <w:t xml:space="preserve">9.等效噪声级：≤35dB(A)（参考20μPa基准）。</w:t>
              <w:br/>
              <w:t xml:space="preserve">10.抗干扰能力：具备抗手机、电磁、高频干扰能力。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综合指挥中心混音器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1.控制接口：具备RS-232或RS-485或TCP/IP等外部控制端口，可通过中控系统、控制台或电脑对混音器进行设置与远程控制。</w:t>
              <w:br/>
              <w:t xml:space="preserve">2.输入通道数量：≥12路平衡输入（话筒/线路电平），每路输入支持独立的48V幻象供电开关。</w:t>
              <w:br/>
              <w:t xml:space="preserve">3.自动混音：支持快速自动开启仅包含有效信号的输入通道，通道激活阈值（闸门电平）支持自动调整或手动设置。</w:t>
              <w:br/>
              <w:t xml:space="preserve">4.独立增益与电平控制：每个输入通道具备独立的增益调节和输出电平控制功能。</w:t>
              <w:br/>
              <w:t xml:space="preserve">5.闸门衰减调节：通道激活时的闸门（噪声门）衰减量可调，调节范围0dB至全静音，步进精度≤1dB。</w:t>
              <w:br/>
              <w:t xml:space="preserve">6.</w:t>
            </w:r>
            <w:r>
              <w:rPr>
                <w:rFonts w:ascii="SimSun" w:hAnsi="SimSun" w:eastAsia="SimSun" w:cs="SimSun"/>
                <w:color w:val="000000"/>
                <w:sz w:val="24"/>
              </w:rPr>
              <w:t xml:space="preserve">高通滤波器：每个输入通道设有独立的高通滤波器（低切功能），用于滤除低频噪声。</w:t>
              <w:br/>
              <w:t xml:space="preserve">7.自动增益衰减：支持NOMA 功能，可根据当前开启的麦克风数量自动衰减混音器总输出电平，防止因开启话筒数量增多、系统整体增益上升而产生啸叫，确保扩声系统稳定。</w:t>
              <w:br/>
              <w:t xml:space="preserve">8.串行扩展：支持通过RJ45网口串接扩展，最多可连接≥10台设备，总输入通道≥120路。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墨水屏电子桌牌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1.显示屏规格：采用双面≥8.6英寸三色电子墨水屏，支持黑、白、红三种颜色显示，具备高对比度特性。</w:t>
              <w:br/>
              <w:t xml:space="preserve">2.灰阶表现：黑白红三色各支持18级灰阶，保证图文显示层次清晰细腻。</w:t>
              <w:br/>
              <w:t xml:space="preserve">3.显示方向：支持直立双面显示，每面内容均可独立设置为横屏或竖屏显示模式。</w:t>
              <w:br/>
              <w:t xml:space="preserve">4.无线通讯：内置蓝牙BLE 5.0模块（工作频段2.4GHz），并集成NFC近场通信功能。</w:t>
              <w:br/>
              <w:t xml:space="preserve">5.集中管理：支持通过服务器端Web界面进行设备批量管理、参数下发及状态监控。</w:t>
              <w:br/>
              <w:t xml:space="preserve">6.多级分区管理：支持多账号、多会议室、多用户分权分区管理，满足不同层级权限控制需求。</w:t>
              <w:br/>
              <w:t xml:space="preserve">7.</w:t>
            </w:r>
            <w:r>
              <w:rPr>
                <w:rFonts w:ascii="SimSun" w:hAnsi="SimSun" w:eastAsia="SimSun" w:cs="SimSun"/>
                <w:color w:val="000000"/>
                <w:sz w:val="24"/>
              </w:rPr>
              <w:t xml:space="preserve">供电与充电：内置可充电锂电池，支持通用充电配件。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 </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墨水屏基站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1.空旷环境下覆盖半径半径≥30米。</w:t>
              <w:br/>
              <w:t xml:space="preserve">2.配置1个彩色指示灯。</w:t>
              <w:br/>
              <w:t xml:space="preserve">3.内置不少于4路全向天线。</w:t>
              <w:br/>
              <w:t xml:space="preserve">4. 支持蓝牙BLE 5.0双模通信，传输速率下行≥1M bps、上行≥1M bps。</w:t>
              <w:br/>
              <w:t xml:space="preserve">5.支持Wi-Fi 5（802.11ac）标准，整机协商速率≥1167Mbps。</w:t>
              <w:br/>
              <w:t xml:space="preserve">6.支持ESL无线漫游、多AP负载均衡。</w:t>
              <w:br/>
              <w:t xml:space="preserve">7.采用高性能工业级多核SoC芯片方案，主频≥775MHz。内嵌存储：≥16MB NOR Flash用于存放固件，≥128MB DDR RAM用于数据缓存。 </w:t>
              <w:br/>
              <w:t xml:space="preserve">8.单台基站最大支持≥1000个电子墨水屏终端</w:t>
            </w:r>
            <w:r>
              <w:rPr>
                <w:rFonts w:ascii="SimSun" w:hAnsi="SimSun" w:eastAsia="SimSun" w:cs="SimSun"/>
                <w:color w:val="000000"/>
                <w:sz w:val="24"/>
              </w:rPr>
              <w:t xml:space="preserve">并发接入。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灯光控制器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1.支持RS485通讯，波特率300-115200bps;</w:t>
              <w:br/>
              <w:t xml:space="preserve">2.支持Mobus RTU通讯协议；</w:t>
              <w:br/>
              <w:t xml:space="preserve">3.设备地址不少于40个；</w:t>
              <w:br/>
              <w:t xml:space="preserve">4.支持AC220V工作电源；</w:t>
              <w:br/>
              <w:t xml:space="preserve">5.开关数量不少于3个；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1.支持市场主流中央空调，如美的、格力、大金、日立等；</w:t>
              <w:br/>
              <w:t xml:space="preserve">2.支持不少于4台外机；</w:t>
              <w:br/>
              <w:t xml:space="preserve">3.支持不少于64台内机；</w:t>
              <w:br/>
              <w:t xml:space="preserve">4.支持modbus-tcp协议；</w:t>
              <w:br/>
              <w:t xml:space="preserve">5.1个RJ45网口；</w:t>
              <w:br/>
              <w:t xml:space="preserve">6.支持控制任意一台内机，或集中控制所有内机；</w:t>
              <w:br/>
              <w:t xml:space="preserve">7.支持开关锁定、模式锁定、温度锁定、风速锁定；</w:t>
              <w:br/>
              <w:t xml:space="preserve">8.支持定时开关机；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86面板中控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1.支持485通讯，波特率1200-115200bps；</w:t>
              <w:br/>
              <w:t xml:space="preserve">2.支持电容触摸屏，单点、滑动触摸；</w:t>
              <w:br/>
              <w:t xml:space="preserve">3.分辨率不低于480*480；</w:t>
              <w:br/>
              <w:t xml:space="preserve">4.支持0、90、180和270度旋转安装显示；</w:t>
              <w:br/>
              <w:t xml:space="preserve">5.支持MODBUSRTU、XGUS协议；</w:t>
              <w:br/>
              <w:t xml:space="preserve">6.支持远程串口升级屏幕相关图片工程、字库、配置文件等；</w:t>
              <w:br/>
              <w:t xml:space="preserve">7.支持JPEG、PNG（半透/全透）压缩，任意大小图片存储，70KB/张的图片存储数量，不低于150张；</w:t>
              <w:br/>
              <w:t xml:space="preserve">8.屏幕尺寸不低于4寸；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中控助手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1.支持现场设备自动开启和自动关闭；</w:t>
              <w:br/>
              <w:t xml:space="preserve">2.支持可视化按钮操作设备的开启和关闭；</w:t>
              <w:br/>
              <w:t xml:space="preserve">3.支持多重唯一性安全绑定；</w:t>
              <w:br/>
              <w:t xml:space="preserve">4.支持客户端与服务器认证激活；</w:t>
              <w:br/>
              <w:t xml:space="preserve">5.支持建立唯一的通讯连接； </w:t>
              <w:br/>
              <w:t xml:space="preserve">6.支持话筒是否开机提醒；</w:t>
              <w:br/>
              <w:t xml:space="preserve">7.支持话筒角色自定义；</w:t>
              <w:br/>
              <w:t xml:space="preserve">8.支持实时调整话筒音量大小；</w:t>
              <w:br/>
              <w:t xml:space="preserve">9..支持是否对准话筒讲话提醒；</w:t>
              <w:br/>
              <w:t xml:space="preserve">10.▲需要提供与综合运维管理系统无缝对接承诺函并加盖投标人公章；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新闻发布中心音柱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1.系统类型：采用垂直排列的多个低音单元与独立高音单元相结合的二分频设计，低音单元总数不少于6个，单元尺寸不低于3.5寸，高音单元不少于1个，尺寸不低于1寸。</w:t>
              <w:br/>
              <w:t xml:space="preserve">2.频率范围：频率响应（±3dB）应涵盖或优于80Hz-18kHz。</w:t>
              <w:br/>
              <w:t xml:space="preserve">3.灵敏度：≥95dB</w:t>
              <w:br/>
              <w:t xml:space="preserve">4.输入阻抗：8Ω </w:t>
              <w:br/>
              <w:t xml:space="preserve">5.额定功率：≥300W </w:t>
              <w:br/>
              <w:t xml:space="preserve">6.最大功率：≥600Watts  </w:t>
              <w:br/>
              <w:t xml:space="preserve">7.最大声压级：≥121dB（峰值）</w:t>
              <w:br/>
              <w:t xml:space="preserve">8.覆盖范围：覆盖范围应不低于H100°×V100°。</w:t>
              <w:br/>
              <w:t xml:space="preserve">9.输入接口：配备NL4 SpeakON兼容接口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新闻发布中心功放1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1.额定功率(THD=1%，连续正弦 1kHz，典型值)</w:t>
              <w:br/>
              <w:t xml:space="preserve">8Ω/立体声：两通道，每通道≥450W</w:t>
              <w:br/>
              <w:t xml:space="preserve">4Ω/立体声：两通道，每通道≥700W</w:t>
              <w:br/>
              <w:t xml:space="preserve">2Ω/立体声：两通道，每通道≥1300W</w:t>
              <w:br/>
              <w:t xml:space="preserve">16Ω/桥接：单通道≥900W</w:t>
              <w:br/>
              <w:t xml:space="preserve">8Ω/桥接：单通道≥1500W</w:t>
              <w:br/>
              <w:t xml:space="preserve">4Ω/桥接：单通道≥2600W</w:t>
              <w:br/>
              <w:t xml:space="preserve">2.输入灵敏度：可选择：至少提供35dB，32dB，29dB，26dB档位</w:t>
              <w:br/>
              <w:t xml:space="preserve">3.THD+N：典型值：0.01%(10%额定输出功率，1kHz，8Ω)</w:t>
              <w:br/>
              <w:t xml:space="preserve">4.串扰抑制：≥90dB(低于额定功率，20Hz-1kHz，8Ω)</w:t>
              <w:br/>
              <w:t xml:space="preserve">5.频率响应：典型</w:t>
            </w:r>
            <w:r>
              <w:rPr>
                <w:rFonts w:ascii="SimSun" w:hAnsi="SimSun" w:eastAsia="SimSun" w:cs="SimSun"/>
                <w:color w:val="000000"/>
                <w:sz w:val="24"/>
              </w:rPr>
              <w:t xml:space="preserve">值：+0dB，-0.5dB(10%额定输出功率，20Hz-20kHz，8Ω)</w:t>
              <w:br/>
              <w:t xml:space="preserve">6.输入阻抗：20kΩ(平衡)，10kΩ(非平衡)</w:t>
              <w:br/>
              <w:t xml:space="preserve">7.阻尼系数：典型值：≥1000(8Ω，20Hz-200Hz)</w:t>
              <w:br/>
              <w:t xml:space="preserve">8.信噪比：≥105dB(A 记权，20Hz-20kHz，8Ω)</w:t>
              <w:br/>
              <w:t xml:space="preserve">9.电源要求：90∽260VAC，50/60Hz</w:t>
              <w:br/>
              <w:t xml:space="preserve">10.保护功能：必须具备完善的保护电路，包括但不限于：电源欠压保护、功放输出直流保护、过热保护、温度功率控制、过载功率控制。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新闻发布中心吸顶音箱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1.采用二分频同轴吸顶扬声器设计，低音单元与高音单元组合为一体。</w:t>
              <w:br/>
              <w:t xml:space="preserve">2.最大/额定功率：200W/100W</w:t>
              <w:br/>
              <w:t xml:space="preserve">3.输入方式：8</w:t>
            </w:r>
            <w:r>
              <w:rPr>
                <w:rFonts w:ascii="Microsoft YaHei" w:hAnsi="Microsoft YaHei" w:eastAsia="Microsoft YaHei" w:cs="Microsoft YaHei"/>
                <w:color w:val="000000"/>
                <w:sz w:val="24"/>
              </w:rPr>
              <w:t xml:space="preserve">Ω</w:t>
              <w:br/>
            </w:r>
            <w:r>
              <w:rPr>
                <w:rFonts w:ascii="SimSun" w:hAnsi="SimSun" w:eastAsia="SimSun" w:cs="SimSun"/>
                <w:color w:val="000000"/>
                <w:sz w:val="24"/>
              </w:rPr>
              <w:t xml:space="preserve">4.灵敏度(1m ，1w)：≥90dB±3dB</w:t>
              <w:br/>
              <w:t xml:space="preserve">5.频响：在50Hz-20kHz范围内满足要求</w:t>
              <w:br/>
              <w:t xml:space="preserve">6.最大声压级：在额定功率下连续声压级≥110dB，峰值声压级≥116dB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新闻发布中心功放2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1.额定功率(THD=1%，连续正弦1kHz，典型值)</w:t>
              <w:br/>
              <w:t xml:space="preserve">8Ω/立体声：两通道，每通道≥250W</w:t>
              <w:br/>
              <w:t xml:space="preserve">4Ω/立体声：两通道，每通道≥425W</w:t>
              <w:br/>
              <w:t xml:space="preserve">2Ω/立体声：两通道，每通道≥720W</w:t>
              <w:br/>
              <w:t xml:space="preserve">16Ω/桥接：单通道≥500W</w:t>
              <w:br/>
              <w:t xml:space="preserve">8Ω/桥接：单通道≥850W</w:t>
              <w:br/>
              <w:t xml:space="preserve">4Ω/桥接：单通道≥1440W</w:t>
              <w:br/>
              <w:t xml:space="preserve">2.输入灵敏度：可选择，至少提供35dB、32dB、29dB、26dB四档</w:t>
              <w:br/>
              <w:t xml:space="preserve">3.THD+N：典型值：0.01%(10%额定输出功率，1kHz，8Ω)</w:t>
              <w:br/>
              <w:t xml:space="preserve">4.串扰抑制：≥90dB(低于额定功率，20Hz-1kHz，8Ω)</w:t>
              <w:br/>
              <w:t xml:space="preserve">5.频率响应：典型值：+</w:t>
            </w:r>
            <w:r>
              <w:rPr>
                <w:rFonts w:ascii="SimSun" w:hAnsi="SimSun" w:eastAsia="SimSun" w:cs="SimSun"/>
                <w:color w:val="000000"/>
                <w:sz w:val="24"/>
              </w:rPr>
              <w:t xml:space="preserve">0dB，-0.5dB(10%额定输出功率，20Hz-20kHz，8Ω)</w:t>
              <w:br/>
              <w:t xml:space="preserve">6.输入阻抗：20kΩ(平衡)，10kΩ(非平衡)</w:t>
              <w:br/>
              <w:t xml:space="preserve">7.阻尼系数：典型值：≥1000(8Ω，20Hz-200Hz)</w:t>
              <w:br/>
              <w:t xml:space="preserve">8.信噪比：≥100dB(A记权，20Hz-20kHz，8Ω)</w:t>
              <w:br/>
              <w:t xml:space="preserve">9.电源要求：90∽260VAC，50/60Hz</w:t>
              <w:br/>
              <w:t xml:space="preserve">10.保护功能：必须具备完善的保护电路，包括但不限于：电源欠压保护、功放输出直流保护、过热保护、温度功率控制、过载功率控制。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新闻发布中心数字调音台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1.输入：≥24路Mic输入，≥3组立体声输入；</w:t>
              <w:br/>
              <w:t xml:space="preserve">2.输出：≥14AUX输出；</w:t>
              <w:br/>
              <w:t xml:space="preserve">3.支持USB立体声数字录音功能；</w:t>
              <w:br/>
              <w:t xml:space="preserve">4.集成反馈抑制器管理；</w:t>
              <w:br/>
              <w:t xml:space="preserve">5.支持≥8个DAC编组，支持≥8个静音编组；</w:t>
              <w:br/>
              <w:t xml:space="preserve">6.支持≥10.1寸高清电容触摸显示屏，不低于1280*800分辨率；</w:t>
              <w:br/>
              <w:t xml:space="preserve">7.支持≥8个用户自定义按键，内置≥4个独立的DSP效果器；</w:t>
              <w:br/>
              <w:t xml:space="preserve">8.集成自动混音功能；</w:t>
              <w:br/>
              <w:t xml:space="preserve">9.支持≥26个100mm电动推杆；；</w:t>
              <w:br/>
              <w:t xml:space="preserve">10.支持RS232端口，实现与第三方控制系统对接；</w:t>
              <w:br/>
              <w:t xml:space="preserve">11.支持MIDI接口；</w:t>
              <w:br/>
              <w:t xml:space="preserve">12.支持≥2个AES接口；</w:t>
              <w:br/>
              <w:t xml:space="preserve">13.支持≥3</w:t>
            </w:r>
            <w:r>
              <w:rPr>
                <w:rFonts w:ascii="SimSun" w:hAnsi="SimSun" w:eastAsia="SimSun" w:cs="SimSun"/>
                <w:color w:val="000000"/>
                <w:sz w:val="24"/>
              </w:rPr>
              <w:t xml:space="preserve">个网络端口，用于扩展接口箱，连接无线路由器；</w:t>
              <w:br/>
              <w:t xml:space="preserve">14.支持电脑端软件控制；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1.模拟输入通道数量：≥8路，模拟输出通道数量：≥8路；</w:t>
              <w:br/>
              <w:t xml:space="preserve">2.支持自动混音，支持自动增益，每个通道支持反馈抑制，支持噪声抑制；</w:t>
              <w:br/>
              <w:t xml:space="preserve">3.支持回声消除；</w:t>
              <w:br/>
              <w:t xml:space="preserve">4.≥4个GPIO接口可配置输入输出；</w:t>
              <w:br/>
              <w:t xml:space="preserve">5.支持苹果、安卓、windows端操作界面，支持自定义用户界面；</w:t>
              <w:br/>
              <w:t xml:space="preserve">6.支持USB接口，支持音乐播放、录制；</w:t>
              <w:br/>
              <w:t xml:space="preserve">7.支持RS485、RS232、网口，可发送控制代码控制第三方设备；</w:t>
              <w:br/>
              <w:t xml:space="preserve">8.可选配多种类型控制面板，可使用软件编程；</w:t>
              <w:br/>
              <w:t xml:space="preserve">9.输入通道≥8段PEQ；</w:t>
              <w:br/>
              <w:t xml:space="preserve">10.动态范围：≥110dB； </w:t>
              <w:br/>
              <w:t xml:space="preserve">11.频率响应范围：不低于20～20</w:t>
            </w:r>
            <w:r>
              <w:rPr>
                <w:rFonts w:ascii="SimSun" w:hAnsi="SimSun" w:eastAsia="SimSun" w:cs="SimSun"/>
                <w:color w:val="000000"/>
                <w:sz w:val="24"/>
              </w:rPr>
              <w:t xml:space="preserve">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新闻发布中心话筒处理器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1.配备≥10寸彩色LCD超大条形屏幕，能够详尽展示产品各项信息</w:t>
              <w:br/>
              <w:t xml:space="preserve">2.采用飞梭旋钮设计，简化操作流程</w:t>
              <w:br/>
              <w:t xml:space="preserve">3.支持≥4路卡侬XLR和TRS复合接口输入，每路输入支持独立48V幻象供电开关，每路输入支持独立音量控制，独立信号电平显示</w:t>
              <w:br/>
              <w:t xml:space="preserve">4.支持≥2路卡侬XLR线路输入，支持音量控制及信号电平显示；支持≥1组RCA线路输入，支持独立音量控制及信号电平显示</w:t>
              <w:br/>
              <w:t xml:space="preserve">5.支持≥2路卡侬 XLR 输出，≥1组RCA线路输出</w:t>
              <w:br/>
              <w:t xml:space="preserve">6.内置≥16段均衡设置，每段均衡均可独立设置调节，支持一键复位设置、一键直通、实时保存</w:t>
              <w:br/>
              <w:t xml:space="preserve">8.支持网络传输，</w:t>
            </w:r>
            <w:r>
              <w:rPr>
                <w:rFonts w:ascii="SimSun" w:hAnsi="SimSun" w:eastAsia="SimSun" w:cs="SimSun"/>
                <w:color w:val="000000"/>
                <w:sz w:val="24"/>
              </w:rPr>
              <w:t xml:space="preserve">支持音频网络传输协议，实现网络音频的传输、监控、管理，支持与其他品牌网络音频进行音频的互联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新闻发布中心网络电源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  </w:t>
              <w:br/>
              <w:t xml:space="preserve">2.支持批量控制设备开关；</w:t>
              <w:br/>
              <w:t xml:space="preserve">3.支持预约设备开关；</w:t>
              <w:br/>
              <w:t xml:space="preserve">4.8路电源时序控制，每路延时1秒，延时10分钟关闭；</w:t>
              <w:br/>
              <w:t xml:space="preserve">5.整机容量不低于50A；</w:t>
              <w:br/>
              <w:t xml:space="preserve">6.采用符合CCC要求不低于24平方RVV软电缆，内部设计保留20%电流余量；</w:t>
              <w:br/>
              <w:t xml:space="preserve">7.支持标准RJ/45和RS232串口控制功能；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新闻发布中心模拟话筒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1.支持+48V幻象供电，话筒可直连到48V话筒前置放大器供电组件。</w:t>
              <w:br/>
              <w:t xml:space="preserve">2.超心型。具备良好的邻位话筒抑制和反馈抑制能力，有效减少环境声反馈风险。</w:t>
              <w:br/>
              <w:t xml:space="preserve">3.换能方式：电容式。收音头采用镀金工艺处理。指向性为超心型。</w:t>
              <w:br/>
              <w:t xml:space="preserve">4.话筒采用单杆枪式拾音，话筒可调仰角-50°至45°（水平）。</w:t>
              <w:br/>
              <w:t xml:space="preserve">5.最大声压级（Max SPL）：≥130dB（总谐波失真+噪声≤3% @1kHz，测试标准参考GB/T 12060.4）。</w:t>
              <w:br/>
              <w:t xml:space="preserve">6.灵敏度：≥ -28 dB（0dB=1V/Pa，@1kHz，±3dB公差）。</w:t>
              <w:br/>
              <w:t xml:space="preserve">7.频率响应：不劣于40Hz～</w:t>
            </w:r>
            <w:r>
              <w:rPr>
                <w:rFonts w:ascii="SimSun" w:hAnsi="SimSun" w:eastAsia="SimSun" w:cs="SimSun"/>
                <w:color w:val="000000"/>
                <w:sz w:val="24"/>
              </w:rPr>
              <w:t xml:space="preserve">18kHz.</w:t>
              <w:br/>
              <w:t xml:space="preserve">8.信噪比：≥60dB（A计权）。</w:t>
              <w:br/>
              <w:t xml:space="preserve">9.等效噪声级：≤35dB(A)（参考20μPa基准）。</w:t>
              <w:br/>
              <w:t xml:space="preserve">10.抗干扰能力：具备抗手机、电磁、高频干扰能力。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新闻发布中心混音器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1.控制接口：具备RS-232或RS-485或TCP/IP等外部控制端口，可通过中控系统、控制台或电脑对混音器进行设置与远程控制。</w:t>
              <w:br/>
              <w:t xml:space="preserve">2.输入通道数量：≥12路平衡输入（话筒/线路电平），每路输入支持独立的48V幻象供电开关。</w:t>
              <w:br/>
              <w:t xml:space="preserve">3.自动混音：支持快速自动开启仅包含有效信号的输入通道，通道激活阈值（闸门电平）支持自动调整或手动设置。</w:t>
              <w:br/>
              <w:t xml:space="preserve">4.独立增益与电平控制：每个输入通道具备独立的增益调节和输出电平控制功能。</w:t>
              <w:br/>
              <w:t xml:space="preserve">5.闸门衰减调节：通道激活时的闸门（噪声门）衰减量可调，调节范围0dB至全静音，步进精度≤1dB。</w:t>
              <w:br/>
              <w:t xml:space="preserve">6.</w:t>
            </w:r>
            <w:r>
              <w:rPr>
                <w:rFonts w:ascii="SimSun" w:hAnsi="SimSun" w:eastAsia="SimSun" w:cs="SimSun"/>
                <w:color w:val="000000"/>
                <w:sz w:val="24"/>
              </w:rPr>
              <w:t xml:space="preserve">高通滤波器：每个输入通道设有独立的高通滤波器（低切功能），用于滤除低频噪声。</w:t>
              <w:br/>
              <w:t xml:space="preserve">7.自动增益衰减：支持NOMA 功能，可根据当前开启的麦克风数量自动衰减混音器总输出电平，防止因开启话筒数量增多、系统整体增益上升而产生啸叫，确保扩声系统稳定。</w:t>
              <w:br/>
              <w:t xml:space="preserve">8.串行扩展：支持通过RJ45网口串接扩展，最多可连接≥10台设备，总输入通道≥120路。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新闻发布中心真分集无线手持话筒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一、数字无线接收机</w:t>
              <w:br/>
              <w:t xml:space="preserve">1.双个接收机通道集成于一个1RU</w:t>
              <w:br/>
              <w:t xml:space="preserve">2.每个通道拥有独立的增益控制、LED电平表和XLR输出</w:t>
              <w:br/>
              <w:t xml:space="preserve">3.不低于70MHz的调谐范围</w:t>
              <w:br/>
              <w:t xml:space="preserve">4.具备频率扫描，自动分配频率，及红外线同步功能</w:t>
              <w:br/>
              <w:t xml:space="preserve">5.具备音频合并功能</w:t>
              <w:br/>
              <w:t xml:space="preserve">6.具备射频级联端口</w:t>
              <w:br/>
              <w:t xml:space="preserve">7.具备以太网联网接口</w:t>
              <w:br/>
              <w:t xml:space="preserve">8.不低于60dB可独立调整增益</w:t>
              <w:br/>
              <w:t xml:space="preserve">9.标配DANTE数字网络音频输出接口</w:t>
              <w:br/>
              <w:t xml:space="preserve">10.具备AES256加密功能</w:t>
              <w:br/>
              <w:t xml:space="preserve">11.支持软件集成实现频率协调规划、监控功能</w:t>
              <w:br/>
              <w:t xml:space="preserve">二、手持发射机</w:t>
              <w:br/>
              <w:t xml:space="preserve">1.与接收机相同品牌、系列匹配使用</w:t>
              <w:br/>
              <w:t xml:space="preserve">2.具备AES256位可加密技术</w:t>
              <w:br/>
              <w:t xml:space="preserve">3.具备增</w:t>
            </w:r>
            <w:r>
              <w:rPr>
                <w:rFonts w:ascii="SimSun" w:hAnsi="SimSun" w:eastAsia="SimSun" w:cs="SimSun"/>
                <w:color w:val="000000"/>
                <w:sz w:val="24"/>
              </w:rPr>
              <w:t xml:space="preserve">益修正技术</w:t>
              <w:br/>
              <w:t xml:space="preserve">4.不低于120dB动态范围</w:t>
              <w:br/>
              <w:t xml:space="preserve">5.发射功率可调，最大RF发射功率不低于20mW；</w:t>
              <w:br/>
              <w:t xml:space="preserve">6.具备电池电量显示功能，提供5段电池电量或剩余使用时间显示</w:t>
              <w:br/>
              <w:t xml:space="preserve">7.具备背光式LCD屏</w:t>
              <w:br/>
              <w:t xml:space="preserve">8.采用金属结构</w:t>
              <w:br/>
              <w:t xml:space="preserve">9.具备频率和电源锁定</w:t>
              <w:br/>
              <w:t xml:space="preserve">10.超心形动圈话筒，频率响应：50Hz-16KHz，灵敏度(mV/Pa):-51,5dBV/Pa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新闻发布中心天线放大器（全向天线）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1.可以在多频道系统中导引天线信号从一对天线到多台接收机，单一台天线分配器主机可接最多8组天线通道端口  </w:t>
              <w:br/>
              <w:t xml:space="preserve">2.分配器会放大射频新号以弥补在分配过程中的衰减  </w:t>
              <w:br/>
              <w:t xml:space="preserve">3.外置5A开关电源，可提供四组12v直流电给无线接收机  </w:t>
              <w:br/>
              <w:t xml:space="preserve">技术参数：</w:t>
              <w:br/>
              <w:t xml:space="preserve">1.阻抗：50Ω</w:t>
              <w:br/>
              <w:t xml:space="preserve">2.输入交流电电压：100-240V</w:t>
              <w:br/>
              <w:t xml:space="preserve">3.输出直流电电压：12V四组DC输出端子</w:t>
              <w:br/>
              <w:t xml:space="preserve">4.线增幅器电压：12v</w:t>
              <w:br/>
              <w:t xml:space="preserve">5.天线类型：壁挂有源指向性天线</w:t>
              <w:br/>
              <w:t xml:space="preserve">6.射频频率范围:450-950MHz</w:t>
              <w:br/>
              <w:t xml:space="preserve">7.供电方式：BNC,8-12VDC</w:t>
              <w:br/>
              <w:t xml:space="preserve">8.电流：80mA</w:t>
              <w:br/>
              <w:t xml:space="preserve">9.驻波比：≦2.</w:t>
            </w:r>
            <w:r>
              <w:rPr>
                <w:rFonts w:ascii="SimSun" w:hAnsi="SimSun" w:eastAsia="SimSun" w:cs="SimSun"/>
                <w:color w:val="000000"/>
                <w:sz w:val="24"/>
              </w:rPr>
              <w:t xml:space="preserve">0</w:t>
              <w:br/>
              <w:t xml:space="preserve">10.输入阻抗：50欧姆</w:t>
              <w:br/>
              <w:t xml:space="preserve">11.放大器底噪：＜3.6dB</w:t>
              <w:br/>
              <w:t xml:space="preserve">12.增益：18db(典型)</w:t>
              <w:br/>
              <w:t xml:space="preserve">13.指向性：180度</w:t>
              <w:br/>
              <w:t xml:space="preserve">14.前后比：≧25dB</w:t>
              <w:br/>
              <w:t xml:space="preserve">15.接头类型：SMA（标配SMA转BNC线）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AI吸顶会议麦克风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1．设备为标准方形，支持吸顶安装，钢绳吊装，吊装支架安装等多种安装方式，可嵌入60cm*60cm方格天花板中，设备边缘与相邻方格天花板缝隙&lt;5mm；</w:t>
              <w:br/>
              <w:t xml:space="preserve">2．采用驻极体式咪头或贴片式硅麦咪头；                                                                                                                                                                  </w:t>
            </w:r>
            <w:r>
              <w:rPr>
                <w:rFonts w:ascii="SimSun" w:hAnsi="SimSun" w:eastAsia="SimSun" w:cs="SimSun"/>
                <w:color w:val="000000"/>
                <w:sz w:val="24"/>
              </w:rPr>
              <w:t xml:space="preserve">          </w:t>
              <w:br/>
              <w:t xml:space="preserve">3．咪头数量:≥118个</w:t>
              <w:br/>
              <w:t xml:space="preserve">4．最大拾音半径不低于8米，满足后排的清晰拾音需求；</w:t>
              <w:br/>
              <w:t xml:space="preserve">5．麦克风灵敏度：不劣于-38dBv/94dBSPL@1KHz；</w:t>
              <w:br/>
              <w:t xml:space="preserve">6．麦克风信噪比：不劣于65dBv/94dB SPL@1KHz；</w:t>
              <w:br/>
              <w:t xml:space="preserve">7．整机灵敏度：：不劣于-10.22dBFS/Pa@1KHz；</w:t>
              <w:br/>
              <w:t xml:space="preserve">8．整机信噪比：不劣于73.886dB；</w:t>
              <w:br/>
              <w:t xml:space="preserve">9．频响范围：不劣于125Hz-20,000Hz；</w:t>
              <w:br/>
              <w:t xml:space="preserve">10．采样率：≥48kHz，采样深度：24bit；</w:t>
              <w:br/>
              <w:t xml:space="preserve">11．使用国际标准Dante协议，兼容第三方Dante设备；</w:t>
              <w:br/>
              <w:t xml:space="preserve">12．</w:t>
            </w:r>
            <w:r>
              <w:rPr>
                <w:rFonts w:ascii="SimSun" w:hAnsi="SimSun" w:eastAsia="SimSun" w:cs="SimSun"/>
                <w:color w:val="000000"/>
                <w:sz w:val="24"/>
              </w:rPr>
              <w:t xml:space="preserve">稳态降噪：不劣于35dB；AI降噪：不劣于25dB；混响抑制：不劣于1.5s混响；</w:t>
              <w:br/>
              <w:t xml:space="preserve">13．支持多个降噪模型实时切换，不需要切换版本即可根据同一个空间中的不同场景需要，切换低降噪模型保证人声还原度，或是切换成标准降噪模型保证降噪深度，满足使用的灵活性要求；</w:t>
              <w:br/>
              <w:t xml:space="preserve">▲14. 支持≥6个远程通话拾音区和6个本地扩音拾音区，总数≥12个；（需提供CNAS/CMA认证报告复印件）</w:t>
              <w:br/>
              <w:t xml:space="preserve">▲15. 设备支持对外发出发言人所在位置信息，标记数量≥60，用于需要发言人位置的第三方系统调用集成；（需提供CNAS/CMA认证报告复印件）</w:t>
              <w:br/>
            </w:r>
            <w:r>
              <w:rPr>
                <w:rFonts w:ascii="SimSun" w:hAnsi="SimSun" w:eastAsia="SimSun" w:cs="SimSun"/>
                <w:color w:val="000000"/>
                <w:sz w:val="24"/>
              </w:rPr>
              <w:t xml:space="preserve">▲16．可基于室内平面图标示的区域精确设置拾音区，并灵活调节拾音区覆盖范围，根据建筑结构，能够满足矩形.方形.梯形或其他与建筑结构匹配的不规则拾音区形状，调节范围可以精确到0.01m；（提供软件功能配置页面截图）</w:t>
              <w:br/>
              <w:t xml:space="preserve">17．设备具有空间定位能力，能实时显示发言位置，进行精确地拾音区调节；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Dante音频处理器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支持通用的数字网络音频协议Dante，Dante通道数≥8*8。2、支持模拟音频输入输出，接口≥8*8。</w:t>
              <w:br/>
              <w:t xml:space="preserve">支持独立通道AFC、噪声抑制(ANS)、闪避器(Ducker)、噪声增益补偿器(ANC)、增益共享自动混音(AMC)、门限自动混音(Gate Mixer)。</w:t>
              <w:br/>
              <w:t xml:space="preserve">频率响应：(20 ~ 20KHz)±0.3dB。</w:t>
              <w:br/>
              <w:t xml:space="preserve">总波谐失真＜- 94dB@4dBu。</w:t>
              <w:br/>
              <w:t xml:space="preserve">支持输入增益调节范围" 0/3/6/9/12/15/18/21/24/27/30/33/36/39/42/45 dBu "。</w:t>
              <w:br/>
              <w:t xml:space="preserve">支持输入/输出动态范围：110dB</w:t>
            </w:r>
            <w:r>
              <w:rPr>
                <w:rFonts w:ascii="SimSun" w:hAnsi="SimSun" w:eastAsia="SimSun" w:cs="SimSun"/>
                <w:color w:val="000000"/>
                <w:sz w:val="24"/>
              </w:rPr>
              <w:t xml:space="preserve">/112dB。</w:t>
              <w:br/>
              <w:t xml:space="preserve">最大电平≥18dBu。</w:t>
              <w:br/>
              <w:t xml:space="preserve">支持可编程的逻辑输入输出接口GPIO，支持二次开发功能，可用于外部设备控制模式切换和扩展。</w:t>
              <w:br/>
              <w:t xml:space="preserve">支持≥3种控制接口类型，RS-485，RS-232，网络等，满足不同场景控制需求。</w:t>
              <w:br/>
              <w:t xml:space="preserve">稳态降噪：不劣于35dB；AI降噪：不劣于25dB；混响抑制：不劣于1.5s混响；</w:t>
              <w:br/>
              <w:t xml:space="preserve">支持48v幻象电源，方便给电容话筒供电。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套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Dante PoE供电扬声器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1、6.5寸，30W，全频同轴音频驱动单元；</w:t>
              <w:br/>
              <w:t xml:space="preserve">2、低音单元：6寸复合振膜防水单元；</w:t>
              <w:br/>
              <w:t xml:space="preserve">3、高音单元：1寸丝膜球顶高音角度可调；</w:t>
              <w:br/>
              <w:t xml:space="preserve">4、频率响应：（-10dB）65Hz~20KHz；</w:t>
              <w:br/>
              <w:t xml:space="preserve">5、支持Dante音频，PoE供电；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POE交换机，≥24个PoE供电口，最大247W供电能力；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套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大要案法庭网络电源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  </w:t>
              <w:br/>
              <w:t xml:space="preserve">2.支持批量控制设备开关；</w:t>
              <w:br/>
              <w:t xml:space="preserve">3.支持预约设备开关；</w:t>
              <w:br/>
              <w:t xml:space="preserve">4.8路电源时序控制，每路延时1秒，延时10分钟关闭；</w:t>
              <w:br/>
              <w:t xml:space="preserve">5.整机容量不低于50A；</w:t>
              <w:br/>
              <w:t xml:space="preserve">6.采用符合CCC要求不低于24平方RVV软电缆，内部设计保留20%电流余量；</w:t>
              <w:br/>
              <w:t xml:space="preserve">7.支持标准RJ/45和RS232串口控制功能；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p>
        </w:tc>
      </w:tr>
      <w:tr>
        <w:trPr>
          <w:trHeight w:val="11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大要案法庭数字音频处理器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w:t>
              <w:br/>
              <w:t xml:space="preserve">2.持远程控制通道开关和音量大小；</w:t>
              <w:br/>
              <w:t xml:space="preserve">3.支持话筒输入信号；</w:t>
              <w:br/>
              <w:t xml:space="preserve">4.数字音频处理器核心处理平台提供半开放式架构，开放式用户管理界面，提供24BIT/48kHz高清音频采样处理；</w:t>
              <w:br/>
              <w:t xml:space="preserve">5.数字音频处理器采用专业连接器作为输入输出通道连接使用。所有音频输入通道具备幻象供电功能，可以对话筒提供48v幻象供电；</w:t>
              <w:br/>
              <w:t xml:space="preserve">6.支持不少于16通道PCM音频流传输；</w:t>
              <w:br/>
              <w:t xml:space="preserve">7.支持不少于16通道模拟输入和16通道模式输出；</w:t>
              <w:br/>
              <w:t xml:space="preserve">8.支持全双工回声消除、降噪、声反馈、音频路由分配、音频延时处理、矩阵混音器、自动</w:t>
            </w:r>
            <w:r>
              <w:rPr>
                <w:rFonts w:ascii="SimSun" w:hAnsi="SimSun" w:eastAsia="SimSun" w:cs="SimSun"/>
                <w:color w:val="000000"/>
                <w:sz w:val="24"/>
              </w:rPr>
              <w:t xml:space="preserve">增益控制；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大要案法庭庭审专用话筒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1.支持连杆上下双端旋转结构，左右角度锁定；</w:t>
              <w:br/>
              <w:t xml:space="preserve">2.支持中频平直，高频稍有提升；</w:t>
              <w:br/>
              <w:t xml:space="preserve">3.支持咪芯模组20mm以上镀金电容式收音头；</w:t>
              <w:br/>
              <w:t xml:space="preserve">4.支持心型指向，同时话筒本体具备可快速拆卸更换指向性咪芯模组的结构设计；</w:t>
              <w:br/>
              <w:t xml:space="preserve">5.兼容可以在讲演录音和会议模式间进行灵活切换；</w:t>
              <w:br/>
              <w:t xml:space="preserve">6.具备轻触式工作指示状态的灯环；</w:t>
              <w:br/>
              <w:t xml:space="preserve">7.频率响应不低于40Hz-18kHz；</w:t>
              <w:br/>
              <w:t xml:space="preserve">8.灵敏度不低于-38dB±3dB（1dB=1V/Pa 1kHz）；</w:t>
              <w:br/>
              <w:t xml:space="preserve">9.等效噪声级不大于20dBa；</w:t>
              <w:br/>
              <w:t xml:space="preserve">10.输出阻抗不低于200欧姆；</w:t>
              <w:br/>
              <w:t xml:space="preserve">11.信噪比不低于75dB；</w:t>
              <w:br/>
              <w:t xml:space="preserve">12.最大声</w:t>
            </w:r>
            <w:r>
              <w:rPr>
                <w:rFonts w:ascii="SimSun" w:hAnsi="SimSun" w:eastAsia="SimSun" w:cs="SimSun"/>
                <w:color w:val="000000"/>
                <w:sz w:val="24"/>
              </w:rPr>
              <w:t xml:space="preserve">压级不低于128dB（T.H.D≤1% at 1kHz）</w:t>
              <w:br/>
              <w:t xml:space="preserve">13..支持通电自启；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大案要案法庭落地式庭审扩录专用话筒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支持超长直杆组合立式落地支架；</w:t>
              <w:br/>
              <w:t xml:space="preserve">2. 支持中频平直，高频稍有提升；</w:t>
              <w:br/>
              <w:t xml:space="preserve">3. 支持咪芯模组20mm以上镀金电容式收音头；</w:t>
              <w:br/>
              <w:t xml:space="preserve">4. 支持心型指向，同时话筒本体具备可快速拆卸更换指向性咪芯模组的结构设计；</w:t>
              <w:br/>
              <w:t xml:space="preserve">5. 立杆高度不低于40CM~155CM之间可调；</w:t>
              <w:br/>
              <w:t xml:space="preserve">6. 频率响应不低于40Hz-18kHz；</w:t>
              <w:br/>
              <w:t xml:space="preserve">7. 灵敏度不低于-38dB±3dB（1dB=1V/Pa 1kHz）；</w:t>
              <w:br/>
              <w:t xml:space="preserve">8. 等效噪声级不大于20dBa；</w:t>
              <w:br/>
              <w:t xml:space="preserve">9. 输出阻抗不低于200欧姆；</w:t>
              <w:br/>
              <w:t xml:space="preserve">10. 信噪比不低于75dB；</w:t>
              <w:br/>
              <w:t xml:space="preserve">11. 最大声压级不低于128dB（T.</w:t>
            </w:r>
            <w:r>
              <w:rPr>
                <w:rFonts w:ascii="SimSun" w:hAnsi="SimSun" w:eastAsia="SimSun" w:cs="SimSun"/>
                <w:color w:val="000000"/>
                <w:sz w:val="24"/>
              </w:rPr>
              <w:t xml:space="preserve">H.D≤1% at 1kHz）。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主扩音柱扬声器</w:t>
              <w:br/>
              <w:t xml:space="preserve">（9驱动单元钕磁高性能）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1.支持柱面波扩散技术,避免声音过快的衰减.</w:t>
              <w:br/>
              <w:t xml:space="preserve">2.支持单声源的声学耦合,120度的水平扩散角度</w:t>
              <w:br/>
              <w:t xml:space="preserve">3.单元组件：LF:5.25x8中低频/HF:3寸x125芯高音</w:t>
              <w:br/>
              <w:t xml:space="preserve">4.频率响应(±3dB)：85Hz—20kHz</w:t>
              <w:br/>
              <w:t xml:space="preserve">5.灵敏度(1m/1W）/Max SPL：96dB/121dB</w:t>
              <w:br/>
              <w:t xml:space="preserve">6.功率（连续/峰值）:320W12/80W</w:t>
              <w:br/>
              <w:t xml:space="preserve">7.指向性（水平）：90 °x：60 °</w:t>
              <w:br/>
              <w:t xml:space="preserve">8.标称阻抗：8Ω</w:t>
              <w:br/>
              <w:t xml:space="preserve">9.输入方式：NL4×1，+1 -1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中后场辅助扩声器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1.支持水平或者垂直吊挂。</w:t>
              <w:br/>
              <w:t xml:space="preserve">2.驱动单元：L6.5"英寸+3"号角</w:t>
              <w:br/>
              <w:t xml:space="preserve">3.频率响应：80Hz-17kHz</w:t>
              <w:br/>
              <w:t xml:space="preserve">4.灵敏度：92dB(1W/1M)</w:t>
              <w:br/>
              <w:t xml:space="preserve">5.最大声压级（持续）：113dB</w:t>
              <w:br/>
              <w:t xml:space="preserve">6.锥形指向覆盖角度：100ºX90º(HxV)</w:t>
              <w:br/>
              <w:t xml:space="preserve">7.额定功率/阻抗：150W/4Ω(RMS)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备份扩声吸顶扩声器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1.定阻6.5寸两分频吸顶喇叭。</w:t>
              <w:br/>
              <w:t xml:space="preserve">2.额定阻抗：4 ohm</w:t>
              <w:br/>
              <w:t xml:space="preserve">3.额定功率：60W </w:t>
              <w:br/>
              <w:t xml:space="preserve">4.峰值功率：240W</w:t>
              <w:br/>
              <w:t xml:space="preserve">5.频响范围：80HZ-18KHZ</w:t>
              <w:br/>
              <w:t xml:space="preserve">6.灵 敏 度：93dB/M/W</w:t>
              <w:br/>
              <w:t xml:space="preserve">7.最大声压：111dB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w:t>
            </w:r>
            <w:r/>
          </w:p>
        </w:tc>
      </w:tr>
      <w:tr>
        <w:trPr>
          <w:trHeight w:val="6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主扩功放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1.符合安规、电磁兼容标准；</w:t>
              <w:br/>
              <w:t xml:space="preserve">2.符合高能效比，节能减排；</w:t>
              <w:br/>
              <w:t xml:space="preserve">3.支持立体声、并接、桥接三种工作模式；</w:t>
              <w:br/>
              <w:t xml:space="preserve">4.1V/0.7V两档增益可选择工作模式；</w:t>
              <w:br/>
              <w:t xml:space="preserve">5.支持级联工作模式；</w:t>
              <w:br/>
              <w:t xml:space="preserve">6.支持削波限幅器；</w:t>
              <w:br/>
              <w:t xml:space="preserve">7.支持功率控制压限器；</w:t>
              <w:br/>
              <w:t xml:space="preserve">8.支持功放输出直流保护；</w:t>
              <w:br/>
              <w:t xml:space="preserve">9.支持短路保护机制，提供不间断声音输出；</w:t>
              <w:br/>
              <w:t xml:space="preserve">10.支持温度功率控制、过温保护；</w:t>
              <w:br/>
              <w:t xml:space="preserve">11.支持电源欠压保护；</w:t>
              <w:br/>
              <w:t xml:space="preserve">技术参数：</w:t>
              <w:br/>
              <w:t xml:space="preserve">12.输出功率：2×300W.8Ω/2×450W.4Ω/1×600W.16Ω（桥接）/1×900W.8Ω（桥接）</w:t>
              <w:br/>
              <w:t xml:space="preserve">13.信号输入：平衡接口和非平衡接</w:t>
            </w:r>
            <w:r>
              <w:rPr>
                <w:rFonts w:ascii="SimSun" w:hAnsi="SimSun" w:eastAsia="SimSun" w:cs="SimSun"/>
                <w:color w:val="000000"/>
                <w:sz w:val="24"/>
              </w:rPr>
              <w:t xml:space="preserve">口</w:t>
              <w:br/>
              <w:t xml:space="preserve">14.频响范围：20Hz—20KHz (-1dB)</w:t>
              <w:br/>
              <w:t xml:space="preserve">15.失真：&lt;0.02%@8Ω 1KHz</w:t>
              <w:br/>
              <w:t xml:space="preserve">16.信噪比： ＞100dB</w:t>
              <w:br/>
              <w:t xml:space="preserve">17.转换数率：30V/us</w:t>
              <w:br/>
              <w:t xml:space="preserve">18.RMS输出电压（THD=1%,1kHz）</w:t>
              <w:br/>
              <w:t xml:space="preserve">19.阻尼系数：  &gt;1000@8ohm</w:t>
              <w:br/>
              <w:t xml:space="preserve">20.输入阻抗：平衡20K，非平衡10K</w:t>
              <w:br/>
              <w:t xml:space="preserve">21.输入灵敏度：1Vrms/0.775rms可选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中后场辅助功放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1.符合安规、电磁兼容标准；</w:t>
              <w:br/>
              <w:t xml:space="preserve">2.符合高能效比，节能减排；</w:t>
              <w:br/>
              <w:t xml:space="preserve">3.支持立体声、并接、桥接三种工作模式；</w:t>
              <w:br/>
              <w:t xml:space="preserve">4.1V/0.7V两档增益可选择工作模式；</w:t>
              <w:br/>
              <w:t xml:space="preserve">5.支持级联工作模式；</w:t>
              <w:br/>
              <w:t xml:space="preserve">6.支持削波限幅器；</w:t>
              <w:br/>
              <w:t xml:space="preserve">7.支持功率控制压限器；</w:t>
              <w:br/>
              <w:t xml:space="preserve">8.支持功放输出直流保护；</w:t>
              <w:br/>
              <w:t xml:space="preserve">9.支持短路保护机制，提供不间断声音输出；</w:t>
              <w:br/>
              <w:t xml:space="preserve">10.支持温度功率控制、过温保护；</w:t>
              <w:br/>
              <w:t xml:space="preserve">11.支持电源欠压保护；</w:t>
              <w:br/>
              <w:t xml:space="preserve">12.输出功率：输出功率：2×150W/8Ω，2/2×200W/4Ω./：1×300W/16Ω（桥接），1×400W/8Ω（桥接）；</w:t>
              <w:br/>
              <w:t xml:space="preserve">13.支持平衡接口和非平衡</w:t>
            </w:r>
            <w:r>
              <w:rPr>
                <w:rFonts w:ascii="SimSun" w:hAnsi="SimSun" w:eastAsia="SimSun" w:cs="SimSun"/>
                <w:color w:val="000000"/>
                <w:sz w:val="24"/>
              </w:rPr>
              <w:t xml:space="preserve">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备份功放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1.符合安规、电磁兼容标准，第三方质量检测认证；</w:t>
              <w:br/>
              <w:t xml:space="preserve">2.符合高能效比，节能减排；</w:t>
              <w:br/>
              <w:t xml:space="preserve">3.支持立体声、并接、桥接三种工作模式；</w:t>
              <w:br/>
              <w:t xml:space="preserve">4.1V/0.7V两档增益可选择工作模式；</w:t>
              <w:br/>
              <w:t xml:space="preserve">5.支持级联工作模式；</w:t>
              <w:br/>
              <w:t xml:space="preserve">6.支持削波限幅器；</w:t>
              <w:br/>
              <w:t xml:space="preserve">7.支持功率控制压限器；</w:t>
              <w:br/>
              <w:t xml:space="preserve">8.支持功放输出直流保护；</w:t>
              <w:br/>
              <w:t xml:space="preserve">9.支持短路保护机制，提供不间断声音输出；</w:t>
              <w:br/>
              <w:t xml:space="preserve">10.支持温度功率控制、过温保护；</w:t>
              <w:br/>
              <w:t xml:space="preserve">11.支持电源欠压保护；</w:t>
              <w:br/>
              <w:t xml:space="preserve">12.输出功率：输出功率：2×150W/8Ω，2/2×200W/4Ω./：1×300W/16Ω（桥接），1×400W/8Ω（桥接）；</w:t>
              <w:br/>
              <w:t xml:space="preserve">13.</w:t>
            </w:r>
            <w:r>
              <w:rPr>
                <w:rFonts w:ascii="SimSun" w:hAnsi="SimSun" w:eastAsia="SimSun" w:cs="SimSun"/>
                <w:color w:val="000000"/>
                <w:sz w:val="24"/>
              </w:rPr>
              <w:t xml:space="preserve">支持平衡接口和非平衡接口。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大要案法庭数字调音台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1.8XLR带DNATM 的话筒输入;</w:t>
              <w:br/>
              <w:t xml:space="preserve">2.动态压缩（通道1-2）;</w:t>
              <w:br/>
              <w:t xml:space="preserve">3.每通道有3段均衡和2 AUX发送;</w:t>
              <w:br/>
              <w:t xml:space="preserve">4.60mm推子，带 LED 和静音开关;</w:t>
              <w:br/>
              <w:t xml:space="preserve">5.DNA 话放带幻象供电; </w:t>
              <w:br/>
              <w:t xml:space="preserve">6.USB音频的电平控制;</w:t>
              <w:br/>
              <w:t xml:space="preserve">7.每个话筒通道带有动态压缩; </w:t>
              <w:br/>
              <w:t xml:space="preserve">8.平衡XLR，平衡 / 非平衡的1/4”输出;</w:t>
              <w:br/>
              <w:t xml:space="preserve">9.9段图示均衡 —— 可分配主和监听; </w:t>
              <w:br/>
              <w:t xml:space="preserve">10.独立的耳机音量控制;</w:t>
              <w:br/>
              <w:t xml:space="preserve">11.100种Alesis DSP效果;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p>
        </w:tc>
      </w:tr>
      <w:tr>
        <w:trPr>
          <w:trHeight w:val="21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观摩室（大法庭）模拟话筒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1.支持+48V幻象供电，话筒可直连到48V话筒前置放大器供电组件。</w:t>
              <w:br/>
              <w:t xml:space="preserve">2.超心型。具备良好的邻位话筒抑制和反馈抑制能力，有效减少环境声反馈风险。</w:t>
              <w:br/>
              <w:t xml:space="preserve">3.换能方式：电容式。收音头采用镀金工艺处理。指向性为超心型。</w:t>
              <w:br/>
              <w:t xml:space="preserve">4.话筒采用单杆枪式拾音，话筒可调仰角-50°至45°（水平）。</w:t>
              <w:br/>
              <w:t xml:space="preserve">5.最大声压级（Max SPL）：≥130dB（总谐波失真+噪声≤3% @1kHz，测试标准参考GB/T 12060.4）。</w:t>
              <w:br/>
              <w:t xml:space="preserve">6.灵敏度：≥ -28 dB（0dB=1V/Pa，@1kHz，±3dB公差）。</w:t>
              <w:br/>
              <w:t xml:space="preserve">7.频率响应：不劣于40Hz～</w:t>
            </w:r>
            <w:r>
              <w:rPr>
                <w:rFonts w:ascii="SimSun" w:hAnsi="SimSun" w:eastAsia="SimSun" w:cs="SimSun"/>
                <w:color w:val="000000"/>
                <w:sz w:val="24"/>
              </w:rPr>
              <w:t xml:space="preserve">18kHz.</w:t>
              <w:br/>
              <w:t xml:space="preserve">8.信噪比：≥60dB（A计权）。</w:t>
              <w:br/>
              <w:t xml:space="preserve">9.等效噪声级：≤35dB(A)（参考20μPa基准）。</w:t>
              <w:br/>
              <w:t xml:space="preserve">10.抗干扰能力：具备抗手机、电磁、高频干扰能力。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观摩室（大法庭）混音器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1.控制接口：具备RS-232或RS-485或TCP/IP等外部控制端口，可通过中控系统、控制台或电脑对混音器进行设置与远程控制。</w:t>
              <w:br/>
              <w:t xml:space="preserve">2.输入通道数量：≥12路平衡输入（话筒/线路电平），每路输入支持独立的48V幻象供电开关。</w:t>
              <w:br/>
              <w:t xml:space="preserve">3.自动混音：支持快速自动开启仅包含有效信号的输入通道，通道激活阈值（闸门电平）支持自动调整或手动设置。</w:t>
              <w:br/>
              <w:t xml:space="preserve">4.独立增益与电平控制：每个输入通道具备独立的增益调节和输出电平控制功能。</w:t>
              <w:br/>
              <w:t xml:space="preserve">5.闸门衰减调节：通道激活时的闸门（噪声门）衰减量可调，调节范围0dB至全静音，步进精度≤1dB。</w:t>
              <w:br/>
              <w:t xml:space="preserve">6.</w:t>
            </w:r>
            <w:r>
              <w:rPr>
                <w:rFonts w:ascii="SimSun" w:hAnsi="SimSun" w:eastAsia="SimSun" w:cs="SimSun"/>
                <w:color w:val="000000"/>
                <w:sz w:val="24"/>
              </w:rPr>
              <w:t xml:space="preserve">高通滤波器：每个输入通道设有独立的高通滤波器（低切功能），用于滤除低频噪声。</w:t>
              <w:br/>
              <w:t xml:space="preserve">7.自动增益衰减：支持NOMA 功能，可根据当前开启的麦克风数量自动衰减混音器总输出电平，防止因开启话筒数量增多、系统整体增益上升而产生啸叫，确保扩声系统稳定。</w:t>
              <w:br/>
              <w:t xml:space="preserve">8.串行扩展：支持通过RJ45网口串接扩展，最多可连接≥10台设备，总输入通道≥120路。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观摩室（大法庭）真分集无线手持话筒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1.双个接收机通道集成于一个1RU</w:t>
              <w:br/>
              <w:t xml:space="preserve">2.每个通道拥有独立的增益控制、LED电平表和XLR输出</w:t>
              <w:br/>
              <w:t xml:space="preserve">3.不低于70MHz的调谐范围</w:t>
              <w:br/>
              <w:t xml:space="preserve">4.具备频率扫描，自动分配频率，及红外线同步功能</w:t>
              <w:br/>
              <w:t xml:space="preserve">5.具备音频合并功能</w:t>
              <w:br/>
              <w:t xml:space="preserve">6.具备射频级联端口</w:t>
              <w:br/>
              <w:t xml:space="preserve">7.具备以太网联网接口</w:t>
              <w:br/>
              <w:t xml:space="preserve">8.不低于60dB可独立调整增益</w:t>
              <w:br/>
              <w:t xml:space="preserve">9.标配DANTE数字网络音频输出接口</w:t>
              <w:br/>
              <w:t xml:space="preserve">10.具备AES256加密功能</w:t>
              <w:br/>
              <w:t xml:space="preserve">11.支持软件集成实现频率协调规划、监控功能</w:t>
              <w:br/>
              <w:t xml:space="preserve">12.与接收机相同品牌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观摩室（大法庭）天线放大器（全向天线）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系统总体要求：</w:t>
              <w:br/>
              <w:t xml:space="preserve">1.天线分配系统应能在多频道无线系统中将天线信号从一对天线引导至多台无线接收机，有效弥补信号在分配传输过程中的衰减。</w:t>
              <w:br/>
              <w:t xml:space="preserve">2.单一台天线分配器主机应支持不少于4台无线接收机的天线共享，并具备级联扩展功能，可连接更多接收机。</w:t>
              <w:br/>
              <w:t xml:space="preserve">3.内置电源分配系统，外置开关电源应提供不低于4组直流供电输出端子，为无线接收机供电。</w:t>
              <w:br/>
              <w:t xml:space="preserve">技术参数：</w:t>
              <w:br/>
              <w:t xml:space="preserve">1.阻抗：50Ω</w:t>
              <w:br/>
              <w:t xml:space="preserve">2.输入交流电电压：100-240V</w:t>
              <w:br/>
              <w:t xml:space="preserve">3.输出直流电电压：12V四组DC输出端子</w:t>
              <w:br/>
              <w:t xml:space="preserve">4.天线增幅器电压：12v</w:t>
              <w:br/>
              <w:t xml:space="preserve">5.天线类型：壁挂有源指向性天线</w:t>
              <w:br/>
              <w:t xml:space="preserve">6.射频频率范</w:t>
            </w:r>
            <w:r>
              <w:rPr>
                <w:rFonts w:ascii="SimSun" w:hAnsi="SimSun" w:eastAsia="SimSun" w:cs="SimSun"/>
                <w:color w:val="000000"/>
                <w:sz w:val="24"/>
              </w:rPr>
              <w:t xml:space="preserve">围:450-950MHz</w:t>
              <w:br/>
              <w:t xml:space="preserve">7.供电方式：BNC,8-12VDC</w:t>
              <w:br/>
              <w:t xml:space="preserve">8.驻波比：≦2.0</w:t>
              <w:br/>
              <w:t xml:space="preserve">9.输入阻抗：50欧姆</w:t>
              <w:br/>
              <w:t xml:space="preserve">10.放大器底噪：＜3.6dB</w:t>
              <w:br/>
              <w:t xml:space="preserve">11.增益：≥12dB(典型)</w:t>
              <w:br/>
              <w:t xml:space="preserve">12.指向性：180度</w:t>
              <w:br/>
              <w:t xml:space="preserve">13.前后比：≧25dB</w:t>
              <w:br/>
              <w:t xml:space="preserve">14.接头类型：SMA（标配SMA转BNC线）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观摩室（大法庭）庭审专用话筒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1.支持连杆上下双端旋转结构，左右角度锁定；</w:t>
              <w:br/>
              <w:t xml:space="preserve">2.支持中频平直，高频稍有提升；</w:t>
              <w:br/>
              <w:t xml:space="preserve">3.支持咪芯模组20mm以上镀金电容式收音头；</w:t>
              <w:br/>
              <w:t xml:space="preserve">4.支持心型指向，同时话筒本体具备可快速拆卸更换指向性咪芯模组的结构设计；</w:t>
              <w:br/>
              <w:t xml:space="preserve">5.兼容可以在讲演录音和会议模式间进行灵活切换；</w:t>
              <w:br/>
              <w:t xml:space="preserve">6.具备轻触式工作指示状态的灯环；</w:t>
              <w:br/>
              <w:t xml:space="preserve">7.频率响应不低于40Hz-18kHz；</w:t>
              <w:br/>
              <w:t xml:space="preserve">8.灵敏度不低于-38dB±3dB（1dB=1V/Pa 1kHz）；</w:t>
              <w:br/>
              <w:t xml:space="preserve">9.等效噪声级不大于20dBa；</w:t>
              <w:br/>
              <w:t xml:space="preserve">10.输出阻抗不低于200欧姆；</w:t>
              <w:br/>
              <w:t xml:space="preserve">11.信噪比不低于75dB；</w:t>
              <w:br/>
              <w:t xml:space="preserve">12.最大声</w:t>
            </w:r>
            <w:r>
              <w:rPr>
                <w:rFonts w:ascii="SimSun" w:hAnsi="SimSun" w:eastAsia="SimSun" w:cs="SimSun"/>
                <w:color w:val="000000"/>
                <w:sz w:val="24"/>
              </w:rPr>
              <w:t xml:space="preserve">压级不低于128dB（T.H.D≤1% at 1kHz）</w:t>
              <w:br/>
              <w:t xml:space="preserve">13.▲支持通电自启；（提供证明此功能的产品图片、产品彩页）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观摩室（大法庭）落地式庭审扩录专用话筒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支持超长直杆组合立式落地支架；</w:t>
              <w:br/>
              <w:t xml:space="preserve">2. 支持中频平直，高频稍有提升；</w:t>
              <w:br/>
              <w:t xml:space="preserve">3. 支持咪芯模组20mm以上镀金电容式收音头；</w:t>
              <w:br/>
              <w:t xml:space="preserve">4. 支持心型指向，同时话筒本体具备可快速拆卸更换指向性咪芯模组的结构设计；</w:t>
              <w:br/>
              <w:t xml:space="preserve">5. 立杆高度不低于40CM~155CM之间可调；</w:t>
              <w:br/>
              <w:t xml:space="preserve">6. 频率响应不低于40Hz-18kHz；</w:t>
              <w:br/>
              <w:t xml:space="preserve">7. 灵敏度不低于-38dB±3dB（1dB=1V/Pa 1kHz）；</w:t>
              <w:br/>
              <w:t xml:space="preserve">8. 等效噪声级不大于20dBa；</w:t>
              <w:br/>
              <w:t xml:space="preserve">9. 输出阻抗不低于200欧姆；</w:t>
              <w:br/>
              <w:t xml:space="preserve">10. 信噪比不低于75dB；</w:t>
              <w:br/>
              <w:t xml:space="preserve">11. 最大声压级不低于128dB（T.</w:t>
            </w:r>
            <w:r>
              <w:rPr>
                <w:rFonts w:ascii="SimSun" w:hAnsi="SimSun" w:eastAsia="SimSun" w:cs="SimSun"/>
                <w:color w:val="000000"/>
                <w:sz w:val="24"/>
              </w:rPr>
              <w:t xml:space="preserve">H.D≤1% at 1kHz）。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远程全频线阵扬声器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1.线阵列系统应支持模块化组合，不同模块应具备可选的指向性模式或导波技术，可通过现场更换波导板或选用不同模块的方式实现水平覆盖角度的灵活调整，不少于3种可选范围。</w:t>
              <w:br/>
              <w:t xml:space="preserve">2.阵列内应有不少于3种不同额定垂直覆盖角度的模块供选配，以满足大法庭远近场覆盖需求。</w:t>
              <w:br/>
              <w:t xml:space="preserve">3.单组吊装阵列最多支持不少于24只全频模块的机械与电气连接。</w:t>
              <w:br/>
              <w:t xml:space="preserve">4.采用声学对称结构设计。</w:t>
              <w:br/>
              <w:t xml:space="preserve">5.峰值最大声压级（单组全频模块组合）：≥145dB SPL peak。</w:t>
              <w:br/>
              <w:t xml:space="preserve">6.分频模式：外置分频或双路驱动设计（有源二分频）。</w:t>
              <w:br/>
              <w:t xml:space="preserve">7.频率范围：不劣于59Hz～18kHz</w:t>
            </w:r>
            <w:r>
              <w:rPr>
                <w:rFonts w:ascii="SimSun" w:hAnsi="SimSun" w:eastAsia="SimSun" w:cs="SimSun"/>
                <w:color w:val="000000"/>
                <w:sz w:val="24"/>
              </w:rPr>
              <w:t xml:space="preserve">（-10dB测量法）。</w:t>
              <w:br/>
              <w:t xml:space="preserve">8.灵敏度：低频≥94dB，高频≥107dB（SPL/1W @1m）。</w:t>
              <w:br/>
              <w:t xml:space="preserve">9.最大声压级（连续）：低频≥125dB，高频≥130dB。</w:t>
              <w:br/>
              <w:t xml:space="preserve">10.水平覆盖角度范围：70°±10°。</w:t>
              <w:br/>
              <w:t xml:space="preserve">11.垂直覆盖角度范围：5°±2°（适用于单个模块）。</w:t>
              <w:br/>
              <w:t xml:space="preserve">12.额定功率（AES标准测试，GB/T 12060.5-2011）：低频≥600W，高频≥125W。</w:t>
              <w:br/>
              <w:t xml:space="preserve">13.单元配置：低频驱动单元：≥2×8英寸钕磁高效率单元（或等效辐射面积的单元组合）；高频驱动单元：≥2英寸音圈压缩驱动单元，单模块数量≥4个。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中程全频线阵扬声器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1.线阵列系统应支持模块化组合，不同模块应具备可选的指向性模式或导波技术，可通过现场更换波导板或选用不同模块的方式实现水平覆盖角度的灵活调整，不少于3种可选范围。</w:t>
              <w:br/>
              <w:t xml:space="preserve">2.阵列内应有不少于3种不同额定垂直覆盖角度的模块供选配，以满足大法庭远近场覆盖需求。</w:t>
              <w:br/>
              <w:t xml:space="preserve">3.单组吊装阵列最多支持不少于24只全频模块的机械与电气连接。</w:t>
              <w:br/>
              <w:t xml:space="preserve">4.采用声学对称结构设计。</w:t>
              <w:br/>
              <w:t xml:space="preserve">5.峰值最大声压级（单组全频模块组合）：≥145dB SPL peak。</w:t>
              <w:br/>
              <w:t xml:space="preserve">6.分频模式：外置分频或双路驱动设计（有源二分频）。</w:t>
              <w:br/>
              <w:t xml:space="preserve">7.频率范围：不劣于59Hz～18kHz</w:t>
            </w:r>
            <w:r>
              <w:rPr>
                <w:rFonts w:ascii="SimSun" w:hAnsi="SimSun" w:eastAsia="SimSun" w:cs="SimSun"/>
                <w:color w:val="000000"/>
                <w:sz w:val="24"/>
              </w:rPr>
              <w:t xml:space="preserve">（-10dB测量法）。</w:t>
              <w:br/>
              <w:t xml:space="preserve">8.灵敏度：低频≥94dB，高频≥106dB（SPL/1W @1m）。</w:t>
              <w:br/>
              <w:t xml:space="preserve">9.最大声压级（连续）：低频≥125dB，高频≥130dB。</w:t>
              <w:br/>
              <w:t xml:space="preserve">10.水平覆盖角度范围：100°±10°。</w:t>
              <w:br/>
              <w:t xml:space="preserve">11.垂直覆盖角度范围：10°±2°（适用于单个模块）。</w:t>
              <w:br/>
              <w:t xml:space="preserve">12.额定功率（AES标准测试，GB/T 12060.5-2011）：低频≥600W，高频≥125W。</w:t>
              <w:br/>
              <w:t xml:space="preserve">13.单元配置：低频驱动单元：≥2×8英寸钕磁高效率单元（或等效辐射面积的单元组合）；高频驱动单元：≥2英寸音圈压缩驱动单元，单模块数量≥4个。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近程全频线阵扬声器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1.线阵列系统应支持模块化组合，不同模块应具备可选的指向性模式或导波技术，可通过现场更换波导板或选用不同模块的方式实现水平覆盖角度的灵活调整，不少于3种可选范围。</w:t>
              <w:br/>
              <w:t xml:space="preserve">2.阵列内应有不少于3种不同额定垂直覆盖角度的模块供选配，以满足大法庭远近场覆盖需求。</w:t>
              <w:br/>
              <w:t xml:space="preserve">3.单组吊装阵列最多支持不少于24只全频模块的机械与电气连接。</w:t>
              <w:br/>
              <w:t xml:space="preserve">4.采用声学对称结构设计。</w:t>
              <w:br/>
              <w:t xml:space="preserve">5.峰值最大声压级（单组全频模块组合）：≥145dB SPL peak。</w:t>
              <w:br/>
              <w:t xml:space="preserve">6.分频模式：外置分频或双路驱动设计（有源二分频）。</w:t>
              <w:br/>
              <w:t xml:space="preserve">7.频率范围：不劣于59Hz～18kHz</w:t>
            </w:r>
            <w:r>
              <w:rPr>
                <w:rFonts w:ascii="SimSun" w:hAnsi="SimSun" w:eastAsia="SimSun" w:cs="SimSun"/>
                <w:color w:val="000000"/>
                <w:sz w:val="24"/>
              </w:rPr>
              <w:t xml:space="preserve">（-10dB测量法）。</w:t>
              <w:br/>
              <w:t xml:space="preserve">8.灵敏度：低频≥94dB，高频≥105dB（SPL/1W @1m）。</w:t>
              <w:br/>
              <w:t xml:space="preserve">9.最大声压级（连续）：低频≥128dB，高频≥132dB。</w:t>
              <w:br/>
              <w:t xml:space="preserve">10.水平覆盖角度范围：100°±10°。</w:t>
              <w:br/>
              <w:t xml:space="preserve">11.垂直覆盖角度范围：20°±5°（适用于单个模块）。</w:t>
              <w:br/>
              <w:t xml:space="preserve">12.额定功率（AES标准测试，GB/T 12060.5-2011）：低频≥600W，高频≥125W。</w:t>
              <w:br/>
              <w:t xml:space="preserve">13.单元配置：低频驱动单元：≥2×8英寸钕磁高效率单元（或等效辐射面积的单元组合）；高频驱动单元：≥2英寸音圈压缩驱动单元，单模块数量≥4个。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线阵超低音扬声器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1.箱体结构及吊挂件应与同系列全频扬声器共用同一吊挂系统，支持混合阵列组合吊装。</w:t>
              <w:br/>
              <w:t xml:space="preserve">2.扬声器正面及背面配备NL4兼容接口，便于组建心形超低阵列（组阵时须有效控制超低音向后辐射能量，避免后方区域低频过多影响清晰度）。</w:t>
              <w:br/>
              <w:t xml:space="preserve">3.单组吊装阵列最多支持不少于18只模块的机械与电气连接。</w:t>
              <w:br/>
              <w:t xml:space="preserve">4.额定功率（AES标准测试，GB/T 12060.5-2011）：≥1250W。</w:t>
              <w:br/>
              <w:t xml:space="preserve">5.峰值最大声压级（单组全频模块组合）：≥135dB SPL peak。</w:t>
              <w:br/>
              <w:t xml:space="preserve">6.分频模式：外置分频或双路驱动设计（有源二分频）。</w:t>
              <w:br/>
              <w:t xml:space="preserve">7.频率范围：不劣于29</w:t>
            </w:r>
            <w:r>
              <w:rPr>
                <w:rFonts w:ascii="SimSun" w:hAnsi="SimSun" w:eastAsia="SimSun" w:cs="SimSun"/>
                <w:color w:val="000000"/>
                <w:sz w:val="24"/>
              </w:rPr>
              <w:t xml:space="preserve">Hz～300Hz（-10dB测量法）。</w:t>
              <w:br/>
              <w:t xml:space="preserve">8.灵敏度≥98dB（SPL/1W @1m）。</w:t>
              <w:br/>
              <w:t xml:space="preserve">9.单元配置：≥单18英寸高效率低音单元。</w:t>
              <w:br/>
              <w:t xml:space="preserve">10.扬声器最长边长度≤800mm。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线阵扬声器吊装架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定制吊装架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线阵吊装葫芦+配件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套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7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线阵中高音功放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1.为保证大法庭音频系统功率匹配与长期运行稳定性，功放品牌须与线阵扬声器为同一品牌，若为不同品牌投标人需提供系统对接承诺书。</w:t>
              <w:br/>
              <w:t xml:space="preserve">2.工作模式配置：功放应支持不少于4个输出通道，并具备以下工作模式的灵活配置能力，以适配不同音箱组合及负载需求：</w:t>
              <w:br/>
              <w:t xml:space="preserve">  单通道独立模式：每个通道独立驱动各自负载（4Ω/8Ω，70V/100V）</w:t>
              <w:br/>
              <w:t xml:space="preserve">  电压桥接模式（定压驱动） ：两通道桥接驱动70V/100V定压扬声器负载，适用于远距离传输场景</w:t>
              <w:br/>
              <w:t xml:space="preserve">  功率共享模式：多通道共享总功率，可动态分配给特定通道，实现非均等功率分配</w:t>
              <w:br/>
              <w:t xml:space="preserve">  四通道组合模</w:t>
            </w:r>
            <w:r>
              <w:rPr>
                <w:rFonts w:ascii="SimSun" w:hAnsi="SimSun" w:eastAsia="SimSun" w:cs="SimSun"/>
                <w:color w:val="000000"/>
                <w:sz w:val="24"/>
              </w:rPr>
              <w:t xml:space="preserve">式：4个通道可灵活配置，将功放的总可用功率分配给一个或多个输出通道</w:t>
              <w:br/>
              <w:t xml:space="preserve">3.输出功率</w:t>
              <w:br/>
              <w:t xml:space="preserve">   •单通道独立模式：</w:t>
              <w:br/>
              <w:t xml:space="preserve">       @4-8Ω，70/100V：每通道≥300W</w:t>
              <w:br/>
              <w:t xml:space="preserve">       @2Ω：每通道≥400W</w:t>
              <w:br/>
              <w:t xml:space="preserve">   •功率共享模式：</w:t>
              <w:br/>
              <w:t xml:space="preserve">      @8Ω (100V) ≥1100W，</w:t>
              <w:br/>
              <w:t xml:space="preserve">      @4Ω (70V) ≥1100W，</w:t>
              <w:br/>
              <w:t xml:space="preserve">      @2Ω (70/100V) ≥1100W。</w:t>
              <w:br/>
              <w:t xml:space="preserve">   •电压桥接模式（定压驱动）：</w:t>
              <w:br/>
              <w:t xml:space="preserve">      @8Ω/桥接：单通道≥600W</w:t>
              <w:br/>
              <w:t xml:space="preserve">      @4Ω/桥接：单通道≥800W</w:t>
              <w:br/>
              <w:t xml:space="preserve">4</w:t>
            </w:r>
            <w:r>
              <w:rPr>
                <w:rFonts w:ascii="SimSun" w:hAnsi="SimSun" w:eastAsia="SimSun" w:cs="SimSun"/>
                <w:color w:val="000000"/>
                <w:sz w:val="24"/>
              </w:rPr>
              <w:t xml:space="preserve">.最大输入电平：≥20dBu。</w:t>
              <w:br/>
              <w:t xml:space="preserve">5.输出通道：≥4路，支持低阻抗（4Ω/8Ω）和高阻抗（70V/100V）负载直接驱动。</w:t>
              <w:br/>
              <w:t xml:space="preserve">6.模拟音频输入：≥4路平衡接口（XLR）。</w:t>
              <w:br/>
              <w:t xml:space="preserve">7.数字音频输入：≥4路，支持Dante或AES67网络音频传输协议。</w:t>
              <w:br/>
              <w:t xml:space="preserve">8.信噪比：≥100dB（A计权，低于额定功率1dB条件下测试）</w:t>
              <w:br/>
              <w:t xml:space="preserve">9.频率响应：20Hz-20kHz (±0.5dB，1W @8Ω测试)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7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线阵低音音功放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1.为保证大法庭音频系统功率匹配与长期运行稳定性，功放品牌须与线阵扬声器为同一品牌，若为不同品牌投标人需提供系统对接承诺书。</w:t>
              <w:br/>
              <w:t xml:space="preserve">2.工作模式配置：功放应支持不少于4个输出通道，并具备以下工作模式的灵活配置能力，以适配不同音箱组合及负载需求：</w:t>
              <w:br/>
              <w:t xml:space="preserve">  单通道独立模式：每个通道独立驱动各自负载（4Ω/8Ω，70V/100V）</w:t>
              <w:br/>
              <w:t xml:space="preserve">  电压桥接模式（定压驱动） ：两通道桥接驱动70V/100V定压扬声器负载，适用于远距离传输场景</w:t>
              <w:br/>
              <w:t xml:space="preserve">  功率共享模式：多通道共享总功率，可动态分配给特定通道，实现非均等功率分配</w:t>
              <w:br/>
              <w:t xml:space="preserve">  四通道组合模</w:t>
            </w:r>
            <w:r>
              <w:rPr>
                <w:rFonts w:ascii="SimSun" w:hAnsi="SimSun" w:eastAsia="SimSun" w:cs="SimSun"/>
                <w:color w:val="000000"/>
                <w:sz w:val="24"/>
              </w:rPr>
              <w:t xml:space="preserve">式：4个通道可灵活配置，将功放的总可用功率分配给一个或多个输出通道</w:t>
              <w:br/>
              <w:t xml:space="preserve">3.输出功率</w:t>
              <w:br/>
              <w:t xml:space="preserve">   •单通道独立模式：</w:t>
              <w:br/>
              <w:t xml:space="preserve">       @4-8Ω/立体声：每通道≥1200W</w:t>
              <w:br/>
              <w:t xml:space="preserve">       @2Ω/立体声：每通道≥1500W</w:t>
              <w:br/>
              <w:t xml:space="preserve">   •功率共享模式：</w:t>
              <w:br/>
              <w:t xml:space="preserve">      @8Ω ≥1300W</w:t>
              <w:br/>
              <w:t xml:space="preserve">      @4Ω ≥2600W</w:t>
              <w:br/>
              <w:t xml:space="preserve">      @2Ω ≥1800W</w:t>
              <w:br/>
              <w:t xml:space="preserve">     @70V≥2100W</w:t>
              <w:br/>
              <w:t xml:space="preserve">     @100V≥2200W</w:t>
              <w:br/>
              <w:t xml:space="preserve">   •电压桥接模式（定压驱动）：</w:t>
              <w:br/>
              <w:t xml:space="preserve">      @8Ω/桥接：单通道≥2400W</w:t>
              <w:br/>
              <w:t xml:space="preserve">      @4Ω/桥接：</w:t>
            </w:r>
            <w:r>
              <w:rPr>
                <w:rFonts w:ascii="SimSun" w:hAnsi="SimSun" w:eastAsia="SimSun" w:cs="SimSun"/>
                <w:color w:val="000000"/>
                <w:sz w:val="24"/>
              </w:rPr>
              <w:t xml:space="preserve">单通道≥3000W</w:t>
              <w:br/>
              <w:t xml:space="preserve">4.最大输入电平：≥20dBu。</w:t>
              <w:br/>
              <w:t xml:space="preserve">5.输出通道：≥4路，支持低阻抗（4Ω/8Ω）和高阻抗（70V/100V）负载直接驱动。</w:t>
              <w:br/>
              <w:t xml:space="preserve">6.模拟音频输入：≥4路平衡接口（XLR）。</w:t>
              <w:br/>
              <w:t xml:space="preserve">7.数字音频输入：≥4路，支持Dante或AES67网络音频传输协议。</w:t>
              <w:br/>
              <w:t xml:space="preserve">8.信噪比：≥100dB（A计权，低于额定功率1dB条件下测试）</w:t>
              <w:br/>
              <w:t xml:space="preserve">9.频率响应：20Hz-20kHz (±0.5dB，1W @8Ω测试)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7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线阵超低音功放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1.为保证大法庭音频系统功率匹配与长期运行稳定性，功放品牌须与线阵扬声器为同一品牌，若为不同品牌投标人需提供系统对接承诺书。</w:t>
              <w:br/>
              <w:t xml:space="preserve">2.工作模式配置：功放应支持不少于4个输出通道，并具备以下工作模式的灵活配置能力，以适配不同音箱组合及负载需求：</w:t>
              <w:br/>
              <w:t xml:space="preserve">  单通道独立模式：每个通道独立驱动各自负载（4Ω/8Ω，70V/100V）</w:t>
              <w:br/>
              <w:t xml:space="preserve">  电压桥接模式（定压驱动） ：两通道桥接驱动70V/100V定压扬声器负载，适用于远距离传输场景</w:t>
              <w:br/>
              <w:t xml:space="preserve">  功率共享模式：多通道共享总功率，可动态分配给特定通道，实现非均等功率分配</w:t>
              <w:br/>
              <w:t xml:space="preserve">  四通道组合模</w:t>
            </w:r>
            <w:r>
              <w:rPr>
                <w:rFonts w:ascii="SimSun" w:hAnsi="SimSun" w:eastAsia="SimSun" w:cs="SimSun"/>
                <w:color w:val="000000"/>
                <w:sz w:val="24"/>
              </w:rPr>
              <w:t xml:space="preserve">式：4个通道可灵活配置，将功放的总可用功率分配给一个或多个输出通道</w:t>
              <w:br/>
              <w:t xml:space="preserve">3.输出功率</w:t>
              <w:br/>
              <w:t xml:space="preserve">   •单通道独立模式：</w:t>
              <w:br/>
              <w:t xml:space="preserve">       @4-8Ω，70/100V：每通道≥600W</w:t>
              <w:br/>
              <w:t xml:space="preserve">       @2Ω：每通道≥800W</w:t>
              <w:br/>
              <w:t xml:space="preserve">   •功率共享模式：</w:t>
              <w:br/>
              <w:t xml:space="preserve">      @8Ω (100V) ≥1300W</w:t>
              <w:br/>
              <w:t xml:space="preserve">      @4Ω  ≥1700W</w:t>
              <w:br/>
              <w:t xml:space="preserve">      @2Ω  ≥1600W</w:t>
              <w:br/>
              <w:t xml:space="preserve">      @70V≥1700W</w:t>
              <w:br/>
              <w:t xml:space="preserve">      @100V≥1500W</w:t>
              <w:br/>
              <w:t xml:space="preserve">   •电压桥接模式（定压驱动）：</w:t>
              <w:br/>
              <w:t xml:space="preserve">      @8Ω/桥接：单通道≥1200W</w:t>
              <w:br/>
              <w:t xml:space="preserve">    </w:t>
            </w:r>
            <w:r>
              <w:rPr>
                <w:rFonts w:ascii="SimSun" w:hAnsi="SimSun" w:eastAsia="SimSun" w:cs="SimSun"/>
                <w:color w:val="000000"/>
                <w:sz w:val="24"/>
              </w:rPr>
              <w:t xml:space="preserve">  @4Ω/桥接：单通道≥1600W</w:t>
              <w:br/>
              <w:t xml:space="preserve">4.最大输入电平：≥20dBu。</w:t>
              <w:br/>
              <w:t xml:space="preserve">5.输出通道：≥4路，支持低阻抗（4Ω/8Ω）和高阻抗（70V/100V）负载直接驱动。</w:t>
              <w:br/>
              <w:t xml:space="preserve">6.模拟音频输入：≥4路平衡接口（XLR）。</w:t>
              <w:br/>
              <w:t xml:space="preserve">7.数字音频输入：≥4路，支持Dante或AES67网络音频传输协议。</w:t>
              <w:br/>
              <w:t xml:space="preserve">8.信噪比：≥100dB（A计权，低于额定功率1dB条件下测试）</w:t>
              <w:br/>
              <w:t xml:space="preserve">9.频率响应：20Hz-20kHz (±0.5dB，1W @8Ω测试)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全频舞台返送扬声器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1.箱体类型：二分频12英寸同轴全频音箱</w:t>
              <w:br/>
              <w:t xml:space="preserve">2.高频单元：≥2.5英寸振膜压缩驱动单元</w:t>
              <w:br/>
              <w:t xml:space="preserve">3.低频单元：≥12英寸高效率低音单元</w:t>
              <w:br/>
              <w:t xml:space="preserve">4.频率范围（-10dB）：不劣于60Hz～20,000Hz</w:t>
              <w:br/>
              <w:t xml:space="preserve">5.覆盖角度：水平110°±10°，垂直50°±10°（水平与垂直覆盖角可采用互换设计）</w:t>
              <w:br/>
              <w:t xml:space="preserve">6.额定功率：内置分频连续≥250W，峰值≥1000W；双功放低频≥300W/峰值≥2800W，高频≥45W/峰值≥720W</w:t>
              <w:br/>
              <w:t xml:space="preserve">7.灵敏度：≥96dB</w:t>
              <w:br/>
              <w:t xml:space="preserve">8.阻抗：8Ω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舞台返送扬声器功放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1.为保证大法庭音频系统功率匹配与长期运行稳定性，功放品牌须与返送扬声器为同一品牌，若为不同品牌投标人需提供系统对接承诺书。</w:t>
              <w:br/>
              <w:t xml:space="preserve">2.负载驱动能力：具备定压与定阻双模式输出能力，可驱动4Ω/8Ω低阻抗负载及70V/100V高阻抗负载，模式切换简便。</w:t>
              <w:br/>
              <w:t xml:space="preserve">3.总谐波失真+噪声（THD+N）：≤0.04%（1kHz，8Ω，参考GB/T 12060.3-2011测试）。</w:t>
              <w:br/>
              <w:t xml:space="preserve">4.最大输入电平≥22dBu</w:t>
              <w:br/>
              <w:t xml:space="preserve">5.模拟信号输入通道：≥2路平衡输入（XLR或凤凰端子）</w:t>
              <w:br/>
              <w:t xml:space="preserve">6.数字信号输入与传输：数字音频输入通道≥4路，支持Dante或</w:t>
            </w:r>
            <w:r>
              <w:rPr>
                <w:rFonts w:ascii="SimSun" w:hAnsi="SimSun" w:eastAsia="SimSun" w:cs="SimSun"/>
                <w:color w:val="000000"/>
                <w:sz w:val="24"/>
              </w:rPr>
              <w:t xml:space="preserve">AES67网络音频协议，支持菊花链（Daisy-chain）拓扑结构，支持不少于8路数字音频通道的传输能力。</w:t>
              <w:br/>
              <w:t xml:space="preserve">7.输出功率要求：D类放大拓扑，在1kHz、1% THD测试条件下，单通道独立模式下，8Ω负载时每通道输出功率≥600W；整机总输出功率≥1200W。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全频辅助扬声器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1.覆盖角度可互换，水平与垂直覆盖角可采用可旋转号角设计或其他等效波导技术实现</w:t>
              <w:br/>
              <w:t xml:space="preserve">2.频率范围(-10dB)不劣于：70~16000(Hz)</w:t>
              <w:br/>
              <w:t xml:space="preserve">3.灵敏度≥94dB</w:t>
              <w:br/>
              <w:t xml:space="preserve">4.最大峰值声压级≥126dB（参考AES或IEC测试标准）</w:t>
              <w:br/>
              <w:t xml:space="preserve">5.水平覆盖角度范围：90±10°；垂直覆盖角度范围：60±5°</w:t>
              <w:br/>
              <w:t xml:space="preserve">6.额定功率≥400W</w:t>
              <w:br/>
              <w:t xml:space="preserve">7.低频驱动单元≥2×8英寸（或等效辐射面积）；高频驱动单元≥2英寸音圈压缩驱动单元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辅助扬声器功放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1.为保证大法庭音频系统功率匹配与长期运行稳定性，功放品牌须与全频辅助扬声器为同一品牌，若为不同品牌投标人需提供系统对接承诺书。</w:t>
              <w:br/>
              <w:t xml:space="preserve">2.采用D类放大拓扑，内置高性能DSP处理器</w:t>
              <w:br/>
              <w:t xml:space="preserve">3.双电压和电流反馈回路设计</w:t>
              <w:br/>
              <w:t xml:space="preserve">4.支持双通道、四通道桥接模式</w:t>
              <w:br/>
              <w:t xml:space="preserve">5.模拟信号输入通道：≥4路平衡输入</w:t>
              <w:br/>
              <w:t xml:space="preserve">6.数字信号输入：数字音频输入通道≥4路，支持Dante或AES67网络音频协议，</w:t>
              <w:br/>
              <w:t xml:space="preserve">7.数字音频传输：支持菊花链（Daisy-chain）拓扑结构。</w:t>
              <w:br/>
              <w:t xml:space="preserve">8.可扩展性：采用模块化设计，支持通过安装扩展卡灵活扩展数字音频接口，兼容AES3、C</w:t>
            </w:r>
            <w:r>
              <w:rPr>
                <w:rFonts w:ascii="SimSun" w:hAnsi="SimSun" w:eastAsia="SimSun" w:cs="SimSun"/>
                <w:color w:val="000000"/>
                <w:sz w:val="24"/>
              </w:rPr>
              <w:t xml:space="preserve">obraNet及Dante等主流数字音频传输协议。</w:t>
              <w:br/>
              <w:t xml:space="preserve">9.单通道功率：在1kHz、1% THD测试条件下，8Ω负载时每通道输出功率≥500W。</w:t>
              <w:br/>
              <w:t xml:space="preserve">10.设备总功率：整机总输出功率≥2000W（所有通道同时输出时）。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全频台唇扬声器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1.箱体类型：二分频全频扬声器，适用于高品质前景音乐、区域补声及台唇扩声、人声地面返听等应用场合</w:t>
              <w:br/>
              <w:t xml:space="preserve">2.覆盖角互换性：水平覆盖角度≥90°，垂直覆盖角度≥50°。覆盖角度应具备互换能力，可通过旋转号角或其他等效波导技术实现，以满足不同安装方向的覆盖需求</w:t>
              <w:br/>
              <w:t xml:space="preserve">3.频率范围（-10dB）：不劣于70Hz～16,000Hz</w:t>
              <w:br/>
              <w:t xml:space="preserve">4.灵敏度（1W/1m）：≥94dB</w:t>
              <w:br/>
              <w:t xml:space="preserve">5.峰值最大声压级：≥126dB</w:t>
              <w:br/>
              <w:t xml:space="preserve">6.覆盖角度：水平90°±10°；垂直60°±5°</w:t>
              <w:br/>
              <w:t xml:space="preserve">7.额定功率（AES标准）：≥400W</w:t>
              <w:br/>
              <w:t xml:space="preserve">8.单元配置：采用二分频或等效驱动</w:t>
            </w:r>
            <w:r>
              <w:rPr>
                <w:rFonts w:ascii="SimSun" w:hAnsi="SimSun" w:eastAsia="SimSun" w:cs="SimSun"/>
                <w:color w:val="000000"/>
                <w:sz w:val="24"/>
              </w:rPr>
              <w:t xml:space="preserve">结构；低频单元总辐射面积等效不低于2×8英寸单元；高频驱动单元≥2英寸音圈压缩驱动单元。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台唇扬声器功放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1.为保证大法庭音频系统功率匹配与长期运行稳定性，功放品牌须与全频台唇扬声器为同一品牌，若为不同品牌投标人需提供系统对接承诺书。</w:t>
              <w:br/>
              <w:t xml:space="preserve">2.具备定压与定阻双模式输出能力，可驱动4Ω/8Ω低阻抗负载及70V/100V高阻抗负载，无需外置变压器，模式切换简便。</w:t>
              <w:br/>
              <w:t xml:space="preserve">3.支持立体声、双通道桥接（Bridge）等多种工作模式。对于4通道型号，应能支持灵活的桥接组合配置。</w:t>
              <w:br/>
              <w:t xml:space="preserve">4.总谐波失真+噪声（THD+N） ：≤0.05%（1kHz，8Ω，参考GB/T 12060.3-2011测试）。</w:t>
              <w:br/>
              <w:t xml:space="preserve">5.动态范围：≥100dB(A)（A计权</w:t>
            </w:r>
            <w:r>
              <w:rPr>
                <w:rFonts w:ascii="SimSun" w:hAnsi="SimSun" w:eastAsia="SimSun" w:cs="SimSun"/>
                <w:color w:val="000000"/>
                <w:sz w:val="24"/>
              </w:rPr>
              <w:t xml:space="preserve">，参考GB/T 12060.3-2011测试）。</w:t>
              <w:br/>
              <w:t xml:space="preserve">6.最大输入电平：≥20dBu（平衡输入）。</w:t>
              <w:br/>
              <w:t xml:space="preserve">7.模拟信号输入通道：≥2路平衡输入</w:t>
              <w:br/>
              <w:t xml:space="preserve">6.数字信号输：数字音频输入通道≥4路，支持Dante或AES67网络音频协议，</w:t>
              <w:br/>
              <w:t xml:space="preserve">7.数字音频传输：数字音频输入应支持Dante或AES67网络音频协议，并具备菊花链（Daisy-chain）拓扑结构</w:t>
              <w:br/>
              <w:t xml:space="preserve">9.单通道功率：在1kHz、1% THD测试条件下，8Ω负载时每通道输出功率≥600W。</w:t>
              <w:br/>
              <w:t xml:space="preserve">10.设备总功率：整机总输出功率≥1200W（所有通道同时输出时）。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观摩室（大法庭）数字音频处理器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1.支持立体声USB音频输入输出</w:t>
              <w:br/>
              <w:t xml:space="preserve">2.支持自动话筒混音模块</w:t>
              <w:br/>
              <w:t xml:space="preserve">3.支持自动反馈抑制模块</w:t>
              <w:br/>
              <w:t xml:space="preserve">4.支持跨平台（IOS、Android、Windows、MacOS）平台软件实时远程控制，并支持中文GUI界面</w:t>
              <w:br/>
              <w:t xml:space="preserve">5.模拟通道数量≥12进8出</w:t>
              <w:br/>
              <w:t xml:space="preserve">6.支持幻象供电</w:t>
              <w:br/>
              <w:t xml:space="preserve">7.内部数字输出通道数量≥8路</w:t>
              <w:br/>
              <w:t xml:space="preserve">8.Dante通道数量≥64进64出</w:t>
              <w:br/>
              <w:t xml:space="preserve">9.Dante双网口支持冗余模式</w:t>
              <w:br/>
              <w:t xml:space="preserve">10.每通道延时能力≥2000ms</w:t>
              <w:br/>
              <w:t xml:space="preserve">11.模拟输入至模拟输出延迟≤2ms</w:t>
              <w:br/>
              <w:t xml:space="preserve">12.总谐波失真+噪声（THD+N）≤0.01%</w:t>
              <w:br/>
              <w:t xml:space="preserve">13.动态范围≥115dB(A)</w:t>
              <w:br/>
              <w:t xml:space="preserve">14</w:t>
            </w:r>
            <w:r>
              <w:rPr>
                <w:rFonts w:ascii="SimSun" w:hAnsi="SimSun" w:eastAsia="SimSun" w:cs="SimSun"/>
                <w:color w:val="000000"/>
                <w:sz w:val="24"/>
              </w:rPr>
              <w:t xml:space="preserve">.数模转换精度≥24位</w:t>
              <w:br/>
              <w:t xml:space="preserve">15.GPI接口数量≥5个；GPO接口数量≥5个</w:t>
              <w:br/>
              <w:t xml:space="preserve">16.最大输入电平≥24dBu；最大输出电平≥24dBu</w:t>
              <w:br/>
              <w:t xml:space="preserve">17.声学回声消除模块(AEC)通道≥12路</w:t>
              <w:br/>
              <w:t xml:space="preserve">18.AEC参考信号通道≥4路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观摩室（大法庭）数字调音台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输入通道20路（16 路话筒输入(12 XLR, 4 XLR combo)，2 立体声 (1/4"TRS)，1路对讲XLR）；输出通道12路（主输出2路，辅助输出6路，2路立体声大三芯输出，耳机、监听扬声器各一组立体声大三芯输出）；7英寸彩色触摸屏控制，配合数据轮调整参数；4个高品质立体声效果处理器：混响、回声、延时、合唱等50个工厂预设，50个用户设置和1个音调校正（可以分配到任何单声道输入通道）；8个DCA和8个静音编组；可进行WiFi无线控制；不少于22*22轨录音及回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监听音箱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2分频低音反射式扬声器，内置70瓦双功放系统，分配45瓦5寸锥盆低频单元（4欧），25瓦1寸球顶高频单元（8欧）；频率响应54Hz-30kHz（-10dB）。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观摩室（大法庭）网络电源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  </w:t>
              <w:br/>
              <w:t xml:space="preserve">2.支持批量控制设备开关；</w:t>
              <w:br/>
              <w:t xml:space="preserve">3.支持预约设备开关；</w:t>
              <w:br/>
              <w:t xml:space="preserve">4.8路电源时序控制，每路延时1秒，延时10分钟关闭；</w:t>
              <w:br/>
              <w:t xml:space="preserve">5.整机容量不低于50A；</w:t>
              <w:br/>
              <w:t xml:space="preserve">6.采用符合CCC要求不低于24平方RVV软电缆，内部设计保留20%电流余量；</w:t>
              <w:br/>
              <w:t xml:space="preserve">7.支持标准RJ/45和RS232串口控制功能；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串口控制器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1.支持SSL加密传输；</w:t>
              <w:br/>
              <w:t xml:space="preserve">2.支持MQTT协议；</w:t>
              <w:br/>
              <w:t xml:space="preserve">3.不低于1路串口（RS485），波特率600bps-921.6K bps；</w:t>
              <w:br/>
              <w:t xml:space="preserve">4.支持边缘计算、采集、上报；</w:t>
              <w:br/>
              <w:t xml:space="preserve">5.支持IP、TCP、UDP、HTTP、ARP、ICMP、NTP、DHCP、DNS、SNMP、Telnet等网络协议；</w:t>
              <w:br/>
              <w:t xml:space="preserve">6.支持WebSocket通信方式的网页转串口；</w:t>
              <w:br/>
              <w:t xml:space="preserve">7.支持配置软件、AT指令配置、网页配置；</w:t>
              <w:br/>
              <w:t xml:space="preserve">8.支持1路RJ45、10/100Mbps、交叉直连自适应网口；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4路IO串口控制器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1.支持主机模式、从机模式；</w:t>
              <w:br/>
              <w:t xml:space="preserve">2.不低于1路串口（RS485），波特率300bps-230400bps；</w:t>
              <w:br/>
              <w:t xml:space="preserve">3.支持不低于4路DI输入和4路DO输出；</w:t>
              <w:br/>
              <w:t xml:space="preserve">4.支持TCP client、TCP server；                                                                    </w:t>
              <w:br/>
              <w:t xml:space="preserve">5.支持Modbus TCP、Modbus RTU；         </w:t>
              <w:br/>
              <w:t xml:space="preserve">6.支持组态软件；</w:t>
              <w:br/>
              <w:t xml:space="preserve">7.支持1路RJ45、10/100Mbps、交叉直连自适应网口；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交流接触器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1.支持220V不低于25A;</w:t>
              <w:br/>
              <w:t xml:space="preserve">2.不低于2P；</w:t>
              <w:br/>
              <w:t xml:space="preserve">3.主接触点为2NO;</w:t>
              <w:br/>
              <w:t xml:space="preserve">4.电气寿命不低于10万次；</w:t>
              <w:br/>
              <w:t xml:space="preserve">5.额定工作电流不低于20A;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视频会议摄像头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1.视频输出格式：最高支持4K（3840×2160）@60fps超高清视频输出；光学变焦≥12倍</w:t>
              <w:br/>
              <w:t xml:space="preserve">2.最低照度：彩色≤0.1Lux（F1.6，AGC ON），或提供同等级低照度性能证明</w:t>
              <w:br/>
              <w:t xml:space="preserve">3.图像传感器：CMOS或同等级成像元件，传感器靶面尺寸≥1/1.8英寸，有效像素≥800万</w:t>
              <w:br/>
              <w:t xml:space="preserve">4.视频输出接口：至少具备HDBaseT和HDMI接口（或等效扩展接口），HDBaseT接口支持视频、音频、控制信号及PoE/PoH供电传输，单根网线传输距离≥70米。</w:t>
              <w:br/>
              <w:t xml:space="preserve">5.控制接口：至少支持RS-232、RS-422、RS-485</w:t>
            </w:r>
            <w:r>
              <w:rPr>
                <w:rFonts w:ascii="SimSun" w:hAnsi="SimSun" w:eastAsia="SimSun" w:cs="SimSun"/>
                <w:color w:val="000000"/>
                <w:sz w:val="24"/>
              </w:rPr>
              <w:t xml:space="preserve">、IP网络控制中的一种或多种，支持VISCA、Pelco-D/Pelco-P等主流控制协议。</w:t>
              <w:br/>
              <w:t xml:space="preserve">6.网络接口：≥1个RJ45 10M/100M/1000M自适应以太网口。</w:t>
              <w:br/>
              <w:t xml:space="preserve">7.音频输入：支持≥1路Φ3.5mm立体声音频输入（Line In）。</w:t>
              <w:br/>
              <w:t xml:space="preserve">8.水平旋转角度：≥±170°（或等效范围≥340°），速度≥100°/s。</w:t>
              <w:br/>
              <w:t xml:space="preserve">9.垂直旋转角度：≥-30°～+30°。</w:t>
              <w:br/>
              <w:t xml:space="preserve">10.预置位数量：≥255个。</w:t>
              <w:br/>
              <w:t xml:space="preserve">11.支持HDR高动态功能，支持图像抗闪烁功能。</w:t>
              <w:br/>
              <w:t xml:space="preserve">12.支持终端遥控器通过摄像机反向控制会议终端。</w:t>
              <w:br/>
              <w:t xml:space="preserve">13、▲支持演讲者</w:t>
            </w:r>
            <w:r>
              <w:rPr>
                <w:rFonts w:ascii="SimSun" w:hAnsi="SimSun" w:eastAsia="SimSun" w:cs="SimSun"/>
                <w:color w:val="000000"/>
                <w:sz w:val="24"/>
              </w:rPr>
              <w:t xml:space="preserve">跟踪功能，可实现自动跟踪锁定会场中的某位参会人，并取景近景画面。（投标人需提供具有CNAS标识的第三方检测机构出具的检测报告）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视频会议终端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1.采用硬件分体式结构，非PC/工控机架构。</w:t>
              <w:br/>
              <w:t xml:space="preserve">2.终端CPU及操作系统应符合安全可靠测评要求。</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3.支持国密算法（SM1/SM2/SM3/SM4），内置安全芯片，一机一证；支持国密SSL信令加密及SRTP码流加密。</w:t>
              <w:br/>
              <w:t xml:space="preserve">4.支持H.323、SIP通信标准，呼叫带宽64Kbps～8Mbps。</w:t>
              <w:br/>
              <w:t xml:space="preserve">5.支持4K30fps、1080p60fps等分辨率，向下兼容。</w:t>
              <w:br/>
              <w:t xml:space="preserve">6.支持H.264 HP、H.265视频编解码协议；支持G.711、G.722、AAC-LD、Opus等音频协议，宽频效果≥20kHz。</w:t>
              <w:br/>
              <w:t xml:space="preserve">7.支持H.239、BFCP双流协议。</w:t>
              <w:br/>
              <w:t xml:space="preserve">8. ▲视频输入：支持≥3路高清视频输入接口（至少含2个HDMI输入口）、≥</w:t>
            </w:r>
            <w:r>
              <w:rPr>
                <w:rFonts w:ascii="SimSun" w:hAnsi="SimSun" w:eastAsia="SimSun" w:cs="SimSun"/>
                <w:color w:val="000000"/>
                <w:sz w:val="24"/>
              </w:rPr>
              <w:t xml:space="preserve">2路高清视频输出接口，支持≥6路音频输入接口，≥3路独立的音频输出接口（投标人需提供具有CNAS标识的第三方检测机构出具的检测报告）</w:t>
              <w:br/>
              <w:t xml:space="preserve">9.网络接口：≥2个千兆电口，支持网口热备份。</w:t>
              <w:br/>
              <w:t xml:space="preserve">10.低带宽超高清：2Mbps实现4K30fps，1Mbps实现1080P60fps，512Kbps实现1080P30fps。</w:t>
              <w:br/>
              <w:t xml:space="preserve">11.内置视频矩阵，可任意配置音视频输入输出对应关系；支持本地录像（MP4格式）。</w:t>
              <w:br/>
              <w:t xml:space="preserve">12.支持演讲者追踪、美颜、背景虚化/替换、多人特写、双流叠加人像、智能编码（ROI）等AI功能。</w:t>
              <w:br/>
              <w:t xml:space="preserve">13.支持字幕、横</w:t>
            </w:r>
            <w:r>
              <w:rPr>
                <w:rFonts w:ascii="SimSun" w:hAnsi="SimSun" w:eastAsia="SimSun" w:cs="SimSun"/>
                <w:color w:val="000000"/>
                <w:sz w:val="24"/>
              </w:rPr>
              <w:t xml:space="preserve">幅、视频水印；支持设备状态显示。</w:t>
              <w:br/>
              <w:t xml:space="preserve">14.网络抗丢包：30%丢包时视频清晰流畅，55%丢包时声音清晰可懂。</w:t>
              <w:br/>
              <w:t xml:space="preserve">15.▲终端须与本单位现有视频会议系统兼容，投标人提供对接承诺函。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当事人会见室内视频会议终端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1.采用硬件分体式结构，非PC/工控机架构。</w:t>
              <w:br/>
              <w:t xml:space="preserve">2.终端CPU及操作系统应符合安全可靠测评要求。</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3.支持国密算法（SM1/SM2/SM3/SM4），内置安全芯片，一机一证；支持国密SSL信令加密及SRTP码流加密。（提供CNAS检测报告）</w:t>
              <w:br/>
              <w:t xml:space="preserve">4.支持H.323、SIP通信标准，呼叫带宽64Kbps～8Mbps。</w:t>
              <w:br/>
              <w:t xml:space="preserve">5.支持4K30fps、1080p60fps等分辨率，向下兼容。</w:t>
              <w:br/>
              <w:t xml:space="preserve">6.支持H.264 HP、H.265视频编解码协议；支持G.711、G.722、AAC-LD、Opus等音频协议，宽频效果≥20kHz。</w:t>
              <w:br/>
              <w:t xml:space="preserve">7.支持H.239、BFCP双流协议。</w:t>
              <w:br/>
              <w:t xml:space="preserve">8. ▲视频输入：≥4路（至少含1路HDBaseT或</w:t>
            </w:r>
            <w:r>
              <w:rPr>
                <w:rFonts w:ascii="SimSun" w:hAnsi="SimSun" w:eastAsia="SimSun" w:cs="SimSun"/>
                <w:color w:val="000000"/>
                <w:sz w:val="24"/>
              </w:rPr>
              <w:t xml:space="preserve">等效接口、2路HDMI），视频输出：≥2路HDMI；音频输入≥4路，音频输出≥3路。（提供CNAS检测报告）</w:t>
              <w:br/>
              <w:t xml:space="preserve">9.网络接口：≥2个千兆电口，支持网口热备份。</w:t>
              <w:br/>
              <w:t xml:space="preserve">10. ▲低带宽超高清：2Mbps实现4K30fps，1Mbps实现1080P60fps，512Kbps实现1080P30fps。（提供CNAS检测报告）</w:t>
              <w:br/>
              <w:t xml:space="preserve">11.内置视频矩阵，可任意配置音视频输入输出对应关系；支持本地录像（MP4格式）。</w:t>
              <w:br/>
              <w:t xml:space="preserve">12.支持演讲者追踪、美颜、背景虚化/替换、多人特写、双流叠加人像、智能编码（ROI）等AI功能。</w:t>
              <w:br/>
              <w:t xml:space="preserve">13.支持字幕</w:t>
            </w:r>
            <w:r>
              <w:rPr>
                <w:rFonts w:ascii="SimSun" w:hAnsi="SimSun" w:eastAsia="SimSun" w:cs="SimSun"/>
                <w:color w:val="000000"/>
                <w:sz w:val="24"/>
              </w:rPr>
              <w:t xml:space="preserve">、横幅、视频水印；支持设备状态显示。</w:t>
              <w:br/>
              <w:t xml:space="preserve">14.网络抗丢包：30%丢包时视频清晰流畅，55%丢包时声音清晰可懂。</w:t>
              <w:br/>
              <w:t xml:space="preserve">15.▲终端须与本单位现有视频会议系统兼容，投标人提供对接承诺。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访客机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1.采用≥15.6英寸电容触摸主显示屏和≥11.6英寸液晶副显示屏的双屏设计，主屏支持多点触控操作，副屏支持显示引导信息或广告内容（或同步显示访客登记进度）。</w:t>
              <w:br/>
              <w:t xml:space="preserve">2.主显示屏分辨率≥1920×1080，副显示屏分辨率≥1366×768，显示色彩≥16.7M（8bit），对比度≥1000:1。</w:t>
              <w:br/>
              <w:t xml:space="preserve">3.内置高清摄像头（≥200万像素） ，支持访客现场照片自动采集；内置白光补光（或红外/等效低光照补光技术），适应光线较差环境下的清晰成像。未采用白光补光的投标人，须提供CNAS/CMA检测报告证明同等低光照条件下的人脸</w:t>
            </w:r>
            <w:r>
              <w:rPr>
                <w:rFonts w:ascii="SimSun" w:hAnsi="SimSun" w:eastAsia="SimSun" w:cs="SimSun"/>
                <w:color w:val="000000"/>
                <w:sz w:val="24"/>
              </w:rPr>
              <w:t xml:space="preserve">识别效果。</w:t>
              <w:br/>
              <w:t xml:space="preserve">4.内置居民身份证阅读模块，须符合公安部GA450/IGA450标准，支持二代/三代居民身份证信息自动读取。</w:t>
              <w:br/>
              <w:t xml:space="preserve">5.内置人证比对算法，支持人证比对功能：将现场抓拍的访客人脸照片与身份证内读取的人脸小图进行比对，验证是否为本人，比对时间≤1s，人证比对准确率≥99%。</w:t>
              <w:br/>
              <w:t xml:space="preserve">6.内置二维码扫描模块，支持一维码、二维码识别。可识别访客预约码完成自助登记，支持扫描访客凭条二维码实现快速签离。</w:t>
              <w:br/>
              <w:t xml:space="preserve">7.支持打印访客凭条，当访客登记成功后，由访客机打印访客登记信息。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安检分析仪器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违禁品智能识别：采用深度学习算法，对X射线安检图像进行结构化分析，智能识别图像中的违禁物品。识别物品种类应覆盖但不限于：①刀具类（匕首、切刀、美工刀、弹簧刀）②枪械类（仿真枪、枪支及零部件）③管制器具（指虎、甩棍、电击器、手铐）④压力容器/喷罐⑤打火机⑥雨伞⑦剪刀⑧电子设备（笔记本电脑、手机、平板电脑）⑨锂电池/充电宝⑩瓶装液体。支持分级联动输出：可根据不同违禁品种类关联不同的联动方式（如蜂鸣器报警、声光报警、开关量输出等）。</w:t>
              <w:br/>
              <w:t xml:space="preserve">2. 数据存储及查询：包裹物品的安检图片实时存储，违禁品智能标定，支持回放、</w:t>
            </w:r>
            <w:r>
              <w:rPr>
                <w:rFonts w:ascii="SimSun" w:hAnsi="SimSun" w:eastAsia="SimSun" w:cs="SimSun"/>
                <w:color w:val="000000"/>
                <w:sz w:val="24"/>
              </w:rPr>
              <w:t xml:space="preserve">追溯功能。大容量存储：支持百万级图片存储，支持不少于2路IPC视频接入（4Mbps定码率）并存储不少于30天的录像。</w:t>
              <w:br/>
              <w:t xml:space="preserve">3.IPC视频接入：支持不少于2路IPC网络摄像机接入，支持安检机视频源接入（VGA/HDMI等接口），支持录像及回放功能。</w:t>
              <w:br/>
              <w:t xml:space="preserve">4.安检联网：支持安检数据联网功能，安检过检数据及结构化结果实时上传至上级管理平台，实现安检联网与数据融合。</w:t>
              <w:br/>
              <w:t xml:space="preserve">5.系统容错与图像恢复：智能分析仪在系统异常（断电恢复、软件重启等）情况下，应能够在2秒内恢复图像输出，且不影响安检机本地判图功能。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人员通道-左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1.使用环境：室内</w:t>
              <w:br/>
              <w:t xml:space="preserve">2.电机类型：无刷直流一体化电机</w:t>
              <w:br/>
              <w:t xml:space="preserve">3.认证方式：设备应支持多种主流身份认证方式，包括但不限于人脸识别（选配）、刷卡（IC/ID卡，需外接读卡器）、二维码识别（需外接二维码阅读器）等；支持选配身份证阅读器实现人证比对功能；支持与门禁管理系统对接，实现统一权限管控</w:t>
              <w:br/>
              <w:t xml:space="preserve">4.红外对数：≥20对;光幕</w:t>
              <w:br/>
              <w:t xml:space="preserve">5.箱体材质：采用304不锈钢（或等同性能的耐腐蚀不锈钢材质），厚度≥1.2mm</w:t>
              <w:br/>
              <w:t xml:space="preserve">6.门翼材质：采用厚度≥10mm的优质亚克力</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7.通行速率：20-60人/分钟，受人员情况和通行模式影响</w:t>
              <w:br/>
              <w:t xml:space="preserve">8.防尾随与防夹功能：具备防尾随功能，当通道中同时通行人数超过允许通行人数时，应联动语音播报、指示灯等报警提示并上传报警事件；具备防夹保护功能，红外检测到人员在非安全区域时门翼自动停止动作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人员通道-右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1.使用环境：室内</w:t>
              <w:br/>
              <w:t xml:space="preserve">2.电机类型：无刷直流一体化电机</w:t>
              <w:br/>
              <w:t xml:space="preserve">3.认证方式：设备应支持多种主流身份认证方式，包括但不限于人脸识别（选配）、刷卡（IC/ID卡，需外接读卡器）、二维码识别（需外接二维码阅读器）等；支持选配身份证阅读器实现人证比对功能；支持与门禁管理系统对接，实现统一权限管控</w:t>
              <w:br/>
              <w:t xml:space="preserve">4.红外对数：≥20对;光幕</w:t>
              <w:br/>
              <w:t xml:space="preserve">5.箱体材质：采用304不锈钢（或等同性能的耐腐蚀不锈钢材质），厚度≥1.2mm</w:t>
              <w:br/>
              <w:t xml:space="preserve">6.门翼材质：采用厚度≥10mm的优质亚克力</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7.通行速率：20-60人/分钟，受人员情况和通行模式影响</w:t>
              <w:br/>
              <w:t xml:space="preserve">8.防尾随与防夹功能：具备防尾随功能，当通道中同时通行人数超过允许通行人数时，应联动语音播报、指示灯等报警提示并上传报警事件；具备防夹保护功能，红外检测到人员在非安全区域时门翼自动停止动作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1.采用≥7英寸LCD触摸显示屏，屏幕比例≥16:9或等效比例，屏幕分辨率≥600×1024</w:t>
              <w:br/>
              <w:t xml:space="preserve">2.采用≥200万像素宽动态双目摄像头，面部识别距离≥2m，适应身高范围1.2m-2.0m，支持照片及视频防假功能，支持远程视频预览功能</w:t>
              <w:br/>
              <w:t xml:space="preserve">3.支持二维码识别</w:t>
              <w:br/>
              <w:t xml:space="preserve">4.设备采用深度学习算法，本地支持≥10000人脸库，人脸比对时间≤0.2s/人，人脸验证准确率≥99%</w:t>
              <w:br/>
              <w:t xml:space="preserve">内置读卡模块，读卡区域与触摸显示屏一体化集成（屏幕下方感应区域），支持刷卡认证功能</w:t>
              <w:br/>
              <w:t xml:space="preserve">6.支持识别Mifare卡（IC卡）、CPU卡、二三代身份证序列号</w:t>
              <w:br/>
              <w:t xml:space="preserve">7</w:t>
            </w:r>
            <w:r>
              <w:rPr>
                <w:rFonts w:ascii="SimSun" w:hAnsi="SimSun" w:eastAsia="SimSun" w:cs="SimSun"/>
                <w:color w:val="000000"/>
                <w:sz w:val="24"/>
              </w:rPr>
              <w:t xml:space="preserve">.设备支持多种认证方式组合，包括但不限于：刷卡、人脸、密码、指纹（选配）、多因素组合认证（如刷卡+人脸、人脸+密码、刷卡+人脸+指纹等），支持多种组合方式的灵活配置以满足不同安全等级要求</w:t>
              <w:br/>
              <w:t xml:space="preserve">8.支持单人或多人同时认证功能，多人同时认证时最多支持≥5人</w:t>
              <w:br/>
              <w:t xml:space="preserve">9.支持多维度安全管控功能，包括但不限于：多重认证开门、首卡常开、超级卡/超级密码开门、中心远程开门、多重认证+平台远程认证（N+1）开门、在线升级、单门反潜回等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二维码识别器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指纹+蓝牙+二维码模块，支持蓝牙开门，支持指纹识别，支持二维码识别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全景多目拼接AR摄像机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基础性能</w:t>
              <w:br/>
              <w:t xml:space="preserve">最大分辨率：≥8160 × 3616，输出帧率≥30fps。</w:t>
              <w:br/>
              <w:t xml:space="preserve">传感器：≥1/1.8" Progressive Scan CMOS。</w:t>
              <w:br/>
              <w:t xml:space="preserve">调节角度：水平0°~355°，垂直0°~90°。</w:t>
              <w:br/>
              <w:t xml:space="preserve">2. 光学与补光</w:t>
              <w:br/>
              <w:t xml:space="preserve">焦距与视场角：全景模块水平视场角≥180°，垂直视场角≥90°。</w:t>
              <w:br/>
              <w:t xml:space="preserve">红外性能：采用高效红外阵列灯，照射距离≥20米。</w:t>
              <w:br/>
              <w:t xml:space="preserve">最低照度：彩色≤0.009 Lux，黑白≤0.0009 Lux，支持红外开启下0 Lux成像。</w:t>
              <w:br/>
              <w:t xml:space="preserve">防补光过曝：支持智能防补光过曝技术。</w:t>
              <w:br/>
              <w:t xml:space="preserve">3.码流分辨率：</w:t>
              <w:br/>
              <w:t xml:space="preserve">全景+ePTZ模式：全景通道</w:t>
            </w:r>
            <w:r>
              <w:rPr>
                <w:rFonts w:ascii="SimSun" w:hAnsi="SimSun" w:eastAsia="SimSun" w:cs="SimSun"/>
                <w:color w:val="000000"/>
                <w:sz w:val="24"/>
              </w:rPr>
              <w:t xml:space="preserve">3840×2160，ePTZ通道1920×1080。</w:t>
              <w:br/>
              <w:t xml:space="preserve">全景模式：8160×3616。</w:t>
              <w:br/>
              <w:t xml:space="preserve">原始模式：3840×2160（4通道合成）。</w:t>
              <w:br/>
              <w:t xml:space="preserve">全景分割模式：4064×1792。</w:t>
              <w:br/>
              <w:t xml:space="preserve">4. 网络与接口</w:t>
              <w:br/>
              <w:t xml:space="preserve">网络接口：自适应网口（10/100/1000Mbps），支持SFP光模块。</w:t>
              <w:br/>
              <w:t xml:space="preserve">防护等级：符合IP67防护标准，支持防暴等级IK10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普通半球型摄像机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1.传感器类型：1/3" Progressive Scan CMOS</w:t>
              <w:br/>
              <w:t xml:space="preserve">2.最低照度：彩色：0.005 Lux</w:t>
              <w:br/>
              <w:t xml:space="preserve">3.补光灯类型：红外灯</w:t>
              <w:br/>
              <w:t xml:space="preserve">4.补光距离：最远可达30 m</w:t>
              <w:br/>
              <w:t xml:space="preserve">5.防补光过曝：支持</w:t>
              <w:br/>
              <w:t xml:space="preserve">6.红外波长范围：850 nm </w:t>
              <w:br/>
              <w:t xml:space="preserve">7.最大分辨率：≥400万像素（分辨率≥2688×1520）</w:t>
              <w:br/>
              <w:t xml:space="preserve">8.网络：1个RJ45 10 M/100 M自适应以太网口</w:t>
              <w:br/>
              <w:t xml:space="preserve">9.音频：内置麦克风（≥1个）和内置扬声器（≥1个），支持双向语音对讲。</w:t>
              <w:br/>
              <w:t xml:space="preserve">10.电源输出：支持DC12V电源输出，可用于外接拾音器供电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普通枪型摄像机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1.最高分辨率：≥400万像素，分辨率≥2688×1520，帧率≥25fps，在该分辨率下可输出实时图像。</w:t>
              <w:br/>
              <w:t xml:space="preserve">2.视频压缩标准：支持H.265、H.264、MJPEG视频压缩算法，支持多级别视频质量配置、编码复杂度设置。</w:t>
              <w:br/>
              <w:t xml:space="preserve">3.传感器类型：≥1/3英寸 Progressive Scan CMOS。</w:t>
              <w:br/>
              <w:t xml:space="preserve">4.最低照度：彩色≤0.005 Lux（测试条件下），黑白≤0.001 Lux，0 Lux with IR（红外开启时）。</w:t>
              <w:br/>
              <w:t xml:space="preserve">5.宽动态：支持≥120 dB宽动态，适应逆光环境。</w:t>
              <w:br/>
              <w:t xml:space="preserve">6.图像增强：支持背光补偿、强光抑制、</w:t>
            </w:r>
            <w:r>
              <w:rPr>
                <w:rFonts w:ascii="SimSun" w:hAnsi="SimSun" w:eastAsia="SimSun" w:cs="SimSun"/>
                <w:color w:val="000000"/>
                <w:sz w:val="24"/>
              </w:rPr>
              <w:t xml:space="preserve">3D数字降噪。</w:t>
              <w:br/>
              <w:t xml:space="preserve">7.补光灯类型：支持白光补光及红外补光双补光模式。</w:t>
              <w:br/>
              <w:t xml:space="preserve">8.补光距离：红外补光距离≥50 m，白光补光距离≥30 m。</w:t>
              <w:br/>
              <w:t xml:space="preserve">9.内置麦克风：≥1个内置麦克风，支持高清拾音。</w:t>
              <w:br/>
              <w:t xml:space="preserve">10.网络接口：1个RJ45 10M/100M自适应以太网口。</w:t>
              <w:br/>
              <w:t xml:space="preserve">11.电源接口：支持DC12V电源输入，或支持PoE供电（802.3af），具备DC12V电源输出接口用于拾音器供电（不限定具体输出电流值）。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全结构化半球型摄像机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1.图像传感器：采用≥1/1.8英寸 Progressive Scan CMOS。</w:t>
              <w:br/>
              <w:t xml:space="preserve">2.最大分辨率：≥400万像素，最高分辨率≥2688×1520，帧率≥25fps。</w:t>
              <w:br/>
              <w:t xml:space="preserve">3.最低照度：彩色≤0.0005 Lux @（F1.2，AGC ON），黑白≤0.0001 Lux @（F1.2，AGC ON），0 Lux with IR。</w:t>
              <w:br/>
              <w:t xml:space="preserve">4.宽动态：≥120 dB，支持背光补偿、强光抑制、3D数字降噪。</w:t>
              <w:br/>
              <w:t xml:space="preserve">5.视频压缩标准：支持H.265、H.264、MJPEG压缩算法，支持多码流。</w:t>
              <w:br/>
              <w:t xml:space="preserve">6.变焦镜头：焦距范围≥2.8-12</w:t>
            </w:r>
            <w:r>
              <w:rPr>
                <w:rFonts w:ascii="SimSun" w:hAnsi="SimSun" w:eastAsia="SimSun" w:cs="SimSun"/>
                <w:color w:val="000000"/>
                <w:sz w:val="24"/>
              </w:rPr>
              <w:t xml:space="preserve">mm（或等效变倍范围≥4倍），支持电动变焦。</w:t>
              <w:br/>
              <w:t xml:space="preserve">7.补光类型：红外补光距离≥30m，人脸抓拍模式下补光距离≥3m。</w:t>
              <w:br/>
              <w:t xml:space="preserve">8.防补光过曝：支持，可自动或手动调节补光灯亮度（含按距离等级调节）。</w:t>
              <w:br/>
              <w:t xml:space="preserve">9.智能资源切换：支持不少于5种智能资源模式切换，包括但不限于：全结构化（默认）、人脸抓拍、人脸比对、Smart事件、热度图、人数统计、道路监控、普通监控等模式。</w:t>
              <w:br/>
              <w:t xml:space="preserve">10.全结构化模式：支持对人脸、人体、非机动车、机动车抓拍及属性提取。</w:t>
              <w:br/>
              <w:t xml:space="preserve">11.人脸抓拍：支持对不同目标进行检测、抓拍和优选，单场景同时检测抓拍不少于30张人脸图片</w:t>
            </w:r>
            <w:r>
              <w:rPr>
                <w:rFonts w:ascii="SimSun" w:hAnsi="SimSun" w:eastAsia="SimSun" w:cs="SimSun"/>
                <w:color w:val="000000"/>
                <w:sz w:val="24"/>
              </w:rPr>
              <w:t xml:space="preserve">，支持快速抓拍模式和优选抓拍模式，支持去误报和去重。</w:t>
              <w:br/>
              <w:t xml:space="preserve">12.人脸识别准确率：内置GPU/AI算力芯片,支持检出两眼瞳距40像素点以上的人脸图片，人脸检出率≥99%。</w:t>
              <w:br/>
              <w:t xml:space="preserve">13.内置麦克风：≥1个内置麦克风，支持高清拾音。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人脸抓拍半球摄像机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1.智能资源模式切换：支持多种智能资源模式切换，包括但不限于：人脸抓拍（默认）、Smart事件、热度图、人数统计、道路监控、普通监控等。</w:t>
              <w:br/>
              <w:t xml:space="preserve">2.人脸抓拍模式：支持同时检测抓拍不少于30张人脸，支持对运动人脸进行检测、跟踪、抓拍、评分、筛选，输出优选人脸抓图，支持优选抓拍及快速抓拍模式。</w:t>
              <w:br/>
              <w:t xml:space="preserve">3.传感器：传感器靶面尺寸≥1/2.7英寸，支持低照度成像。</w:t>
              <w:br/>
              <w:t xml:space="preserve">4.最大分辨率：≥2560×1440，≥400万像素。</w:t>
              <w:br/>
              <w:t xml:space="preserve">5.最低照度：彩色≤0.005 Lux（F1.2，AGC ON），黑白≤0.001 Lux（F1.2，AGC</w:t>
            </w:r>
            <w:r>
              <w:rPr>
                <w:rFonts w:ascii="SimSun" w:hAnsi="SimSun" w:eastAsia="SimSun" w:cs="SimSun"/>
                <w:color w:val="000000"/>
                <w:sz w:val="24"/>
              </w:rPr>
              <w:t xml:space="preserve"> ON），0 Lux with IR。</w:t>
              <w:br/>
              <w:t xml:space="preserve">6.宽动态：≥120 dB宽动态，支持背光补偿、强光抑制、3D数字降噪。</w:t>
              <w:br/>
              <w:t xml:space="preserve">7.电动变焦镜头：焦距范围≥2.7mm-13.5mm（或等效变倍范围≥4倍），支持电动变焦，适应不同监控距离需求。</w:t>
              <w:br/>
              <w:t xml:space="preserve">8.补光：红外补光距离≥30m，人脸抓拍模式下补光距离≥3m。</w:t>
              <w:br/>
              <w:t xml:space="preserve">9.防补光过曝：支持，可自动或手动调节补光灯亮度（含按距离等级调节）。</w:t>
              <w:br/>
              <w:t xml:space="preserve">10.音频配置：内置麦克风≥1个，支持高清拾音。</w:t>
              <w:br/>
              <w:t xml:space="preserve">11.网络接口：1个RJ45 10M/100M自适应以太网口。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r>
      <w:tr>
        <w:trPr>
          <w:trHeight w:val="5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PTZ红外半球型摄像机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1.智能侦测功能：支持区域入侵侦测、越界侦测、移动侦测等智能行为分析功能，并支持联动报警及平台事件。智能事件触发时，球机应支持自动跟踪入侵目标并进行细节放大显示。</w:t>
              <w:br/>
              <w:t xml:space="preserve">2.人车检测功能：设备应支持人、车目标检测，检测结果叠加至视频码流，配合主流智能分析平台可实现人车目标快速检索，支持结构化属性文搜功能（需平台配合）。</w:t>
              <w:br/>
              <w:t xml:space="preserve">3.水平旋转范围：360°连续旋转；垂直旋转范围：-5°~90°（支持自动翻转）。</w:t>
              <w:br/>
              <w:t xml:space="preserve">4.预置位与巡航：支持预置位≥300个，巡航扫描路径≥8条。支持守望功能：设备待机一段时间后自动恢复至预置位或执</w:t>
            </w:r>
            <w:r>
              <w:rPr>
                <w:rFonts w:ascii="SimSun" w:hAnsi="SimSun" w:eastAsia="SimSun" w:cs="SimSun"/>
                <w:color w:val="000000"/>
                <w:sz w:val="24"/>
              </w:rPr>
              <w:t xml:space="preserve">行巡航扫描。</w:t>
              <w:br/>
              <w:t xml:space="preserve">5.视窗防护：支持内置风扇除雾功能。</w:t>
              <w:br/>
              <w:t xml:space="preserve">6.传感器：传感器类型≥1/2.8英寸 Progressive Scan CMOS。</w:t>
              <w:br/>
              <w:t xml:space="preserve">7.最低照度：彩色≤0.005Lux（F1.6，AGC ON），黑白≤0.001Lux（F1.6，AGC ON），0 Lux with IR。</w:t>
              <w:br/>
              <w:t xml:space="preserve">8.变焦：光学变倍≥25倍，数字变倍≥16倍。</w:t>
              <w:br/>
              <w:t xml:space="preserve">9.焦距范围：≥4.8-120mm（或等效变焦范围≥25倍，支持电动变焦，适应不同监控距离需求）。</w:t>
              <w:br/>
              <w:t xml:space="preserve">10.补光：红外补光，补光距离≥50m。</w:t>
              <w:br/>
              <w:t xml:space="preserve">11.最大分辨率：≥2560×1440，</w:t>
            </w:r>
            <w:r>
              <w:rPr>
                <w:rFonts w:ascii="SimSun" w:hAnsi="SimSun" w:eastAsia="SimSun" w:cs="SimSun"/>
                <w:color w:val="000000"/>
                <w:sz w:val="24"/>
              </w:rPr>
              <w:t xml:space="preserve">主码流帧率≥25fps（50Hz）/≥30fps（60Hz）。</w:t>
              <w:br/>
              <w:t xml:space="preserve">12.网络自适应能力：具备较强的网络适应性，在丢包率不低于10%的网络环境下，仍能保持监视画面显示，无明显花屏或卡顿。</w:t>
              <w:br/>
              <w:t xml:space="preserve">13.音频配置：内置麦克风≥1个，支持高清拾音。</w:t>
              <w:br/>
              <w:t xml:space="preserve">14.网络接口：1个RJ45 10M/100M自适应以太网口。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7寸人脸门禁设备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1.采用≥7英寸LCD触摸显示屏，屏幕比例≥9:16或等效比例，屏幕分辨率≥600×1024。</w:t>
              <w:br/>
              <w:t xml:space="preserve">2.采用≥200万像素宽动态双目摄像头，面部识别距离≥2m（适应身高范围1.2m-2.0m），支持照片及视频防假功能，支持远程视频预览功能。</w:t>
              <w:br/>
              <w:t xml:space="preserve">3.设备采用深度学习算法，本地支持≥10000人脸库，人脸比对时间≤0.2s/人。</w:t>
              <w:br/>
              <w:t xml:space="preserve">4.内置读卡模块，读卡区域与触摸显示屏一体化集成（屏幕下方感应区域），支持刷卡认证功能；支持识别Mifare卡（IC卡）、CPU卡、身份证卡序列号（二代、三代），卡片类型至少包括上述所列。</w:t>
              <w:br/>
            </w:r>
            <w:r>
              <w:rPr>
                <w:rFonts w:ascii="SimSun" w:hAnsi="SimSun" w:eastAsia="SimSun" w:cs="SimSun"/>
                <w:color w:val="000000"/>
                <w:sz w:val="24"/>
              </w:rPr>
              <w:t xml:space="preserve">5.设备支持多种认证方式组合，包括但不限于：刷卡、人脸、密码、指纹（选配）、多因素组合认证（如刷卡+人脸、人脸+密码等），支持多种组合方式的灵活配置以满足不同安全等级要求。含指纹认证方式时，需增加指纹识别模块。</w:t>
              <w:br/>
              <w:t xml:space="preserve">6.支持单人或多人同时认证功能，多人同时认证时最多支持≥5人。</w:t>
              <w:br/>
              <w:t xml:space="preserve">7.支持多维度安全管控功能，包括但不限于：多重认证开门、首卡常开、超级卡/超级密码开门、中心远程开门、多重认证+平台远程认证（N+1）开门、多重认证+超级密码开门、在线升级、单门反潜回等。各项安全功能应可根据项目实际需求进行灵活配置和开</w:t>
            </w:r>
            <w:r>
              <w:rPr>
                <w:rFonts w:ascii="SimSun" w:hAnsi="SimSun" w:eastAsia="SimSun" w:cs="SimSun"/>
                <w:color w:val="000000"/>
                <w:sz w:val="24"/>
              </w:rPr>
              <w:t xml:space="preserve">关。</w:t>
              <w:br/>
              <w:t xml:space="preserve">8.支持文字转语音和语音合成技术，认证成功和认证失败的语音播报内容、播报时段可分别自定义配置（不少于4个时间段）。认证成功时语音播报可叠加播报姓名。</w:t>
              <w:br/>
              <w:t xml:space="preserve">9.支持认证成功界面的“照片”、“姓名”、“工号”信息可分别配置是否显示。</w:t>
              <w:br/>
              <w:t xml:space="preserve">10.支持识别主界面的“呼叫”、“二维码”、“密码”等按键图标可分别配置是否显示。</w:t>
              <w:br/>
              <w:t xml:space="preserve">11.支持设备本地及Web端管理，可进行人员管理、参数配置、事件查询、系统维护等操作。</w:t>
              <w:br/>
              <w:t xml:space="preserve">12.支持1路布防、1路事件监听，在线状态下将设备比对结果及联动抓拍照片实时上传给平台。</w:t>
              <w:br/>
              <w:t xml:space="preserve">13.支持断网续传</w:t>
            </w:r>
            <w:r>
              <w:rPr>
                <w:rFonts w:ascii="SimSun" w:hAnsi="SimSun" w:eastAsia="SimSun" w:cs="SimSun"/>
                <w:color w:val="000000"/>
                <w:sz w:val="24"/>
              </w:rPr>
              <w:t xml:space="preserve">功能，设备离线状态下产生事件在与平台连接后会重新上传。</w:t>
              <w:br/>
              <w:t xml:space="preserve">14.系统对接：设备应与本次采购的门禁管理系统对接，实现统一权限配置、通行记录统一存储与查询。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人脸门禁设备电源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输入电压：100-240VAC；</w:t>
              <w:br/>
              <w:t xml:space="preserve">输出电压：12VDC；</w:t>
              <w:br/>
              <w:t xml:space="preserve">输出电流：4.17A；</w:t>
              <w:br/>
              <w:t xml:space="preserve">输出功率：50W；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单门磁力锁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锁体主体颜色为：氧化银。</w:t>
              <w:br/>
              <w:t xml:space="preserve">最大静态直线拉力：280kg ± 5%；</w:t>
              <w:br/>
              <w:t xml:space="preserve">断电开锁，满足消防要求；</w:t>
              <w:br/>
              <w:t xml:space="preserve">具有电锁状态指示灯；</w:t>
              <w:br/>
              <w:t xml:space="preserve">支持锁状态侦测信号(门磁)输出：NO/NC/COM接点；</w:t>
              <w:br/>
              <w:t xml:space="preserve">工作电压：12V/500mA(±10%)或 24V/250mA(±10%)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单门磁力锁支架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磁力锁配套支架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双门磁力锁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锁体主体颜色为：氧化银。</w:t>
              <w:br/>
              <w:t xml:space="preserve">最大静态直线拉力：280kg ± 5%*2；</w:t>
              <w:br/>
              <w:t xml:space="preserve">断电开锁，满足消防要求；</w:t>
              <w:br/>
              <w:t xml:space="preserve">具有电锁状态指示灯；</w:t>
              <w:br/>
              <w:t xml:space="preserve">支持锁状态侦测信号(门磁)输出：NO/NC/COM接点；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双门磁力锁支架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双门磁力锁配套支架，选用材料：高强铝合金，表面喷沙，颜色为氧化银。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开门按钮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开门按钮</w:t>
              <w:br/>
              <w:t xml:space="preserve">标准结构：304不锈钢面板，304不锈钢按钮</w:t>
              <w:br/>
              <w:t xml:space="preserve">接点输出：NO/NC/COM接点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信息录入仪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1、3.97英寸触摸显示屏，屏幕分辨率800*480；</w:t>
              <w:br/>
              <w:t xml:space="preserve">2、采用200万双目摄像头，有照片视频防假功能；</w:t>
              <w:br/>
              <w:t xml:space="preserve">3、支持人脸采集、卡片录入（ID/IC/普通CPU/国密CPU卡/二三代身份证序列号）；</w:t>
              <w:br/>
              <w:t xml:space="preserve">4、支持在线采集，通过网络协议或USB口对接到平台，平台进行在线采集，采集信息实时上传；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网络广播主机服务器管理软件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1.系统支持集中模式管理，</w:t>
              <w:br/>
              <w:t xml:space="preserve">2.可对所有分区进行自定义分组操作，对分区进行广播.调节音量操作。</w:t>
              <w:br/>
              <w:t xml:space="preserve">3.显示分组信息.分区状态（开关/音量/实时节目名称）.节目列表.定时点信息。</w:t>
              <w:br/>
              <w:t xml:space="preserve">4.可对一个或多个分组/分区进行广播节目操作。</w:t>
              <w:br/>
              <w:t xml:space="preserve">5.所有分区都可设置程控和非程控（手动）两种控制模式。</w:t>
              <w:br/>
              <w:t xml:space="preserve">6.可创建50个定时方案，每个定时方案可包括150个定时点，定时方案支持备份存储，</w:t>
              <w:br/>
              <w:t xml:space="preserve">7.可直接导入/导出使用。可添加/修改/删除定时点，把定时点下发给指定分区。</w:t>
              <w:br/>
              <w:t xml:space="preserve">8.可集中管理所有网络终端设备，可对终端设备的节目源.定时方案和设备的</w:t>
            </w:r>
            <w:r>
              <w:rPr>
                <w:rFonts w:ascii="SimSun" w:hAnsi="SimSun" w:eastAsia="SimSun" w:cs="SimSun"/>
                <w:color w:val="000000"/>
                <w:sz w:val="24"/>
              </w:rPr>
              <w:t xml:space="preserve">升级维护。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网络消防采集器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1.每台机支持不少于32路消防报警信号接入，支持短路和5V-24V信号。</w:t>
              <w:br/>
              <w:t xml:space="preserve">2.32路独立控制，支持邻区告警。</w:t>
              <w:br/>
              <w:t xml:space="preserve">3.强行激活区可局限于事故区，也可伸展至若干个邻区，由网络化主机预编程确定。</w:t>
              <w:br/>
              <w:t xml:space="preserve">4.可通过管理软件定制告警播放声音。</w:t>
              <w:br/>
              <w:t xml:space="preserve">5.同一系统可以有多台机连接于网络，可任意扩展控制区域。</w:t>
              <w:br/>
              <w:t xml:space="preserve">6.10/100M自适应，支持DHCP/静态IP。</w:t>
              <w:br/>
              <w:t xml:space="preserve">7.面板设电平指示灯显示工作状态。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智能寻呼站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1.7寸TFT真彩液晶显示屏+电容触摸屏，支持五点触控。</w:t>
              <w:br/>
              <w:t xml:space="preserve">2.最多可控制200个分区，具有一键全区寻呼功能。</w:t>
              <w:br/>
              <w:t xml:space="preserve">3.具有分区寻呼和分组寻呼功能。</w:t>
              <w:br/>
              <w:t xml:space="preserve">4.可根据需求只显示关注的分区和分组。</w:t>
              <w:br/>
              <w:t xml:space="preserve">5.可查看分区状态信息。</w:t>
              <w:br/>
              <w:t xml:space="preserve">6.具有多段电平指示功能，寻呼声压更直观。</w:t>
              <w:br/>
              <w:t xml:space="preserve">7.可向分区广播主机节目库歌曲。</w:t>
              <w:br/>
              <w:t xml:space="preserve">8.话筒在设定时间内无信号输入，可自动关闭。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1.基于TCP/IP协议，网络广播数字功放，可跨网段工作。</w:t>
              <w:br/>
              <w:t xml:space="preserve">2.支持SIP2.0（RFC3261）以及相关的RFC。</w:t>
              <w:br/>
              <w:t xml:space="preserve">3.高级保护电路，具有输出短路保护，过载保护，过热保护等多种保护和警告功能。</w:t>
              <w:br/>
              <w:t xml:space="preserve">4.内置高效率数字功放，70V/100V定压输出，效率高达90%以上。</w:t>
              <w:br/>
              <w:t xml:space="preserve">5.支持网页模式配置参数。</w:t>
              <w:br/>
              <w:t xml:space="preserve">6.支持音频格式：MP3，WAV等。</w:t>
              <w:br/>
              <w:t xml:space="preserve">7.额定功率：120W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天花扬声器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1.喇叭单元：3”×1          </w:t>
              <w:br/>
              <w:t xml:space="preserve">2.额定功率：6W                                        </w:t>
              <w:br/>
              <w:t xml:space="preserve">3.线路输入：70V/100V                                   </w:t>
              <w:br/>
              <w:t xml:space="preserve">4.灵敏度（1m,1W):88dB±2dB                              </w:t>
              <w:br/>
              <w:t xml:space="preserve">5.最大声压级：95±2dB                                </w:t>
              <w:br/>
              <w:t xml:space="preserve">6.有效频响范围：120Hz-20kHz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羁押登记屏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1.采用≥15.6英寸电容式触摸显示屏，屏幕比例≥9:16或等效比例，屏幕分辨率≥1920×1080。</w:t>
              <w:br/>
              <w:t xml:space="preserve">2.操作方式：触摸屏操作，并配有实体按键，可通过物理按键进行呼叫、报警等功能操作。</w:t>
              <w:br/>
              <w:t xml:space="preserve">3.采用≥200万像素宽动态双目摄像头（或等效双摄像头），内置星光级传感器，支持在无光或暗光条件下识别人脸。</w:t>
              <w:br/>
              <w:t xml:space="preserve">4.本地人脸库：支持≥20000张人脸白名单。</w:t>
              <w:br/>
              <w:t xml:space="preserve">5.指纹识别：支持指纹识别功能，采用电容式防暴指纹识别模组。</w:t>
              <w:br/>
              <w:t xml:space="preserve">6.读卡功能：具备读卡功能，可支持Mifare卡（IC卡）、CPU卡序列号、身份证序列号等卡片识别。</w:t>
              <w:br/>
              <w:t xml:space="preserve">7</w:t>
            </w:r>
            <w:r>
              <w:rPr>
                <w:rFonts w:ascii="SimSun" w:hAnsi="SimSun" w:eastAsia="SimSun" w:cs="SimSun"/>
                <w:color w:val="000000"/>
                <w:sz w:val="24"/>
              </w:rPr>
              <w:t xml:space="preserve">.操作系统：采用Android等主流操作系统。</w:t>
              <w:br/>
              <w:t xml:space="preserve">CPU主频：≥2.0GHz。</w:t>
              <w:br/>
              <w:t xml:space="preserve">内存存储：≥2GB RAM，≥8GB ROM。</w:t>
              <w:br/>
              <w:t xml:space="preserve">人脸验证：人脸比对时间≤0.3s，人脸验证准确率≥99%。</w:t>
              <w:br/>
              <w:t xml:space="preserve">8.音频：设备采用音频阵列输入或等效多MIC设计，可支持远距离音频对讲。</w:t>
              <w:br/>
              <w:t xml:space="preserve">9.网络接口：1路10M/100M/1000M自适应以太网口。</w:t>
              <w:br/>
              <w:t xml:space="preserve">10.通信方式：有线网络。</w:t>
              <w:br/>
              <w:t xml:space="preserve">11.认证方式：支持人脸、刷卡（IC卡、CPU卡序列号、身份证序列号）、密码等多种认证方式。</w:t>
              <w:br/>
              <w:t xml:space="preserve">12.硬件接口：≥RJ45×1，RS485×2，门锁×1，IO输入</w:t>
            </w:r>
            <w:r>
              <w:rPr>
                <w:rFonts w:ascii="SimSun" w:hAnsi="SimSun" w:eastAsia="SimSun" w:cs="SimSun"/>
                <w:color w:val="000000"/>
                <w:sz w:val="24"/>
              </w:rPr>
              <w:t xml:space="preserve">×4，IO输出×2，音频输入×1，音频输出×1。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羁押信息发布屏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1,屏幕尺寸≥55英寸，壁挂安装</w:t>
              <w:br/>
              <w:t xml:space="preserve">2.素材类型：包括不限于图片、音频、视频、滚动字幕、PDF文档、网页、实时监控画面、叫号、弹图等。</w:t>
              <w:br/>
              <w:t xml:space="preserve">3.节目编排方式：支持多种素材自由排版、分区显示； 支持多种播放方式，按日、按周、轮播、自定义等。</w:t>
              <w:br/>
              <w:t xml:space="preserve">4.显示尺寸：≥55 inch</w:t>
              <w:br/>
              <w:t xml:space="preserve">5.物理分辨率：≥3840 × 2160</w:t>
              <w:br/>
              <w:t xml:space="preserve">6.配置：</w:t>
              <w:br/>
              <w:t xml:space="preserve">   </w:t>
            </w:r>
            <w:r>
              <w:rPr>
                <w:rFonts w:ascii="SimSun" w:hAnsi="SimSun" w:eastAsia="SimSun" w:cs="SimSun"/>
                <w:color w:val="000000"/>
                <w:sz w:val="24"/>
                <w:u w:val="none"/>
              </w:rPr>
              <w:t xml:space="preserve">CPU：≥ 4核 主频≥ 1.8GHz</w:t>
              <w:br/>
            </w:r>
            <w:r>
              <w:rPr>
                <w:rFonts w:ascii="SimSun" w:hAnsi="SimSun" w:eastAsia="SimSun" w:cs="SimSun"/>
                <w:color w:val="000000"/>
                <w:sz w:val="24"/>
              </w:rPr>
              <w:t xml:space="preserve">   内存：≥2 GB</w:t>
              <w:br/>
              <w:t xml:space="preserve">   内置存储：≥16 GB EMMC</w:t>
              <w:br/>
              <w:t xml:space="preserve">7.网络接口：支持 10/100M 自适应以太网 ,内置 WiFi，支持热点分享,支持蓝牙 4.0,内置 PCI-E 接口 选配 3G/4G模块上网</w:t>
              <w:br/>
              <w:t xml:space="preserve">8.数据传输接口：USB 2.0 × 2, TF Card × 1 ,SIM × 1</w:t>
              <w:br/>
              <w:t xml:space="preserve">9.喇叭：8Ω5W× 2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广角网络摄像机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1.最大分辨率：≥400万像素，最大分辨率≥2560×1440，主码流帧率≥25fps。</w:t>
              <w:br/>
              <w:t xml:space="preserve">2.传感器类型：≥1/3英寸 Progressive Scan CMOS（或等效性能的传感器），支持低照度成像。</w:t>
              <w:br/>
              <w:t xml:space="preserve">3.广角性能：焦距≤1.68mm（或更小广角焦距），最大可实现水平180°广角视野覆盖，垂直视场角≥95°。</w:t>
              <w:br/>
              <w:t xml:space="preserve">4.补光类型：采用高效阵列红外灯，红外照射距离≥10m。</w:t>
              <w:br/>
              <w:t xml:space="preserve">5.内置麦克风：1个内置麦克风，支持高清拾音。</w:t>
              <w:br/>
              <w:t xml:space="preserve">6.供电方式：支持DC12V供电及PoE供电（IEEE 802.3af）。DC12V供电时最</w:t>
            </w:r>
            <w:r>
              <w:rPr>
                <w:rFonts w:ascii="SimSun" w:hAnsi="SimSun" w:eastAsia="SimSun" w:cs="SimSun"/>
                <w:color w:val="000000"/>
                <w:sz w:val="24"/>
              </w:rPr>
              <w:t xml:space="preserve">大功耗≤6W，PoE供电时最大功耗≤7W。</w:t>
              <w:br/>
              <w:t xml:space="preserve">7.水平视场角（≥180°）、垂直视场角（≥95°）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门禁控制器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管控门数：≥4门</w:t>
              <w:br/>
              <w:t xml:space="preserve">通讯方式：上行TCP/IP</w:t>
              <w:br/>
              <w:t xml:space="preserve">可接读卡器：RS485读卡器*8、Wiegand读卡器*4</w:t>
              <w:br/>
              <w:t xml:space="preserve">存储容量：≥10万张卡和30万记录存储</w:t>
              <w:br/>
              <w:t xml:space="preserve">门禁高级功能：支持多门互锁、跨主机反潜回、多重卡认证等</w:t>
              <w:br/>
              <w:t xml:space="preserve">输入接口：报警输入*4、门磁*4、开门按钮*4、Case输入*8、防拆*1</w:t>
              <w:br/>
              <w:t xml:space="preserve">输出接口：开门继电器*4、报警继电器*4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2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电插锁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1.工作模式：断电上锁，满足消防及安全规范要求。</w:t>
              <w:br/>
              <w:t xml:space="preserve">2.应急开启方式：双开钥匙设计，标配双锁胆（锁体两侧均设有钥匙孔）。机械钥匙仅用于紧急解锁（收回锁舌），正常工作时不能通过钥匙强制上锁。</w:t>
              <w:br/>
              <w:t xml:space="preserve">3.锁舌抗剪切力：在锁闭状态下，锁舌承受的静态压力（抗剪切力）≥2000kg。</w:t>
              <w:br/>
              <w:t xml:space="preserve">4,.关门上锁延时：支持多档调节，至少提供0秒、3秒、6秒、9秒四档可选，满足不同场景下的关门速度适配需求。</w:t>
              <w:br/>
              <w:t xml:space="preserve">5.供电电压：≥DC12V。</w:t>
              <w:br/>
              <w:t xml:space="preserve">6.启动电流：≥1200mA（瞬时启动，不超过500ms）。</w:t>
              <w:br/>
              <w:t xml:space="preserve">7.工作电流：≤200mA（维持状态）。</w:t>
              <w:br/>
            </w:r>
            <w:r>
              <w:rPr>
                <w:rFonts w:ascii="SimSun" w:hAnsi="SimSun" w:eastAsia="SimSun" w:cs="SimSun"/>
                <w:color w:val="000000"/>
                <w:sz w:val="24"/>
              </w:rPr>
              <w:t xml:space="preserve">8.锁状态输出：提供NO（常开）、NC（常闭）、COM（公共端）三态触点信号输出，用于反馈锁舌实际位置。</w:t>
              <w:br/>
              <w:t xml:space="preserve">9.锁芯长度：默认≥75mm，可适配40-55mm门厚的安装需求。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电插锁支架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电插锁配套支架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读卡器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认证方式：刷卡</w:t>
              <w:br/>
              <w:t xml:space="preserve">读卡频率：13.56MHz</w:t>
              <w:br/>
              <w:t xml:space="preserve">可识别卡：CPU卡(含加密功能)</w:t>
              <w:br/>
              <w:t xml:space="preserve">通讯方式：RS485+Wiegand</w:t>
              <w:br/>
              <w:t xml:space="preserve">安装方式：86底盒、120底盒安装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拾音器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模拟拾音器 </w:t>
              <w:br/>
              <w:t xml:space="preserve">内置输出级驱动电路，可直接驱动耳机等</w:t>
              <w:br/>
              <w:t xml:space="preserve">适合近距离拾音，最佳拾音范围在3米之内</w:t>
              <w:br/>
              <w:t xml:space="preserve">自带拾音距离调节旋钮，可根据现场需要调节音量</w:t>
              <w:br/>
              <w:t xml:space="preserve">指向特性：全指向</w:t>
              <w:br/>
              <w:t xml:space="preserve">采样率：8khz、16khz、32khz可选，默认16khz  </w:t>
              <w:br/>
              <w:t xml:space="preserve">麦克风：一个高灵敏度全指向驻极体麦</w:t>
              <w:br/>
              <w:t xml:space="preserve">动态范围：0 dB~90 dB</w:t>
              <w:br/>
              <w:t xml:space="preserve">最大承受音压：120 dBSPL</w:t>
              <w:br/>
              <w:t xml:space="preserve">拾音范围：0 m~5 m</w:t>
              <w:br/>
              <w:t xml:space="preserve">灵敏度：-32 dB</w:t>
              <w:br/>
              <w:t xml:space="preserve">输出信号幅度：2.5 Vpp</w:t>
              <w:br/>
              <w:t xml:space="preserve">信噪比：90 dB</w:t>
              <w:br/>
              <w:t xml:space="preserve">频率响应：20 Hz~20 kHz</w:t>
              <w:br/>
              <w:t xml:space="preserve">音频传输距离：≥500 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可视报警盒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单按键可视报警盒</w:t>
              <w:br/>
              <w:t xml:space="preserve">支持一键报警，和管理中心双向语音对讲，中心呼叫前端报警盒；</w:t>
              <w:br/>
              <w:t xml:space="preserve">支持和管理中心双向语音对讲；支持监听功能、广播功能；</w:t>
              <w:br/>
              <w:t xml:space="preserve">支持外接警灯警号、警灯警号可独立控制</w:t>
              <w:br/>
              <w:t xml:space="preserve">摄像头参数：200W红外高清彩色摄像头，红外补光不小于5米</w:t>
              <w:br/>
              <w:t xml:space="preserve"> 操作方式：1个实体按键</w:t>
              <w:br/>
              <w:t xml:space="preserve">通信方式：有线网络</w:t>
              <w:br/>
              <w:t xml:space="preserve">供电方式：DC12V&amp;POE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非可视报警盒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单按键非可视报警盒</w:t>
              <w:br/>
              <w:t xml:space="preserve">支持一键报警，和管理中心双向语音对讲，中心呼叫前端报警盒</w:t>
              <w:br/>
              <w:t xml:space="preserve">支持和管理中心双向语音对讲；支持监听功能、广播功能</w:t>
              <w:br/>
              <w:t xml:space="preserve">支持外接警灯警号、警灯警号可独立控制</w:t>
              <w:br/>
              <w:t xml:space="preserve">支持一键报警求助，支持双向语音对讲</w:t>
              <w:br/>
              <w:t xml:space="preserve">1. 操作系统：嵌入式操作系统</w:t>
              <w:br/>
              <w:t xml:space="preserve">2. 操作方式：1个实体按键</w:t>
              <w:br/>
              <w:t xml:space="preserve">3 通信方式：有线网络</w:t>
              <w:br/>
              <w:t xml:space="preserve">3. 硬件接口：≥RJ45*1，电源接口*1，RS485*1，IO输入*2，IO输出*2，3.5mm音频输入接口*1，3.5mm音频输出接口*1，标准Micro SD卡接口*1（最大支持256G）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声光报警器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1、设备类型：声光警号（声光报警器）</w:t>
              <w:br/>
              <w:t xml:space="preserve">2、警灯颜色：红色</w:t>
              <w:br/>
              <w:t xml:space="preserve">3、报警音量：105dB</w:t>
              <w:br/>
              <w:t xml:space="preserve">4、硬件接口：红/黑线</w:t>
              <w:br/>
              <w:t xml:space="preserve">5、使用环境：室内/外（IP54室外防水）</w:t>
              <w:br/>
              <w:t xml:space="preserve">6、外壳材质：PC+ABS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紧急报警管理机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1.采用高强度防爆玻璃面板（如钢化玻璃等），≥10.1英寸彩色IPS触摸显示屏，分辨率≥1280×800</w:t>
              <w:br/>
              <w:t xml:space="preserve">2.标配鹅颈话筒或等效指向性麦克风</w:t>
              <w:br/>
              <w:t xml:space="preserve">3.实时对讲：支持与前端报警终端（如报警盒、报警箱、报警柱等）、门口机、室内机及管理机之间的全双工可视对讲，支持音频降噪与回声消除功能，保证通话音质清晰.</w:t>
              <w:br/>
              <w:t xml:space="preserve">4.支持实时预览前端设备的音视频，支持分屏显示（不少于4分屏）或逐路轮巡查看.</w:t>
              <w:br/>
              <w:t xml:space="preserve">5.报警功能：实时接收、显示前端设备的报警信息，支持报警事件记录与查询（不少于100条记录）</w:t>
              <w:br/>
              <w:t xml:space="preserve">6.操作方式：触摸屏操作+触摸按键（或等</w:t>
            </w:r>
            <w:r>
              <w:rPr>
                <w:rFonts w:ascii="SimSun" w:hAnsi="SimSun" w:eastAsia="SimSun" w:cs="SimSun"/>
                <w:color w:val="000000"/>
                <w:sz w:val="24"/>
              </w:rPr>
              <w:t xml:space="preserve">效物理按键）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紧急报警对讲管理软件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最大支持2000路设备接入；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人脸分析服务器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硬件配置:</w:t>
              <w:br/>
              <w:t xml:space="preserve">1.处理器：不低于8核64位处理器，主频≥2.5GHz。AI算力单元数量≥2（GPU或NPU等人工智能加速器），可提供AI算力加速.</w:t>
              <w:br/>
              <w:t xml:space="preserve">2.系统内存：≥16GB DDR4（或等效性能）；存储配置：系统盘≥240GB SSD，数据盘≥4TB HDD/SATA。</w:t>
              <w:br/>
              <w:t xml:space="preserve">软件功能：</w:t>
              <w:br/>
              <w:t xml:space="preserve">1.人员管理功能：支持名单库管理、名单人员管理、人员身份确认、目标报警、人员聚类、人员档案管理。名单库数量≥128个，总库容≥100万条。</w:t>
              <w:br/>
              <w:t xml:space="preserve">2.智能分析功能：支持实况视频流分析、历史视频流分析、离线视频文件分析、实时图片分析、离线</w:t>
            </w:r>
            <w:r>
              <w:rPr>
                <w:rFonts w:ascii="SimSun" w:hAnsi="SimSun" w:eastAsia="SimSun" w:cs="SimSun"/>
                <w:color w:val="000000"/>
                <w:sz w:val="24"/>
              </w:rPr>
              <w:t xml:space="preserve">图片分析等多种分析模式。</w:t>
              <w:br/>
              <w:t xml:space="preserve">3.智能报警功能：支持名单报警、陌生人报警、高频报警、低频报警等报警类型，报警事件实时推送并可联动第三方平台。</w:t>
              <w:br/>
              <w:t xml:space="preserve">4.智能应用：支持1V1人脸比对、属性检索、以图搜图，并支持以文搜图。</w:t>
              <w:br/>
              <w:t xml:space="preserve">5.视频流人脸分析能力：整机接入不少于16路200万像素视频流，或不少于8路400万像素视频流，或不少于4路800万像素视频流，并行进行人脸检测、抓拍、识别与报警。</w:t>
              <w:br/>
              <w:t xml:space="preserve">6.图片流：整机最大支持80张/秒（目标小图），6对/秒目标图片1V1（单机接入≤80路抓拍机）。</w:t>
              <w:br/>
              <w:t xml:space="preserve">7.历史流：支持导入录像分析（可同步</w:t>
            </w:r>
            <w:r>
              <w:rPr>
                <w:rFonts w:ascii="SimSun" w:hAnsi="SimSun" w:eastAsia="SimSun" w:cs="SimSun"/>
                <w:color w:val="000000"/>
                <w:sz w:val="24"/>
              </w:rPr>
              <w:t xml:space="preserve">开启目标报警）。</w:t>
              <w:br/>
              <w:t xml:space="preserve">8.名单库容量：总库容≥100万条人像（可划分为黑名单、白名单、静态库等）。支持名单库数量≥64个。图片、结构化属性、模型统一存储≥100万条。</w:t>
              <w:br/>
              <w:t xml:space="preserve">9.人脸检测与抓拍能力：支持单场景≥32张人脸的同时检测和抓拍；支持检出两眼瞳距≥15像素点以上的人脸图片；白天与低光照条件下单人图片的人脸检出率≥99%；单人图片的人脸检出响应时间≤1秒；支持检出水平转动角≤±60°、俯仰角≤±45°的人脸；支持检出偏转角度（上下/左右倾斜）的人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磁盘阵列CVR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4U机架式36盘位网络存储设备，搭载64位多核处理器，1+1冗余电源、冗余风扇</w:t>
              <w:br/>
              <w:t xml:space="preserve">处理器：1颗64位多核处理器</w:t>
              <w:br/>
              <w:t xml:space="preserve">系统内存：24GB（可扩展至64GB）</w:t>
              <w:br/>
              <w:t xml:space="preserve">系统盘：1×240GB SSD（后置）</w:t>
              <w:br/>
              <w:t xml:space="preserve">数据盘：1×960GB SSD（数据存储）</w:t>
              <w:br/>
              <w:t xml:space="preserve">存储接口：36个SATA接口，支持硬盘热插拔</w:t>
              <w:br/>
              <w:t xml:space="preserve">网络接口：4个2.5G数据网口，1个千兆管理口</w:t>
              <w:br/>
              <w:t xml:space="preserve">视频性能：最大支持接入550路（最大接入带宽1375Mbps）</w:t>
              <w:br/>
              <w:t xml:space="preserve">回放性能：最大支持55路2Mbps</w:t>
              <w:br/>
              <w:t xml:space="preserve">支持视频流、图片直写</w:t>
              <w:br/>
              <w:t xml:space="preserve">支持ONVIF、GB/T 28181、RTSP等标准协议</w:t>
              <w:br/>
              <w:t xml:space="preserve">支持</w:t>
            </w:r>
            <w:r>
              <w:rPr>
                <w:rFonts w:ascii="SimSun" w:hAnsi="SimSun" w:eastAsia="SimSun" w:cs="SimSun"/>
                <w:color w:val="000000"/>
                <w:sz w:val="24"/>
              </w:rPr>
              <w:t xml:space="preserve">VRAID、RAID0、1、5、6、10等多种RAID模式</w:t>
              <w:br/>
              <w:t xml:space="preserve">支持RAID降级可读写(VRAID)，支持全局热备</w:t>
              <w:br/>
              <w:t xml:space="preserve">支持局部重构，原盘或其克隆盘拔出设备后再插回，未被覆盖数据可快速恢复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配套硬盘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存储配套30TB硬盘，需为企业级硬盘，提供3年硬盘不返还服务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7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室外三维室内2.5D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1.部门管理：支持用户所在部门基础信息的增删改查、导入、导出等功能，或以接口同步方式实现。</w:t>
              <w:br/>
              <w:t xml:space="preserve">2.用户管理：支持用户信息的增删改查、导入、导出；支持用户安全管理，可绑定用户终端MAC地址及IP地址；用户可通过系统修改密码，管理员具备重置密码及权限配置功能。</w:t>
              <w:br/>
              <w:t xml:space="preserve">3.设备管理：提供设备统一接入管理，包括视频监控设备、报警设备、人证核验设备等；支持通过标准SDK、ONVIF、GB/T 28181等协议接入第三方设备。</w:t>
              <w:br/>
              <w:t xml:space="preserve">4.系统安全：支持账户安全策略配置，包括密码有效期设置、登录失败锁定策略等；支持分端权限管理（Web</w:t>
            </w:r>
            <w:r>
              <w:rPr>
                <w:rFonts w:ascii="SimSun" w:hAnsi="SimSun" w:eastAsia="SimSun" w:cs="SimSun"/>
                <w:color w:val="000000"/>
                <w:sz w:val="24"/>
              </w:rPr>
              <w:t xml:space="preserve">端、PC客户端、移动端）。</w:t>
              <w:br/>
              <w:t xml:space="preserve">5.数据集成：支持通过标准API、消息队列等方式与第三方业务系统进行数据交换与集成。</w:t>
              <w:br/>
              <w:t xml:space="preserve">6.数据可视化看板：提供数据可视化看板低代码搭建能力，支持通过拖拉拽方式自定义搭建数据看板，具备样式配置、数据源绑定、交互配置等功能，支持PC端与大屏端自适应布局。</w:t>
              <w:br/>
              <w:t xml:space="preserve">7.图表组件库：内置通用图表组件库，包括折线图、柱状图、饼图、仪表盘、散点图等不少于10种基础图表类型，支持自定义图表扩展。</w:t>
              <w:br/>
              <w:t xml:space="preserve">8.应用数量支持：平台应支持不少于5个业务应用的创建与独立配置；支持按项目实际需求弹性扩展（通过增加许可方</w:t>
            </w:r>
            <w:r>
              <w:rPr>
                <w:rFonts w:ascii="SimSun" w:hAnsi="SimSun" w:eastAsia="SimSun" w:cs="SimSun"/>
                <w:color w:val="000000"/>
                <w:sz w:val="24"/>
              </w:rPr>
              <w:t xml:space="preserve">式）。</w:t>
              <w:br/>
              <w:t xml:space="preserve">9.应用管理：提供系统内所有应用的统一展示，用户可预览各应用，支持复用应用至工作台进行使用或编辑，具备完整的应用管理功能。</w:t>
              <w:br/>
              <w:t xml:space="preserve">三维引擎能力：</w:t>
              <w:br/>
              <w:t xml:space="preserve">1.支持二维GIS地图及三维数字孪生场景构建，三维模型格式支持主流格式（如OBJ、FBX、3DS、DXF等），或提供模型格式转换工具以实现数据导入。</w:t>
              <w:br/>
              <w:t xml:space="preserve">2.多源数据融合：支持不少于3种空间数据源的混合叠加展示，包括但不限于卫星影像、倾斜摄影模型、矢量地图等，实现多源数据融合可视化。</w:t>
              <w:br/>
              <w:t xml:space="preserve">3.多模式场景展示：支持三维场景下的多模式展示切换（包括抽象模型与实景模型），支持</w:t>
            </w:r>
            <w:r>
              <w:rPr>
                <w:rFonts w:ascii="SimSun" w:hAnsi="SimSun" w:eastAsia="SimSun" w:cs="SimSun"/>
                <w:color w:val="000000"/>
                <w:sz w:val="24"/>
              </w:rPr>
              <w:t xml:space="preserve">业务数据的图层化叠加呈现及联动交互。</w:t>
              <w:br/>
              <w:t xml:space="preserve">4.三维建模服务：支持三维数字孪生建模服务，可根据二维图纸、激光点云、倾斜摄影等数据源完成三维场景构建；</w:t>
              <w:br/>
              <w:t xml:space="preserve">5.建模范围包含大案要案楼外围以及楼内1-3层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三维可视化管控应用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综合安防基础平台：包含视频监控、人员管控、门禁管理、对讲管理等内容，支持接入本项目中的监控、门禁、人员通道、对讲等安防设备。支持将现有各品牌摄像头及录像设备统一纳管至同一界面，实现集中预览、录像调取和报警联动。</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2.资源定位与导航：支持在三维地图上展示全院安防设备（视频、门禁、报警等），可通过名称搜索快速定位并跳转至目标位置。</w:t>
              <w:br/>
              <w:t xml:space="preserve">3.视频资源管理：支持三维地图标定摄像机点位，展示视频资源分布及在线/离线状态，支持视频预览抓图及录像回放。</w:t>
              <w:br/>
              <w:t xml:space="preserve">4.门禁资源管理：支持三维地图标定门禁点，展示门禁分布及开闭状态，并可在地图上直接对门禁进行开关控制。</w:t>
              <w:br/>
              <w:t xml:space="preserve">5.法庭状态展示：支持三维地图显示法庭使用状态（空闲/使用中），点击使用中法庭可查看庭审实时监控画面。</w:t>
              <w:br/>
              <w:t xml:space="preserve">6.外来人员信息管理：支持查询已登记外来人员信息，可对重点关注人员快速检索。</w:t>
            </w:r>
            <w:r>
              <w:rPr>
                <w:rFonts w:ascii="SimSun" w:hAnsi="SimSun" w:eastAsia="SimSun" w:cs="SimSun"/>
                <w:color w:val="000000"/>
                <w:sz w:val="24"/>
              </w:rPr>
              <w:br/>
              <w:t xml:space="preserve">7.外来人员轨迹管控：当外来人员滞留或进入非授权区域时，系统基于面部识别数据自动生成院内活动轨迹，联动相应位置视频，便于追溯。</w:t>
              <w:br/>
              <w:t xml:space="preserve">8.法庭一键报警联动：法官/书记员一键报警至指挥中心，指挥中心立即联动触发点位视频预览，快速了解现场。</w:t>
              <w:br/>
              <w:t xml:space="preserve">9.重点关注人员预警：针对老赖、过激人员、闹访人员等实时预警，三维地图展示其当前位置，联动周边监控视频。</w:t>
              <w:br/>
              <w:t xml:space="preserve">10.三维地图视频巡逻：针对重点区域（周界、审判区等），法警可制定巡逻计划，系统按第一人称视角自动巡查现场视频，发现问题可暂停巡逻并标记。</w:t>
              <w:br/>
              <w:t xml:space="preserve">11.指挥数据可视化整合：整合物</w:t>
            </w:r>
            <w:r>
              <w:rPr>
                <w:rFonts w:ascii="SimSun" w:hAnsi="SimSun" w:eastAsia="SimSun" w:cs="SimSun"/>
                <w:color w:val="000000"/>
                <w:sz w:val="24"/>
              </w:rPr>
              <w:t xml:space="preserve">联资源、人员警力、报警事件、访客车辆、运维数据，以图表/仪表盘形式展示值班动态、警力概览、外来人员/车辆进出统计、报警统计、运维概况。看板支持钻取、联动等交互，内容可由管理员按需配置。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1.机柜采用标准的服务器机柜，尺寸（宽*深 *高）为600*1200*2000mm，兼容主流厂商的19英寸机架式设备；机柜符合IEC60297-2标准，安全可靠。</w:t>
              <w:br/>
              <w:t xml:space="preserve">2.机柜采用6角孔前后柜门，高通风率，机房散热无忧；通孔率达75%以上。</w:t>
              <w:br/>
              <w:t xml:space="preserve">3.要求静态承载能力不小于2200kg；</w:t>
              <w:br/>
              <w:t xml:space="preserve">4.机柜表面喷涂户内粉，满足A类环境的使用要求，喷涂颜色:黑色；防护等级：IP20。</w:t>
              <w:br/>
              <w:t xml:space="preserve">5.机柜应采用高强度A级优质碳素冷轧钢板和镀锌板，高机械强度及耐腐蚀性。</w:t>
              <w:br/>
              <w:t xml:space="preserve">6.门和侧板为可拆卸式结构，门的开合转动灵活、锁 定可靠、施工安装和维护</w:t>
            </w:r>
            <w:r>
              <w:rPr>
                <w:rFonts w:ascii="SimSun" w:hAnsi="SimSun" w:eastAsia="SimSun" w:cs="SimSun"/>
                <w:color w:val="000000"/>
                <w:sz w:val="24"/>
              </w:rPr>
              <w:t xml:space="preserve">方便；门的开启角应不小于140°。</w:t>
              <w:br/>
              <w:t xml:space="preserve">7.机柜前后方孔条之间距离可按照25mm步距调节，机柜后侧应设置两条竖装rPDU安装位置。</w:t>
              <w:br/>
              <w:t xml:space="preserve">8.机柜的垂直安装上应标示有每“U”的位置。</w:t>
              <w:br/>
              <w:t xml:space="preserve">9.机柜涂覆层应表面光 洁、色泽均匀、无流挂、无 露底；金属件无毛刺、无锈蚀；机柜门板、侧板平整，无扭 曲、无变形，也不明显抖 </w:t>
              <w:br/>
              <w:t xml:space="preserve">动；门板开孔均匀。机柜标志应齐全、清晰、色泽均匀、耐久可靠。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机柜侧门安装在机柜的侧面，用于密封机柜侧面，防止灰尘进入。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机柜顶部围板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模块顶端围板，微模块上端双侧遮挡，每个柜位配置一个，适合300/600/800宽柜位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承载IT设备,适用于1100/1200mm深的机柜，承重不少于60kg；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通道双开自动平移滑动门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1.密封冷通道的两端需设置封闭性良好的端门，以保证通道的气密性。</w:t>
              <w:br/>
              <w:t xml:space="preserve">2.端门应采用推拉结构，通过门框整体与机柜通过螺钉联接。通道门框架结构应采用高强度冷轧型材，其型材厚度应不小于1.5mm，保证门框结构的整体强度。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600宽活</w:t>
              <w:br/>
              <w:t xml:space="preserve">动天窗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1.600宽全玻璃天窗；</w:t>
              <w:br/>
              <w:t xml:space="preserve">2.翻转型玻璃天窗厚度不小于5mm，要求可见光透射比应不小于90%。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600宽</w:t>
              <w:br/>
              <w:t xml:space="preserve">固定天窗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1、用于600mm宽机柜，1200mm宽通道；</w:t>
              <w:br/>
              <w:t xml:space="preserve">2、用于安装摄像机、多功能传感器、感烟探测器等监控部件。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600W强弱电过线槽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1.600mm宽线槽，用于600mm宽机柜；每两个柜位配置一个</w:t>
              <w:br/>
              <w:t xml:space="preserve">2.机柜线槽分为信号线线槽和电源线线槽，分别用于信号线和电源线的走线，实现强弱电线缆的分离布置。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300宽玻璃天窗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1.300宽全玻璃天窗,用于1200mm密封通道；</w:t>
              <w:br/>
              <w:t xml:space="preserve">2.玻璃天窗厚度不小于5mm，要求可见光透射比应不小于90%。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300W强弱电过线槽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1.300mm宽线槽，用于300mm宽机柜；每个柜位配置一个</w:t>
              <w:br/>
              <w:t xml:space="preserve">2.机柜线槽分为信号线线槽和电源线线槽，分别用于信号线和电源线的走线，实现强弱电线缆的分离布置。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1.LED灯带-eLight-220-240V-单相-50/60Hz-6W/m。</w:t>
              <w:br/>
              <w:t xml:space="preserve">2.▲监控管理系统-智能照明：支持告警联动不同颜色展示，可根据不同的告警等级设置不同颜色的灯光告警知识，告警等级≥4种:紧急、严重、次要、提示，告警灯光颜色 ≥4种；（提供第三方检测机构出具的检验报告）。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天窗翻转开启系统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天窗配套磁力锁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机柜安装辅材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应包含照明线缆、磁力锁线缆，照明空开线缆、出门按钮线缆、PAD安装件钣金底板、pad安装支架等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模块化200kVA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1.模块化UPS类型应为在线式，单机框容量≥200KVA ，当前容量≥150KVA，制式为三相输入，三相输出，功率模块容量介于25KVA~50KVA之间；支持通讯接口:干接点，RS485，FE；通讯协议：Web，Modbus，SNMP。</w:t>
              <w:br/>
              <w:t xml:space="preserve">2.输入频率范围：40Hz-70Hz；输出功率因数：1；UPS主机尺寸宽度：≤0.6米；并机能力：≥4台；</w:t>
              <w:br/>
              <w:t xml:space="preserve">3.系统效率≥96%。</w:t>
              <w:br/>
              <w:t xml:space="preserve">4.UPS功率、旁路、控制模块全冗余设计，无任何单点故障。</w:t>
              <w:br/>
              <w:t xml:space="preserve">5.故障预警功能，电池、电容以及风扇等关键部件失效预警，防止故障扩大。</w:t>
              <w:br/>
              <w:t xml:space="preserve">6.低载高</w:t>
            </w:r>
            <w:r>
              <w:rPr>
                <w:rFonts w:ascii="SimSun" w:hAnsi="SimSun" w:eastAsia="SimSun" w:cs="SimSun"/>
                <w:color w:val="000000"/>
                <w:sz w:val="24"/>
              </w:rPr>
              <w:t xml:space="preserve">效，极低负载率下情况下，智能轮换休眠技术，确保冗余同时提升UPS效率3%～5%。</w:t>
              <w:br/>
              <w:t xml:space="preserve">7.应支持模块热插拔，功率、旁路、控制模块均支持热拔插。</w:t>
              <w:br/>
              <w:t xml:space="preserve">8.电池节数可调：UPS母线电压调节范围较宽，360～528Vdc可调。</w:t>
              <w:br/>
              <w:t xml:space="preserve">9.频率跟踪速率应在0.2Hz/s~2Hz/s范围内；三相电压不平衡度≤3%；市电电池转换时间0ms。</w:t>
              <w:br/>
              <w:t xml:space="preserve">10.过载能力：110%负载60min后转旁路，125%负载10min后转旁路；150%负载1min后转旁路。</w:t>
              <w:br/>
              <w:t xml:space="preserve">11.应具有交流输入过欠电压保护功能；输出负载短路时，系统应自动关闭输出，同时发出</w:t>
            </w:r>
            <w:r>
              <w:rPr>
                <w:rFonts w:ascii="SimSun" w:hAnsi="SimSun" w:eastAsia="SimSun" w:cs="SimSun"/>
                <w:color w:val="000000"/>
                <w:sz w:val="24"/>
              </w:rPr>
              <w:t xml:space="preserve">声光告警。</w:t>
              <w:br/>
              <w:t xml:space="preserve">12.功率模块的输出超过额定负载时，应发出声光告警；功率模块的输出超过其过载能力时，应退出系统；当系统中所有功率模块均超过过载能力时，应转旁路供电。</w:t>
              <w:br/>
              <w:t xml:space="preserve">13.系统在各种保护功能动作的同时，应能自动发出声光告警，同时应能通过通信接口将告警信号传送到近端、远端的监控设备上。系统应具有告警记录和查询功能，告警记录可随时刷新:告警信息在系统完全无电状态下应继续保存。</w:t>
              <w:br/>
              <w:t xml:space="preserve">14.辅助电源、集中控制器和并机信号有冗余。</w:t>
              <w:br/>
              <w:t xml:space="preserve">15.不间断电源：经8、9烈度结构抗地震考核后，该设备符合结构抗地震性能规定的要求，其结构抗地</w:t>
            </w:r>
            <w:r>
              <w:rPr>
                <w:rFonts w:ascii="SimSun" w:hAnsi="SimSun" w:eastAsia="SimSun" w:cs="SimSun"/>
                <w:color w:val="000000"/>
                <w:sz w:val="24"/>
              </w:rPr>
              <w:t xml:space="preserve">震性能评为合格。</w:t>
              <w:br/>
              <w:t xml:space="preserve">▲16.不间断电源UPS：投标时须提供公安部研究所出具的社会公共安全产品认证证书复印件，证书内覆盖型号须包含投标型号。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50kVA功率模块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50kVA功率模块，额定输出能力：50kVA/50kW；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12V200AH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1.铅酸蓄电池，容量：12V 200AH</w:t>
              <w:br/>
              <w:t xml:space="preserve">2.外观：应无变形、漏液、裂纹及污迹;外观 标识应清晰。</w:t>
              <w:br/>
              <w:t xml:space="preserve">3.结构：正、负极端子应有明显标志。</w:t>
              <w:br/>
              <w:t xml:space="preserve">4.阻燃性能：蓄电池壳、盖、安全阀、连接条保护罩等应符合GB/T 2408-2021中的相关要求。。</w:t>
              <w:br/>
              <w:t xml:space="preserve">5.气密性：蓄电池壳体应能承受50kPa的正压或负压而不破裂、不开胶，压力释放后壳体无残余变形。</w:t>
              <w:br/>
              <w:t xml:space="preserve">6.容量保存率：在25C+5℃环墙中静曾28天后，容量保存率应≥96%。</w:t>
              <w:br/>
              <w:t xml:space="preserve">7.防酸雾性能：正常浮充工作过程中应无酸雾逸出。</w:t>
              <w:br/>
              <w:t xml:space="preserve">8.封口剂性能：环境温度-30℃~+65℃之间，封</w:t>
            </w:r>
            <w:r>
              <w:rPr>
                <w:rFonts w:ascii="SimSun" w:hAnsi="SimSun" w:eastAsia="SimSun" w:cs="SimSun"/>
                <w:color w:val="000000"/>
                <w:sz w:val="24"/>
              </w:rPr>
              <w:t xml:space="preserve">口剂应无裂纹与溢流现象。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汇流盒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电池汇流盒-含内部汇流排-含盒体-1主4分，支持挂墙式/挂壁式安装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电池开关箱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配套电池保护开关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定制化蓄电池架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机房UPS辅材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电池连接线、连接铜排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精密配电柜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双路精密列头柜，支持双路供电，供微模块内IT设备用电；</w:t>
              <w:br/>
              <w:t xml:space="preserve">1.配电柜尺寸：600mmW*1200mmD*2000mmH，颜色与服务器机柜保持一致；</w:t>
              <w:br/>
              <w:t xml:space="preserve">2.满足输入电压380/400/415VAC，频率：50Hz/60Hz；</w:t>
              <w:br/>
              <w:t xml:space="preserve">3.支持双路电源输入 ，需配置指示灯指示电源输入状态。</w:t>
              <w:br/>
              <w:t xml:space="preserve">4.前门为双层门结构，使带电母排与操作空间有效隔离，保障人身安全。外层门采用网孔门，通孔率不低于70% 。</w:t>
              <w:br/>
              <w:t xml:space="preserve">5.智能监控装置需能够实现可视化界面，采用7寸液晶彩色触摸屏展示系统模拟图，系统模拟图可显示各开关和防雷器的实时状态，可显示所有</w:t>
            </w:r>
            <w:r>
              <w:rPr>
                <w:rFonts w:ascii="SimSun" w:hAnsi="SimSun" w:eastAsia="SimSun" w:cs="SimSun"/>
                <w:color w:val="000000"/>
                <w:sz w:val="24"/>
              </w:rPr>
              <w:t xml:space="preserve">主回路及支回路的电量信息。智能监控装置应支持MODBUS或SNMP协议，支持被第三方网管集成。</w:t>
              <w:br/>
              <w:t xml:space="preserve">6.进线主断路器应采用知名品牌的塑壳断路器。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交流PDU</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32A单相输入，不少于输出：20*10A插口+4*16A插口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列间精密空调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1.精密空调总冷量：≥35kW；显冷量：≥35kW；风量：≥6000 m3/h；加湿量（kg/h）≥1.5，再加热量（kw）≥4；水平送风；</w:t>
              <w:br/>
              <w:t xml:space="preserve">2.行级精密空调与微模块整体外观统一；</w:t>
              <w:br/>
              <w:t xml:space="preserve">3.精密空调室内机应由压缩机、油分离器、风机、换热器、电子膨胀阀、单向阀、干燥过滤器、视液镜、电加热、湿膜加湿器、显示屏等部件组成。</w:t>
              <w:br/>
              <w:t xml:space="preserve">4.应采用高效直流变频压缩机与EC风机，制冷量无极调节匹配负载。</w:t>
              <w:br/>
              <w:t xml:space="preserve">5.室内外机联动：支持智能寻优运行，AEER可提升8%以上。</w:t>
              <w:br/>
              <w:t xml:space="preserve">▲6.智能温控产品：机组加湿方式为湿膜加湿，此加湿无需消耗功率；加湿</w:t>
            </w:r>
            <w:r>
              <w:rPr>
                <w:rFonts w:ascii="SimSun" w:hAnsi="SimSun" w:eastAsia="SimSun" w:cs="SimSun"/>
                <w:color w:val="000000"/>
                <w:sz w:val="24"/>
              </w:rPr>
              <w:t xml:space="preserve">量不小于1.6kg/h。投标时需提供CMA、CNAS的检验报告复印件。</w:t>
              <w:br/>
              <w:t xml:space="preserve">▲7. 智能温控产品：制冷剂不足告警测试：正常充注量状态下运行，机组无告警，“制冷剂状态”参数显示为“正常”；制冷剂缺少量20%状态下运行，机组产生“制冷剂不足告警”，“制冷剂状态”参数显示为“不足”；制冷剂缺少量50%状态下运行，机组产生“制冷剂不足告警”，“制冷剂状态”参数显示为“严重不足”。投标时需提供CMA、CNAS的检验报告复印件。</w:t>
              <w:br/>
              <w:t xml:space="preserve">▲8.智能温控产品：显热制冷量小于3600W时，除湿量≥6kg/h。投标时需提供CMA、CNA</w:t>
            </w:r>
            <w:r>
              <w:rPr>
                <w:rFonts w:ascii="SimSun" w:hAnsi="SimSun" w:eastAsia="SimSun" w:cs="SimSun"/>
                <w:color w:val="000000"/>
                <w:sz w:val="24"/>
              </w:rPr>
              <w:t xml:space="preserve">S的检验报告复印件。</w:t>
              <w:br/>
              <w:t xml:space="preserve">9.压缩机采用螺纹连接，维护无需动火。</w:t>
              <w:br/>
              <w:t xml:space="preserve">10.应支持膨胀阀自关闭：整机异常掉电后电子膨胀阀自动关闭，避免异常掉电回液导致重启后压缩机液击风险。</w:t>
              <w:br/>
              <w:t xml:space="preserve">11.精密空调控制器应采用7英寸真彩触摸屏，提供查询、设置、监控和维护的人机交互界面。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基站空调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机房专用精密空调（室外机），单冷，上送风；制冷量≥7.5kW，风量≥2300m³/h；4.3寸触摸屏，AC风机，电子膨胀阀，室外机无极调速。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空调铜管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无缝铜管、保温、信号线等，根据现场实际情况，满足现场实际使用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R410A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空调室外机安装支架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根据实际室外机尺寸定制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防水围堰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1.名称:80mm高防水围堰</w:t>
              <w:br/>
              <w:t xml:space="preserve">2.规格:100mm宽*80mm 高</w:t>
              <w:br/>
              <w:t xml:space="preserve">1）素水泥浆一道（内掺建筑胶）</w:t>
              <w:br/>
              <w:t xml:space="preserve">2）40 厚 C20 细石混凝土随打随抹</w:t>
              <w:br/>
              <w:t xml:space="preserve">3）2 厚聚合物水泥基防水涂料（周边上翻至挡水围堰 80mm 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给排水管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采用PP-R管材进水DN20,排水DN50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空调安装辅材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平板 PAD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用于动环数据显示查询，含软件调测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微模块监控采集器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1.机房控制器：支持无线通讯，应满足IEEE 802.15.4标准。</w:t>
              <w:br/>
              <w:t xml:space="preserve">2.应支持双路电源，环网通信，可靠性高；</w:t>
              <w:br/>
              <w:t xml:space="preserve">3.应提供2路WAN接口，2路LAN接口，100Mbps通讯速率。WAN接口只支持单接口通讯。</w:t>
              <w:br/>
              <w:t xml:space="preserve">4.应提供4G模块，支持短信发送和4G组网，同时兼容3G通讯（WCDMA制式）和 2G（GSM制式）通讯，提供一个标准SIM卡插槽。</w:t>
              <w:br/>
              <w:t xml:space="preserve">5.应支持PAD和手机APP实时查看设备信息，方便运维。</w:t>
              <w:br/>
              <w:t xml:space="preserve">6.应支持PoE总线供电及通信，通信效率高。</w:t>
              <w:br/>
              <w:t xml:space="preserve">7.应提供微模块的PUE统计分析和历史查询功。</w:t>
              <w:br/>
              <w:t xml:space="preserve">▲8.能源控制中心</w:t>
            </w:r>
            <w:r>
              <w:rPr>
                <w:rFonts w:ascii="SimSun" w:hAnsi="SimSun" w:eastAsia="SimSun" w:cs="SimSun"/>
                <w:color w:val="000000"/>
                <w:sz w:val="24"/>
              </w:rPr>
              <w:t xml:space="preserve">：投标时须提供公安部研究所出具的社会公共安全产品认证证书复印件，证书内覆盖型号须包含投标型号。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通道门禁系统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指纹/密码/刷卡门禁系统、出门按钮等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通道温湿度传感器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RS485接口，12V供电，温度精度±0.5℃，湿度精度±3%RH，带显示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智能ETH插座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48VDC-4个POE接口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通道内照明系统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1.通道照明采用LED灯，安装在通道的两侧顶部；</w:t>
              <w:br/>
              <w:t xml:space="preserve">2.光颜色正白色；防护等级IP20。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多功能传感器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1.集成温度、湿度、和烟感于一体的多参数监测传感器；</w:t>
              <w:br/>
              <w:t xml:space="preserve">2.提供1路POE接口，支持IEEE802.3at标准；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空调漏水检测系统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非定位式水浸传感器+非定位式水浸传感器检测绳-5m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温湿度传感器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温度测量范围 -20℃～+70℃；湿度测量范围 5% RH～95% R；工作温度 -20℃～+70℃。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智能微模块执行器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门禁系统、上位机指令或红外联动信息或照明按钮控制微模块内照明，并提供PAD充电接口；也可通过消防告警的联动信息或上位机的控制信息，控制通道的翻转天窗；通过检测读卡器刷卡信息、开门按钮信息以及消防联动信息，执行打开电磁锁，同时具备门禁权限管理、进出门事件记录、告警记录等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动环监控配套附件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包含束线座+蜂鸣器等配件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动环监控信号线缆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微模块内使用的信号线缆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动环监控红外半球摄像机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400万像素红外半球，POE供电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8口交换机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全千兆以太网交换机，端口数量≥8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柜式七氟丙烷气体灭火装置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1、GQQ70/2.5-SA</w:t>
              <w:br/>
              <w:t xml:space="preserve">2、充装压力(20℃时):2.5Mpa</w:t>
              <w:br/>
              <w:t xml:space="preserve">3、电磁阀工作电压:DC24V</w:t>
              <w:br/>
              <w:t xml:space="preserve">4、启动流:1~1.5A</w:t>
              <w:br/>
              <w:t xml:space="preserve">5、喷射时间:10S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柜式七氟丙烷气体灭火装置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1、GQQ90/2.5-SA</w:t>
              <w:br/>
              <w:t xml:space="preserve">2、充装压力(20℃时):2.5Mpa</w:t>
              <w:br/>
              <w:t xml:space="preserve">3、电磁阀工作电压:DC24V</w:t>
              <w:br/>
              <w:t xml:space="preserve">4、启动流:1~1.5A</w:t>
              <w:br/>
              <w:t xml:space="preserve">5、喷射时间:10S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HFC-227ea灭火剂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HFC-227ea药剂</w:t>
              <w:br/>
              <w:t xml:space="preserve">1、纯度99.6%</w:t>
              <w:br/>
              <w:t xml:space="preserve">2、水/(mg/kg)10</w:t>
              <w:br/>
              <w:t xml:space="preserve">3、酸度(以HF计)/ (mg/kg)1</w:t>
              <w:br/>
              <w:t xml:space="preserve">4、蒸发残留物/%0.01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泄压口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满足消防验收要求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点型感温火</w:t>
              <w:br/>
              <w:t xml:space="preserve">灾探测器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1.感温探测器：工作电压 ：总线24V；</w:t>
              <w:br/>
              <w:t xml:space="preserve">2.监视电流≤0.3mA ；</w:t>
              <w:br/>
              <w:t xml:space="preserve">3.报警电流≤1.5mA ；</w:t>
              <w:br/>
              <w:t xml:space="preserve">4.报警确认灯：红色，巡检时闪烁，报警时常亮；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点型光电感</w:t>
              <w:br/>
              <w:t xml:space="preserve">烟火灾探测器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1.感烟探测器：工作电压：总线24V；</w:t>
              <w:br/>
              <w:t xml:space="preserve">2.监视电流≤0.3mA ；</w:t>
              <w:br/>
              <w:t xml:space="preserve">3.报警电流≤1.0mA ；</w:t>
              <w:br/>
              <w:t xml:space="preserve">4.报警确认灯：红色，巡检时闪烁，报警时常亮；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通用底座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配套通用底座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输入输出</w:t>
              <w:br/>
              <w:t xml:space="preserve">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电子编码，单动作输入、输出。无源输出容量: DC24V/2A，有源输出容量:DC24V/1A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编码型火灾</w:t>
              <w:br/>
              <w:t xml:space="preserve">声光警报器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电子编码，二线制，蜂鸣器检线功能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气体释放</w:t>
              <w:br/>
              <w:t xml:space="preserve">警报器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编码型、启动电压： DC24V  ；动作电流≤ 15mA；编码型；启动电压： DC24V  ；动作电流≤ 15mA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当现场发生火灾探测器报警后，安装在机房内的警铃可由火灾报警控制器联动启动，发出强烈的报警响声,金属外壳，直径为150mm，工作电压DC24V。声压级75dB~90dB。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紧急启停按钮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编码型、工作电压：DC24V，允许范围：DC16V~DC28V；监视电流：≤0.8mA；报警电流≤10mA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气体灭火控制器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壁挂式，可实现多个防区的气体灭火控制；最多可同时启动2个区的气体灭火设备释放灭火剂进行灭火。可配接紧急启/停按钮、声光警报器、气体喷洒指示灯、手自动转换开关以及输出模块等编码设备，含备电。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联网接口卡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火灾报警控制器(联动型)可选配板卡，用于控制器之间的CAN总线联义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电子编码器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电子编码器GST-BMQ-4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消防电源箱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壁挂式，提供DC24V、10A输出、配合控制器为联动控制模块及被控设备供电，含备电；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消防安装辅材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配线、配管等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局部等电位端子箱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TD28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紫铜排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30*3，地板下等电位铜排网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绝缘子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固定汇流铜排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接地引下线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BVR-6、16、50mm2双色接地线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固定螺丝、线耳、焊条、固定码、支架、出口帖纸、标签等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机房装修地板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防静电地板、保温，防尘防静电处理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86.38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机房装修吊顶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微孔铝板吊顶，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86.38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机房装修照明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机房装修隔断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隔断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三联操作台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供操作人员使用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标准化机柜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UPS输入线缆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UPS输出到精密配电柜线缆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精密空调输入线缆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300mm  镀锌防火桥架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机房施工及调试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接线、整理机柜、标签、安装设备等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综合运维管理系统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1.▲支持快速一键开机所有法庭和一键关闭所有法庭；（提供软件截图和第三方权威机构出具的软件测试报告）</w:t>
              <w:br/>
              <w:t xml:space="preserve">2.▲支持单个场景单独控制开机、关机；（提供软件截图和第三方权威机构出具的软件测试报告）</w:t>
              <w:br/>
              <w:t xml:space="preserve">3.声音部分：每路话筒可自定义名称，远程控制话筒音量，远程控制话筒开关，可视化窗口实时监听声音状态，音频设备状态实时监控；</w:t>
              <w:br/>
              <w:t xml:space="preserve">4.▲视频部分：支持庭审现场频频信号的实时监控，音视频数据备份、下载；不同区域网络摄像头分组管理，状态实时监控；提供软件截图和第三方权威机构出具的软件测试报告</w:t>
              <w:br/>
              <w:t xml:space="preserve">5.电源部分：电源开关管理页面，展示</w:t>
            </w:r>
            <w:r>
              <w:rPr>
                <w:rFonts w:ascii="SimSun" w:hAnsi="SimSun" w:eastAsia="SimSun" w:cs="SimSun"/>
                <w:color w:val="000000"/>
                <w:sz w:val="24"/>
              </w:rPr>
              <w:t xml:space="preserve">所有电源开关机状态，支持开关机每间法庭电源，支持每间法庭预约开关机；</w:t>
              <w:br/>
              <w:t xml:space="preserve">6.支持电脑分组管理，并实现自动开关机管理；</w:t>
              <w:br/>
              <w:t xml:space="preserve">7.支持灯光、空调、窗帘统一在线管理；</w:t>
              <w:br/>
              <w:t xml:space="preserve">8.支持独立安全加密，双向认证加密；</w:t>
              <w:br/>
              <w:t xml:space="preserve">9.后台配置：支持用户管理、角色管理、权限管理，支持批量导入客户端，支持区域划分机制配置，支持电源预约开关机机制配置，支持操作日志全记录、下载；</w:t>
              <w:br/>
              <w:t xml:space="preserve">10.支持结合客户端，检测当事人是否对准话筒讲话，并可及时做出提醒；</w:t>
              <w:br/>
              <w:t xml:space="preserve">11.支持在场景使用初期，自动化巡检话筒是否开机；</w:t>
              <w:br/>
              <w:t xml:space="preserve">12.支持角色分析的语音转写文字；</w:t>
              <w:br/>
              <w:t xml:space="preserve">13.▲支持远</w:t>
            </w:r>
            <w:r>
              <w:rPr>
                <w:rFonts w:ascii="SimSun" w:hAnsi="SimSun" w:eastAsia="SimSun" w:cs="SimSun"/>
                <w:color w:val="000000"/>
                <w:sz w:val="24"/>
              </w:rPr>
              <w:t xml:space="preserve">程获取已绑定电脑桌面及远程协助；（提供软件截图和第三方权威机构出具的软件测试报告）</w:t>
              <w:br/>
              <w:t xml:space="preserve">14.支持PCM无损编码，采样率不低于16KHz;</w:t>
              <w:br/>
              <w:t xml:space="preserve">15.包含现有18个法庭的空调、灯光改造接入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时间校准服务器（含天线）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处理器：嵌入式ARM处理器</w:t>
              <w:br/>
              <w:t xml:space="preserve">同步精度：卫星同步精度纳秒级；NTP同步精度毫秒级；</w:t>
              <w:br/>
              <w:t xml:space="preserve">内存：128M</w:t>
              <w:br/>
              <w:t xml:space="preserve">授时容量：500次/每秒（默认NTP1~2端口绑定，实现网口高可用）</w:t>
              <w:br/>
              <w:t xml:space="preserve">授时精度：≤1ms</w:t>
              <w:br/>
              <w:t xml:space="preserve">授时频段：北斗: 1561.098±2.046MHz</w:t>
              <w:br/>
              <w:t xml:space="preserve">接口：2个NTP授时端口（RJ45）：NTP1~NTP2，对外授时接口，位于机箱前部，支持网口绑定；</w:t>
              <w:br/>
              <w:t xml:space="preserve">1个BD天线接口：位于机箱后部；</w:t>
              <w:br/>
              <w:t xml:space="preserve">1个串口（RJ45）：调试使用，位于机箱前部；</w:t>
              <w:br/>
              <w:t xml:space="preserve">1个NTP输入口（RJ45）：上级NTP设备输入使用，位于机箱前部；</w:t>
              <w:br/>
              <w:t xml:space="preserve">1个管理口（RJ</w:t>
            </w:r>
            <w:r>
              <w:rPr>
                <w:rFonts w:ascii="SimSun" w:hAnsi="SimSun" w:eastAsia="SimSun" w:cs="SimSun"/>
                <w:color w:val="000000"/>
                <w:sz w:val="24"/>
              </w:rPr>
              <w:t xml:space="preserve">45）：接入网络，进入校时软件管理页面;</w:t>
              <w:br/>
              <w:t xml:space="preserve">1个1PPS输出口：支持1路1PPS时间输出</w:t>
              <w:br/>
              <w:t xml:space="preserve">软件功能：</w:t>
              <w:br/>
              <w:t xml:space="preserve">设备上电或重启后，系统自启校时服务</w:t>
              <w:br/>
              <w:t xml:space="preserve">支持BD模式对待授时设备进行授时</w:t>
              <w:br/>
              <w:t xml:space="preserve">支持对监控设备（DVR、NVR、网络摄像机）、服务器进行授时</w:t>
              <w:br/>
              <w:t xml:space="preserve">支持上级NTP设备输入级联</w:t>
              <w:br/>
              <w:t xml:space="preserve">可通过WEB管理对NTP时钟进行配置管理</w:t>
              <w:br/>
              <w:t xml:space="preserve">支持NTP告警记录和日志信息查询导出 </w:t>
              <w:br/>
              <w:t xml:space="preserve">含60米RG58成品馈线、1套安装套件、1套防雷包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内网核心交换机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交换容量：≥68.2/307.2Tbps</w:t>
              <w:br/>
              <w:t xml:space="preserve">包转发率：≥51200Mpps</w:t>
              <w:br/>
              <w:t xml:space="preserve">槽位数量：≥3个</w:t>
              <w:br/>
              <w:t xml:space="preserve">主控集成业务端口</w:t>
              <w:br/>
              <w:t xml:space="preserve">支持融合AC功能，无需额外配置单独硬件，在交换机上实现对AP的接入控制和管理，有线无线用户的统一认证管理，</w:t>
              <w:br/>
              <w:t xml:space="preserve">支持内置智能图形化管理功能，对于下联设备具备统一管理的功能</w:t>
              <w:br/>
              <w:t xml:space="preserve">能够通过图形化界面对组内设备进行配置文件一键下发；对拓扑内的设备或设备组批量进行版本升级</w:t>
              <w:br/>
              <w:t xml:space="preserve">▲支持一虚多技术（MDC）通过该功能可以实现创建、删除、单板划入、单板划出交换机的特性，最大支持9个虚拟交换机，提供工信部下属权威机构出具的检测</w:t>
            </w:r>
            <w:r>
              <w:rPr>
                <w:rFonts w:ascii="SimSun" w:hAnsi="SimSun" w:eastAsia="SimSun" w:cs="SimSun"/>
                <w:color w:val="000000"/>
                <w:sz w:val="24"/>
              </w:rPr>
              <w:t xml:space="preserve">报告复印件</w:t>
              <w:br/>
            </w:r>
            <w:r>
              <w:rPr>
                <w:rFonts w:ascii="DengXian" w:hAnsi="DengXian" w:eastAsia="DengXian" w:cs="DengXian"/>
                <w:color w:val="000000"/>
                <w:sz w:val="24"/>
              </w:rPr>
              <w:t xml:space="preserve">▲</w:t>
            </w:r>
            <w:r>
              <w:rPr>
                <w:rFonts w:ascii="SimSun" w:hAnsi="SimSun" w:eastAsia="SimSun" w:cs="SimSun"/>
                <w:color w:val="000000"/>
                <w:sz w:val="24"/>
              </w:rPr>
              <w:t xml:space="preserve">支持TAP能力，可支持TAP 同源同宿功能，报文截断功能，源端口标识功能，支持 TAP 基于端口的 M:N 模型功能，M:N 模型下最大 M 口规格为 575, N口规格为575; 提供工信部下属权威机构出具的检测报告复印件</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▲交换机的CPU芯片在国家安可测评名录中，提供证明材料。</w:t>
              <w:br/>
              <w:t xml:space="preserve">配置32个千兆电口，24个万兆光口，24个万兆多模模块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24口POE千兆电口交换机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1、交换容量≥672Gbps，包转发率≥126Mpps</w:t>
              <w:br/>
              <w:t xml:space="preserve">2、提供≥24个10/100/1000BASE-T PoE+电口，提供≥4个1000BASE-X SFP端口；</w:t>
              <w:br/>
              <w:t xml:space="preserve">3、支持802.3at/POE+供电标准，单端口最大支持30W</w:t>
              <w:br/>
              <w:t xml:space="preserve">4、支持基于端口的VLAN，支持基于协议的VLAN；</w:t>
              <w:br/>
              <w:t xml:space="preserve">5、堆叠链路冗余保护能够快速收敛，收敛时间≤50ms；</w:t>
              <w:br/>
              <w:t xml:space="preserve">6、支持IPv4/IPV6双栈管理和转发，支持静态路由协议和RIP、OSPF等路由协议，支持丰富的管理和安全特性；</w:t>
              <w:br/>
            </w:r>
            <w:r>
              <w:rPr>
                <w:rFonts w:ascii="DengXian" w:hAnsi="DengXian" w:eastAsia="DengXian" w:cs="DengXian"/>
                <w:color w:val="000000"/>
                <w:sz w:val="24"/>
              </w:rPr>
              <w:t xml:space="preserve">▲</w:t>
            </w:r>
            <w:r>
              <w:rPr>
                <w:rFonts w:ascii="SimSun" w:hAnsi="SimSun" w:eastAsia="SimSun" w:cs="SimSun"/>
                <w:color w:val="000000"/>
                <w:sz w:val="24"/>
              </w:rPr>
              <w:t xml:space="preserve">7.支持内置智能图形化管理功能，能够实现通过图形化界面设备配置及命令一键下发和版本智能升级，提供官网功能截图</w:t>
              <w:br/>
              <w:t xml:space="preserve">8、配置4个千兆光模块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48口POE网口交换机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48个10/100/1000BASE-T以太网端口,4个千兆SFP,PoE+,交流供电)交换容量≥336Gbps/3.36Tbps，包转发率≥51/126Mpps，POE功率≥380W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接口数量： 2*2.5G+8*GE + 2*万兆光口</w:t>
              <w:br/>
              <w:t xml:space="preserve">管理AP数量：≥512</w:t>
              <w:br/>
              <w:t xml:space="preserve">吞吐：≥10Gbps</w:t>
              <w:br/>
              <w:t xml:space="preserve">▲支持无线AC内嵌实现开局和运维功能，无需额外采购服务器。投标时提供产品功能界面截图证明。</w:t>
              <w:br/>
              <w:t xml:space="preserve">▲支持整网设备的开局管理，管理设备上能查看所有成员设备，设备类型包括交换、路由、AC、AP和防火墙。（提供产品功能界面截图证明）。</w:t>
              <w:br/>
              <w:t xml:space="preserve">管理设备作为统一的管理和运维入口。登录管理设备内嵌的网管后，可通过各个成员设备的eWEB免登录跳转到对应成员设备的WEB管理页面；可通过各个成员设备的eConsole免登录跳转到对应成员设</w:t>
            </w:r>
            <w:r>
              <w:rPr>
                <w:rFonts w:ascii="SimSun" w:hAnsi="SimSun" w:eastAsia="SimSun" w:cs="SimSun"/>
                <w:color w:val="000000"/>
                <w:sz w:val="24"/>
              </w:rPr>
              <w:t xml:space="preserve">备的CLI配置控制台。</w:t>
              <w:br/>
              <w:t xml:space="preserve">为了满足设备的稳定性，要求所投产品满足双电源冗余供电。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AP管理授权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无线AP管理授权≥8AP</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无线AP</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工作模式：采用整机双频4流设计，可同时工作在802.11a/b/g/n/ac/ac wave2/ax模式；</w:t>
              <w:br/>
              <w:t xml:space="preserve">协商速率：整机协商速率≥2.975Gbps，其中5G射频速率≥2.4G，2.4G射频速率≥0.575G；</w:t>
              <w:br/>
              <w:t xml:space="preserve">接口设计：≥1个10/100/1000M电口；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24口千兆电口交换机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1、交换容量≥672Gbps，包转发率≥126Mpps，静音无风扇；</w:t>
              <w:br/>
              <w:t xml:space="preserve">2、提供≥24个10/100/1000BASE-T电口，提供≥4个1000 BASE-X SFP端口；</w:t>
              <w:br/>
              <w:t xml:space="preserve">3、支持基于端口的VLAN，支持基于协议的VLAN；</w:t>
              <w:br/>
              <w:t xml:space="preserve">4、堆叠链路冗余保护能够快速收敛，收敛时间≤50ms；</w:t>
              <w:br/>
              <w:t xml:space="preserve">5、支持IPv4/IPV6双栈管理和转发，支持静态路由协议和RIP、OSPF等路由协议，支持丰富的管理和安全特性；</w:t>
              <w:br/>
              <w:t xml:space="preserve">6、配置4个千兆光模块</w:t>
              <w:br/>
            </w:r>
            <w:r>
              <w:rPr>
                <w:rFonts w:ascii="DengXian" w:hAnsi="DengXian" w:eastAsia="DengXian" w:cs="DengXian"/>
                <w:color w:val="000000"/>
                <w:sz w:val="24"/>
              </w:rPr>
              <w:t xml:space="preserve">▲</w:t>
            </w:r>
            <w:r>
              <w:rPr>
                <w:rFonts w:ascii="SimSun" w:hAnsi="SimSun" w:eastAsia="SimSun" w:cs="SimSun"/>
                <w:color w:val="000000"/>
                <w:sz w:val="24"/>
              </w:rPr>
              <w:t xml:space="preserve">7.支持内置智能图形化管理功能，能够实现通过图形化界面设备配置及命令一键下发和版本智能升级，全局配置及网管口配置，提供官网功能截图。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万兆光模块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万兆多模光模块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千兆光模块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千兆多模光模块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外网核心交换机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交换容量≥2.4Tbps/24Tbps</w:t>
              <w:br/>
              <w:t xml:space="preserve">包转发率≥672Mpps</w:t>
              <w:br/>
              <w:t xml:space="preserve">≥28个1000M sfp光口，1/10 GE 光接口≥8个，100/1000Base-T combo接口≥4个</w:t>
              <w:br/>
              <w:t xml:space="preserve">▲支持不少于1扩展插槽，支持扩展防火墙插卡，提供官网截图证明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互联网区域接入交换机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1、交换容量≥672Gbps，包转发率≥126Mpps，静音无风扇；</w:t>
              <w:br/>
              <w:t xml:space="preserve">2、提供≥24个10/100/1000BASE-T电口，提供≥4个1000 BASE-X SFP端口；</w:t>
              <w:br/>
              <w:t xml:space="preserve">3、支持基于端口的VLAN，支持基于协议的VLAN；</w:t>
              <w:br/>
              <w:t xml:space="preserve">4、堆叠链路冗余保护能够快速收敛，收敛时间≤50ms；</w:t>
              <w:br/>
              <w:t xml:space="preserve">5、支持IPv4/IPV6双栈管理和转发，支持静态路由协议和RIP、OSPF等路由协议，支持丰富的管理和安全特性；</w:t>
              <w:br/>
              <w:t xml:space="preserve">6、配置4个千兆光模块</w:t>
              <w:br/>
              <w:t xml:space="preserve">7.支持内置智能图形化管理功能，能够实现通过图形化界面设备配置及命令一键下发和版本智能升</w:t>
            </w:r>
            <w:r>
              <w:rPr>
                <w:rFonts w:ascii="SimSun" w:hAnsi="SimSun" w:eastAsia="SimSun" w:cs="SimSun"/>
                <w:color w:val="000000"/>
                <w:sz w:val="24"/>
              </w:rPr>
              <w:t xml:space="preserve">级，全局配置及网管口配置。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楼宇汇聚专用设备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交换容量≥2.4Tbps/24Tbps</w:t>
              <w:br/>
              <w:t xml:space="preserve">包转发率≥672Mpps</w:t>
              <w:br/>
              <w:t xml:space="preserve">≥28个1000M sfp光口，1/10 GE 光接口≥8个，100/1000Base-T combo接口≥4个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数据中心防火墙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1.网络层吞吐量≥20G，应用层吞吐量≥15G，IPS吞吐量≥2G，并发连接数≥800万，HTTP新建连接数≥16万。内存大小≥8G，硬盘容量≥128G SSD，电源：冗余电源，接口≥6千兆电口+4个千兆光口。CPU及操作系统应符合安全可靠测评要求。</w:t>
              <w:br/>
              <w:t xml:space="preserve">2.产品应具备独立的勒索病毒防护模块，非普通防病毒功能，支持对特定的业务进行勒索风险自动化评估，并依据评估结果自动生成防护策略。。</w:t>
              <w:br/>
              <w:t xml:space="preserve">3.支持对不少于9000种应用的识别和控制，应用类型包括游戏、购物、图书百科、工作招聘、P2P下载、聊天工具、旅游出行、股票软件</w:t>
            </w:r>
            <w:r>
              <w:rPr>
                <w:rFonts w:ascii="SimSun" w:hAnsi="SimSun" w:eastAsia="SimSun" w:cs="SimSun"/>
                <w:color w:val="000000"/>
                <w:sz w:val="24"/>
              </w:rPr>
              <w:t xml:space="preserve">等类型应用进行检测与控制。</w:t>
              <w:br/>
              <w:t xml:space="preserve">4.产品支持策略生命周期管理功能，支持对安全策略修改的时间、原因、变更类型进行统一管理，便于策略的运维与管理。</w:t>
              <w:br/>
              <w:t xml:space="preserve">5.▲产品支持SD-WAN组网丢包优化功能，优化互联网场景下丢包严重的问题，改善实时类应用的业务访问体验。（需提供具备CMA、CNAS资质的第三方检测报告）</w:t>
              <w:br/>
              <w:t xml:space="preserve">6.产品支持对压缩病毒文件进行检测和拦截，压缩层数支持15层及以上。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超融合服务器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1.规格：2U机架式服务器；CPU配置≥2颗处理器（单颗CPU物理核心数≥16核，主频≥2.5GHz），满足安全可靠测评需求；内存：≥256GB DDR5（单条容量≥32GB，频率≥5600MHz）；系统盘：≥2块480GB SATA SSD；缓存盘：≥2块960GB SSD；数据盘：≥2块8TB HDD（支持SATA/SAS）；前置硬盘盘位数≥12个（支持热插拔），兼容2.5/3.5英寸硬盘；电源：冗余电源（1+1备份），效率≥白金级（92%以上），支持热插拔；网络接口：≥4个千兆电口（RJ45），≥2个</w:t>
            </w:r>
            <w:r>
              <w:rPr>
                <w:rFonts w:ascii="SimSun" w:hAnsi="SimSun" w:eastAsia="SimSun" w:cs="SimSun"/>
                <w:color w:val="000000"/>
                <w:sz w:val="24"/>
              </w:rPr>
              <w:t xml:space="preserve">万兆光口（SFP+），支持链路聚合；含万兆多模光模块≥2个（SFP+封装，波长850nm，传输距离≥300m），光纤跳线≥1条（LC-LC多模，长度≥5m）。</w:t>
              <w:br/>
              <w:t xml:space="preserve">2.▲硬件故障对平台影响较大，也会影响数据安全，为保障业务在硬件故障后尽快恢复冗余数据保障，支持进行数据重建操作，重建速率达到30分钟/TB；重建过程中可以查看数据重建任务列表信息，包括对象名称、对象类型、数据量和优先级等；支持点击操作中的优先级对数据重建进行优先重建（提供带有CMA、CNAS标识的检测报告证明，至少包含报告首页，对应功能测试页和报告</w:t>
            </w:r>
            <w:r>
              <w:rPr>
                <w:rFonts w:ascii="SimSun" w:hAnsi="SimSun" w:eastAsia="SimSun" w:cs="SimSun"/>
                <w:color w:val="000000"/>
                <w:sz w:val="24"/>
              </w:rPr>
              <w:t xml:space="preserve">尾页）。</w:t>
              <w:br/>
              <w:t xml:space="preserve">3.▲支持内存ECC自动纠错机制，具备内存错误主动扫描能力。当检测到内存出现可纠正错误（CE）或不可纠正错误（UE）时，能够自动将故障内存空间进行隔离，防止故障扩散。能够定位故障内存的物理槽位信息并发出告警，便于运维人员快速更换故障内存条。（提供带有CMA、CNAS标识的检测报告证明）。</w:t>
              <w:br/>
              <w:t xml:space="preserve">4.由于磁盘卡慢盘可能拖累平台性能导致业务卡顿，为保证磁盘健康，当服务器硬件出现HDD卡慢盘时，可以在磁盘管理界面显示并告警，可以对HDD的卡慢盘进行自动隔离。</w:t>
              <w:br/>
              <w:t xml:space="preserve">5.可以在网络可视化界面显示两台虚机间的访问流。可</w:t>
            </w:r>
            <w:r>
              <w:rPr>
                <w:rFonts w:ascii="SimSun" w:hAnsi="SimSun" w:eastAsia="SimSun" w:cs="SimSun"/>
                <w:color w:val="000000"/>
                <w:sz w:val="24"/>
              </w:rPr>
              <w:t xml:space="preserve">以通过分布式防火墙中断访问流并显示通信状态。可以显示所有虚拟机的流量走向与访问关系，包括源对象、源 IP、目标对象、目的IP、访问次数、服务类型、动作。</w:t>
              <w:br/>
              <w:t xml:space="preserve">6.支持磁盘坏道扫描与主动修复功能，可在管理界面中设置定时扫描策略，自定义扫描时间段对集群中所有硬盘进行周期性坏道扫描，及时发现潜藏的坏道扇区。当检测到坏道时，能够利用冗余副本（RAID/副本机制）自动修复坏道区域的受损数据，将健康数据重新写入备用扇区或新区域，并在管理界面中记录坏道扫描结果及修复状态日志。</w:t>
            </w:r>
            <w:r/>
          </w:p>
          <w:p>
            <w:pPr>
              <w:ind w:left="0" w:right="0" w:firstLine="0"/>
              <w:jc w:val="left"/>
              <w:spacing w:before="200" w:after="20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超融合核心交换机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1.端口配置：万兆SFP+光接口≥12个，千兆电口（RJ45）≥12个，且所有端口均为三层路由接口。</w:t>
              <w:br/>
              <w:t xml:space="preserve">2.交换容量≥2.4Tbps，包转发率≥780Mpps。设备须具备业务槽位/端口全线速转发能力，确保在高负载网络下无阻塞转发。</w:t>
              <w:br/>
              <w:t xml:space="preserve">3.LC-LC多模光纤跳线：≥3条，长度≥5米。</w:t>
              <w:br/>
              <w:t xml:space="preserve">4,。万兆多模光模块：SFP+封装，中心波长850nm，支持10G传输速率，传输距离≥300米（OM3光纤），双纤LC接口，数量≥6个。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5芯带屏蔽  0.75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复合线缆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六类屏蔽+2芯光纤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屏蔽网线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六类屏蔽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9260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2*1.0电源线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RVV2*1.0  国标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18060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3*2.5电源线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RVV3*2.5  国标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多媒体地插盒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多媒体地插盒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网络墙插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4口六类屏蔽模块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金银线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12芯多模光纤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12v20A集中式供电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40米HDMI线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40米单根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HDMI信号转换器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网络转HDMI 4K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话筒音频线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五芯屏蔽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六类网线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六类网线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35800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5芯电源线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YJV3*6+2*4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多媒体地插/墙插/明盒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光纤盒、网络配线架、理线架、网络模块、底盒、设备电源，水晶头、其他无法预估产品等</w:t>
              <w:br/>
              <w:t xml:space="preserve">西门大屏电源线、人员通道地台，各类线材</w:t>
              <w:br/>
              <w:t xml:space="preserve">熔纤、焊接、网络配线架、理线架、屏蔽网络模块，屏蔽层接入、音频接口、制作等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壁挂信息发布屏(横竖挂)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1.设备类型：非触摸壁挂信息发布屏，整机为金属质感外观，纤薄机身，一体化设计，屏幕表面为前置高透光钢化玻璃防护。</w:t>
              <w:br/>
              <w:t xml:space="preserve">2.显示尺寸：≥21.5英寸。</w:t>
              <w:br/>
              <w:t xml:space="preserve">3.物理分辨率：≥1920×1080@60Hz。</w:t>
              <w:br/>
              <w:t xml:space="preserve">4.亮度：≥250cd/m²。</w:t>
              <w:br/>
              <w:t xml:space="preserve">5.对比度：≥1000:1。</w:t>
              <w:br/>
              <w:t xml:space="preserve">6.可视角：水平≥178°，垂直≥178°。</w:t>
              <w:br/>
              <w:t xml:space="preserve">7.CPU：≥4核64位处理器，主频≥1.6GHz。</w:t>
              <w:br/>
              <w:t xml:space="preserve">8.内存：≥2GB。</w:t>
              <w:br/>
              <w:t xml:space="preserve">9.存储：≥16GB eMMC。</w:t>
              <w:br/>
              <w:t xml:space="preserve">10.操作系统：嵌入式Linux或Android，支持本地节目存储与远程节目更新。</w:t>
              <w:br/>
              <w:t xml:space="preserve">11.播放管理</w:t>
            </w:r>
            <w:r>
              <w:rPr>
                <w:rFonts w:ascii="SimSun" w:hAnsi="SimSun" w:eastAsia="SimSun" w:cs="SimSun"/>
                <w:color w:val="000000"/>
                <w:sz w:val="24"/>
              </w:rPr>
              <w:t xml:space="preserve">：支持多种素材自由排版、分区显示；支持按日、按周、轮播、自定义等多种播放方式；支持定时开关机、音量定时调节。</w:t>
              <w:br/>
              <w:t xml:space="preserve">12.喇叭：内置8Ω  2 W 扬声器 × 2 .</w:t>
              <w:br/>
              <w:t xml:space="preserve">13.素材类型：支持播放主流多媒体文件类型。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30米HDMI线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30米单根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4位多媒体地插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墙面多媒体面板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包含HDMI、网络、音频口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2口墙面多媒体面板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2口网络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直接多媒体地插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直接拉线盒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跳线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6类2米跳线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配线架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24口满模块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理线架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12口理线架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暗装86盒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86底盒，安装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42U机柜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48芯多模光纤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主楼至机房光纤，48芯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24芯多模光纤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机房至每层弱电间光纤，审判楼至机房光纤，每层到总机房，24芯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门禁控制线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RVV4*1.0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门禁控制器信号线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六类网线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综合布线施工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布管、开槽、布线、理线、焊接等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12路调音台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25线管含敷设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JDG25，壁厚1.2mm含敷设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20线管含敷设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JDG20，壁厚1.2mm含敷设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智能E1视频网关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实现专线IP转换为4*E1专线电路传输，通过数据缓存、加速，丢包重传等算法优化，实现IP传输转换成为高质量保障的4*E1电路传输。</w:t>
              <w:br/>
              <w:t xml:space="preserve">1.IP网络转4*E1专线电路模块；</w:t>
              <w:br/>
              <w:t xml:space="preserve">2.IP网口支持100M自适应；</w:t>
              <w:br/>
              <w:t xml:space="preserve">3.4*E1接口；</w:t>
              <w:br/>
              <w:t xml:space="preserve">4.前控制板可显示：E1电路状态指示，信号状态指示；</w:t>
              <w:br/>
              <w:t xml:space="preserve">5.支持远程网管协议，支持集中网管；</w:t>
              <w:br/>
              <w:t xml:space="preserve">6.内置前向纠错、数据冗余、丢包重传等算法，支持丢包50%下仍可保障4E1传输的稳定可靠性；</w:t>
              <w:br/>
              <w:t xml:space="preserve">7.▲支持与最高人民法院大要案系统网关设备完全兼容，该接口可通过运营商的IP专线电路与最高人民法院的高</w:t>
            </w:r>
            <w:r>
              <w:rPr>
                <w:rFonts w:ascii="SimSun" w:hAnsi="SimSun" w:eastAsia="SimSun" w:cs="SimSun"/>
                <w:color w:val="000000"/>
                <w:sz w:val="24"/>
              </w:rPr>
              <w:t xml:space="preserve">清音大要案系统平台网关设备直接联通，实现高清终端编双向音视频的传输（提供承诺函）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4K超高清视频编解码终端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1、广播级4K超高清视音频编解码，硬件平台应符合安全可靠测评要求；</w:t>
              <w:br/>
              <w:t xml:space="preserve">2、内置E1/T1和IP双网络接口，组网方式灵活；</w:t>
              <w:br/>
              <w:t xml:space="preserve">3、视频支持H、265编码算法，最高支持4KP60（3840x2160P60） UHD超高清视频分辨率；</w:t>
              <w:br/>
              <w:t xml:space="preserve">4、编码速率512Kbps-20Mbps；</w:t>
              <w:br/>
              <w:t xml:space="preserve">5、具有双流功能，具备双路4K超高清视频编解码功能</w:t>
              <w:br/>
              <w:t xml:space="preserve">6、具备2路HDMI-4K输入输出、1路3G-SDI输入输出、1路3G-SDI环出、1路HDMI-4K环出；输入音频话筒/线路≥4路，电平可设置，话筒幻象供电功能可设置</w:t>
              <w:br/>
              <w:t xml:space="preserve">7、支持MPEG4 </w:t>
            </w:r>
            <w:r>
              <w:rPr>
                <w:rFonts w:ascii="SimSun" w:hAnsi="SimSun" w:eastAsia="SimSun" w:cs="SimSun"/>
                <w:color w:val="000000"/>
                <w:sz w:val="24"/>
              </w:rPr>
              <w:t xml:space="preserve">AAC-LC高保真音频编码；</w:t>
              <w:br/>
              <w:t xml:space="preserve">8、内置数字音频处理功能，实现自动回声抑制、噪声抑制、自动增益功能</w:t>
              <w:br/>
              <w:t xml:space="preserve">9、支持3G-SDI嵌入音频功能，提供广播级视音频质量；</w:t>
              <w:br/>
              <w:t xml:space="preserve">10、输入音频话筒/线路≥4路，电平可设置，话筒幻象供电功能可设置</w:t>
              <w:br/>
              <w:t xml:space="preserve">11、支持码流AES 256bit加解密算法，保障网络传输安全；</w:t>
              <w:br/>
              <w:t xml:space="preserve">12、支持E1与IP网络同时接入，支持双网络双备份运行模式，保证网络安全；</w:t>
              <w:br/>
              <w:t xml:space="preserve">13、支持4×E1电路速率自适应功能，根据网络情况自动升降速，保证网络安全。</w:t>
              <w:br/>
              <w:t xml:space="preserve">14、与最高法院一级4*E1专网系统完全兼容，该接口可通过运营商的4</w:t>
            </w:r>
            <w:r>
              <w:rPr>
                <w:rFonts w:ascii="SimSun" w:hAnsi="SimSun" w:eastAsia="SimSun" w:cs="SimSun"/>
                <w:color w:val="000000"/>
                <w:sz w:val="24"/>
              </w:rPr>
              <w:t xml:space="preserve">*E1专线电路与最高法院、各中级法院的高清音视频平台直接联通，实现双向音视频的传输。</w:t>
              <w:br/>
              <w:t xml:space="preserve">15、▲支持与省高级人民法院的全国视频会议终端完全兼容，该接口可通过运营商的4*E1专线电路与省高级人民法院的全国视频会议终端直接联通，实现双向音视频的传输；实现视频会议、大要案庭审调度等功能;（提供承诺函）</w:t>
              <w:br/>
              <w:t xml:space="preserve">16、与最高人民法院视频会议调度管理平台的4*E1电路对接的电路接口要求;</w:t>
              <w:br/>
              <w:t xml:space="preserve">17、嵌入式软件：设备包含嵌入式软件。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二氧化碳灭火器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含灭火箱，每个箱子两台灭火器，单台5KG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量子通信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numPr>
                <w:ilvl w:val="0"/>
                <w:numId w:val="3"/>
              </w:numPr>
              <w:jc w:val="lef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提供不少于10人的量子通信服务；2、支持加密音视频通话：支持拨打量子加密音视频通话；呼叫时被叫处于非前台，可直接拉起App屏幕</w:t>
              <w:br/>
              <w:t xml:space="preserve">3、加密消息：支持单聊、群聊，聊天消息支持文字、表情、语音、图片、视频、文件、名片、1v1音视频通话等多种消息类型，消息类型支持发送普通消息和加密消息</w:t>
              <w:br/>
              <w:t xml:space="preserve">4、加密模式：支持自主设置消息加密模式，普通消息：消息均为不加密状态；加密消息：消息均经过加密，未解密前消息无法查阅</w:t>
              <w:br/>
              <w:t xml:space="preserve">5、阅后即焚：支持加密阅后即焚模式，可自主设置消息销毁时间</w:t>
              <w:br/>
              <w:t xml:space="preserve">6、▲多款应用支持：支持多款量子加密办公应用生态的接入</w:t>
            </w:r>
            <w:r>
              <w:rPr>
                <w:rFonts w:ascii="SimSun" w:hAnsi="SimSun" w:eastAsia="SimSun" w:cs="SimSun"/>
                <w:color w:val="000000"/>
                <w:sz w:val="24"/>
              </w:rPr>
              <w:t xml:space="preserve">能力，如量子云会议，量子邮箱、量子云盘、量子公文审批；（需提供截图证明）</w:t>
              <w:br/>
              <w:t xml:space="preserve">7、▲GM/T0028《密码模块安全技术要求》：加密即时通信Android端、HarmonyOS端、PC端和服务端（密码模块）满足GM/T0028《密码模块安全技术要求》第二级要求（提供证书复印件并加盖公章）</w:t>
            </w:r>
            <w:r/>
          </w:p>
          <w:p>
            <w:pPr>
              <w:ind w:left="0" w:right="0" w:firstLine="0"/>
              <w:jc w:val="lef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8、▲出于密钥安全管理需要，要求密钥分发不出市（供应商需提供承诺函）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其他配套保障系统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系统集成费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设备安装、调试、原厂设备调试服务、家具开孔协调等，3年维保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spacing w:line="440" w:lineRule="exact"/>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
    </w:p>
    <w:p>
      <w:pPr>
        <w:jc w:val="center"/>
        <w:keepNext/>
        <w:spacing w:line="440" w:lineRule="exact"/>
        <w:rPr>
          <w:rFonts w:ascii="黑体" w:hAnsi="黑体" w:eastAsia="黑体" w:cs="宋体"/>
          <w:b/>
          <w:bCs/>
          <w:sz w:val="44"/>
          <w:szCs w:val="44"/>
        </w:rPr>
      </w:pPr>
      <w:r>
        <w:rPr>
          <w:rFonts w:hint="eastAsia" w:ascii="黑体" w:hAnsi="黑体" w:eastAsia="黑体" w:cs="宋体"/>
          <w:sz w:val="44"/>
          <w:szCs w:val="44"/>
        </w:rPr>
        <w:t xml:space="preserve">第五章</w:t>
      </w:r>
      <w:r>
        <w:rPr>
          <w:rFonts w:ascii="Calibri" w:hAnsi="Calibri" w:eastAsia="黑体" w:cs="Calibri"/>
          <w:sz w:val="44"/>
          <w:szCs w:val="44"/>
        </w:rPr>
        <w:t xml:space="preserve"> </w:t>
      </w:r>
      <w:r>
        <w:rPr>
          <w:rFonts w:hint="eastAsia" w:ascii="黑体" w:hAnsi="黑体" w:eastAsia="黑体" w:cs="宋体"/>
          <w:b/>
          <w:bCs/>
          <w:sz w:val="44"/>
          <w:szCs w:val="44"/>
        </w:rPr>
        <w:t xml:space="preserve">评标方法与评标标准</w:t>
      </w:r>
      <w:r/>
    </w:p>
    <w:p>
      <w:pPr>
        <w:ind w:firstLine="480"/>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440" w:lineRule="exact"/>
        <w:rPr>
          <w:rFonts w:ascii="宋体" w:hAnsi="宋体" w:cs="宋体"/>
          <w:sz w:val="24"/>
        </w:rPr>
      </w:pPr>
      <w:r>
        <w:rPr>
          <w:rFonts w:hint="eastAsia" w:cs="宋体" w:asciiTheme="minorEastAsia" w:hAnsiTheme="minorEastAsia"/>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sz w:val="24"/>
        </w:rPr>
        <w:t xml:space="preserve">按照技术指标优劣顺序推荐</w:t>
      </w:r>
      <w:r>
        <w:rPr>
          <w:rFonts w:hint="eastAsia" w:ascii="宋体" w:hAnsi="宋体" w:cs="宋体"/>
          <w:sz w:val="24"/>
        </w:rPr>
        <w:t xml:space="preserve">。如上述因素均相同，则采用抽签方式确定中标候选人的顺序。</w:t>
      </w:r>
      <w:r/>
    </w:p>
    <w:p>
      <w:pPr>
        <w:ind w:firstLine="488"/>
        <w:spacing w:line="440" w:lineRule="exact"/>
        <w:rPr>
          <w:rFonts w:asciiTheme="minorEastAsia" w:hAnsiTheme="minorEastAsia"/>
          <w:sz w:val="24"/>
          <w:szCs w:val="24"/>
        </w:rPr>
      </w:pPr>
      <w:r>
        <w:rPr>
          <w:rFonts w:hint="eastAsia" w:asciiTheme="minorEastAsia" w:hAnsiTheme="minorEastAsia"/>
          <w:sz w:val="24"/>
          <w:szCs w:val="24"/>
        </w:rPr>
        <w:t xml:space="preserve">2.评分过程中采用“四舍五入”法，并保留小数</w:t>
      </w:r>
      <w:r>
        <w:rPr>
          <w:rFonts w:asciiTheme="minorEastAsia" w:hAnsiTheme="minorEastAsia"/>
          <w:sz w:val="24"/>
          <w:szCs w:val="24"/>
        </w:rPr>
        <w:t xml:space="preserve">2</w:t>
      </w:r>
      <w:r>
        <w:rPr>
          <w:rFonts w:hint="eastAsia" w:asciiTheme="minorEastAsia" w:hAnsiTheme="minorEastAsia"/>
          <w:sz w:val="24"/>
          <w:szCs w:val="24"/>
        </w:rPr>
        <w:t xml:space="preserve">位。</w:t>
      </w:r>
      <w:r/>
    </w:p>
    <w:p>
      <w:pPr>
        <w:ind w:firstLine="488"/>
        <w:spacing w:line="440" w:lineRule="exact"/>
        <w:rPr>
          <w:rFonts w:asciiTheme="minorEastAsia" w:hAnsiTheme="minorEastAsia"/>
          <w:sz w:val="24"/>
          <w:szCs w:val="24"/>
        </w:rPr>
      </w:pPr>
      <w:r>
        <w:rPr>
          <w:rFonts w:hint="eastAsia" w:asciiTheme="minorEastAsia" w:hAnsiTheme="minorEastAsia"/>
          <w:sz w:val="24"/>
          <w:szCs w:val="24"/>
        </w:rPr>
        <w:t xml:space="preserve">3.评标委员会将按下列评标内容和标准进行评分，总分值为100分。</w:t>
      </w:r>
      <w:r/>
    </w:p>
    <w:p>
      <w:pPr>
        <w:ind w:firstLine="482"/>
        <w:jc w:val="left"/>
        <w:spacing w:before="120" w:after="120" w:line="440" w:lineRule="exact"/>
        <w:rPr>
          <w:rFonts w:ascii="宋体" w:hAnsi="宋体" w:eastAsia="宋体" w:cs="宋体"/>
          <w:b/>
          <w:bCs/>
          <w:sz w:val="24"/>
          <w:szCs w:val="24"/>
        </w:rPr>
      </w:pPr>
      <w:r>
        <w:rPr>
          <w:rFonts w:hint="eastAsia" w:ascii="宋体" w:hAnsi="宋体" w:eastAsia="宋体" w:cs="宋体"/>
          <w:b/>
          <w:bCs/>
          <w:sz w:val="24"/>
          <w:szCs w:val="24"/>
        </w:rPr>
        <w:t xml:space="preserve">二、评标方法与评标标准</w:t>
      </w:r>
      <w:r/>
    </w:p>
    <w:tbl>
      <w:tblPr>
        <w:tblStyle w:val="705"/>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78"/>
        <w:gridCol w:w="731"/>
        <w:gridCol w:w="479"/>
        <w:gridCol w:w="4776"/>
        <w:gridCol w:w="903"/>
        <w:gridCol w:w="947"/>
      </w:tblGrid>
      <w:tr>
        <w:trP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类别</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评审因素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b/>
                <w:bCs/>
                <w:color w:val="000000"/>
                <w:sz w:val="22"/>
              </w:rPr>
            </w:pPr>
            <w:r>
              <w:rPr>
                <w:rFonts w:hint="eastAsia" w:ascii="宋体" w:hAnsi="宋体" w:cs="宋体"/>
                <w:b/>
                <w:bCs/>
                <w:color w:val="000000"/>
                <w:sz w:val="22"/>
              </w:rPr>
              <w:t xml:space="preserve">分值</w:t>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评审内容及标准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left"/>
              <w:spacing w:line="440" w:lineRule="exact"/>
              <w:widowControl/>
              <w:rPr>
                <w:rFonts w:ascii="宋体" w:hAnsi="宋体" w:cs="宋体"/>
                <w:b/>
                <w:bCs/>
                <w:color w:val="000000"/>
                <w:sz w:val="22"/>
              </w:rPr>
            </w:pPr>
            <w:r>
              <w:rPr>
                <w:rFonts w:ascii="宋体" w:hAnsi="宋体" w:cs="宋体"/>
                <w:b/>
                <w:bCs/>
                <w:color w:val="000000"/>
                <w:sz w:val="22"/>
              </w:rPr>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left"/>
              <w:spacing w:line="440" w:lineRule="exact"/>
              <w:widowControl/>
              <w:rPr>
                <w:rFonts w:ascii="宋体" w:hAnsi="宋体" w:cs="宋体"/>
                <w:b/>
                <w:bCs/>
                <w:color w:val="000000"/>
                <w:sz w:val="22"/>
              </w:rPr>
            </w:pPr>
            <w:r>
              <w:rPr>
                <w:rFonts w:ascii="宋体" w:hAnsi="宋体" w:cs="宋体"/>
                <w:b/>
                <w:bCs/>
                <w:color w:val="000000"/>
                <w:sz w:val="22"/>
              </w:rPr>
            </w:r>
            <w:r/>
          </w:p>
        </w:tc>
      </w:tr>
      <w:tr>
        <w:trP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一</w:t>
            </w:r>
            <w:r/>
          </w:p>
        </w:tc>
        <w:tc>
          <w:tcPr>
            <w:gridSpan w:val="3"/>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jc w:val="center"/>
              <w:spacing w:line="440" w:lineRule="exact"/>
              <w:widowControl/>
              <w:rPr>
                <w:rFonts w:ascii="宋体" w:hAnsi="宋体" w:cs="宋体"/>
                <w:b/>
                <w:bCs/>
                <w:color w:val="000000"/>
                <w:sz w:val="22"/>
              </w:rPr>
            </w:pPr>
            <w:r>
              <w:rPr>
                <w:rFonts w:hint="eastAsia" w:ascii="宋体" w:hAnsi="宋体" w:cs="宋体"/>
                <w:b/>
                <w:bCs/>
                <w:color w:val="000000"/>
                <w:sz w:val="22"/>
              </w:rPr>
              <w:t xml:space="preserve">投标报价部分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left"/>
              <w:spacing w:line="440" w:lineRule="exact"/>
              <w:widowControl/>
              <w:rPr>
                <w:rFonts w:ascii="宋体" w:hAnsi="宋体" w:cs="宋体"/>
                <w:b/>
                <w:bCs/>
                <w:color w:val="000000"/>
                <w:sz w:val="22"/>
              </w:rPr>
            </w:pPr>
            <w:r>
              <w:rPr>
                <w:rFonts w:ascii="宋体" w:hAnsi="宋体" w:cs="宋体"/>
                <w:b/>
                <w:bCs/>
                <w:color w:val="000000"/>
                <w:sz w:val="22"/>
              </w:rPr>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left"/>
              <w:spacing w:line="440" w:lineRule="exact"/>
              <w:widowControl/>
              <w:rPr>
                <w:rFonts w:ascii="宋体" w:hAnsi="宋体" w:cs="宋体"/>
                <w:b/>
                <w:bCs/>
                <w:color w:val="000000"/>
                <w:sz w:val="22"/>
              </w:rPr>
            </w:pPr>
            <w:r>
              <w:rPr>
                <w:rFonts w:ascii="宋体" w:hAnsi="宋体" w:cs="宋体"/>
                <w:b/>
                <w:bCs/>
                <w:color w:val="000000"/>
                <w:sz w:val="22"/>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价格部分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投标报价</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50</w:t>
            </w:r>
            <w:r/>
          </w:p>
        </w:tc>
        <w:tc>
          <w:tcPr>
            <w:tcBorders>
              <w:top w:val="none" w:color="000000"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采用低价优先法计算，即满足招标文件要求且投标价格最低的投标报价为评标基准价，其价格分为满分。其他投标人的价格分按照下列公式计算，投标报价得分=(评标基准价／投标报价)×50（结果小数点保留两位，第三位四舍五入）。</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rPr>
                <w:rFonts w:ascii="宋体" w:hAnsi="宋体" w:eastAsia="宋体" w:cs="宋体"/>
                <w:sz w:val="24"/>
                <w:szCs w:val="24"/>
              </w:rPr>
            </w:pPr>
            <w:r>
              <w:rPr>
                <w:rFonts w:hint="eastAsia" w:ascii="宋体" w:hAnsi="宋体" w:eastAsia="宋体" w:cs="宋体"/>
                <w:sz w:val="24"/>
                <w:szCs w:val="24"/>
              </w:rPr>
              <w:t xml:space="preserve">三</w:t>
            </w:r>
            <w:r/>
          </w:p>
        </w:tc>
        <w:tc>
          <w:tcPr>
            <w:gridSpan w:val="3"/>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商务部分</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是否暗标</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是否客观分</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设备性能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技术参数</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投标文件完全响应采购需求中所列各项设备技术性能的，得满分35分；标▲项为设备重要技术指标，若该技术指标出现负偏离，每个▲项扣2分；其它项若出现技术指标项负偏离，每项扣1分；以上扣分项，扣完为止。（要求提供证明材料的需按照要求提供并加盖投标人公章，否则按照负偏离计算得分。）</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履约能力</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项目团队人员</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2</w:t>
            </w:r>
            <w:r/>
          </w:p>
        </w:tc>
        <w:tc>
          <w:tcPr>
            <w:tcBorders>
              <w:top w:val="single" w:color="auto" w:sz="4" w:space="0"/>
              <w:left w:val="single" w:color="auto"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（1）项目负责人（1人）：投标人拟投入本项目的项目负责人具备人力资源和社会保障部门颁布信息类高级工程师职称得0.5分，此外还具备系统集成项目管理工程师（该证书指通过国家人力资源和社会保障</w:t>
            </w:r>
            <w:r>
              <w:rPr>
                <w:rFonts w:ascii="Arial" w:hAnsi="Arial" w:cs="Arial"/>
                <w:sz w:val="22"/>
                <w:szCs w:val="20"/>
                <w:shd w:val="clear" w:color="auto" w:fill="ffffff"/>
              </w:rPr>
              <w:t xml:space="preserve">部、工业和信息化部</w:t>
            </w:r>
            <w:r>
              <w:rPr>
                <w:rFonts w:hint="eastAsia" w:ascii="Arial" w:hAnsi="Arial" w:cs="Arial"/>
                <w:sz w:val="22"/>
                <w:szCs w:val="20"/>
                <w:shd w:val="clear" w:color="auto" w:fill="ffffff"/>
              </w:rPr>
              <w:t xml:space="preserve">组织的</w:t>
            </w:r>
            <w:r>
              <w:rPr>
                <w:rFonts w:ascii="Arial" w:hAnsi="Arial" w:cs="Arial"/>
                <w:sz w:val="22"/>
                <w:szCs w:val="20"/>
                <w:shd w:val="clear" w:color="auto" w:fill="ffffff"/>
              </w:rPr>
              <w:t xml:space="preserve">计算机技术与软件专业技术资格（水平）考试</w:t>
            </w:r>
            <w:r>
              <w:rPr>
                <w:rFonts w:hint="eastAsia" w:ascii="Arial" w:hAnsi="Arial" w:cs="Arial"/>
                <w:sz w:val="22"/>
                <w:szCs w:val="20"/>
                <w:shd w:val="clear" w:color="auto" w:fill="ffffff"/>
              </w:rPr>
              <w:t xml:space="preserve">取得的证书</w:t>
            </w:r>
            <w:r>
              <w:rPr>
                <w:rFonts w:hint="eastAsia" w:ascii="宋体" w:hAnsi="宋体" w:cs="宋体"/>
                <w:color w:val="000000"/>
                <w:sz w:val="22"/>
              </w:rPr>
              <w:t xml:space="preserve">）得0.5分，本项目最高1分，不提供不得分。</w:t>
            </w:r>
            <w:r/>
          </w:p>
        </w:tc>
        <w:tc>
          <w:tcPr>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2）项目技术负责人（1人）：投标人拟投入本项目技术负责人（与项目负责人不可设置同一人）具备信息系统项目管理师（高级）得0.25分，此外还具备系统规划与管理师（高级）得0.25分，本项最高得0.5分，不提供不得分。</w:t>
            </w:r>
            <w:r/>
          </w:p>
          <w:p>
            <w:pPr>
              <w:jc w:val="left"/>
              <w:spacing w:line="440" w:lineRule="exact"/>
              <w:widowControl/>
              <w:rPr>
                <w:rFonts w:ascii="宋体" w:hAnsi="宋体" w:cs="宋体"/>
                <w:color w:val="000000"/>
                <w:sz w:val="22"/>
              </w:rPr>
            </w:pPr>
            <w:r>
              <w:rPr>
                <w:rFonts w:hint="eastAsia" w:ascii="宋体" w:hAnsi="宋体" w:cs="宋体"/>
                <w:sz w:val="22"/>
              </w:rPr>
              <w:t xml:space="preserve">（以上两个证书是指通过</w:t>
            </w:r>
            <w:r>
              <w:rPr>
                <w:rFonts w:ascii="Arial" w:hAnsi="Arial" w:cs="Arial"/>
                <w:sz w:val="20"/>
                <w:szCs w:val="20"/>
                <w:shd w:val="clear" w:color="auto" w:fill="ffffff"/>
              </w:rPr>
              <w:t xml:space="preserve">国家</w:t>
            </w:r>
            <w:r>
              <w:rPr>
                <w:rFonts w:ascii="Arial" w:hAnsi="Arial" w:cs="Arial"/>
                <w:sz w:val="22"/>
                <w:szCs w:val="20"/>
                <w:shd w:val="clear" w:color="auto" w:fill="ffffff"/>
              </w:rPr>
              <w:t xml:space="preserve">人力资源和社会保障部、工业和信息化部</w:t>
            </w:r>
            <w:r>
              <w:rPr>
                <w:rFonts w:hint="eastAsia" w:ascii="Arial" w:hAnsi="Arial" w:cs="Arial"/>
                <w:sz w:val="22"/>
                <w:szCs w:val="20"/>
                <w:shd w:val="clear" w:color="auto" w:fill="ffffff"/>
              </w:rPr>
              <w:t xml:space="preserve">组织的</w:t>
            </w:r>
            <w:r>
              <w:rPr>
                <w:rFonts w:ascii="Arial" w:hAnsi="Arial" w:cs="Arial"/>
                <w:sz w:val="22"/>
                <w:szCs w:val="20"/>
                <w:shd w:val="clear" w:color="auto" w:fill="ffffff"/>
              </w:rPr>
              <w:t xml:space="preserve">计算机技术与软件专业技术资格（水平）考试</w:t>
            </w:r>
            <w:r>
              <w:rPr>
                <w:rFonts w:hint="eastAsia" w:ascii="Arial" w:hAnsi="Arial" w:cs="Arial"/>
                <w:sz w:val="22"/>
                <w:szCs w:val="20"/>
                <w:shd w:val="clear" w:color="auto" w:fill="ffffff"/>
              </w:rPr>
              <w:t xml:space="preserve">取得的证书）</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Arial" w:hAnsi="Arial" w:cs="Arial"/>
                <w:sz w:val="20"/>
                <w:szCs w:val="20"/>
                <w:shd w:val="clear" w:color="auto" w:fill="ffffff"/>
              </w:rPr>
            </w:pPr>
            <w:r>
              <w:rPr>
                <w:rFonts w:hint="eastAsia" w:ascii="宋体" w:hAnsi="宋体" w:cs="宋体"/>
                <w:color w:val="000000"/>
                <w:sz w:val="22"/>
              </w:rPr>
              <w:t xml:space="preserve">（3）项目团队成员（不含项目负责人和技术负责人）具备信息安全保障能力和经验，项目团队成员具备系统集成项目管理工程师、网络工程师的，每有一个得0.25分，最高得0.5分，不提供不得分。</w:t>
            </w:r>
            <w:r/>
          </w:p>
          <w:p>
            <w:pPr>
              <w:jc w:val="left"/>
              <w:spacing w:line="440" w:lineRule="exact"/>
              <w:widowControl/>
              <w:rPr>
                <w:rFonts w:ascii="宋体" w:hAnsi="宋体" w:cs="宋体"/>
                <w:color w:val="000000"/>
                <w:sz w:val="22"/>
              </w:rPr>
            </w:pPr>
            <w:r>
              <w:rPr>
                <w:rFonts w:hint="eastAsia" w:ascii="宋体" w:hAnsi="宋体" w:cs="宋体"/>
                <w:sz w:val="22"/>
              </w:rPr>
              <w:t xml:space="preserve">（以上证书是指通过</w:t>
            </w:r>
            <w:r>
              <w:rPr>
                <w:rFonts w:ascii="Arial" w:hAnsi="Arial" w:cs="Arial"/>
                <w:sz w:val="22"/>
                <w:szCs w:val="20"/>
                <w:shd w:val="clear" w:color="auto" w:fill="ffffff"/>
              </w:rPr>
              <w:t xml:space="preserve">国家人力资源和社会保障部、工业和信息化部</w:t>
            </w:r>
            <w:r>
              <w:rPr>
                <w:rFonts w:hint="eastAsia" w:ascii="Arial" w:hAnsi="Arial" w:cs="Arial"/>
                <w:sz w:val="22"/>
                <w:szCs w:val="20"/>
                <w:shd w:val="clear" w:color="auto" w:fill="ffffff"/>
              </w:rPr>
              <w:t xml:space="preserve">组织的</w:t>
            </w:r>
            <w:r>
              <w:rPr>
                <w:rFonts w:ascii="Arial" w:hAnsi="Arial" w:cs="Arial"/>
                <w:sz w:val="22"/>
                <w:szCs w:val="20"/>
                <w:shd w:val="clear" w:color="auto" w:fill="ffffff"/>
              </w:rPr>
              <w:t xml:space="preserve">计算机技术与软件专业技术资格（水平）考试</w:t>
            </w:r>
            <w:r>
              <w:rPr>
                <w:rFonts w:hint="eastAsia" w:ascii="Arial" w:hAnsi="Arial" w:cs="Arial"/>
                <w:sz w:val="22"/>
                <w:szCs w:val="20"/>
                <w:shd w:val="clear" w:color="auto" w:fill="ffffff"/>
              </w:rPr>
              <w:t xml:space="preserve">取得的证书）</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r>
      <w:tr>
        <w:trPr>
          <w:trHeight w:val="2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注：须提供相关证书复印件以及投标单位近三个月中任意一个月为相关人员缴纳社保的证明材料，不按要求提供不得分。</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b/>
                <w:bCs/>
                <w:color w:val="000000"/>
                <w:sz w:val="22"/>
              </w:rPr>
            </w:pPr>
            <w:r>
              <w:rPr>
                <w:rFonts w:ascii="宋体" w:hAnsi="宋体" w:cs="宋体"/>
                <w:b/>
                <w:bCs/>
                <w:color w:val="000000"/>
                <w:sz w:val="22"/>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企业资质</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1</w:t>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（1）供应商具有有效期内质量管理体系、职业健康安全管理体系、信息安全管理体系、信息技术服务管理体系等相关证书，每具有一个证书得0.25分，满分1分。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r>
      <w:tr>
        <w:trPr>
          <w:trHeight w:val="2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注：提供相应证书复印件加盖公章，不按要求提供不得分。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b/>
                <w:bCs/>
                <w:color w:val="000000"/>
                <w:sz w:val="22"/>
              </w:rPr>
            </w:pPr>
            <w:r>
              <w:rPr>
                <w:rFonts w:ascii="宋体" w:hAnsi="宋体" w:cs="宋体"/>
                <w:b/>
                <w:bCs/>
                <w:color w:val="000000"/>
                <w:sz w:val="22"/>
              </w:rPr>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b/>
                <w:bCs/>
                <w:color w:val="000000"/>
                <w:sz w:val="22"/>
              </w:rPr>
            </w:pPr>
            <w:r>
              <w:rPr>
                <w:rFonts w:ascii="宋体" w:hAnsi="宋体" w:cs="宋体"/>
                <w:b/>
                <w:bCs/>
                <w:color w:val="000000"/>
                <w:sz w:val="22"/>
              </w:rPr>
            </w:r>
            <w:r/>
          </w:p>
        </w:tc>
      </w:tr>
      <w:tr>
        <w:trP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rPr>
                <w:rFonts w:ascii="宋体" w:hAnsi="宋体" w:eastAsia="宋体" w:cs="宋体"/>
                <w:sz w:val="24"/>
                <w:szCs w:val="24"/>
              </w:rPr>
            </w:pPr>
            <w:r>
              <w:rPr>
                <w:rFonts w:hint="eastAsia" w:ascii="宋体" w:hAnsi="宋体" w:eastAsia="宋体" w:cs="宋体"/>
                <w:sz w:val="24"/>
                <w:szCs w:val="24"/>
              </w:rPr>
              <w:t xml:space="preserve">三</w:t>
            </w:r>
            <w:r/>
          </w:p>
        </w:tc>
        <w:tc>
          <w:tcPr>
            <w:gridSpan w:val="3"/>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技术部分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是否暗标</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是否客观分</w:t>
            </w:r>
            <w:r/>
          </w:p>
        </w:tc>
      </w:tr>
      <w:tr>
        <w:trPr>
          <w:trHeight w:val="162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技术部分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总体方案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4</w:t>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1.投标方案需包括总体设计、建设方案等内容，详细阐述项目的体系架构、功能模块、实现思路和关键技术，以及对功能设计和实施计划的建议；方案内容需对建设需求进行详细描述，系统功能描述清晰且符合用户需求。</w:t>
            </w:r>
            <w:r>
              <w:rPr>
                <w:rFonts w:hint="eastAsia" w:ascii="宋体" w:hAnsi="宋体" w:cs="宋体"/>
                <w:color w:val="000000"/>
                <w:sz w:val="22"/>
              </w:rPr>
              <w:br/>
            </w:r>
            <w:r>
              <w:rPr>
                <w:rFonts w:hint="eastAsia" w:ascii="宋体" w:hAnsi="宋体" w:cs="宋体"/>
                <w:color w:val="000000"/>
                <w:sz w:val="22"/>
              </w:rPr>
              <w:t xml:space="preserve">方案对本项目建设需求理解透彻，架构设计合理，技术路线清晰，各系统衔接顺畅，方案设计完全满足建设需求的，得4分；</w:t>
            </w:r>
            <w:r>
              <w:rPr>
                <w:rFonts w:hint="eastAsia" w:ascii="宋体" w:hAnsi="宋体" w:cs="宋体"/>
                <w:color w:val="000000"/>
                <w:sz w:val="22"/>
              </w:rPr>
              <w:br/>
            </w:r>
            <w:r>
              <w:rPr>
                <w:rFonts w:hint="eastAsia" w:ascii="宋体" w:hAnsi="宋体" w:cs="宋体"/>
                <w:color w:val="000000"/>
                <w:sz w:val="22"/>
              </w:rPr>
              <w:t xml:space="preserve">方案基本满足项目需求，建设需求理解较明确，方案设计较完整，较好满足需求的，得2分；</w:t>
            </w:r>
            <w:r>
              <w:rPr>
                <w:rFonts w:hint="eastAsia" w:ascii="宋体" w:hAnsi="宋体" w:cs="宋体"/>
                <w:color w:val="000000"/>
                <w:sz w:val="22"/>
              </w:rPr>
              <w:br/>
            </w:r>
            <w:r>
              <w:rPr>
                <w:rFonts w:hint="eastAsia" w:ascii="宋体" w:hAnsi="宋体" w:cs="宋体"/>
                <w:color w:val="000000"/>
                <w:sz w:val="22"/>
              </w:rPr>
              <w:t xml:space="preserve">建设需求理解一般，方案设计一般，与本项目实际需求存在脱节情形的，得1分；</w:t>
            </w:r>
            <w:r>
              <w:rPr>
                <w:rFonts w:hint="eastAsia" w:ascii="宋体" w:hAnsi="宋体" w:cs="宋体"/>
                <w:color w:val="000000"/>
                <w:sz w:val="22"/>
              </w:rPr>
              <w:br/>
            </w:r>
            <w:r>
              <w:rPr>
                <w:rFonts w:hint="eastAsia" w:ascii="宋体" w:hAnsi="宋体" w:cs="宋体"/>
                <w:color w:val="000000"/>
                <w:sz w:val="22"/>
              </w:rPr>
              <w:t xml:space="preserve">建设方案欠缺过多或未提供建设方案不得分。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r>
      <w:tr>
        <w:trPr>
          <w:trHeight w:val="16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重要场所设计方案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4</w:t>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投标人需对本次项目涉及的重要场所（包含大案要案法庭、观摩室（大法庭）以及综合指挥中心），提供针对性设计方案，包含设计思路、建设内容、系统亮点、平面布局等。</w:t>
            </w:r>
            <w:r>
              <w:rPr>
                <w:rFonts w:hint="eastAsia" w:ascii="宋体" w:hAnsi="宋体" w:cs="宋体"/>
                <w:color w:val="000000"/>
                <w:sz w:val="22"/>
              </w:rPr>
              <w:br/>
            </w:r>
            <w:r>
              <w:rPr>
                <w:rFonts w:hint="eastAsia" w:ascii="宋体" w:hAnsi="宋体" w:cs="宋体"/>
                <w:color w:val="000000"/>
                <w:sz w:val="22"/>
              </w:rPr>
              <w:t xml:space="preserve">方案科学合理，设计完全满足功能需求、内容完全符合要求的，得4分；</w:t>
            </w:r>
            <w:r>
              <w:rPr>
                <w:rFonts w:hint="eastAsia" w:ascii="宋体" w:hAnsi="宋体" w:cs="宋体"/>
                <w:color w:val="000000"/>
                <w:sz w:val="22"/>
              </w:rPr>
              <w:br/>
            </w:r>
            <w:r>
              <w:rPr>
                <w:rFonts w:hint="eastAsia" w:ascii="宋体" w:hAnsi="宋体" w:cs="宋体"/>
                <w:color w:val="000000"/>
                <w:sz w:val="22"/>
              </w:rPr>
              <w:t xml:space="preserve">方案较为科学合理，设计基本满足功能需求、构造做法基本可行、方案内容基本符合要求的，得2分；</w:t>
            </w:r>
            <w:r>
              <w:rPr>
                <w:rFonts w:hint="eastAsia" w:ascii="宋体" w:hAnsi="宋体" w:cs="宋体"/>
                <w:color w:val="000000"/>
                <w:sz w:val="22"/>
              </w:rPr>
              <w:br/>
            </w:r>
            <w:r>
              <w:rPr>
                <w:rFonts w:hint="eastAsia" w:ascii="宋体" w:hAnsi="宋体" w:cs="宋体"/>
                <w:color w:val="000000"/>
                <w:sz w:val="22"/>
              </w:rPr>
              <w:t xml:space="preserve">方案科学合理性一般，设计功能需求一般、构造做法一般、内容一般的，得1分；</w:t>
            </w:r>
            <w:r>
              <w:rPr>
                <w:rFonts w:hint="eastAsia" w:ascii="宋体" w:hAnsi="宋体" w:cs="宋体"/>
                <w:color w:val="000000"/>
                <w:sz w:val="22"/>
              </w:rPr>
              <w:br/>
            </w:r>
            <w:r>
              <w:rPr>
                <w:rFonts w:hint="eastAsia" w:ascii="宋体" w:hAnsi="宋体" w:cs="宋体"/>
                <w:color w:val="000000"/>
                <w:sz w:val="22"/>
              </w:rPr>
              <w:t xml:space="preserve">方案科学合理性差，内容不符合要求的，不得分。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r>
      <w:tr>
        <w:trPr>
          <w:trHeight w:val="16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实施方案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2</w:t>
            </w:r>
            <w:r/>
          </w:p>
        </w:tc>
        <w:tc>
          <w:tcPr>
            <w:tcBorders>
              <w:top w:val="single" w:color="auto" w:sz="4" w:space="0"/>
              <w:left w:val="none" w:color="000000" w:sz="4" w:space="0"/>
              <w:bottom w:val="single" w:color="auto" w:sz="4" w:space="0"/>
              <w:right w:val="single" w:color="auto" w:sz="4" w:space="0"/>
            </w:tcBorders>
            <w:tcW w:w="4776" w:type="dxa"/>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投标人根据项目采购需求，提出有针对性的实施方案，包括但不限于进度计划、人员配置、项目管理、质量保证、项目验收、培训计划等内容。</w:t>
            </w:r>
            <w:r>
              <w:rPr>
                <w:rFonts w:hint="eastAsia" w:ascii="宋体" w:hAnsi="宋体" w:cs="宋体"/>
                <w:color w:val="000000"/>
                <w:sz w:val="22"/>
              </w:rPr>
              <w:br/>
            </w:r>
            <w:r>
              <w:rPr>
                <w:rFonts w:hint="eastAsia" w:ascii="宋体" w:hAnsi="宋体" w:cs="宋体"/>
                <w:color w:val="000000"/>
                <w:sz w:val="22"/>
              </w:rPr>
              <w:t xml:space="preserve">项目实施方案科学合理 、计划日程紧凑、组织有序，能高效推进项目实施的得2分；</w:t>
            </w:r>
            <w:r>
              <w:rPr>
                <w:rFonts w:hint="eastAsia" w:ascii="宋体" w:hAnsi="宋体" w:cs="宋体"/>
                <w:color w:val="000000"/>
                <w:sz w:val="22"/>
              </w:rPr>
              <w:br/>
            </w:r>
            <w:r>
              <w:rPr>
                <w:rFonts w:hint="eastAsia" w:ascii="宋体" w:hAnsi="宋体" w:cs="宋体"/>
                <w:color w:val="000000"/>
                <w:sz w:val="22"/>
              </w:rPr>
              <w:t xml:space="preserve">项目实施方案较为科学合理、组织较为有序，基本能保证项目正常实施的得1分；</w:t>
            </w:r>
            <w:r>
              <w:rPr>
                <w:rFonts w:hint="eastAsia" w:ascii="宋体" w:hAnsi="宋体" w:cs="宋体"/>
                <w:color w:val="000000"/>
                <w:sz w:val="22"/>
              </w:rPr>
              <w:br/>
            </w:r>
            <w:r>
              <w:rPr>
                <w:rFonts w:hint="eastAsia" w:ascii="宋体" w:hAnsi="宋体" w:cs="宋体"/>
                <w:color w:val="000000"/>
                <w:sz w:val="22"/>
              </w:rPr>
              <w:t xml:space="preserve">项目实施方案科学性合理性和组织性等一般的得0.</w:t>
            </w:r>
            <w:r>
              <w:rPr>
                <w:rFonts w:ascii="宋体" w:hAnsi="宋体" w:cs="宋体"/>
                <w:color w:val="000000"/>
                <w:sz w:val="22"/>
              </w:rPr>
              <w:t xml:space="preserve">5</w:t>
            </w:r>
            <w:r>
              <w:rPr>
                <w:rFonts w:hint="eastAsia" w:ascii="宋体" w:hAnsi="宋体" w:cs="宋体"/>
                <w:color w:val="000000"/>
                <w:sz w:val="22"/>
              </w:rPr>
              <w:t xml:space="preserve">分； </w:t>
            </w:r>
            <w:r>
              <w:rPr>
                <w:rFonts w:hint="eastAsia" w:ascii="宋体" w:hAnsi="宋体" w:cs="宋体"/>
                <w:color w:val="000000"/>
                <w:sz w:val="22"/>
              </w:rPr>
              <w:br/>
            </w:r>
            <w:r>
              <w:rPr>
                <w:rFonts w:hint="eastAsia" w:ascii="宋体" w:hAnsi="宋体" w:cs="宋体"/>
                <w:color w:val="000000"/>
                <w:sz w:val="22"/>
              </w:rPr>
              <w:t xml:space="preserve">实施方案欠缺较多或未提供实施方案的不得分。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r>
      <w:tr>
        <w:trPr>
          <w:trHeight w:val="18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运维方案</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2</w:t>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投标人根据项目需求，提供运维方案，包括但不限于：日常运维方案、大案要案审理期间运维方案等，对运维方案的合理性和可行性情况进行打分。</w:t>
            </w:r>
            <w:r>
              <w:rPr>
                <w:rFonts w:hint="eastAsia" w:ascii="宋体" w:hAnsi="宋体" w:cs="宋体"/>
                <w:color w:val="000000"/>
                <w:sz w:val="22"/>
              </w:rPr>
              <w:br/>
            </w:r>
            <w:r>
              <w:rPr>
                <w:rFonts w:hint="eastAsia" w:ascii="宋体" w:hAnsi="宋体" w:cs="宋体"/>
                <w:color w:val="000000"/>
                <w:sz w:val="22"/>
              </w:rPr>
              <w:t xml:space="preserve">方案内容完整清晰，针对性很强，能充分指导后续项目运维的得</w:t>
            </w:r>
            <w:r>
              <w:rPr>
                <w:rFonts w:ascii="宋体" w:hAnsi="宋体" w:cs="宋体"/>
                <w:color w:val="000000"/>
                <w:sz w:val="22"/>
              </w:rPr>
              <w:t xml:space="preserve">2</w:t>
            </w:r>
            <w:r>
              <w:rPr>
                <w:rFonts w:hint="eastAsia" w:ascii="宋体" w:hAnsi="宋体" w:cs="宋体"/>
                <w:color w:val="000000"/>
                <w:sz w:val="22"/>
              </w:rPr>
              <w:t xml:space="preserve">分；</w:t>
            </w:r>
            <w:r>
              <w:rPr>
                <w:rFonts w:hint="eastAsia" w:ascii="宋体" w:hAnsi="宋体" w:cs="宋体"/>
                <w:color w:val="000000"/>
                <w:sz w:val="22"/>
              </w:rPr>
              <w:br/>
            </w:r>
            <w:r>
              <w:rPr>
                <w:rFonts w:hint="eastAsia" w:ascii="宋体" w:hAnsi="宋体" w:cs="宋体"/>
                <w:color w:val="000000"/>
                <w:sz w:val="22"/>
              </w:rPr>
              <w:t xml:space="preserve">方案较为完整，针对性较强，基本能指导项目运维的得</w:t>
            </w:r>
            <w:r>
              <w:rPr>
                <w:rFonts w:ascii="宋体" w:hAnsi="宋体" w:cs="宋体"/>
                <w:color w:val="000000"/>
                <w:sz w:val="22"/>
              </w:rPr>
              <w:t xml:space="preserve">1</w:t>
            </w:r>
            <w:r>
              <w:rPr>
                <w:rFonts w:hint="eastAsia" w:ascii="宋体" w:hAnsi="宋体" w:cs="宋体"/>
                <w:color w:val="000000"/>
                <w:sz w:val="22"/>
              </w:rPr>
              <w:t xml:space="preserve">分；</w:t>
            </w:r>
            <w:r>
              <w:rPr>
                <w:rFonts w:hint="eastAsia" w:ascii="宋体" w:hAnsi="宋体" w:cs="宋体"/>
                <w:color w:val="000000"/>
                <w:sz w:val="22"/>
              </w:rPr>
              <w:br/>
            </w:r>
            <w:r>
              <w:rPr>
                <w:rFonts w:hint="eastAsia" w:ascii="宋体" w:hAnsi="宋体" w:cs="宋体"/>
                <w:color w:val="000000"/>
                <w:sz w:val="22"/>
              </w:rPr>
              <w:t xml:space="preserve">方案基本完整，针对性一般的得</w:t>
            </w:r>
            <w:r>
              <w:rPr>
                <w:rFonts w:ascii="宋体" w:hAnsi="宋体" w:cs="宋体"/>
                <w:color w:val="000000"/>
                <w:sz w:val="22"/>
              </w:rPr>
              <w:t xml:space="preserve">0.5</w:t>
            </w:r>
            <w:r>
              <w:rPr>
                <w:rFonts w:hint="eastAsia" w:ascii="宋体" w:hAnsi="宋体" w:cs="宋体"/>
                <w:color w:val="000000"/>
                <w:sz w:val="22"/>
              </w:rPr>
              <w:t xml:space="preserve">分；</w:t>
            </w:r>
            <w:r>
              <w:rPr>
                <w:rFonts w:hint="eastAsia" w:ascii="宋体" w:hAnsi="宋体" w:cs="宋体"/>
                <w:color w:val="000000"/>
                <w:sz w:val="22"/>
              </w:rPr>
              <w:br/>
            </w:r>
            <w:r>
              <w:rPr>
                <w:rFonts w:hint="eastAsia" w:ascii="宋体" w:hAnsi="宋体" w:cs="宋体"/>
                <w:color w:val="000000"/>
                <w:sz w:val="22"/>
              </w:rPr>
              <w:t xml:space="preserve">运维方案欠缺较多，或未提运维方案的不得分。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r>
    </w:tbl>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说明：</w:t>
      </w:r>
      <w:r/>
    </w:p>
    <w:p>
      <w:pPr>
        <w:ind w:firstLine="480"/>
        <w:spacing w:line="440" w:lineRule="exact"/>
        <w:widowControl/>
        <w:rPr>
          <w:rFonts w:ascii="宋体" w:hAnsi="宋体" w:eastAsia="宋体" w:cs="宋体"/>
          <w:sz w:val="24"/>
          <w:szCs w:val="24"/>
        </w:rPr>
      </w:pPr>
      <w:r>
        <w:rPr>
          <w:rFonts w:hint="eastAsia" w:ascii="宋体" w:hAnsi="宋体" w:eastAsia="宋体" w:cs="宋体"/>
          <w:sz w:val="24"/>
          <w:szCs w:val="24"/>
        </w:rPr>
        <w:t xml:space="preserve">1.以上评分标准中评分的每一条，各投标人均应提供相关的资料，且必须清晰完整。</w:t>
      </w:r>
      <w:r/>
    </w:p>
    <w:p>
      <w:pPr>
        <w:ind w:firstLine="480"/>
        <w:spacing w:line="440" w:lineRule="exact"/>
        <w:widowControl/>
        <w:rPr>
          <w:rFonts w:ascii="宋体" w:hAnsi="宋体" w:eastAsia="宋体" w:cs="宋体"/>
          <w:sz w:val="24"/>
          <w:szCs w:val="24"/>
        </w:rPr>
      </w:pPr>
      <w:r>
        <w:rPr>
          <w:rFonts w:hint="eastAsia" w:ascii="宋体" w:hAnsi="宋体" w:eastAsia="宋体" w:cs="宋体"/>
          <w:sz w:val="24"/>
          <w:szCs w:val="24"/>
        </w:rPr>
        <w:t xml:space="preserve">2. 投标人如有提供不实评审材料、弄虚作假，一律作无效响应处理，该不良行为予以公示。</w:t>
      </w:r>
      <w:r/>
    </w:p>
    <w:p>
      <w:pPr>
        <w:spacing w:line="440" w:lineRule="exact"/>
        <w:widowControl/>
        <w:rPr>
          <w:b/>
          <w:bCs/>
          <w:sz w:val="24"/>
          <w:szCs w:val="20"/>
          <w:lang w:val="zh-CN"/>
        </w:rPr>
      </w:pPr>
      <w:r>
        <w:rPr>
          <w:rFonts w:hint="eastAsia"/>
          <w:b/>
          <w:bCs/>
          <w:sz w:val="24"/>
          <w:szCs w:val="20"/>
          <w:lang w:val="zh-CN"/>
        </w:rPr>
        <w:t xml:space="preserve">注：本项目服务方案部分为“暗标”，不</w:t>
      </w:r>
      <w:r>
        <w:rPr>
          <w:rFonts w:hint="eastAsia"/>
          <w:b/>
          <w:bCs/>
          <w:sz w:val="24"/>
          <w:szCs w:val="20"/>
          <w:lang w:val="zh-CN"/>
        </w:rPr>
        <w:t xml:space="preserve">得编制页眉以及目录，A4纵向幅面，页码用阿拉伯数字连续编写，置于页面右下角，方案及页码字体大小均采用黑色四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sz w:val="24"/>
          <w:szCs w:val="20"/>
          <w:lang w:val="en-US" w:eastAsia="zh-CN"/>
        </w:rPr>
        <w:t xml:space="preserve">300</w:t>
      </w:r>
      <w:r>
        <w:rPr>
          <w:rFonts w:hint="eastAsia"/>
          <w:b/>
          <w:bCs/>
          <w:sz w:val="24"/>
          <w:szCs w:val="20"/>
          <w:lang w:val="zh-CN"/>
        </w:rPr>
        <w:t xml:space="preserve">页，违反上述内容的</w:t>
      </w:r>
      <w:r>
        <w:rPr>
          <w:rFonts w:hint="eastAsia"/>
          <w:b/>
          <w:bCs/>
          <w:sz w:val="24"/>
          <w:szCs w:val="20"/>
        </w:rPr>
        <w:t xml:space="preserve">整个服务方案（暗标部分）不得分</w:t>
      </w:r>
      <w:r>
        <w:rPr>
          <w:rFonts w:hint="eastAsia"/>
          <w:b/>
          <w:bCs/>
          <w:sz w:val="24"/>
          <w:szCs w:val="20"/>
          <w:lang w:val="zh-CN"/>
        </w:rPr>
        <w:t xml:space="preserve">。</w:t>
      </w:r>
      <w:r/>
    </w:p>
    <w:p>
      <w:pPr>
        <w:ind w:firstLine="480"/>
        <w:spacing w:line="440" w:lineRule="exact"/>
        <w:widowControl/>
        <w:rPr>
          <w:b/>
          <w:bCs/>
          <w:sz w:val="24"/>
          <w:szCs w:val="20"/>
          <w:lang w:val="zh-CN"/>
        </w:rPr>
      </w:pPr>
      <w:r>
        <w:rPr>
          <w:rFonts w:hint="eastAsia"/>
          <w:b/>
          <w:bCs/>
          <w:sz w:val="24"/>
          <w:szCs w:val="20"/>
          <w:lang w:val="zh-CN"/>
        </w:rPr>
        <w:t xml:space="preserve">上传的“</w:t>
      </w:r>
      <w:r>
        <w:rPr>
          <w:rFonts w:hint="eastAsia"/>
          <w:b/>
          <w:bCs/>
          <w:sz w:val="24"/>
          <w:szCs w:val="20"/>
        </w:rPr>
        <w:t xml:space="preserve">非暗标</w:t>
      </w:r>
      <w:r>
        <w:rPr>
          <w:rFonts w:hint="eastAsia"/>
          <w:b/>
          <w:bCs/>
          <w:sz w:val="24"/>
          <w:szCs w:val="20"/>
          <w:lang w:val="zh-CN"/>
        </w:rPr>
        <w:t xml:space="preserve">”</w:t>
      </w:r>
      <w:r>
        <w:rPr>
          <w:rFonts w:hint="eastAsia"/>
          <w:b/>
          <w:bCs/>
          <w:sz w:val="24"/>
          <w:szCs w:val="20"/>
        </w:rPr>
        <w:t xml:space="preserve">部分的</w:t>
      </w:r>
      <w:r>
        <w:rPr>
          <w:rFonts w:hint="eastAsia"/>
          <w:b/>
          <w:bCs/>
          <w:sz w:val="24"/>
          <w:szCs w:val="20"/>
          <w:lang w:val="zh-CN"/>
        </w:rPr>
        <w:t xml:space="preserve">材料中不得出现与服务方案相关的内容，否则</w:t>
      </w:r>
      <w:r>
        <w:rPr>
          <w:rFonts w:hint="eastAsia"/>
          <w:b/>
          <w:bCs/>
          <w:sz w:val="24"/>
          <w:szCs w:val="20"/>
        </w:rPr>
        <w:t xml:space="preserve">整个服务方案（暗标部分）不得分</w:t>
      </w:r>
      <w:r>
        <w:rPr>
          <w:rFonts w:hint="eastAsia"/>
          <w:b/>
          <w:bCs/>
          <w:sz w:val="24"/>
          <w:szCs w:val="20"/>
          <w:lang w:val="zh-CN"/>
        </w:rPr>
        <w:t xml:space="preserve">。</w:t>
      </w:r>
      <w:r/>
    </w:p>
    <w:p>
      <w:pPr>
        <w:ind w:firstLine="482"/>
        <w:spacing w:line="440" w:lineRule="exact"/>
        <w:widowControl/>
        <w:rPr>
          <w:rFonts w:ascii="宋体" w:hAnsi="宋体" w:eastAsia="宋体"/>
          <w:b/>
          <w:sz w:val="24"/>
          <w:szCs w:val="24"/>
        </w:rPr>
      </w:pPr>
      <w:r>
        <w:rPr>
          <w:rFonts w:hint="eastAsia" w:ascii="宋体" w:hAnsi="宋体" w:eastAsia="宋体"/>
          <w:b/>
          <w:sz w:val="24"/>
          <w:szCs w:val="24"/>
        </w:rPr>
        <w:t xml:space="preserve">三、本办法未尽事宜，由评委会依据有关法规研究解决。</w:t>
      </w:r>
      <w:r/>
    </w:p>
    <w:p>
      <w:pPr>
        <w:spacing w:line="440" w:lineRule="exact"/>
        <w:rPr>
          <w:rFonts w:ascii="宋体" w:hAnsi="宋体" w:eastAsia="宋体" w:cs="宋体"/>
          <w:sz w:val="44"/>
          <w:szCs w:val="44"/>
        </w:rPr>
      </w:pPr>
      <w:r>
        <w:rPr>
          <w:rFonts w:hint="eastAsia" w:ascii="宋体" w:hAnsi="宋体" w:eastAsia="宋体" w:cs="宋体"/>
          <w:sz w:val="44"/>
          <w:szCs w:val="44"/>
        </w:rPr>
        <w:br w:type="page" w:clear="all"/>
      </w:r>
      <w:bookmarkEnd w:id="191"/>
      <w:r/>
      <w:r/>
    </w:p>
    <w:p>
      <w:pPr>
        <w:jc w:val="center"/>
        <w:keepNext/>
        <w:rPr>
          <w:rFonts w:ascii="黑体" w:hAnsi="黑体" w:eastAsia="黑体" w:cs="宋体"/>
          <w:sz w:val="44"/>
          <w:szCs w:val="44"/>
        </w:rPr>
      </w:pPr>
      <w:r/>
      <w:bookmarkStart w:id="193" w:name="_格式2__法定代表人授权书"/>
      <w:r>
        <w:rPr>
          <w:rFonts w:hint="eastAsia" w:ascii="黑体" w:hAnsi="黑体" w:eastAsia="黑体" w:cs="宋体"/>
          <w:sz w:val="44"/>
          <w:szCs w:val="44"/>
        </w:rPr>
        <w:t xml:space="preserve">第六章</w:t>
      </w:r>
      <w:r>
        <w:rPr>
          <w:rFonts w:ascii="Calibri" w:hAnsi="Calibri" w:eastAsia="黑体" w:cs="Calibri"/>
          <w:sz w:val="44"/>
          <w:szCs w:val="44"/>
        </w:rPr>
        <w:t xml:space="preserve"> </w:t>
      </w:r>
      <w:r>
        <w:rPr>
          <w:rFonts w:hint="eastAsia" w:ascii="黑体" w:hAnsi="黑体" w:eastAsia="黑体" w:cs="宋体"/>
          <w:sz w:val="44"/>
          <w:szCs w:val="44"/>
        </w:rPr>
        <w:t xml:space="preserve"> 投标文件格式 </w:t>
      </w:r>
      <w:r/>
    </w:p>
    <w:p>
      <w:pPr>
        <w:pStyle w:val="745"/>
        <w:ind w:firstLine="400"/>
      </w:pPr>
      <w:r/>
      <w:r/>
    </w:p>
    <w:p>
      <w:r/>
      <w:r/>
    </w:p>
    <w:p>
      <w:pPr>
        <w:jc w:val="center"/>
        <w:rPr>
          <w:rFonts w:ascii="宋体" w:hAnsi="宋体" w:eastAsia="宋体" w:cs="宋体"/>
          <w:sz w:val="24"/>
          <w:szCs w:val="24"/>
        </w:rPr>
      </w:pPr>
      <w:r/>
      <w:bookmarkStart w:id="194" w:name="_Hlt26955039"/>
      <w:r/>
      <w:bookmarkEnd w:id="194"/>
      <w:r/>
      <w:bookmarkStart w:id="195" w:name="_Toc26554094"/>
      <w:r/>
      <w:bookmarkEnd w:id="195"/>
      <w:r/>
      <w:bookmarkStart w:id="196" w:name="_Hlt26671244"/>
      <w:r/>
      <w:bookmarkEnd w:id="196"/>
      <w:r/>
      <w:bookmarkStart w:id="197" w:name="_Toc49090576"/>
      <w:r/>
      <w:bookmarkEnd w:id="197"/>
      <w:r/>
      <w:bookmarkStart w:id="198" w:name="_Toc120614282"/>
      <w:r/>
      <w:bookmarkEnd w:id="198"/>
      <w:r>
        <w:rPr>
          <w:rFonts w:hint="eastAsia" w:ascii="宋体" w:hAnsi="宋体" w:eastAsia="宋体" w:cs="宋体"/>
          <w:b/>
          <w:bCs/>
          <w:sz w:val="72"/>
          <w:szCs w:val="72"/>
        </w:rPr>
        <w:t xml:space="preserve">投  标  文  件</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ind w:left="211" w:hanging="1"/>
        <w:rPr>
          <w:rFonts w:ascii="宋体" w:hAnsi="宋体" w:eastAsia="宋体" w:cs="宋体"/>
          <w:sz w:val="24"/>
          <w:szCs w:val="24"/>
        </w:rPr>
      </w:pPr>
      <w:r>
        <w:rPr>
          <w:rFonts w:hint="eastAsia" w:ascii="宋体" w:hAnsi="宋体" w:eastAsia="宋体" w:cs="宋体"/>
          <w:b/>
          <w:bCs/>
          <w:sz w:val="36"/>
          <w:szCs w:val="36"/>
        </w:rPr>
        <w:t xml:space="preserve">项 目 名 称：</w:t>
      </w:r>
      <w:r/>
    </w:p>
    <w:p>
      <w:pPr>
        <w:ind w:firstLine="181"/>
        <w:rPr>
          <w:rFonts w:ascii="宋体" w:hAnsi="宋体" w:eastAsia="宋体" w:cs="宋体"/>
          <w:sz w:val="24"/>
          <w:szCs w:val="24"/>
        </w:rPr>
      </w:pPr>
      <w:r>
        <w:rPr>
          <w:rFonts w:hint="eastAsia" w:ascii="宋体" w:hAnsi="宋体" w:eastAsia="宋体" w:cs="宋体"/>
          <w:b/>
          <w:bCs/>
          <w:sz w:val="36"/>
          <w:szCs w:val="36"/>
        </w:rPr>
        <w:t xml:space="preserve">项 目 编 号：</w:t>
      </w:r>
      <w:r/>
    </w:p>
    <w:p>
      <w:pPr>
        <w:ind w:firstLine="181"/>
        <w:rPr>
          <w:rFonts w:ascii="宋体" w:hAnsi="宋体" w:eastAsia="宋体" w:cs="宋体"/>
          <w:b/>
          <w:bCs/>
          <w:sz w:val="36"/>
          <w:szCs w:val="36"/>
          <w:u w:val="single"/>
        </w:rPr>
      </w:pPr>
      <w:r>
        <w:rPr>
          <w:rFonts w:hint="eastAsia" w:ascii="宋体" w:hAnsi="宋体" w:eastAsia="宋体" w:cs="宋体"/>
          <w:b/>
          <w:bCs/>
          <w:sz w:val="36"/>
          <w:szCs w:val="36"/>
        </w:rPr>
        <w:t xml:space="preserve">投标人名称 ：</w:t>
      </w:r>
      <w:r>
        <w:rPr>
          <w:rFonts w:hint="eastAsia" w:ascii="宋体" w:hAnsi="宋体" w:eastAsia="宋体" w:cs="宋体"/>
          <w:b/>
          <w:bCs/>
          <w:sz w:val="36"/>
          <w:szCs w:val="36"/>
          <w:u w:val="single"/>
        </w:rPr>
        <w:t xml:space="preserve">（加盖CA电子公章）</w:t>
      </w:r>
      <w:r/>
    </w:p>
    <w:p>
      <w:pPr>
        <w:jc w:val="center"/>
        <w:rPr>
          <w:rFonts w:ascii="宋体" w:hAnsi="宋体" w:eastAsia="宋体" w:cs="宋体"/>
          <w:sz w:val="24"/>
          <w:szCs w:val="24"/>
        </w:rPr>
      </w:pPr>
      <w:r>
        <w:rPr>
          <w:rFonts w:hint="eastAsia" w:ascii="宋体" w:hAnsi="宋体" w:eastAsia="宋体" w:cs="宋体"/>
          <w:b/>
          <w:bCs/>
          <w:sz w:val="36"/>
          <w:szCs w:val="36"/>
        </w:rPr>
        <w:t xml:space="preserve">日   期 ：</w:t>
      </w:r>
      <w:r/>
    </w:p>
    <w:p>
      <w:pPr>
        <w:jc w:val="left"/>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pStyle w:val="745"/>
      </w:pPr>
      <w:r/>
      <w:r/>
    </w:p>
    <w:p>
      <w:r/>
      <w:r/>
    </w:p>
    <w:p>
      <w:pPr>
        <w:pStyle w:val="745"/>
      </w:pPr>
      <w:r/>
      <w:r/>
    </w:p>
    <w:p>
      <w:r/>
      <w:r/>
    </w:p>
    <w:p>
      <w:pPr>
        <w:pStyle w:val="745"/>
      </w:pPr>
      <w:r/>
      <w:r/>
    </w:p>
    <w:p>
      <w:r/>
      <w:r/>
    </w:p>
    <w:p>
      <w:r/>
      <w:r/>
    </w:p>
    <w:p>
      <w:pPr>
        <w:jc w:val="center"/>
        <w:rPr>
          <w:rFonts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ascii="宋体" w:hAnsi="宋体" w:eastAsia="宋体" w:cs="宋体"/>
          <w:sz w:val="24"/>
          <w:szCs w:val="24"/>
        </w:rPr>
      </w:pPr>
      <w:r>
        <w:rPr>
          <w:rFonts w:ascii="宋体" w:hAnsi="宋体" w:eastAsia="宋体" w:cs="宋体"/>
          <w:sz w:val="24"/>
          <w:szCs w:val="24"/>
        </w:rPr>
        <w:t xml:space="preserve"> </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一、法人或者其他组织的营业执照等证明文件，自然人的身份证明</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二、上一年度的财务状况报告（投标人成立不满一年无需提供）</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四、具备履行合同所必需的设备和专业技术能力的书面声明</w:t>
      </w:r>
      <w:r/>
    </w:p>
    <w:p>
      <w:pPr>
        <w:ind w:firstLine="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五、参加政府采购活动前 3 年内在经营活动中没有重大违法记录的书面声明</w:t>
      </w:r>
      <w:r/>
    </w:p>
    <w:p>
      <w:pPr>
        <w:ind w:firstLine="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六、特定资格要求的证明文件（如果本项目设置特定资格要求，则需要提供）</w:t>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七、法人授权书</w:t>
      </w:r>
      <w:r/>
    </w:p>
    <w:p>
      <w:pPr>
        <w:ind w:firstLine="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八、投标函</w:t>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九、企业声明函</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十、残疾人福利性单位声明函、</w:t>
      </w:r>
      <w:r>
        <w:rPr>
          <w:rFonts w:hint="eastAsia" w:asciiTheme="minorEastAsia" w:hAnsiTheme="minorEastAsia"/>
          <w:bCs/>
          <w:sz w:val="24"/>
        </w:rPr>
        <w:t xml:space="preserve">“监狱和戒毒企业证明材料”</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十一、关于符合本国产品标准的声明函</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十二、联合体协议</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十三、投标分项报价表</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十四、技术要求响应及偏离表</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十五、商务要求响应及偏离表</w:t>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十六、开标一览表</w:t>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十七、实质性要求响应及偏离表</w:t>
      </w:r>
      <w:r/>
    </w:p>
    <w:p>
      <w:pPr>
        <w:ind w:firstLine="480"/>
        <w:spacing w:line="460" w:lineRule="exact"/>
        <w:rPr>
          <w:rFonts w:hAnsi="宋体" w:eastAsia="宋体" w:cs="宋体"/>
          <w:sz w:val="24"/>
          <w:szCs w:val="24"/>
        </w:rPr>
      </w:pPr>
      <w:r>
        <w:rPr>
          <w:rFonts w:hint="eastAsia" w:hAnsi="宋体" w:eastAsia="宋体" w:cs="宋体"/>
          <w:sz w:val="24"/>
          <w:szCs w:val="24"/>
        </w:rPr>
        <w:t xml:space="preserve">十八、供应商认为需要提交的其他资料</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t xml:space="preserve"> </w:t>
      </w:r>
      <w:r/>
    </w:p>
    <w:p>
      <w:pPr>
        <w:pStyle w:val="745"/>
      </w:pPr>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一、法人或者其他组织的营业执照等证明文件，自然人的身份证明</w:t>
      </w:r>
      <w:r/>
    </w:p>
    <w:p>
      <w:pPr>
        <w:ind w:firstLine="48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二、上一年度的财务状况报告</w:t>
      </w:r>
      <w:r/>
    </w:p>
    <w:p>
      <w:pPr>
        <w:ind w:firstLine="480"/>
        <w:rPr>
          <w:rFonts w:ascii="宋体" w:hAnsi="宋体" w:eastAsia="宋体" w:cs="宋体"/>
          <w:sz w:val="24"/>
          <w:szCs w:val="24"/>
        </w:rPr>
      </w:pPr>
      <w:r>
        <w:rPr>
          <w:rFonts w:hint="eastAsia" w:ascii="宋体" w:hAnsi="宋体" w:eastAsia="宋体" w:cs="宋体"/>
          <w:sz w:val="24"/>
          <w:szCs w:val="24"/>
        </w:rPr>
        <w:t xml:space="preserve">投标人成立不满一年不需提供</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三、依法缴纳税收和社会保障资金的相关材料</w:t>
      </w:r>
      <w:r/>
    </w:p>
    <w:p>
      <w:pPr>
        <w:ind w:firstLine="480"/>
        <w:rPr>
          <w:rFonts w:ascii="宋体" w:hAnsi="宋体" w:eastAsia="宋体" w:cs="宋体"/>
          <w:sz w:val="24"/>
          <w:szCs w:val="24"/>
        </w:rPr>
      </w:pPr>
      <w:r/>
      <w:bookmarkStart w:id="199" w:name="_Toc120614284"/>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bookmarkEnd w:id="199"/>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四、具备履行合同所必需的设备和专业技术能力的书面声明</w:t>
      </w:r>
      <w:r/>
    </w:p>
    <w:p>
      <w:pPr>
        <w:ind w:firstLine="492"/>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五、参加政府采购活动前 3 年内在经营活动中没有重大违法记录的书面声明</w:t>
      </w:r>
      <w:r/>
    </w:p>
    <w:p>
      <w:pPr>
        <w:rPr>
          <w:rFonts w:ascii="宋体" w:hAnsi="宋体" w:eastAsia="宋体" w:cs="宋体"/>
          <w:sz w:val="24"/>
          <w:szCs w:val="24"/>
        </w:rPr>
      </w:pPr>
      <w:r>
        <w:rPr>
          <w:rFonts w:hint="eastAsia" w:ascii="宋体" w:hAnsi="宋体" w:eastAsia="宋体" w:cs="宋体"/>
          <w:b/>
          <w:bCs/>
          <w:sz w:val="44"/>
          <w:szCs w:val="44"/>
        </w:rPr>
        <w:t xml:space="preserve">     声  明</w:t>
      </w:r>
      <w:r/>
    </w:p>
    <w:p>
      <w:pPr>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六、特定资格要求的证明文件</w:t>
      </w:r>
      <w:r/>
    </w:p>
    <w:p>
      <w:pPr>
        <w:rPr>
          <w:rFonts w:ascii="宋体" w:hAnsi="宋体" w:eastAsia="宋体" w:cs="宋体"/>
          <w:sz w:val="24"/>
          <w:szCs w:val="24"/>
        </w:rPr>
      </w:pPr>
      <w:r>
        <w:rPr>
          <w:rFonts w:hint="eastAsia" w:ascii="宋体" w:hAnsi="宋体" w:eastAsia="宋体" w:cs="宋体"/>
          <w:sz w:val="24"/>
          <w:szCs w:val="24"/>
        </w:rPr>
        <w:t xml:space="preserve">    如果本项目申请人的特定资格要求中要求提供的，必须提供。</w:t>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hint="eastAsia" w:ascii="黑体" w:hAnsi="黑体" w:eastAsia="黑体" w:cs="宋体"/>
          <w:i/>
          <w:iCs/>
          <w:sz w:val="32"/>
          <w:szCs w:val="32"/>
          <w:u w:val="single"/>
        </w:rPr>
        <w:t xml:space="preserve">七、法人授权书</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本授权书声明：____________（投标人名称）授权________________（被授权人的姓名）为我方就JSZC-</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本授权书于______年____月____日起生效，特此声明。</w:t>
      </w:r>
      <w:r/>
    </w:p>
    <w:p>
      <w:pPr>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r/>
    </w:p>
    <w:p>
      <w:pPr>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r/>
    </w:p>
    <w:p>
      <w:pPr>
        <w:ind w:firstLine="120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（加盖CA电子公章）</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日期：</w:t>
      </w:r>
      <w:bookmarkStart w:id="200" w:name="_Hlt26671380"/>
      <w:r/>
      <w:bookmarkEnd w:id="200"/>
      <w:r/>
      <w:bookmarkStart w:id="201" w:name="_Hlt26955070"/>
      <w:r/>
      <w:bookmarkEnd w:id="201"/>
      <w:r/>
      <w:bookmarkStart w:id="202" w:name="_格式3__银行出具的资信证明"/>
      <w:r>
        <w:rPr>
          <w:rFonts w:ascii="Times New Roman" w:hAnsi="Times New Roman" w:eastAsia="宋体" w:cs="Times New Roman"/>
          <w:sz w:val="24"/>
          <w:szCs w:val="24"/>
          <w:u w:val="single"/>
        </w:rPr>
        <w:t xml:space="preserve">                                         </w:t>
      </w:r>
      <w:r/>
    </w:p>
    <w:p>
      <w:pPr>
        <w:ind w:firstLine="420"/>
        <w:rPr>
          <w:rFonts w:eastAsia="宋体"/>
        </w:rPr>
      </w:pPr>
      <w:r>
        <w:rPr>
          <w:rFonts w:ascii="宋体" w:hAnsi="宋体" w:eastAsia="宋体" w:cs="宋体"/>
          <w:sz w:val="24"/>
          <w:szCs w:val="24"/>
        </w:rPr>
        <w:t xml:space="preserve"> </w:t>
      </w:r>
      <w:r/>
    </w:p>
    <w:p>
      <w:pPr>
        <w:ind w:firstLine="3390"/>
        <w:keepLines/>
        <w:keepNext/>
        <w:spacing w:before="260" w:after="260" w:line="415" w:lineRule="auto"/>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黑体" w:hAnsi="黑体" w:eastAsia="黑体" w:cs="宋体"/>
          <w:b/>
          <w:bCs/>
          <w:i/>
          <w:iCs/>
          <w:sz w:val="32"/>
          <w:szCs w:val="32"/>
          <w:u w:val="single"/>
        </w:rPr>
        <w:t xml:space="preserve">八、投标函</w:t>
      </w:r>
      <w:r/>
    </w:p>
    <w:p>
      <w:pPr>
        <w:jc w:val="left"/>
        <w:rPr>
          <w:rFonts w:ascii="宋体" w:hAnsi="宋体" w:eastAsia="宋体" w:cs="宋体"/>
          <w:sz w:val="24"/>
          <w:szCs w:val="24"/>
        </w:rPr>
      </w:pPr>
      <w:r>
        <w:rPr>
          <w:rFonts w:hint="eastAsia" w:ascii="宋体" w:hAnsi="宋体" w:eastAsia="宋体" w:cs="宋体"/>
          <w:sz w:val="24"/>
          <w:szCs w:val="24"/>
        </w:rPr>
        <w:t xml:space="preserve">致：泰州市政务服务中心</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J</w:t>
      </w:r>
      <w:r>
        <w:rPr>
          <w:rFonts w:ascii="宋体" w:hAnsi="宋体" w:eastAsia="宋体" w:cs="宋体"/>
          <w:sz w:val="24"/>
          <w:szCs w:val="24"/>
          <w:u w:val="single"/>
        </w:rPr>
        <w:t xml:space="preserve">SZC-321200-JZCG-G202</w:t>
      </w:r>
      <w:r>
        <w:rPr>
          <w:rFonts w:hint="eastAsia" w:ascii="宋体" w:hAnsi="宋体" w:eastAsia="宋体" w:cs="宋体"/>
          <w:sz w:val="24"/>
          <w:szCs w:val="24"/>
          <w:u w:val="single"/>
        </w:rPr>
        <w:t xml:space="preserve">6</w:t>
      </w:r>
      <w:r>
        <w:rPr>
          <w:rFonts w:ascii="宋体" w:hAnsi="宋体" w:eastAsia="宋体" w:cs="宋体"/>
          <w:sz w:val="24"/>
          <w:szCs w:val="24"/>
          <w:u w:val="single"/>
        </w:rPr>
        <w:t xml:space="preserve">-0</w:t>
      </w:r>
      <w:r>
        <w:rPr>
          <w:rFonts w:hint="eastAsia" w:ascii="宋体" w:hAnsi="宋体" w:eastAsia="宋体" w:cs="宋体"/>
          <w:sz w:val="24"/>
          <w:szCs w:val="24"/>
          <w:u w:val="single"/>
        </w:rPr>
        <w:t xml:space="preserve">0**</w:t>
      </w:r>
      <w:r>
        <w:rPr>
          <w:rFonts w:hint="eastAsia" w:ascii="宋体" w:hAnsi="宋体" w:eastAsia="宋体" w:cs="宋体"/>
          <w:sz w:val="24"/>
          <w:szCs w:val="24"/>
        </w:rPr>
        <w:t xml:space="preserve">号招标文件，正式授权下述签字人______(姓名)代表我方______________（投标人的名称），全权处理本次项目投标的有关事宜。</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账          号： </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日           期：________年____月____日</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pStyle w:val="733"/>
        <w:jc w:val="center"/>
        <w:spacing w:before="0" w:beforeAutospacing="0" w:after="0" w:afterAutospacing="0" w:line="360" w:lineRule="auto"/>
        <w:widowControl w:val="off"/>
      </w:pPr>
      <w:r>
        <w:rPr>
          <w:rFonts w:hint="eastAsia" w:ascii="黑体" w:hAnsi="黑体" w:eastAsia="黑体"/>
          <w:i/>
          <w:iCs/>
          <w:sz w:val="32"/>
          <w:szCs w:val="32"/>
          <w:u w:val="single"/>
        </w:rPr>
        <w:t xml:space="preserve">九、</w:t>
      </w:r>
      <w:r>
        <w:rPr>
          <w:rFonts w:hint="eastAsia" w:ascii="黑体" w:hAnsi="黑体" w:eastAsia="黑体"/>
          <w:b/>
          <w:bCs/>
          <w:i/>
          <w:iCs/>
          <w:sz w:val="32"/>
          <w:szCs w:val="32"/>
          <w:u w:val="single"/>
        </w:rPr>
        <w:t xml:space="preserve">中小微企业声明函（货物类项目）</w:t>
      </w:r>
      <w:r/>
    </w:p>
    <w:p>
      <w:pPr>
        <w:pStyle w:val="733"/>
        <w:jc w:val="center"/>
        <w:spacing w:before="0" w:beforeAutospacing="0" w:after="0" w:afterAutospacing="0" w:line="360" w:lineRule="auto"/>
        <w:widowControl w:val="off"/>
      </w:pPr>
      <w:r>
        <w:t xml:space="preserve"> </w:t>
      </w:r>
      <w:r/>
    </w:p>
    <w:p>
      <w:pPr>
        <w:pStyle w:val="733"/>
        <w:ind w:firstLine="48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733"/>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733"/>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733"/>
        <w:ind w:firstLine="360"/>
        <w:jc w:val="both"/>
        <w:spacing w:before="0" w:beforeAutospacing="0" w:after="0" w:afterAutospacing="0" w:line="360" w:lineRule="auto"/>
        <w:widowControl w:val="off"/>
      </w:pPr>
      <w:r>
        <w:rPr>
          <w:rFonts w:hint="eastAsia"/>
          <w:color w:val="000000"/>
        </w:rPr>
        <w:t xml:space="preserve">……</w:t>
      </w:r>
      <w:r/>
    </w:p>
    <w:p>
      <w:pPr>
        <w:pStyle w:val="733"/>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733"/>
        <w:ind w:firstLine="360"/>
        <w:jc w:val="both"/>
        <w:spacing w:before="0" w:beforeAutospacing="0" w:after="0" w:afterAutospacing="0" w:line="360" w:lineRule="auto"/>
        <w:widowControl w:val="off"/>
      </w:pPr>
      <w:r>
        <w:rPr>
          <w:rFonts w:hint="eastAsia"/>
          <w:color w:val="000000"/>
        </w:rPr>
        <w:t xml:space="preserve">本企业对上述声明内容的真实性负责。如有虚假，将依法承担相应责任</w:t>
      </w:r>
      <w:r/>
    </w:p>
    <w:p>
      <w:pPr>
        <w:pStyle w:val="733"/>
        <w:ind w:right="720"/>
        <w:jc w:val="both"/>
        <w:spacing w:before="0" w:beforeAutospacing="0" w:after="0" w:afterAutospacing="0" w:line="360" w:lineRule="auto"/>
        <w:widowControl w:val="off"/>
      </w:pPr>
      <w:r>
        <w:t xml:space="preserve"> </w:t>
      </w:r>
      <w:r/>
    </w:p>
    <w:p>
      <w:pPr>
        <w:pStyle w:val="733"/>
        <w:ind w:right="180" w:firstLine="360"/>
        <w:jc w:val="center"/>
        <w:spacing w:before="0" w:beforeAutospacing="0" w:after="0" w:afterAutospacing="0" w:line="360" w:lineRule="auto"/>
        <w:widowControl w:val="off"/>
      </w:pPr>
      <w:r>
        <w:rPr>
          <w:rFonts w:hint="eastAsia"/>
          <w:color w:val="000000"/>
        </w:rPr>
        <w:t xml:space="preserve">                                   企业名称（加盖CA电子公章）：</w:t>
      </w:r>
      <w:r/>
    </w:p>
    <w:p>
      <w:pPr>
        <w:pStyle w:val="733"/>
        <w:ind w:right="180" w:firstLine="360"/>
        <w:jc w:val="center"/>
        <w:spacing w:before="0" w:beforeAutospacing="0" w:after="0" w:afterAutospacing="0" w:line="360" w:lineRule="auto"/>
        <w:widowControl w:val="off"/>
      </w:pPr>
      <w:r>
        <w:rPr>
          <w:rFonts w:hint="eastAsia"/>
          <w:color w:val="000000"/>
          <w:shd w:val="clear" w:color="auto" w:fill="ffffff"/>
        </w:rPr>
        <w:t xml:space="preserve">                               日期：___年____月____日 </w:t>
      </w:r>
      <w:r/>
    </w:p>
    <w:p>
      <w:pPr>
        <w:pStyle w:val="733"/>
        <w:ind w:firstLine="480"/>
        <w:jc w:val="both"/>
        <w:spacing w:before="0" w:beforeAutospacing="0" w:after="0" w:afterAutospacing="0" w:line="0" w:lineRule="atLeast"/>
        <w:widowControl w:val="off"/>
      </w:pPr>
      <w:r>
        <w:t xml:space="preserve"> </w:t>
      </w:r>
      <w:r/>
    </w:p>
    <w:p>
      <w:pPr>
        <w:pStyle w:val="733"/>
        <w:ind w:firstLine="480"/>
        <w:jc w:val="both"/>
        <w:spacing w:before="0" w:beforeAutospacing="0" w:after="0" w:afterAutospacing="0" w:line="0" w:lineRule="atLeast"/>
        <w:widowControl w:val="off"/>
      </w:pPr>
      <w:r>
        <w:rPr>
          <w:rFonts w:hint="eastAsia"/>
          <w:color w:val="000000"/>
        </w:rPr>
        <w:t xml:space="preserve">备注：</w:t>
      </w:r>
      <w:r/>
    </w:p>
    <w:p>
      <w:pPr>
        <w:pStyle w:val="733"/>
        <w:ind w:firstLine="480"/>
        <w:jc w:val="both"/>
        <w:spacing w:before="0" w:beforeAutospacing="0" w:after="0" w:afterAutospacing="0" w:line="0" w:lineRule="atLeast"/>
        <w:widowControl w:val="off"/>
      </w:pPr>
      <w:r>
        <w:rPr>
          <w:rFonts w:hint="eastAsia"/>
          <w:color w:val="000000"/>
        </w:rPr>
        <w:t xml:space="preserve">1.从业人员、营业收入、资产总额填报上一年度数据，无上一年度数据的新成立企业可不填报。</w:t>
      </w:r>
      <w:r/>
    </w:p>
    <w:p>
      <w:pPr>
        <w:pStyle w:val="733"/>
        <w:ind w:firstLine="480"/>
        <w:jc w:val="both"/>
        <w:spacing w:before="0" w:beforeAutospacing="0" w:after="0" w:afterAutospacing="0" w:line="0" w:lineRule="atLeast"/>
        <w:widowControl w:val="off"/>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733"/>
        <w:ind w:firstLine="480"/>
        <w:jc w:val="both"/>
        <w:spacing w:before="0" w:beforeAutospacing="0" w:after="0" w:afterAutospacing="0" w:line="0" w:lineRule="atLeast"/>
        <w:widowControl w:val="off"/>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ascii="宋体" w:hAnsi="宋体" w:eastAsia="宋体" w:cs="宋体"/>
          <w:sz w:val="24"/>
          <w:szCs w:val="24"/>
        </w:rPr>
      </w:pPr>
      <w:r>
        <w:rPr>
          <w:rFonts w:hint="eastAsia" w:ascii="黑体" w:hAnsi="黑体" w:eastAsia="黑体" w:cs="宋体"/>
          <w:b/>
          <w:bCs/>
          <w:sz w:val="32"/>
          <w:szCs w:val="32"/>
        </w:rPr>
        <w:br w:type="page" w:clear="all"/>
      </w:r>
      <w:r>
        <w:rPr>
          <w:rFonts w:ascii="Calibri" w:hAnsi="Calibri" w:eastAsia="黑体" w:cs="Calibri"/>
          <w:b/>
          <w:bCs/>
          <w:sz w:val="32"/>
          <w:szCs w:val="32"/>
        </w:rPr>
        <w:t xml:space="preserve"> </w:t>
      </w:r>
      <w:r>
        <w:rPr>
          <w:rFonts w:hint="eastAsia" w:ascii="黑体" w:hAnsi="黑体" w:eastAsia="黑体" w:cs="宋体"/>
          <w:b/>
          <w:bCs/>
          <w:sz w:val="32"/>
          <w:szCs w:val="32"/>
        </w:rPr>
        <w:t xml:space="preserve">十、残疾人福利性单位声明函</w:t>
      </w:r>
      <w:r/>
    </w:p>
    <w:p>
      <w:pPr>
        <w:ind w:firstLine="480"/>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0"/>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sz w:val="24"/>
          <w:szCs w:val="24"/>
        </w:rPr>
        <w:t xml:space="preserve">（备注：1、中标人为残疾人福利单位的，此声明函将随中标结果同时公告，接受社会监督）</w:t>
      </w:r>
      <w:r/>
    </w:p>
    <w:p>
      <w:pPr>
        <w:ind w:firstLine="624"/>
        <w:rPr>
          <w:rFonts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ascii="宋体" w:hAnsi="宋体" w:eastAsia="宋体" w:cs="宋体"/>
          <w:sz w:val="24"/>
          <w:szCs w:val="24"/>
        </w:rPr>
      </w:pPr>
      <w:r>
        <w:rPr>
          <w:rFonts w:hint="eastAsia" w:ascii="仿宋_GB2312" w:hAnsi="宋体" w:eastAsia="仿宋_GB2312" w:cs="宋体"/>
          <w:sz w:val="30"/>
          <w:szCs w:val="30"/>
        </w:rPr>
        <w:t xml:space="preserve">             </w:t>
      </w:r>
      <w:r>
        <w:rPr>
          <w:rFonts w:hint="eastAsia" w:ascii="宋体" w:hAnsi="宋体" w:eastAsia="宋体" w:cs="宋体"/>
          <w:sz w:val="24"/>
          <w:szCs w:val="24"/>
        </w:rPr>
        <w:t xml:space="preserve">          供应商全称（加盖CA电子公章）：</w:t>
      </w:r>
      <w:r/>
    </w:p>
    <w:p>
      <w:pPr>
        <w:ind w:right="1560" w:firstLine="480"/>
        <w:jc w:val="center"/>
        <w:tabs>
          <w:tab w:val="left" w:pos="4860" w:leader="none"/>
        </w:tabs>
        <w:rPr>
          <w:rFonts w:ascii="宋体" w:hAnsi="宋体" w:eastAsia="宋体" w:cs="宋体"/>
          <w:sz w:val="24"/>
          <w:szCs w:val="24"/>
        </w:rPr>
      </w:pPr>
      <w:r>
        <w:rPr>
          <w:rFonts w:hint="eastAsia" w:ascii="宋体" w:hAnsi="宋体" w:eastAsia="宋体" w:cs="宋体"/>
          <w:sz w:val="24"/>
          <w:szCs w:val="24"/>
        </w:rPr>
        <w:t xml:space="preserve">        日  期：</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spacing w:before="28" w:after="28"/>
        <w:rPr>
          <w:rFonts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ascii="宋体" w:hAnsi="宋体" w:eastAsia="宋体" w:cs="宋体"/>
          <w:b/>
          <w:sz w:val="32"/>
          <w:szCs w:val="32"/>
        </w:rPr>
      </w:pPr>
      <w:r>
        <w:rPr>
          <w:rFonts w:ascii="宋体" w:hAnsi="宋体" w:eastAsia="宋体" w:cs="宋体"/>
          <w:b/>
          <w:sz w:val="32"/>
          <w:szCs w:val="32"/>
        </w:rPr>
      </w:r>
      <w:r/>
    </w:p>
    <w:p>
      <w:pPr>
        <w:ind w:firstLine="480"/>
        <w:rPr>
          <w:rFonts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hint="eastAsia" w:ascii="宋体" w:hAnsi="宋体" w:eastAsia="宋体" w:cs="宋体"/>
          <w:sz w:val="24"/>
          <w:szCs w:val="24"/>
        </w:rPr>
        <w:t xml:space="preserve">投标人全称（加盖CA电子公章）：</w:t>
      </w:r>
      <w:r/>
    </w:p>
    <w:p>
      <w:pPr>
        <w:ind w:firstLine="480"/>
        <w:rPr>
          <w:rFonts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ascii="宋体" w:hAnsi="宋体" w:eastAsia="宋体" w:cs="宋体"/>
          <w:sz w:val="24"/>
          <w:szCs w:val="24"/>
        </w:rPr>
      </w:pPr>
      <w:r>
        <w:rPr>
          <w:rFonts w:hint="eastAsia" w:ascii="宋体" w:hAnsi="宋体" w:eastAsia="宋体" w:cs="宋体"/>
          <w:sz w:val="24"/>
          <w:szCs w:val="24"/>
        </w:rPr>
        <w:t xml:space="preserve">说明：</w:t>
      </w:r>
      <w:r/>
    </w:p>
    <w:p>
      <w:pPr>
        <w:ind w:firstLine="480"/>
        <w:rPr>
          <w:rFonts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ascii="宋体" w:hAnsi="宋体" w:eastAsia="宋体" w:cs="宋体"/>
          <w:sz w:val="24"/>
          <w:szCs w:val="24"/>
        </w:rPr>
      </w:pPr>
      <w:r>
        <w:rPr>
          <w:rFonts w:hint="eastAsia" w:ascii="宋体" w:hAnsi="宋体" w:eastAsia="宋体" w:cs="宋体"/>
          <w:sz w:val="24"/>
          <w:szCs w:val="24"/>
        </w:rPr>
        <w:t xml:space="preserve">3.非监狱企业不需提供此声明函。</w:t>
      </w:r>
      <w:r/>
    </w:p>
    <w:p>
      <w:pPr>
        <w:ind w:firstLine="562"/>
        <w:jc w:val="center"/>
        <w:spacing w:line="460" w:lineRule="exact"/>
        <w:rPr>
          <w:rFonts w:ascii="宋体" w:hAnsi="宋体" w:eastAsia="宋体" w:cs="宋体"/>
          <w:b/>
          <w:bCs/>
          <w:sz w:val="28"/>
          <w:szCs w:val="28"/>
        </w:rPr>
      </w:pPr>
      <w:r>
        <w:rPr>
          <w:rFonts w:ascii="宋体" w:hAnsi="宋体" w:eastAsia="宋体" w:cs="宋体"/>
          <w:b/>
          <w:bCs/>
          <w:sz w:val="28"/>
          <w:szCs w:val="28"/>
        </w:rPr>
      </w:r>
      <w:r/>
    </w:p>
    <w:p>
      <w:pPr>
        <w:jc w:val="center"/>
        <w:rPr>
          <w:rFonts w:ascii="宋体" w:hAnsi="宋体" w:eastAsia="宋体" w:cs="宋体"/>
          <w:sz w:val="24"/>
          <w:szCs w:val="24"/>
        </w:rPr>
      </w:pPr>
      <w:r>
        <w:rPr>
          <w:rFonts w:ascii="宋体" w:hAnsi="宋体" w:eastAsia="宋体" w:cs="宋体"/>
          <w:sz w:val="24"/>
          <w:szCs w:val="24"/>
        </w:rPr>
      </w:r>
      <w:r/>
    </w:p>
    <w:p>
      <w:pPr>
        <w:pStyle w:val="745"/>
      </w:pPr>
      <w:r/>
      <w:r/>
    </w:p>
    <w:p>
      <w:pPr>
        <w:pStyle w:val="1053"/>
        <w:jc w:val="center"/>
        <w:spacing w:before="15" w:beforeAutospacing="0" w:after="15" w:afterAutospacing="0"/>
        <w:shd w:val="clear" w:color="auto" w:fill="ffffff"/>
        <w:rPr>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b/>
          <w:bCs/>
          <w:sz w:val="30"/>
          <w:szCs w:val="30"/>
          <w:shd w:val="clear" w:color="auto" w:fill="ffffff"/>
        </w:rPr>
      </w:r>
      <w:r/>
    </w:p>
    <w:p>
      <w:pPr>
        <w:pStyle w:val="1053"/>
        <w:jc w:val="center"/>
        <w:spacing w:before="15" w:beforeAutospacing="0" w:after="15" w:afterAutospacing="0"/>
        <w:shd w:val="clear" w:color="auto" w:fill="ffffff"/>
        <w:rPr>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b/>
          <w:bCs/>
          <w:sz w:val="30"/>
          <w:szCs w:val="30"/>
          <w:shd w:val="clear" w:color="auto" w:fill="ffffff"/>
        </w:rPr>
      </w:r>
      <w:r/>
    </w:p>
    <w:p>
      <w:pPr>
        <w:pStyle w:val="1053"/>
        <w:jc w:val="center"/>
        <w:spacing w:before="15" w:beforeAutospacing="0" w:after="15" w:afterAutospacing="0"/>
        <w:shd w:val="clear" w:color="auto" w:fill="ffffff"/>
        <w:rPr>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b/>
          <w:bCs/>
          <w:sz w:val="30"/>
          <w:szCs w:val="30"/>
          <w:shd w:val="clear" w:color="auto" w:fill="ffffff"/>
        </w:rPr>
      </w:r>
      <w:r/>
    </w:p>
    <w:p>
      <w:pPr>
        <w:jc w:val="center"/>
        <w:rPr>
          <w:rFonts w:ascii="黑体" w:hAnsi="黑体" w:eastAsia="黑体" w:cs="宋体"/>
          <w:b/>
          <w:bCs/>
          <w:sz w:val="32"/>
          <w:szCs w:val="32"/>
        </w:rPr>
      </w:pPr>
      <w:r>
        <w:rPr>
          <w:rFonts w:hint="eastAsia" w:ascii="黑体" w:hAnsi="黑体" w:eastAsia="黑体" w:cs="宋体"/>
          <w:b/>
          <w:bCs/>
          <w:sz w:val="32"/>
          <w:szCs w:val="32"/>
        </w:rPr>
        <w:t xml:space="preserve">十一、关于符合本国产品标准的声明函</w:t>
      </w:r>
      <w:r/>
    </w:p>
    <w:p>
      <w:pPr>
        <w:pStyle w:val="1053"/>
        <w:ind w:firstLine="420"/>
        <w:spacing w:before="15" w:beforeAutospacing="0" w:after="15" w:afterAutospacing="0"/>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733"/>
        <w:ind w:firstLine="420"/>
        <w:spacing w:before="30" w:beforeAutospacing="0" w:after="30" w:afterAutospacing="0"/>
        <w:shd w:val="clear" w:color="auto" w:fill="ffffff"/>
        <w:rPr>
          <w:color w:val="333333"/>
        </w:rPr>
      </w:pPr>
      <w:r>
        <w:rPr>
          <w:color w:val="333333"/>
        </w:rPr>
      </w:r>
      <w:r/>
    </w:p>
    <w:p>
      <w:pPr>
        <w:pStyle w:val="733"/>
        <w:ind w:firstLine="420"/>
        <w:spacing w:before="30" w:beforeAutospacing="0" w:after="30" w:afterAutospacing="0"/>
        <w:shd w:val="clear" w:color="auto" w:fill="ffffff"/>
        <w:rPr>
          <w:color w:val="333333"/>
        </w:rPr>
      </w:pPr>
      <w:r>
        <w:rPr>
          <w:rFonts w:hint="eastAsia"/>
          <w:color w:val="333333"/>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3"/>
        <w:ind w:firstLine="420"/>
        <w:spacing w:before="30" w:beforeAutospacing="0" w:after="30" w:afterAutospacing="0"/>
        <w:shd w:val="clear" w:color="auto" w:fill="ffffff"/>
        <w:rPr>
          <w:color w:val="333333"/>
        </w:rPr>
      </w:pPr>
      <w:r>
        <w:rPr>
          <w:rFonts w:hint="eastAsia"/>
          <w:color w:val="333333"/>
          <w:shd w:val="clear" w:color="auto" w:fill="ffffff"/>
        </w:rPr>
        <w:t xml:space="preserve">1.</w:t>
      </w:r>
      <w:r>
        <w:rPr>
          <w:rStyle w:val="741"/>
          <w:rFonts w:hint="eastAsia" w:eastAsia="宋体"/>
          <w:iCs w:val="0"/>
          <w:color w:val="333333"/>
          <w:sz w:val="24"/>
          <w:shd w:val="clear" w:color="auto" w:fill="ffffff"/>
        </w:rPr>
        <w:t xml:space="preserve">（产品名称1）</w:t>
      </w:r>
      <w:r>
        <w:rPr>
          <w:rStyle w:val="741"/>
          <w:rFonts w:hint="eastAsia" w:eastAsia="宋体"/>
          <w:iCs w:val="0"/>
          <w:color w:val="333333"/>
          <w:sz w:val="24"/>
          <w:u w:val="none"/>
          <w:shd w:val="clear" w:color="auto" w:fill="ffffff"/>
          <w:vertAlign w:val="superscript"/>
        </w:rPr>
        <w:t xml:space="preserve">1</w:t>
      </w:r>
      <w:r>
        <w:rPr>
          <w:rFonts w:hint="eastAsia"/>
          <w:color w:val="333333"/>
          <w:shd w:val="clear" w:color="auto" w:fill="ffffff"/>
        </w:rPr>
        <w:t xml:space="preserve">，生产厂为</w:t>
      </w:r>
      <w:r>
        <w:rPr>
          <w:rStyle w:val="741"/>
          <w:rFonts w:hint="eastAsia" w:eastAsia="宋体"/>
          <w:iCs w:val="0"/>
          <w:color w:val="333333"/>
          <w:sz w:val="24"/>
          <w:shd w:val="clear" w:color="auto" w:fill="ffffff"/>
        </w:rPr>
        <w:t xml:space="preserve">（厂名）</w:t>
      </w:r>
      <w:r>
        <w:rPr>
          <w:rStyle w:val="741"/>
          <w:rFonts w:hint="eastAsia" w:eastAsia="宋体"/>
          <w:iCs w:val="0"/>
          <w:color w:val="333333"/>
          <w:sz w:val="24"/>
          <w:u w:val="none"/>
          <w:shd w:val="clear" w:color="auto" w:fill="ffffff"/>
          <w:vertAlign w:val="superscript"/>
        </w:rPr>
        <w:t xml:space="preserve">2</w:t>
      </w:r>
      <w:r>
        <w:rPr>
          <w:rFonts w:hint="eastAsia"/>
          <w:color w:val="333333"/>
          <w:shd w:val="clear" w:color="auto" w:fill="ffffff"/>
        </w:rPr>
        <w:t xml:space="preserve">，厂址为</w:t>
      </w:r>
      <w:r>
        <w:rPr>
          <w:rStyle w:val="741"/>
          <w:rFonts w:hint="eastAsia" w:eastAsia="宋体"/>
          <w:iCs w:val="0"/>
          <w:color w:val="333333"/>
          <w:sz w:val="24"/>
          <w:shd w:val="clear" w:color="auto" w:fill="ffffff"/>
        </w:rPr>
        <w:t xml:space="preserve">（生产厂址）</w:t>
      </w:r>
      <w:r>
        <w:rPr>
          <w:rFonts w:hint="eastAsia"/>
          <w:color w:val="333333"/>
          <w:shd w:val="clear" w:color="auto" w:fill="ffffff"/>
        </w:rPr>
        <w:t xml:space="preserve">。</w:t>
      </w:r>
      <w:r>
        <w:rPr>
          <w:rStyle w:val="741"/>
          <w:rFonts w:hint="eastAsia" w:eastAsia="宋体"/>
          <w:iCs w:val="0"/>
          <w:color w:val="333333"/>
          <w:sz w:val="24"/>
          <w:shd w:val="clear" w:color="auto" w:fill="ffffff"/>
        </w:rPr>
        <w:t xml:space="preserve">（产品名称1）</w:t>
      </w:r>
      <w:r>
        <w:rPr>
          <w:rFonts w:hint="eastAsia"/>
          <w:color w:val="333333"/>
          <w:shd w:val="clear" w:color="auto" w:fill="ffffff"/>
        </w:rPr>
        <w:t xml:space="preserve">的中国境内生产的组件成本占比≥</w:t>
      </w:r>
      <w:r>
        <w:rPr>
          <w:rStyle w:val="741"/>
          <w:rFonts w:hint="eastAsia" w:eastAsia="宋体"/>
          <w:iCs w:val="0"/>
          <w:color w:val="333333"/>
          <w:sz w:val="24"/>
          <w:shd w:val="clear" w:color="auto" w:fill="ffffff"/>
        </w:rPr>
        <w:t xml:space="preserve">（规定比例）</w:t>
      </w:r>
      <w:r>
        <w:rPr>
          <w:rStyle w:val="741"/>
          <w:rFonts w:hint="eastAsia" w:eastAsia="宋体"/>
          <w:iCs w:val="0"/>
          <w:color w:val="333333"/>
          <w:sz w:val="24"/>
          <w:u w:val="none"/>
          <w:shd w:val="clear" w:color="auto" w:fill="ffffff"/>
          <w:vertAlign w:val="superscript"/>
        </w:rPr>
        <w:t xml:space="preserve">3</w:t>
      </w:r>
      <w:r>
        <w:rPr>
          <w:rFonts w:hint="eastAsia"/>
          <w:color w:val="333333"/>
          <w:shd w:val="clear" w:color="auto" w:fill="ffffff"/>
        </w:rPr>
        <w:t xml:space="preserve">。</w:t>
      </w:r>
      <w:r>
        <w:rPr>
          <w:rStyle w:val="741"/>
          <w:rFonts w:hint="eastAsia" w:eastAsia="宋体"/>
          <w:iCs w:val="0"/>
          <w:color w:val="333333"/>
          <w:sz w:val="24"/>
          <w:shd w:val="clear" w:color="auto" w:fill="ffffff"/>
        </w:rPr>
        <w:t xml:space="preserve">（产品名称1）</w:t>
      </w:r>
      <w:r>
        <w:rPr>
          <w:rFonts w:hint="eastAsia"/>
          <w:color w:val="333333"/>
          <w:shd w:val="clear" w:color="auto" w:fill="ffffff"/>
        </w:rPr>
        <w:t xml:space="preserve">的</w:t>
      </w:r>
      <w:r>
        <w:rPr>
          <w:rStyle w:val="741"/>
          <w:rFonts w:hint="eastAsia" w:eastAsia="宋体"/>
          <w:iCs w:val="0"/>
          <w:color w:val="333333"/>
          <w:sz w:val="24"/>
          <w:shd w:val="clear" w:color="auto" w:fill="ffffff"/>
        </w:rPr>
        <w:t xml:space="preserve">（关键组件）</w:t>
      </w:r>
      <w:r>
        <w:rPr>
          <w:rStyle w:val="741"/>
          <w:rFonts w:hint="eastAsia" w:eastAsia="宋体"/>
          <w:iCs w:val="0"/>
          <w:color w:val="333333"/>
          <w:sz w:val="24"/>
          <w:u w:val="none"/>
          <w:shd w:val="clear" w:color="auto" w:fill="ffffff"/>
          <w:vertAlign w:val="superscript"/>
        </w:rPr>
        <w:t xml:space="preserve">4</w:t>
      </w:r>
      <w:r>
        <w:rPr>
          <w:rFonts w:hint="eastAsia"/>
          <w:color w:val="333333"/>
          <w:shd w:val="clear" w:color="auto" w:fill="ffffff"/>
        </w:rPr>
        <w:t xml:space="preserve">在中国境内生产。</w:t>
      </w:r>
      <w:r>
        <w:rPr>
          <w:rStyle w:val="741"/>
          <w:rFonts w:hint="eastAsia" w:eastAsia="宋体"/>
          <w:iCs w:val="0"/>
          <w:color w:val="333333"/>
          <w:sz w:val="24"/>
          <w:shd w:val="clear" w:color="auto" w:fill="ffffff"/>
        </w:rPr>
        <w:t xml:space="preserve">（产品名称1）</w:t>
      </w:r>
      <w:r>
        <w:rPr>
          <w:rFonts w:hint="eastAsia"/>
          <w:color w:val="333333"/>
          <w:shd w:val="clear" w:color="auto" w:fill="ffffff"/>
        </w:rPr>
        <w:t xml:space="preserve">的</w:t>
      </w:r>
      <w:r>
        <w:rPr>
          <w:rStyle w:val="741"/>
          <w:rFonts w:hint="eastAsia" w:eastAsia="宋体"/>
          <w:iCs w:val="0"/>
          <w:color w:val="333333"/>
          <w:sz w:val="24"/>
          <w:shd w:val="clear" w:color="auto" w:fill="ffffff"/>
        </w:rPr>
        <w:t xml:space="preserve">（关键工序）</w:t>
      </w:r>
      <w:r>
        <w:rPr>
          <w:rStyle w:val="741"/>
          <w:rFonts w:hint="eastAsia" w:eastAsia="宋体"/>
          <w:iCs w:val="0"/>
          <w:color w:val="333333"/>
          <w:sz w:val="24"/>
          <w:u w:val="none"/>
          <w:shd w:val="clear" w:color="auto" w:fill="ffffff"/>
          <w:vertAlign w:val="superscript"/>
        </w:rPr>
        <w:t xml:space="preserve">5</w:t>
      </w:r>
      <w:r>
        <w:rPr>
          <w:rFonts w:hint="eastAsia"/>
          <w:color w:val="333333"/>
          <w:shd w:val="clear" w:color="auto" w:fill="ffffff"/>
        </w:rPr>
        <w:t xml:space="preserve">在中国境内完成。</w:t>
      </w:r>
      <w:r/>
    </w:p>
    <w:p>
      <w:pPr>
        <w:pStyle w:val="733"/>
        <w:ind w:firstLine="420"/>
        <w:spacing w:before="30" w:beforeAutospacing="0" w:after="30" w:afterAutospacing="0"/>
        <w:shd w:val="clear" w:color="auto" w:fill="ffffff"/>
        <w:rPr>
          <w:color w:val="333333"/>
        </w:rPr>
      </w:pPr>
      <w:r>
        <w:rPr>
          <w:rFonts w:hint="eastAsia"/>
          <w:color w:val="333333"/>
          <w:shd w:val="clear" w:color="auto" w:fill="ffffff"/>
        </w:rPr>
        <w:t xml:space="preserve">2.</w:t>
      </w:r>
      <w:r>
        <w:rPr>
          <w:rStyle w:val="741"/>
          <w:rFonts w:hint="eastAsia" w:eastAsia="宋体"/>
          <w:iCs w:val="0"/>
          <w:color w:val="333333"/>
          <w:sz w:val="24"/>
          <w:shd w:val="clear" w:color="auto" w:fill="ffffff"/>
        </w:rPr>
        <w:t xml:space="preserve">（产品名称2）</w:t>
      </w:r>
      <w:r>
        <w:rPr>
          <w:rFonts w:hint="eastAsia"/>
          <w:color w:val="333333"/>
          <w:shd w:val="clear" w:color="auto" w:fill="ffffff"/>
        </w:rPr>
        <w:t xml:space="preserve">，生产厂为</w:t>
      </w:r>
      <w:r>
        <w:rPr>
          <w:rStyle w:val="741"/>
          <w:rFonts w:hint="eastAsia" w:eastAsia="宋体"/>
          <w:iCs w:val="0"/>
          <w:color w:val="333333"/>
          <w:sz w:val="24"/>
          <w:shd w:val="clear" w:color="auto" w:fill="ffffff"/>
        </w:rPr>
        <w:t xml:space="preserve">（厂名）</w:t>
      </w:r>
      <w:r>
        <w:rPr>
          <w:rFonts w:hint="eastAsia"/>
          <w:color w:val="333333"/>
          <w:shd w:val="clear" w:color="auto" w:fill="ffffff"/>
        </w:rPr>
        <w:t xml:space="preserve">，厂址为</w:t>
      </w:r>
      <w:r>
        <w:rPr>
          <w:rStyle w:val="741"/>
          <w:rFonts w:hint="eastAsia" w:eastAsia="宋体"/>
          <w:iCs w:val="0"/>
          <w:color w:val="333333"/>
          <w:sz w:val="24"/>
          <w:shd w:val="clear" w:color="auto" w:fill="ffffff"/>
        </w:rPr>
        <w:t xml:space="preserve">（生产厂址）</w:t>
      </w:r>
      <w:r>
        <w:rPr>
          <w:rFonts w:hint="eastAsia"/>
          <w:color w:val="333333"/>
          <w:shd w:val="clear" w:color="auto" w:fill="ffffff"/>
        </w:rPr>
        <w:t xml:space="preserve">。</w:t>
      </w:r>
      <w:r>
        <w:rPr>
          <w:rStyle w:val="741"/>
          <w:rFonts w:hint="eastAsia" w:eastAsia="宋体"/>
          <w:iCs w:val="0"/>
          <w:color w:val="333333"/>
          <w:sz w:val="24"/>
          <w:shd w:val="clear" w:color="auto" w:fill="ffffff"/>
        </w:rPr>
        <w:t xml:space="preserve">（产品名称2）</w:t>
      </w:r>
      <w:r>
        <w:rPr>
          <w:rFonts w:hint="eastAsia"/>
          <w:color w:val="333333"/>
          <w:shd w:val="clear" w:color="auto" w:fill="ffffff"/>
        </w:rPr>
        <w:t xml:space="preserve">的中国境内生产的组件成本占比≥</w:t>
      </w:r>
      <w:r>
        <w:rPr>
          <w:rStyle w:val="741"/>
          <w:rFonts w:hint="eastAsia" w:eastAsia="宋体"/>
          <w:iCs w:val="0"/>
          <w:color w:val="333333"/>
          <w:sz w:val="24"/>
          <w:shd w:val="clear" w:color="auto" w:fill="ffffff"/>
        </w:rPr>
        <w:t xml:space="preserve">（规定比例）</w:t>
      </w:r>
      <w:r>
        <w:rPr>
          <w:rFonts w:hint="eastAsia"/>
          <w:color w:val="333333"/>
          <w:shd w:val="clear" w:color="auto" w:fill="ffffff"/>
        </w:rPr>
        <w:t xml:space="preserve">。</w:t>
      </w:r>
      <w:r>
        <w:rPr>
          <w:rStyle w:val="741"/>
          <w:rFonts w:hint="eastAsia" w:eastAsia="宋体"/>
          <w:iCs w:val="0"/>
          <w:color w:val="333333"/>
          <w:sz w:val="24"/>
          <w:shd w:val="clear" w:color="auto" w:fill="ffffff"/>
        </w:rPr>
        <w:t xml:space="preserve">（产品名称2）</w:t>
      </w:r>
      <w:r>
        <w:rPr>
          <w:rFonts w:hint="eastAsia"/>
          <w:color w:val="333333"/>
          <w:shd w:val="clear" w:color="auto" w:fill="ffffff"/>
        </w:rPr>
        <w:t xml:space="preserve">的</w:t>
      </w:r>
      <w:r>
        <w:rPr>
          <w:rStyle w:val="741"/>
          <w:rFonts w:hint="eastAsia" w:eastAsia="宋体"/>
          <w:iCs w:val="0"/>
          <w:color w:val="333333"/>
          <w:sz w:val="24"/>
          <w:shd w:val="clear" w:color="auto" w:fill="ffffff"/>
        </w:rPr>
        <w:t xml:space="preserve">（关键组件）</w:t>
      </w:r>
      <w:r>
        <w:rPr>
          <w:rFonts w:hint="eastAsia"/>
          <w:color w:val="333333"/>
          <w:shd w:val="clear" w:color="auto" w:fill="ffffff"/>
        </w:rPr>
        <w:t xml:space="preserve">在中国境内生产。</w:t>
      </w:r>
      <w:r>
        <w:rPr>
          <w:rStyle w:val="741"/>
          <w:rFonts w:hint="eastAsia" w:eastAsia="宋体"/>
          <w:iCs w:val="0"/>
          <w:color w:val="333333"/>
          <w:sz w:val="24"/>
          <w:shd w:val="clear" w:color="auto" w:fill="ffffff"/>
        </w:rPr>
        <w:t xml:space="preserve">（产品名称2）</w:t>
      </w:r>
      <w:r>
        <w:rPr>
          <w:rFonts w:hint="eastAsia"/>
          <w:color w:val="333333"/>
          <w:shd w:val="clear" w:color="auto" w:fill="ffffff"/>
        </w:rPr>
        <w:t xml:space="preserve">的</w:t>
      </w:r>
      <w:r>
        <w:rPr>
          <w:rStyle w:val="741"/>
          <w:rFonts w:hint="eastAsia" w:eastAsia="宋体"/>
          <w:iCs w:val="0"/>
          <w:color w:val="333333"/>
          <w:sz w:val="24"/>
          <w:shd w:val="clear" w:color="auto" w:fill="ffffff"/>
        </w:rPr>
        <w:t xml:space="preserve">（关键工序）</w:t>
      </w:r>
      <w:r>
        <w:rPr>
          <w:rFonts w:hint="eastAsia"/>
          <w:color w:val="333333"/>
          <w:shd w:val="clear" w:color="auto" w:fill="ffffff"/>
        </w:rPr>
        <w:t xml:space="preserve">在中国境内完成。</w:t>
      </w:r>
      <w:r/>
    </w:p>
    <w:p>
      <w:pPr>
        <w:pStyle w:val="733"/>
        <w:ind w:firstLine="420"/>
        <w:spacing w:before="30" w:beforeAutospacing="0" w:after="30" w:afterAutospacing="0"/>
        <w:shd w:val="clear" w:color="auto" w:fill="ffffff"/>
        <w:rPr>
          <w:color w:val="333333"/>
        </w:rPr>
      </w:pPr>
      <w:r>
        <w:rPr>
          <w:rFonts w:hint="eastAsia"/>
          <w:color w:val="333333"/>
          <w:shd w:val="clear" w:color="auto" w:fill="ffffff"/>
        </w:rPr>
        <w:t xml:space="preserve">……</w:t>
      </w:r>
      <w:r/>
    </w:p>
    <w:p>
      <w:pPr>
        <w:pStyle w:val="733"/>
        <w:ind w:firstLine="420"/>
        <w:spacing w:before="30" w:beforeAutospacing="0" w:after="30" w:afterAutospacing="0"/>
        <w:shd w:val="clear" w:color="auto" w:fill="ffffff"/>
        <w:rPr>
          <w:color w:val="333333"/>
        </w:rPr>
      </w:pPr>
      <w:r>
        <w:rPr>
          <w:rFonts w:hint="eastAsia"/>
          <w:color w:val="333333"/>
          <w:shd w:val="clear" w:color="auto" w:fill="ffffff"/>
        </w:rPr>
        <w:t xml:space="preserve">本公司（单位）对上述声明内容的真实性负责。如有虚假，愿承担相应法律责任。</w:t>
      </w:r>
      <w:r/>
    </w:p>
    <w:p>
      <w:pPr>
        <w:pStyle w:val="733"/>
        <w:spacing w:before="30" w:beforeAutospacing="0" w:after="30" w:afterAutospacing="0"/>
        <w:shd w:val="clear" w:color="auto" w:fill="ffffff"/>
        <w:rPr>
          <w:color w:val="333333"/>
        </w:rPr>
      </w:pPr>
      <w:r>
        <w:rPr>
          <w:color w:val="333333"/>
        </w:rPr>
      </w:r>
      <w:r/>
    </w:p>
    <w:p>
      <w:pPr>
        <w:pStyle w:val="733"/>
        <w:jc w:val="right"/>
        <w:spacing w:before="30" w:beforeAutospacing="0" w:after="30" w:afterAutospacing="0"/>
        <w:shd w:val="clear" w:color="auto" w:fill="ffffff"/>
        <w:rPr>
          <w:color w:val="333333"/>
        </w:rPr>
      </w:pPr>
      <w:r>
        <w:rPr>
          <w:rFonts w:hint="eastAsia"/>
          <w:color w:val="333333"/>
          <w:shd w:val="clear" w:color="auto" w:fill="ffffff"/>
        </w:rPr>
        <w:t xml:space="preserve">公司（单位）名称（盖章）：　        </w:t>
      </w:r>
      <w:r/>
    </w:p>
    <w:p>
      <w:pPr>
        <w:pStyle w:val="733"/>
        <w:jc w:val="right"/>
        <w:spacing w:before="30" w:beforeAutospacing="0" w:after="30" w:afterAutospacing="0"/>
        <w:shd w:val="clear" w:color="auto" w:fill="ffffff"/>
        <w:rPr>
          <w:color w:val="333333"/>
        </w:rPr>
      </w:pPr>
      <w:r>
        <w:rPr>
          <w:rFonts w:hint="eastAsia"/>
          <w:color w:val="333333"/>
          <w:shd w:val="clear" w:color="auto" w:fill="ffffff"/>
        </w:rPr>
        <w:t xml:space="preserve">日期：　     年　  月　  日         </w:t>
      </w:r>
      <w:r/>
    </w:p>
    <w:p>
      <w:pPr>
        <w:pStyle w:val="733"/>
        <w:spacing w:before="30" w:beforeAutospacing="0" w:after="30" w:afterAutospacing="0"/>
        <w:shd w:val="clear" w:color="auto" w:fill="ffffff"/>
        <w:rPr>
          <w:color w:val="333333"/>
        </w:rPr>
      </w:pPr>
      <w:r>
        <w:rPr>
          <w:rFonts w:hint="eastAsia"/>
          <w:color w:val="333333"/>
          <w:shd w:val="clear" w:color="auto" w:fill="ffffff"/>
        </w:rPr>
        <w:t xml:space="preserve">__________________</w:t>
      </w:r>
      <w:r/>
    </w:p>
    <w:p>
      <w:pPr>
        <w:pStyle w:val="733"/>
        <w:ind w:firstLine="420"/>
        <w:spacing w:before="30" w:beforeAutospacing="0" w:after="30" w:afterAutospacing="0"/>
        <w:shd w:val="clear" w:color="auto" w:fill="ffffff"/>
        <w:rPr>
          <w:color w:val="333333"/>
          <w:sz w:val="21"/>
          <w:szCs w:val="21"/>
        </w:rPr>
      </w:pPr>
      <w:r>
        <w:rPr>
          <w:rFonts w:hint="eastAsia"/>
          <w:color w:val="333333"/>
          <w:sz w:val="21"/>
          <w:szCs w:val="21"/>
          <w:shd w:val="clear" w:color="auto" w:fill="ffffff"/>
        </w:rPr>
        <w:t xml:space="preserve">1.产品如有型号，请在“产品名称”栏一并填写。</w:t>
      </w:r>
      <w:r/>
    </w:p>
    <w:p>
      <w:pPr>
        <w:pStyle w:val="733"/>
        <w:ind w:firstLine="420"/>
        <w:spacing w:before="30" w:beforeAutospacing="0" w:after="30" w:afterAutospacing="0"/>
        <w:shd w:val="clear" w:color="auto" w:fill="ffffff"/>
        <w:rPr>
          <w:color w:val="333333"/>
          <w:sz w:val="21"/>
          <w:szCs w:val="21"/>
        </w:rPr>
      </w:pPr>
      <w:r>
        <w:rPr>
          <w:rFonts w:hint="eastAsia"/>
          <w:color w:val="333333"/>
          <w:sz w:val="21"/>
          <w:szCs w:val="21"/>
          <w:shd w:val="clear" w:color="auto" w:fill="ffffff"/>
        </w:rPr>
        <w:t xml:space="preserve">2.生产厂名与厂址应与生产厂营业执照载明的相关信息保持一致。</w:t>
      </w:r>
      <w:r/>
    </w:p>
    <w:p>
      <w:pPr>
        <w:pStyle w:val="733"/>
        <w:ind w:firstLine="420"/>
        <w:spacing w:before="30" w:beforeAutospacing="0" w:after="30" w:afterAutospacing="0"/>
        <w:shd w:val="clear" w:color="auto" w:fill="ffffff"/>
        <w:rPr>
          <w:color w:val="333333"/>
          <w:sz w:val="21"/>
          <w:szCs w:val="21"/>
        </w:rPr>
      </w:pPr>
      <w:r>
        <w:rPr>
          <w:rFonts w:hint="eastAsia"/>
          <w:color w:val="333333"/>
          <w:sz w:val="21"/>
          <w:szCs w:val="21"/>
          <w:shd w:val="clear" w:color="auto" w:fill="ffffff"/>
        </w:rPr>
        <w:t xml:space="preserve">3.该产品的中国境内生产的组件成本占比相关要求实施前，“规定比例”栏可不填，下同。</w:t>
      </w:r>
      <w:r/>
    </w:p>
    <w:p>
      <w:pPr>
        <w:pStyle w:val="733"/>
        <w:ind w:firstLine="420"/>
        <w:spacing w:before="30" w:beforeAutospacing="0" w:after="30" w:afterAutospacing="0"/>
        <w:shd w:val="clear" w:color="auto" w:fill="ffffff"/>
        <w:rPr>
          <w:color w:val="333333"/>
          <w:sz w:val="21"/>
          <w:szCs w:val="21"/>
        </w:rPr>
      </w:pPr>
      <w:r>
        <w:rPr>
          <w:rFonts w:hint="eastAsia"/>
          <w:color w:val="333333"/>
          <w:sz w:val="21"/>
          <w:szCs w:val="21"/>
          <w:shd w:val="clear" w:color="auto" w:fill="ffffff"/>
        </w:rPr>
        <w:t xml:space="preserve">4.该产品的关键组件要求实施前，“关键组件”栏可不填，下同。</w:t>
      </w:r>
      <w:r/>
    </w:p>
    <w:p>
      <w:pPr>
        <w:pStyle w:val="733"/>
        <w:ind w:firstLine="420"/>
        <w:spacing w:before="30" w:beforeAutospacing="0" w:after="30" w:afterAutospacing="0"/>
        <w:shd w:val="clear" w:color="auto" w:fill="ffffff"/>
        <w:rPr>
          <w:color w:val="333333"/>
          <w:sz w:val="21"/>
          <w:szCs w:val="21"/>
        </w:rPr>
      </w:pPr>
      <w:r>
        <w:rPr>
          <w:rFonts w:hint="eastAsia"/>
          <w:color w:val="333333"/>
          <w:sz w:val="21"/>
          <w:szCs w:val="21"/>
          <w:shd w:val="clear" w:color="auto" w:fill="ffffff"/>
        </w:rPr>
        <w:t xml:space="preserve">5.该产品的关键工序要求实施前，“关键工序”栏可不填，下同。</w:t>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ascii="宋体" w:hAnsi="宋体" w:eastAsia="宋体" w:cs="宋体"/>
          <w:sz w:val="24"/>
          <w:szCs w:val="24"/>
        </w:rPr>
      </w:pPr>
      <w:r>
        <w:rPr>
          <w:rFonts w:hint="eastAsia" w:cs="宋体" w:asciiTheme="minorEastAsia" w:hAnsiTheme="minorEastAsia"/>
          <w:sz w:val="24"/>
          <w:szCs w:val="24"/>
        </w:rPr>
        <w:t xml:space="preserve"> </w:t>
      </w: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黑体" w:hAnsi="黑体" w:eastAsia="黑体" w:cs="宋体"/>
          <w:b/>
          <w:bCs/>
          <w:sz w:val="32"/>
          <w:szCs w:val="32"/>
        </w:rPr>
      </w:pPr>
      <w:r>
        <w:rPr>
          <w:rFonts w:hint="eastAsia" w:ascii="黑体" w:hAnsi="黑体" w:eastAsia="黑体" w:cs="宋体"/>
          <w:b/>
          <w:bCs/>
          <w:sz w:val="32"/>
          <w:szCs w:val="32"/>
        </w:rPr>
        <w:t xml:space="preserve">十二、联合体协议（参考格式）</w:t>
      </w:r>
      <w:r/>
    </w:p>
    <w:p>
      <w:pPr>
        <w:pStyle w:val="745"/>
        <w:ind w:firstLine="400"/>
        <w:jc w:val="center"/>
      </w:pPr>
      <w:r>
        <w:rPr>
          <w:rFonts w:hint="eastAsia"/>
        </w:rPr>
        <w:t xml:space="preserve">不接受联合体的项目投标人可不填写此表格</w:t>
      </w:r>
      <w:r/>
    </w:p>
    <w:p>
      <w:pPr>
        <w:rPr>
          <w:rFonts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rPr>
          <w:rFonts w:ascii="宋体" w:hAnsi="宋体" w:eastAsia="宋体" w:cs="宋体"/>
          <w:sz w:val="24"/>
          <w:szCs w:val="24"/>
        </w:rPr>
      </w:pPr>
      <w:r>
        <w:rPr>
          <w:rFonts w:hint="eastAsia" w:ascii="宋体" w:hAnsi="宋体" w:eastAsia="宋体" w:cs="宋体"/>
          <w:sz w:val="24"/>
          <w:szCs w:val="24"/>
        </w:rPr>
        <w:t xml:space="preserve">1、我们</w:t>
      </w:r>
      <w:r>
        <w:rPr>
          <w:rFonts w:hint="eastAsia" w:ascii="宋体" w:hAnsi="宋体" w:eastAsia="宋体" w:cs="宋体"/>
          <w:sz w:val="24"/>
          <w:szCs w:val="24"/>
          <w:u w:val="single"/>
        </w:rPr>
        <w:t xml:space="preserve"> （供应商1），（供应商2） ，……</w:t>
      </w:r>
      <w:r>
        <w:rPr>
          <w:rFonts w:hint="eastAsia" w:ascii="宋体" w:hAnsi="宋体" w:eastAsia="宋体" w:cs="宋体"/>
          <w:sz w:val="24"/>
          <w:szCs w:val="24"/>
        </w:rPr>
        <w:t xml:space="preserve">自愿组成联合体，参加泰州市政务服务中心组织的采购编号为</w:t>
      </w:r>
      <w:r>
        <w:rPr>
          <w:rFonts w:hint="eastAsia" w:ascii="宋体" w:hAnsi="宋体" w:eastAsia="宋体" w:cs="宋体"/>
          <w:sz w:val="24"/>
          <w:szCs w:val="24"/>
          <w:u w:val="single"/>
        </w:rPr>
        <w:t xml:space="preserve">（编号全称），（项目全称）</w:t>
      </w:r>
      <w:r>
        <w:rPr>
          <w:rFonts w:hint="eastAsia" w:ascii="宋体" w:hAnsi="宋体" w:eastAsia="宋体" w:cs="宋体"/>
          <w:sz w:val="24"/>
          <w:szCs w:val="24"/>
        </w:rPr>
        <w:t xml:space="preserve">项目（分包号：**）的政府采购活动，我联合体指定</w:t>
      </w:r>
      <w:r>
        <w:rPr>
          <w:rFonts w:hint="eastAsia" w:ascii="宋体" w:hAnsi="宋体" w:eastAsia="宋体" w:cs="宋体"/>
          <w:sz w:val="24"/>
          <w:szCs w:val="24"/>
          <w:u w:val="single"/>
        </w:rPr>
        <w:t xml:space="preserve">（供应商*）</w:t>
      </w:r>
      <w:r>
        <w:rPr>
          <w:rFonts w:hint="eastAsia" w:ascii="宋体" w:hAnsi="宋体" w:eastAsia="宋体" w:cs="宋体"/>
          <w:sz w:val="24"/>
          <w:szCs w:val="24"/>
        </w:rPr>
        <w:t xml:space="preserve">为牵头单位（牵头单位必须为联合体成员）。</w:t>
      </w:r>
      <w:r/>
    </w:p>
    <w:p>
      <w:pPr>
        <w:ind w:firstLine="645"/>
        <w:rPr>
          <w:rFonts w:ascii="宋体" w:hAnsi="宋体" w:eastAsia="宋体" w:cs="宋体"/>
          <w:sz w:val="24"/>
          <w:szCs w:val="24"/>
        </w:rPr>
      </w:pPr>
      <w:r>
        <w:rPr>
          <w:rFonts w:hint="eastAsia" w:ascii="宋体" w:hAnsi="宋体" w:eastAsia="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sz w:val="24"/>
          <w:szCs w:val="24"/>
        </w:rPr>
      </w:pPr>
      <w:r>
        <w:rPr>
          <w:rFonts w:hint="eastAsia" w:ascii="宋体" w:hAnsi="宋体" w:eastAsia="宋体" w:cs="宋体"/>
          <w:sz w:val="24"/>
          <w:szCs w:val="24"/>
        </w:rPr>
        <w:t xml:space="preserve">3、其中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（小型、微型企业/残疾人福利性单位/监狱企业全称）为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45"/>
        <w:rPr>
          <w:rFonts w:ascii="宋体" w:hAnsi="宋体" w:eastAsia="宋体" w:cs="宋体"/>
          <w:sz w:val="24"/>
          <w:szCs w:val="24"/>
        </w:rPr>
      </w:pPr>
      <w:r>
        <w:rPr>
          <w:rFonts w:ascii="宋体" w:hAnsi="宋体" w:eastAsia="宋体" w:cs="宋体"/>
          <w:sz w:val="24"/>
          <w:szCs w:val="24"/>
        </w:rPr>
        <w:t xml:space="preserve"> </w:t>
      </w:r>
      <w:r/>
    </w:p>
    <w:p>
      <w:pPr>
        <w:ind w:firstLine="645"/>
        <w:rPr>
          <w:rFonts w:ascii="宋体" w:hAnsi="宋体" w:eastAsia="宋体" w:cs="宋体"/>
          <w:sz w:val="24"/>
          <w:szCs w:val="24"/>
        </w:rPr>
      </w:pPr>
      <w:r>
        <w:rPr>
          <w:rFonts w:hint="eastAsia" w:ascii="宋体" w:hAnsi="宋体" w:eastAsia="宋体" w:cs="宋体"/>
          <w:sz w:val="24"/>
          <w:szCs w:val="24"/>
        </w:rPr>
        <w:t xml:space="preserve">备注：本招标文件中要求加盖CA电子签章的地方，仅需加盖牵头单位的CA电子签章。</w:t>
      </w:r>
      <w:r/>
    </w:p>
    <w:p>
      <w:pPr>
        <w:ind w:firstLine="645"/>
        <w:rPr>
          <w:rFonts w:ascii="宋体" w:hAnsi="宋体" w:eastAsia="宋体" w:cs="宋体"/>
          <w:sz w:val="24"/>
          <w:szCs w:val="24"/>
        </w:rPr>
      </w:pPr>
      <w:r>
        <w:rPr>
          <w:rFonts w:hint="eastAsia" w:ascii="宋体" w:hAnsi="宋体" w:eastAsia="宋体" w:cs="宋体"/>
          <w:sz w:val="24"/>
          <w:szCs w:val="24"/>
        </w:rPr>
        <w:t xml:space="preserve">                                          </w:t>
      </w:r>
      <w:r/>
    </w:p>
    <w:p>
      <w:pPr>
        <w:ind w:right="960" w:firstLine="645"/>
        <w:jc w:val="right"/>
        <w:rPr>
          <w:rFonts w:ascii="宋体" w:hAnsi="宋体" w:eastAsia="宋体" w:cs="宋体"/>
          <w:sz w:val="24"/>
          <w:szCs w:val="24"/>
        </w:rPr>
      </w:pPr>
      <w:r>
        <w:rPr>
          <w:rFonts w:hint="eastAsia" w:ascii="宋体" w:hAnsi="宋体" w:eastAsia="宋体" w:cs="宋体"/>
          <w:sz w:val="24"/>
          <w:szCs w:val="24"/>
        </w:rPr>
        <w:t xml:space="preserve">联合体中各供应商全称（公章）：     </w:t>
      </w:r>
      <w:r/>
    </w:p>
    <w:p>
      <w:pPr>
        <w:ind w:firstLine="645"/>
        <w:rPr>
          <w:rFonts w:ascii="宋体" w:hAnsi="宋体" w:eastAsia="宋体" w:cs="宋体"/>
          <w:sz w:val="24"/>
          <w:szCs w:val="24"/>
        </w:rPr>
      </w:pPr>
      <w:r>
        <w:rPr>
          <w:rFonts w:hint="eastAsia" w:ascii="宋体" w:hAnsi="宋体" w:eastAsia="宋体" w:cs="宋体"/>
          <w:sz w:val="24"/>
          <w:szCs w:val="24"/>
        </w:rPr>
        <w:t xml:space="preserve">                                        日期：</w:t>
      </w:r>
      <w:r/>
    </w:p>
    <w:p>
      <w:pPr>
        <w:ind w:firstLine="645"/>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color w:val="000000"/>
          <w:sz w:val="32"/>
          <w:szCs w:val="32"/>
        </w:rPr>
      </w:pPr>
      <w:r>
        <w:rPr>
          <w:rFonts w:hint="eastAsia" w:ascii="黑体" w:hAnsi="黑体" w:eastAsia="黑体" w:cs="宋体"/>
          <w:b/>
          <w:bCs/>
          <w:sz w:val="32"/>
          <w:szCs w:val="32"/>
        </w:rPr>
        <w:t xml:space="preserve">十三、</w:t>
      </w:r>
      <w:r>
        <w:rPr>
          <w:rFonts w:hint="eastAsia" w:ascii="黑体" w:hAnsi="黑体" w:eastAsia="黑体" w:cs="宋体"/>
          <w:b/>
          <w:bCs/>
          <w:color w:val="000000"/>
          <w:sz w:val="32"/>
          <w:szCs w:val="32"/>
        </w:rPr>
        <w:t xml:space="preserve">分项报价表</w:t>
      </w:r>
      <w:r/>
    </w:p>
    <w:tbl>
      <w:tblPr>
        <w:tblStyle w:val="705"/>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bl>
    <w:p>
      <w:pPr>
        <w:pStyle w:val="745"/>
        <w:ind w:firstLine="560"/>
        <w:spacing w:line="400" w:lineRule="exact"/>
        <w:rPr>
          <w:rFonts w:hAnsi="宋体" w:eastAsia="宋体" w:cs="宋体"/>
          <w:sz w:val="28"/>
          <w:szCs w:val="28"/>
        </w:rPr>
      </w:pPr>
      <w:r>
        <w:rPr>
          <w:rFonts w:hint="eastAsia" w:hAnsi="宋体" w:eastAsia="宋体" w:cs="宋体"/>
          <w:sz w:val="28"/>
          <w:szCs w:val="28"/>
        </w:rPr>
        <w:t xml:space="preserve">本采购项目中提供的符合本国产品标准的产品成本之和占该采购包提供的全部产品成本之和的比例为</w:t>
      </w:r>
      <w:r>
        <w:rPr>
          <w:rFonts w:hint="eastAsia" w:hAnsi="宋体" w:eastAsia="宋体" w:cs="宋体"/>
          <w:color w:val="ee0000"/>
          <w:sz w:val="28"/>
          <w:szCs w:val="28"/>
          <w:u w:val="single"/>
        </w:rPr>
        <w:t xml:space="preserve">***</w:t>
      </w:r>
      <w:r>
        <w:rPr>
          <w:rFonts w:hint="eastAsia" w:hAnsi="宋体" w:eastAsia="宋体" w:cs="宋体"/>
          <w:sz w:val="28"/>
          <w:szCs w:val="28"/>
          <w:u w:val="single"/>
        </w:rPr>
        <w:t xml:space="preserve">%</w:t>
      </w:r>
      <w:r>
        <w:rPr>
          <w:rFonts w:hint="eastAsia" w:hAnsi="宋体" w:eastAsia="宋体" w:cs="宋体"/>
          <w:sz w:val="28"/>
          <w:szCs w:val="28"/>
        </w:rPr>
        <w:t xml:space="preserve">。</w:t>
      </w:r>
      <w:r/>
    </w:p>
    <w:p>
      <w:pPr>
        <w:pStyle w:val="745"/>
        <w:ind w:firstLine="0"/>
        <w:spacing w:line="400" w:lineRule="exact"/>
      </w:pPr>
      <w:r>
        <w:rPr>
          <w:rFonts w:hint="eastAsia" w:hAnsi="宋体" w:eastAsia="宋体" w:cs="宋体"/>
          <w:sz w:val="28"/>
          <w:szCs w:val="28"/>
        </w:rPr>
        <w:t xml:space="preserve">备注：</w:t>
      </w:r>
      <w:r/>
    </w:p>
    <w:p>
      <w:pPr>
        <w:pStyle w:val="745"/>
        <w:ind w:firstLine="560"/>
        <w:spacing w:line="400" w:lineRule="exact"/>
        <w:rPr>
          <w:rFonts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745"/>
        <w:ind w:firstLine="560"/>
        <w:spacing w:line="400" w:lineRule="exact"/>
        <w:rPr>
          <w:rFonts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spacing w:line="400" w:lineRule="exact"/>
      </w:pPr>
      <w:r>
        <w:rPr>
          <w:rFonts w:hint="eastAsia" w:ascii="宋体" w:hAnsi="宋体" w:eastAsia="宋体" w:cs="宋体"/>
          <w:sz w:val="28"/>
          <w:szCs w:val="28"/>
        </w:rPr>
        <w:t xml:space="preserve">    3、</w:t>
      </w:r>
      <w:r>
        <w:rPr>
          <w:rFonts w:ascii="宋体" w:hAnsi="宋体" w:eastAsia="宋体" w:cs="宋体"/>
          <w:sz w:val="28"/>
          <w:szCs w:val="28"/>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745"/>
        <w:ind w:firstLine="560"/>
        <w:spacing w:line="400" w:lineRule="exact"/>
        <w:rPr>
          <w:rFonts w:ascii="黑体" w:hAnsi="黑体" w:eastAsia="黑体" w:cs="宋体"/>
          <w:b/>
          <w:bCs/>
          <w:color w:val="000000"/>
          <w:sz w:val="32"/>
          <w:szCs w:val="32"/>
        </w:rPr>
      </w:pPr>
      <w:r>
        <w:rPr>
          <w:rFonts w:hint="eastAsia" w:hAnsi="宋体" w:eastAsia="宋体" w:cs="宋体"/>
          <w:sz w:val="28"/>
          <w:szCs w:val="28"/>
        </w:rPr>
        <w:t xml:space="preserve">4.此表为表样，具体内容和行数可自行添加。</w:t>
      </w:r>
      <w:r/>
    </w:p>
    <w:p>
      <w:pPr>
        <w:pStyle w:val="745"/>
        <w:spacing w:line="40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4800"/>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黑体" w:hAnsi="黑体" w:eastAsia="黑体" w:cs="宋体"/>
          <w:b/>
          <w:bCs/>
          <w:sz w:val="32"/>
          <w:szCs w:val="32"/>
        </w:rPr>
        <w:t xml:space="preserve">十四、技术要求响应及偏离表</w:t>
      </w:r>
      <w:r/>
    </w:p>
    <w:tbl>
      <w:tblPr>
        <w:tblStyle w:val="705"/>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证明</w:t>
            </w:r>
            <w:r/>
          </w:p>
          <w:p>
            <w:pPr>
              <w:jc w:val="center"/>
              <w:rPr>
                <w:rFonts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pStyle w:val="745"/>
      </w:pPr>
      <w:r/>
      <w:r/>
    </w:p>
    <w:p>
      <w:r/>
      <w:r/>
    </w:p>
    <w:p>
      <w:pPr>
        <w:pStyle w:val="745"/>
      </w:pPr>
      <w:r/>
      <w:r/>
    </w:p>
    <w:p>
      <w:r/>
      <w:r/>
    </w:p>
    <w:p>
      <w:pPr>
        <w:pStyle w:val="745"/>
      </w:pPr>
      <w:r/>
      <w:r/>
    </w:p>
    <w:p>
      <w:r/>
      <w:r/>
    </w:p>
    <w:p>
      <w:pPr>
        <w:pStyle w:val="745"/>
      </w:pPr>
      <w:r/>
      <w:r/>
    </w:p>
    <w:p>
      <w:r/>
      <w:r/>
    </w:p>
    <w:p>
      <w:pPr>
        <w:pStyle w:val="745"/>
      </w:pPr>
      <w:r/>
      <w:r/>
    </w:p>
    <w:p>
      <w:pPr>
        <w:rPr>
          <w:rFonts w:ascii="宋体" w:hAnsi="宋体" w:eastAsia="宋体" w:cs="宋体"/>
          <w:sz w:val="24"/>
          <w:szCs w:val="24"/>
        </w:rPr>
      </w:pPr>
      <w:r>
        <w:rPr>
          <w:rFonts w:ascii="宋体" w:hAnsi="宋体" w:eastAsia="宋体" w:cs="宋体"/>
          <w:sz w:val="24"/>
          <w:szCs w:val="24"/>
        </w:rPr>
        <w:t xml:space="preserve"> </w:t>
      </w:r>
      <w:bookmarkEnd w:id="202"/>
      <w:r/>
      <w:r/>
    </w:p>
    <w:p>
      <w:pPr>
        <w:jc w:val="center"/>
        <w:rPr>
          <w:rFonts w:ascii="宋体" w:hAnsi="宋体" w:eastAsia="宋体" w:cs="宋体"/>
          <w:sz w:val="24"/>
          <w:szCs w:val="24"/>
        </w:rPr>
      </w:pPr>
      <w:r/>
      <w:bookmarkStart w:id="203" w:name="_Hlt26955054"/>
      <w:r>
        <w:rPr>
          <w:rFonts w:hint="eastAsia" w:ascii="黑体" w:hAnsi="黑体" w:eastAsia="黑体" w:cs="宋体"/>
          <w:b/>
          <w:bCs/>
          <w:sz w:val="32"/>
          <w:szCs w:val="32"/>
        </w:rPr>
        <w:t xml:space="preserve">十五、商务要求响应及偏离表</w:t>
      </w:r>
      <w:bookmarkEnd w:id="203"/>
      <w:r/>
      <w:r/>
    </w:p>
    <w:tbl>
      <w:tblPr>
        <w:tblStyle w:val="705"/>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bookmarkStart w:id="204" w:name="_Hlt26671372"/>
            <w:r/>
            <w:bookmarkEnd w:id="204"/>
            <w:r/>
            <w:bookmarkStart w:id="205" w:name="_Hlt26609391"/>
            <w:r/>
            <w:bookmarkEnd w:id="205"/>
            <w:r/>
            <w:bookmarkStart w:id="206" w:name="_Hlt26782999"/>
            <w:r/>
            <w:bookmarkEnd w:id="206"/>
            <w:r/>
            <w:bookmarkStart w:id="207" w:name="_Hlt26955056"/>
            <w:r/>
            <w:bookmarkEnd w:id="207"/>
            <w:r/>
            <w:bookmarkStart w:id="208" w:name="_Hlt26671343"/>
            <w:r/>
            <w:bookmarkEnd w:id="208"/>
            <w:r/>
            <w:bookmarkStart w:id="209" w:name="_Hlt26955064"/>
            <w:r/>
            <w:bookmarkEnd w:id="209"/>
            <w:r/>
            <w:bookmarkStart w:id="210" w:name="_Hlt24879081"/>
            <w:r/>
            <w:bookmarkEnd w:id="210"/>
            <w:r/>
            <w:bookmarkStart w:id="211" w:name="_Hlt26580838"/>
            <w:r>
              <w:rPr>
                <w:rFonts w:hint="eastAsia" w:ascii="宋体" w:hAnsi="宋体" w:eastAsia="宋体" w:cs="宋体"/>
                <w:sz w:val="24"/>
                <w:szCs w:val="24"/>
              </w:rPr>
              <w:t xml:space="preserve">序号</w:t>
            </w:r>
            <w:bookmarkEnd w:id="211"/>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证明</w:t>
            </w:r>
            <w:r/>
          </w:p>
          <w:p>
            <w:pPr>
              <w:jc w:val="center"/>
              <w:rPr>
                <w:rFonts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sz w:val="24"/>
          <w:szCs w:val="24"/>
        </w:rPr>
        <w:t xml:space="preserve">注： 行数不够，可自行添加。</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r>
      <w:r/>
    </w:p>
    <w:p>
      <w:pPr>
        <w:pStyle w:val="745"/>
      </w:pPr>
      <w:r/>
      <w:r/>
    </w:p>
    <w:p>
      <w:r/>
      <w:r/>
    </w:p>
    <w:p>
      <w:pPr>
        <w:pStyle w:val="745"/>
      </w:pPr>
      <w:r/>
      <w:r/>
    </w:p>
    <w:p>
      <w:r/>
      <w:r/>
    </w:p>
    <w:p>
      <w:pPr>
        <w:pStyle w:val="745"/>
      </w:pPr>
      <w:r/>
      <w:r/>
    </w:p>
    <w:p>
      <w:r/>
      <w:r/>
    </w:p>
    <w:p>
      <w:pPr>
        <w:pStyle w:val="745"/>
      </w:pPr>
      <w:r/>
      <w:r/>
    </w:p>
    <w:p>
      <w:r/>
      <w:r/>
    </w:p>
    <w:p>
      <w:pPr>
        <w:pStyle w:val="745"/>
      </w:pPr>
      <w:r/>
      <w:r/>
    </w:p>
    <w:p>
      <w:r/>
      <w:r/>
    </w:p>
    <w:p>
      <w:pPr>
        <w:pStyle w:val="745"/>
      </w:pPr>
      <w:r/>
      <w:r/>
    </w:p>
    <w:p>
      <w:r/>
      <w:r/>
    </w:p>
    <w:p>
      <w:pPr>
        <w:pStyle w:val="745"/>
      </w:pPr>
      <w:r/>
      <w:r/>
    </w:p>
    <w:p>
      <w:pPr>
        <w:ind w:firstLine="480"/>
        <w:rPr>
          <w:rFonts w:ascii="宋体" w:hAnsi="宋体" w:eastAsia="宋体" w:cs="宋体"/>
          <w:sz w:val="24"/>
          <w:szCs w:val="24"/>
        </w:rPr>
      </w:pPr>
      <w:r>
        <w:rPr>
          <w:rFonts w:hint="eastAsia" w:ascii="黑体" w:hAnsi="黑体" w:eastAsia="黑体" w:cs="宋体"/>
          <w:b/>
          <w:bCs/>
          <w:i/>
          <w:iCs/>
          <w:sz w:val="32"/>
          <w:szCs w:val="32"/>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705"/>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pStyle w:val="745"/>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454"/>
        <w:ind w:left="420" w:firstLine="0"/>
      </w:pPr>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199"/>
        <w:gridCol w:w="2429"/>
        <w:gridCol w:w="1438"/>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rPr>
                <w:rFonts w:cs="Segoe UI Symbol" w:asciiTheme="minorEastAsia" w:hAnsiTheme="minorEastAsia"/>
                <w:sz w:val="24"/>
                <w:szCs w:val="24"/>
              </w:rPr>
              <w:t xml:space="preserve">★</w:t>
            </w:r>
            <w:r>
              <w:rPr>
                <w:rFonts w:asciiTheme="minorEastAsia" w:hAnsiTheme="minorEastAsia"/>
                <w:sz w:val="24"/>
                <w:szCs w:val="24"/>
              </w:rPr>
              <w:t xml:space="preserve">关键条款</w:t>
            </w:r>
            <w:r>
              <w:rPr>
                <w:rFonts w:hint="eastAsia" w:ascii="宋体" w:hAnsi="宋体"/>
                <w:b/>
                <w:bCs/>
                <w:color w:val="000000"/>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pStyle w:val="745"/>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pStyle w:val="745"/>
      </w:pPr>
      <w:r/>
      <w:r/>
    </w:p>
    <w:p>
      <w:pPr>
        <w:rPr>
          <w:rFonts w:ascii="黑体" w:hAnsi="黑体" w:eastAsia="黑体" w:cs="宋体"/>
          <w:b/>
          <w:bCs/>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hint="eastAsia" w:ascii="黑体" w:hAnsi="黑体" w:eastAsia="黑体" w:cs="宋体"/>
          <w:b/>
          <w:bCs/>
          <w:sz w:val="32"/>
          <w:szCs w:val="32"/>
        </w:rPr>
        <w:t xml:space="preserve">十八、供应商认为需要提交的其他证明材料</w:t>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pStyle w:val="745"/>
        <w:ind w:firstLine="0"/>
        <w:sectPr>
          <w:footnotePr/>
          <w:endnotePr/>
          <w:type w:val="nextPage"/>
          <w:pgSz w:w="11906" w:h="16838" w:orient="portrait"/>
          <w:pgMar w:top="1440" w:right="1800" w:bottom="1440" w:left="1800" w:header="851" w:footer="992" w:gutter="0"/>
          <w:cols w:num="1" w:sep="0" w:space="425" w:equalWidth="1"/>
          <w:docGrid w:linePitch="360"/>
        </w:sectPr>
      </w:pPr>
      <w:r/>
      <w:r/>
    </w:p>
    <w:p>
      <w:pPr>
        <w:jc w:val="center"/>
        <w:rPr>
          <w:rFonts w:ascii="宋体" w:hAnsi="宋体" w:eastAsia="宋体" w:cs="宋体"/>
          <w:sz w:val="24"/>
          <w:szCs w:val="24"/>
        </w:rPr>
      </w:pPr>
      <w:r>
        <w:rPr>
          <w:rFonts w:hint="eastAsia" w:ascii="宋体" w:hAnsi="宋体" w:eastAsia="宋体" w:cs="宋体"/>
          <w:b/>
          <w:bCs/>
          <w:sz w:val="32"/>
          <w:szCs w:val="32"/>
        </w:rPr>
        <w:t xml:space="preserve">质疑函范本</w:t>
      </w:r>
      <w:r/>
    </w:p>
    <w:p>
      <w:pPr>
        <w:spacing w:before="290" w:line="360" w:lineRule="auto"/>
        <w:rPr>
          <w:rFonts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二、质疑项目基本情况</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三、质疑事项具体内容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ascii="宋体" w:hAnsi="宋体" w:eastAsia="宋体" w:cs="宋体"/>
          <w:sz w:val="24"/>
          <w:szCs w:val="24"/>
        </w:rPr>
      </w:pPr>
      <w:r>
        <w:rPr>
          <w:rFonts w:hint="eastAsia" w:ascii="宋体" w:hAnsi="宋体" w:eastAsia="宋体" w:cs="宋体"/>
          <w:sz w:val="24"/>
          <w:szCs w:val="24"/>
        </w:rPr>
        <w:t xml:space="preserve">签字（签字或盖章）：            </w:t>
      </w:r>
      <w:r/>
    </w:p>
    <w:p>
      <w:pPr>
        <w:rPr>
          <w:rFonts w:ascii="宋体" w:hAnsi="宋体" w:eastAsia="宋体" w:cs="宋体"/>
          <w:sz w:val="24"/>
          <w:szCs w:val="24"/>
        </w:rPr>
      </w:pPr>
      <w:r>
        <w:rPr>
          <w:rFonts w:hint="eastAsia" w:ascii="宋体" w:hAnsi="宋体" w:eastAsia="宋体" w:cs="宋体"/>
          <w:sz w:val="24"/>
          <w:szCs w:val="24"/>
        </w:rPr>
        <w:t xml:space="preserve">公章：                     </w:t>
      </w:r>
      <w:r/>
    </w:p>
    <w:p>
      <w:pPr>
        <w:rPr>
          <w:rFonts w:ascii="宋体" w:hAnsi="宋体" w:eastAsia="宋体" w:cs="宋体"/>
          <w:sz w:val="24"/>
          <w:szCs w:val="24"/>
        </w:rPr>
      </w:pPr>
      <w:r>
        <w:rPr>
          <w:rFonts w:hint="eastAsia" w:ascii="宋体" w:hAnsi="宋体" w:eastAsia="宋体" w:cs="宋体"/>
          <w:sz w:val="24"/>
          <w:szCs w:val="24"/>
        </w:rPr>
        <w:t xml:space="preserve">日期：   </w:t>
      </w:r>
      <w:r/>
    </w:p>
    <w:p>
      <w:pPr>
        <w:rPr>
          <w:rFonts w:ascii="宋体" w:hAnsi="宋体" w:eastAsia="宋体" w:cs="宋体"/>
          <w:b/>
          <w:bCs/>
          <w:sz w:val="24"/>
          <w:szCs w:val="24"/>
        </w:rPr>
      </w:pPr>
      <w:r>
        <w:rPr>
          <w:rFonts w:ascii="宋体" w:hAnsi="宋体" w:eastAsia="宋体" w:cs="宋体"/>
          <w:b/>
          <w:bCs/>
          <w:sz w:val="24"/>
          <w:szCs w:val="24"/>
        </w:rPr>
      </w:r>
      <w:r/>
    </w:p>
    <w:p>
      <w:pPr>
        <w:pStyle w:val="735"/>
        <w:ind w:firstLine="210"/>
        <w:rPr>
          <w:rFonts w:ascii="宋体" w:hAnsi="宋体" w:eastAsia="宋体" w:cs="宋体"/>
        </w:rPr>
      </w:pPr>
      <w:r>
        <w:rPr>
          <w:rFonts w:ascii="宋体" w:hAnsi="宋体" w:eastAsia="宋体" w:cs="宋体"/>
        </w:rPr>
      </w:r>
      <w:r/>
    </w:p>
    <w:p>
      <w:pPr>
        <w:spacing w:line="460" w:lineRule="exact"/>
        <w:rPr>
          <w:rFonts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20"/>
        <w:spacing w:line="440" w:lineRule="exact"/>
        <w:rPr>
          <w:rFonts w:ascii="宋体" w:hAnsi="宋体" w:eastAsia="宋体" w:cs="宋体"/>
          <w:sz w:val="24"/>
          <w:szCs w:val="24"/>
        </w:rPr>
      </w:pPr>
      <w:r>
        <w:rPr>
          <w:rFonts w:ascii="宋体" w:hAnsi="宋体" w:eastAsia="宋体" w:cs="宋体"/>
          <w:sz w:val="24"/>
          <w:szCs w:val="24"/>
        </w:rPr>
        <w:t xml:space="preserve"> </w:t>
      </w:r>
      <w:bookmarkEnd w:id="193"/>
      <w:r/>
      <w:r/>
    </w:p>
    <w:p>
      <w:pPr>
        <w:spacing w:line="440" w:lineRule="exact"/>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egoe UI Symbol">
    <w:panose1 w:val="020B0502040204020203"/>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Microsoft YaHei">
    <w:panose1 w:val="020B0503020204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39"/>
      </w:rPr>
      <w:framePr w:wrap="around" w:vAnchor="text" w:hAnchor="margin" w:xAlign="right" w:y="1"/>
    </w:pPr>
    <w:r>
      <w:rPr>
        <w:rStyle w:val="739"/>
      </w:rPr>
      <w:fldChar w:fldCharType="begin"/>
    </w:r>
    <w:r>
      <w:rPr>
        <w:rStyle w:val="739"/>
      </w:rPr>
      <w:instrText xml:space="preserve">PAGE  </w:instrText>
    </w:r>
    <w:r>
      <w:rPr>
        <w:rStyle w:val="739"/>
      </w:rPr>
      <w:fldChar w:fldCharType="separate"/>
    </w:r>
    <w:r>
      <w:rPr>
        <w:rStyle w:val="739"/>
      </w:rPr>
      <w:t xml:space="preserve">32</w:t>
    </w:r>
    <w:r>
      <w:rPr>
        <w:rStyle w:val="739"/>
      </w:rPr>
      <w:fldChar w:fldCharType="end"/>
    </w:r>
    <w:r/>
  </w:p>
  <w:p>
    <w:pPr>
      <w:pStyle w:val="72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39"/>
      </w:rPr>
      <w:framePr w:wrap="around" w:vAnchor="text" w:hAnchor="margin" w:xAlign="right" w:y="1"/>
    </w:pPr>
    <w:r>
      <w:rPr>
        <w:rStyle w:val="739"/>
      </w:rPr>
      <w:fldChar w:fldCharType="begin"/>
    </w:r>
    <w:r>
      <w:rPr>
        <w:rStyle w:val="739"/>
      </w:rPr>
      <w:instrText xml:space="preserve">PAGE  </w:instrText>
    </w:r>
    <w:r>
      <w:rPr>
        <w:rStyle w:val="739"/>
      </w:rPr>
      <w:fldChar w:fldCharType="separate"/>
    </w:r>
    <w:r>
      <w:rPr>
        <w:rStyle w:val="739"/>
      </w:rPr>
      <w:t xml:space="preserve">37</w:t>
    </w:r>
    <w:r>
      <w:rPr>
        <w:rStyle w:val="739"/>
      </w:rPr>
      <w:fldChar w:fldCharType="end"/>
    </w:r>
    <w:r/>
  </w:p>
  <w:p>
    <w:pPr>
      <w:pStyle w:val="72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4">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1">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4">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5">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6">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7">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8">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9">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1">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2">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3">
    <w:name w:val="TOC Heading"/>
    <w:uiPriority w:val="39"/>
    <w:unhideWhenUsed/>
  </w:style>
  <w:style w:type="paragraph" w:styleId="69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5">
    <w:name w:val="Heading 1"/>
    <w:basedOn w:val="694"/>
    <w:next w:val="706"/>
    <w:link w:val="895"/>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6">
    <w:name w:val="Heading 2"/>
    <w:basedOn w:val="694"/>
    <w:next w:val="694"/>
    <w:link w:val="896"/>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7">
    <w:name w:val="Heading 3"/>
    <w:basedOn w:val="694"/>
    <w:next w:val="694"/>
    <w:link w:val="897"/>
    <w:uiPriority w:val="9"/>
    <w:unhideWhenUsed/>
    <w:qFormat/>
    <w:pPr>
      <w:keepLines/>
      <w:keepNext/>
      <w:spacing w:before="260" w:after="260" w:line="416" w:lineRule="auto"/>
      <w:outlineLvl w:val="2"/>
    </w:pPr>
    <w:rPr>
      <w:b/>
      <w:bCs/>
      <w:sz w:val="32"/>
      <w:szCs w:val="32"/>
    </w:rPr>
  </w:style>
  <w:style w:type="paragraph" w:styleId="698">
    <w:name w:val="Heading 4"/>
    <w:basedOn w:val="694"/>
    <w:next w:val="694"/>
    <w:link w:val="89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9">
    <w:name w:val="Heading 5"/>
    <w:basedOn w:val="694"/>
    <w:next w:val="694"/>
    <w:link w:val="899"/>
    <w:uiPriority w:val="0"/>
    <w:unhideWhenUsed/>
    <w:qFormat/>
    <w:pPr>
      <w:keepLines/>
      <w:keepNext/>
      <w:spacing w:before="280" w:after="290" w:line="376" w:lineRule="auto"/>
      <w:outlineLvl w:val="4"/>
    </w:pPr>
    <w:rPr>
      <w:rFonts w:eastAsia="宋体"/>
      <w:b/>
      <w:bCs/>
      <w:sz w:val="28"/>
      <w:szCs w:val="28"/>
    </w:rPr>
  </w:style>
  <w:style w:type="paragraph" w:styleId="700">
    <w:name w:val="Heading 6"/>
    <w:basedOn w:val="694"/>
    <w:next w:val="694"/>
    <w:link w:val="900"/>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01">
    <w:name w:val="Heading 7"/>
    <w:basedOn w:val="694"/>
    <w:next w:val="694"/>
    <w:link w:val="901"/>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02">
    <w:name w:val="Heading 8"/>
    <w:basedOn w:val="694"/>
    <w:next w:val="694"/>
    <w:link w:val="902"/>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03">
    <w:name w:val="Heading 9"/>
    <w:basedOn w:val="694"/>
    <w:next w:val="694"/>
    <w:link w:val="903"/>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04" w:default="1">
    <w:name w:val="Default Paragraph Font"/>
    <w:uiPriority w:val="1"/>
    <w:semiHidden/>
    <w:unhideWhenUsed/>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Body Text"/>
    <w:basedOn w:val="694"/>
    <w:link w:val="894"/>
    <w:uiPriority w:val="0"/>
    <w:unhideWhenUsed/>
    <w:qFormat/>
    <w:pPr>
      <w:spacing w:after="120"/>
    </w:pPr>
    <w:rPr>
      <w:sz w:val="20"/>
      <w:szCs w:val="20"/>
    </w:rPr>
  </w:style>
  <w:style w:type="paragraph" w:styleId="707">
    <w:name w:val="toc 7"/>
    <w:basedOn w:val="694"/>
    <w:next w:val="694"/>
    <w:uiPriority w:val="39"/>
    <w:unhideWhenUsed/>
    <w:qFormat/>
    <w:pPr>
      <w:ind w:left="2520" w:firstLine="200"/>
      <w:jc w:val="left"/>
    </w:pPr>
    <w:rPr>
      <w:rFonts w:ascii="Calibri" w:hAnsi="Calibri" w:eastAsia="仿宋" w:cs="Times New Roman"/>
      <w:sz w:val="28"/>
    </w:rPr>
  </w:style>
  <w:style w:type="paragraph" w:styleId="708">
    <w:name w:val="List Number"/>
    <w:basedOn w:val="694"/>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9">
    <w:name w:val="Normal Indent"/>
    <w:basedOn w:val="694"/>
    <w:uiPriority w:val="0"/>
    <w:unhideWhenUsed/>
    <w:qFormat/>
    <w:pPr>
      <w:ind w:firstLine="420"/>
      <w:jc w:val="left"/>
    </w:pPr>
    <w:rPr>
      <w:rFonts w:ascii="Times New Roman" w:hAnsi="Times New Roman" w:eastAsia="宋体"/>
      <w:sz w:val="28"/>
      <w:szCs w:val="24"/>
    </w:rPr>
  </w:style>
  <w:style w:type="paragraph" w:styleId="710">
    <w:name w:val="Caption"/>
    <w:basedOn w:val="694"/>
    <w:next w:val="694"/>
    <w:link w:val="1176"/>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11">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12">
    <w:name w:val="Document Map"/>
    <w:basedOn w:val="694"/>
    <w:link w:val="1374"/>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13">
    <w:name w:val="annotation text"/>
    <w:basedOn w:val="694"/>
    <w:link w:val="1013"/>
    <w:uiPriority w:val="0"/>
    <w:qFormat/>
    <w:pPr>
      <w:ind w:firstLine="200"/>
      <w:jc w:val="left"/>
    </w:pPr>
    <w:rPr>
      <w:rFonts w:ascii="Times New Roman" w:hAnsi="Times New Roman" w:eastAsia="仿宋"/>
      <w:sz w:val="28"/>
      <w:szCs w:val="24"/>
    </w:rPr>
  </w:style>
  <w:style w:type="paragraph" w:styleId="714">
    <w:name w:val="Body Text Indent"/>
    <w:basedOn w:val="694"/>
    <w:link w:val="1450"/>
    <w:uiPriority w:val="99"/>
    <w:semiHidden/>
    <w:unhideWhenUsed/>
    <w:qFormat/>
    <w:pPr>
      <w:ind w:left="420"/>
      <w:spacing w:after="120"/>
    </w:pPr>
    <w:rPr>
      <w:rFonts w:ascii="Calibri" w:hAnsi="Calibri" w:eastAsia="宋体" w:cs="Times New Roman"/>
    </w:rPr>
  </w:style>
  <w:style w:type="paragraph" w:styleId="715">
    <w:name w:val="List Bullet 2"/>
    <w:basedOn w:val="694"/>
    <w:uiPriority w:val="0"/>
    <w:qFormat/>
    <w:pPr>
      <w:contextualSpacing/>
      <w:ind w:left="780" w:hanging="360"/>
      <w:tabs>
        <w:tab w:val="left" w:pos="780" w:leader="none"/>
      </w:tabs>
    </w:pPr>
    <w:rPr>
      <w:rFonts w:ascii="Times New Roman" w:hAnsi="Times New Roman" w:eastAsia="宋体" w:cs="Times New Roman"/>
      <w:szCs w:val="24"/>
    </w:rPr>
  </w:style>
  <w:style w:type="paragraph" w:styleId="716">
    <w:name w:val="toc 5"/>
    <w:basedOn w:val="694"/>
    <w:next w:val="694"/>
    <w:uiPriority w:val="39"/>
    <w:unhideWhenUsed/>
    <w:qFormat/>
    <w:pPr>
      <w:ind w:left="1680" w:firstLine="200"/>
      <w:jc w:val="left"/>
    </w:pPr>
    <w:rPr>
      <w:rFonts w:ascii="Calibri" w:hAnsi="Calibri" w:eastAsia="仿宋" w:cs="Times New Roman"/>
      <w:sz w:val="28"/>
    </w:rPr>
  </w:style>
  <w:style w:type="paragraph" w:styleId="717">
    <w:name w:val="toc 3"/>
    <w:basedOn w:val="694"/>
    <w:next w:val="694"/>
    <w:uiPriority w:val="39"/>
    <w:unhideWhenUsed/>
    <w:qFormat/>
    <w:pPr>
      <w:ind w:left="840" w:firstLine="200"/>
      <w:jc w:val="left"/>
    </w:pPr>
    <w:rPr>
      <w:rFonts w:ascii="Calibri" w:hAnsi="Calibri" w:eastAsia="仿宋" w:cs="Times New Roman"/>
      <w:sz w:val="28"/>
      <w:szCs w:val="24"/>
    </w:rPr>
  </w:style>
  <w:style w:type="paragraph" w:styleId="718">
    <w:name w:val="Plain Text"/>
    <w:basedOn w:val="694"/>
    <w:link w:val="1375"/>
    <w:uiPriority w:val="0"/>
    <w:qFormat/>
    <w:pPr>
      <w:ind w:firstLine="200"/>
      <w:jc w:val="left"/>
      <w:spacing w:after="200" w:line="360" w:lineRule="auto"/>
      <w:widowControl/>
    </w:pPr>
    <w:rPr>
      <w:rFonts w:ascii="宋体" w:hAnsi="Courier New" w:eastAsia="仿宋"/>
      <w:sz w:val="24"/>
      <w:szCs w:val="20"/>
      <w:lang w:eastAsia="en-US"/>
    </w:rPr>
  </w:style>
  <w:style w:type="paragraph" w:styleId="719">
    <w:name w:val="toc 8"/>
    <w:basedOn w:val="694"/>
    <w:next w:val="694"/>
    <w:uiPriority w:val="39"/>
    <w:unhideWhenUsed/>
    <w:qFormat/>
    <w:pPr>
      <w:ind w:left="2940" w:firstLine="200"/>
      <w:jc w:val="left"/>
    </w:pPr>
    <w:rPr>
      <w:rFonts w:ascii="Calibri" w:hAnsi="Calibri" w:eastAsia="仿宋" w:cs="Times New Roman"/>
      <w:sz w:val="28"/>
    </w:rPr>
  </w:style>
  <w:style w:type="paragraph" w:styleId="720">
    <w:name w:val="endnote text"/>
    <w:basedOn w:val="694"/>
    <w:link w:val="891"/>
    <w:uiPriority w:val="99"/>
    <w:semiHidden/>
    <w:unhideWhenUsed/>
    <w:qFormat/>
    <w:rPr>
      <w:sz w:val="20"/>
    </w:rPr>
  </w:style>
  <w:style w:type="paragraph" w:styleId="721">
    <w:name w:val="Balloon Text"/>
    <w:basedOn w:val="694"/>
    <w:link w:val="1376"/>
    <w:uiPriority w:val="99"/>
    <w:unhideWhenUsed/>
    <w:qFormat/>
    <w:pPr>
      <w:ind w:firstLine="200"/>
      <w:jc w:val="left"/>
    </w:pPr>
    <w:rPr>
      <w:sz w:val="18"/>
      <w:szCs w:val="18"/>
    </w:rPr>
  </w:style>
  <w:style w:type="paragraph" w:styleId="722">
    <w:name w:val="Footer"/>
    <w:basedOn w:val="694"/>
    <w:link w:val="1370"/>
    <w:uiPriority w:val="99"/>
    <w:unhideWhenUsed/>
    <w:qFormat/>
    <w:pPr>
      <w:jc w:val="left"/>
      <w:tabs>
        <w:tab w:val="center" w:pos="4153" w:leader="none"/>
        <w:tab w:val="right" w:pos="8306" w:leader="none"/>
      </w:tabs>
    </w:pPr>
    <w:rPr>
      <w:sz w:val="18"/>
      <w:szCs w:val="18"/>
    </w:rPr>
  </w:style>
  <w:style w:type="paragraph" w:styleId="723">
    <w:name w:val="Header"/>
    <w:basedOn w:val="694"/>
    <w:link w:val="13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94"/>
    <w:next w:val="694"/>
    <w:uiPriority w:val="39"/>
    <w:unhideWhenUsed/>
    <w:qFormat/>
    <w:pPr>
      <w:ind w:firstLine="200"/>
      <w:jc w:val="left"/>
    </w:pPr>
    <w:rPr>
      <w:rFonts w:ascii="Calibri" w:hAnsi="Calibri" w:eastAsia="仿宋" w:cs="Times New Roman"/>
      <w:b/>
      <w:sz w:val="28"/>
      <w:szCs w:val="24"/>
    </w:rPr>
  </w:style>
  <w:style w:type="paragraph" w:styleId="725">
    <w:name w:val="toc 4"/>
    <w:basedOn w:val="694"/>
    <w:next w:val="694"/>
    <w:uiPriority w:val="39"/>
    <w:unhideWhenUsed/>
    <w:qFormat/>
    <w:pPr>
      <w:ind w:left="1260" w:firstLine="200"/>
      <w:jc w:val="left"/>
    </w:pPr>
    <w:rPr>
      <w:rFonts w:ascii="Calibri" w:hAnsi="Calibri" w:eastAsia="仿宋" w:cs="Times New Roman"/>
      <w:sz w:val="28"/>
    </w:rPr>
  </w:style>
  <w:style w:type="paragraph" w:styleId="726">
    <w:name w:val="Subtitle"/>
    <w:basedOn w:val="694"/>
    <w:next w:val="694"/>
    <w:link w:val="1372"/>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7">
    <w:name w:val="footnote text"/>
    <w:basedOn w:val="694"/>
    <w:link w:val="1368"/>
    <w:uiPriority w:val="0"/>
    <w:qFormat/>
    <w:pPr>
      <w:spacing w:line="312" w:lineRule="atLeast"/>
    </w:pPr>
    <w:rPr>
      <w:rFonts w:ascii="Times New Roman" w:hAnsi="Times New Roman" w:eastAsia="宋体" w:cs="Times New Roman"/>
      <w:sz w:val="18"/>
      <w:szCs w:val="20"/>
    </w:rPr>
  </w:style>
  <w:style w:type="paragraph" w:styleId="728">
    <w:name w:val="toc 6"/>
    <w:basedOn w:val="694"/>
    <w:next w:val="694"/>
    <w:uiPriority w:val="39"/>
    <w:unhideWhenUsed/>
    <w:qFormat/>
    <w:pPr>
      <w:ind w:left="2100" w:firstLine="200"/>
      <w:jc w:val="left"/>
    </w:pPr>
    <w:rPr>
      <w:rFonts w:ascii="Calibri" w:hAnsi="Calibri" w:eastAsia="仿宋" w:cs="Times New Roman"/>
      <w:sz w:val="28"/>
    </w:rPr>
  </w:style>
  <w:style w:type="paragraph" w:styleId="729">
    <w:name w:val="Body Text Indent 3"/>
    <w:basedOn w:val="694"/>
    <w:link w:val="1373"/>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30">
    <w:name w:val="table of figures"/>
    <w:basedOn w:val="694"/>
    <w:next w:val="694"/>
    <w:uiPriority w:val="99"/>
    <w:unhideWhenUsed/>
    <w:qFormat/>
  </w:style>
  <w:style w:type="paragraph" w:styleId="731">
    <w:name w:val="toc 2"/>
    <w:basedOn w:val="694"/>
    <w:next w:val="694"/>
    <w:uiPriority w:val="39"/>
    <w:unhideWhenUsed/>
    <w:qFormat/>
    <w:pPr>
      <w:ind w:left="420" w:firstLine="200"/>
      <w:jc w:val="left"/>
    </w:pPr>
    <w:rPr>
      <w:rFonts w:ascii="Calibri" w:hAnsi="Calibri" w:eastAsia="仿宋" w:cs="Times New Roman"/>
      <w:sz w:val="28"/>
      <w:szCs w:val="24"/>
    </w:rPr>
  </w:style>
  <w:style w:type="paragraph" w:styleId="732">
    <w:name w:val="toc 9"/>
    <w:basedOn w:val="694"/>
    <w:next w:val="694"/>
    <w:uiPriority w:val="39"/>
    <w:unhideWhenUsed/>
    <w:qFormat/>
    <w:pPr>
      <w:ind w:left="3360" w:firstLine="200"/>
      <w:jc w:val="left"/>
    </w:pPr>
    <w:rPr>
      <w:rFonts w:ascii="Calibri" w:hAnsi="Calibri" w:eastAsia="仿宋" w:cs="Times New Roman"/>
      <w:sz w:val="28"/>
    </w:rPr>
  </w:style>
  <w:style w:type="paragraph" w:styleId="733">
    <w:name w:val="Normal (Web)"/>
    <w:basedOn w:val="69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34">
    <w:name w:val="Title"/>
    <w:basedOn w:val="694"/>
    <w:next w:val="694"/>
    <w:link w:val="1371"/>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35">
    <w:name w:val="Body Text First Indent"/>
    <w:basedOn w:val="706"/>
    <w:link w:val="1397"/>
    <w:uiPriority w:val="99"/>
    <w:semiHidden/>
    <w:unhideWhenUsed/>
    <w:qFormat/>
    <w:pPr>
      <w:ind w:firstLine="420"/>
    </w:pPr>
    <w:rPr>
      <w:sz w:val="21"/>
      <w:szCs w:val="22"/>
    </w:rPr>
  </w:style>
  <w:style w:type="table" w:styleId="736">
    <w:name w:val="Table Grid"/>
    <w:basedOn w:val="7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Strong"/>
    <w:basedOn w:val="704"/>
    <w:uiPriority w:val="0"/>
    <w:qFormat/>
    <w:rPr>
      <w:b/>
      <w:bCs/>
    </w:rPr>
  </w:style>
  <w:style w:type="character" w:styleId="738">
    <w:name w:val="endnote reference"/>
    <w:basedOn w:val="704"/>
    <w:uiPriority w:val="99"/>
    <w:semiHidden/>
    <w:unhideWhenUsed/>
    <w:qFormat/>
    <w:rPr>
      <w:vertAlign w:val="superscript"/>
    </w:rPr>
  </w:style>
  <w:style w:type="character" w:styleId="739">
    <w:name w:val="page number"/>
    <w:basedOn w:val="704"/>
    <w:uiPriority w:val="99"/>
    <w:qFormat/>
  </w:style>
  <w:style w:type="character" w:styleId="740">
    <w:name w:val="FollowedHyperlink"/>
    <w:uiPriority w:val="99"/>
    <w:qFormat/>
    <w:rPr>
      <w:color w:val="800080"/>
      <w:u w:val="single"/>
    </w:rPr>
  </w:style>
  <w:style w:type="character" w:styleId="741">
    <w:name w:val="Emphasis"/>
    <w:uiPriority w:val="20"/>
    <w:qFormat/>
    <w:rPr>
      <w:rFonts w:ascii="宋体" w:eastAsia="仿宋"/>
      <w:iCs/>
      <w:color w:val="auto"/>
      <w:sz w:val="28"/>
      <w:u w:val="single"/>
    </w:rPr>
  </w:style>
  <w:style w:type="character" w:styleId="742">
    <w:name w:val="Hyperlink"/>
    <w:uiPriority w:val="99"/>
    <w:qFormat/>
    <w:rPr>
      <w:color w:val="0000ff"/>
      <w:u w:val="single"/>
    </w:rPr>
  </w:style>
  <w:style w:type="character" w:styleId="743">
    <w:name w:val="annotation reference"/>
    <w:uiPriority w:val="0"/>
    <w:qFormat/>
    <w:rPr>
      <w:rFonts w:eastAsia="宋体"/>
      <w:sz w:val="18"/>
    </w:rPr>
  </w:style>
  <w:style w:type="character" w:styleId="744">
    <w:name w:val="footnote reference"/>
    <w:uiPriority w:val="0"/>
    <w:qFormat/>
    <w:rPr>
      <w:vertAlign w:val="superscript"/>
    </w:rPr>
  </w:style>
  <w:style w:type="paragraph" w:styleId="745" w:customStyle="1">
    <w:name w:val="段"/>
    <w:next w:val="694"/>
    <w:link w:val="893"/>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46" w:customStyle="1">
    <w:name w:val="Endnote Text Char"/>
    <w:uiPriority w:val="99"/>
    <w:qFormat/>
    <w:rPr>
      <w:sz w:val="20"/>
    </w:rPr>
  </w:style>
  <w:style w:type="character" w:styleId="747" w:customStyle="1">
    <w:name w:val="Heading 1 Char"/>
    <w:basedOn w:val="704"/>
    <w:uiPriority w:val="9"/>
    <w:qFormat/>
    <w:rPr>
      <w:rFonts w:ascii="Arial" w:hAnsi="Arial" w:eastAsia="Arial" w:cs="Arial"/>
      <w:sz w:val="40"/>
      <w:szCs w:val="40"/>
    </w:rPr>
  </w:style>
  <w:style w:type="character" w:styleId="748" w:customStyle="1">
    <w:name w:val="Heading 2 Char"/>
    <w:basedOn w:val="704"/>
    <w:uiPriority w:val="9"/>
    <w:qFormat/>
    <w:rPr>
      <w:rFonts w:ascii="Arial" w:hAnsi="Arial" w:eastAsia="Arial" w:cs="Arial"/>
      <w:sz w:val="34"/>
    </w:rPr>
  </w:style>
  <w:style w:type="character" w:styleId="749" w:customStyle="1">
    <w:name w:val="Heading 3 Char"/>
    <w:basedOn w:val="704"/>
    <w:uiPriority w:val="9"/>
    <w:qFormat/>
    <w:rPr>
      <w:rFonts w:ascii="Arial" w:hAnsi="Arial" w:eastAsia="Arial" w:cs="Arial"/>
      <w:sz w:val="30"/>
      <w:szCs w:val="30"/>
    </w:rPr>
  </w:style>
  <w:style w:type="character" w:styleId="750" w:customStyle="1">
    <w:name w:val="Heading 4 Char"/>
    <w:basedOn w:val="704"/>
    <w:link w:val="751"/>
    <w:uiPriority w:val="9"/>
    <w:qFormat/>
    <w:rPr>
      <w:rFonts w:ascii="Arial" w:hAnsi="Arial" w:eastAsia="Arial" w:cs="Arial"/>
      <w:b/>
      <w:bCs/>
      <w:sz w:val="26"/>
      <w:szCs w:val="26"/>
    </w:rPr>
  </w:style>
  <w:style w:type="paragraph" w:styleId="751" w:customStyle="1">
    <w:name w:val="标题 42"/>
    <w:basedOn w:val="694"/>
    <w:next w:val="752"/>
    <w:link w:val="750"/>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52" w:customStyle="1">
    <w:name w:val="标题 41"/>
    <w:basedOn w:val="694"/>
    <w:next w:val="694"/>
    <w:link w:val="908"/>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53" w:customStyle="1">
    <w:name w:val="Heading 5 Char"/>
    <w:basedOn w:val="704"/>
    <w:uiPriority w:val="9"/>
    <w:qFormat/>
    <w:rPr>
      <w:rFonts w:ascii="Arial" w:hAnsi="Arial" w:eastAsia="Arial" w:cs="Arial"/>
      <w:b/>
      <w:bCs/>
      <w:sz w:val="24"/>
      <w:szCs w:val="24"/>
    </w:rPr>
  </w:style>
  <w:style w:type="character" w:styleId="754" w:customStyle="1">
    <w:name w:val="Heading 6 Char"/>
    <w:basedOn w:val="704"/>
    <w:uiPriority w:val="9"/>
    <w:qFormat/>
    <w:rPr>
      <w:rFonts w:ascii="Arial" w:hAnsi="Arial" w:eastAsia="Arial" w:cs="Arial"/>
      <w:b/>
      <w:bCs/>
      <w:sz w:val="22"/>
      <w:szCs w:val="22"/>
    </w:rPr>
  </w:style>
  <w:style w:type="character" w:styleId="755" w:customStyle="1">
    <w:name w:val="Heading 7 Char"/>
    <w:basedOn w:val="704"/>
    <w:uiPriority w:val="9"/>
    <w:qFormat/>
    <w:rPr>
      <w:rFonts w:ascii="Arial" w:hAnsi="Arial" w:eastAsia="Arial" w:cs="Arial"/>
      <w:b/>
      <w:bCs/>
      <w:i/>
      <w:iCs/>
      <w:sz w:val="22"/>
      <w:szCs w:val="22"/>
    </w:rPr>
  </w:style>
  <w:style w:type="character" w:styleId="756" w:customStyle="1">
    <w:name w:val="Heading 8 Char"/>
    <w:basedOn w:val="704"/>
    <w:uiPriority w:val="9"/>
    <w:qFormat/>
    <w:rPr>
      <w:rFonts w:ascii="Arial" w:hAnsi="Arial" w:eastAsia="Arial" w:cs="Arial"/>
      <w:i/>
      <w:iCs/>
      <w:sz w:val="22"/>
      <w:szCs w:val="22"/>
    </w:rPr>
  </w:style>
  <w:style w:type="character" w:styleId="757" w:customStyle="1">
    <w:name w:val="Heading 9 Char"/>
    <w:basedOn w:val="704"/>
    <w:uiPriority w:val="9"/>
    <w:qFormat/>
    <w:rPr>
      <w:rFonts w:ascii="Arial" w:hAnsi="Arial" w:eastAsia="Arial" w:cs="Arial"/>
      <w:i/>
      <w:iCs/>
      <w:sz w:val="21"/>
      <w:szCs w:val="21"/>
    </w:rPr>
  </w:style>
  <w:style w:type="character" w:styleId="758" w:customStyle="1">
    <w:name w:val="Title Char"/>
    <w:basedOn w:val="704"/>
    <w:uiPriority w:val="10"/>
    <w:qFormat/>
    <w:rPr>
      <w:sz w:val="48"/>
      <w:szCs w:val="48"/>
    </w:rPr>
  </w:style>
  <w:style w:type="character" w:styleId="759" w:customStyle="1">
    <w:name w:val="Subtitle Char"/>
    <w:basedOn w:val="704"/>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Header Char"/>
    <w:basedOn w:val="704"/>
    <w:uiPriority w:val="99"/>
    <w:qFormat/>
  </w:style>
  <w:style w:type="character" w:styleId="763" w:customStyle="1">
    <w:name w:val="Footer Char"/>
    <w:basedOn w:val="704"/>
    <w:uiPriority w:val="99"/>
    <w:qFormat/>
  </w:style>
  <w:style w:type="character" w:styleId="764" w:customStyle="1">
    <w:name w:val="Caption Char"/>
    <w:uiPriority w:val="99"/>
    <w:qFormat/>
  </w:style>
  <w:style w:type="table" w:styleId="765" w:customStyle="1">
    <w:name w:val="Table Grid Light"/>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无格式表格 1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31"/>
    <w:basedOn w:val="7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无格式表格 41"/>
    <w:basedOn w:val="7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无格式表格 51"/>
    <w:basedOn w:val="70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网格表 1 浅色1"/>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7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7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7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7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7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7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7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7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7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7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70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70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网格表 3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7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7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7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7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70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70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70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4" w:customStyle="1">
    <w:name w:val="Grid Table 4 - Accent 2"/>
    <w:basedOn w:val="7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5" w:customStyle="1">
    <w:name w:val="Grid Table 4 - Accent 3"/>
    <w:basedOn w:val="7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6" w:customStyle="1">
    <w:name w:val="Grid Table 4 - Accent 4"/>
    <w:basedOn w:val="7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7" w:customStyle="1">
    <w:name w:val="Grid Table 4 - Accent 5"/>
    <w:basedOn w:val="70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8" w:customStyle="1">
    <w:name w:val="Grid Table 4 - Accent 6"/>
    <w:basedOn w:val="7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9"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1" w:customStyle="1">
    <w:name w:val="Grid Table 5 Dark - Accent 2"/>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2" w:customStyle="1">
    <w:name w:val="Grid Table 5 Dark - Accent 3"/>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3" w:customStyle="1">
    <w:name w:val="Grid Table 5 Dark- Accent 4"/>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4" w:customStyle="1">
    <w:name w:val="Grid Table 5 Dark - Accent 5"/>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5" w:customStyle="1">
    <w:name w:val="Grid Table 5 Dark - Accent 6"/>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6" w:customStyle="1">
    <w:name w:val="网格表 6 彩色1"/>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07" w:customStyle="1">
    <w:name w:val="Grid Table 6 Colorful - Accent 1"/>
    <w:basedOn w:val="70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08" w:customStyle="1">
    <w:name w:val="Grid Table 6 Colorful - Accent 2"/>
    <w:basedOn w:val="7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09" w:customStyle="1">
    <w:name w:val="Grid Table 6 Colorful - Accent 3"/>
    <w:basedOn w:val="7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10" w:customStyle="1">
    <w:name w:val="Grid Table 6 Colorful - Accent 4"/>
    <w:basedOn w:val="7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11" w:customStyle="1">
    <w:name w:val="Grid Table 6 Colorful - Accent 5"/>
    <w:basedOn w:val="70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2" w:customStyle="1">
    <w:name w:val="Grid Table 6 Colorful - Accent 6"/>
    <w:basedOn w:val="7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3" w:customStyle="1">
    <w:name w:val="网格表 7 彩色1"/>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70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7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7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7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70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7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0" w:customStyle="1">
    <w:name w:val="清单表 1 浅色1"/>
    <w:basedOn w:val="70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70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70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70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70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70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70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清单表 21"/>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70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9" w:customStyle="1">
    <w:name w:val="List Table 2 - Accent 2"/>
    <w:basedOn w:val="7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0" w:customStyle="1">
    <w:name w:val="List Table 2 - Accent 3"/>
    <w:basedOn w:val="7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1" w:customStyle="1">
    <w:name w:val="List Table 2 - Accent 4"/>
    <w:basedOn w:val="7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2" w:customStyle="1">
    <w:name w:val="List Table 2 - Accent 5"/>
    <w:basedOn w:val="70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3" w:customStyle="1">
    <w:name w:val="List Table 2 - Accent 6"/>
    <w:basedOn w:val="7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4"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70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3 - Accent 2"/>
    <w:basedOn w:val="7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7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7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70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7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1"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70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3" w:customStyle="1">
    <w:name w:val="List Table 4 - Accent 2"/>
    <w:basedOn w:val="7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4" w:customStyle="1">
    <w:name w:val="List Table 4 - Accent 3"/>
    <w:basedOn w:val="7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5" w:customStyle="1">
    <w:name w:val="List Table 4 - Accent 4"/>
    <w:basedOn w:val="7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6" w:customStyle="1">
    <w:name w:val="List Table 4 - Accent 5"/>
    <w:basedOn w:val="70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7" w:customStyle="1">
    <w:name w:val="List Table 4 - Accent 6"/>
    <w:basedOn w:val="7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8" w:customStyle="1">
    <w:name w:val="清单表 5 深色1"/>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9" w:customStyle="1">
    <w:name w:val="List Table 5 Dark - Accent 1"/>
    <w:basedOn w:val="70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0" w:customStyle="1">
    <w:name w:val="List Table 5 Dark - Accent 2"/>
    <w:basedOn w:val="7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51" w:customStyle="1">
    <w:name w:val="List Table 5 Dark - Accent 3"/>
    <w:basedOn w:val="7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2" w:customStyle="1">
    <w:name w:val="List Table 5 Dark - Accent 4"/>
    <w:basedOn w:val="7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53" w:customStyle="1">
    <w:name w:val="List Table 5 Dark - Accent 5"/>
    <w:basedOn w:val="70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54" w:customStyle="1">
    <w:name w:val="List Table 5 Dark - Accent 6"/>
    <w:basedOn w:val="7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55" w:customStyle="1">
    <w:name w:val="清单表 6 彩色1"/>
    <w:basedOn w:val="70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6" w:customStyle="1">
    <w:name w:val="List Table 6 Colorful - Accent 1"/>
    <w:basedOn w:val="70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57" w:customStyle="1">
    <w:name w:val="List Table 6 Colorful - Accent 2"/>
    <w:basedOn w:val="70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58" w:customStyle="1">
    <w:name w:val="List Table 6 Colorful - Accent 3"/>
    <w:basedOn w:val="70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59" w:customStyle="1">
    <w:name w:val="List Table 6 Colorful - Accent 4"/>
    <w:basedOn w:val="70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60" w:customStyle="1">
    <w:name w:val="List Table 6 Colorful - Accent 5"/>
    <w:basedOn w:val="70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61" w:customStyle="1">
    <w:name w:val="List Table 6 Colorful - Accent 6"/>
    <w:basedOn w:val="70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62" w:customStyle="1">
    <w:name w:val="清单表 7 彩色1"/>
    <w:basedOn w:val="70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70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70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70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70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70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70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Lined - Accent 2"/>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Lined - Accent 3"/>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Lined - Accent 4"/>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Lined - Accent 5"/>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Lined - Accent 6"/>
    <w:basedOn w:val="70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amp; Lined - Accent"/>
    <w:basedOn w:val="7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70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8" w:customStyle="1">
    <w:name w:val="Bordered &amp; Lined - Accent 2"/>
    <w:basedOn w:val="7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9" w:customStyle="1">
    <w:name w:val="Bordered &amp; Lined - Accent 3"/>
    <w:basedOn w:val="7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Bordered &amp; Lined - Accent 4"/>
    <w:basedOn w:val="7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1" w:customStyle="1">
    <w:name w:val="Bordered &amp; Lined - Accent 5"/>
    <w:basedOn w:val="70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2" w:customStyle="1">
    <w:name w:val="Bordered &amp; Lined - Accent 6"/>
    <w:basedOn w:val="7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w:basedOn w:val="7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7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5" w:customStyle="1">
    <w:name w:val="Bordered - Accent 2"/>
    <w:basedOn w:val="7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6" w:customStyle="1">
    <w:name w:val="Bordered - Accent 3"/>
    <w:basedOn w:val="7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7" w:customStyle="1">
    <w:name w:val="Bordered - Accent 4"/>
    <w:basedOn w:val="7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8" w:customStyle="1">
    <w:name w:val="Bordered - Accent 5"/>
    <w:basedOn w:val="7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9" w:customStyle="1">
    <w:name w:val="Bordered - Accent 6"/>
    <w:basedOn w:val="7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0" w:customStyle="1">
    <w:name w:val="Footnote Text Char"/>
    <w:uiPriority w:val="99"/>
    <w:qFormat/>
    <w:rPr>
      <w:sz w:val="18"/>
    </w:rPr>
  </w:style>
  <w:style w:type="character" w:styleId="891" w:customStyle="1">
    <w:name w:val="尾注文本 Char"/>
    <w:link w:val="720"/>
    <w:uiPriority w:val="99"/>
    <w:qFormat/>
    <w:rPr>
      <w:sz w:val="20"/>
    </w:rPr>
  </w:style>
  <w:style w:type="paragraph" w:styleId="892" w:customStyle="1">
    <w:name w:val="TOC 标题1"/>
    <w:uiPriority w:val="39"/>
    <w:unhideWhenUsed/>
    <w:qFormat/>
    <w:rPr>
      <w:rFonts w:asciiTheme="minorHAnsi" w:hAnsiTheme="minorHAnsi" w:eastAsiaTheme="minorEastAsia" w:cstheme="minorBidi"/>
      <w:lang w:val="en-US" w:eastAsia="zh-CN" w:bidi="ar-SA"/>
    </w:rPr>
  </w:style>
  <w:style w:type="character" w:styleId="893" w:customStyle="1">
    <w:name w:val="段 Char"/>
    <w:link w:val="745"/>
    <w:uiPriority w:val="0"/>
    <w:qFormat/>
    <w:rPr>
      <w:rFonts w:ascii="宋体"/>
    </w:rPr>
  </w:style>
  <w:style w:type="character" w:styleId="894" w:customStyle="1">
    <w:name w:val="正文文本 Char1"/>
    <w:basedOn w:val="704"/>
    <w:link w:val="706"/>
    <w:uiPriority w:val="0"/>
    <w:qFormat/>
  </w:style>
  <w:style w:type="character" w:styleId="895" w:customStyle="1">
    <w:name w:val="标题 1 Char1"/>
    <w:basedOn w:val="704"/>
    <w:link w:val="695"/>
    <w:uiPriority w:val="0"/>
    <w:qFormat/>
    <w:rPr>
      <w:rFonts w:ascii="Times New Roman" w:hAnsi="Times New Roman" w:eastAsia="黑体"/>
      <w:b/>
      <w:bCs/>
      <w:spacing w:val="20"/>
      <w:sz w:val="48"/>
      <w:szCs w:val="44"/>
    </w:rPr>
  </w:style>
  <w:style w:type="character" w:styleId="896" w:customStyle="1">
    <w:name w:val="标题 2 Char1"/>
    <w:basedOn w:val="704"/>
    <w:link w:val="696"/>
    <w:uiPriority w:val="0"/>
    <w:qFormat/>
    <w:rPr>
      <w:rFonts w:asciiTheme="majorHAnsi" w:hAnsiTheme="majorHAnsi" w:eastAsiaTheme="majorEastAsia" w:cstheme="majorBidi"/>
      <w:b/>
      <w:bCs/>
      <w:sz w:val="32"/>
      <w:szCs w:val="32"/>
    </w:rPr>
  </w:style>
  <w:style w:type="character" w:styleId="897" w:customStyle="1">
    <w:name w:val="标题 3 Char1"/>
    <w:basedOn w:val="704"/>
    <w:link w:val="697"/>
    <w:uiPriority w:val="9"/>
    <w:qFormat/>
    <w:rPr>
      <w:b/>
      <w:bCs/>
      <w:sz w:val="32"/>
      <w:szCs w:val="32"/>
    </w:rPr>
  </w:style>
  <w:style w:type="character" w:styleId="898" w:customStyle="1">
    <w:name w:val="标题 4 Char1"/>
    <w:basedOn w:val="704"/>
    <w:link w:val="698"/>
    <w:uiPriority w:val="9"/>
    <w:qFormat/>
    <w:rPr>
      <w:rFonts w:asciiTheme="majorHAnsi" w:hAnsiTheme="majorHAnsi" w:eastAsiaTheme="majorEastAsia" w:cstheme="majorBidi"/>
      <w:b/>
      <w:bCs/>
      <w:sz w:val="28"/>
      <w:szCs w:val="28"/>
    </w:rPr>
  </w:style>
  <w:style w:type="character" w:styleId="899" w:customStyle="1">
    <w:name w:val="标题 5 Char1"/>
    <w:basedOn w:val="704"/>
    <w:link w:val="699"/>
    <w:uiPriority w:val="0"/>
    <w:qFormat/>
    <w:rPr>
      <w:rFonts w:eastAsia="宋体"/>
      <w:b/>
      <w:bCs/>
      <w:sz w:val="28"/>
      <w:szCs w:val="28"/>
    </w:rPr>
  </w:style>
  <w:style w:type="character" w:styleId="900" w:customStyle="1">
    <w:name w:val="标题 6 Char"/>
    <w:link w:val="700"/>
    <w:uiPriority w:val="0"/>
    <w:qFormat/>
    <w:rPr>
      <w:rFonts w:ascii="Calibri" w:hAnsi="Calibri" w:eastAsia="黑体" w:cs="Times New Roman"/>
      <w:b/>
      <w:bCs/>
      <w:sz w:val="28"/>
      <w:szCs w:val="24"/>
    </w:rPr>
  </w:style>
  <w:style w:type="character" w:styleId="901" w:customStyle="1">
    <w:name w:val="标题 7 Char"/>
    <w:link w:val="701"/>
    <w:uiPriority w:val="0"/>
    <w:qFormat/>
    <w:rPr>
      <w:rFonts w:ascii="Calibri" w:hAnsi="Calibri" w:eastAsia="黑体" w:cs="Times New Roman"/>
      <w:b/>
      <w:bCs/>
    </w:rPr>
  </w:style>
  <w:style w:type="character" w:styleId="902" w:customStyle="1">
    <w:name w:val="标题 8 Char"/>
    <w:link w:val="702"/>
    <w:uiPriority w:val="0"/>
    <w:qFormat/>
    <w:rPr>
      <w:rFonts w:ascii="Calibri" w:hAnsi="Calibri" w:eastAsia="黑体" w:cs="Times New Roman"/>
    </w:rPr>
  </w:style>
  <w:style w:type="character" w:styleId="903" w:customStyle="1">
    <w:name w:val="标题 9 Char"/>
    <w:link w:val="703"/>
    <w:uiPriority w:val="0"/>
    <w:qFormat/>
    <w:rPr>
      <w:rFonts w:ascii="Calibri" w:hAnsi="Calibri" w:eastAsia="黑体" w:cs="Times New Roman"/>
      <w:b/>
    </w:rPr>
  </w:style>
  <w:style w:type="paragraph" w:styleId="904" w:customStyle="1">
    <w:name w:val="正文段落内容"/>
    <w:basedOn w:val="694"/>
    <w:link w:val="905"/>
    <w:uiPriority w:val="0"/>
    <w:qFormat/>
    <w:pPr>
      <w:ind w:firstLine="200"/>
      <w:jc w:val="left"/>
    </w:pPr>
    <w:rPr>
      <w:rFonts w:ascii="Times New Roman" w:hAnsi="Times New Roman"/>
      <w:sz w:val="20"/>
      <w:szCs w:val="24"/>
      <w:lang w:bidi="en-US"/>
    </w:rPr>
  </w:style>
  <w:style w:type="character" w:styleId="905" w:customStyle="1">
    <w:name w:val="正文段落内容 Char"/>
    <w:link w:val="904"/>
    <w:uiPriority w:val="0"/>
    <w:qFormat/>
    <w:rPr>
      <w:rFonts w:ascii="Times New Roman" w:hAnsi="Times New Roman"/>
      <w:szCs w:val="24"/>
      <w:lang w:bidi="en-US"/>
    </w:rPr>
  </w:style>
  <w:style w:type="paragraph" w:styleId="906" w:customStyle="1">
    <w:name w:val="标题 21"/>
    <w:basedOn w:val="694"/>
    <w:next w:val="694"/>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07" w:customStyle="1">
    <w:name w:val="标题 31"/>
    <w:basedOn w:val="694"/>
    <w:next w:val="694"/>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08" w:customStyle="1">
    <w:name w:val="标题 4 Char"/>
    <w:link w:val="752"/>
    <w:uiPriority w:val="9"/>
    <w:qFormat/>
    <w:rPr>
      <w:rFonts w:ascii="Cambria" w:hAnsi="Cambria" w:eastAsia="宋体" w:cs="Times New Roman"/>
      <w:b/>
      <w:bCs/>
      <w:sz w:val="28"/>
      <w:szCs w:val="28"/>
    </w:rPr>
  </w:style>
  <w:style w:type="paragraph" w:styleId="909" w:customStyle="1">
    <w:name w:val="标题 51"/>
    <w:basedOn w:val="694"/>
    <w:next w:val="694"/>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10" w:customStyle="1">
    <w:name w:val="标题 61"/>
    <w:basedOn w:val="694"/>
    <w:next w:val="694"/>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11" w:customStyle="1">
    <w:name w:val="标题 71"/>
    <w:basedOn w:val="694"/>
    <w:next w:val="694"/>
    <w:link w:val="912"/>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12" w:customStyle="1">
    <w:name w:val="标题 7 Char1"/>
    <w:link w:val="911"/>
    <w:uiPriority w:val="0"/>
    <w:qFormat/>
    <w:rPr>
      <w:rFonts w:ascii="Calibri" w:hAnsi="Calibri" w:eastAsia="宋体" w:cs="Times New Roman"/>
      <w:b/>
      <w:bCs/>
      <w:sz w:val="24"/>
      <w:szCs w:val="24"/>
    </w:rPr>
  </w:style>
  <w:style w:type="paragraph" w:styleId="913" w:customStyle="1">
    <w:name w:val="标题 81"/>
    <w:basedOn w:val="694"/>
    <w:next w:val="694"/>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14" w:customStyle="1">
    <w:name w:val="标题 91"/>
    <w:basedOn w:val="694"/>
    <w:next w:val="694"/>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15" w:customStyle="1">
    <w:name w:val="样式 样式 正文缩进四号ALT+Z段1 Char Char Char段1 Char Char标题4body text鋘d... ...1"/>
    <w:basedOn w:val="694"/>
    <w:link w:val="916"/>
    <w:uiPriority w:val="0"/>
    <w:qFormat/>
    <w:rPr>
      <w:rFonts w:ascii="宋体" w:hAnsi="宋体" w:eastAsia="宋体" w:cs="Times New Roman"/>
      <w:sz w:val="20"/>
      <w:szCs w:val="21"/>
    </w:rPr>
  </w:style>
  <w:style w:type="character" w:styleId="916" w:customStyle="1">
    <w:name w:val="样式 样式 正文缩进四号ALT+Z段1 Char Char Char段1 Char Char标题4body text鋘d... ...1 Char Char"/>
    <w:link w:val="915"/>
    <w:uiPriority w:val="0"/>
    <w:qFormat/>
    <w:rPr>
      <w:rFonts w:ascii="宋体" w:hAnsi="宋体" w:eastAsia="宋体" w:cs="Times New Roman"/>
      <w:szCs w:val="21"/>
    </w:rPr>
  </w:style>
  <w:style w:type="paragraph" w:styleId="917" w:customStyle="1">
    <w:name w:val="AC-Image-图片"/>
    <w:next w:val="694"/>
    <w:uiPriority w:val="0"/>
    <w:qFormat/>
    <w:pPr>
      <w:jc w:val="center"/>
    </w:pPr>
    <w:rPr>
      <w:rFonts w:ascii="Times New Roman" w:hAnsi="Times New Roman" w:eastAsia="宋体" w:cs="Calibri"/>
      <w:sz w:val="24"/>
      <w:szCs w:val="21"/>
      <w:lang w:val="en-US" w:eastAsia="zh-CN" w:bidi="ar-SA"/>
    </w:rPr>
  </w:style>
  <w:style w:type="paragraph" w:styleId="918" w:customStyle="1">
    <w:name w:val="AC-Image-图表标题"/>
    <w:uiPriority w:val="0"/>
    <w:qFormat/>
    <w:pPr>
      <w:jc w:val="center"/>
    </w:pPr>
    <w:rPr>
      <w:rFonts w:ascii="Times New Roman" w:hAnsi="Times New Roman" w:eastAsia="微软雅黑" w:cs="宋体"/>
      <w:sz w:val="21"/>
      <w:lang w:val="en-US" w:eastAsia="zh-CN" w:bidi="ar-SA"/>
    </w:rPr>
  </w:style>
  <w:style w:type="paragraph" w:styleId="919" w:customStyle="1">
    <w:name w:val="列项"/>
    <w:basedOn w:val="694"/>
    <w:uiPriority w:val="0"/>
    <w:qFormat/>
    <w:pPr>
      <w:ind w:left="425" w:hanging="425"/>
      <w:jc w:val="left"/>
      <w:widowControl/>
    </w:pPr>
    <w:rPr>
      <w:rFonts w:ascii="宋体" w:hAnsi="Calibri" w:eastAsia="仿宋" w:cs="Times New Roman"/>
      <w:sz w:val="28"/>
      <w:szCs w:val="24"/>
    </w:rPr>
  </w:style>
  <w:style w:type="character" w:styleId="920" w:customStyle="1">
    <w:name w:val="标题 7 字符"/>
    <w:basedOn w:val="704"/>
    <w:uiPriority w:val="9"/>
    <w:semiHidden/>
    <w:qFormat/>
    <w:rPr>
      <w:b/>
      <w:bCs/>
      <w:sz w:val="24"/>
      <w:szCs w:val="24"/>
    </w:rPr>
  </w:style>
  <w:style w:type="paragraph" w:styleId="921" w:customStyle="1">
    <w:name w:val="标书突出内容（文字加粗）"/>
    <w:basedOn w:val="904"/>
    <w:next w:val="904"/>
    <w:link w:val="922"/>
    <w:uiPriority w:val="0"/>
    <w:qFormat/>
    <w:rPr>
      <w:b/>
    </w:rPr>
  </w:style>
  <w:style w:type="character" w:styleId="922" w:customStyle="1">
    <w:name w:val="标书突出内容（文字加粗） Char"/>
    <w:link w:val="921"/>
    <w:uiPriority w:val="0"/>
    <w:qFormat/>
    <w:rPr>
      <w:rFonts w:ascii="Times New Roman" w:hAnsi="Times New Roman"/>
      <w:b/>
      <w:szCs w:val="24"/>
      <w:lang w:bidi="en-US"/>
    </w:rPr>
  </w:style>
  <w:style w:type="character" w:styleId="923" w:customStyle="1">
    <w:name w:val="webdict"/>
    <w:basedOn w:val="704"/>
    <w:uiPriority w:val="0"/>
    <w:qFormat/>
  </w:style>
  <w:style w:type="character" w:styleId="924" w:customStyle="1">
    <w:name w:val="明显参考1"/>
    <w:uiPriority w:val="0"/>
    <w:qFormat/>
    <w:rPr>
      <w:b/>
      <w:bCs/>
      <w:smallCaps/>
      <w:color w:val="c0504d"/>
      <w:spacing w:val="5"/>
      <w:u w:val="single"/>
    </w:rPr>
  </w:style>
  <w:style w:type="paragraph" w:styleId="925" w:customStyle="1">
    <w:name w:val="图片（居中）"/>
    <w:basedOn w:val="694"/>
    <w:next w:val="904"/>
    <w:link w:val="926"/>
    <w:uiPriority w:val="0"/>
    <w:qFormat/>
    <w:pPr>
      <w:jc w:val="center"/>
    </w:pPr>
    <w:rPr>
      <w:rFonts w:ascii="宋体" w:hAnsi="宋体"/>
      <w:sz w:val="24"/>
      <w:szCs w:val="24"/>
      <w:lang w:bidi="en-US"/>
    </w:rPr>
  </w:style>
  <w:style w:type="character" w:styleId="926" w:customStyle="1">
    <w:name w:val="图片（居中） Char"/>
    <w:link w:val="925"/>
    <w:uiPriority w:val="0"/>
    <w:qFormat/>
    <w:rPr>
      <w:rFonts w:ascii="宋体" w:hAnsi="宋体"/>
      <w:sz w:val="24"/>
      <w:szCs w:val="24"/>
      <w:lang w:bidi="en-US"/>
    </w:rPr>
  </w:style>
  <w:style w:type="paragraph" w:styleId="927" w:customStyle="1">
    <w:name w:val="页眉1"/>
    <w:basedOn w:val="694"/>
    <w:link w:val="928"/>
    <w:uiPriority w:val="0"/>
    <w:qFormat/>
    <w:pPr>
      <w:jc w:val="center"/>
      <w:tabs>
        <w:tab w:val="center" w:pos="4153" w:leader="none"/>
        <w:tab w:val="right" w:pos="8306" w:leader="none"/>
      </w:tabs>
      <w:pBdr>
        <w:bottom w:val="single" w:color="auto" w:sz="6" w:space="1"/>
      </w:pBdr>
    </w:pPr>
    <w:rPr>
      <w:sz w:val="18"/>
      <w:szCs w:val="18"/>
    </w:rPr>
  </w:style>
  <w:style w:type="character" w:styleId="928" w:customStyle="1">
    <w:name w:val="页眉 Char"/>
    <w:link w:val="927"/>
    <w:uiPriority w:val="99"/>
    <w:qFormat/>
    <w:rPr>
      <w:sz w:val="18"/>
      <w:szCs w:val="18"/>
    </w:rPr>
  </w:style>
  <w:style w:type="paragraph" w:styleId="929" w:customStyle="1">
    <w:name w:val="段落内容三级列表"/>
    <w:basedOn w:val="694"/>
    <w:link w:val="930"/>
    <w:uiPriority w:val="30"/>
    <w:qFormat/>
    <w:pPr>
      <w:ind w:left="4848" w:hanging="1418"/>
      <w:jc w:val="left"/>
      <w:tabs>
        <w:tab w:val="left" w:pos="4848" w:leader="none"/>
      </w:tabs>
    </w:pPr>
    <w:rPr>
      <w:rFonts w:ascii="宋体" w:hAnsi="宋体" w:eastAsia="仿宋"/>
      <w:sz w:val="28"/>
      <w:szCs w:val="24"/>
      <w:lang w:bidi="en-US"/>
    </w:rPr>
  </w:style>
  <w:style w:type="character" w:styleId="930" w:customStyle="1">
    <w:name w:val="段落内容三级列表 Char"/>
    <w:link w:val="929"/>
    <w:uiPriority w:val="30"/>
    <w:qFormat/>
    <w:rPr>
      <w:rFonts w:ascii="宋体" w:hAnsi="宋体" w:eastAsia="仿宋"/>
      <w:sz w:val="28"/>
      <w:szCs w:val="24"/>
      <w:lang w:bidi="en-US"/>
    </w:rPr>
  </w:style>
  <w:style w:type="paragraph" w:styleId="931" w:customStyle="1">
    <w:name w:val="段落内容一级列表"/>
    <w:basedOn w:val="694"/>
    <w:link w:val="932"/>
    <w:uiPriority w:val="29"/>
    <w:qFormat/>
    <w:pPr>
      <w:ind w:left="100" w:hanging="1276"/>
      <w:jc w:val="left"/>
      <w:tabs>
        <w:tab w:val="left" w:pos="4281" w:leader="none"/>
      </w:tabs>
    </w:pPr>
    <w:rPr>
      <w:rFonts w:ascii="宋体" w:hAnsi="宋体"/>
      <w:sz w:val="24"/>
      <w:szCs w:val="24"/>
      <w:lang w:bidi="en-US"/>
    </w:rPr>
  </w:style>
  <w:style w:type="character" w:styleId="932" w:customStyle="1">
    <w:name w:val="段落内容一级列表 Char"/>
    <w:link w:val="931"/>
    <w:uiPriority w:val="29"/>
    <w:qFormat/>
    <w:rPr>
      <w:rFonts w:ascii="宋体" w:hAnsi="宋体"/>
      <w:sz w:val="24"/>
      <w:szCs w:val="24"/>
      <w:lang w:bidi="en-US"/>
    </w:rPr>
  </w:style>
  <w:style w:type="character" w:styleId="933" w:customStyle="1">
    <w:name w:val="标题 3 Char"/>
    <w:uiPriority w:val="9"/>
    <w:qFormat/>
    <w:rPr>
      <w:rFonts w:eastAsia="黑体"/>
      <w:b/>
      <w:color w:val="000000"/>
      <w:sz w:val="28"/>
      <w:szCs w:val="32"/>
    </w:rPr>
  </w:style>
  <w:style w:type="paragraph" w:styleId="934" w:customStyle="1">
    <w:name w:val="段落内容无序列表"/>
    <w:basedOn w:val="694"/>
    <w:link w:val="935"/>
    <w:uiPriority w:val="32"/>
    <w:qFormat/>
    <w:pPr>
      <w:ind w:left="250" w:hanging="720"/>
      <w:jc w:val="left"/>
      <w:widowControl/>
      <w:tabs>
        <w:tab w:val="left" w:pos="720" w:leader="none"/>
      </w:tabs>
    </w:pPr>
    <w:rPr>
      <w:rFonts w:ascii="宋体" w:hAnsi="宋体" w:eastAsia="仿宋"/>
      <w:sz w:val="24"/>
      <w:szCs w:val="24"/>
      <w:lang w:bidi="en-US"/>
    </w:rPr>
  </w:style>
  <w:style w:type="character" w:styleId="935" w:customStyle="1">
    <w:name w:val="段落内容无序列表 Char"/>
    <w:link w:val="934"/>
    <w:uiPriority w:val="32"/>
    <w:qFormat/>
    <w:rPr>
      <w:rFonts w:ascii="宋体" w:hAnsi="宋体" w:eastAsia="仿宋"/>
      <w:sz w:val="24"/>
      <w:szCs w:val="24"/>
      <w:lang w:bidi="en-US"/>
    </w:rPr>
  </w:style>
  <w:style w:type="character" w:styleId="936" w:customStyle="1">
    <w:name w:val="书籍标题1"/>
    <w:uiPriority w:val="0"/>
    <w:qFormat/>
    <w:rPr>
      <w:b/>
      <w:bCs/>
      <w:smallCaps/>
      <w:spacing w:val="5"/>
    </w:rPr>
  </w:style>
  <w:style w:type="character" w:styleId="937" w:customStyle="1">
    <w:name w:val="明显强调1"/>
    <w:uiPriority w:val="21"/>
    <w:qFormat/>
    <w:rPr>
      <w:b/>
      <w:bCs/>
      <w:i/>
      <w:iCs/>
      <w:color w:val="4f81bd"/>
    </w:rPr>
  </w:style>
  <w:style w:type="character" w:styleId="938" w:customStyle="1">
    <w:name w:val="标题 5 Char"/>
    <w:uiPriority w:val="0"/>
    <w:qFormat/>
    <w:rPr>
      <w:rFonts w:eastAsia="黑体"/>
      <w:b/>
      <w:bCs/>
      <w:sz w:val="28"/>
      <w:szCs w:val="28"/>
      <w:lang w:bidi="en-US"/>
    </w:rPr>
  </w:style>
  <w:style w:type="paragraph" w:styleId="939" w:customStyle="1">
    <w:name w:val="标题 11"/>
    <w:basedOn w:val="694"/>
    <w:next w:val="694"/>
    <w:link w:val="940"/>
    <w:uiPriority w:val="0"/>
    <w:qFormat/>
    <w:pPr>
      <w:keepLines/>
      <w:keepNext/>
      <w:pageBreakBefore/>
      <w:spacing w:before="340" w:after="330" w:line="578" w:lineRule="auto"/>
      <w:outlineLvl w:val="0"/>
    </w:pPr>
    <w:rPr>
      <w:rFonts w:eastAsia="黑体"/>
      <w:b/>
      <w:bCs/>
      <w:sz w:val="32"/>
      <w:szCs w:val="44"/>
    </w:rPr>
  </w:style>
  <w:style w:type="character" w:styleId="940" w:customStyle="1">
    <w:name w:val="标题 1 Char"/>
    <w:link w:val="939"/>
    <w:uiPriority w:val="0"/>
    <w:qFormat/>
    <w:rPr>
      <w:rFonts w:eastAsia="黑体"/>
      <w:b/>
      <w:bCs/>
      <w:sz w:val="32"/>
      <w:szCs w:val="44"/>
    </w:rPr>
  </w:style>
  <w:style w:type="paragraph" w:styleId="941" w:customStyle="1">
    <w:name w:val="正文文本1"/>
    <w:basedOn w:val="694"/>
    <w:link w:val="942"/>
    <w:uiPriority w:val="0"/>
    <w:qFormat/>
    <w:pPr>
      <w:spacing w:after="120"/>
    </w:pPr>
    <w:rPr>
      <w:rFonts w:ascii="Times New Roman" w:hAnsi="Times New Roman" w:eastAsia="仿宋"/>
      <w:sz w:val="28"/>
      <w:szCs w:val="24"/>
    </w:rPr>
  </w:style>
  <w:style w:type="character" w:styleId="942" w:customStyle="1">
    <w:name w:val="正文文本 Char"/>
    <w:link w:val="941"/>
    <w:uiPriority w:val="0"/>
    <w:qFormat/>
    <w:rPr>
      <w:rFonts w:ascii="Times New Roman" w:hAnsi="Times New Roman" w:eastAsia="仿宋"/>
      <w:sz w:val="28"/>
      <w:szCs w:val="24"/>
    </w:rPr>
  </w:style>
  <w:style w:type="paragraph" w:styleId="943" w:customStyle="1">
    <w:name w:val="页脚1"/>
    <w:basedOn w:val="694"/>
    <w:link w:val="944"/>
    <w:uiPriority w:val="0"/>
    <w:qFormat/>
    <w:pPr>
      <w:jc w:val="left"/>
      <w:tabs>
        <w:tab w:val="center" w:pos="4153" w:leader="none"/>
        <w:tab w:val="right" w:pos="8306" w:leader="none"/>
      </w:tabs>
    </w:pPr>
    <w:rPr>
      <w:rFonts w:ascii="Times New Roman" w:hAnsi="Times New Roman"/>
      <w:sz w:val="18"/>
      <w:szCs w:val="18"/>
    </w:rPr>
  </w:style>
  <w:style w:type="character" w:styleId="944" w:customStyle="1">
    <w:name w:val="页脚 Char"/>
    <w:link w:val="943"/>
    <w:uiPriority w:val="99"/>
    <w:qFormat/>
    <w:rPr>
      <w:rFonts w:ascii="Times New Roman" w:hAnsi="Times New Roman"/>
      <w:sz w:val="18"/>
      <w:szCs w:val="18"/>
    </w:rPr>
  </w:style>
  <w:style w:type="character" w:styleId="945" w:customStyle="1">
    <w:name w:val="标题 2 Char"/>
    <w:uiPriority w:val="0"/>
    <w:qFormat/>
    <w:rPr>
      <w:rFonts w:eastAsia="黑体"/>
      <w:b/>
      <w:bCs/>
      <w:color w:val="000000"/>
      <w:sz w:val="30"/>
      <w:szCs w:val="32"/>
    </w:rPr>
  </w:style>
  <w:style w:type="character" w:styleId="946" w:customStyle="1">
    <w:name w:val="不明显参考1"/>
    <w:uiPriority w:val="0"/>
    <w:qFormat/>
    <w:rPr>
      <w:smallCaps/>
      <w:color w:val="c0504d"/>
      <w:u w:val="single"/>
    </w:rPr>
  </w:style>
  <w:style w:type="character" w:styleId="947" w:customStyle="1">
    <w:name w:val="不明显强调1"/>
    <w:uiPriority w:val="0"/>
    <w:qFormat/>
    <w:rPr>
      <w:i/>
      <w:iCs/>
      <w:color w:val="4040ff"/>
    </w:rPr>
  </w:style>
  <w:style w:type="paragraph" w:styleId="948" w:customStyle="1">
    <w:name w:val="章节71"/>
    <w:basedOn w:val="696"/>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9" w:customStyle="1">
    <w:name w:val="章节6.1"/>
    <w:basedOn w:val="696"/>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50" w:customStyle="1">
    <w:name w:val="章节2-1"/>
    <w:basedOn w:val="694"/>
    <w:uiPriority w:val="0"/>
    <w:qFormat/>
    <w:pPr>
      <w:jc w:val="left"/>
    </w:pPr>
    <w:rPr>
      <w:rFonts w:ascii="黑体" w:hAnsi="Calibri" w:eastAsia="黑体" w:cs="Times New Roman"/>
      <w:sz w:val="28"/>
      <w:szCs w:val="24"/>
    </w:rPr>
  </w:style>
  <w:style w:type="paragraph" w:styleId="951" w:customStyle="1">
    <w:name w:val="附录标题"/>
    <w:basedOn w:val="695"/>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52" w:customStyle="1">
    <w:name w:val="标题 字符"/>
    <w:basedOn w:val="704"/>
    <w:uiPriority w:val="10"/>
    <w:qFormat/>
    <w:rPr>
      <w:rFonts w:asciiTheme="majorHAnsi" w:hAnsiTheme="majorHAnsi" w:eastAsiaTheme="majorEastAsia" w:cstheme="majorBidi"/>
      <w:b/>
      <w:bCs/>
      <w:sz w:val="32"/>
      <w:szCs w:val="32"/>
    </w:rPr>
  </w:style>
  <w:style w:type="paragraph" w:styleId="953" w:customStyle="1">
    <w:name w:val="术语"/>
    <w:basedOn w:val="694"/>
    <w:uiPriority w:val="0"/>
    <w:qFormat/>
    <w:pPr>
      <w:ind w:firstLine="200"/>
      <w:jc w:val="left"/>
    </w:pPr>
    <w:rPr>
      <w:rFonts w:ascii="黑体" w:hAnsi="Calibri" w:eastAsia="黑体" w:cs="Times New Roman"/>
      <w:sz w:val="28"/>
      <w:szCs w:val="24"/>
    </w:rPr>
  </w:style>
  <w:style w:type="paragraph" w:styleId="954" w:customStyle="1">
    <w:name w:val="章节5.7.1"/>
    <w:basedOn w:val="697"/>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55" w:customStyle="1">
    <w:name w:val="章节2-3"/>
    <w:basedOn w:val="950"/>
    <w:uiPriority w:val="0"/>
    <w:qFormat/>
    <w:pPr>
      <w:ind w:left="567" w:hanging="567"/>
    </w:pPr>
  </w:style>
  <w:style w:type="paragraph" w:styleId="956" w:customStyle="1">
    <w:name w:val="章节3"/>
    <w:basedOn w:val="697"/>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57" w:customStyle="1">
    <w:name w:val="章节841"/>
    <w:basedOn w:val="697"/>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58" w:customStyle="1">
    <w:name w:val="Char"/>
    <w:basedOn w:val="694"/>
    <w:uiPriority w:val="0"/>
    <w:qFormat/>
    <w:pPr>
      <w:ind w:firstLine="200"/>
      <w:jc w:val="left"/>
    </w:pPr>
    <w:rPr>
      <w:rFonts w:ascii="Calibri" w:hAnsi="Calibri" w:eastAsia="仿宋" w:cs="Times New Roman"/>
      <w:sz w:val="28"/>
      <w:szCs w:val="24"/>
    </w:rPr>
  </w:style>
  <w:style w:type="paragraph" w:styleId="959" w:customStyle="1">
    <w:name w:val="章节3-5"/>
    <w:basedOn w:val="956"/>
    <w:uiPriority w:val="0"/>
    <w:qFormat/>
    <w:pPr>
      <w:ind w:left="0" w:firstLine="0"/>
      <w:spacing w:before="312" w:after="312"/>
    </w:pPr>
  </w:style>
  <w:style w:type="paragraph" w:styleId="960" w:customStyle="1">
    <w:name w:val="章节6.1.1"/>
    <w:basedOn w:val="697"/>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61"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62" w:customStyle="1">
    <w:name w:val="正文标题名称"/>
    <w:basedOn w:val="694"/>
    <w:uiPriority w:val="0"/>
    <w:qFormat/>
    <w:pPr>
      <w:ind w:firstLine="200"/>
      <w:jc w:val="center"/>
      <w:spacing w:before="640" w:after="560"/>
    </w:pPr>
    <w:rPr>
      <w:rFonts w:ascii="黑体" w:hAnsi="华文中宋" w:eastAsia="仿宋" w:cs="Times New Roman"/>
      <w:b/>
      <w:sz w:val="44"/>
      <w:szCs w:val="32"/>
    </w:rPr>
  </w:style>
  <w:style w:type="paragraph" w:styleId="963" w:customStyle="1">
    <w:name w:val="引言内容"/>
    <w:basedOn w:val="694"/>
    <w:uiPriority w:val="0"/>
    <w:qFormat/>
    <w:pPr>
      <w:ind w:firstLine="454"/>
      <w:jc w:val="left"/>
    </w:pPr>
    <w:rPr>
      <w:rFonts w:ascii="Calibri" w:hAnsi="Calibri" w:eastAsia="仿宋" w:cs="Times New Roman"/>
      <w:sz w:val="28"/>
      <w:szCs w:val="21"/>
    </w:rPr>
  </w:style>
  <w:style w:type="paragraph" w:styleId="964" w:customStyle="1">
    <w:name w:val="附录1"/>
    <w:basedOn w:val="695"/>
    <w:next w:val="694"/>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65" w:customStyle="1">
    <w:name w:val="一致性程度标识"/>
    <w:basedOn w:val="694"/>
    <w:uiPriority w:val="0"/>
    <w:qFormat/>
    <w:pPr>
      <w:ind w:firstLine="200"/>
      <w:jc w:val="center"/>
    </w:pPr>
    <w:rPr>
      <w:rFonts w:ascii="宋体" w:hAnsi="宋体" w:eastAsia="宋体" w:cs="Times New Roman"/>
      <w:sz w:val="28"/>
      <w:szCs w:val="28"/>
    </w:rPr>
  </w:style>
  <w:style w:type="paragraph" w:styleId="966" w:customStyle="1">
    <w:name w:val="终结线"/>
    <w:basedOn w:val="694"/>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7" w:customStyle="1">
    <w:name w:val="章节3-5-3"/>
    <w:basedOn w:val="959"/>
    <w:uiPriority w:val="0"/>
    <w:qFormat/>
    <w:pPr>
      <w:ind w:left="1260" w:hanging="420"/>
    </w:pPr>
  </w:style>
  <w:style w:type="paragraph" w:styleId="968" w:customStyle="1">
    <w:name w:val="TOC 标题11"/>
    <w:basedOn w:val="939"/>
    <w:next w:val="694"/>
    <w:uiPriority w:val="0"/>
    <w:qFormat/>
    <w:pPr>
      <w:jc w:val="left"/>
      <w:spacing w:before="480" w:after="0" w:line="276" w:lineRule="auto"/>
      <w:widowControl/>
      <w:outlineLvl w:val="9"/>
    </w:pPr>
    <w:rPr>
      <w:rFonts w:ascii="Cambria" w:hAnsi="Cambria"/>
      <w:color w:val="365f91"/>
      <w:sz w:val="28"/>
      <w:szCs w:val="28"/>
    </w:rPr>
  </w:style>
  <w:style w:type="paragraph" w:styleId="969"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70" w:customStyle="1">
    <w:name w:val="章节2"/>
    <w:basedOn w:val="971"/>
    <w:uiPriority w:val="0"/>
    <w:qFormat/>
    <w:pPr>
      <w:ind w:left="0" w:firstLine="0"/>
      <w:tabs>
        <w:tab w:val="left" w:pos="0" w:leader="none"/>
      </w:tabs>
    </w:pPr>
    <w:rPr>
      <w:lang w:val="zh-CN"/>
    </w:rPr>
  </w:style>
  <w:style w:type="paragraph" w:styleId="971" w:customStyle="1">
    <w:name w:val="章节1"/>
    <w:basedOn w:val="695"/>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72" w:customStyle="1">
    <w:name w:val="Char Char3 Char Char Char Char1"/>
    <w:basedOn w:val="694"/>
    <w:uiPriority w:val="0"/>
    <w:qFormat/>
    <w:pPr>
      <w:jc w:val="left"/>
      <w:spacing w:after="160" w:line="240" w:lineRule="exact"/>
      <w:widowControl/>
    </w:pPr>
    <w:rPr>
      <w:rFonts w:ascii="Verdana" w:hAnsi="Verdana" w:eastAsia="仿宋" w:cs="Times New Roman"/>
      <w:sz w:val="20"/>
      <w:szCs w:val="20"/>
      <w:lang w:eastAsia="en-US"/>
    </w:rPr>
  </w:style>
  <w:style w:type="paragraph" w:styleId="973" w:customStyle="1">
    <w:name w:val="_正文"/>
    <w:basedOn w:val="694"/>
    <w:uiPriority w:val="0"/>
    <w:qFormat/>
    <w:pPr>
      <w:ind w:firstLine="480"/>
      <w:jc w:val="left"/>
      <w:spacing w:before="156"/>
    </w:pPr>
    <w:rPr>
      <w:rFonts w:ascii="Calibri" w:hAnsi="Calibri" w:eastAsia="仿宋" w:cs="Times New Roman"/>
      <w:sz w:val="28"/>
      <w:szCs w:val="24"/>
    </w:rPr>
  </w:style>
  <w:style w:type="paragraph" w:styleId="974" w:customStyle="1">
    <w:name w:val="章节5.8.1"/>
    <w:basedOn w:val="959"/>
    <w:uiPriority w:val="0"/>
    <w:qFormat/>
    <w:pPr>
      <w:jc w:val="both"/>
    </w:pPr>
    <w:rPr>
      <w:color w:val="000000"/>
    </w:rPr>
  </w:style>
  <w:style w:type="paragraph" w:styleId="975" w:customStyle="1">
    <w:name w:val="附录c21"/>
    <w:basedOn w:val="697"/>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76" w:customStyle="1">
    <w:name w:val="章节7.1"/>
    <w:basedOn w:val="949"/>
    <w:uiPriority w:val="0"/>
    <w:qFormat/>
  </w:style>
  <w:style w:type="paragraph" w:styleId="977" w:customStyle="1">
    <w:name w:val="附录3"/>
    <w:basedOn w:val="697"/>
    <w:next w:val="694"/>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78" w:customStyle="1">
    <w:name w:val="发布部门"/>
    <w:basedOn w:val="694"/>
    <w:uiPriority w:val="0"/>
    <w:qFormat/>
    <w:pPr>
      <w:ind w:firstLine="200"/>
      <w:jc w:val="center"/>
    </w:pPr>
    <w:rPr>
      <w:rFonts w:ascii="华文中宋" w:hAnsi="华文中宋" w:eastAsia="华文中宋" w:cs="Times New Roman"/>
      <w:b/>
      <w:sz w:val="32"/>
      <w:szCs w:val="32"/>
    </w:rPr>
  </w:style>
  <w:style w:type="paragraph" w:styleId="979" w:customStyle="1">
    <w:name w:val="附录表标题"/>
    <w:basedOn w:val="694"/>
    <w:next w:val="745"/>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80" w:customStyle="1">
    <w:name w:val="三级条标题"/>
    <w:basedOn w:val="694"/>
    <w:next w:val="745"/>
    <w:uiPriority w:val="0"/>
    <w:qFormat/>
    <w:pPr>
      <w:jc w:val="left"/>
      <w:spacing w:line="276" w:lineRule="auto"/>
      <w:widowControl/>
      <w:outlineLvl w:val="4"/>
    </w:pPr>
    <w:rPr>
      <w:rFonts w:ascii="黑体" w:hAnsi="Calibri" w:eastAsia="黑体" w:cs="Times New Roman"/>
    </w:rPr>
  </w:style>
  <w:style w:type="paragraph" w:styleId="981" w:customStyle="1">
    <w:name w:val="样式1"/>
    <w:basedOn w:val="698"/>
    <w:link w:val="982"/>
    <w:uiPriority w:val="0"/>
    <w:qFormat/>
    <w:pPr>
      <w:ind w:left="2945" w:hanging="1668"/>
      <w:tabs>
        <w:tab w:val="left" w:pos="2141" w:leader="none"/>
      </w:tabs>
    </w:pPr>
    <w:rPr>
      <w:rFonts w:ascii="Arial" w:hAnsi="Arial" w:eastAsia="仿宋" w:cs="Times New Roman"/>
    </w:rPr>
  </w:style>
  <w:style w:type="character" w:styleId="982" w:customStyle="1">
    <w:name w:val="样式1 Char Char"/>
    <w:link w:val="981"/>
    <w:uiPriority w:val="0"/>
    <w:qFormat/>
    <w:rPr>
      <w:rFonts w:ascii="Arial" w:hAnsi="Arial" w:eastAsia="仿宋" w:cs="Times New Roman"/>
      <w:b/>
      <w:bCs/>
      <w:sz w:val="28"/>
      <w:szCs w:val="28"/>
    </w:rPr>
  </w:style>
  <w:style w:type="paragraph" w:styleId="983" w:customStyle="1">
    <w:name w:val="2"/>
    <w:next w:val="694"/>
    <w:uiPriority w:val="0"/>
    <w:qFormat/>
    <w:pPr>
      <w:ind w:firstLine="200"/>
      <w:widowControl w:val="off"/>
    </w:pPr>
    <w:rPr>
      <w:rFonts w:ascii="Calibri" w:hAnsi="Calibri" w:eastAsia="仿宋" w:cs="Times New Roman"/>
      <w:sz w:val="28"/>
      <w:szCs w:val="24"/>
      <w:lang w:val="en-US" w:eastAsia="zh-CN" w:bidi="ar-SA"/>
    </w:rPr>
  </w:style>
  <w:style w:type="paragraph" w:styleId="984" w:customStyle="1">
    <w:name w:val="附录c"/>
    <w:basedOn w:val="696"/>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85"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86" w:customStyle="1">
    <w:name w:val="章节7.1.1"/>
    <w:basedOn w:val="697"/>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87" w:customStyle="1">
    <w:name w:val="章节821"/>
    <w:basedOn w:val="697"/>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88" w:customStyle="1">
    <w:name w:val="章节8631"/>
    <w:basedOn w:val="698"/>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89" w:customStyle="1">
    <w:name w:val="章节8.1"/>
    <w:basedOn w:val="696"/>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90" w:customStyle="1">
    <w:name w:val="附录2"/>
    <w:basedOn w:val="696"/>
    <w:next w:val="694"/>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91" w:customStyle="1">
    <w:name w:val="条款节部分"/>
    <w:basedOn w:val="694"/>
    <w:uiPriority w:val="0"/>
    <w:qFormat/>
    <w:pPr>
      <w:ind w:left="2417" w:hanging="432"/>
      <w:tabs>
        <w:tab w:val="left" w:pos="2850" w:leader="none"/>
      </w:tabs>
    </w:pPr>
    <w:rPr>
      <w:rFonts w:ascii="Calibri" w:hAnsi="Calibri" w:eastAsia="仿宋_GB2312" w:cs="Times New Roman"/>
      <w:sz w:val="32"/>
      <w:szCs w:val="32"/>
    </w:rPr>
  </w:style>
  <w:style w:type="paragraph" w:styleId="992" w:customStyle="1">
    <w:name w:val="章节8621"/>
    <w:basedOn w:val="698"/>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93" w:customStyle="1">
    <w:name w:val="章节831"/>
    <w:basedOn w:val="697"/>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94" w:customStyle="1">
    <w:name w:val="章节2-5"/>
    <w:basedOn w:val="950"/>
    <w:uiPriority w:val="0"/>
    <w:qFormat/>
    <w:pPr>
      <w:ind w:left="576" w:hanging="576"/>
      <w:tabs>
        <w:tab w:val="left" w:pos="567" w:leader="none"/>
      </w:tabs>
    </w:pPr>
  </w:style>
  <w:style w:type="paragraph" w:styleId="995" w:customStyle="1">
    <w:name w:val="附录4"/>
    <w:basedOn w:val="977"/>
    <w:uiPriority w:val="0"/>
    <w:qFormat/>
    <w:pPr>
      <w:ind w:left="2100" w:hanging="420"/>
      <w:outlineLvl w:val="3"/>
    </w:pPr>
  </w:style>
  <w:style w:type="paragraph" w:styleId="996" w:customStyle="1">
    <w:name w:val="章节8.1.1"/>
    <w:basedOn w:val="697"/>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7" w:customStyle="1">
    <w:name w:val="附录3新"/>
    <w:basedOn w:val="977"/>
    <w:next w:val="694"/>
    <w:uiPriority w:val="0"/>
    <w:qFormat/>
    <w:pPr>
      <w:ind w:left="1680" w:hanging="420"/>
      <w:spacing w:before="50" w:after="50"/>
    </w:pPr>
  </w:style>
  <w:style w:type="paragraph" w:styleId="998" w:customStyle="1">
    <w:name w:val="章节861"/>
    <w:basedOn w:val="697"/>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9" w:customStyle="1">
    <w:name w:val="表题"/>
    <w:basedOn w:val="694"/>
    <w:uiPriority w:val="0"/>
    <w:qFormat/>
    <w:pPr>
      <w:jc w:val="center"/>
    </w:pPr>
    <w:rPr>
      <w:rFonts w:ascii="黑体" w:hAnsi="Calibri" w:eastAsia="仿宋" w:cs="Times New Roman"/>
      <w:b/>
      <w:sz w:val="28"/>
      <w:szCs w:val="24"/>
    </w:rPr>
  </w:style>
  <w:style w:type="paragraph" w:styleId="1000" w:customStyle="1">
    <w:name w:val="章节731"/>
    <w:basedOn w:val="986"/>
    <w:uiPriority w:val="0"/>
    <w:qFormat/>
  </w:style>
  <w:style w:type="paragraph" w:styleId="1001" w:customStyle="1">
    <w:name w:val="章节5.6.1"/>
    <w:basedOn w:val="967"/>
    <w:uiPriority w:val="0"/>
    <w:qFormat/>
    <w:pPr>
      <w:ind w:left="840"/>
    </w:pPr>
  </w:style>
  <w:style w:type="paragraph" w:styleId="1002" w:customStyle="1">
    <w:name w:val="章节5.9.1"/>
    <w:basedOn w:val="697"/>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1003" w:customStyle="1">
    <w:name w:val="Table Text"/>
    <w:basedOn w:val="694"/>
    <w:link w:val="1392"/>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04" w:customStyle="1">
    <w:name w:val="标准名称"/>
    <w:basedOn w:val="694"/>
    <w:uiPriority w:val="0"/>
    <w:qFormat/>
    <w:pPr>
      <w:ind w:firstLine="200"/>
      <w:jc w:val="center"/>
    </w:pPr>
    <w:rPr>
      <w:rFonts w:ascii="黑体" w:hAnsi="华文中宋" w:eastAsia="黑体" w:cs="Times New Roman"/>
      <w:sz w:val="52"/>
      <w:szCs w:val="52"/>
    </w:rPr>
  </w:style>
  <w:style w:type="paragraph" w:styleId="1005" w:customStyle="1">
    <w:name w:val="章节5.1"/>
    <w:basedOn w:val="696"/>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06" w:customStyle="1">
    <w:name w:val="中文标准正文"/>
    <w:basedOn w:val="694"/>
    <w:uiPriority w:val="0"/>
    <w:qFormat/>
    <w:pPr>
      <w:ind w:firstLine="200"/>
      <w:jc w:val="left"/>
      <w:spacing w:line="360" w:lineRule="auto"/>
    </w:pPr>
    <w:rPr>
      <w:rFonts w:ascii="Times New Roman" w:hAnsi="Times New Roman" w:eastAsia="宋体" w:cs="Times New Roman"/>
      <w:sz w:val="28"/>
      <w:szCs w:val="21"/>
    </w:rPr>
  </w:style>
  <w:style w:type="paragraph" w:styleId="1007" w:customStyle="1">
    <w:name w:val="msolistparagraph"/>
    <w:basedOn w:val="694"/>
    <w:uiPriority w:val="0"/>
    <w:qFormat/>
    <w:pPr>
      <w:ind w:firstLine="200"/>
    </w:pPr>
    <w:rPr>
      <w:rFonts w:ascii="Calibri" w:hAnsi="Calibri" w:eastAsia="宋体" w:cs="Times New Roman"/>
    </w:rPr>
  </w:style>
  <w:style w:type="paragraph" w:styleId="1008" w:customStyle="1">
    <w:name w:val="正文文本缩进1"/>
    <w:basedOn w:val="694"/>
    <w:link w:val="1009"/>
    <w:uiPriority w:val="0"/>
    <w:qFormat/>
    <w:pPr>
      <w:ind w:left="420" w:firstLine="420"/>
      <w:spacing w:line="240" w:lineRule="atLeast"/>
    </w:pPr>
    <w:rPr>
      <w:rFonts w:ascii="Times New Roman" w:hAnsi="Times New Roman" w:eastAsia="楷体_GB2312" w:cs="Times New Roman"/>
      <w:sz w:val="24"/>
      <w:szCs w:val="24"/>
    </w:rPr>
  </w:style>
  <w:style w:type="character" w:styleId="1009" w:customStyle="1">
    <w:name w:val="正文文本缩进 Char1"/>
    <w:link w:val="1008"/>
    <w:uiPriority w:val="0"/>
    <w:qFormat/>
    <w:rPr>
      <w:rFonts w:ascii="Times New Roman" w:hAnsi="Times New Roman" w:eastAsia="楷体_GB2312" w:cs="Times New Roman"/>
      <w:sz w:val="24"/>
      <w:szCs w:val="24"/>
    </w:rPr>
  </w:style>
  <w:style w:type="paragraph" w:styleId="1010" w:customStyle="1">
    <w:name w:val="样式 宋体 小四 行距: 1.5 倍行距 首行缩进:  2 字符"/>
    <w:basedOn w:val="694"/>
    <w:uiPriority w:val="0"/>
    <w:qFormat/>
    <w:pPr>
      <w:ind w:firstLine="480"/>
      <w:spacing w:line="360" w:lineRule="auto"/>
    </w:pPr>
    <w:rPr>
      <w:rFonts w:ascii="宋体" w:hAnsi="宋体" w:eastAsia="宋体" w:cs="宋体"/>
      <w:sz w:val="24"/>
      <w:szCs w:val="20"/>
    </w:rPr>
  </w:style>
  <w:style w:type="paragraph" w:styleId="1011" w:customStyle="1">
    <w:name w:val="样式 正文缩进 + 首行缩进:  2 字符"/>
    <w:basedOn w:val="709"/>
    <w:uiPriority w:val="0"/>
    <w:qFormat/>
    <w:pPr>
      <w:ind w:firstLine="200"/>
      <w:jc w:val="both"/>
      <w:spacing w:line="360" w:lineRule="auto"/>
    </w:pPr>
    <w:rPr>
      <w:rFonts w:cs="Times New Roman"/>
      <w:sz w:val="24"/>
      <w:szCs w:val="20"/>
    </w:rPr>
  </w:style>
  <w:style w:type="paragraph" w:styleId="1012" w:customStyle="1">
    <w:name w:val="批注主题1"/>
    <w:basedOn w:val="713"/>
    <w:next w:val="713"/>
    <w:uiPriority w:val="0"/>
    <w:qFormat/>
    <w:pPr>
      <w:ind w:firstLine="0"/>
    </w:pPr>
    <w:rPr>
      <w:rFonts w:eastAsia="宋体" w:cs="Times New Roman"/>
      <w:b/>
      <w:bCs/>
      <w:sz w:val="21"/>
    </w:rPr>
  </w:style>
  <w:style w:type="character" w:styleId="1013" w:customStyle="1">
    <w:name w:val="批注文字 Char"/>
    <w:link w:val="713"/>
    <w:uiPriority w:val="0"/>
    <w:qFormat/>
    <w:rPr>
      <w:rFonts w:ascii="Times New Roman" w:hAnsi="Times New Roman" w:eastAsia="仿宋"/>
      <w:sz w:val="28"/>
      <w:szCs w:val="24"/>
    </w:rPr>
  </w:style>
  <w:style w:type="paragraph" w:styleId="1014" w:customStyle="1">
    <w:name w:val="正文首行缩进1"/>
    <w:basedOn w:val="941"/>
    <w:link w:val="1015"/>
    <w:uiPriority w:val="0"/>
    <w:qFormat/>
    <w:pPr>
      <w:ind w:firstLine="200"/>
      <w:spacing w:line="360" w:lineRule="auto"/>
    </w:pPr>
    <w:rPr>
      <w:rFonts w:eastAsia="宋体" w:cs="Times New Roman"/>
      <w:sz w:val="24"/>
      <w:szCs w:val="20"/>
    </w:rPr>
  </w:style>
  <w:style w:type="character" w:styleId="1015" w:customStyle="1">
    <w:name w:val="正文首行缩进 Char"/>
    <w:link w:val="1014"/>
    <w:uiPriority w:val="0"/>
    <w:qFormat/>
    <w:rPr>
      <w:rFonts w:ascii="Times New Roman" w:hAnsi="Times New Roman" w:eastAsia="宋体" w:cs="Times New Roman"/>
      <w:sz w:val="24"/>
    </w:rPr>
  </w:style>
  <w:style w:type="paragraph" w:styleId="1016" w:customStyle="1">
    <w:name w:val="注释标题1"/>
    <w:basedOn w:val="694"/>
    <w:next w:val="694"/>
    <w:link w:val="1017"/>
    <w:uiPriority w:val="0"/>
    <w:qFormat/>
    <w:pPr>
      <w:jc w:val="center"/>
    </w:pPr>
    <w:rPr>
      <w:rFonts w:ascii="宋体" w:hAnsi="Times New Roman"/>
      <w:spacing w:val="-20"/>
      <w:position w:val="-6"/>
      <w:sz w:val="20"/>
      <w:szCs w:val="44"/>
    </w:rPr>
  </w:style>
  <w:style w:type="character" w:styleId="1017" w:customStyle="1">
    <w:name w:val="注释标题 Char"/>
    <w:link w:val="1016"/>
    <w:uiPriority w:val="0"/>
    <w:qFormat/>
    <w:rPr>
      <w:rFonts w:ascii="宋体" w:hAnsi="Times New Roman"/>
      <w:spacing w:val="-20"/>
      <w:position w:val="-6"/>
      <w:szCs w:val="44"/>
    </w:rPr>
  </w:style>
  <w:style w:type="paragraph" w:styleId="1018" w:customStyle="1">
    <w:name w:val="文档结构图1"/>
    <w:basedOn w:val="694"/>
    <w:uiPriority w:val="0"/>
    <w:qFormat/>
    <w:rPr>
      <w:rFonts w:ascii="宋体" w:hAnsi="Calibri" w:eastAsia="宋体" w:cs="Times New Roman"/>
      <w:sz w:val="18"/>
      <w:szCs w:val="18"/>
    </w:rPr>
  </w:style>
  <w:style w:type="paragraph" w:styleId="1019" w:customStyle="1">
    <w:name w:val="正文文本 31"/>
    <w:basedOn w:val="694"/>
    <w:link w:val="1020"/>
    <w:uiPriority w:val="0"/>
    <w:qFormat/>
    <w:pPr>
      <w:spacing w:after="120"/>
    </w:pPr>
    <w:rPr>
      <w:rFonts w:ascii="Times New Roman" w:hAnsi="Times New Roman"/>
      <w:sz w:val="16"/>
      <w:szCs w:val="16"/>
    </w:rPr>
  </w:style>
  <w:style w:type="character" w:styleId="1020" w:customStyle="1">
    <w:name w:val="正文文本 3 Char"/>
    <w:link w:val="1019"/>
    <w:uiPriority w:val="0"/>
    <w:qFormat/>
    <w:rPr>
      <w:rFonts w:ascii="Times New Roman" w:hAnsi="Times New Roman"/>
      <w:sz w:val="16"/>
      <w:szCs w:val="16"/>
    </w:rPr>
  </w:style>
  <w:style w:type="paragraph" w:styleId="1021" w:customStyle="1">
    <w:name w:val="日期1"/>
    <w:basedOn w:val="694"/>
    <w:next w:val="694"/>
    <w:uiPriority w:val="0"/>
    <w:qFormat/>
    <w:rPr>
      <w:rFonts w:ascii="Times New Roman" w:hAnsi="Times New Roman" w:eastAsia="宋体" w:cs="Times New Roman"/>
      <w:sz w:val="24"/>
    </w:rPr>
  </w:style>
  <w:style w:type="paragraph" w:styleId="1022" w:customStyle="1">
    <w:name w:val="正文文本缩进 21"/>
    <w:basedOn w:val="694"/>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23" w:customStyle="1">
    <w:name w:val="正文首行缩进 21"/>
    <w:basedOn w:val="1008"/>
    <w:link w:val="1024"/>
    <w:uiPriority w:val="0"/>
    <w:qFormat/>
    <w:pPr>
      <w:ind w:left="200" w:firstLine="200"/>
      <w:spacing w:after="120" w:line="240" w:lineRule="auto"/>
    </w:pPr>
    <w:rPr>
      <w:rFonts w:eastAsia="仿宋" w:cstheme="minorBidi"/>
      <w:sz w:val="28"/>
    </w:rPr>
  </w:style>
  <w:style w:type="character" w:styleId="1024" w:customStyle="1">
    <w:name w:val="正文首行缩进 2 Char"/>
    <w:basedOn w:val="704"/>
    <w:link w:val="1023"/>
    <w:uiPriority w:val="0"/>
    <w:qFormat/>
    <w:rPr>
      <w:rFonts w:ascii="Times New Roman" w:hAnsi="Times New Roman" w:eastAsia="仿宋"/>
      <w:sz w:val="28"/>
      <w:szCs w:val="24"/>
    </w:rPr>
  </w:style>
  <w:style w:type="paragraph" w:styleId="1025" w:customStyle="1">
    <w:name w:val="正文文本缩进 31"/>
    <w:basedOn w:val="694"/>
    <w:uiPriority w:val="0"/>
    <w:qFormat/>
    <w:pPr>
      <w:jc w:val="left"/>
      <w:spacing w:before="100" w:beforeAutospacing="1" w:after="100" w:afterAutospacing="1"/>
      <w:widowControl/>
    </w:pPr>
    <w:rPr>
      <w:rFonts w:ascii="宋体" w:hAnsi="宋体" w:eastAsia="宋体" w:cs="宋体"/>
      <w:sz w:val="24"/>
      <w:szCs w:val="24"/>
    </w:rPr>
  </w:style>
  <w:style w:type="paragraph" w:styleId="1026" w:customStyle="1">
    <w:name w:val="正文文本 21"/>
    <w:basedOn w:val="694"/>
    <w:link w:val="1027"/>
    <w:uiPriority w:val="0"/>
    <w:qFormat/>
    <w:pPr>
      <w:spacing w:after="120" w:line="480" w:lineRule="auto"/>
    </w:pPr>
    <w:rPr>
      <w:rFonts w:ascii="Times New Roman" w:hAnsi="Times New Roman"/>
      <w:sz w:val="20"/>
      <w:szCs w:val="24"/>
    </w:rPr>
  </w:style>
  <w:style w:type="character" w:styleId="1027" w:customStyle="1">
    <w:name w:val="正文文本 2 Char"/>
    <w:link w:val="1026"/>
    <w:uiPriority w:val="0"/>
    <w:qFormat/>
    <w:rPr>
      <w:rFonts w:ascii="Times New Roman" w:hAnsi="Times New Roman"/>
      <w:szCs w:val="24"/>
    </w:rPr>
  </w:style>
  <w:style w:type="paragraph" w:styleId="1028" w:customStyle="1">
    <w:name w:val="HTML 预设格式1"/>
    <w:basedOn w:val="6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9" w:customStyle="1">
    <w:name w:val="批注框文本 Char Char"/>
    <w:basedOn w:val="694"/>
    <w:link w:val="1030"/>
    <w:uiPriority w:val="0"/>
    <w:qFormat/>
    <w:rPr>
      <w:rFonts w:ascii="Calibri" w:hAnsi="Calibri" w:eastAsia="宋体" w:cs="Times New Roman"/>
      <w:sz w:val="18"/>
      <w:szCs w:val="18"/>
    </w:rPr>
  </w:style>
  <w:style w:type="character" w:styleId="1030" w:customStyle="1">
    <w:name w:val="批注框文本 Char Char Char Char"/>
    <w:link w:val="1029"/>
    <w:uiPriority w:val="0"/>
    <w:qFormat/>
    <w:rPr>
      <w:rFonts w:ascii="Calibri" w:hAnsi="Calibri" w:eastAsia="宋体" w:cs="Times New Roman"/>
      <w:sz w:val="18"/>
      <w:szCs w:val="18"/>
    </w:rPr>
  </w:style>
  <w:style w:type="paragraph" w:styleId="1031" w:customStyle="1">
    <w:name w:val="Char Char Char Char Char Char Char1 Char Char Char Char Char Char Char"/>
    <w:basedOn w:val="1018"/>
    <w:next w:val="694"/>
    <w:uiPriority w:val="0"/>
    <w:qFormat/>
  </w:style>
  <w:style w:type="paragraph" w:styleId="1032" w:customStyle="1">
    <w:name w:val="文挡编号"/>
    <w:basedOn w:val="694"/>
    <w:next w:val="694"/>
    <w:uiPriority w:val="0"/>
    <w:qFormat/>
    <w:pPr>
      <w:spacing w:before="480" w:after="120" w:line="360" w:lineRule="auto"/>
      <w:widowControl/>
    </w:pPr>
    <w:rPr>
      <w:rFonts w:ascii="Times New Roman" w:hAnsi="Times New Roman" w:eastAsia="宋体" w:cs="Times New Roman"/>
      <w:szCs w:val="20"/>
    </w:rPr>
  </w:style>
  <w:style w:type="paragraph" w:styleId="1033" w:customStyle="1">
    <w:name w:val="列出段落1"/>
    <w:basedOn w:val="694"/>
    <w:link w:val="1034"/>
    <w:uiPriority w:val="0"/>
    <w:qFormat/>
    <w:pPr>
      <w:ind w:firstLine="420"/>
    </w:pPr>
    <w:rPr>
      <w:rFonts w:ascii="Calibri" w:hAnsi="Calibri" w:eastAsia="宋体" w:cs="Times New Roman"/>
      <w:sz w:val="20"/>
      <w:szCs w:val="20"/>
    </w:rPr>
  </w:style>
  <w:style w:type="character" w:styleId="1034" w:customStyle="1">
    <w:name w:val="列出段落 Char"/>
    <w:link w:val="1033"/>
    <w:uiPriority w:val="0"/>
    <w:qFormat/>
    <w:rPr>
      <w:rFonts w:ascii="Calibri" w:hAnsi="Calibri" w:eastAsia="宋体" w:cs="Times New Roman"/>
    </w:rPr>
  </w:style>
  <w:style w:type="paragraph" w:styleId="1035" w:customStyle="1">
    <w:name w:val="正文缩进1"/>
    <w:basedOn w:val="694"/>
    <w:link w:val="1036"/>
    <w:uiPriority w:val="0"/>
    <w:qFormat/>
    <w:pPr>
      <w:ind w:firstLine="420"/>
    </w:pPr>
    <w:rPr>
      <w:rFonts w:ascii="Calibri" w:hAnsi="Calibri" w:eastAsia="宋体" w:cs="Times New Roman"/>
      <w:sz w:val="20"/>
      <w:szCs w:val="20"/>
    </w:rPr>
  </w:style>
  <w:style w:type="character" w:styleId="1036" w:customStyle="1">
    <w:name w:val="正文缩进 Char"/>
    <w:link w:val="1035"/>
    <w:uiPriority w:val="0"/>
    <w:qFormat/>
    <w:rPr>
      <w:rFonts w:ascii="Calibri" w:hAnsi="Calibri" w:eastAsia="宋体" w:cs="Times New Roman"/>
    </w:rPr>
  </w:style>
  <w:style w:type="paragraph" w:styleId="1037" w:customStyle="1">
    <w:name w:val="样式 正文文本 + 左侧:  2 字符 首行缩进:  2 字符 段前: 0.5 行"/>
    <w:basedOn w:val="706"/>
    <w:uiPriority w:val="0"/>
    <w:qFormat/>
    <w:pPr>
      <w:ind w:firstLine="420"/>
      <w:jc w:val="left"/>
      <w:spacing w:line="300" w:lineRule="auto"/>
      <w:widowControl/>
    </w:pPr>
    <w:rPr>
      <w:rFonts w:ascii="Times New Roman" w:hAnsi="Times New Roman" w:eastAsia="宋体" w:cs="宋体"/>
      <w:sz w:val="21"/>
    </w:rPr>
  </w:style>
  <w:style w:type="paragraph" w:styleId="1038" w:customStyle="1">
    <w:name w:val="cLevel1"/>
    <w:basedOn w:val="939"/>
    <w:uiPriority w:val="0"/>
    <w:qFormat/>
    <w:pPr>
      <w:jc w:val="center"/>
      <w:spacing w:before="240" w:after="240" w:line="480" w:lineRule="auto"/>
      <w:tabs>
        <w:tab w:val="left" w:pos="-180" w:leader="none"/>
      </w:tabs>
    </w:pPr>
    <w:rPr>
      <w:rFonts w:ascii="Times New Roman" w:hAnsi="Times New Roman"/>
      <w:sz w:val="48"/>
    </w:rPr>
  </w:style>
  <w:style w:type="paragraph" w:styleId="1039" w:customStyle="1">
    <w:name w:val="cLevel2"/>
    <w:basedOn w:val="906"/>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40" w:customStyle="1">
    <w:name w:val="cx标题三"/>
    <w:basedOn w:val="907"/>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41" w:customStyle="1">
    <w:name w:val="cxLevel4"/>
    <w:basedOn w:val="752"/>
    <w:link w:val="1042"/>
    <w:uiPriority w:val="0"/>
    <w:qFormat/>
    <w:pPr>
      <w:ind w:left="0" w:firstLine="100"/>
      <w:spacing w:before="0" w:after="0" w:line="360" w:lineRule="auto"/>
      <w:tabs>
        <w:tab w:val="left" w:pos="4205" w:leader="none"/>
      </w:tabs>
    </w:pPr>
    <w:rPr>
      <w:rFonts w:ascii="Arial" w:hAnsi="Arial"/>
    </w:rPr>
  </w:style>
  <w:style w:type="character" w:styleId="1042" w:customStyle="1">
    <w:name w:val="cxLevel4 Char Char"/>
    <w:link w:val="1041"/>
    <w:uiPriority w:val="0"/>
    <w:qFormat/>
    <w:rPr>
      <w:rFonts w:ascii="Arial" w:hAnsi="Arial" w:eastAsia="宋体" w:cs="Times New Roman"/>
      <w:b/>
      <w:bCs/>
      <w:sz w:val="28"/>
      <w:szCs w:val="28"/>
    </w:rPr>
  </w:style>
  <w:style w:type="paragraph" w:styleId="1043" w:customStyle="1">
    <w:name w:val="cxLevel5"/>
    <w:basedOn w:val="909"/>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44"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45"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46" w:customStyle="1">
    <w:name w:val="标准文本"/>
    <w:basedOn w:val="694"/>
    <w:link w:val="1047"/>
    <w:uiPriority w:val="0"/>
    <w:qFormat/>
    <w:pPr>
      <w:ind w:firstLine="480"/>
      <w:spacing w:line="360" w:lineRule="auto"/>
    </w:pPr>
    <w:rPr>
      <w:rFonts w:ascii="Calibri" w:hAnsi="Calibri" w:eastAsia="宋体" w:cs="宋体"/>
      <w:sz w:val="24"/>
      <w:szCs w:val="20"/>
    </w:rPr>
  </w:style>
  <w:style w:type="character" w:styleId="1047" w:customStyle="1">
    <w:name w:val="标准文本 Char Char"/>
    <w:link w:val="1046"/>
    <w:uiPriority w:val="0"/>
    <w:qFormat/>
    <w:rPr>
      <w:rFonts w:ascii="Calibri" w:hAnsi="Calibri" w:eastAsia="宋体" w:cs="宋体"/>
      <w:sz w:val="24"/>
    </w:rPr>
  </w:style>
  <w:style w:type="paragraph" w:styleId="1048" w:customStyle="1">
    <w:name w:val="WDQ项目标号3"/>
    <w:basedOn w:val="694"/>
    <w:uiPriority w:val="0"/>
    <w:qFormat/>
    <w:pPr>
      <w:ind w:left="2024" w:hanging="453"/>
      <w:tabs>
        <w:tab w:val="left" w:pos="2024" w:leader="none"/>
      </w:tabs>
    </w:pPr>
    <w:rPr>
      <w:rFonts w:ascii="Times New Roman" w:hAnsi="Times New Roman" w:eastAsia="宋体" w:cs="Times New Roman"/>
      <w:szCs w:val="20"/>
    </w:rPr>
  </w:style>
  <w:style w:type="paragraph" w:styleId="1049" w:customStyle="1">
    <w:name w:val="样式 标题 4 + 段前: 14 磅 段后: 14.5 磅 行距: 多倍行距 1.57 字行"/>
    <w:basedOn w:val="752"/>
    <w:uiPriority w:val="0"/>
    <w:qFormat/>
    <w:pPr>
      <w:ind w:left="0" w:firstLine="0"/>
      <w:tabs>
        <w:tab w:val="left" w:pos="0" w:leader="none"/>
      </w:tabs>
    </w:pPr>
    <w:rPr>
      <w:rFonts w:ascii="Arial" w:hAnsi="Arial" w:eastAsia="黑体" w:cs="宋体"/>
      <w:b w:val="0"/>
      <w:sz w:val="24"/>
      <w:szCs w:val="24"/>
    </w:rPr>
  </w:style>
  <w:style w:type="paragraph" w:styleId="1050" w:customStyle="1">
    <w:name w:val="样式 样式 正文zhang + 首行缩进:  2 字符 段前: 0.5 行 段后: 0.5 行 + 段前: 0.5 行 段后:... Char"/>
    <w:basedOn w:val="694"/>
    <w:link w:val="1051"/>
    <w:uiPriority w:val="0"/>
    <w:qFormat/>
    <w:pPr>
      <w:ind w:firstLine="480"/>
      <w:spacing w:line="360" w:lineRule="exact"/>
    </w:pPr>
    <w:rPr>
      <w:rFonts w:ascii="Calibri" w:hAnsi="Calibri" w:eastAsia="宋体" w:cs="宋体"/>
      <w:sz w:val="24"/>
      <w:szCs w:val="20"/>
    </w:rPr>
  </w:style>
  <w:style w:type="character" w:styleId="1051" w:customStyle="1">
    <w:name w:val="样式 样式 正文zhang + 首行缩进:  2 字符 段前: 0.5 行 段后: 0.5 行 + 段前: 0.5 行 段后:... Char Char Char"/>
    <w:link w:val="1050"/>
    <w:uiPriority w:val="0"/>
    <w:qFormat/>
    <w:rPr>
      <w:rFonts w:ascii="Calibri" w:hAnsi="Calibri" w:eastAsia="宋体" w:cs="宋体"/>
      <w:sz w:val="24"/>
    </w:rPr>
  </w:style>
  <w:style w:type="paragraph" w:styleId="1052" w:customStyle="1">
    <w:name w:val="纯文本1"/>
    <w:basedOn w:val="694"/>
    <w:uiPriority w:val="0"/>
    <w:qFormat/>
    <w:pPr>
      <w:spacing w:line="312" w:lineRule="atLeast"/>
    </w:pPr>
    <w:rPr>
      <w:rFonts w:ascii="Arial Black" w:hAnsi="Courier New" w:eastAsia="宋体" w:cs="Times New Roman"/>
      <w:szCs w:val="20"/>
    </w:rPr>
  </w:style>
  <w:style w:type="paragraph" w:styleId="1053" w:customStyle="1">
    <w:name w:val="普通(网站)1"/>
    <w:basedOn w:val="694"/>
    <w:uiPriority w:val="0"/>
    <w:qFormat/>
    <w:pPr>
      <w:jc w:val="left"/>
      <w:spacing w:before="100" w:beforeAutospacing="1" w:after="100" w:afterAutospacing="1"/>
      <w:widowControl/>
    </w:pPr>
    <w:rPr>
      <w:rFonts w:ascii="宋体" w:hAnsi="宋体" w:eastAsia="宋体" w:cs="宋体"/>
      <w:sz w:val="24"/>
      <w:szCs w:val="24"/>
    </w:rPr>
  </w:style>
  <w:style w:type="paragraph" w:styleId="1054" w:customStyle="1">
    <w:name w:val="Char Char Char1 Char Char Char Char Char Char Char Char Char"/>
    <w:basedOn w:val="694"/>
    <w:uiPriority w:val="0"/>
    <w:qFormat/>
    <w:pPr>
      <w:spacing w:line="360" w:lineRule="auto"/>
    </w:pPr>
    <w:rPr>
      <w:rFonts w:ascii="Times New Roman" w:hAnsi="Times New Roman" w:eastAsia="宋体" w:cs="宋体"/>
      <w:b/>
      <w:sz w:val="24"/>
      <w:szCs w:val="20"/>
    </w:rPr>
  </w:style>
  <w:style w:type="paragraph" w:styleId="1055" w:customStyle="1">
    <w:name w:val="样式 样式 宋体 首行缩进:  2 字符 段前: 0.5 行 + 首行缩进:  2 字符 段前: 0.5 行"/>
    <w:basedOn w:val="694"/>
    <w:uiPriority w:val="0"/>
    <w:qFormat/>
    <w:pPr>
      <w:ind w:firstLine="480"/>
      <w:spacing w:line="300" w:lineRule="auto"/>
    </w:pPr>
    <w:rPr>
      <w:rFonts w:ascii="Times New Roman" w:hAnsi="Times New Roman" w:eastAsia="宋体" w:cs="宋体"/>
      <w:sz w:val="24"/>
      <w:szCs w:val="20"/>
    </w:rPr>
  </w:style>
  <w:style w:type="paragraph" w:styleId="1056" w:customStyle="1">
    <w:name w:val="FA正文"/>
    <w:basedOn w:val="694"/>
    <w:uiPriority w:val="0"/>
    <w:qFormat/>
    <w:pPr>
      <w:ind w:firstLine="200"/>
    </w:pPr>
    <w:rPr>
      <w:rFonts w:ascii="Calibri" w:hAnsi="宋体" w:eastAsia="宋体" w:cs="宋体"/>
      <w:bCs/>
      <w:sz w:val="24"/>
      <w:szCs w:val="21"/>
    </w:rPr>
  </w:style>
  <w:style w:type="paragraph" w:styleId="1057" w:customStyle="1">
    <w:name w:val="文档正文"/>
    <w:basedOn w:val="694"/>
    <w:uiPriority w:val="0"/>
    <w:qFormat/>
    <w:pPr>
      <w:ind w:right="-107"/>
      <w:spacing w:line="312" w:lineRule="atLeast"/>
    </w:pPr>
    <w:rPr>
      <w:rFonts w:ascii="宋体" w:hAnsi="宋体" w:eastAsia="宋体" w:cs="Times New Roman"/>
      <w:spacing w:val="6"/>
      <w:sz w:val="24"/>
      <w:szCs w:val="24"/>
    </w:rPr>
  </w:style>
  <w:style w:type="paragraph" w:styleId="1058" w:customStyle="1">
    <w:name w:val="样式 cz正文 + 仿宋_GB2312"/>
    <w:basedOn w:val="1059"/>
    <w:uiPriority w:val="0"/>
    <w:qFormat/>
    <w:rPr>
      <w:rFonts w:ascii="仿宋_GB2312" w:hAnsi="仿宋_GB2312"/>
    </w:rPr>
  </w:style>
  <w:style w:type="paragraph" w:styleId="1059" w:customStyle="1">
    <w:name w:val="cz正文"/>
    <w:basedOn w:val="694"/>
    <w:link w:val="1060"/>
    <w:uiPriority w:val="0"/>
    <w:qFormat/>
    <w:pPr>
      <w:ind w:firstLine="480"/>
      <w:spacing w:line="360" w:lineRule="auto"/>
    </w:pPr>
    <w:rPr>
      <w:rFonts w:ascii="宋体" w:hAnsi="宋体" w:eastAsia="宋体" w:cs="宋体"/>
      <w:sz w:val="24"/>
      <w:szCs w:val="24"/>
    </w:rPr>
  </w:style>
  <w:style w:type="character" w:styleId="1060" w:customStyle="1">
    <w:name w:val="cz正文 Char Char"/>
    <w:link w:val="1059"/>
    <w:uiPriority w:val="0"/>
    <w:qFormat/>
    <w:rPr>
      <w:rFonts w:ascii="宋体" w:hAnsi="宋体" w:eastAsia="宋体" w:cs="宋体"/>
      <w:sz w:val="24"/>
      <w:szCs w:val="24"/>
    </w:rPr>
  </w:style>
  <w:style w:type="paragraph" w:styleId="1061" w:customStyle="1">
    <w:name w:val="yh正文"/>
    <w:basedOn w:val="694"/>
    <w:uiPriority w:val="0"/>
    <w:qFormat/>
    <w:pPr>
      <w:ind w:firstLine="480"/>
      <w:spacing w:line="360" w:lineRule="auto"/>
    </w:pPr>
    <w:rPr>
      <w:rFonts w:ascii="Calibri" w:hAnsi="宋体" w:eastAsia="宋体" w:cs="宋体"/>
      <w:sz w:val="24"/>
      <w:szCs w:val="21"/>
    </w:rPr>
  </w:style>
  <w:style w:type="paragraph" w:styleId="1062" w:customStyle="1">
    <w:name w:val="正文4"/>
    <w:basedOn w:val="694"/>
    <w:uiPriority w:val="0"/>
    <w:qFormat/>
    <w:pPr>
      <w:ind w:left="3780"/>
      <w:jc w:val="left"/>
      <w:spacing w:line="480" w:lineRule="atLeast"/>
      <w:widowControl/>
    </w:pPr>
    <w:rPr>
      <w:rFonts w:ascii="Times New Roman" w:hAnsi="Times New Roman" w:eastAsia="宋体" w:cs="Times New Roman"/>
      <w:sz w:val="24"/>
      <w:szCs w:val="24"/>
    </w:rPr>
  </w:style>
  <w:style w:type="paragraph" w:styleId="1063" w:customStyle="1">
    <w:name w:val="Char Char Char Char Char Char Char Char Char Char Char Char Char Char Char"/>
    <w:basedOn w:val="694"/>
    <w:uiPriority w:val="0"/>
    <w:qFormat/>
    <w:rPr>
      <w:rFonts w:ascii="Tahoma" w:hAnsi="Tahoma" w:eastAsia="宋体" w:cs="Times New Roman"/>
      <w:sz w:val="24"/>
      <w:szCs w:val="24"/>
    </w:rPr>
  </w:style>
  <w:style w:type="paragraph" w:styleId="1064" w:customStyle="1">
    <w:name w:val="Table Heading"/>
    <w:basedOn w:val="1003"/>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5" w:customStyle="1">
    <w:name w:val="符号缩进"/>
    <w:basedOn w:val="1035"/>
    <w:uiPriority w:val="0"/>
    <w:qFormat/>
    <w:pPr>
      <w:ind w:left="200" w:firstLine="200"/>
      <w:spacing w:before="120"/>
    </w:pPr>
    <w:rPr>
      <w:rFonts w:ascii="Arial" w:hAnsi="Arial" w:eastAsia="楷体_GB2312"/>
      <w:color w:val="000000"/>
      <w:sz w:val="24"/>
      <w:szCs w:val="22"/>
    </w:rPr>
  </w:style>
  <w:style w:type="paragraph" w:styleId="1066" w:customStyle="1">
    <w:name w:val="样式 标题 1 + 居中"/>
    <w:basedOn w:val="939"/>
    <w:uiPriority w:val="0"/>
    <w:qFormat/>
    <w:pPr>
      <w:ind w:left="1283" w:hanging="432"/>
      <w:jc w:val="center"/>
      <w:tabs>
        <w:tab w:val="left" w:pos="1283" w:leader="none"/>
      </w:tabs>
    </w:pPr>
    <w:rPr>
      <w:rFonts w:ascii="Times New Roman" w:hAnsi="Times New Roman" w:cs="宋体"/>
      <w:sz w:val="44"/>
      <w:szCs w:val="20"/>
    </w:rPr>
  </w:style>
  <w:style w:type="paragraph" w:styleId="1067" w:customStyle="1">
    <w:name w:val="样式 样式 样式 宋体 小四 首行缩进:  0.74 厘米 行距: 最小值 18 磅 + 段前: 0.5 行 段后: 0.5 行..."/>
    <w:basedOn w:val="694"/>
    <w:link w:val="1068"/>
    <w:uiPriority w:val="0"/>
    <w:qFormat/>
    <w:pPr>
      <w:ind w:firstLine="420"/>
      <w:spacing w:line="360" w:lineRule="auto"/>
    </w:pPr>
    <w:rPr>
      <w:rFonts w:ascii="宋体" w:hAnsi="Times New Roman" w:eastAsia="宋体" w:cs="宋体"/>
      <w:sz w:val="24"/>
      <w:szCs w:val="20"/>
    </w:rPr>
  </w:style>
  <w:style w:type="character" w:styleId="1068" w:customStyle="1">
    <w:name w:val="样式 样式 样式 宋体 小四 首行缩进:  0.74 厘米 行距: 最小值 18 磅 + 段前: 0.5 行 段后: 0.5 行... Char3"/>
    <w:link w:val="1067"/>
    <w:uiPriority w:val="0"/>
    <w:qFormat/>
    <w:rPr>
      <w:rFonts w:ascii="宋体" w:hAnsi="Times New Roman" w:eastAsia="宋体" w:cs="宋体"/>
      <w:sz w:val="24"/>
    </w:rPr>
  </w:style>
  <w:style w:type="paragraph" w:styleId="1069" w:customStyle="1">
    <w:name w:val="样式 样式 样式 样式 宋体 小四 首行缩进:  0.74 厘米 行距: 最小值 18 磅 + 段前: 0.5 行 段后: 0...."/>
    <w:basedOn w:val="1067"/>
    <w:link w:val="1070"/>
    <w:uiPriority w:val="0"/>
    <w:qFormat/>
    <w:pPr>
      <w:spacing w:before="50" w:after="50" w:line="240" w:lineRule="auto"/>
    </w:pPr>
    <w:rPr>
      <w:rFonts w:hAnsi="宋体"/>
    </w:rPr>
  </w:style>
  <w:style w:type="character" w:styleId="1070" w:customStyle="1">
    <w:name w:val="样式 样式 样式 样式 宋体 小四 首行缩进:  0.74 厘米 行距: 最小值 18 磅 + 段前: 0.5 行 段后: 0.... Char3"/>
    <w:link w:val="1069"/>
    <w:uiPriority w:val="0"/>
    <w:qFormat/>
    <w:rPr>
      <w:rFonts w:ascii="宋体" w:hAnsi="宋体" w:eastAsia="宋体" w:cs="宋体"/>
      <w:sz w:val="24"/>
    </w:rPr>
  </w:style>
  <w:style w:type="paragraph" w:styleId="1071" w:customStyle="1">
    <w:name w:val="样式 标题 22nd levelh22Header 2l2节Titre2Head 2H2heading 2+..."/>
    <w:basedOn w:val="906"/>
    <w:uiPriority w:val="0"/>
    <w:qFormat/>
    <w:pPr>
      <w:ind w:left="0" w:firstLine="0"/>
      <w:spacing w:before="360" w:after="0" w:line="240" w:lineRule="auto"/>
      <w:tabs>
        <w:tab w:val="left" w:pos="0" w:leader="none"/>
      </w:tabs>
    </w:pPr>
    <w:rPr>
      <w:rFonts w:ascii="Arial" w:hAnsi="Arial" w:eastAsia="黑体" w:cs="宋体"/>
      <w:b w:val="0"/>
    </w:rPr>
  </w:style>
  <w:style w:type="paragraph" w:styleId="1072" w:customStyle="1">
    <w:name w:val="样式 正文（首行缩进两字）正文双线正文非缩进表正文特点四号ALT+Z段1 + 宋体 段前: 5 磅 段后: 5..."/>
    <w:basedOn w:val="1035"/>
    <w:link w:val="1073"/>
    <w:uiPriority w:val="0"/>
    <w:qFormat/>
    <w:pPr>
      <w:spacing w:before="100" w:after="100" w:line="360" w:lineRule="auto"/>
    </w:pPr>
    <w:rPr>
      <w:rFonts w:ascii="宋体" w:hAnsi="宋体" w:cs="宋体"/>
      <w:sz w:val="24"/>
    </w:rPr>
  </w:style>
  <w:style w:type="character" w:styleId="1073" w:customStyle="1">
    <w:name w:val="样式 正文（首行缩进两字）正文双线正文非缩进表正文特点四号ALT+Z段1 + 宋体 段前: 5 磅 段后: 5... Char Char"/>
    <w:link w:val="1072"/>
    <w:uiPriority w:val="0"/>
    <w:qFormat/>
    <w:rPr>
      <w:rFonts w:ascii="宋体" w:hAnsi="宋体" w:eastAsia="宋体" w:cs="宋体"/>
      <w:sz w:val="24"/>
    </w:rPr>
  </w:style>
  <w:style w:type="paragraph" w:styleId="1074" w:customStyle="1">
    <w:name w:val="样式 标题 3一1h33rd levelH3l3CTHeading 3 - oldLevel 3 Head3..."/>
    <w:basedOn w:val="907"/>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5" w:customStyle="1">
    <w:name w:val="列表1"/>
    <w:basedOn w:val="694"/>
    <w:uiPriority w:val="0"/>
    <w:qFormat/>
    <w:pPr>
      <w:ind w:left="200" w:hanging="200"/>
    </w:pPr>
    <w:rPr>
      <w:rFonts w:ascii="Times New Roman" w:hAnsi="Times New Roman" w:eastAsia="宋体" w:cs="Times New Roman"/>
      <w:szCs w:val="24"/>
    </w:rPr>
  </w:style>
  <w:style w:type="paragraph" w:styleId="1076" w:customStyle="1">
    <w:name w:val="HD图号"/>
    <w:basedOn w:val="694"/>
    <w:uiPriority w:val="0"/>
    <w:qFormat/>
    <w:pPr>
      <w:jc w:val="center"/>
      <w:spacing w:line="440" w:lineRule="atLeast"/>
    </w:pPr>
    <w:rPr>
      <w:rFonts w:ascii="Times New Roman" w:hAnsi="Times New Roman" w:eastAsia="楷体_GB2312" w:cs="Times New Roman"/>
      <w:sz w:val="24"/>
      <w:szCs w:val="20"/>
    </w:rPr>
  </w:style>
  <w:style w:type="paragraph" w:styleId="1077" w:customStyle="1">
    <w:name w:val="样式 样式 样式 样式 样式 宋体 小四 首行缩进:  0.74 厘米 行距: 最小值 18 磅 + 段前: 0.5 行 段后:..."/>
    <w:basedOn w:val="1069"/>
    <w:uiPriority w:val="0"/>
    <w:qFormat/>
    <w:rPr>
      <w:szCs w:val="22"/>
    </w:rPr>
  </w:style>
  <w:style w:type="paragraph" w:styleId="1078" w:customStyle="1">
    <w:name w:val="样式 样式 样式 样式 样式 宋体 小四 首行缩进:  0.74 厘米 行距: 最小值 18 磅 + 段前: 0.5 行 段后:...1"/>
    <w:basedOn w:val="1069"/>
    <w:uiPriority w:val="0"/>
    <w:qFormat/>
    <w:rPr>
      <w:szCs w:val="22"/>
    </w:rPr>
  </w:style>
  <w:style w:type="paragraph" w:styleId="1079" w:customStyle="1">
    <w:name w:val="样式 样式 样式 样式 样式 样式 宋体 小四 首行缩进:  0.74 厘米 行距: 最小值 18 磅 + 段前: 0.5 行 ..."/>
    <w:basedOn w:val="1078"/>
    <w:uiPriority w:val="0"/>
    <w:qFormat/>
    <w:pPr>
      <w:spacing w:line="320" w:lineRule="exact"/>
    </w:pPr>
  </w:style>
  <w:style w:type="paragraph" w:styleId="1080" w:customStyle="1">
    <w:name w:val="样式 样式 样式 样式 样式 样式 样式 宋体 小四 首行缩进:  0.74 厘米 行距: 最小值 18 磅 + 段前: 0.5..."/>
    <w:basedOn w:val="1079"/>
    <w:uiPriority w:val="0"/>
    <w:qFormat/>
    <w:pPr>
      <w:ind w:left="100" w:firstLine="454"/>
      <w:spacing w:line="360" w:lineRule="exact"/>
    </w:pPr>
  </w:style>
  <w:style w:type="paragraph" w:styleId="1081" w:customStyle="1">
    <w:name w:val="样式 样式 标题 4 + 段前: 14 磅 段后: 14.5 磅 行距: 多倍行距 1.57 字行 + 左侧:  1.48 厘米"/>
    <w:basedOn w:val="1049"/>
    <w:uiPriority w:val="0"/>
    <w:qFormat/>
    <w:pPr>
      <w:spacing w:before="240" w:after="0" w:line="240" w:lineRule="auto"/>
    </w:pPr>
    <w:rPr>
      <w:rFonts w:eastAsia="宋体"/>
      <w:b/>
      <w:szCs w:val="20"/>
    </w:rPr>
  </w:style>
  <w:style w:type="paragraph" w:styleId="1082" w:customStyle="1">
    <w:name w:val="wen_2"/>
    <w:basedOn w:val="694"/>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83" w:customStyle="1">
    <w:name w:val="样式 样式 样式 样式 样式 样式 样式 样式 宋体 小四 首行缩进:  0.74 厘米 行距: 最小值 18 磅 + 段前: ... Char"/>
    <w:basedOn w:val="1080"/>
    <w:uiPriority w:val="0"/>
    <w:qFormat/>
    <w:pPr>
      <w:ind w:left="0" w:firstLine="0"/>
      <w:spacing w:line="240" w:lineRule="auto"/>
    </w:pPr>
    <w:rPr>
      <w:rFonts w:ascii="Calibri" w:hAnsi="Calibri"/>
      <w:sz w:val="21"/>
    </w:rPr>
  </w:style>
  <w:style w:type="paragraph" w:styleId="1084"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85" w:customStyle="1">
    <w:name w:val="Char2"/>
    <w:basedOn w:val="694"/>
    <w:uiPriority w:val="0"/>
    <w:qFormat/>
    <w:rPr>
      <w:rFonts w:ascii="仿宋_GB2312" w:hAnsi="Times New Roman" w:eastAsia="仿宋_GB2312" w:cs="Times New Roman"/>
      <w:b/>
      <w:sz w:val="32"/>
      <w:szCs w:val="32"/>
    </w:rPr>
  </w:style>
  <w:style w:type="paragraph" w:styleId="1086" w:customStyle="1">
    <w:name w:val="正文悬挂缩进"/>
    <w:basedOn w:val="694"/>
    <w:uiPriority w:val="0"/>
    <w:qFormat/>
    <w:pPr>
      <w:tabs>
        <w:tab w:val="left" w:pos="450" w:leader="none"/>
        <w:tab w:val="right" w:pos="9174" w:leader="dot"/>
      </w:tabs>
    </w:pPr>
    <w:rPr>
      <w:rFonts w:ascii="Times New Roman" w:hAnsi="Times New Roman" w:eastAsia="宋体" w:cs="Times New Roman"/>
      <w:szCs w:val="24"/>
    </w:rPr>
  </w:style>
  <w:style w:type="paragraph" w:styleId="1087" w:customStyle="1">
    <w:name w:val="Char Char Char Char Char Char Char"/>
    <w:basedOn w:val="694"/>
    <w:link w:val="1088"/>
    <w:uiPriority w:val="0"/>
    <w:qFormat/>
    <w:rPr>
      <w:rFonts w:ascii="Tahoma" w:hAnsi="Tahoma" w:eastAsia="宋体" w:cs="Times New Roman"/>
      <w:sz w:val="24"/>
      <w:szCs w:val="20"/>
    </w:rPr>
  </w:style>
  <w:style w:type="character" w:styleId="1088" w:customStyle="1">
    <w:name w:val="Char Char Char Char Char Char Char Char Char Char Char Char"/>
    <w:link w:val="1087"/>
    <w:uiPriority w:val="0"/>
    <w:qFormat/>
    <w:rPr>
      <w:rFonts w:ascii="Tahoma" w:hAnsi="Tahoma" w:eastAsia="宋体" w:cs="Times New Roman"/>
      <w:sz w:val="24"/>
    </w:rPr>
  </w:style>
  <w:style w:type="paragraph" w:styleId="1089" w:customStyle="1">
    <w:name w:val="Char Char Char Char"/>
    <w:basedOn w:val="1018"/>
    <w:uiPriority w:val="0"/>
    <w:qFormat/>
    <w:pPr>
      <w:spacing w:line="360" w:lineRule="auto"/>
      <w:shd w:val="clear" w:color="auto" w:fill="000080"/>
    </w:pPr>
    <w:rPr>
      <w:rFonts w:ascii="Tahoma" w:hAnsi="Tahoma"/>
      <w:sz w:val="24"/>
      <w:szCs w:val="24"/>
    </w:rPr>
  </w:style>
  <w:style w:type="paragraph" w:styleId="1090" w:customStyle="1">
    <w:name w:val="样式 标题 3H3h3Level 3 Topic HeadingMap一13rd levell3CTHead..."/>
    <w:basedOn w:val="907"/>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91" w:customStyle="1">
    <w:name w:val="样式 宋体 小四 首行缩进:  0.74 厘米 行距: 最小值 18 磅"/>
    <w:basedOn w:val="694"/>
    <w:uiPriority w:val="0"/>
    <w:qFormat/>
    <w:pPr>
      <w:ind w:firstLine="420"/>
      <w:spacing w:line="320" w:lineRule="exact"/>
    </w:pPr>
    <w:rPr>
      <w:rFonts w:ascii="宋体" w:hAnsi="Times New Roman" w:eastAsia="宋体" w:cs="宋体"/>
      <w:sz w:val="24"/>
      <w:szCs w:val="24"/>
    </w:rPr>
  </w:style>
  <w:style w:type="paragraph" w:styleId="1092" w:customStyle="1">
    <w:name w:val="样式 样式 宋体 小四 首行缩进:  0.74 厘米 行距: 最小值 18 磅 + 段前: 0.5 行 段后: 0.5 行 Char"/>
    <w:basedOn w:val="1091"/>
    <w:uiPriority w:val="0"/>
    <w:qFormat/>
    <w:pPr>
      <w:spacing w:line="360" w:lineRule="auto"/>
    </w:pPr>
    <w:rPr>
      <w:szCs w:val="20"/>
    </w:rPr>
  </w:style>
  <w:style w:type="paragraph" w:styleId="1093" w:customStyle="1">
    <w:name w:val="11"/>
    <w:basedOn w:val="694"/>
    <w:next w:val="1019"/>
    <w:uiPriority w:val="0"/>
    <w:qFormat/>
    <w:pPr>
      <w:jc w:val="center"/>
    </w:pPr>
    <w:rPr>
      <w:rFonts w:ascii="Times New Roman" w:hAnsi="Times New Roman" w:eastAsia="宋体" w:cs="Times New Roman"/>
      <w:color w:val="000000"/>
      <w:sz w:val="28"/>
      <w:szCs w:val="28"/>
      <w:lang w:val="zh-CN"/>
    </w:rPr>
  </w:style>
  <w:style w:type="paragraph" w:styleId="1094" w:customStyle="1">
    <w:name w:val="10"/>
    <w:basedOn w:val="694"/>
    <w:next w:val="1035"/>
    <w:uiPriority w:val="0"/>
    <w:qFormat/>
    <w:pPr>
      <w:ind w:left="200" w:firstLine="200"/>
      <w:spacing w:before="240"/>
    </w:pPr>
    <w:rPr>
      <w:rFonts w:ascii="Times New Roman" w:hAnsi="Times New Roman" w:eastAsia="楷体_GB2312" w:cs="Times New Roman"/>
      <w:sz w:val="24"/>
      <w:szCs w:val="20"/>
    </w:rPr>
  </w:style>
  <w:style w:type="paragraph" w:styleId="1095" w:customStyle="1">
    <w:name w:val="样式 标题 2H2Heading 2 HiddenHeading 2 CCBSheading 2第一章 标题 2IS..."/>
    <w:basedOn w:val="906"/>
    <w:uiPriority w:val="0"/>
    <w:qFormat/>
    <w:pPr>
      <w:ind w:left="992" w:firstLine="0"/>
      <w:spacing w:line="400" w:lineRule="atLeast"/>
    </w:pPr>
    <w:rPr>
      <w:rFonts w:ascii="Arial" w:hAnsi="Arial" w:eastAsia="黑体" w:cs="宋体"/>
      <w:b w:val="0"/>
      <w:bCs w:val="0"/>
      <w:sz w:val="24"/>
      <w:szCs w:val="20"/>
    </w:rPr>
  </w:style>
  <w:style w:type="paragraph" w:styleId="1096" w:customStyle="1">
    <w:name w:val="9"/>
    <w:basedOn w:val="694"/>
    <w:next w:val="1035"/>
    <w:uiPriority w:val="0"/>
    <w:qFormat/>
    <w:pPr>
      <w:ind w:firstLine="420"/>
    </w:pPr>
    <w:rPr>
      <w:rFonts w:ascii="Times New Roman" w:hAnsi="Times New Roman" w:eastAsia="宋体" w:cs="Times New Roman"/>
      <w:szCs w:val="24"/>
    </w:rPr>
  </w:style>
  <w:style w:type="paragraph" w:styleId="1097" w:customStyle="1">
    <w:name w:val="8"/>
    <w:basedOn w:val="694"/>
    <w:next w:val="1008"/>
    <w:uiPriority w:val="0"/>
    <w:qFormat/>
    <w:pPr>
      <w:ind w:left="420"/>
      <w:spacing w:after="120"/>
    </w:pPr>
    <w:rPr>
      <w:rFonts w:ascii="Times New Roman" w:hAnsi="Times New Roman" w:eastAsia="宋体" w:cs="Times New Roman"/>
      <w:szCs w:val="24"/>
    </w:rPr>
  </w:style>
  <w:style w:type="paragraph" w:styleId="1098" w:customStyle="1">
    <w:name w:val="索引 11"/>
    <w:basedOn w:val="694"/>
    <w:next w:val="694"/>
    <w:uiPriority w:val="0"/>
    <w:qFormat/>
    <w:rPr>
      <w:rFonts w:ascii="Times New Roman" w:hAnsi="Times New Roman" w:eastAsia="宋体" w:cs="Times New Roman"/>
      <w:szCs w:val="24"/>
    </w:rPr>
  </w:style>
  <w:style w:type="paragraph" w:styleId="1099" w:customStyle="1">
    <w:name w:val="7"/>
    <w:basedOn w:val="694"/>
    <w:next w:val="1008"/>
    <w:uiPriority w:val="0"/>
    <w:qFormat/>
    <w:pPr>
      <w:ind w:left="420"/>
      <w:spacing w:after="120"/>
    </w:pPr>
    <w:rPr>
      <w:rFonts w:ascii="Times New Roman" w:hAnsi="Times New Roman" w:eastAsia="宋体" w:cs="Times New Roman"/>
      <w:szCs w:val="24"/>
    </w:rPr>
  </w:style>
  <w:style w:type="paragraph" w:styleId="1100" w:customStyle="1">
    <w:name w:val="表名"/>
    <w:basedOn w:val="694"/>
    <w:uiPriority w:val="0"/>
    <w:qFormat/>
    <w:pPr>
      <w:ind w:left="1920" w:firstLine="360"/>
      <w:jc w:val="center"/>
      <w:spacing w:line="227" w:lineRule="atLeast"/>
    </w:pPr>
    <w:rPr>
      <w:rFonts w:ascii="Times New Roman" w:hAnsi="Times New Roman" w:eastAsia="宋体" w:cs="Times New Roman"/>
      <w:b/>
      <w:sz w:val="18"/>
      <w:szCs w:val="20"/>
    </w:rPr>
  </w:style>
  <w:style w:type="paragraph" w:styleId="1101" w:customStyle="1">
    <w:name w:val="主正文"/>
    <w:basedOn w:val="694"/>
    <w:uiPriority w:val="0"/>
    <w:qFormat/>
    <w:pPr>
      <w:ind w:left="200" w:firstLine="200"/>
      <w:spacing w:line="360" w:lineRule="exact"/>
    </w:pPr>
    <w:rPr>
      <w:rFonts w:ascii="宋体" w:hAnsi="宋体" w:eastAsia="宋体" w:cs="Times New Roman"/>
      <w:sz w:val="24"/>
      <w:szCs w:val="20"/>
    </w:rPr>
  </w:style>
  <w:style w:type="paragraph" w:styleId="1102" w:customStyle="1">
    <w:name w:val="一般正文"/>
    <w:basedOn w:val="694"/>
    <w:uiPriority w:val="0"/>
    <w:qFormat/>
    <w:pPr>
      <w:ind w:firstLine="480"/>
      <w:spacing w:line="380" w:lineRule="exact"/>
    </w:pPr>
    <w:rPr>
      <w:rFonts w:ascii="宋体" w:hAnsi="宋体" w:eastAsia="宋体" w:cs="Times New Roman"/>
      <w:sz w:val="24"/>
      <w:szCs w:val="20"/>
    </w:rPr>
  </w:style>
  <w:style w:type="paragraph" w:styleId="1103" w:customStyle="1">
    <w:name w:val="序号正文"/>
    <w:basedOn w:val="1052"/>
    <w:uiPriority w:val="0"/>
    <w:qFormat/>
    <w:pPr>
      <w:ind w:left="200" w:firstLine="200"/>
      <w:tabs>
        <w:tab w:val="left" w:pos="720" w:leader="none"/>
      </w:tabs>
    </w:pPr>
    <w:rPr>
      <w:sz w:val="24"/>
    </w:rPr>
  </w:style>
  <w:style w:type="paragraph" w:styleId="1104" w:customStyle="1">
    <w:name w:val="样式 样式 样式 样式 左侧:  0 厘米 悬挂缩进: 2 字符 段前: 0.5 行 段后: 0.5 行1 + 首行缩进:  2..."/>
    <w:basedOn w:val="694"/>
    <w:uiPriority w:val="0"/>
    <w:qFormat/>
    <w:pPr>
      <w:ind w:firstLine="480"/>
      <w:spacing w:line="320" w:lineRule="exact"/>
    </w:pPr>
    <w:rPr>
      <w:rFonts w:ascii="Times New Roman" w:hAnsi="Times New Roman" w:eastAsia="宋体" w:cs="宋体"/>
      <w:sz w:val="24"/>
      <w:szCs w:val="24"/>
    </w:rPr>
  </w:style>
  <w:style w:type="paragraph" w:styleId="1105" w:customStyle="1">
    <w:name w:val="z-窗体顶端1"/>
    <w:basedOn w:val="694"/>
    <w:next w:val="694"/>
    <w:link w:val="1106"/>
    <w:uiPriority w:val="0"/>
    <w:qFormat/>
    <w:pPr>
      <w:jc w:val="center"/>
      <w:widowControl/>
      <w:pBdr>
        <w:bottom w:val="single" w:color="auto" w:sz="6" w:space="1"/>
      </w:pBdr>
    </w:pPr>
    <w:rPr>
      <w:rFonts w:ascii="Arial" w:hAnsi="Arial" w:eastAsia="宋体" w:cs="Arial"/>
      <w:vanish/>
      <w:sz w:val="16"/>
      <w:szCs w:val="16"/>
    </w:rPr>
  </w:style>
  <w:style w:type="character" w:styleId="1106" w:customStyle="1">
    <w:name w:val="z-窗体顶端 Char"/>
    <w:link w:val="1105"/>
    <w:uiPriority w:val="0"/>
    <w:qFormat/>
    <w:rPr>
      <w:rFonts w:ascii="Arial" w:hAnsi="Arial" w:eastAsia="宋体" w:cs="Arial"/>
      <w:vanish/>
      <w:sz w:val="16"/>
      <w:szCs w:val="16"/>
    </w:rPr>
  </w:style>
  <w:style w:type="paragraph" w:styleId="1107" w:customStyle="1">
    <w:name w:val="z-窗体底端1"/>
    <w:basedOn w:val="694"/>
    <w:next w:val="694"/>
    <w:link w:val="1108"/>
    <w:uiPriority w:val="0"/>
    <w:qFormat/>
    <w:pPr>
      <w:jc w:val="center"/>
      <w:widowControl/>
      <w:pBdr>
        <w:top w:val="single" w:color="auto" w:sz="6" w:space="1"/>
      </w:pBdr>
    </w:pPr>
    <w:rPr>
      <w:rFonts w:ascii="Arial" w:hAnsi="Arial" w:eastAsia="宋体" w:cs="Arial"/>
      <w:vanish/>
      <w:sz w:val="16"/>
      <w:szCs w:val="16"/>
    </w:rPr>
  </w:style>
  <w:style w:type="character" w:styleId="1108" w:customStyle="1">
    <w:name w:val="z-窗体底端 Char"/>
    <w:link w:val="1107"/>
    <w:uiPriority w:val="0"/>
    <w:qFormat/>
    <w:rPr>
      <w:rFonts w:ascii="Arial" w:hAnsi="Arial" w:eastAsia="宋体" w:cs="Arial"/>
      <w:vanish/>
      <w:sz w:val="16"/>
      <w:szCs w:val="16"/>
    </w:rPr>
  </w:style>
  <w:style w:type="paragraph" w:styleId="1109" w:customStyle="1">
    <w:name w:val="题头"/>
    <w:basedOn w:val="907"/>
    <w:next w:val="694"/>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10" w:customStyle="1">
    <w:name w:val="样式 论文正文__最新 Char Char"/>
    <w:basedOn w:val="694"/>
    <w:uiPriority w:val="0"/>
    <w:qFormat/>
    <w:pPr>
      <w:ind w:left="210" w:firstLine="510"/>
      <w:spacing w:line="400" w:lineRule="exact"/>
    </w:pPr>
    <w:rPr>
      <w:rFonts w:ascii="Times New Roman" w:hAnsi="Times New Roman" w:eastAsia="宋体" w:cs="宋体"/>
      <w:sz w:val="24"/>
      <w:szCs w:val="24"/>
    </w:rPr>
  </w:style>
  <w:style w:type="paragraph" w:styleId="1111" w:customStyle="1">
    <w:name w:val="索引 51"/>
    <w:basedOn w:val="694"/>
    <w:next w:val="694"/>
    <w:uiPriority w:val="0"/>
    <w:qFormat/>
    <w:pPr>
      <w:ind w:left="800"/>
      <w:spacing w:line="227" w:lineRule="atLeast"/>
    </w:pPr>
    <w:rPr>
      <w:rFonts w:ascii="宋体" w:hAnsi="Times New Roman" w:eastAsia="宋体" w:cs="Times New Roman"/>
      <w:szCs w:val="20"/>
    </w:rPr>
  </w:style>
  <w:style w:type="paragraph" w:styleId="1112" w:customStyle="1">
    <w:name w:val="样式 正文缩进特点四号段1标题4body text鋘drad????ndBody Te?ndBo段1 Cha...1"/>
    <w:basedOn w:val="1035"/>
    <w:uiPriority w:val="0"/>
    <w:qFormat/>
    <w:pPr>
      <w:ind w:left="480" w:firstLine="480"/>
      <w:spacing w:line="300" w:lineRule="auto"/>
    </w:pPr>
    <w:rPr>
      <w:rFonts w:eastAsia="仿宋_GB2312" w:cs="宋体"/>
      <w:sz w:val="24"/>
      <w:szCs w:val="22"/>
    </w:rPr>
  </w:style>
  <w:style w:type="paragraph" w:styleId="1113" w:customStyle="1">
    <w:name w:val="样式 标题 22nd levelh22Header 2l2节Titre2Head 2H2heading 2+...1"/>
    <w:basedOn w:val="906"/>
    <w:uiPriority w:val="0"/>
    <w:qFormat/>
    <w:pPr>
      <w:ind w:left="578" w:hanging="578"/>
      <w:spacing w:line="415" w:lineRule="auto"/>
      <w:tabs>
        <w:tab w:val="left" w:pos="425" w:leader="none"/>
      </w:tabs>
    </w:pPr>
    <w:rPr>
      <w:rFonts w:ascii="Arial" w:hAnsi="Arial" w:eastAsia="黑体" w:cs="宋体"/>
      <w:szCs w:val="20"/>
    </w:rPr>
  </w:style>
  <w:style w:type="paragraph" w:styleId="1114" w:customStyle="1">
    <w:name w:val="样式 正文缩进特点四号段1标题4body text鋘drad????ndBody Te?ndBo段1 Cha..."/>
    <w:basedOn w:val="1035"/>
    <w:uiPriority w:val="0"/>
    <w:qFormat/>
    <w:pPr>
      <w:ind w:left="480" w:firstLine="400"/>
      <w:spacing w:line="360" w:lineRule="auto"/>
    </w:pPr>
    <w:rPr>
      <w:rFonts w:eastAsia="仿宋_GB2312" w:cs="宋体"/>
      <w:sz w:val="24"/>
      <w:szCs w:val="22"/>
    </w:rPr>
  </w:style>
  <w:style w:type="paragraph" w:styleId="1115" w:customStyle="1">
    <w:name w:val="样式 样式 标题 3一1h33rd levelH3l3CTHeading 3 - oldLevel 3 Head3...1 +"/>
    <w:basedOn w:val="694"/>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6" w:customStyle="1">
    <w:name w:val="样式 (符号) 宋体 左侧:  2 字符 首行缩进:  2 字符 段前: 0.5 行 行距: 1.5 倍行距"/>
    <w:basedOn w:val="694"/>
    <w:uiPriority w:val="0"/>
    <w:qFormat/>
    <w:pPr>
      <w:ind w:left="480" w:firstLine="480"/>
      <w:spacing w:line="360" w:lineRule="auto"/>
    </w:pPr>
    <w:rPr>
      <w:rFonts w:ascii="Times New Roman" w:hAnsi="宋体" w:eastAsia="仿宋_GB2312" w:cs="宋体"/>
      <w:sz w:val="24"/>
      <w:szCs w:val="20"/>
    </w:rPr>
  </w:style>
  <w:style w:type="paragraph" w:styleId="1117" w:customStyle="1">
    <w:name w:val="样式 主正文 + 左侧:  2 字符 首行缩进:  2 字符 段前: 0.5 行"/>
    <w:basedOn w:val="1101"/>
    <w:uiPriority w:val="0"/>
    <w:qFormat/>
    <w:rPr>
      <w:rFonts w:cs="宋体"/>
    </w:rPr>
  </w:style>
  <w:style w:type="paragraph" w:styleId="1118" w:customStyle="1">
    <w:name w:val="样式 样式 左侧:  2 字符 首行缩进:  2 字符 段前: 0.5 行1 + 左侧:  2 字符 首行缩进:  2 字符..."/>
    <w:basedOn w:val="694"/>
    <w:uiPriority w:val="0"/>
    <w:qFormat/>
    <w:pPr>
      <w:ind w:left="200" w:firstLine="200"/>
      <w:spacing w:line="360" w:lineRule="auto"/>
    </w:pPr>
    <w:rPr>
      <w:rFonts w:ascii="Times New Roman" w:hAnsi="Times New Roman" w:eastAsia="仿宋_GB2312" w:cs="Times New Roman"/>
      <w:sz w:val="24"/>
      <w:szCs w:val="20"/>
    </w:rPr>
  </w:style>
  <w:style w:type="paragraph" w:styleId="1119" w:customStyle="1">
    <w:name w:val="样式 标题 3一1h33rd levelH3l3CTHeading 3 - oldLevel 3 Head3...1"/>
    <w:basedOn w:val="907"/>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20" w:customStyle="1">
    <w:name w:val="样式 jerry + 左侧:  0 厘米 段前: 0.5 行 段后: 0.5 行"/>
    <w:basedOn w:val="694"/>
    <w:uiPriority w:val="0"/>
    <w:qFormat/>
    <w:pPr>
      <w:ind w:firstLine="420"/>
    </w:pPr>
    <w:rPr>
      <w:rFonts w:ascii="Times New Roman" w:hAnsi="Times New Roman" w:eastAsia="宋体" w:cs="Times New Roman"/>
      <w:sz w:val="24"/>
      <w:szCs w:val="20"/>
    </w:rPr>
  </w:style>
  <w:style w:type="paragraph" w:styleId="1121" w:customStyle="1">
    <w:name w:val="aaaaa"/>
    <w:basedOn w:val="694"/>
    <w:uiPriority w:val="0"/>
    <w:qFormat/>
    <w:pPr>
      <w:ind w:firstLine="420"/>
      <w:spacing w:before="120" w:after="120" w:line="300" w:lineRule="auto"/>
    </w:pPr>
    <w:rPr>
      <w:rFonts w:ascii="仿宋_GB2312" w:hAnsi="Times New Roman" w:eastAsia="宋体" w:cs="Times New Roman"/>
      <w:sz w:val="28"/>
      <w:szCs w:val="28"/>
    </w:rPr>
  </w:style>
  <w:style w:type="paragraph" w:styleId="1122" w:customStyle="1">
    <w:name w:val="样式 标题 2H2Heading 2 HiddenHeading 2 CCBSheading 2第一章 标题 2IS...1"/>
    <w:basedOn w:val="906"/>
    <w:uiPriority w:val="0"/>
    <w:qFormat/>
    <w:pPr>
      <w:ind w:left="0" w:firstLine="0"/>
      <w:spacing w:line="415" w:lineRule="auto"/>
    </w:pPr>
    <w:rPr>
      <w:rFonts w:ascii="Times New Roman" w:hAnsi="Times New Roman" w:eastAsia="黑体"/>
      <w:b w:val="0"/>
      <w:bCs w:val="0"/>
    </w:rPr>
  </w:style>
  <w:style w:type="paragraph" w:styleId="1123" w:customStyle="1">
    <w:name w:val="样式 标题 2H2Heading 2 HiddenHeading 2 CCBSheading 2第一章 标题 2IS...2"/>
    <w:basedOn w:val="906"/>
    <w:uiPriority w:val="0"/>
    <w:qFormat/>
    <w:pPr>
      <w:ind w:left="0" w:firstLine="0"/>
      <w:spacing w:line="415" w:lineRule="auto"/>
    </w:pPr>
    <w:rPr>
      <w:rFonts w:ascii="Times New Roman" w:hAnsi="Times New Roman" w:eastAsia="黑体"/>
      <w:b w:val="0"/>
      <w:bCs w:val="0"/>
    </w:rPr>
  </w:style>
  <w:style w:type="paragraph" w:styleId="1124" w:customStyle="1">
    <w:name w:val="样式 标题 2H2Heading 2 HiddenHeading 2 CCBSheading 2第一章 标题 2IS...3"/>
    <w:basedOn w:val="906"/>
    <w:uiPriority w:val="0"/>
    <w:qFormat/>
    <w:pPr>
      <w:ind w:left="0" w:firstLine="0"/>
    </w:pPr>
    <w:rPr>
      <w:rFonts w:ascii="Times New Roman" w:hAnsi="Times New Roman" w:eastAsia="黑体"/>
      <w:b w:val="0"/>
      <w:bCs w:val="0"/>
    </w:rPr>
  </w:style>
  <w:style w:type="paragraph" w:styleId="1125" w:customStyle="1">
    <w:name w:val="样式 标题 2H2Heading 2 HiddenHeading 2 CCBSheading 2第一章 标题 2IS...4"/>
    <w:basedOn w:val="906"/>
    <w:uiPriority w:val="0"/>
    <w:qFormat/>
    <w:pPr>
      <w:ind w:left="0" w:firstLine="0"/>
    </w:pPr>
    <w:rPr>
      <w:rFonts w:ascii="Times New Roman" w:hAnsi="Times New Roman" w:eastAsia="黑体"/>
      <w:b w:val="0"/>
      <w:bCs w:val="0"/>
    </w:rPr>
  </w:style>
  <w:style w:type="paragraph" w:styleId="1126" w:customStyle="1">
    <w:name w:val="样式 标题 4h4H4Ref Heading 1rh1Heading sqlsect 1.2.3.4PIM 4第..."/>
    <w:basedOn w:val="752"/>
    <w:link w:val="1127"/>
    <w:uiPriority w:val="0"/>
    <w:qFormat/>
    <w:pPr>
      <w:ind w:left="2240" w:hanging="420"/>
      <w:spacing w:before="120" w:line="240" w:lineRule="auto"/>
      <w:tabs>
        <w:tab w:val="left" w:pos="2240" w:leader="none"/>
      </w:tabs>
    </w:pPr>
    <w:rPr>
      <w:rFonts w:ascii="Times New Roman" w:hAnsi="Times New Roman" w:cs="宋体"/>
    </w:rPr>
  </w:style>
  <w:style w:type="character" w:styleId="1127" w:customStyle="1">
    <w:name w:val="样式 标题 4h4H4Ref Heading 1rh1Heading sqlsect 1.2.3.4PIM 4第... Char Char"/>
    <w:link w:val="1126"/>
    <w:uiPriority w:val="0"/>
    <w:qFormat/>
    <w:rPr>
      <w:rFonts w:ascii="Times New Roman" w:hAnsi="Times New Roman" w:eastAsia="宋体" w:cs="宋体"/>
      <w:b/>
      <w:bCs/>
      <w:sz w:val="28"/>
      <w:szCs w:val="28"/>
    </w:rPr>
  </w:style>
  <w:style w:type="paragraph" w:styleId="1128" w:customStyle="1">
    <w:name w:val="样式 宋体 小四 行距: 1.5 倍行距"/>
    <w:basedOn w:val="694"/>
    <w:link w:val="1129"/>
    <w:uiPriority w:val="0"/>
    <w:qFormat/>
    <w:pPr>
      <w:ind w:firstLine="540"/>
      <w:jc w:val="left"/>
      <w:spacing w:line="300" w:lineRule="auto"/>
    </w:pPr>
    <w:rPr>
      <w:rFonts w:ascii="宋体" w:hAnsi="Times New Roman" w:eastAsia="宋体" w:cs="宋体"/>
      <w:color w:val="000000"/>
      <w:sz w:val="24"/>
      <w:szCs w:val="21"/>
    </w:rPr>
  </w:style>
  <w:style w:type="character" w:styleId="1129" w:customStyle="1">
    <w:name w:val="样式 宋体 小四 行距: 1.5 倍行距 Char Char"/>
    <w:link w:val="1128"/>
    <w:uiPriority w:val="0"/>
    <w:qFormat/>
    <w:rPr>
      <w:rFonts w:ascii="宋体" w:hAnsi="Times New Roman" w:eastAsia="宋体" w:cs="宋体"/>
      <w:color w:val="000000"/>
      <w:sz w:val="24"/>
      <w:szCs w:val="21"/>
    </w:rPr>
  </w:style>
  <w:style w:type="paragraph" w:styleId="1130" w:customStyle="1">
    <w:name w:val="样式 正文缩进正文（首行缩进两字）表正文正文非缩进特点段1四号正文不缩进特点 CharALT+Z水上软件 +..."/>
    <w:basedOn w:val="1035"/>
    <w:uiPriority w:val="0"/>
    <w:qFormat/>
    <w:pPr>
      <w:ind w:firstLine="480"/>
      <w:spacing w:line="360" w:lineRule="auto"/>
    </w:pPr>
    <w:rPr>
      <w:sz w:val="24"/>
      <w:szCs w:val="22"/>
    </w:rPr>
  </w:style>
  <w:style w:type="paragraph" w:styleId="1131" w:customStyle="1">
    <w:name w:val="标书正文"/>
    <w:basedOn w:val="694"/>
    <w:link w:val="1132"/>
    <w:uiPriority w:val="0"/>
    <w:qFormat/>
    <w:pPr>
      <w:ind w:firstLine="540"/>
      <w:spacing w:before="120" w:after="120" w:line="360" w:lineRule="auto"/>
    </w:pPr>
    <w:rPr>
      <w:rFonts w:ascii="华文中宋" w:hAnsi="宋体" w:eastAsia="宋体" w:cs="宋体"/>
      <w:color w:val="000000"/>
      <w:sz w:val="28"/>
      <w:szCs w:val="28"/>
    </w:rPr>
  </w:style>
  <w:style w:type="character" w:styleId="1132" w:customStyle="1">
    <w:name w:val="标书正文 Char2"/>
    <w:link w:val="1131"/>
    <w:uiPriority w:val="0"/>
    <w:qFormat/>
    <w:rPr>
      <w:rFonts w:ascii="华文中宋" w:hAnsi="宋体" w:eastAsia="宋体" w:cs="宋体"/>
      <w:color w:val="000000"/>
      <w:sz w:val="28"/>
      <w:szCs w:val="28"/>
    </w:rPr>
  </w:style>
  <w:style w:type="paragraph" w:styleId="1133" w:customStyle="1">
    <w:name w:val="样式14"/>
    <w:basedOn w:val="694"/>
    <w:next w:val="909"/>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34" w:customStyle="1">
    <w:name w:val="样式 正文缩进特点四号段1标题4body text鋘drad????ndBody Te?ndBo段1 Cha...3"/>
    <w:basedOn w:val="1035"/>
    <w:uiPriority w:val="0"/>
    <w:qFormat/>
    <w:pPr>
      <w:ind w:firstLine="200"/>
      <w:spacing w:line="300" w:lineRule="auto"/>
    </w:pPr>
    <w:rPr>
      <w:rFonts w:hAnsi="宋体" w:cs="宋体"/>
      <w:sz w:val="24"/>
      <w:szCs w:val="22"/>
    </w:rPr>
  </w:style>
  <w:style w:type="paragraph" w:styleId="1135" w:customStyle="1">
    <w:name w:val="段落要点2"/>
    <w:basedOn w:val="694"/>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6" w:customStyle="1">
    <w:name w:val="样式 (中文) 仿宋_GB2312 小四 行距: 1.5 倍行距"/>
    <w:basedOn w:val="694"/>
    <w:link w:val="1137"/>
    <w:uiPriority w:val="0"/>
    <w:qFormat/>
    <w:pPr>
      <w:ind w:firstLine="480"/>
      <w:spacing w:before="240" w:line="360" w:lineRule="auto"/>
    </w:pPr>
    <w:rPr>
      <w:rFonts w:ascii="Times New Roman" w:hAnsi="Times New Roman" w:eastAsia="仿宋_GB2312" w:cs="宋体"/>
      <w:sz w:val="24"/>
      <w:szCs w:val="20"/>
    </w:rPr>
  </w:style>
  <w:style w:type="character" w:styleId="1137" w:customStyle="1">
    <w:name w:val="样式 (中文) 仿宋_GB2312 小四 行距: 1.5 倍行距 Char Char"/>
    <w:link w:val="1136"/>
    <w:uiPriority w:val="0"/>
    <w:qFormat/>
    <w:rPr>
      <w:rFonts w:ascii="Times New Roman" w:hAnsi="Times New Roman" w:eastAsia="仿宋_GB2312" w:cs="宋体"/>
      <w:sz w:val="24"/>
    </w:rPr>
  </w:style>
  <w:style w:type="paragraph" w:styleId="1138" w:customStyle="1">
    <w:name w:val="样式 左侧:  2 字符 首行缩进:  2 字符 段前: 0.5 行2"/>
    <w:basedOn w:val="694"/>
    <w:link w:val="1139"/>
    <w:uiPriority w:val="0"/>
    <w:qFormat/>
    <w:pPr>
      <w:ind w:left="480" w:firstLine="480"/>
    </w:pPr>
    <w:rPr>
      <w:rFonts w:ascii="Times New Roman" w:hAnsi="Times New Roman" w:eastAsia="仿宋_GB2312" w:cs="宋体"/>
      <w:sz w:val="24"/>
      <w:szCs w:val="20"/>
    </w:rPr>
  </w:style>
  <w:style w:type="character" w:styleId="1139" w:customStyle="1">
    <w:name w:val="样式 左侧:  2 字符 首行缩进:  2 字符 段前: 0.5 行2 Char1"/>
    <w:link w:val="1138"/>
    <w:uiPriority w:val="0"/>
    <w:qFormat/>
    <w:rPr>
      <w:rFonts w:ascii="Times New Roman" w:hAnsi="Times New Roman" w:eastAsia="仿宋_GB2312" w:cs="宋体"/>
      <w:sz w:val="24"/>
    </w:rPr>
  </w:style>
  <w:style w:type="paragraph" w:styleId="1140" w:customStyle="1">
    <w:name w:val="样式 样式 正文缩进四号ALT+Z段1 Char Char Char段1 Char Char标题4body text鋘d... ..."/>
    <w:basedOn w:val="694"/>
    <w:link w:val="1141"/>
    <w:uiPriority w:val="0"/>
    <w:qFormat/>
    <w:pPr>
      <w:ind w:firstLine="640"/>
      <w:spacing w:line="300" w:lineRule="auto"/>
    </w:pPr>
    <w:rPr>
      <w:rFonts w:ascii="宋体" w:hAnsi="宋体" w:eastAsia="宋体" w:cs="宋体"/>
      <w:sz w:val="32"/>
      <w:szCs w:val="32"/>
    </w:rPr>
  </w:style>
  <w:style w:type="character" w:styleId="1141" w:customStyle="1">
    <w:name w:val="样式 样式 正文缩进四号ALT+Z段1 Char Char Char段1 Char Char标题4body text鋘d... ... Char Char"/>
    <w:link w:val="1140"/>
    <w:uiPriority w:val="0"/>
    <w:qFormat/>
    <w:rPr>
      <w:rFonts w:ascii="宋体" w:hAnsi="宋体" w:eastAsia="宋体" w:cs="宋体"/>
      <w:sz w:val="32"/>
      <w:szCs w:val="32"/>
    </w:rPr>
  </w:style>
  <w:style w:type="paragraph" w:styleId="1142" w:customStyle="1">
    <w:name w:val="SG186正文"/>
    <w:basedOn w:val="694"/>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43" w:customStyle="1">
    <w:name w:val="样式 样式 样式 正文缩进四号ALT+Z段1 Char Char Char段1 Char Char标题4body text鋘d...."/>
    <w:basedOn w:val="1140"/>
    <w:link w:val="1144"/>
    <w:uiPriority w:val="0"/>
    <w:qFormat/>
    <w:rPr>
      <w:rFonts w:ascii="Times New Roman" w:hAnsi="Times New Roman"/>
      <w:sz w:val="24"/>
      <w:szCs w:val="24"/>
    </w:rPr>
  </w:style>
  <w:style w:type="character" w:styleId="1144" w:customStyle="1">
    <w:name w:val="样式 样式 样式 正文缩进四号ALT+Z段1 Char Char Char段1 Char Char标题4body text鋘d.... Char Char"/>
    <w:link w:val="1143"/>
    <w:uiPriority w:val="0"/>
    <w:qFormat/>
    <w:rPr>
      <w:rFonts w:ascii="Times New Roman" w:hAnsi="Times New Roman" w:eastAsia="宋体" w:cs="宋体"/>
      <w:sz w:val="24"/>
      <w:szCs w:val="24"/>
    </w:rPr>
  </w:style>
  <w:style w:type="paragraph" w:styleId="1145" w:customStyle="1">
    <w:name w:val="样式 样式 样式 样式 样式 样式 样式 样式 样式 宋体 小四 首行缩进:  0.74 厘米 行距: 最小值 18 磅 + 段..."/>
    <w:basedOn w:val="1083"/>
    <w:uiPriority w:val="0"/>
    <w:qFormat/>
    <w:pPr>
      <w:ind w:firstLine="200"/>
      <w:spacing w:line="300" w:lineRule="auto"/>
    </w:pPr>
    <w:rPr>
      <w:rFonts w:ascii="Times New Roman" w:hAnsi="Times New Roman"/>
      <w:sz w:val="24"/>
      <w:szCs w:val="24"/>
    </w:rPr>
  </w:style>
  <w:style w:type="paragraph" w:styleId="1146" w:customStyle="1">
    <w:name w:val="段落要点"/>
    <w:basedOn w:val="694"/>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7" w:customStyle="1">
    <w:name w:val="样式2"/>
    <w:basedOn w:val="906"/>
    <w:next w:val="694"/>
    <w:uiPriority w:val="0"/>
    <w:qFormat/>
    <w:pPr>
      <w:ind w:left="0" w:firstLine="0"/>
      <w:tabs>
        <w:tab w:val="left" w:pos="1080" w:leader="none"/>
      </w:tabs>
    </w:pPr>
    <w:rPr>
      <w:rFonts w:ascii="Arial" w:hAnsi="Arial" w:eastAsia="黑体"/>
    </w:rPr>
  </w:style>
  <w:style w:type="paragraph" w:styleId="1148" w:customStyle="1">
    <w:name w:val="样式5"/>
    <w:basedOn w:val="906"/>
    <w:uiPriority w:val="0"/>
    <w:qFormat/>
    <w:pPr>
      <w:ind w:left="420" w:firstLine="0"/>
      <w:tabs>
        <w:tab w:val="left" w:pos="1500" w:leader="none"/>
      </w:tabs>
    </w:pPr>
    <w:rPr>
      <w:rFonts w:ascii="Arial" w:hAnsi="Arial" w:eastAsia="黑体"/>
    </w:rPr>
  </w:style>
  <w:style w:type="paragraph" w:styleId="1149" w:customStyle="1">
    <w:name w:val="样式 正文缩进四号ALT+Z段1 Char Char Char段1 Char Char标题4body text鋘d..."/>
    <w:basedOn w:val="1035"/>
    <w:link w:val="1150"/>
    <w:uiPriority w:val="0"/>
    <w:qFormat/>
    <w:pPr>
      <w:ind w:firstLine="200"/>
      <w:spacing w:line="300" w:lineRule="auto"/>
    </w:pPr>
    <w:rPr>
      <w:rFonts w:ascii="宋体" w:hAnsi="宋体" w:cs="宋体"/>
      <w:sz w:val="24"/>
      <w:szCs w:val="24"/>
    </w:rPr>
  </w:style>
  <w:style w:type="character" w:styleId="1150" w:customStyle="1">
    <w:name w:val="样式 正文缩进四号ALT+Z段1 Char Char Char段1 Char Char标题4body text鋘d... Char Char"/>
    <w:link w:val="1149"/>
    <w:uiPriority w:val="0"/>
    <w:qFormat/>
    <w:rPr>
      <w:rFonts w:ascii="宋体" w:hAnsi="宋体" w:eastAsia="宋体" w:cs="宋体"/>
      <w:sz w:val="24"/>
      <w:szCs w:val="24"/>
    </w:rPr>
  </w:style>
  <w:style w:type="paragraph" w:styleId="1151" w:customStyle="1">
    <w:name w:val="样式 标题 1H1标书1Heading 0PIM 1h1Head1Heading apps合同标题标题一1s..."/>
    <w:basedOn w:val="939"/>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52" w:customStyle="1">
    <w:name w:val="样式 (中文) 仿宋_GB2312 小四 行距: 1.5 倍行距1"/>
    <w:basedOn w:val="694"/>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53" w:customStyle="1">
    <w:name w:val="融信正文"/>
    <w:basedOn w:val="694"/>
    <w:uiPriority w:val="0"/>
    <w:qFormat/>
    <w:pPr>
      <w:ind w:right="240" w:firstLine="480"/>
      <w:spacing w:line="360" w:lineRule="auto"/>
    </w:pPr>
    <w:rPr>
      <w:rFonts w:ascii="仿宋_GB2312" w:hAnsi="Arial" w:eastAsia="仿宋_GB2312" w:cs="Arial"/>
      <w:sz w:val="24"/>
      <w:szCs w:val="24"/>
    </w:rPr>
  </w:style>
  <w:style w:type="paragraph" w:styleId="1154" w:customStyle="1">
    <w:name w:val="正文列4_1"/>
    <w:basedOn w:val="694"/>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55" w:customStyle="1">
    <w:name w:val="项目符号2"/>
    <w:basedOn w:val="694"/>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56" w:customStyle="1">
    <w:name w:val="图题"/>
    <w:basedOn w:val="694"/>
    <w:next w:val="694"/>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7" w:customStyle="1">
    <w:name w:val="正文段落"/>
    <w:basedOn w:val="1035"/>
    <w:uiPriority w:val="0"/>
    <w:qFormat/>
    <w:pPr>
      <w:ind w:firstLine="200"/>
      <w:spacing w:after="120" w:line="360" w:lineRule="auto"/>
      <w:widowControl/>
    </w:pPr>
    <w:rPr>
      <w:sz w:val="24"/>
      <w:szCs w:val="24"/>
    </w:rPr>
  </w:style>
  <w:style w:type="paragraph" w:styleId="1158" w:customStyle="1">
    <w:name w:val="Sale_Header 2"/>
    <w:next w:val="694"/>
    <w:link w:val="1159"/>
    <w:uiPriority w:val="0"/>
    <w:qFormat/>
    <w:rPr>
      <w:rFonts w:ascii="Arial" w:hAnsi="Arial" w:eastAsia="宋体" w:cs="Calibri"/>
      <w:b/>
      <w:i/>
      <w:iCs/>
      <w:color w:val="000000"/>
      <w:sz w:val="28"/>
      <w:szCs w:val="24"/>
      <w:lang w:val="en-US" w:eastAsia="zh-CN" w:bidi="ar-SA"/>
    </w:rPr>
  </w:style>
  <w:style w:type="character" w:styleId="1159" w:customStyle="1">
    <w:name w:val="Sale_Header 2 Char Char"/>
    <w:link w:val="1158"/>
    <w:uiPriority w:val="0"/>
    <w:qFormat/>
    <w:rPr>
      <w:rFonts w:ascii="Arial" w:hAnsi="Arial" w:eastAsia="宋体" w:cs="Calibri"/>
      <w:b/>
      <w:i/>
      <w:iCs/>
      <w:color w:val="000000"/>
      <w:sz w:val="28"/>
      <w:szCs w:val="24"/>
    </w:rPr>
  </w:style>
  <w:style w:type="paragraph" w:styleId="1160" w:customStyle="1">
    <w:name w:val="Default Text"/>
    <w:link w:val="1161"/>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61" w:customStyle="1">
    <w:name w:val="Default Text Char Char"/>
    <w:link w:val="1160"/>
    <w:uiPriority w:val="0"/>
    <w:qFormat/>
    <w:rPr>
      <w:rFonts w:ascii="Arial" w:hAnsi="Arial" w:eastAsia="宋体" w:cs="Calibri"/>
      <w:sz w:val="18"/>
      <w:szCs w:val="18"/>
    </w:rPr>
  </w:style>
  <w:style w:type="paragraph" w:styleId="1162" w:customStyle="1">
    <w:name w:val="Normal (Arial)"/>
    <w:basedOn w:val="694"/>
    <w:uiPriority w:val="0"/>
    <w:qFormat/>
    <w:pPr>
      <w:jc w:val="left"/>
      <w:widowControl/>
    </w:pPr>
    <w:rPr>
      <w:rFonts w:ascii="Arial" w:hAnsi="Arial" w:eastAsia="宋体" w:cs="Arial"/>
      <w:sz w:val="20"/>
      <w:szCs w:val="20"/>
      <w:lang w:eastAsia="en-US"/>
    </w:rPr>
  </w:style>
  <w:style w:type="paragraph" w:styleId="1163" w:customStyle="1">
    <w:name w:val="List Bullet2"/>
    <w:basedOn w:val="694"/>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64" w:customStyle="1">
    <w:name w:val="正文缩进3"/>
    <w:uiPriority w:val="0"/>
    <w:qFormat/>
    <w:pPr>
      <w:ind w:firstLine="200"/>
    </w:pPr>
    <w:rPr>
      <w:rFonts w:ascii="Times New Roman" w:hAnsi="Times New Roman" w:eastAsia="宋体" w:cs="Calibri"/>
      <w:sz w:val="24"/>
      <w:lang w:val="en-US" w:eastAsia="zh-CN" w:bidi="ar-SA"/>
    </w:rPr>
  </w:style>
  <w:style w:type="paragraph" w:styleId="1165"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66" w:customStyle="1">
    <w:name w:val="小标题"/>
    <w:basedOn w:val="694"/>
    <w:next w:val="694"/>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7" w:customStyle="1">
    <w:name w:val="Body"/>
    <w:basedOn w:val="694"/>
    <w:uiPriority w:val="0"/>
    <w:qFormat/>
    <w:pPr>
      <w:jc w:val="left"/>
      <w:spacing w:after="200"/>
      <w:widowControl/>
    </w:pPr>
    <w:rPr>
      <w:rFonts w:ascii="Times New Roman" w:hAnsi="Times New Roman" w:eastAsia="宋体" w:cs="Times New Roman"/>
      <w:sz w:val="22"/>
      <w:szCs w:val="20"/>
    </w:rPr>
  </w:style>
  <w:style w:type="paragraph" w:styleId="1168" w:customStyle="1">
    <w:name w:val="索引 91"/>
    <w:basedOn w:val="694"/>
    <w:next w:val="694"/>
    <w:uiPriority w:val="0"/>
    <w:qFormat/>
    <w:pPr>
      <w:ind w:left="1890" w:hanging="210"/>
      <w:jc w:val="left"/>
    </w:pPr>
    <w:rPr>
      <w:rFonts w:ascii="Times New Roman" w:hAnsi="Times New Roman" w:eastAsia="宋体" w:cs="Times New Roman"/>
      <w:sz w:val="20"/>
      <w:szCs w:val="20"/>
    </w:rPr>
  </w:style>
  <w:style w:type="paragraph" w:styleId="1169" w:customStyle="1">
    <w:name w:val="基准索引样式"/>
    <w:basedOn w:val="694"/>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70" w:customStyle="1">
    <w:name w:val="Heading2REP"/>
    <w:basedOn w:val="941"/>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71" w:customStyle="1">
    <w:name w:val="BodyREP"/>
    <w:basedOn w:val="941"/>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72" w:customStyle="1">
    <w:name w:val="Bullet1"/>
    <w:basedOn w:val="694"/>
    <w:uiPriority w:val="0"/>
    <w:qFormat/>
    <w:pPr>
      <w:jc w:val="left"/>
      <w:widowControl/>
    </w:pPr>
    <w:rPr>
      <w:rFonts w:ascii="CG Times" w:hAnsi="CG Times" w:eastAsia="宋体" w:cs="Times New Roman"/>
      <w:sz w:val="20"/>
      <w:szCs w:val="20"/>
    </w:rPr>
  </w:style>
  <w:style w:type="paragraph" w:styleId="1173" w:customStyle="1">
    <w:name w:val="TableText"/>
    <w:basedOn w:val="694"/>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74" w:customStyle="1">
    <w:name w:val="工程正文"/>
    <w:basedOn w:val="694"/>
    <w:uiPriority w:val="0"/>
    <w:qFormat/>
    <w:pPr>
      <w:ind w:firstLine="500"/>
      <w:spacing w:line="360" w:lineRule="atLeast"/>
    </w:pPr>
    <w:rPr>
      <w:rFonts w:ascii="Times New Roman" w:hAnsi="Times New Roman" w:eastAsia="宋体" w:cs="Times New Roman"/>
      <w:color w:val="000000"/>
      <w:spacing w:val="20"/>
      <w:szCs w:val="20"/>
    </w:rPr>
  </w:style>
  <w:style w:type="paragraph" w:styleId="1175" w:customStyle="1">
    <w:name w:val="Picture"/>
    <w:basedOn w:val="694"/>
    <w:next w:val="710"/>
    <w:uiPriority w:val="0"/>
    <w:qFormat/>
    <w:pPr>
      <w:keepNext/>
      <w:widowControl/>
    </w:pPr>
    <w:rPr>
      <w:rFonts w:hint="eastAsia" w:ascii="楷体" w:hAnsi="Arial" w:eastAsia="楷体" w:cs="Times New Roman"/>
      <w:b/>
      <w:spacing w:val="-5"/>
      <w:sz w:val="24"/>
      <w:szCs w:val="20"/>
    </w:rPr>
  </w:style>
  <w:style w:type="character" w:styleId="1176" w:customStyle="1">
    <w:name w:val="题注 Char"/>
    <w:link w:val="710"/>
    <w:uiPriority w:val="0"/>
    <w:qFormat/>
    <w:rPr>
      <w:rFonts w:ascii="Calibri" w:hAnsi="Calibri" w:eastAsia="仿宋" w:cstheme="majorBidi"/>
      <w:b/>
      <w:bCs/>
      <w:color w:val="4f81bd"/>
      <w:sz w:val="18"/>
      <w:szCs w:val="18"/>
      <w:lang w:eastAsia="en-US" w:bidi="en-US"/>
    </w:rPr>
  </w:style>
  <w:style w:type="paragraph" w:styleId="1177" w:customStyle="1">
    <w:name w:val="TableTitle"/>
    <w:basedOn w:val="1178"/>
    <w:uiPriority w:val="0"/>
    <w:qFormat/>
    <w:pPr>
      <w:spacing w:before="0" w:after="120"/>
    </w:pPr>
  </w:style>
  <w:style w:type="paragraph" w:styleId="1178" w:customStyle="1">
    <w:name w:val="TableNumber"/>
    <w:basedOn w:val="694"/>
    <w:next w:val="1177"/>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9" w:customStyle="1">
    <w:name w:val="TH_FL"/>
    <w:basedOn w:val="694"/>
    <w:uiPriority w:val="0"/>
    <w:qFormat/>
    <w:pPr>
      <w:jc w:val="left"/>
      <w:spacing w:before="40" w:after="40" w:line="220" w:lineRule="atLeast"/>
      <w:widowControl/>
    </w:pPr>
    <w:rPr>
      <w:rFonts w:ascii="IDCSansSerif" w:hAnsi="IDCSansSerif" w:eastAsia="宋体" w:cs="Times New Roman"/>
      <w:sz w:val="18"/>
      <w:szCs w:val="20"/>
    </w:rPr>
  </w:style>
  <w:style w:type="paragraph" w:styleId="1180" w:customStyle="1">
    <w:name w:val="TH_CTR"/>
    <w:basedOn w:val="1179"/>
    <w:uiPriority w:val="0"/>
    <w:qFormat/>
    <w:pPr>
      <w:jc w:val="center"/>
    </w:pPr>
  </w:style>
  <w:style w:type="paragraph" w:styleId="1181" w:customStyle="1">
    <w:name w:val="TB_FL"/>
    <w:basedOn w:val="694"/>
    <w:uiPriority w:val="0"/>
    <w:qFormat/>
    <w:pPr>
      <w:jc w:val="left"/>
      <w:spacing w:before="40" w:after="40" w:line="220" w:lineRule="atLeast"/>
      <w:widowControl/>
    </w:pPr>
    <w:rPr>
      <w:rFonts w:ascii="IDCSansSerif" w:hAnsi="IDCSansSerif" w:eastAsia="宋体" w:cs="Times New Roman"/>
      <w:sz w:val="18"/>
      <w:szCs w:val="20"/>
    </w:rPr>
  </w:style>
  <w:style w:type="paragraph" w:styleId="1182" w:customStyle="1">
    <w:name w:val="TB_FR"/>
    <w:basedOn w:val="1181"/>
    <w:uiPriority w:val="0"/>
    <w:qFormat/>
    <w:pPr>
      <w:jc w:val="right"/>
    </w:pPr>
  </w:style>
  <w:style w:type="paragraph" w:styleId="1183" w:customStyle="1">
    <w:name w:val="TFN"/>
    <w:basedOn w:val="1181"/>
    <w:uiPriority w:val="0"/>
    <w:qFormat/>
    <w:pPr>
      <w:spacing w:after="0"/>
    </w:pPr>
  </w:style>
  <w:style w:type="paragraph" w:styleId="1184" w:customStyle="1">
    <w:name w:val="ymtext"/>
    <w:basedOn w:val="694"/>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85" w:customStyle="1">
    <w:name w:val="正文1"/>
    <w:basedOn w:val="694"/>
    <w:uiPriority w:val="0"/>
    <w:qFormat/>
    <w:pPr>
      <w:jc w:val="left"/>
      <w:spacing w:before="156" w:line="360" w:lineRule="auto"/>
    </w:pPr>
    <w:rPr>
      <w:rFonts w:ascii="华文楷体" w:hAnsi="Times New Roman" w:eastAsia="宋体" w:cs="Times New Roman"/>
      <w:sz w:val="24"/>
      <w:szCs w:val="20"/>
    </w:rPr>
  </w:style>
  <w:style w:type="paragraph" w:styleId="1186" w:customStyle="1">
    <w:name w:val="text"/>
    <w:basedOn w:val="752"/>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7" w:customStyle="1">
    <w:name w:val="正文文字（缩进2字）"/>
    <w:basedOn w:val="941"/>
    <w:uiPriority w:val="0"/>
    <w:qFormat/>
    <w:pPr>
      <w:ind w:firstLine="422"/>
    </w:pPr>
    <w:rPr>
      <w:b/>
      <w:bCs/>
      <w:szCs w:val="20"/>
    </w:rPr>
  </w:style>
  <w:style w:type="paragraph" w:styleId="1188" w:customStyle="1">
    <w:name w:val="我的标题2"/>
    <w:basedOn w:val="694"/>
    <w:next w:val="694"/>
    <w:uiPriority w:val="0"/>
    <w:qFormat/>
    <w:pPr>
      <w:jc w:val="left"/>
      <w:spacing w:line="300" w:lineRule="auto"/>
      <w:widowControl/>
    </w:pPr>
    <w:rPr>
      <w:rFonts w:ascii="宋体" w:hAnsi="宋体" w:eastAsia="宋体" w:cs="Times New Roman"/>
      <w:b/>
      <w:bCs/>
      <w:spacing w:val="6"/>
      <w:sz w:val="24"/>
      <w:szCs w:val="20"/>
    </w:rPr>
  </w:style>
  <w:style w:type="paragraph" w:styleId="1189" w:customStyle="1">
    <w:name w:val="我的正文"/>
    <w:basedOn w:val="694"/>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90" w:customStyle="1">
    <w:name w:val="Body Single"/>
    <w:basedOn w:val="694"/>
    <w:uiPriority w:val="0"/>
    <w:qFormat/>
    <w:pPr>
      <w:jc w:val="left"/>
      <w:widowControl/>
    </w:pPr>
    <w:rPr>
      <w:rFonts w:ascii="Times New Roman" w:hAnsi="Times New Roman" w:eastAsia="Times New Roman" w:cs="Times New Roman"/>
      <w:sz w:val="24"/>
      <w:szCs w:val="20"/>
      <w:lang w:eastAsia="en-US"/>
    </w:rPr>
  </w:style>
  <w:style w:type="paragraph" w:styleId="1191" w:customStyle="1">
    <w:name w:val="图片"/>
    <w:basedOn w:val="694"/>
    <w:next w:val="694"/>
    <w:uiPriority w:val="0"/>
    <w:qFormat/>
    <w:pPr>
      <w:jc w:val="center"/>
    </w:pPr>
    <w:rPr>
      <w:rFonts w:ascii="Times New Roman" w:hAnsi="Times New Roman" w:eastAsia="宋体" w:cs="Times New Roman"/>
      <w:szCs w:val="24"/>
    </w:rPr>
  </w:style>
  <w:style w:type="paragraph" w:styleId="1192" w:customStyle="1">
    <w:name w:val="图名"/>
    <w:basedOn w:val="694"/>
    <w:next w:val="694"/>
    <w:uiPriority w:val="0"/>
    <w:qFormat/>
    <w:pPr>
      <w:jc w:val="center"/>
      <w:spacing w:line="360" w:lineRule="auto"/>
    </w:pPr>
    <w:rPr>
      <w:rFonts w:ascii="Arial" w:hAnsi="Arial" w:eastAsia="黑体" w:cs="Times New Roman"/>
      <w:b/>
      <w:szCs w:val="24"/>
    </w:rPr>
  </w:style>
  <w:style w:type="paragraph" w:styleId="1193" w:customStyle="1">
    <w:name w:val="项目 1"/>
    <w:basedOn w:val="1035"/>
    <w:uiPriority w:val="0"/>
    <w:qFormat/>
    <w:pPr>
      <w:ind w:firstLine="0"/>
      <w:spacing w:line="360" w:lineRule="auto"/>
    </w:pPr>
    <w:rPr>
      <w:sz w:val="24"/>
      <w:szCs w:val="24"/>
    </w:rPr>
  </w:style>
  <w:style w:type="paragraph" w:styleId="1194" w:customStyle="1">
    <w:name w:val="List Bullet1"/>
    <w:basedOn w:val="694"/>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95" w:customStyle="1">
    <w:name w:val="封面落款"/>
    <w:basedOn w:val="694"/>
    <w:uiPriority w:val="0"/>
    <w:qFormat/>
    <w:pPr>
      <w:jc w:val="center"/>
      <w:spacing w:line="360" w:lineRule="auto"/>
    </w:pPr>
    <w:rPr>
      <w:rFonts w:ascii="Arial" w:hAnsi="Arial" w:eastAsia="黑体" w:cs="Times New Roman"/>
      <w:sz w:val="32"/>
      <w:szCs w:val="24"/>
    </w:rPr>
  </w:style>
  <w:style w:type="paragraph" w:styleId="1196" w:customStyle="1">
    <w:name w:val="表格标注"/>
    <w:basedOn w:val="694"/>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7" w:customStyle="1">
    <w:name w:val="Char Char1"/>
    <w:basedOn w:val="694"/>
    <w:uiPriority w:val="0"/>
    <w:qFormat/>
    <w:pPr>
      <w:spacing w:line="360" w:lineRule="auto"/>
    </w:pPr>
    <w:rPr>
      <w:rFonts w:ascii="Tahoma" w:hAnsi="Tahoma" w:eastAsia="宋体" w:cs="Times New Roman"/>
      <w:sz w:val="24"/>
      <w:szCs w:val="20"/>
    </w:rPr>
  </w:style>
  <w:style w:type="paragraph" w:styleId="1198" w:customStyle="1">
    <w:name w:val="Char1 Char Char Char Char Char"/>
    <w:basedOn w:val="694"/>
    <w:uiPriority w:val="0"/>
    <w:qFormat/>
    <w:pPr>
      <w:ind w:firstLine="200"/>
      <w:jc w:val="left"/>
      <w:spacing w:before="240" w:after="120" w:line="288" w:lineRule="auto"/>
    </w:pPr>
    <w:rPr>
      <w:rFonts w:ascii="Tahoma" w:hAnsi="Tahoma" w:eastAsia="宋体" w:cs="Times New Roman"/>
      <w:sz w:val="24"/>
      <w:szCs w:val="24"/>
    </w:rPr>
  </w:style>
  <w:style w:type="paragraph" w:styleId="1199" w:customStyle="1">
    <w:name w:val="WW-正文缩进"/>
    <w:basedOn w:val="694"/>
    <w:uiPriority w:val="0"/>
    <w:qFormat/>
    <w:pPr>
      <w:ind w:firstLine="420"/>
    </w:pPr>
    <w:rPr>
      <w:rFonts w:ascii="Times New Roman" w:hAnsi="Times New Roman" w:eastAsia="宋体" w:cs="Times New Roman"/>
      <w:szCs w:val="20"/>
      <w:lang w:eastAsia="ar-SA"/>
    </w:rPr>
  </w:style>
  <w:style w:type="paragraph" w:styleId="1200" w:customStyle="1">
    <w:name w:val="Table Text Bullet"/>
    <w:basedOn w:val="1003"/>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01" w:customStyle="1">
    <w:name w:val="RFP Question List 2"/>
    <w:basedOn w:val="694"/>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02" w:customStyle="1">
    <w:name w:val="bullet box 2 (arrows)"/>
    <w:basedOn w:val="694"/>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03" w:customStyle="1">
    <w:name w:val="表格项目符号"/>
    <w:basedOn w:val="711"/>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04" w:customStyle="1">
    <w:name w:val="附图标题"/>
    <w:basedOn w:val="694"/>
    <w:next w:val="1035"/>
    <w:uiPriority w:val="0"/>
    <w:qFormat/>
    <w:pPr>
      <w:ind w:left="420" w:hanging="420"/>
      <w:jc w:val="center"/>
      <w:tabs>
        <w:tab w:val="left" w:pos="720" w:leader="none"/>
      </w:tabs>
    </w:pPr>
    <w:rPr>
      <w:rFonts w:ascii="Arial" w:hAnsi="Arial" w:eastAsia="黑体" w:cs="Times New Roman"/>
      <w:b/>
      <w:sz w:val="18"/>
      <w:szCs w:val="24"/>
    </w:rPr>
  </w:style>
  <w:style w:type="paragraph" w:styleId="1205" w:customStyle="1">
    <w:name w:val="bullet box 1"/>
    <w:basedOn w:val="694"/>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06" w:customStyle="1">
    <w:name w:val="Char1 Char Char Char Char Char Char Char Char Char Char"/>
    <w:basedOn w:val="694"/>
    <w:uiPriority w:val="0"/>
    <w:qFormat/>
    <w:rPr>
      <w:rFonts w:ascii="Tahoma" w:hAnsi="Tahoma" w:eastAsia="宋体" w:cs="Times New Roman"/>
      <w:sz w:val="24"/>
      <w:szCs w:val="20"/>
    </w:rPr>
  </w:style>
  <w:style w:type="paragraph" w:styleId="1207" w:customStyle="1">
    <w:name w:val="Char Char Char Char Char Char Char Char Char Char Char Char Char Char Char Char Char Char Char Char Char Char Char Char"/>
    <w:basedOn w:val="694"/>
    <w:uiPriority w:val="0"/>
    <w:qFormat/>
    <w:rPr>
      <w:rFonts w:ascii="Tahoma" w:hAnsi="Tahoma" w:eastAsia="宋体" w:cs="Times New Roman"/>
      <w:sz w:val="24"/>
      <w:szCs w:val="20"/>
    </w:rPr>
  </w:style>
  <w:style w:type="paragraph" w:styleId="1208" w:customStyle="1">
    <w:name w:val="Char Char Char Char1 Char Char"/>
    <w:basedOn w:val="694"/>
    <w:uiPriority w:val="0"/>
    <w:qFormat/>
    <w:pPr>
      <w:jc w:val="center"/>
    </w:pPr>
    <w:rPr>
      <w:rFonts w:ascii="Tahoma" w:hAnsi="Tahoma" w:eastAsia="宋体" w:cs="Times New Roman"/>
      <w:sz w:val="24"/>
      <w:szCs w:val="24"/>
    </w:rPr>
  </w:style>
  <w:style w:type="paragraph" w:styleId="1209" w:customStyle="1">
    <w:name w:val="Char1 Char Char"/>
    <w:basedOn w:val="694"/>
    <w:uiPriority w:val="0"/>
    <w:qFormat/>
    <w:rPr>
      <w:rFonts w:ascii="Tahoma" w:hAnsi="Tahoma" w:eastAsia="宋体" w:cs="Times New Roman"/>
      <w:sz w:val="24"/>
      <w:szCs w:val="20"/>
    </w:rPr>
  </w:style>
  <w:style w:type="paragraph" w:styleId="1210" w:customStyle="1">
    <w:name w:val="a14"/>
    <w:basedOn w:val="694"/>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11" w:customStyle="1">
    <w:name w:val="Char Char1 Char Char Char Char Char Char"/>
    <w:basedOn w:val="694"/>
    <w:uiPriority w:val="0"/>
    <w:qFormat/>
    <w:pPr>
      <w:spacing w:line="360" w:lineRule="auto"/>
    </w:pPr>
    <w:rPr>
      <w:rFonts w:ascii="Tahoma" w:hAnsi="Tahoma" w:eastAsia="宋体" w:cs="Times New Roman"/>
      <w:sz w:val="24"/>
      <w:szCs w:val="20"/>
    </w:rPr>
  </w:style>
  <w:style w:type="paragraph" w:styleId="1212" w:customStyle="1">
    <w:name w:val="纯文本11"/>
    <w:basedOn w:val="694"/>
    <w:uiPriority w:val="0"/>
    <w:qFormat/>
    <w:rPr>
      <w:rFonts w:ascii="宋体" w:hAnsi="宋体" w:eastAsia="宋体" w:cs="Times New Roman"/>
      <w:szCs w:val="20"/>
      <w:lang w:eastAsia="ar-SA"/>
    </w:rPr>
  </w:style>
  <w:style w:type="paragraph" w:styleId="1213" w:customStyle="1">
    <w:name w:val="批注文字1"/>
    <w:basedOn w:val="694"/>
    <w:uiPriority w:val="0"/>
    <w:qFormat/>
    <w:pPr>
      <w:jc w:val="left"/>
    </w:pPr>
    <w:rPr>
      <w:rFonts w:ascii="Times New Roman" w:hAnsi="Times New Roman" w:eastAsia="宋体" w:cs="Times New Roman"/>
      <w:szCs w:val="24"/>
      <w:lang w:eastAsia="ar-SA"/>
    </w:rPr>
  </w:style>
  <w:style w:type="paragraph" w:styleId="1214" w:customStyle="1">
    <w:name w:val="正文s"/>
    <w:basedOn w:val="694"/>
    <w:next w:val="694"/>
    <w:uiPriority w:val="0"/>
    <w:qFormat/>
    <w:pPr>
      <w:ind w:firstLine="200"/>
      <w:spacing w:after="50" w:line="400" w:lineRule="exact"/>
    </w:pPr>
    <w:rPr>
      <w:rFonts w:ascii="Times New Roman" w:hAnsi="Times New Roman" w:eastAsia="宋体" w:cs="Times New Roman"/>
      <w:sz w:val="24"/>
      <w:szCs w:val="24"/>
      <w:lang w:eastAsia="ar-SA"/>
    </w:rPr>
  </w:style>
  <w:style w:type="paragraph" w:styleId="1215" w:customStyle="1">
    <w:name w:val="Bullet List"/>
    <w:basedOn w:val="694"/>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16" w:customStyle="1">
    <w:name w:val="表格正文"/>
    <w:basedOn w:val="694"/>
    <w:uiPriority w:val="0"/>
    <w:qFormat/>
    <w:pPr>
      <w:spacing w:line="300" w:lineRule="auto"/>
    </w:pPr>
    <w:rPr>
      <w:rFonts w:ascii="Times New Roman" w:hAnsi="Times New Roman" w:eastAsia="宋体" w:cs="Times New Roman"/>
      <w:szCs w:val="24"/>
    </w:rPr>
  </w:style>
  <w:style w:type="paragraph" w:styleId="1217" w:customStyle="1">
    <w:name w:val="Alt+X_首行空2"/>
    <w:basedOn w:val="694"/>
    <w:uiPriority w:val="0"/>
    <w:qFormat/>
    <w:pPr>
      <w:ind w:firstLine="480"/>
      <w:spacing w:line="360" w:lineRule="auto"/>
    </w:pPr>
    <w:rPr>
      <w:rFonts w:ascii="Times New Roman" w:hAnsi="Times New Roman" w:eastAsia="宋体" w:cs="宋体"/>
      <w:sz w:val="24"/>
      <w:szCs w:val="24"/>
    </w:rPr>
  </w:style>
  <w:style w:type="paragraph" w:styleId="1218" w:customStyle="1">
    <w:name w:val="缺省文本"/>
    <w:basedOn w:val="694"/>
    <w:uiPriority w:val="0"/>
    <w:qFormat/>
    <w:pPr>
      <w:jc w:val="left"/>
    </w:pPr>
    <w:rPr>
      <w:rFonts w:ascii="Times New Roman" w:hAnsi="Times New Roman" w:eastAsia="宋体" w:cs="Times New Roman"/>
      <w:sz w:val="24"/>
      <w:szCs w:val="24"/>
    </w:rPr>
  </w:style>
  <w:style w:type="paragraph" w:styleId="1219" w:customStyle="1">
    <w:name w:val="Char Char Char Char Char Char Char Char Char Char Char Char Char Char Char Char Char Char Char Char Char Char"/>
    <w:basedOn w:val="694"/>
    <w:uiPriority w:val="0"/>
    <w:qFormat/>
    <w:rPr>
      <w:rFonts w:ascii="Tahoma" w:hAnsi="Tahoma" w:eastAsia="宋体" w:cs="Times New Roman"/>
      <w:sz w:val="24"/>
      <w:szCs w:val="24"/>
    </w:rPr>
  </w:style>
  <w:style w:type="paragraph" w:styleId="1220" w:customStyle="1">
    <w:name w:val="表格首行"/>
    <w:basedOn w:val="694"/>
    <w:uiPriority w:val="0"/>
    <w:qFormat/>
    <w:pPr>
      <w:jc w:val="center"/>
    </w:pPr>
    <w:rPr>
      <w:rFonts w:ascii="宋体" w:hAnsi="宋体" w:eastAsia="宋体" w:cs="Times New Roman"/>
      <w:szCs w:val="24"/>
    </w:rPr>
  </w:style>
  <w:style w:type="paragraph" w:styleId="1221" w:customStyle="1">
    <w:name w:val="样式8"/>
    <w:basedOn w:val="752"/>
    <w:next w:val="752"/>
    <w:uiPriority w:val="0"/>
    <w:qFormat/>
    <w:pPr>
      <w:ind w:hanging="144"/>
      <w:spacing w:before="120" w:line="415" w:lineRule="auto"/>
      <w:tabs>
        <w:tab w:val="left" w:pos="864" w:leader="none"/>
      </w:tabs>
    </w:pPr>
    <w:rPr>
      <w:rFonts w:ascii="Arial" w:hAnsi="Arial" w:eastAsia="黑体"/>
    </w:rPr>
  </w:style>
  <w:style w:type="paragraph" w:styleId="1222" w:customStyle="1">
    <w:name w:val="样式 标题 3level_3PIM 3H3Level 3 HeadHeading 3 - oldsl3Headin..."/>
    <w:basedOn w:val="907"/>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23" w:customStyle="1">
    <w:name w:val="样式 宋体 首行缩进:  2 字符 段前: 0.5 行"/>
    <w:basedOn w:val="694"/>
    <w:uiPriority w:val="0"/>
    <w:qFormat/>
    <w:pPr>
      <w:ind w:left="200" w:firstLine="200"/>
      <w:spacing w:line="300" w:lineRule="auto"/>
    </w:pPr>
    <w:rPr>
      <w:rFonts w:ascii="Times New Roman" w:hAnsi="Times New Roman" w:eastAsia="仿宋_GB2312" w:cs="宋体"/>
      <w:sz w:val="24"/>
      <w:szCs w:val="20"/>
    </w:rPr>
  </w:style>
  <w:style w:type="paragraph" w:styleId="1224" w:customStyle="1">
    <w:name w:val="样式 首行缩进:  0.85 厘米"/>
    <w:basedOn w:val="694"/>
    <w:uiPriority w:val="0"/>
    <w:qFormat/>
    <w:pPr>
      <w:ind w:firstLine="480"/>
      <w:spacing w:line="360" w:lineRule="auto"/>
    </w:pPr>
    <w:rPr>
      <w:rFonts w:ascii="Tahoma" w:hAnsi="Tahoma" w:eastAsia="新宋体" w:cs="宋体"/>
      <w:sz w:val="24"/>
      <w:szCs w:val="20"/>
    </w:rPr>
  </w:style>
  <w:style w:type="paragraph" w:styleId="1225" w:customStyle="1">
    <w:name w:val="font9"/>
    <w:basedOn w:val="694"/>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26" w:customStyle="1">
    <w:name w:val="TABLE"/>
    <w:basedOn w:val="694"/>
    <w:uiPriority w:val="0"/>
    <w:qFormat/>
    <w:pPr>
      <w:jc w:val="left"/>
    </w:pPr>
    <w:rPr>
      <w:rFonts w:ascii="Microsoft Sans Serif" w:hAnsi="Microsoft Sans Serif" w:eastAsia="宋体" w:cs="Microsoft Sans Serif"/>
      <w:b/>
      <w:szCs w:val="21"/>
    </w:rPr>
  </w:style>
  <w:style w:type="paragraph" w:styleId="1227" w:customStyle="1">
    <w:name w:val="默认段落字体 Para Char Char Char Char"/>
    <w:basedOn w:val="694"/>
    <w:uiPriority w:val="0"/>
    <w:qFormat/>
    <w:pPr>
      <w:ind w:left="420" w:firstLine="420"/>
      <w:spacing w:line="240" w:lineRule="atLeast"/>
    </w:pPr>
    <w:rPr>
      <w:rFonts w:ascii="Times New Roman" w:hAnsi="Times New Roman" w:eastAsia="宋体" w:cs="Times New Roman"/>
      <w:szCs w:val="21"/>
    </w:rPr>
  </w:style>
  <w:style w:type="paragraph" w:styleId="1228"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29" w:customStyle="1">
    <w:name w:val="标题 4 + 两端对齐 段后: 0 磅 行距: 单倍行距1"/>
    <w:basedOn w:val="752"/>
    <w:link w:val="1230"/>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30" w:customStyle="1">
    <w:name w:val="标题 4 + 两端对齐 段后: 0 磅 行距: 单倍行距1 Char Char"/>
    <w:link w:val="1229"/>
    <w:uiPriority w:val="0"/>
    <w:qFormat/>
    <w:rPr>
      <w:rFonts w:ascii="Times New Roman" w:hAnsi="Times New Roman" w:eastAsia="宋体" w:cs="宋体"/>
      <w:b/>
      <w:bCs/>
      <w:spacing w:val="5"/>
      <w:sz w:val="28"/>
      <w:szCs w:val="28"/>
    </w:rPr>
  </w:style>
  <w:style w:type="paragraph" w:styleId="1231" w:customStyle="1">
    <w:name w:val="Char Char Char Char1"/>
    <w:basedOn w:val="1018"/>
    <w:uiPriority w:val="0"/>
    <w:qFormat/>
    <w:pPr>
      <w:spacing w:line="360" w:lineRule="auto"/>
      <w:shd w:val="clear" w:color="auto" w:fill="000080"/>
    </w:pPr>
    <w:rPr>
      <w:rFonts w:ascii="Tahoma" w:hAnsi="Tahoma"/>
      <w:sz w:val="24"/>
      <w:szCs w:val="24"/>
    </w:rPr>
  </w:style>
  <w:style w:type="paragraph" w:styleId="1232" w:customStyle="1">
    <w:name w:val="缩紧正文 Char Char Char"/>
    <w:basedOn w:val="694"/>
    <w:link w:val="1233"/>
    <w:uiPriority w:val="0"/>
    <w:qFormat/>
    <w:pPr>
      <w:ind w:firstLine="480"/>
      <w:jc w:val="left"/>
      <w:spacing w:before="120" w:after="120" w:line="400" w:lineRule="exact"/>
      <w:widowControl/>
    </w:pPr>
    <w:rPr>
      <w:rFonts w:ascii="宋体" w:hAnsi="宋体" w:eastAsia="宋体" w:cs="宋体"/>
      <w:sz w:val="24"/>
      <w:szCs w:val="24"/>
    </w:rPr>
  </w:style>
  <w:style w:type="character" w:styleId="1233" w:customStyle="1">
    <w:name w:val="缩紧正文 Char Char Char Char Char"/>
    <w:link w:val="1232"/>
    <w:uiPriority w:val="0"/>
    <w:qFormat/>
    <w:rPr>
      <w:rFonts w:ascii="宋体" w:hAnsi="宋体" w:eastAsia="宋体" w:cs="宋体"/>
      <w:sz w:val="24"/>
      <w:szCs w:val="24"/>
    </w:rPr>
  </w:style>
  <w:style w:type="paragraph" w:styleId="1234" w:customStyle="1">
    <w:name w:val="样式 首行缩进:  0.74 厘米 行距: 1.5 倍行距"/>
    <w:basedOn w:val="694"/>
    <w:uiPriority w:val="0"/>
    <w:qFormat/>
    <w:pPr>
      <w:ind w:firstLine="420"/>
      <w:spacing w:line="360" w:lineRule="auto"/>
    </w:pPr>
    <w:rPr>
      <w:rFonts w:ascii="Times New Roman" w:hAnsi="Times New Roman" w:eastAsia="宋体" w:cs="宋体"/>
      <w:sz w:val="24"/>
      <w:szCs w:val="20"/>
    </w:rPr>
  </w:style>
  <w:style w:type="paragraph" w:styleId="1235" w:customStyle="1">
    <w:name w:val="正文（首行缩进）"/>
    <w:basedOn w:val="694"/>
    <w:uiPriority w:val="0"/>
    <w:qFormat/>
    <w:pPr>
      <w:ind w:firstLine="200"/>
      <w:spacing w:line="360" w:lineRule="auto"/>
    </w:pPr>
    <w:rPr>
      <w:rFonts w:ascii="Times New Roman" w:hAnsi="Times New Roman" w:eastAsia="宋体" w:cs="Times New Roman"/>
      <w:sz w:val="24"/>
      <w:szCs w:val="24"/>
    </w:rPr>
  </w:style>
  <w:style w:type="paragraph" w:styleId="1236" w:customStyle="1">
    <w:name w:val="列表 31"/>
    <w:basedOn w:val="694"/>
    <w:uiPriority w:val="0"/>
    <w:qFormat/>
    <w:pPr>
      <w:contextualSpacing/>
      <w:ind w:left="100" w:hanging="200"/>
    </w:pPr>
    <w:rPr>
      <w:rFonts w:ascii="Times New Roman" w:hAnsi="Times New Roman" w:eastAsia="宋体" w:cs="Times New Roman"/>
      <w:szCs w:val="24"/>
    </w:rPr>
  </w:style>
  <w:style w:type="paragraph" w:styleId="1237" w:customStyle="1">
    <w:name w:val="table"/>
    <w:basedOn w:val="694"/>
    <w:uiPriority w:val="0"/>
    <w:qFormat/>
    <w:pPr>
      <w:jc w:val="left"/>
      <w:spacing w:after="144"/>
      <w:widowControl/>
    </w:pPr>
    <w:rPr>
      <w:rFonts w:ascii="Verdana" w:hAnsi="Verdana" w:eastAsia="Arial Unicode MS" w:cs="Arial Unicode MS"/>
      <w:color w:val="000000"/>
      <w:sz w:val="20"/>
      <w:szCs w:val="20"/>
      <w:lang w:eastAsia="en-US"/>
    </w:rPr>
  </w:style>
  <w:style w:type="paragraph" w:styleId="1238" w:customStyle="1">
    <w:name w:val="Style Verdana Before:  0.76 cm"/>
    <w:basedOn w:val="694"/>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9" w:customStyle="1">
    <w:name w:val="Style Verdana Centered"/>
    <w:basedOn w:val="694"/>
    <w:uiPriority w:val="0"/>
    <w:qFormat/>
    <w:pPr>
      <w:ind w:left="2268"/>
      <w:jc w:val="center"/>
      <w:spacing w:before="240" w:line="300" w:lineRule="auto"/>
      <w:widowControl/>
    </w:pPr>
    <w:rPr>
      <w:rFonts w:ascii="Verdana" w:hAnsi="Verdana" w:eastAsia="宋体" w:cs="Times New Roman"/>
      <w:sz w:val="24"/>
      <w:szCs w:val="20"/>
    </w:rPr>
  </w:style>
  <w:style w:type="paragraph" w:styleId="1240" w:customStyle="1">
    <w:name w:val="样式 样式 样式 左侧:  2 字符 首行缩进:  2 字符 段前: 0.5 行2 + 左侧:  2 字符 + 首行缩进:  2...1"/>
    <w:basedOn w:val="694"/>
    <w:uiPriority w:val="0"/>
    <w:qFormat/>
    <w:pPr>
      <w:ind w:firstLine="480"/>
      <w:spacing w:line="300" w:lineRule="auto"/>
    </w:pPr>
    <w:rPr>
      <w:rFonts w:ascii="Times New Roman" w:hAnsi="Times New Roman" w:eastAsia="宋体" w:cs="宋体"/>
      <w:sz w:val="24"/>
      <w:szCs w:val="20"/>
    </w:rPr>
  </w:style>
  <w:style w:type="paragraph" w:styleId="1241" w:customStyle="1">
    <w:name w:val="Char1"/>
    <w:basedOn w:val="694"/>
    <w:uiPriority w:val="0"/>
    <w:qFormat/>
    <w:pPr>
      <w:ind w:left="840" w:hanging="420"/>
      <w:tabs>
        <w:tab w:val="left" w:pos="840" w:leader="none"/>
      </w:tabs>
    </w:pPr>
    <w:rPr>
      <w:rFonts w:ascii="Times New Roman" w:hAnsi="Times New Roman" w:eastAsia="宋体" w:cs="Times New Roman"/>
      <w:sz w:val="24"/>
      <w:szCs w:val="24"/>
    </w:rPr>
  </w:style>
  <w:style w:type="paragraph" w:styleId="1242" w:customStyle="1">
    <w:name w:val="xl38"/>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43" w:customStyle="1">
    <w:name w:val="Char Char2"/>
    <w:basedOn w:val="694"/>
    <w:uiPriority w:val="0"/>
    <w:qFormat/>
    <w:pPr>
      <w:jc w:val="left"/>
      <w:spacing w:after="160" w:line="240" w:lineRule="exact"/>
      <w:widowControl/>
    </w:pPr>
    <w:rPr>
      <w:rFonts w:ascii="Verdana" w:hAnsi="Verdana" w:eastAsia="宋体" w:cs="Times New Roman"/>
      <w:szCs w:val="20"/>
      <w:lang w:eastAsia="en-US"/>
    </w:rPr>
  </w:style>
  <w:style w:type="paragraph" w:styleId="1244" w:customStyle="1">
    <w:name w:val="样式 样式 左 首行缩进:2 字符 + 首行缩进:  2 字符 + 首行缩进:  2 字符"/>
    <w:basedOn w:val="694"/>
    <w:uiPriority w:val="0"/>
    <w:qFormat/>
    <w:pPr>
      <w:ind w:firstLine="480"/>
      <w:spacing w:line="360" w:lineRule="auto"/>
    </w:pPr>
    <w:rPr>
      <w:rFonts w:ascii="宋体" w:hAnsi="宋体" w:eastAsia="宋体" w:cs="宋体"/>
      <w:sz w:val="24"/>
      <w:szCs w:val="24"/>
    </w:rPr>
  </w:style>
  <w:style w:type="paragraph" w:styleId="1245" w:customStyle="1">
    <w:name w:val="正文 + 小四"/>
    <w:basedOn w:val="694"/>
    <w:uiPriority w:val="0"/>
    <w:qFormat/>
    <w:pPr>
      <w:ind w:firstLine="480"/>
      <w:spacing w:line="312" w:lineRule="auto"/>
    </w:pPr>
    <w:rPr>
      <w:rFonts w:ascii="宋体" w:hAnsi="宋体" w:eastAsia="宋体" w:cs="Times New Roman"/>
      <w:sz w:val="24"/>
      <w:szCs w:val="24"/>
    </w:rPr>
  </w:style>
  <w:style w:type="paragraph" w:styleId="1246" w:customStyle="1">
    <w:name w:val="题注 + 居中"/>
    <w:basedOn w:val="694"/>
    <w:uiPriority w:val="0"/>
    <w:qFormat/>
    <w:rPr>
      <w:rFonts w:ascii="Times New Roman" w:hAnsi="Times New Roman" w:eastAsia="宋体" w:cs="Times New Roman"/>
      <w:szCs w:val="24"/>
    </w:rPr>
  </w:style>
  <w:style w:type="paragraph" w:styleId="1247" w:customStyle="1">
    <w:name w:val="样式 正文缩进 + 小四 首行缩进:  2 字符"/>
    <w:basedOn w:val="1035"/>
    <w:uiPriority w:val="0"/>
    <w:qFormat/>
    <w:pPr>
      <w:ind w:firstLine="200"/>
      <w:spacing w:line="360" w:lineRule="auto"/>
    </w:pPr>
    <w:rPr>
      <w:rFonts w:cs="宋体"/>
      <w:sz w:val="24"/>
      <w:szCs w:val="22"/>
    </w:rPr>
  </w:style>
  <w:style w:type="paragraph" w:styleId="1248" w:customStyle="1">
    <w:name w:val="pic-info"/>
    <w:basedOn w:val="694"/>
    <w:uiPriority w:val="0"/>
    <w:qFormat/>
    <w:pPr>
      <w:jc w:val="left"/>
      <w:spacing w:before="100" w:beforeAutospacing="1" w:after="100" w:afterAutospacing="1"/>
      <w:widowControl/>
    </w:pPr>
    <w:rPr>
      <w:rFonts w:ascii="宋体" w:hAnsi="宋体" w:eastAsia="宋体" w:cs="宋体"/>
      <w:sz w:val="24"/>
      <w:szCs w:val="24"/>
    </w:rPr>
  </w:style>
  <w:style w:type="paragraph" w:styleId="1249" w:customStyle="1">
    <w:name w:val="Char Char Char Char Char Char"/>
    <w:basedOn w:val="694"/>
    <w:uiPriority w:val="0"/>
    <w:qFormat/>
    <w:pPr>
      <w:jc w:val="left"/>
      <w:spacing w:after="160" w:line="240" w:lineRule="exact"/>
      <w:widowControl/>
    </w:pPr>
    <w:rPr>
      <w:rFonts w:ascii="宋体" w:hAnsi="宋体" w:eastAsia="宋体" w:cs="Times New Roman"/>
      <w:b/>
      <w:sz w:val="24"/>
      <w:szCs w:val="20"/>
      <w:lang w:eastAsia="en-US"/>
    </w:rPr>
  </w:style>
  <w:style w:type="paragraph" w:styleId="1250" w:customStyle="1">
    <w:name w:val="样式 小四 行距: 1.5 倍行距"/>
    <w:basedOn w:val="694"/>
    <w:uiPriority w:val="0"/>
    <w:qFormat/>
    <w:pPr>
      <w:ind w:firstLine="200"/>
      <w:spacing w:line="360" w:lineRule="auto"/>
    </w:pPr>
    <w:rPr>
      <w:rFonts w:ascii="Times New Roman" w:hAnsi="Times New Roman" w:eastAsia="宋体" w:cs="宋体"/>
      <w:sz w:val="24"/>
      <w:szCs w:val="20"/>
    </w:rPr>
  </w:style>
  <w:style w:type="paragraph" w:styleId="1251" w:customStyle="1">
    <w:name w:val="CSS1级正文 Char Char"/>
    <w:basedOn w:val="941"/>
    <w:link w:val="1252"/>
    <w:uiPriority w:val="0"/>
    <w:qFormat/>
    <w:pPr>
      <w:ind w:firstLine="480"/>
      <w:spacing w:after="0" w:line="360" w:lineRule="auto"/>
    </w:pPr>
    <w:rPr>
      <w:rFonts w:cs="宋体"/>
      <w:sz w:val="24"/>
    </w:rPr>
  </w:style>
  <w:style w:type="character" w:styleId="1252" w:customStyle="1">
    <w:name w:val="CSS1级正文 Char Char Char Char"/>
    <w:link w:val="1251"/>
    <w:uiPriority w:val="0"/>
    <w:qFormat/>
    <w:rPr>
      <w:rFonts w:ascii="Times New Roman" w:hAnsi="Times New Roman" w:eastAsia="仿宋" w:cs="宋体"/>
      <w:sz w:val="24"/>
      <w:szCs w:val="24"/>
    </w:rPr>
  </w:style>
  <w:style w:type="paragraph" w:styleId="1253" w:customStyle="1">
    <w:name w:val="CSS1级编号 Char"/>
    <w:basedOn w:val="1254"/>
    <w:next w:val="1254"/>
    <w:link w:val="1257"/>
    <w:uiPriority w:val="0"/>
    <w:qFormat/>
  </w:style>
  <w:style w:type="paragraph" w:styleId="1254" w:customStyle="1">
    <w:name w:val="CSS1级编号 Char1"/>
    <w:basedOn w:val="1255"/>
    <w:next w:val="1255"/>
    <w:link w:val="1256"/>
    <w:uiPriority w:val="0"/>
    <w:qFormat/>
  </w:style>
  <w:style w:type="paragraph" w:styleId="1255" w:customStyle="1">
    <w:name w:val="CSS1级编号"/>
    <w:basedOn w:val="694"/>
    <w:uiPriority w:val="0"/>
    <w:qFormat/>
    <w:pPr>
      <w:spacing w:line="360" w:lineRule="auto"/>
    </w:pPr>
    <w:rPr>
      <w:rFonts w:ascii="Times New Roman" w:hAnsi="Times New Roman" w:eastAsia="宋体" w:cs="Times New Roman"/>
      <w:sz w:val="24"/>
      <w:szCs w:val="24"/>
    </w:rPr>
  </w:style>
  <w:style w:type="character" w:styleId="1256" w:customStyle="1">
    <w:name w:val="CSS1级编号 Char1 Char Char"/>
    <w:link w:val="1254"/>
    <w:uiPriority w:val="0"/>
    <w:qFormat/>
    <w:rPr>
      <w:rFonts w:ascii="Times New Roman" w:hAnsi="Times New Roman" w:eastAsia="宋体" w:cs="Times New Roman"/>
      <w:sz w:val="24"/>
      <w:szCs w:val="24"/>
    </w:rPr>
  </w:style>
  <w:style w:type="character" w:styleId="1257" w:customStyle="1">
    <w:name w:val="CSS1级编号 Char Char1"/>
    <w:link w:val="1253"/>
    <w:uiPriority w:val="0"/>
    <w:qFormat/>
    <w:rPr>
      <w:rFonts w:ascii="Times New Roman" w:hAnsi="Times New Roman" w:eastAsia="宋体" w:cs="Times New Roman"/>
      <w:sz w:val="24"/>
      <w:szCs w:val="24"/>
    </w:rPr>
  </w:style>
  <w:style w:type="paragraph" w:styleId="1258" w:customStyle="1">
    <w:name w:val="CSS2级正文"/>
    <w:basedOn w:val="1026"/>
    <w:link w:val="1259"/>
    <w:uiPriority w:val="0"/>
    <w:qFormat/>
    <w:pPr>
      <w:ind w:left="480" w:firstLine="480"/>
      <w:spacing w:after="0" w:line="360" w:lineRule="auto"/>
    </w:pPr>
    <w:rPr>
      <w:rFonts w:cs="宋体"/>
      <w:sz w:val="24"/>
    </w:rPr>
  </w:style>
  <w:style w:type="character" w:styleId="1259" w:customStyle="1">
    <w:name w:val="CSS2级正文 Char Char"/>
    <w:link w:val="1258"/>
    <w:uiPriority w:val="0"/>
    <w:qFormat/>
    <w:rPr>
      <w:rFonts w:ascii="Times New Roman" w:hAnsi="Times New Roman" w:cs="宋体"/>
      <w:sz w:val="24"/>
      <w:szCs w:val="24"/>
    </w:rPr>
  </w:style>
  <w:style w:type="paragraph" w:styleId="1260" w:customStyle="1">
    <w:name w:val="CSS3级正文"/>
    <w:basedOn w:val="1019"/>
    <w:link w:val="1261"/>
    <w:uiPriority w:val="0"/>
    <w:qFormat/>
    <w:pPr>
      <w:ind w:left="960" w:firstLine="480"/>
      <w:spacing w:after="0" w:line="360" w:lineRule="auto"/>
    </w:pPr>
    <w:rPr>
      <w:rFonts w:cs="宋体"/>
      <w:sz w:val="24"/>
    </w:rPr>
  </w:style>
  <w:style w:type="character" w:styleId="1261" w:customStyle="1">
    <w:name w:val="CSS3级正文 Char Char"/>
    <w:link w:val="1260"/>
    <w:uiPriority w:val="0"/>
    <w:qFormat/>
    <w:rPr>
      <w:rFonts w:ascii="Times New Roman" w:hAnsi="Times New Roman" w:cs="宋体"/>
      <w:sz w:val="24"/>
      <w:szCs w:val="16"/>
    </w:rPr>
  </w:style>
  <w:style w:type="paragraph" w:styleId="1262" w:customStyle="1">
    <w:name w:val="正文文本4"/>
    <w:basedOn w:val="1019"/>
    <w:uiPriority w:val="0"/>
    <w:qFormat/>
    <w:pPr>
      <w:ind w:left="600" w:firstLine="200"/>
      <w:spacing w:after="0" w:line="360" w:lineRule="auto"/>
    </w:pPr>
    <w:rPr>
      <w:sz w:val="24"/>
    </w:rPr>
  </w:style>
  <w:style w:type="paragraph" w:styleId="1263" w:customStyle="1">
    <w:name w:val="CSS4级正文"/>
    <w:basedOn w:val="694"/>
    <w:uiPriority w:val="0"/>
    <w:qFormat/>
    <w:pPr>
      <w:spacing w:line="360" w:lineRule="auto"/>
    </w:pPr>
    <w:rPr>
      <w:rFonts w:ascii="Times New Roman" w:hAnsi="Times New Roman" w:eastAsia="宋体" w:cs="宋体"/>
      <w:sz w:val="24"/>
      <w:szCs w:val="20"/>
    </w:rPr>
  </w:style>
  <w:style w:type="paragraph" w:styleId="1264" w:customStyle="1">
    <w:name w:val="列表 21"/>
    <w:basedOn w:val="694"/>
    <w:uiPriority w:val="0"/>
    <w:qFormat/>
    <w:pPr>
      <w:spacing w:line="360" w:lineRule="auto"/>
    </w:pPr>
    <w:rPr>
      <w:rFonts w:ascii="Times New Roman" w:hAnsi="Times New Roman" w:eastAsia="宋体" w:cs="Times New Roman"/>
      <w:sz w:val="24"/>
      <w:szCs w:val="24"/>
    </w:rPr>
  </w:style>
  <w:style w:type="paragraph" w:styleId="1265" w:customStyle="1">
    <w:name w:val="列表 41"/>
    <w:basedOn w:val="694"/>
    <w:uiPriority w:val="0"/>
    <w:qFormat/>
    <w:pPr>
      <w:ind w:left="1361" w:hanging="864"/>
      <w:spacing w:line="360" w:lineRule="auto"/>
    </w:pPr>
    <w:rPr>
      <w:rFonts w:ascii="Times New Roman" w:hAnsi="Times New Roman" w:eastAsia="宋体" w:cs="Times New Roman"/>
      <w:sz w:val="24"/>
      <w:szCs w:val="24"/>
    </w:rPr>
  </w:style>
  <w:style w:type="paragraph" w:styleId="1266" w:customStyle="1">
    <w:name w:val="样式 CSS1级编号 Char + 宋体 黑色 Char"/>
    <w:basedOn w:val="1254"/>
    <w:link w:val="1267"/>
    <w:uiPriority w:val="0"/>
    <w:qFormat/>
    <w:rPr>
      <w:rFonts w:ascii="宋体" w:hAnsi="宋体"/>
      <w:color w:val="000000"/>
    </w:rPr>
  </w:style>
  <w:style w:type="character" w:styleId="1267" w:customStyle="1">
    <w:name w:val="样式 CSS1级编号 Char + 宋体 黑色 Char Char Char"/>
    <w:link w:val="1266"/>
    <w:uiPriority w:val="0"/>
    <w:qFormat/>
    <w:rPr>
      <w:rFonts w:ascii="宋体" w:hAnsi="宋体" w:eastAsia="宋体" w:cs="Times New Roman"/>
      <w:color w:val="000000"/>
      <w:sz w:val="24"/>
      <w:szCs w:val="24"/>
    </w:rPr>
  </w:style>
  <w:style w:type="paragraph" w:styleId="1268" w:customStyle="1">
    <w:name w:val="CSS1级正文"/>
    <w:basedOn w:val="941"/>
    <w:uiPriority w:val="0"/>
    <w:qFormat/>
    <w:pPr>
      <w:ind w:firstLine="480"/>
      <w:spacing w:after="0" w:line="360" w:lineRule="auto"/>
    </w:pPr>
    <w:rPr>
      <w:rFonts w:cs="宋体"/>
      <w:sz w:val="24"/>
      <w:szCs w:val="20"/>
    </w:rPr>
  </w:style>
  <w:style w:type="paragraph" w:styleId="1269" w:customStyle="1">
    <w:name w:val="CSS1级正文 Char Char Char Char Char Char Char Char Char Char Char Char Char Char Char Char"/>
    <w:basedOn w:val="941"/>
    <w:link w:val="1270"/>
    <w:uiPriority w:val="0"/>
    <w:qFormat/>
    <w:pPr>
      <w:ind w:firstLine="480"/>
      <w:spacing w:after="0" w:line="360" w:lineRule="auto"/>
    </w:pPr>
    <w:rPr>
      <w:rFonts w:cs="宋体"/>
      <w:sz w:val="24"/>
    </w:rPr>
  </w:style>
  <w:style w:type="character" w:styleId="1270" w:customStyle="1">
    <w:name w:val="CSS1级正文 Char Char Char Char Char Char Char Char Char Char Char Char Char Char Char Char Char Char"/>
    <w:link w:val="1269"/>
    <w:uiPriority w:val="0"/>
    <w:qFormat/>
    <w:rPr>
      <w:rFonts w:ascii="Times New Roman" w:hAnsi="Times New Roman" w:eastAsia="仿宋" w:cs="宋体"/>
      <w:sz w:val="24"/>
      <w:szCs w:val="24"/>
    </w:rPr>
  </w:style>
  <w:style w:type="paragraph" w:styleId="1271" w:customStyle="1">
    <w:name w:val="表格文字"/>
    <w:basedOn w:val="694"/>
    <w:uiPriority w:val="0"/>
    <w:qFormat/>
    <w:rPr>
      <w:rFonts w:ascii="Times New Roman" w:hAnsi="Times New Roman" w:eastAsia="宋体" w:cs="Times New Roman"/>
      <w:spacing w:val="10"/>
      <w:sz w:val="24"/>
      <w:szCs w:val="24"/>
    </w:rPr>
  </w:style>
  <w:style w:type="paragraph" w:styleId="1272" w:customStyle="1">
    <w:name w:val="CSS一级中文编号"/>
    <w:basedOn w:val="694"/>
    <w:next w:val="1268"/>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73" w:customStyle="1">
    <w:name w:val="CSS二级中文编号"/>
    <w:basedOn w:val="694"/>
    <w:next w:val="1258"/>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74" w:customStyle="1">
    <w:name w:val="ICSS标书首行缩进正文"/>
    <w:basedOn w:val="694"/>
    <w:uiPriority w:val="0"/>
    <w:qFormat/>
    <w:pPr>
      <w:ind w:firstLine="200"/>
      <w:spacing w:line="360" w:lineRule="auto"/>
    </w:pPr>
    <w:rPr>
      <w:rFonts w:ascii="Times New Roman" w:hAnsi="Times New Roman" w:eastAsia="宋体" w:cs="Times New Roman"/>
      <w:sz w:val="24"/>
      <w:szCs w:val="24"/>
    </w:rPr>
  </w:style>
  <w:style w:type="paragraph" w:styleId="1275"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76"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77" w:customStyle="1">
    <w:name w:val="封面主标题"/>
    <w:next w:val="694"/>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78" w:customStyle="1">
    <w:name w:val="招标单位"/>
    <w:basedOn w:val="694"/>
    <w:uiPriority w:val="0"/>
    <w:qFormat/>
    <w:pPr>
      <w:jc w:val="center"/>
      <w:spacing w:before="1800" w:after="360"/>
      <w:widowControl/>
    </w:pPr>
    <w:rPr>
      <w:rFonts w:ascii="Calibri" w:hAnsi="Calibri" w:eastAsia="黑体" w:cs="Times New Roman"/>
      <w:b/>
      <w:sz w:val="44"/>
      <w:szCs w:val="44"/>
      <w:lang w:eastAsia="en-US" w:bidi="en-US"/>
    </w:rPr>
  </w:style>
  <w:style w:type="paragraph" w:styleId="1279" w:customStyle="1">
    <w:name w:val="样式 标题 4Heading 4 Charh4PIM 4H4 + 加宽量  1 磅"/>
    <w:basedOn w:val="752"/>
    <w:uiPriority w:val="0"/>
    <w:qFormat/>
    <w:pPr>
      <w:ind w:left="862" w:hanging="862"/>
      <w:spacing w:line="360" w:lineRule="auto"/>
    </w:pPr>
    <w:rPr>
      <w:rFonts w:ascii="Arial" w:hAnsi="Arial" w:eastAsia="黑体"/>
      <w:b w:val="0"/>
      <w:bCs w:val="0"/>
      <w:spacing w:val="20"/>
      <w:sz w:val="24"/>
      <w:szCs w:val="24"/>
    </w:rPr>
  </w:style>
  <w:style w:type="paragraph" w:styleId="1280" w:customStyle="1">
    <w:name w:val="样式 标题 5 + 段前: 1 行 段后: 1 行"/>
    <w:basedOn w:val="909"/>
    <w:uiPriority w:val="0"/>
    <w:qFormat/>
    <w:pPr>
      <w:ind w:left="0" w:firstLine="0"/>
      <w:spacing w:line="360" w:lineRule="auto"/>
    </w:pPr>
    <w:rPr>
      <w:rFonts w:ascii="Arial" w:hAnsi="Arial" w:eastAsia="黑体" w:cs="宋体"/>
      <w:b w:val="0"/>
      <w:bCs w:val="0"/>
      <w:spacing w:val="10"/>
      <w:sz w:val="24"/>
      <w:szCs w:val="24"/>
    </w:rPr>
  </w:style>
  <w:style w:type="paragraph" w:styleId="1281" w:customStyle="1">
    <w:name w:val="样式 首行缩进:  2 字符1"/>
    <w:basedOn w:val="694"/>
    <w:uiPriority w:val="0"/>
    <w:qFormat/>
    <w:pPr>
      <w:ind w:firstLine="480"/>
      <w:spacing w:line="360" w:lineRule="auto"/>
    </w:pPr>
    <w:rPr>
      <w:rFonts w:ascii="Times New Roman" w:hAnsi="Times New Roman" w:eastAsia="宋体" w:cs="宋体"/>
      <w:sz w:val="24"/>
      <w:szCs w:val="20"/>
    </w:rPr>
  </w:style>
  <w:style w:type="paragraph" w:styleId="1282" w:customStyle="1">
    <w:name w:val="JHTitle1"/>
    <w:basedOn w:val="939"/>
    <w:uiPriority w:val="0"/>
    <w:qFormat/>
    <w:pPr>
      <w:ind w:left="851" w:hanging="851"/>
      <w:jc w:val="left"/>
      <w:spacing w:line="360" w:lineRule="auto"/>
      <w:tabs>
        <w:tab w:val="left" w:pos="1134" w:leader="none"/>
      </w:tabs>
    </w:pPr>
    <w:rPr>
      <w:rFonts w:ascii="Times New Roman" w:hAnsi="Times New Roman"/>
      <w:szCs w:val="32"/>
    </w:rPr>
  </w:style>
  <w:style w:type="paragraph" w:styleId="1283" w:customStyle="1">
    <w:name w:val="样式 标题 3H3h33rd level3Head 3section:3section:31section:32..."/>
    <w:basedOn w:val="907"/>
    <w:next w:val="1281"/>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84" w:customStyle="1">
    <w:name w:val="样式 标题 2 + 宋体 小三 非倾斜 段后: 1 行"/>
    <w:basedOn w:val="906"/>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85" w:customStyle="1">
    <w:name w:val="正文表格"/>
    <w:basedOn w:val="694"/>
    <w:uiPriority w:val="0"/>
    <w:qFormat/>
    <w:pPr>
      <w:spacing w:before="40" w:after="40"/>
    </w:pPr>
    <w:rPr>
      <w:rFonts w:ascii="Times New Roman" w:hAnsi="Times New Roman" w:eastAsia="宋体" w:cs="Times New Roman"/>
      <w:sz w:val="24"/>
      <w:szCs w:val="20"/>
    </w:rPr>
  </w:style>
  <w:style w:type="paragraph" w:styleId="1286"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87"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88" w:customStyle="1">
    <w:name w:val="修订1"/>
    <w:uiPriority w:val="0"/>
    <w:qFormat/>
    <w:rPr>
      <w:rFonts w:ascii="Times New Roman" w:hAnsi="Times New Roman" w:eastAsia="宋体" w:cs="Calibri"/>
      <w:sz w:val="24"/>
      <w:szCs w:val="24"/>
      <w:lang w:val="en-US" w:eastAsia="zh-CN" w:bidi="ar-SA"/>
    </w:rPr>
  </w:style>
  <w:style w:type="paragraph" w:styleId="1289" w:customStyle="1">
    <w:name w:val="font0"/>
    <w:basedOn w:val="694"/>
    <w:uiPriority w:val="0"/>
    <w:qFormat/>
    <w:pPr>
      <w:jc w:val="left"/>
      <w:spacing w:before="100" w:beforeAutospacing="1" w:after="100" w:afterAutospacing="1"/>
      <w:widowControl/>
    </w:pPr>
    <w:rPr>
      <w:rFonts w:ascii="宋体" w:hAnsi="宋体" w:eastAsia="宋体" w:cs="宋体"/>
      <w:color w:val="000000"/>
      <w:sz w:val="22"/>
    </w:rPr>
  </w:style>
  <w:style w:type="paragraph" w:styleId="1290" w:customStyle="1">
    <w:name w:val="reader-word-layer"/>
    <w:basedOn w:val="694"/>
    <w:uiPriority w:val="0"/>
    <w:qFormat/>
    <w:pPr>
      <w:jc w:val="left"/>
      <w:spacing w:before="100" w:beforeAutospacing="1" w:after="100" w:afterAutospacing="1"/>
      <w:widowControl/>
    </w:pPr>
    <w:rPr>
      <w:rFonts w:ascii="宋体" w:hAnsi="宋体" w:eastAsia="宋体" w:cs="宋体"/>
      <w:sz w:val="24"/>
      <w:szCs w:val="24"/>
    </w:rPr>
  </w:style>
  <w:style w:type="paragraph" w:styleId="1291" w:customStyle="1">
    <w:name w:val="Char Char Char Char Char Char Char Char Char Char"/>
    <w:basedOn w:val="694"/>
    <w:link w:val="1292"/>
    <w:uiPriority w:val="0"/>
    <w:qFormat/>
    <w:rPr>
      <w:rFonts w:ascii="Tahoma" w:hAnsi="Tahoma" w:eastAsia="宋体" w:cs="Times New Roman"/>
      <w:sz w:val="24"/>
      <w:szCs w:val="20"/>
    </w:rPr>
  </w:style>
  <w:style w:type="character" w:styleId="1292" w:customStyle="1">
    <w:name w:val="Char Char Char Char Char Char Char Char Char Char Char Char Char"/>
    <w:basedOn w:val="704"/>
    <w:link w:val="1291"/>
    <w:uiPriority w:val="0"/>
    <w:qFormat/>
    <w:rPr>
      <w:rFonts w:ascii="Tahoma" w:hAnsi="Tahoma" w:eastAsia="宋体" w:cs="Times New Roman"/>
      <w:sz w:val="24"/>
    </w:rPr>
  </w:style>
  <w:style w:type="paragraph" w:styleId="1293" w:customStyle="1">
    <w:name w:val="列出段落2"/>
    <w:basedOn w:val="694"/>
    <w:uiPriority w:val="0"/>
    <w:qFormat/>
    <w:pPr>
      <w:ind w:firstLine="420"/>
    </w:pPr>
    <w:rPr>
      <w:rFonts w:ascii="Calibri" w:hAnsi="Calibri" w:eastAsia="宋体" w:cs="Times New Roman"/>
    </w:rPr>
  </w:style>
  <w:style w:type="paragraph" w:styleId="1294" w:customStyle="1">
    <w:name w:val="文档结构图2"/>
    <w:basedOn w:val="694"/>
    <w:uiPriority w:val="0"/>
    <w:qFormat/>
    <w:rPr>
      <w:rFonts w:ascii="宋体" w:hAnsi="Calibri" w:eastAsia="宋体" w:cs="Times New Roman"/>
      <w:sz w:val="18"/>
      <w:szCs w:val="18"/>
    </w:rPr>
  </w:style>
  <w:style w:type="paragraph" w:styleId="1295" w:customStyle="1">
    <w:name w:val="列出段落21"/>
    <w:basedOn w:val="694"/>
    <w:uiPriority w:val="0"/>
    <w:qFormat/>
    <w:pPr>
      <w:ind w:firstLine="420"/>
    </w:pPr>
    <w:rPr>
      <w:rFonts w:ascii="Calibri" w:hAnsi="Calibri" w:eastAsia="宋体" w:cs="Times New Roman"/>
    </w:rPr>
  </w:style>
  <w:style w:type="character" w:styleId="1296" w:customStyle="1">
    <w:name w:val="标题 2 Char2"/>
    <w:basedOn w:val="704"/>
    <w:uiPriority w:val="0"/>
    <w:qFormat/>
    <w:rPr>
      <w:rFonts w:ascii="Arial" w:hAnsi="Arial" w:eastAsia="黑体"/>
      <w:sz w:val="32"/>
    </w:rPr>
  </w:style>
  <w:style w:type="character" w:styleId="1297" w:customStyle="1">
    <w:name w:val="标题 3 Char2"/>
    <w:basedOn w:val="704"/>
    <w:uiPriority w:val="0"/>
    <w:qFormat/>
    <w:rPr>
      <w:rFonts w:ascii="Arial" w:hAnsi="Arial" w:eastAsia="黑体"/>
      <w:sz w:val="24"/>
      <w:szCs w:val="30"/>
    </w:rPr>
  </w:style>
  <w:style w:type="character" w:styleId="1298" w:customStyle="1">
    <w:name w:val="标题 5 Char2"/>
    <w:basedOn w:val="704"/>
    <w:uiPriority w:val="0"/>
    <w:qFormat/>
    <w:rPr>
      <w:bCs/>
      <w:sz w:val="24"/>
      <w:szCs w:val="28"/>
    </w:rPr>
  </w:style>
  <w:style w:type="character" w:styleId="1299" w:customStyle="1">
    <w:name w:val="标题 6 Char1"/>
    <w:basedOn w:val="704"/>
    <w:uiPriority w:val="0"/>
    <w:qFormat/>
    <w:rPr>
      <w:rFonts w:ascii="Arial" w:hAnsi="Arial" w:eastAsia="黑体"/>
      <w:b/>
      <w:bCs/>
      <w:sz w:val="24"/>
      <w:szCs w:val="24"/>
    </w:rPr>
  </w:style>
  <w:style w:type="character" w:styleId="1300" w:customStyle="1">
    <w:name w:val="标题 8 Char1"/>
    <w:basedOn w:val="704"/>
    <w:uiPriority w:val="0"/>
    <w:qFormat/>
    <w:rPr>
      <w:rFonts w:ascii="Arial" w:hAnsi="Arial" w:eastAsia="黑体"/>
      <w:sz w:val="24"/>
      <w:szCs w:val="24"/>
    </w:rPr>
  </w:style>
  <w:style w:type="character" w:styleId="1301" w:customStyle="1">
    <w:name w:val="标题 9 Char1"/>
    <w:basedOn w:val="704"/>
    <w:uiPriority w:val="0"/>
    <w:qFormat/>
    <w:rPr>
      <w:rFonts w:ascii="Arial" w:hAnsi="Arial" w:eastAsia="黑体"/>
      <w:sz w:val="21"/>
      <w:szCs w:val="21"/>
    </w:rPr>
  </w:style>
  <w:style w:type="character" w:styleId="1302" w:customStyle="1">
    <w:name w:val="页码1"/>
    <w:basedOn w:val="704"/>
    <w:uiPriority w:val="0"/>
    <w:qFormat/>
  </w:style>
  <w:style w:type="character" w:styleId="1303" w:customStyle="1">
    <w:name w:val="Char Char15"/>
    <w:uiPriority w:val="0"/>
    <w:qFormat/>
    <w:rPr>
      <w:rFonts w:ascii="Cambria" w:hAnsi="Cambria"/>
      <w:b/>
      <w:bCs/>
      <w:sz w:val="32"/>
      <w:szCs w:val="32"/>
    </w:rPr>
  </w:style>
  <w:style w:type="character" w:styleId="1304" w:customStyle="1">
    <w:name w:val="Char Char16"/>
    <w:uiPriority w:val="0"/>
    <w:qFormat/>
    <w:rPr>
      <w:b/>
      <w:bCs/>
      <w:sz w:val="36"/>
      <w:szCs w:val="44"/>
    </w:rPr>
  </w:style>
  <w:style w:type="character" w:styleId="1305" w:customStyle="1">
    <w:name w:val="样式 (西文) 幼圆"/>
    <w:uiPriority w:val="0"/>
    <w:qFormat/>
    <w:rPr>
      <w:rFonts w:ascii="幼圆" w:hAnsi="幼圆" w:eastAsia="宋体"/>
      <w:sz w:val="24"/>
    </w:rPr>
  </w:style>
  <w:style w:type="character" w:styleId="1306" w:customStyle="1">
    <w:name w:val="apple-style-span"/>
    <w:basedOn w:val="704"/>
    <w:uiPriority w:val="0"/>
    <w:qFormat/>
  </w:style>
  <w:style w:type="character" w:styleId="1307" w:customStyle="1">
    <w:name w:val="已访问的超链接1"/>
    <w:uiPriority w:val="0"/>
    <w:qFormat/>
    <w:rPr>
      <w:color w:val="800080"/>
      <w:u w:val="single"/>
    </w:rPr>
  </w:style>
  <w:style w:type="character" w:styleId="1308" w:customStyle="1">
    <w:name w:val="unnamed31"/>
    <w:uiPriority w:val="0"/>
    <w:qFormat/>
    <w:rPr>
      <w:color w:val="000000"/>
      <w:spacing w:val="440"/>
      <w:sz w:val="22"/>
      <w:szCs w:val="22"/>
      <w:u w:val="none"/>
    </w:rPr>
  </w:style>
  <w:style w:type="character" w:styleId="1309" w:customStyle="1">
    <w:name w:val="line1"/>
    <w:uiPriority w:val="0"/>
    <w:qFormat/>
    <w:rPr>
      <w:spacing w:val="360"/>
    </w:rPr>
  </w:style>
  <w:style w:type="character" w:styleId="1310"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11"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12"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13"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14"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15"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16"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7" w:customStyle="1">
    <w:name w:val="样式 样式 样式 样式 样式 宋体 小四 首行缩进:  0.74 厘米 行距: 最小值 18 磅 + 段前: 0.5 行 段后:...1 Char Char"/>
    <w:basedOn w:val="1316"/>
    <w:uiPriority w:val="0"/>
    <w:qFormat/>
    <w:rPr>
      <w:rFonts w:ascii="宋体" w:hAnsi="宋体" w:eastAsia="宋体" w:cs="宋体"/>
      <w:sz w:val="24"/>
      <w:lang w:val="en-US" w:eastAsia="zh-CN" w:bidi="ar-SA"/>
    </w:rPr>
  </w:style>
  <w:style w:type="character" w:styleId="1318" w:customStyle="1">
    <w:name w:val="样式 样式 样式 样式 样式 样式 宋体 小四 首行缩进:  0.74 厘米 行距: 最小值 18 磅 + 段前: 0.5 行 ... Char Char"/>
    <w:basedOn w:val="1317"/>
    <w:uiPriority w:val="0"/>
    <w:qFormat/>
    <w:rPr>
      <w:rFonts w:ascii="宋体" w:hAnsi="宋体" w:eastAsia="宋体" w:cs="宋体"/>
      <w:sz w:val="24"/>
      <w:lang w:val="en-US" w:eastAsia="zh-CN" w:bidi="ar-SA"/>
    </w:rPr>
  </w:style>
  <w:style w:type="character" w:styleId="1319" w:customStyle="1">
    <w:name w:val="样式 样式 样式 样式 样式 样式 样式 宋体 小四 首行缩进:  0.74 厘米 行距: 最小值 18 磅 + 段前: 0.5... Char Char"/>
    <w:basedOn w:val="1318"/>
    <w:uiPriority w:val="0"/>
    <w:qFormat/>
    <w:rPr>
      <w:rFonts w:ascii="宋体" w:hAnsi="宋体" w:eastAsia="宋体" w:cs="宋体"/>
      <w:sz w:val="24"/>
      <w:lang w:val="en-US" w:eastAsia="zh-CN" w:bidi="ar-SA"/>
    </w:rPr>
  </w:style>
  <w:style w:type="character" w:styleId="1320" w:customStyle="1">
    <w:name w:val="样式 样式 样式 样式 样式 样式 样式 样式 宋体 小四 首行缩进:  0.74 厘米 行距: 最小值 18 磅 + 段前: ... Char Char Char"/>
    <w:basedOn w:val="1319"/>
    <w:uiPriority w:val="0"/>
    <w:qFormat/>
    <w:rPr>
      <w:rFonts w:ascii="宋体" w:hAnsi="宋体" w:eastAsia="宋体" w:cs="宋体"/>
      <w:sz w:val="24"/>
      <w:lang w:val="en-US" w:eastAsia="zh-CN" w:bidi="ar-SA"/>
    </w:rPr>
  </w:style>
  <w:style w:type="character" w:styleId="1321" w:customStyle="1">
    <w:name w:val="Char Char151"/>
    <w:uiPriority w:val="0"/>
    <w:qFormat/>
    <w:rPr>
      <w:rFonts w:ascii="Cambria" w:hAnsi="Cambria"/>
      <w:b/>
      <w:bCs/>
      <w:sz w:val="32"/>
      <w:szCs w:val="32"/>
    </w:rPr>
  </w:style>
  <w:style w:type="character" w:styleId="1322" w:customStyle="1">
    <w:name w:val="Char Char161"/>
    <w:uiPriority w:val="0"/>
    <w:qFormat/>
    <w:rPr>
      <w:b/>
      <w:bCs/>
      <w:sz w:val="36"/>
      <w:szCs w:val="44"/>
    </w:rPr>
  </w:style>
  <w:style w:type="character" w:styleId="1323" w:customStyle="1">
    <w:name w:val="h Char Char"/>
    <w:uiPriority w:val="0"/>
    <w:qFormat/>
    <w:rPr>
      <w:sz w:val="18"/>
      <w:szCs w:val="18"/>
    </w:rPr>
  </w:style>
  <w:style w:type="character" w:styleId="1324" w:customStyle="1">
    <w:name w:val="Char Char18"/>
    <w:basedOn w:val="704"/>
    <w:uiPriority w:val="0"/>
    <w:qFormat/>
    <w:rPr>
      <w:sz w:val="18"/>
      <w:szCs w:val="18"/>
    </w:rPr>
  </w:style>
  <w:style w:type="character" w:styleId="1325" w:customStyle="1">
    <w:name w:val="Char Char17"/>
    <w:basedOn w:val="704"/>
    <w:uiPriority w:val="0"/>
    <w:qFormat/>
    <w:rPr>
      <w:rFonts w:ascii="Times New Roman" w:hAnsi="Times New Roman" w:eastAsia="宋体" w:cs="Times New Roman"/>
      <w:szCs w:val="24"/>
      <w:shd w:val="clear" w:color="auto" w:fill="000080"/>
    </w:rPr>
  </w:style>
  <w:style w:type="character" w:styleId="1326"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7" w:customStyle="1">
    <w:name w:val="样式 样式 宋体 小四 首行缩进:  0.74 厘米 行距: 最小值 18 磅 + 段前: 0.5 行 段后: 0.5 行 Char Char Char"/>
    <w:basedOn w:val="1326"/>
    <w:uiPriority w:val="0"/>
    <w:qFormat/>
    <w:rPr>
      <w:rFonts w:ascii="宋体" w:eastAsia="宋体" w:cs="宋体"/>
      <w:sz w:val="24"/>
      <w:szCs w:val="24"/>
      <w:lang w:val="en-US" w:eastAsia="zh-CN" w:bidi="ar-SA"/>
    </w:rPr>
  </w:style>
  <w:style w:type="character" w:styleId="1328" w:customStyle="1">
    <w:name w:val="Char Char14"/>
    <w:basedOn w:val="704"/>
    <w:uiPriority w:val="0"/>
    <w:qFormat/>
    <w:rPr>
      <w:rFonts w:ascii="Times New Roman" w:hAnsi="Times New Roman" w:eastAsia="宋体" w:cs="Times New Roman"/>
      <w:szCs w:val="24"/>
    </w:rPr>
  </w:style>
  <w:style w:type="character" w:styleId="1329" w:customStyle="1">
    <w:name w:val="Char Char11"/>
    <w:basedOn w:val="704"/>
    <w:uiPriority w:val="0"/>
    <w:qFormat/>
    <w:rPr>
      <w:rFonts w:ascii="Times New Roman" w:hAnsi="Times New Roman" w:eastAsia="宋体" w:cs="Times New Roman"/>
      <w:sz w:val="18"/>
      <w:szCs w:val="18"/>
    </w:rPr>
  </w:style>
  <w:style w:type="character" w:styleId="1330" w:customStyle="1">
    <w:name w:val="141"/>
    <w:uiPriority w:val="0"/>
    <w:qFormat/>
    <w:rPr>
      <w:rFonts w:hint="default"/>
      <w:color w:val="000000"/>
      <w:spacing w:val="320"/>
      <w:u w:val="none"/>
    </w:rPr>
  </w:style>
  <w:style w:type="character" w:styleId="1331" w:customStyle="1">
    <w:name w:val="bodycopy1"/>
    <w:uiPriority w:val="0"/>
    <w:qFormat/>
    <w:rPr>
      <w:rFonts w:hint="default" w:ascii="Arial" w:hAnsi="Arial" w:cs="Arial"/>
      <w:color w:val="000000"/>
      <w:sz w:val="18"/>
      <w:szCs w:val="18"/>
      <w:u w:val="none"/>
    </w:rPr>
  </w:style>
  <w:style w:type="character" w:styleId="1332" w:customStyle="1">
    <w:name w:val="parahead21"/>
    <w:uiPriority w:val="0"/>
    <w:qFormat/>
    <w:rPr>
      <w:rFonts w:hint="default" w:ascii="Arial" w:hAnsi="Arial" w:cs="Arial"/>
      <w:b/>
      <w:bCs/>
      <w:color w:val="336699"/>
      <w:sz w:val="21"/>
      <w:szCs w:val="21"/>
      <w:u w:val="none"/>
    </w:rPr>
  </w:style>
  <w:style w:type="character" w:styleId="1333" w:customStyle="1">
    <w:name w:val="Char Char8"/>
    <w:basedOn w:val="1328"/>
    <w:uiPriority w:val="0"/>
    <w:qFormat/>
    <w:rPr>
      <w:rFonts w:ascii="Times New Roman" w:hAnsi="Times New Roman" w:eastAsia="宋体" w:cs="Times New Roman"/>
      <w:sz w:val="24"/>
      <w:szCs w:val="20"/>
    </w:rPr>
  </w:style>
  <w:style w:type="character" w:styleId="1334" w:customStyle="1">
    <w:name w:val="cont1"/>
    <w:uiPriority w:val="0"/>
    <w:qFormat/>
    <w:rPr>
      <w:rFonts w:hint="default" w:ascii="ˎ̥" w:hAnsi="ˎ̥"/>
      <w:color w:val="000000"/>
      <w:sz w:val="21"/>
      <w:szCs w:val="21"/>
      <w:u w:val="none"/>
    </w:rPr>
  </w:style>
  <w:style w:type="character" w:styleId="1335" w:customStyle="1">
    <w:name w:val="可研标题 3"/>
    <w:uiPriority w:val="0"/>
    <w:qFormat/>
    <w:rPr>
      <w:rFonts w:ascii="仿宋_GB2312" w:eastAsia="黑体"/>
      <w:b/>
      <w:bCs/>
      <w:sz w:val="28"/>
      <w:szCs w:val="32"/>
      <w:lang w:val="en-US" w:eastAsia="zh-CN" w:bidi="ar-SA"/>
    </w:rPr>
  </w:style>
  <w:style w:type="character" w:styleId="1336" w:customStyle="1">
    <w:name w:val="可研标题 4"/>
    <w:uiPriority w:val="0"/>
    <w:qFormat/>
    <w:rPr>
      <w:rFonts w:ascii="仿宋_GB2312" w:eastAsia="仿宋_GB2312"/>
      <w:b/>
      <w:bCs/>
      <w:sz w:val="24"/>
      <w:szCs w:val="32"/>
      <w:lang w:val="en-US" w:eastAsia="zh-CN" w:bidi="ar-SA"/>
    </w:rPr>
  </w:style>
  <w:style w:type="character" w:styleId="1337" w:customStyle="1">
    <w:name w:val="正文缩进 Char1"/>
    <w:uiPriority w:val="0"/>
    <w:qFormat/>
    <w:rPr>
      <w:rFonts w:eastAsia="宋体"/>
      <w:sz w:val="21"/>
      <w:szCs w:val="24"/>
      <w:lang w:val="en-US" w:eastAsia="zh-CN" w:bidi="ar-SA"/>
    </w:rPr>
  </w:style>
  <w:style w:type="character" w:styleId="1338" w:customStyle="1">
    <w:name w:val="title_emph"/>
    <w:basedOn w:val="704"/>
    <w:uiPriority w:val="0"/>
    <w:qFormat/>
  </w:style>
  <w:style w:type="character" w:styleId="1339" w:customStyle="1">
    <w:name w:val="style8"/>
    <w:basedOn w:val="704"/>
    <w:uiPriority w:val="0"/>
    <w:qFormat/>
  </w:style>
  <w:style w:type="character" w:styleId="1340" w:customStyle="1">
    <w:name w:val="Body Text(ch) Char"/>
    <w:uiPriority w:val="0"/>
    <w:qFormat/>
    <w:rPr>
      <w:rFonts w:ascii="Times New Roman" w:hAnsi="Times New Roman" w:eastAsia="宋体" w:cs="Times New Roman"/>
      <w:szCs w:val="24"/>
    </w:rPr>
  </w:style>
  <w:style w:type="character" w:styleId="1341" w:customStyle="1">
    <w:name w:val="H1 Char1"/>
    <w:uiPriority w:val="0"/>
    <w:qFormat/>
    <w:rPr>
      <w:rFonts w:ascii="Times New Roman" w:hAnsi="Times New Roman" w:eastAsia="宋体" w:cs="Times New Roman"/>
      <w:b/>
      <w:bCs/>
      <w:sz w:val="44"/>
      <w:szCs w:val="44"/>
    </w:rPr>
  </w:style>
  <w:style w:type="character" w:styleId="1342" w:customStyle="1">
    <w:name w:val="批注引用1"/>
    <w:uiPriority w:val="0"/>
    <w:qFormat/>
    <w:rPr>
      <w:sz w:val="16"/>
      <w:szCs w:val="16"/>
    </w:rPr>
  </w:style>
  <w:style w:type="character" w:styleId="1343" w:customStyle="1">
    <w:name w:val="样式 宋体"/>
    <w:uiPriority w:val="0"/>
    <w:qFormat/>
    <w:rPr>
      <w:rFonts w:ascii="宋体" w:hAnsi="宋体" w:eastAsia="宋体"/>
      <w:sz w:val="24"/>
    </w:rPr>
  </w:style>
  <w:style w:type="character" w:styleId="1344" w:customStyle="1">
    <w:name w:val="headline-content"/>
    <w:uiPriority w:val="0"/>
    <w:qFormat/>
  </w:style>
  <w:style w:type="character" w:styleId="1345" w:customStyle="1">
    <w:name w:val="CSS3级编号 Char"/>
    <w:uiPriority w:val="0"/>
    <w:qFormat/>
    <w:rPr>
      <w:rFonts w:eastAsia="宋体"/>
      <w:sz w:val="24"/>
      <w:szCs w:val="24"/>
      <w:lang w:val="en-US" w:eastAsia="zh-CN" w:bidi="ar-SA"/>
    </w:rPr>
  </w:style>
  <w:style w:type="character" w:styleId="1346" w:customStyle="1">
    <w:name w:val="批注文字 Char1"/>
    <w:uiPriority w:val="0"/>
    <w:qFormat/>
    <w:rPr>
      <w:sz w:val="24"/>
      <w:szCs w:val="24"/>
    </w:rPr>
  </w:style>
  <w:style w:type="character" w:styleId="1347" w:customStyle="1">
    <w:name w:val="批注主题 Char1"/>
    <w:uiPriority w:val="0"/>
    <w:qFormat/>
    <w:rPr>
      <w:b/>
      <w:bCs/>
      <w:sz w:val="24"/>
      <w:szCs w:val="24"/>
    </w:rPr>
  </w:style>
  <w:style w:type="character" w:styleId="1348" w:customStyle="1">
    <w:name w:val="纯文本 Char1"/>
    <w:uiPriority w:val="0"/>
    <w:qFormat/>
    <w:rPr>
      <w:rFonts w:ascii="宋体" w:hAnsi="Courier New" w:cs="Courier New"/>
      <w:sz w:val="21"/>
      <w:szCs w:val="21"/>
    </w:rPr>
  </w:style>
  <w:style w:type="character" w:styleId="1349" w:customStyle="1">
    <w:name w:val="apple-converted-space"/>
    <w:uiPriority w:val="0"/>
    <w:qFormat/>
  </w:style>
  <w:style w:type="character" w:styleId="1350" w:customStyle="1">
    <w:name w:val="文档结构图 Char1"/>
    <w:basedOn w:val="704"/>
    <w:uiPriority w:val="99"/>
    <w:qFormat/>
    <w:rPr>
      <w:rFonts w:ascii="宋体" w:cs="Times New Roman"/>
      <w:sz w:val="18"/>
      <w:szCs w:val="18"/>
    </w:rPr>
  </w:style>
  <w:style w:type="paragraph" w:styleId="1351"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52"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53" w:customStyle="1">
    <w:name w:val="样式7"/>
    <w:basedOn w:val="694"/>
    <w:uiPriority w:val="0"/>
    <w:qFormat/>
    <w:pPr>
      <w:ind w:firstLine="601"/>
      <w:spacing w:line="440" w:lineRule="atLeast"/>
    </w:pPr>
    <w:rPr>
      <w:rFonts w:ascii="宋体" w:hAnsi="Calibri" w:eastAsia="宋体" w:cs="Times New Roman"/>
      <w:sz w:val="24"/>
      <w:szCs w:val="20"/>
    </w:rPr>
  </w:style>
  <w:style w:type="paragraph" w:styleId="1354" w:customStyle="1">
    <w:name w:val="FinBodyStyle"/>
    <w:basedOn w:val="694"/>
    <w:uiPriority w:val="0"/>
    <w:qFormat/>
    <w:pPr>
      <w:ind w:firstLine="480"/>
      <w:jc w:val="left"/>
      <w:spacing w:line="360" w:lineRule="auto"/>
      <w:widowControl/>
    </w:pPr>
    <w:rPr>
      <w:rFonts w:hint="eastAsia" w:ascii="宋体" w:hAnsi="宋体" w:eastAsia="宋体" w:cs="宋体"/>
      <w:sz w:val="24"/>
      <w:szCs w:val="20"/>
    </w:rPr>
  </w:style>
  <w:style w:type="paragraph" w:styleId="1355" w:customStyle="1">
    <w:name w:val="FinListStyle"/>
    <w:basedOn w:val="694"/>
    <w:uiPriority w:val="0"/>
    <w:qFormat/>
    <w:pPr>
      <w:jc w:val="left"/>
      <w:spacing w:line="360" w:lineRule="auto"/>
      <w:widowControl/>
    </w:pPr>
    <w:rPr>
      <w:rFonts w:hint="eastAsia" w:ascii="宋体" w:hAnsi="宋体" w:eastAsia="宋体" w:cs="宋体"/>
      <w:sz w:val="24"/>
      <w:szCs w:val="20"/>
    </w:rPr>
  </w:style>
  <w:style w:type="paragraph" w:styleId="1356" w:customStyle="1">
    <w:name w:val="FinShapeStyle"/>
    <w:basedOn w:val="694"/>
    <w:uiPriority w:val="0"/>
    <w:qFormat/>
    <w:pPr>
      <w:jc w:val="center"/>
      <w:widowControl/>
    </w:pPr>
    <w:rPr>
      <w:rFonts w:ascii="Times New Roman" w:hAnsi="Times New Roman" w:eastAsia="宋体" w:cs="Times New Roman"/>
      <w:sz w:val="20"/>
      <w:szCs w:val="20"/>
    </w:rPr>
  </w:style>
  <w:style w:type="paragraph" w:styleId="1357" w:customStyle="1">
    <w:name w:val="WPSOffice手动目录 1"/>
    <w:uiPriority w:val="0"/>
    <w:qFormat/>
    <w:rPr>
      <w:rFonts w:ascii="Times New Roman" w:hAnsi="Times New Roman" w:eastAsia="宋体" w:cs="Times New Roman"/>
      <w:lang w:val="en-US" w:eastAsia="zh-CN" w:bidi="ar-SA"/>
    </w:rPr>
  </w:style>
  <w:style w:type="paragraph" w:styleId="1358" w:customStyle="1">
    <w:name w:val="WPSOffice手动目录 2"/>
    <w:uiPriority w:val="0"/>
    <w:qFormat/>
    <w:pPr>
      <w:ind w:left="200"/>
    </w:pPr>
    <w:rPr>
      <w:rFonts w:ascii="Times New Roman" w:hAnsi="Times New Roman" w:eastAsia="宋体" w:cs="Times New Roman"/>
      <w:lang w:val="en-US" w:eastAsia="zh-CN" w:bidi="ar-SA"/>
    </w:rPr>
  </w:style>
  <w:style w:type="paragraph" w:styleId="1359" w:customStyle="1">
    <w:name w:val="WPSOffice手动目录 3"/>
    <w:uiPriority w:val="0"/>
    <w:qFormat/>
    <w:pPr>
      <w:ind w:left="400"/>
    </w:pPr>
    <w:rPr>
      <w:rFonts w:ascii="Times New Roman" w:hAnsi="Times New Roman" w:eastAsia="宋体" w:cs="Times New Roman"/>
      <w:lang w:val="en-US" w:eastAsia="zh-CN" w:bidi="ar-SA"/>
    </w:rPr>
  </w:style>
  <w:style w:type="character" w:styleId="1360" w:customStyle="1">
    <w:name w:val="answer-title"/>
    <w:basedOn w:val="704"/>
    <w:uiPriority w:val="0"/>
    <w:qFormat/>
  </w:style>
  <w:style w:type="character" w:styleId="1361" w:customStyle="1">
    <w:name w:val="del-btn"/>
    <w:basedOn w:val="704"/>
    <w:uiPriority w:val="0"/>
    <w:qFormat/>
  </w:style>
  <w:style w:type="character" w:styleId="1362" w:customStyle="1">
    <w:name w:val="bg"/>
    <w:basedOn w:val="704"/>
    <w:uiPriority w:val="0"/>
    <w:qFormat/>
    <w:rPr>
      <w:shd w:val="clear" w:color="auto" w:fill="000000"/>
    </w:rPr>
  </w:style>
  <w:style w:type="character" w:styleId="1363" w:customStyle="1">
    <w:name w:val="bg1"/>
    <w:basedOn w:val="704"/>
    <w:uiPriority w:val="0"/>
    <w:qFormat/>
    <w:rPr>
      <w:shd w:val="clear" w:color="auto" w:fill="000000"/>
    </w:rPr>
  </w:style>
  <w:style w:type="character" w:styleId="1364" w:customStyle="1">
    <w:name w:val="fontborder"/>
    <w:basedOn w:val="704"/>
    <w:uiPriority w:val="0"/>
    <w:qFormat/>
  </w:style>
  <w:style w:type="character" w:styleId="1365" w:customStyle="1">
    <w:name w:val="fontstrikethrough"/>
    <w:basedOn w:val="704"/>
    <w:uiPriority w:val="0"/>
    <w:qFormat/>
    <w:rPr>
      <w:strike/>
    </w:rPr>
  </w:style>
  <w:style w:type="paragraph" w:styleId="1366" w:customStyle="1">
    <w:name w:val="样式3"/>
    <w:basedOn w:val="694"/>
    <w:link w:val="1367"/>
    <w:uiPriority w:val="0"/>
    <w:qFormat/>
    <w:pPr>
      <w:ind w:firstLine="480"/>
      <w:jc w:val="left"/>
      <w:spacing w:after="3" w:line="360" w:lineRule="auto"/>
      <w:widowControl/>
    </w:pPr>
    <w:rPr>
      <w:rFonts w:ascii="宋体" w:hAnsi="宋体" w:eastAsia="宋体" w:cs="仿宋"/>
      <w:color w:val="000000"/>
      <w:sz w:val="24"/>
      <w:szCs w:val="20"/>
    </w:rPr>
  </w:style>
  <w:style w:type="character" w:styleId="1367" w:customStyle="1">
    <w:name w:val="样式3 字符"/>
    <w:basedOn w:val="704"/>
    <w:link w:val="1366"/>
    <w:uiPriority w:val="0"/>
    <w:qFormat/>
    <w:rPr>
      <w:rFonts w:ascii="宋体" w:hAnsi="宋体" w:eastAsia="宋体" w:cs="仿宋"/>
      <w:color w:val="000000"/>
      <w:sz w:val="24"/>
    </w:rPr>
  </w:style>
  <w:style w:type="character" w:styleId="1368" w:customStyle="1">
    <w:name w:val="脚注文本 Char"/>
    <w:basedOn w:val="704"/>
    <w:link w:val="727"/>
    <w:uiPriority w:val="0"/>
    <w:qFormat/>
    <w:rPr>
      <w:rFonts w:ascii="Times New Roman" w:hAnsi="Times New Roman" w:eastAsia="宋体" w:cs="Times New Roman"/>
      <w:sz w:val="18"/>
    </w:rPr>
  </w:style>
  <w:style w:type="character" w:styleId="1369" w:customStyle="1">
    <w:name w:val="页眉 Char1"/>
    <w:basedOn w:val="704"/>
    <w:link w:val="723"/>
    <w:uiPriority w:val="99"/>
    <w:qFormat/>
    <w:rPr>
      <w:sz w:val="18"/>
      <w:szCs w:val="18"/>
    </w:rPr>
  </w:style>
  <w:style w:type="character" w:styleId="1370" w:customStyle="1">
    <w:name w:val="页脚 Char1"/>
    <w:basedOn w:val="704"/>
    <w:link w:val="722"/>
    <w:uiPriority w:val="99"/>
    <w:qFormat/>
    <w:rPr>
      <w:sz w:val="18"/>
      <w:szCs w:val="18"/>
    </w:rPr>
  </w:style>
  <w:style w:type="character" w:styleId="1371" w:customStyle="1">
    <w:name w:val="标题 Char"/>
    <w:link w:val="734"/>
    <w:uiPriority w:val="0"/>
    <w:qFormat/>
    <w:rPr>
      <w:rFonts w:ascii="Cambria" w:hAnsi="Cambria" w:eastAsia="仿宋"/>
      <w:color w:val="17365d"/>
      <w:spacing w:val="5"/>
      <w:sz w:val="52"/>
      <w:szCs w:val="52"/>
      <w:lang w:eastAsia="en-US" w:bidi="en-US"/>
    </w:rPr>
  </w:style>
  <w:style w:type="character" w:styleId="1372" w:customStyle="1">
    <w:name w:val="副标题 Char"/>
    <w:link w:val="726"/>
    <w:uiPriority w:val="0"/>
    <w:qFormat/>
    <w:rPr>
      <w:rFonts w:ascii="Cambria" w:hAnsi="Cambria" w:eastAsia="仿宋"/>
      <w:i/>
      <w:iCs/>
      <w:color w:val="4f81bd"/>
      <w:spacing w:val="15"/>
      <w:sz w:val="24"/>
      <w:szCs w:val="24"/>
      <w:lang w:eastAsia="en-US" w:bidi="en-US"/>
    </w:rPr>
  </w:style>
  <w:style w:type="character" w:styleId="1373" w:customStyle="1">
    <w:name w:val="正文文本缩进 3 Char"/>
    <w:link w:val="729"/>
    <w:uiPriority w:val="0"/>
    <w:qFormat/>
    <w:rPr>
      <w:rFonts w:ascii="宋体" w:hAnsi="宋体" w:eastAsia="仿宋"/>
      <w:sz w:val="24"/>
      <w:szCs w:val="24"/>
    </w:rPr>
  </w:style>
  <w:style w:type="character" w:styleId="1374" w:customStyle="1">
    <w:name w:val="文档结构图 Char"/>
    <w:link w:val="712"/>
    <w:uiPriority w:val="0"/>
    <w:qFormat/>
    <w:rPr>
      <w:rFonts w:eastAsia="仿宋"/>
      <w:sz w:val="24"/>
      <w:shd w:val="clear" w:color="auto" w:fill="000080"/>
      <w:lang w:eastAsia="en-US" w:bidi="en-US"/>
    </w:rPr>
  </w:style>
  <w:style w:type="character" w:styleId="1375" w:customStyle="1">
    <w:name w:val="纯文本 Char"/>
    <w:link w:val="718"/>
    <w:uiPriority w:val="0"/>
    <w:qFormat/>
    <w:rPr>
      <w:rFonts w:ascii="宋体" w:hAnsi="Courier New" w:eastAsia="仿宋"/>
      <w:sz w:val="24"/>
      <w:lang w:eastAsia="en-US"/>
    </w:rPr>
  </w:style>
  <w:style w:type="character" w:styleId="1376" w:customStyle="1">
    <w:name w:val="批注框文本 Char"/>
    <w:link w:val="721"/>
    <w:uiPriority w:val="99"/>
    <w:qFormat/>
    <w:rPr>
      <w:sz w:val="18"/>
      <w:szCs w:val="18"/>
    </w:rPr>
  </w:style>
  <w:style w:type="paragraph" w:styleId="1377">
    <w:name w:val="No Spacing"/>
    <w:uiPriority w:val="0"/>
    <w:qFormat/>
    <w:rPr>
      <w:rFonts w:ascii="Calibri" w:hAnsi="Calibri" w:eastAsia="宋体" w:cs="Times New Roman"/>
      <w:sz w:val="22"/>
      <w:szCs w:val="22"/>
      <w:lang w:val="en-US" w:eastAsia="en-US" w:bidi="en-US"/>
    </w:rPr>
  </w:style>
  <w:style w:type="paragraph" w:styleId="1378">
    <w:name w:val="List Paragraph"/>
    <w:basedOn w:val="694"/>
    <w:link w:val="1379"/>
    <w:uiPriority w:val="34"/>
    <w:qFormat/>
    <w:pPr>
      <w:ind w:firstLine="420"/>
    </w:pPr>
    <w:rPr>
      <w:sz w:val="20"/>
      <w:szCs w:val="20"/>
    </w:rPr>
  </w:style>
  <w:style w:type="character" w:styleId="1379" w:customStyle="1">
    <w:name w:val="列出段落 Char1"/>
    <w:link w:val="1378"/>
    <w:uiPriority w:val="34"/>
    <w:qFormat/>
  </w:style>
  <w:style w:type="paragraph" w:styleId="1380">
    <w:name w:val="Quote"/>
    <w:basedOn w:val="694"/>
    <w:next w:val="694"/>
    <w:link w:val="1381"/>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81" w:customStyle="1">
    <w:name w:val="引用 Char"/>
    <w:link w:val="1380"/>
    <w:uiPriority w:val="0"/>
    <w:qFormat/>
    <w:rPr>
      <w:rFonts w:ascii="Times New Roman" w:hAnsi="Times New Roman" w:eastAsia="仿宋"/>
      <w:i/>
      <w:iCs/>
      <w:color w:val="000080"/>
      <w:sz w:val="28"/>
      <w:szCs w:val="24"/>
    </w:rPr>
  </w:style>
  <w:style w:type="paragraph" w:styleId="1382">
    <w:name w:val="Intense Quote"/>
    <w:basedOn w:val="694"/>
    <w:next w:val="694"/>
    <w:link w:val="1383"/>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83" w:customStyle="1">
    <w:name w:val="明显引用 Char"/>
    <w:link w:val="1382"/>
    <w:uiPriority w:val="0"/>
    <w:qFormat/>
    <w:rPr>
      <w:rFonts w:ascii="Times New Roman" w:hAnsi="Times New Roman" w:eastAsia="仿宋"/>
      <w:b/>
      <w:bCs/>
      <w:i/>
      <w:iCs/>
      <w:color w:val="4f81bd"/>
      <w:sz w:val="28"/>
      <w:szCs w:val="24"/>
    </w:rPr>
  </w:style>
  <w:style w:type="paragraph" w:styleId="1384" w:customStyle="1">
    <w:name w:val="pic mid"/>
    <w:uiPriority w:val="0"/>
    <w:qFormat/>
    <w:pPr>
      <w:jc w:val="center"/>
      <w:spacing w:line="360" w:lineRule="auto"/>
      <w:widowControl w:val="off"/>
    </w:pPr>
    <w:rPr>
      <w:rFonts w:ascii="Times New Roman" w:hAnsi="Times New Roman" w:eastAsia="宋体" w:cs="Times New Roman"/>
      <w:bCs/>
      <w:sz w:val="24"/>
      <w:szCs w:val="32"/>
      <w:lang w:val="en-US" w:eastAsia="zh-CN" w:bidi="ar-SA"/>
    </w:rPr>
  </w:style>
  <w:style w:type="paragraph" w:styleId="1385" w:customStyle="1">
    <w:name w:val="普通正文"/>
    <w:basedOn w:val="694"/>
    <w:uiPriority w:val="0"/>
    <w:qFormat/>
    <w:pPr>
      <w:ind w:firstLine="480"/>
      <w:jc w:val="left"/>
      <w:spacing w:before="120" w:after="120" w:line="360" w:lineRule="auto"/>
    </w:pPr>
    <w:rPr>
      <w:rFonts w:ascii="Arial" w:hAnsi="Arial" w:eastAsia="宋体" w:cs="Times New Roman"/>
      <w:sz w:val="24"/>
      <w:szCs w:val="24"/>
    </w:rPr>
  </w:style>
  <w:style w:type="paragraph" w:styleId="1386" w:customStyle="1">
    <w:name w:val="span-200"/>
    <w:basedOn w:val="694"/>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87" w:customStyle="1">
    <w:name w:val="span-200-c"/>
    <w:basedOn w:val="704"/>
    <w:uiPriority w:val="0"/>
    <w:qFormat/>
    <w:rPr>
      <w:rFonts w:ascii="宋体" w:hAnsi="宋体" w:eastAsia="宋体" w:cs="宋体"/>
      <w:color w:val="000000"/>
      <w:sz w:val="24"/>
      <w:szCs w:val="24"/>
    </w:rPr>
  </w:style>
  <w:style w:type="paragraph" w:styleId="1388" w:customStyle="1">
    <w:name w:val="普通文字"/>
    <w:basedOn w:val="694"/>
    <w:next w:val="694"/>
    <w:uiPriority w:val="99"/>
    <w:qFormat/>
    <w:rPr>
      <w:rFonts w:ascii="宋体" w:hAnsi="Calibri" w:eastAsia="宋体"/>
      <w:sz w:val="24"/>
      <w:szCs w:val="24"/>
    </w:rPr>
  </w:style>
  <w:style w:type="table" w:styleId="1389" w:customStyle="1">
    <w:name w:val="普通表格1"/>
    <w:uiPriority w:val="99"/>
    <w:unhideWhenUsed/>
    <w:qFormat/>
    <w:tblPr>
      <w:tblCellMar>
        <w:left w:w="0" w:type="dxa"/>
        <w:top w:w="0" w:type="dxa"/>
        <w:right w:w="0" w:type="dxa"/>
        <w:bottom w:w="0" w:type="dxa"/>
      </w:tblCellMar>
    </w:tblPr>
  </w:style>
  <w:style w:type="paragraph" w:styleId="1390" w:customStyle="1">
    <w:name w:val="普通(网站)11"/>
    <w:basedOn w:val="694"/>
    <w:uiPriority w:val="0"/>
    <w:qFormat/>
    <w:pPr>
      <w:spacing w:beforeAutospacing="1" w:afterAutospacing="1"/>
    </w:pPr>
  </w:style>
  <w:style w:type="table" w:styleId="1391" w:customStyle="1">
    <w:name w:val="Table Normal"/>
    <w:uiPriority w:val="0"/>
    <w:semiHidden/>
    <w:unhideWhenUsed/>
    <w:qFormat/>
    <w:tblPr>
      <w:tblCellMar>
        <w:left w:w="0" w:type="dxa"/>
        <w:top w:w="0" w:type="dxa"/>
        <w:right w:w="0" w:type="dxa"/>
        <w:bottom w:w="0" w:type="dxa"/>
      </w:tblCellMar>
    </w:tblPr>
  </w:style>
  <w:style w:type="character" w:styleId="1392" w:customStyle="1">
    <w:name w:val="Table Text Char"/>
    <w:link w:val="1003"/>
    <w:uiPriority w:val="0"/>
    <w:qFormat/>
    <w:rPr>
      <w:rFonts w:ascii="??¨¬?" w:hAnsi="??¨¬?" w:eastAsia="仿宋" w:cs="Times New Roman"/>
      <w:sz w:val="24"/>
      <w:szCs w:val="22"/>
      <w:lang w:val="en-GB" w:eastAsia="en-US" w:bidi="en-US"/>
    </w:rPr>
  </w:style>
  <w:style w:type="paragraph" w:styleId="1393" w:customStyle="1">
    <w:name w:val="span-36"/>
    <w:basedOn w:val="694"/>
    <w:uiPriority w:val="0"/>
    <w:qFormat/>
    <w:pPr>
      <w:contextualSpacing/>
      <w:ind w:firstLine="150"/>
      <w:jc w:val="left"/>
      <w:spacing w:line="276" w:lineRule="auto"/>
      <w:widowControl/>
    </w:pPr>
    <w:rPr>
      <w:rFonts w:ascii="Arial" w:hAnsi="Arial" w:eastAsia="Arial" w:cs="Arial"/>
      <w:sz w:val="22"/>
      <w:lang w:eastAsia="en-US"/>
    </w:rPr>
  </w:style>
  <w:style w:type="character" w:styleId="1394" w:customStyle="1">
    <w:name w:val="span-475-c"/>
    <w:uiPriority w:val="0"/>
    <w:qFormat/>
    <w:rPr>
      <w:rFonts w:ascii="宋体" w:hAnsi="宋体" w:eastAsia="宋体" w:cs="宋体"/>
      <w:color w:val="000000"/>
      <w:sz w:val="24"/>
      <w:szCs w:val="24"/>
    </w:rPr>
  </w:style>
  <w:style w:type="paragraph" w:styleId="1395" w:customStyle="1">
    <w:name w:val="span-506"/>
    <w:basedOn w:val="694"/>
    <w:uiPriority w:val="0"/>
    <w:qFormat/>
    <w:pPr>
      <w:contextualSpacing/>
      <w:ind w:firstLine="150"/>
      <w:jc w:val="left"/>
      <w:spacing w:line="276" w:lineRule="auto"/>
      <w:widowControl/>
    </w:pPr>
    <w:rPr>
      <w:rFonts w:ascii="Arial" w:hAnsi="Arial" w:eastAsia="Arial" w:cs="Arial"/>
      <w:sz w:val="22"/>
      <w:lang w:eastAsia="en-US"/>
    </w:rPr>
  </w:style>
  <w:style w:type="character" w:styleId="1396" w:customStyle="1">
    <w:name w:val="span-495-c"/>
    <w:uiPriority w:val="0"/>
    <w:qFormat/>
    <w:rPr>
      <w:rFonts w:ascii="黑体" w:hAnsi="黑体" w:eastAsia="黑体" w:cs="黑体"/>
      <w:color w:val="000000"/>
      <w:sz w:val="32"/>
      <w:szCs w:val="32"/>
    </w:rPr>
  </w:style>
  <w:style w:type="character" w:styleId="1397" w:customStyle="1">
    <w:name w:val="正文首行缩进 Char1"/>
    <w:basedOn w:val="894"/>
    <w:link w:val="735"/>
    <w:uiPriority w:val="99"/>
    <w:semiHidden/>
    <w:qFormat/>
    <w:rPr>
      <w:sz w:val="21"/>
      <w:szCs w:val="22"/>
    </w:rPr>
  </w:style>
  <w:style w:type="character" w:styleId="1398" w:customStyle="1">
    <w:name w:val="l-btn-text1"/>
    <w:uiPriority w:val="99"/>
    <w:qFormat/>
    <w:rPr>
      <w:rFonts w:cs="Times New Roman"/>
      <w:sz w:val="18"/>
      <w:szCs w:val="18"/>
    </w:rPr>
  </w:style>
  <w:style w:type="character" w:styleId="1399" w:customStyle="1">
    <w:name w:val="requiredflag1"/>
    <w:uiPriority w:val="99"/>
    <w:qFormat/>
    <w:rPr>
      <w:rFonts w:cs="Times New Roman"/>
      <w:color w:val="ff0000"/>
    </w:rPr>
  </w:style>
  <w:style w:type="character" w:styleId="1400" w:customStyle="1">
    <w:name w:val="textbox1"/>
    <w:uiPriority w:val="99"/>
    <w:qFormat/>
    <w:rPr>
      <w:rFonts w:cs="Times New Roman"/>
      <w:shd w:val="clear" w:color="auto" w:fill="ffffff"/>
    </w:rPr>
  </w:style>
  <w:style w:type="paragraph" w:styleId="1401" w:customStyle="1">
    <w:name w:val="Other|1"/>
    <w:basedOn w:val="694"/>
    <w:uiPriority w:val="99"/>
    <w:qFormat/>
    <w:rPr>
      <w:rFonts w:ascii="Calibri" w:hAnsi="Calibri" w:eastAsia="宋体" w:cs="Times New Roman"/>
      <w:sz w:val="20"/>
      <w:szCs w:val="20"/>
    </w:rPr>
  </w:style>
  <w:style w:type="paragraph" w:styleId="1402" w:customStyle="1">
    <w:name w:val="msonormal"/>
    <w:basedOn w:val="694"/>
    <w:uiPriority w:val="0"/>
    <w:qFormat/>
    <w:pPr>
      <w:jc w:val="left"/>
      <w:spacing w:before="100" w:beforeAutospacing="1" w:after="100" w:afterAutospacing="1"/>
      <w:widowControl/>
    </w:pPr>
    <w:rPr>
      <w:rFonts w:ascii="宋体" w:hAnsi="宋体" w:eastAsia="宋体" w:cs="宋体"/>
      <w:sz w:val="24"/>
      <w:szCs w:val="24"/>
    </w:rPr>
  </w:style>
  <w:style w:type="paragraph" w:styleId="1403" w:customStyle="1">
    <w:name w:val="font5"/>
    <w:basedOn w:val="694"/>
    <w:uiPriority w:val="0"/>
    <w:qFormat/>
    <w:pPr>
      <w:jc w:val="left"/>
      <w:spacing w:before="100" w:beforeAutospacing="1" w:after="100" w:afterAutospacing="1"/>
      <w:widowControl/>
    </w:pPr>
    <w:rPr>
      <w:rFonts w:ascii="等线" w:hAnsi="等线" w:eastAsia="等线" w:cs="宋体"/>
      <w:sz w:val="18"/>
      <w:szCs w:val="18"/>
    </w:rPr>
  </w:style>
  <w:style w:type="paragraph" w:styleId="1404" w:customStyle="1">
    <w:name w:val="font6"/>
    <w:basedOn w:val="694"/>
    <w:uiPriority w:val="0"/>
    <w:pPr>
      <w:jc w:val="left"/>
      <w:spacing w:before="100" w:beforeAutospacing="1" w:after="100" w:afterAutospacing="1"/>
      <w:widowControl/>
    </w:pPr>
    <w:rPr>
      <w:rFonts w:ascii="宋体" w:hAnsi="宋体" w:eastAsia="宋体" w:cs="宋体"/>
      <w:sz w:val="16"/>
      <w:szCs w:val="16"/>
    </w:rPr>
  </w:style>
  <w:style w:type="paragraph" w:styleId="1405" w:customStyle="1">
    <w:name w:val="font7"/>
    <w:basedOn w:val="694"/>
    <w:uiPriority w:val="0"/>
    <w:qFormat/>
    <w:pPr>
      <w:jc w:val="left"/>
      <w:spacing w:before="100" w:beforeAutospacing="1" w:after="100" w:afterAutospacing="1"/>
      <w:widowControl/>
    </w:pPr>
    <w:rPr>
      <w:rFonts w:ascii="等线" w:hAnsi="等线" w:eastAsia="等线" w:cs="宋体"/>
      <w:color w:val="000000"/>
      <w:sz w:val="20"/>
      <w:szCs w:val="20"/>
    </w:rPr>
  </w:style>
  <w:style w:type="paragraph" w:styleId="1406" w:customStyle="1">
    <w:name w:val="xl76"/>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07" w:customStyle="1">
    <w:name w:val="xl77"/>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08" w:customStyle="1">
    <w:name w:val="xl78"/>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09" w:customStyle="1">
    <w:name w:val="xl79"/>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10" w:customStyle="1">
    <w:name w:val="xl80"/>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1" w:customStyle="1">
    <w:name w:val="xl81"/>
    <w:basedOn w:val="694"/>
    <w:uiPriority w:val="0"/>
    <w:qFormat/>
    <w:pPr>
      <w:jc w:val="center"/>
      <w:spacing w:before="100" w:beforeAutospacing="1" w:after="100" w:afterAutospacing="1"/>
      <w:widowControl/>
    </w:pPr>
    <w:rPr>
      <w:rFonts w:ascii="宋体" w:hAnsi="宋体" w:eastAsia="宋体" w:cs="宋体"/>
      <w:sz w:val="20"/>
      <w:szCs w:val="20"/>
    </w:rPr>
  </w:style>
  <w:style w:type="paragraph" w:styleId="1412" w:customStyle="1">
    <w:name w:val="xl82"/>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413" w:customStyle="1">
    <w:name w:val="xl83"/>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6"/>
      <w:szCs w:val="16"/>
    </w:rPr>
  </w:style>
  <w:style w:type="paragraph" w:styleId="1414" w:customStyle="1">
    <w:name w:val="xl84"/>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15" w:customStyle="1">
    <w:name w:val="xl85"/>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6" w:customStyle="1">
    <w:name w:val="xl86"/>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7" w:customStyle="1">
    <w:name w:val="xl87"/>
    <w:basedOn w:val="694"/>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18" w:customStyle="1">
    <w:name w:val="xl88"/>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9" w:customStyle="1">
    <w:name w:val="xl89"/>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0" w:customStyle="1">
    <w:name w:val="xl90"/>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1" w:customStyle="1">
    <w:name w:val="xl91"/>
    <w:basedOn w:val="694"/>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22" w:customStyle="1">
    <w:name w:val="xl92"/>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3" w:customStyle="1">
    <w:name w:val="xl93"/>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24" w:customStyle="1">
    <w:name w:val="xl94"/>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5" w:customStyle="1">
    <w:name w:val="xl95"/>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6" w:customStyle="1">
    <w:name w:val="xl96"/>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7" w:customStyle="1">
    <w:name w:val="xl97"/>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8" w:customStyle="1">
    <w:name w:val="xl98"/>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29" w:customStyle="1">
    <w:name w:val="xl99"/>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6"/>
      <w:szCs w:val="16"/>
    </w:rPr>
  </w:style>
  <w:style w:type="paragraph" w:styleId="1430" w:customStyle="1">
    <w:name w:val="xl100"/>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6"/>
      <w:szCs w:val="16"/>
    </w:rPr>
  </w:style>
  <w:style w:type="paragraph" w:styleId="1431" w:customStyle="1">
    <w:name w:val="xl101"/>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6"/>
      <w:szCs w:val="16"/>
    </w:rPr>
  </w:style>
  <w:style w:type="paragraph" w:styleId="1432" w:customStyle="1">
    <w:name w:val="xl102"/>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33" w:customStyle="1">
    <w:name w:val="xl103"/>
    <w:basedOn w:val="694"/>
    <w:uiPriority w:val="0"/>
    <w:qFormat/>
    <w:pPr>
      <w:jc w:val="left"/>
      <w:spacing w:before="100" w:beforeAutospacing="1" w:after="100" w:afterAutospacing="1"/>
      <w:widowControl/>
    </w:pPr>
    <w:rPr>
      <w:rFonts w:ascii="宋体" w:hAnsi="宋体" w:eastAsia="宋体" w:cs="宋体"/>
      <w:sz w:val="16"/>
      <w:szCs w:val="16"/>
    </w:rPr>
  </w:style>
  <w:style w:type="paragraph" w:styleId="1434" w:customStyle="1">
    <w:name w:val="xl104"/>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35" w:customStyle="1">
    <w:name w:val="xl105"/>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36" w:customStyle="1">
    <w:name w:val="xl106"/>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37" w:customStyle="1">
    <w:name w:val="xl107"/>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38" w:customStyle="1">
    <w:name w:val="xl108"/>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39" w:customStyle="1">
    <w:name w:val="xl109"/>
    <w:basedOn w:val="694"/>
    <w:uiPriority w:val="0"/>
    <w:qFormat/>
    <w:pPr>
      <w:jc w:val="center"/>
      <w:spacing w:before="100" w:beforeAutospacing="1" w:after="100" w:afterAutospacing="1"/>
      <w:widowControl/>
    </w:pPr>
    <w:rPr>
      <w:rFonts w:ascii="宋体" w:hAnsi="宋体" w:eastAsia="宋体" w:cs="宋体"/>
      <w:sz w:val="20"/>
      <w:szCs w:val="20"/>
    </w:rPr>
  </w:style>
  <w:style w:type="paragraph" w:styleId="1440" w:customStyle="1">
    <w:name w:val="xl110"/>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1" w:customStyle="1">
    <w:name w:val="xl111"/>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2" w:customStyle="1">
    <w:name w:val="xl112"/>
    <w:basedOn w:val="69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3" w:customStyle="1">
    <w:name w:val="xl113"/>
    <w:basedOn w:val="694"/>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4" w:customStyle="1">
    <w:name w:val="xl114"/>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5" w:customStyle="1">
    <w:name w:val="xl115"/>
    <w:basedOn w:val="6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446" w:customStyle="1">
    <w:name w:val="xl116"/>
    <w:basedOn w:val="694"/>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447" w:customStyle="1">
    <w:name w:val="xl117"/>
    <w:basedOn w:val="6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448" w:customStyle="1">
    <w:name w:val="xl118"/>
    <w:basedOn w:val="694"/>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449" w:customStyle="1">
    <w:name w:val="xl119"/>
    <w:basedOn w:val="6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character" w:styleId="1450" w:customStyle="1">
    <w:name w:val="正文文本缩进 Char"/>
    <w:basedOn w:val="704"/>
    <w:link w:val="714"/>
    <w:uiPriority w:val="99"/>
    <w:semiHidden/>
    <w:qFormat/>
    <w:rPr>
      <w:rFonts w:ascii="Calibri" w:hAnsi="Calibri"/>
      <w:sz w:val="21"/>
      <w:szCs w:val="22"/>
    </w:rPr>
  </w:style>
  <w:style w:type="paragraph" w:styleId="1451" w:customStyle="1">
    <w:name w:val="xl74"/>
    <w:basedOn w:val="6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52" w:customStyle="1">
    <w:name w:val="xl75"/>
    <w:basedOn w:val="6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53" w:customStyle="1">
    <w:name w:val="font8"/>
    <w:basedOn w:val="694"/>
    <w:uiPriority w:val="0"/>
    <w:qFormat/>
    <w:pPr>
      <w:jc w:val="left"/>
      <w:spacing w:before="100" w:beforeAutospacing="1" w:after="100" w:afterAutospacing="1"/>
      <w:widowControl/>
    </w:pPr>
    <w:rPr>
      <w:rFonts w:ascii="等线" w:hAnsi="等线" w:eastAsia="等线" w:cs="宋体"/>
      <w:color w:val="000000"/>
      <w:sz w:val="20"/>
      <w:szCs w:val="20"/>
    </w:rPr>
  </w:style>
  <w:style w:type="paragraph" w:styleId="1454" w:customStyle="1">
    <w:name w:val="正文首行缩进11"/>
    <w:basedOn w:val="694"/>
    <w:uiPriority w:val="0"/>
    <w:qFormat/>
    <w:pPr>
      <w:ind w:firstLine="200"/>
      <w:spacing w:line="360" w:lineRule="auto"/>
    </w:pPr>
    <w:rPr>
      <w:rFonts w:ascii="仿宋_GB2312" w:hAnsi="Arial" w:eastAsia="仿宋_GB2312"/>
      <w:sz w:val="30"/>
      <w:szCs w:val="30"/>
    </w:rPr>
  </w:style>
  <w:style w:type="numbering" w:styleId="14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F905B-B237-417F-910F-90C0FD89912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Zyb</dc:creator>
  <cp:lastModifiedBy>严伟</cp:lastModifiedBy>
  <cp:revision>10</cp:revision>
  <dcterms:created xsi:type="dcterms:W3CDTF">2026-07-18T07:30:00Z</dcterms:created>
  <dcterms:modified xsi:type="dcterms:W3CDTF">2026-07-21T01:07:16Z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2052-12.1.0.26895</vt:lpwstr>
  </property>
  <property fmtid="{D5CDD505-2E9C-101B-9397-08002B2CF9AE}" pid="4" name="ICV">
    <vt:lpwstr>A202D90DBEE14FFB8F2B3D1091F7A395_13</vt:lpwstr>
  </property>
</Properties>
</file>