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1FEED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72"/>
          <w:highlight w:val="none"/>
        </w:rPr>
      </w:pPr>
    </w:p>
    <w:p w14:paraId="1D2C6DD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72"/>
          <w:highlight w:val="none"/>
          <w:lang w:eastAsia="zh-CN"/>
        </w:rPr>
      </w:pPr>
    </w:p>
    <w:p w14:paraId="3819E05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72"/>
          <w:highlight w:val="none"/>
          <w:lang w:eastAsia="zh-CN"/>
        </w:rPr>
        <w:t>太仓市政府采购</w:t>
      </w:r>
    </w:p>
    <w:p w14:paraId="58708FF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72"/>
          <w:highlight w:val="none"/>
          <w:lang w:eastAsia="zh-CN"/>
        </w:rPr>
        <w:t> </w:t>
      </w:r>
    </w:p>
    <w:p w14:paraId="75C8F2F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72"/>
          <w:highlight w:val="none"/>
          <w:lang w:eastAsia="zh-CN"/>
        </w:rPr>
        <w:t>招 标 文 件</w:t>
      </w:r>
    </w:p>
    <w:p w14:paraId="2244EF8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highlight w:val="none"/>
          <w:lang w:eastAsia="zh-CN"/>
        </w:rPr>
        <w:t> </w:t>
      </w:r>
    </w:p>
    <w:p w14:paraId="1AFC615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highlight w:val="none"/>
          <w:lang w:eastAsia="zh-CN"/>
        </w:rPr>
      </w:pPr>
      <w:r>
        <w:rPr>
          <w:rFonts w:hint="eastAsia" w:ascii="宋体" w:hAnsi="宋体" w:eastAsia="宋体" w:cs="宋体"/>
          <w:highlight w:val="none"/>
          <w:lang w:eastAsia="zh-CN"/>
        </w:rPr>
        <w:t> </w:t>
      </w:r>
    </w:p>
    <w:p w14:paraId="32382D6A">
      <w:pPr>
        <w:pBdr>
          <w:top w:val="none" w:color="000000" w:sz="0" w:space="0"/>
          <w:left w:val="none" w:color="000000" w:sz="0" w:space="0"/>
          <w:bottom w:val="none" w:color="000000" w:sz="0" w:space="0"/>
          <w:right w:val="none" w:color="000000" w:sz="0" w:space="0"/>
        </w:pBdr>
        <w:spacing w:line="85" w:lineRule="atLeast"/>
        <w:jc w:val="right"/>
        <w:rPr>
          <w:rFonts w:hint="eastAsia" w:ascii="宋体" w:hAnsi="宋体" w:eastAsia="宋体" w:cs="宋体"/>
          <w:highlight w:val="none"/>
          <w:lang w:eastAsia="zh-CN"/>
        </w:rPr>
      </w:pPr>
      <w:r>
        <w:rPr>
          <w:rFonts w:hint="eastAsia" w:ascii="宋体" w:hAnsi="宋体" w:eastAsia="宋体" w:cs="宋体"/>
          <w:sz w:val="32"/>
          <w:highlight w:val="none"/>
          <w:lang w:eastAsia="zh-CN"/>
        </w:rPr>
        <w:t> </w:t>
      </w:r>
    </w:p>
    <w:p w14:paraId="393C084F">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bookmarkStart w:id="0" w:name="OLE_LINK1"/>
      <w:r>
        <w:rPr>
          <w:rFonts w:hint="eastAsia" w:ascii="宋体" w:hAnsi="宋体" w:eastAsia="宋体" w:cs="宋体"/>
          <w:b/>
          <w:sz w:val="36"/>
          <w:highlight w:val="none"/>
          <w:lang w:eastAsia="zh-CN"/>
        </w:rPr>
        <w:t>项目编号：JSZC-320585-JZCG-G2026-0049</w:t>
      </w:r>
    </w:p>
    <w:p w14:paraId="44CF9536">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项目名称：太仓市娄江新城医院（瑞金医院太仓分院）至总院、北院组网服务</w:t>
      </w:r>
    </w:p>
    <w:p w14:paraId="3E9C0937">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采购单位：太仓市娄江新城医院（瑞金医院太仓分院）</w:t>
      </w:r>
    </w:p>
    <w:bookmarkEnd w:id="0"/>
    <w:p w14:paraId="3194ED79">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采购项目类别：服务类</w:t>
      </w:r>
    </w:p>
    <w:p w14:paraId="3795FF09">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标的所属行业：（十一）信息传输业</w:t>
      </w:r>
    </w:p>
    <w:p w14:paraId="748A2EFC">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sz w:val="44"/>
          <w:highlight w:val="none"/>
          <w:lang w:eastAsia="zh-CN"/>
        </w:rPr>
      </w:pPr>
    </w:p>
    <w:p w14:paraId="21E189CA">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highlight w:val="none"/>
          <w:lang w:eastAsia="zh-CN"/>
        </w:rPr>
      </w:pPr>
      <w:r>
        <w:rPr>
          <w:rFonts w:hint="eastAsia" w:ascii="宋体" w:hAnsi="宋体" w:eastAsia="宋体" w:cs="宋体"/>
          <w:sz w:val="44"/>
          <w:highlight w:val="none"/>
          <w:lang w:eastAsia="zh-CN"/>
        </w:rPr>
        <w:t>苏州市公共资源交易中心太仓分中心</w:t>
      </w:r>
    </w:p>
    <w:p w14:paraId="62A54C32">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sz w:val="44"/>
          <w:highlight w:val="none"/>
          <w:lang w:eastAsia="zh-CN"/>
        </w:rPr>
      </w:pPr>
    </w:p>
    <w:p w14:paraId="4FB04167">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sz w:val="28"/>
          <w:highlight w:val="none"/>
          <w:lang w:eastAsia="zh-CN"/>
        </w:rPr>
      </w:pPr>
      <w:r>
        <w:rPr>
          <w:rFonts w:hint="eastAsia" w:ascii="宋体" w:hAnsi="宋体" w:eastAsia="宋体" w:cs="宋体"/>
          <w:sz w:val="44"/>
          <w:highlight w:val="none"/>
          <w:lang w:eastAsia="zh-CN"/>
        </w:rPr>
        <w:t>2026年</w:t>
      </w:r>
      <w:r>
        <w:rPr>
          <w:rFonts w:hint="eastAsia" w:ascii="宋体" w:hAnsi="宋体" w:eastAsia="宋体" w:cs="宋体"/>
          <w:sz w:val="44"/>
          <w:highlight w:val="none"/>
          <w:lang w:val="en-US" w:eastAsia="zh-CN"/>
        </w:rPr>
        <w:t>7</w:t>
      </w:r>
      <w:r>
        <w:rPr>
          <w:rFonts w:hint="eastAsia" w:ascii="宋体" w:hAnsi="宋体" w:eastAsia="宋体" w:cs="宋体"/>
          <w:sz w:val="44"/>
          <w:highlight w:val="none"/>
          <w:lang w:eastAsia="zh-CN"/>
        </w:rPr>
        <w:t>月</w:t>
      </w:r>
    </w:p>
    <w:p w14:paraId="55B5EFB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6550D06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1A4A1D7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5727EC1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65CF8BD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042E05B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36"/>
          <w:highlight w:val="none"/>
          <w:lang w:eastAsia="zh-CN"/>
        </w:rPr>
        <w:t>目 录</w:t>
      </w:r>
    </w:p>
    <w:p w14:paraId="129B653D">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30"/>
          <w:highlight w:val="none"/>
          <w:lang w:eastAsia="zh-CN"/>
        </w:rPr>
      </w:pPr>
    </w:p>
    <w:p w14:paraId="030B2EF8">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第一部分：招标公告</w:t>
      </w:r>
    </w:p>
    <w:p w14:paraId="3D0094E1">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第二部分：投标人须知</w:t>
      </w:r>
    </w:p>
    <w:p w14:paraId="05314F9F">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第三部分：项目需求</w:t>
      </w:r>
    </w:p>
    <w:p w14:paraId="03D4475C">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第四部分：投标文件格式</w:t>
      </w:r>
    </w:p>
    <w:p w14:paraId="783C35B6">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第五部分：评标方法与评标标准</w:t>
      </w:r>
    </w:p>
    <w:p w14:paraId="54DE5E34">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第六部分：合同主要条款</w:t>
      </w:r>
    </w:p>
    <w:p w14:paraId="03CD799C">
      <w:pPr>
        <w:pBdr>
          <w:top w:val="none" w:color="000000" w:sz="0" w:space="0"/>
          <w:left w:val="none" w:color="000000" w:sz="0" w:space="0"/>
          <w:bottom w:val="none" w:color="000000" w:sz="0" w:space="0"/>
          <w:right w:val="none" w:color="000000" w:sz="0" w:space="0"/>
        </w:pBdr>
        <w:spacing w:before="240" w:after="240" w:line="520" w:lineRule="exact"/>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5B9261C7">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49746B5B">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39858CCD">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2E5E1761">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052052A9">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56772349">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6F825B9E">
      <w:pPr>
        <w:jc w:val="center"/>
        <w:rPr>
          <w:rFonts w:hint="eastAsia" w:ascii="宋体" w:hAnsi="宋体" w:eastAsia="宋体" w:cs="宋体"/>
          <w:b/>
          <w:sz w:val="44"/>
          <w:highlight w:val="none"/>
        </w:rPr>
      </w:pPr>
      <w:r>
        <w:rPr>
          <w:rFonts w:hint="eastAsia" w:ascii="宋体" w:hAnsi="宋体" w:eastAsia="宋体" w:cs="宋体"/>
          <w:b/>
          <w:sz w:val="44"/>
          <w:highlight w:val="none"/>
        </w:rPr>
        <w:t>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招标公告</w:t>
      </w:r>
    </w:p>
    <w:tbl>
      <w:tblPr>
        <w:tblStyle w:val="45"/>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0ACCF53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2644886D">
            <w:pPr>
              <w:pStyle w:val="4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项目概况</w:t>
            </w:r>
          </w:p>
          <w:p w14:paraId="263F7BBC">
            <w:pPr>
              <w:pStyle w:val="4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太仓市娄江新城医院（瑞金医院太仓分院）至总院、北院组网服务 JSZC-320585-JZCG-G2026-0049招标项目的潜在投标人应在“苏采云</w:t>
            </w:r>
            <w:r>
              <w:rPr>
                <w:rFonts w:hint="eastAsia" w:ascii="宋体" w:hAnsi="宋体" w:eastAsia="宋体" w:cs="宋体"/>
                <w:sz w:val="24"/>
                <w:szCs w:val="24"/>
                <w:highlight w:val="none"/>
                <w:shd w:val="clear" w:color="auto" w:fill="FFFFFF"/>
                <w:lang w:eastAsia="zh-CN"/>
              </w:rPr>
              <w:t>”系统（网址：http://jszfcg.jsczt.cn/）自行下载获取招标文件，并于2026-0</w:t>
            </w:r>
            <w:r>
              <w:rPr>
                <w:rFonts w:hint="eastAsia" w:ascii="宋体" w:hAnsi="宋体" w:eastAsia="宋体" w:cs="宋体"/>
                <w:sz w:val="24"/>
                <w:szCs w:val="24"/>
                <w:highlight w:val="none"/>
                <w:shd w:val="clear" w:color="auto" w:fill="FFFFFF"/>
                <w:lang w:val="en-US" w:eastAsia="zh-CN"/>
              </w:rPr>
              <w:t>8</w:t>
            </w:r>
            <w:r>
              <w:rPr>
                <w:rFonts w:hint="eastAsia" w:ascii="宋体" w:hAnsi="宋体" w:eastAsia="宋体" w:cs="宋体"/>
                <w:sz w:val="24"/>
                <w:szCs w:val="24"/>
                <w:highlight w:val="none"/>
                <w:shd w:val="clear" w:color="auto" w:fill="FFFFFF"/>
                <w:lang w:eastAsia="zh-CN"/>
              </w:rPr>
              <w:t>-</w:t>
            </w:r>
            <w:r>
              <w:rPr>
                <w:rFonts w:hint="eastAsia" w:ascii="宋体" w:hAnsi="宋体" w:eastAsia="宋体" w:cs="宋体"/>
                <w:sz w:val="24"/>
                <w:szCs w:val="24"/>
                <w:highlight w:val="none"/>
                <w:shd w:val="clear" w:color="auto" w:fill="FFFFFF"/>
                <w:lang w:val="en-US" w:eastAsia="zh-CN"/>
              </w:rPr>
              <w:t>05</w:t>
            </w:r>
            <w:r>
              <w:rPr>
                <w:rFonts w:hint="eastAsia" w:ascii="宋体" w:hAnsi="宋体" w:eastAsia="宋体" w:cs="宋体"/>
                <w:sz w:val="24"/>
                <w:szCs w:val="24"/>
                <w:highlight w:val="none"/>
                <w:shd w:val="clear" w:color="auto" w:fill="FFFFFF"/>
                <w:lang w:eastAsia="zh-CN"/>
              </w:rPr>
              <w:t xml:space="preserve"> 09:30 （北京时间）前递交投标文件。</w:t>
            </w:r>
          </w:p>
        </w:tc>
      </w:tr>
    </w:tbl>
    <w:p w14:paraId="01F36DFE">
      <w:pPr>
        <w:pStyle w:val="4"/>
        <w:keepNext w:val="0"/>
        <w:keepLines w:val="0"/>
        <w:spacing w:before="0" w:after="0" w:line="480" w:lineRule="exact"/>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一、项目基本情况</w:t>
      </w:r>
    </w:p>
    <w:p w14:paraId="0DA42444">
      <w:pPr>
        <w:pStyle w:val="40"/>
        <w:spacing w:after="0" w:line="480" w:lineRule="exact"/>
        <w:ind w:firstLine="480" w:firstLineChars="200"/>
        <w:rPr>
          <w:rFonts w:hint="eastAsia" w:ascii="宋体" w:hAnsi="宋体" w:eastAsia="宋体" w:cs="宋体"/>
          <w:sz w:val="24"/>
          <w:szCs w:val="24"/>
          <w:highlight w:val="none"/>
          <w:lang w:eastAsia="zh-CN"/>
        </w:rPr>
      </w:pPr>
      <w:bookmarkStart w:id="1" w:name="OLE_LINK14"/>
      <w:r>
        <w:rPr>
          <w:rFonts w:hint="eastAsia" w:ascii="宋体" w:hAnsi="宋体" w:eastAsia="宋体" w:cs="宋体"/>
          <w:sz w:val="24"/>
          <w:szCs w:val="24"/>
          <w:highlight w:val="none"/>
          <w:shd w:val="clear" w:color="auto" w:fill="FFFFFF"/>
          <w:lang w:eastAsia="zh-CN"/>
        </w:rPr>
        <w:t>项目编号：JSZC-320585-JZCG-G2026-0049</w:t>
      </w:r>
    </w:p>
    <w:bookmarkEnd w:id="1"/>
    <w:p w14:paraId="7F68C865">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项目名称：标段一：至北院组网服务（含组网所需的设备及配件，包括波分设备、光模块、跳线等）</w:t>
      </w:r>
    </w:p>
    <w:p w14:paraId="27EEF708">
      <w:pPr>
        <w:pStyle w:val="40"/>
        <w:spacing w:after="0" w:line="560" w:lineRule="exact"/>
        <w:ind w:firstLine="1680" w:firstLineChars="7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标段二：至总院组网服务（含组网所需的设备及配件，包括波分设备、光模块、跳线等）</w:t>
      </w:r>
    </w:p>
    <w:p w14:paraId="0821CD34">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预算金额：</w:t>
      </w:r>
      <w:bookmarkStart w:id="2" w:name="OLE_LINK18"/>
    </w:p>
    <w:p w14:paraId="6A5FB9CD">
      <w:pPr>
        <w:pStyle w:val="40"/>
        <w:spacing w:after="0" w:line="560" w:lineRule="exact"/>
        <w:ind w:firstLine="1680" w:firstLineChars="7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第一标段：</w:t>
      </w:r>
      <w:r>
        <w:rPr>
          <w:rFonts w:hint="eastAsia" w:ascii="宋体" w:hAnsi="宋体" w:eastAsia="宋体" w:cs="宋体"/>
          <w:sz w:val="24"/>
          <w:szCs w:val="24"/>
          <w:highlight w:val="none"/>
          <w:shd w:val="clear" w:color="auto" w:fill="FFFFFF"/>
          <w:lang w:val="en-US" w:eastAsia="zh-CN"/>
        </w:rPr>
        <w:t>26.4</w:t>
      </w:r>
      <w:r>
        <w:rPr>
          <w:rFonts w:hint="eastAsia" w:ascii="宋体" w:hAnsi="宋体" w:eastAsia="宋体" w:cs="宋体"/>
          <w:sz w:val="24"/>
          <w:szCs w:val="24"/>
          <w:highlight w:val="none"/>
          <w:shd w:val="clear" w:color="auto" w:fill="FFFFFF"/>
          <w:lang w:eastAsia="zh-CN"/>
        </w:rPr>
        <w:t>万元；</w:t>
      </w:r>
    </w:p>
    <w:p w14:paraId="65C6E6C3">
      <w:pPr>
        <w:pStyle w:val="40"/>
        <w:spacing w:after="0" w:line="560" w:lineRule="exact"/>
        <w:ind w:firstLine="1680" w:firstLineChars="7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第二标段：</w:t>
      </w:r>
      <w:r>
        <w:rPr>
          <w:rFonts w:hint="eastAsia" w:ascii="宋体" w:hAnsi="宋体" w:eastAsia="宋体" w:cs="宋体"/>
          <w:sz w:val="24"/>
          <w:szCs w:val="24"/>
          <w:highlight w:val="none"/>
          <w:shd w:val="clear" w:color="auto" w:fill="FFFFFF"/>
          <w:lang w:val="en-US" w:eastAsia="zh-CN"/>
        </w:rPr>
        <w:t>30</w:t>
      </w:r>
      <w:r>
        <w:rPr>
          <w:rFonts w:hint="eastAsia" w:ascii="宋体" w:hAnsi="宋体" w:eastAsia="宋体" w:cs="宋体"/>
          <w:sz w:val="24"/>
          <w:szCs w:val="24"/>
          <w:highlight w:val="none"/>
          <w:shd w:val="clear" w:color="auto" w:fill="FFFFFF"/>
          <w:lang w:eastAsia="zh-CN"/>
        </w:rPr>
        <w:t>万元；</w:t>
      </w:r>
      <w:bookmarkEnd w:id="2"/>
    </w:p>
    <w:p w14:paraId="44769AF7">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最高限价：无；</w:t>
      </w:r>
    </w:p>
    <w:p w14:paraId="15CC941D">
      <w:pPr>
        <w:pStyle w:val="40"/>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采购方式：公开招标 </w:t>
      </w:r>
    </w:p>
    <w:p w14:paraId="00F4CC0F">
      <w:pPr>
        <w:pStyle w:val="40"/>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采购需求：</w:t>
      </w:r>
    </w:p>
    <w:p w14:paraId="175EE367">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bookmarkStart w:id="3" w:name="OLE_LINK58"/>
      <w:r>
        <w:rPr>
          <w:rFonts w:hint="eastAsia" w:ascii="宋体" w:hAnsi="宋体" w:eastAsia="宋体" w:cs="宋体"/>
          <w:sz w:val="24"/>
          <w:szCs w:val="24"/>
          <w:highlight w:val="none"/>
          <w:shd w:val="clear" w:color="auto" w:fill="FFFFFF"/>
          <w:lang w:val="en-US" w:eastAsia="zh-CN"/>
        </w:rPr>
        <w:t>1、</w:t>
      </w:r>
      <w:r>
        <w:rPr>
          <w:rFonts w:hint="eastAsia" w:ascii="宋体" w:hAnsi="宋体" w:eastAsia="宋体" w:cs="宋体"/>
          <w:sz w:val="24"/>
          <w:szCs w:val="24"/>
          <w:highlight w:val="none"/>
          <w:shd w:val="clear" w:color="auto" w:fill="FFFFFF"/>
          <w:lang w:eastAsia="zh-CN"/>
        </w:rPr>
        <w:t>本项目为太仓市娄江新城医院（瑞金医院太仓分院）</w:t>
      </w:r>
      <w:r>
        <w:rPr>
          <w:rFonts w:hint="eastAsia" w:ascii="宋体" w:hAnsi="宋体" w:eastAsia="宋体" w:cs="宋体"/>
          <w:sz w:val="24"/>
          <w:szCs w:val="24"/>
          <w:highlight w:val="none"/>
          <w:lang w:val="en-US" w:eastAsia="zh-CN"/>
        </w:rPr>
        <w:t>至总院、北院组网服务</w:t>
      </w:r>
      <w:r>
        <w:rPr>
          <w:rFonts w:hint="eastAsia" w:eastAsia="宋体"/>
          <w:sz w:val="24"/>
          <w:szCs w:val="24"/>
          <w:highlight w:val="none"/>
          <w:lang w:eastAsia="zh-CN"/>
        </w:rPr>
        <w:t>，</w:t>
      </w:r>
      <w:r>
        <w:rPr>
          <w:rFonts w:hint="eastAsia" w:ascii="宋体" w:hAnsi="宋体" w:eastAsia="宋体" w:cs="宋体"/>
          <w:sz w:val="24"/>
          <w:szCs w:val="24"/>
          <w:highlight w:val="none"/>
          <w:shd w:val="clear" w:color="auto" w:fill="FFFFFF"/>
          <w:lang w:eastAsia="zh-CN"/>
        </w:rPr>
        <w:t>具体内容详见第三部分项目需求。</w:t>
      </w:r>
    </w:p>
    <w:bookmarkEnd w:id="3"/>
    <w:p w14:paraId="0D4B7FA5">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2、投标人可以投其中一个标段，也可以同时投所有标段，开标顺序按标段号一、二顺序确定。一个投标人最多只能就其中一个标段中标，每个标段中标单位为一名。按先开先中的原则，确定投标人的中标标段。</w:t>
      </w:r>
    </w:p>
    <w:p w14:paraId="1D97BEFE">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投标人按评标方法被确定为中标候选人的标段数超过上述规定的中标数量限定原则，则依开标顺序，按先开先中的原则，确定该投标人的中标标段，其余标段将自动失去中标资格，由该标段的综合评分由高到低排名高的投标人获得中标资格。</w:t>
      </w:r>
    </w:p>
    <w:p w14:paraId="5C8B056C">
      <w:pPr>
        <w:pStyle w:val="40"/>
        <w:shd w:val="clear" w:color="auto" w:fill="FFFFFF"/>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合同履行期限：合同签订后30天内完成组网建设并试运行，试运行通过后组织项目阶段性验收，验收通过后经甲方确认具备服务条件后进入服务期，本项目服务期为一年。</w:t>
      </w:r>
    </w:p>
    <w:p w14:paraId="10B12819">
      <w:pPr>
        <w:pStyle w:val="40"/>
        <w:shd w:val="clear" w:color="auto" w:fill="FFFFFF"/>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本项目（是/否）接受联合体投标：不接受联合体</w:t>
      </w:r>
    </w:p>
    <w:p w14:paraId="7CF644D1">
      <w:pPr>
        <w:pStyle w:val="4"/>
        <w:keepNext w:val="0"/>
        <w:keepLines w:val="0"/>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二、申请人的资格要求</w:t>
      </w:r>
    </w:p>
    <w:p w14:paraId="0D6FBFB4">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（一）满足《中华人民共和国政府采购法》第二十二条规定；</w:t>
      </w:r>
    </w:p>
    <w:p w14:paraId="55B37A1E">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1.具有独立承担民事责任的能力证明。包括法人或者其他组织的营业执照等证明文件，自然人的身份证明；</w:t>
      </w:r>
    </w:p>
    <w:p w14:paraId="4D1C5F34">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2.具有良好的商业信誉和健全的财务会计制度证明。</w:t>
      </w:r>
    </w:p>
    <w:p w14:paraId="44672508">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3.具备履行合同所必需的设备和专业技术能力的证明材料或承诺；</w:t>
      </w:r>
    </w:p>
    <w:p w14:paraId="7ED1E1A7">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4.依法缴纳税收和社会保障资金的相关资料；</w:t>
      </w:r>
    </w:p>
    <w:p w14:paraId="247C1335">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5.参加政府采购活动前三年内在经营活动中没有重大违法记录的书面声明函；</w:t>
      </w:r>
    </w:p>
    <w:p w14:paraId="52F0E567">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件当事人名单、政府采购严重失信行为记录名单。</w:t>
      </w:r>
    </w:p>
    <w:p w14:paraId="0851378D">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7.采购文件要求的其他资格证明文件</w:t>
      </w:r>
    </w:p>
    <w:p w14:paraId="032BF86B">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（二）落实政府采购政策需满足的资格要求：</w:t>
      </w:r>
    </w:p>
    <w:p w14:paraId="7C63268C">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本项目非专门面向中小企业采购</w:t>
      </w:r>
    </w:p>
    <w:p w14:paraId="011EC8D5">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（三）本项目的特定资格要求： </w:t>
      </w:r>
    </w:p>
    <w:p w14:paraId="7800B638">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6AF183F0">
      <w:pPr>
        <w:pStyle w:val="40"/>
        <w:adjustRightInd w:val="0"/>
        <w:snapToGrid w:val="0"/>
        <w:spacing w:line="500" w:lineRule="exact"/>
        <w:ind w:firstLine="482"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b/>
          <w:bCs/>
          <w:sz w:val="24"/>
          <w:szCs w:val="24"/>
          <w:highlight w:val="none"/>
          <w:shd w:val="clear" w:color="auto" w:fill="FFFFFF"/>
          <w:lang w:eastAsia="zh-CN"/>
        </w:rPr>
        <w:t>2、标段一和标段二投标人须具有中华人民共和国工业和信息化部颁发的有效《中华人民共和国基础电信业务经营许可证》或经相关行政主管部门批准的授权其经营相关项目的证明文件，许可业务范围须覆盖本项目所需的基础电信业务类型；许可证在本项目投标截止当日须处于有效存续状态，无吊销、注销、暂停经营等失效情形。</w:t>
      </w:r>
    </w:p>
    <w:p w14:paraId="0B991F11">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（四）拒绝下述供应商参加本次采购活动：</w:t>
      </w:r>
    </w:p>
    <w:p w14:paraId="288834F6">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1、供应商单位负责人为同一人或者存在直接控股、管理关系的不同供应商，不得参加同一合同项下的政府采购活动。</w:t>
      </w:r>
    </w:p>
    <w:p w14:paraId="4276F647">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2、凡为采购项目提供整体设计、规范编制或者项目管理、监理、检测等服务的供应商，不得再参加本项目的采购活动。</w:t>
      </w:r>
    </w:p>
    <w:p w14:paraId="64D339E3">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3、法人的分支机构不得参加响应活动（除银行、保险、石油石化、电力、电信等行业特殊情况外）。</w:t>
      </w:r>
    </w:p>
    <w:p w14:paraId="770F0D61">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119597D5">
      <w:pPr>
        <w:pStyle w:val="4"/>
        <w:keepNext w:val="0"/>
        <w:keepLines w:val="0"/>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三、获取招标文件</w:t>
      </w:r>
    </w:p>
    <w:p w14:paraId="3692A64F">
      <w:pPr>
        <w:pStyle w:val="40"/>
        <w:spacing w:after="0"/>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时间：自招标文件公告发布之日起5个工作日</w:t>
      </w:r>
    </w:p>
    <w:p w14:paraId="18E93D09">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地点：“苏采云”系统（网址：http://jszfcg.jsczt.cn/）自行下载 </w:t>
      </w:r>
    </w:p>
    <w:p w14:paraId="491FD3A4">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方式：自行下载 </w:t>
      </w:r>
    </w:p>
    <w:p w14:paraId="56A01E82">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售价：0.00元 </w:t>
      </w:r>
    </w:p>
    <w:p w14:paraId="2D642DF6">
      <w:pPr>
        <w:pStyle w:val="4"/>
        <w:keepNext w:val="0"/>
        <w:keepLines w:val="0"/>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四、提交投标文件截止时间、开标时间和地点</w:t>
      </w:r>
    </w:p>
    <w:p w14:paraId="186BCF7D">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2026-0</w:t>
      </w:r>
      <w:r>
        <w:rPr>
          <w:rFonts w:hint="eastAsia" w:ascii="宋体" w:hAnsi="宋体" w:eastAsia="宋体" w:cs="宋体"/>
          <w:sz w:val="24"/>
          <w:szCs w:val="24"/>
          <w:highlight w:val="none"/>
          <w:shd w:val="clear" w:color="auto" w:fill="FFFFFF"/>
          <w:lang w:val="en-US" w:eastAsia="zh-CN"/>
        </w:rPr>
        <w:t>8</w:t>
      </w:r>
      <w:r>
        <w:rPr>
          <w:rFonts w:hint="eastAsia" w:ascii="宋体" w:hAnsi="宋体" w:eastAsia="宋体" w:cs="宋体"/>
          <w:sz w:val="24"/>
          <w:szCs w:val="24"/>
          <w:highlight w:val="none"/>
          <w:shd w:val="clear" w:color="auto" w:fill="FFFFFF"/>
          <w:lang w:eastAsia="zh-CN"/>
        </w:rPr>
        <w:t>-</w:t>
      </w:r>
      <w:r>
        <w:rPr>
          <w:rFonts w:hint="eastAsia" w:ascii="宋体" w:hAnsi="宋体" w:eastAsia="宋体" w:cs="宋体"/>
          <w:sz w:val="24"/>
          <w:szCs w:val="24"/>
          <w:highlight w:val="none"/>
          <w:shd w:val="clear" w:color="auto" w:fill="FFFFFF"/>
          <w:lang w:val="en-US" w:eastAsia="zh-CN"/>
        </w:rPr>
        <w:t>05</w:t>
      </w:r>
      <w:r>
        <w:rPr>
          <w:rFonts w:hint="eastAsia" w:ascii="宋体" w:hAnsi="宋体" w:eastAsia="宋体" w:cs="宋体"/>
          <w:sz w:val="24"/>
          <w:szCs w:val="24"/>
          <w:highlight w:val="none"/>
          <w:shd w:val="clear" w:color="auto" w:fill="FFFFFF"/>
          <w:lang w:eastAsia="zh-CN"/>
        </w:rPr>
        <w:t xml:space="preserve"> 09:30 （北京时间）</w:t>
      </w:r>
    </w:p>
    <w:p w14:paraId="00B3008F">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 </w:t>
      </w:r>
    </w:p>
    <w:p w14:paraId="4416E2BF">
      <w:pPr>
        <w:pStyle w:val="4"/>
        <w:keepNext w:val="0"/>
        <w:keepLines w:val="0"/>
        <w:shd w:val="clear" w:color="auto" w:fill="FFFFFF"/>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五、公告期限</w:t>
      </w:r>
    </w:p>
    <w:p w14:paraId="438AD35B">
      <w:pPr>
        <w:pStyle w:val="40"/>
        <w:shd w:val="clear" w:color="auto" w:fill="FFFFFF"/>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自本公告发布之日起5个工作日。</w:t>
      </w:r>
    </w:p>
    <w:p w14:paraId="054DC499">
      <w:pPr>
        <w:pStyle w:val="4"/>
        <w:keepNext w:val="0"/>
        <w:keepLines w:val="0"/>
        <w:spacing w:before="0" w:after="0" w:line="440" w:lineRule="exact"/>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六、其他补充事宜</w:t>
      </w:r>
    </w:p>
    <w:p w14:paraId="7DC39574">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1、本项目需要使用CA数字证书制作、上传电子投标文件完成电子投标，请供应商在参加投标活动前办理好CA数字证书申领及电子签章等操作。</w:t>
      </w:r>
    </w:p>
    <w:p w14:paraId="38E0EDDB">
      <w:pPr>
        <w:spacing w:after="0" w:line="500" w:lineRule="atLeas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F32E584">
      <w:pPr>
        <w:spacing w:after="0" w:line="500" w:lineRule="atLeast"/>
        <w:ind w:firstLine="482" w:firstLineChars="200"/>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3、本项目采用不见面开标，投标人开标时无需到开标现场进行解密，采取网上开标大厅解密电子投标文件，投标人远程解密要求如下：</w:t>
      </w:r>
    </w:p>
    <w:p w14:paraId="5BB21C11">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1）投标人使用CA数字证书进行远程解密，解密的CA数字证书与生成加密电子投标文件时的CA数字证书需为同一个CA数字证书，否则无法解密，造成的后果由投标人自行负责。</w:t>
      </w:r>
    </w:p>
    <w:p w14:paraId="784221A5">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2）投标人登录苏采云系统，点击开标大厅，选择开标项目，完成不见面开标流程。</w:t>
      </w:r>
    </w:p>
    <w:p w14:paraId="59DCBE93">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3）投标截止时间后根据系统提示解密电子投标文件。</w:t>
      </w:r>
      <w:r>
        <w:rPr>
          <w:rFonts w:hint="eastAsia" w:ascii="宋体" w:hAnsi="宋体" w:eastAsia="宋体" w:cs="宋体"/>
          <w:b/>
          <w:sz w:val="24"/>
          <w:szCs w:val="24"/>
          <w:highlight w:val="none"/>
          <w:lang w:eastAsia="zh-CN"/>
        </w:rPr>
        <w:t>解密时间为15分钟，</w:t>
      </w:r>
      <w:r>
        <w:rPr>
          <w:rFonts w:hint="eastAsia" w:ascii="宋体" w:hAnsi="宋体" w:eastAsia="宋体" w:cs="宋体"/>
          <w:sz w:val="24"/>
          <w:szCs w:val="24"/>
          <w:highlight w:val="none"/>
          <w:lang w:eastAsia="zh-CN"/>
        </w:rPr>
        <w:t>未在规定时间内完成解密，其投标文件将被拒绝，不参与后续投标流程。</w:t>
      </w:r>
    </w:p>
    <w:p w14:paraId="2B521BA6">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4）在开标、评标过程中投标单位代表须在网上不见面开标系统中保持在线状态，以应对可能发生的澄清、说明等回复，由于投标单位代表不在线所造成的一切后果由投标人自行承担。</w:t>
      </w:r>
    </w:p>
    <w:p w14:paraId="16539BCA">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w:t>
      </w:r>
      <w:r>
        <w:rPr>
          <w:rFonts w:hint="eastAsia" w:ascii="宋体" w:hAnsi="宋体" w:eastAsia="宋体" w:cs="宋体"/>
          <w:b/>
          <w:sz w:val="24"/>
          <w:szCs w:val="24"/>
          <w:highlight w:val="none"/>
          <w:lang w:eastAsia="zh-CN"/>
        </w:rPr>
        <w:t>有关苏采云系统驱动安装，</w:t>
      </w:r>
      <w:r>
        <w:rPr>
          <w:rFonts w:hint="eastAsia" w:ascii="宋体" w:hAnsi="宋体" w:eastAsia="宋体" w:cs="宋体"/>
          <w:sz w:val="24"/>
          <w:szCs w:val="24"/>
          <w:highlight w:val="none"/>
          <w:lang w:eastAsia="zh-CN"/>
        </w:rPr>
        <w:t>登录苏州政府采购网，点击页面底部苏采云图标，进入苏采云政府采购一体化平台，点击“驱动下载”，下载</w:t>
      </w:r>
      <w:r>
        <w:rPr>
          <w:rFonts w:hint="eastAsia" w:ascii="宋体" w:hAnsi="宋体" w:eastAsia="宋体" w:cs="宋体"/>
          <w:b/>
          <w:sz w:val="24"/>
          <w:szCs w:val="24"/>
          <w:highlight w:val="none"/>
          <w:lang w:eastAsia="zh-CN"/>
        </w:rPr>
        <w:t>“政务CA、方正签章控件驱动安装包及安装说明”</w:t>
      </w:r>
      <w:r>
        <w:rPr>
          <w:rFonts w:hint="eastAsia" w:ascii="宋体" w:hAnsi="宋体" w:eastAsia="宋体" w:cs="宋体"/>
          <w:sz w:val="24"/>
          <w:szCs w:val="24"/>
          <w:highlight w:val="none"/>
          <w:lang w:eastAsia="zh-CN"/>
        </w:rPr>
        <w:t>文件，按要求安装驱动。</w:t>
      </w:r>
    </w:p>
    <w:p w14:paraId="4BC87560">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r>
        <w:rPr>
          <w:rFonts w:hint="eastAsia" w:ascii="宋体" w:hAnsi="宋体" w:eastAsia="宋体" w:cs="宋体"/>
          <w:b/>
          <w:sz w:val="24"/>
          <w:szCs w:val="24"/>
          <w:highlight w:val="none"/>
          <w:lang w:eastAsia="zh-CN"/>
        </w:rPr>
        <w:t>有关供应商注册、报名、下载电子招标文件、制作上传电子投标文件</w:t>
      </w:r>
      <w:r>
        <w:rPr>
          <w:rFonts w:hint="eastAsia" w:ascii="宋体" w:hAnsi="宋体" w:eastAsia="宋体" w:cs="宋体"/>
          <w:sz w:val="24"/>
          <w:szCs w:val="24"/>
          <w:highlight w:val="none"/>
          <w:lang w:eastAsia="zh-CN"/>
        </w:rPr>
        <w:t>、不见面开标及其他注意事项登录苏州政府采购网，在“下载中心”栏目下载“</w:t>
      </w:r>
      <w:r>
        <w:rPr>
          <w:rFonts w:hint="eastAsia" w:ascii="宋体" w:hAnsi="宋体" w:eastAsia="宋体" w:cs="宋体"/>
          <w:b/>
          <w:sz w:val="24"/>
          <w:szCs w:val="24"/>
          <w:highlight w:val="none"/>
          <w:lang w:eastAsia="zh-CN"/>
        </w:rPr>
        <w:t>苏采云系统供应商操作</w:t>
      </w:r>
      <w:r>
        <w:rPr>
          <w:rFonts w:hint="eastAsia" w:ascii="宋体" w:hAnsi="宋体" w:eastAsia="宋体" w:cs="宋体"/>
          <w:b/>
          <w:bCs/>
          <w:sz w:val="24"/>
          <w:szCs w:val="24"/>
          <w:highlight w:val="none"/>
          <w:lang w:eastAsia="zh-CN"/>
        </w:rPr>
        <w:t>手册</w:t>
      </w:r>
      <w:r>
        <w:rPr>
          <w:rFonts w:hint="eastAsia" w:ascii="宋体" w:hAnsi="宋体" w:eastAsia="宋体" w:cs="宋体"/>
          <w:sz w:val="24"/>
          <w:szCs w:val="24"/>
          <w:highlight w:val="none"/>
          <w:lang w:eastAsia="zh-CN"/>
        </w:rPr>
        <w:t>”查阅。</w:t>
      </w:r>
    </w:p>
    <w:p w14:paraId="01C28B05">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6、有关办理CA数字申领及电子签章事项，登录苏州政府采购网，点击页面底部苏采云图标，进入苏采云政府采购一体化平台，下载“新CA办理指南”文件查阅。</w:t>
      </w:r>
    </w:p>
    <w:p w14:paraId="2339057B">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7、有关电子投标制作技术疑问，请咨询苏采云软件公司客服：13914088964、18261002950、0519-86722802</w:t>
      </w:r>
    </w:p>
    <w:p w14:paraId="4C366BA3">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8、政府采购监督电话：0512-53512539</w:t>
      </w:r>
    </w:p>
    <w:p w14:paraId="1D9467ED">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9、本次招标投标保证金：本项目无须缴纳投标保证金。</w:t>
      </w:r>
    </w:p>
    <w:p w14:paraId="08586038">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10、政府采购信用融资政策：中标供应商可凭政府采购合同办理融资贷款，详情请见江苏政府采购网“政采贷”专栏。</w:t>
      </w:r>
    </w:p>
    <w:p w14:paraId="56064EC6">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7C432A7E">
      <w:pPr>
        <w:pStyle w:val="4"/>
        <w:keepNext w:val="0"/>
        <w:keepLines w:val="0"/>
        <w:spacing w:before="0" w:after="0" w:line="480" w:lineRule="exact"/>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七、对本次招标提出询问，请按以下方式联系</w:t>
      </w:r>
    </w:p>
    <w:p w14:paraId="47F7F64B">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1.采购人信息 </w:t>
      </w:r>
    </w:p>
    <w:p w14:paraId="532D715A">
      <w:pPr>
        <w:pStyle w:val="40"/>
        <w:spacing w:after="0" w:line="500" w:lineRule="exact"/>
        <w:ind w:firstLine="480"/>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单位名称：太仓市娄江新城医院（瑞金医院太仓分院）</w:t>
      </w:r>
    </w:p>
    <w:p w14:paraId="0EBB11AC">
      <w:pPr>
        <w:pStyle w:val="40"/>
        <w:spacing w:after="0" w:line="500" w:lineRule="exact"/>
        <w:ind w:firstLine="480"/>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单位地址：太仓市上海东路666号</w:t>
      </w:r>
    </w:p>
    <w:p w14:paraId="39A1B6D9">
      <w:pPr>
        <w:pStyle w:val="40"/>
        <w:spacing w:after="0" w:line="500" w:lineRule="exact"/>
        <w:ind w:firstLine="480"/>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联系人： 曹泽鑫</w:t>
      </w:r>
    </w:p>
    <w:p w14:paraId="282D243D">
      <w:pPr>
        <w:pStyle w:val="40"/>
        <w:spacing w:after="0" w:line="500" w:lineRule="exact"/>
        <w:ind w:firstLine="480"/>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联系电话 ：0512-56561763 </w:t>
      </w:r>
    </w:p>
    <w:p w14:paraId="3AC02CA8">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2.采购代理机构信息（如有）</w:t>
      </w:r>
    </w:p>
    <w:p w14:paraId="483723FF">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单位名称：苏州市公共资源交易中心太仓分中心</w:t>
      </w:r>
    </w:p>
    <w:p w14:paraId="0A837197">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单位地址：太仓市陆渡街道万金北路88号3栋</w:t>
      </w:r>
    </w:p>
    <w:p w14:paraId="61170E20">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联系人：张倩</w:t>
      </w:r>
    </w:p>
    <w:p w14:paraId="378D762F">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联系电话：0512-53890581</w:t>
      </w:r>
    </w:p>
    <w:p w14:paraId="079613BF">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3.项目联系方式</w:t>
      </w:r>
    </w:p>
    <w:p w14:paraId="0A91F395">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项目联系人：张倩</w:t>
      </w:r>
    </w:p>
    <w:p w14:paraId="3BA16C3F">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电话：0512-53890581</w:t>
      </w:r>
    </w:p>
    <w:p w14:paraId="0E80C542">
      <w:pPr>
        <w:pStyle w:val="40"/>
        <w:spacing w:after="0" w:line="480" w:lineRule="exact"/>
        <w:rPr>
          <w:rFonts w:hint="eastAsia" w:ascii="宋体" w:hAnsi="宋体" w:eastAsia="宋体" w:cs="宋体"/>
          <w:sz w:val="24"/>
          <w:szCs w:val="24"/>
          <w:highlight w:val="none"/>
          <w:shd w:val="clear" w:color="auto" w:fill="FFFFFF"/>
          <w:lang w:eastAsia="zh-CN"/>
        </w:rPr>
      </w:pPr>
    </w:p>
    <w:p w14:paraId="69997FCB">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3DEC123C">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58E0F666">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081CB180">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53245F88">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25130E30">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1E2BE295">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0ADE73B9">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140CE7EF">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240718C9">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7077A0DD">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6051FC3A">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7EC75E8A">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797C3D65">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2D0CF293">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2D389BE6">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第二部分  投标人须知</w:t>
      </w:r>
    </w:p>
    <w:p w14:paraId="31A3AD50">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一、说明和释义</w:t>
      </w:r>
    </w:p>
    <w:p w14:paraId="315CC4F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 说明</w:t>
      </w:r>
    </w:p>
    <w:p w14:paraId="1EDC035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1.1本招标文件仅适用于苏州市公共资源交易中心太仓分中心组织的招标活动。</w:t>
      </w:r>
    </w:p>
    <w:p w14:paraId="443AE50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1.2本次招标活动及因本次招标产生的合同受中国法律制约和保护。</w:t>
      </w:r>
    </w:p>
    <w:p w14:paraId="5BCF22D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1.3本招标文件的解释权属于苏州市公共资源交易中心太仓分中心。</w:t>
      </w:r>
    </w:p>
    <w:p w14:paraId="2E9C4C5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 词语释义</w:t>
      </w:r>
    </w:p>
    <w:p w14:paraId="0DF28D3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2.1采购代理机构：具体组织实施招标活动的法人。本项目采购代理机构是苏州市公共资源交易中心太仓分中心。</w:t>
      </w:r>
    </w:p>
    <w:p w14:paraId="7AA2D87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2.2投标人：经认定有资格响应招标，参加投标竞争的法人或其他组织和自然人。</w:t>
      </w:r>
    </w:p>
    <w:p w14:paraId="01CB2C4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2.3响应：投标人根据采购人或采购代理机构发布的招标文件，编制投标文件并按规定投标的行为。</w:t>
      </w:r>
    </w:p>
    <w:p w14:paraId="2C719A5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2.4合同：采供双方根据招标文件和中标的投标文件及中标通知书规定的内容签署的以书面形式所达成的协议，包括所有的附件、附录和构成协议的所有文件。</w:t>
      </w:r>
    </w:p>
    <w:p w14:paraId="75AB7A9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2.5甲方（采购方）：合同中明确规定的实际购买货物和服务的法人或其他组织和自然人（采购人）</w:t>
      </w:r>
    </w:p>
    <w:p w14:paraId="0715935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2.6乙方（供应商）：合同中规定的向采购方提供货物和服务的法人或其他组织和自然人（中标人）</w:t>
      </w:r>
    </w:p>
    <w:p w14:paraId="0B337A5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2.7货物：系指乙方按招标采购文件规定，应向甲方提供的一切设备、备品、备件、工具、手册及其它有关技术资料和材料。</w:t>
      </w:r>
    </w:p>
    <w:p w14:paraId="39D9197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589B241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2.9知识产权：指专利权、商标权、著作权等无形财产专有权的统称。</w:t>
      </w:r>
    </w:p>
    <w:p w14:paraId="2E0C24A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2.10天：日历日。</w:t>
      </w:r>
    </w:p>
    <w:p w14:paraId="6EF5E6C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2.11交货地点：合同中明确约定的乙方提交的货物和服务最终到达地点。</w:t>
      </w:r>
    </w:p>
    <w:p w14:paraId="69420A0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2.12 合同价款：根据合同规定，乙方在正确地履行合同义务后甲方应支付乙方的价款。</w:t>
      </w:r>
    </w:p>
    <w:p w14:paraId="3578A44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2.13 产地：货物开采、生长、生产、最终制造、加工或提供服务的来源地。</w:t>
      </w:r>
    </w:p>
    <w:p w14:paraId="70F6BF1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2.14不可抗力：不能预见、不能避免并且不能克服的客观情况。</w:t>
      </w:r>
    </w:p>
    <w:p w14:paraId="65E672A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2.15 实质性响应：满足有关本次采购标的、数量、质量、价款或者报酬、履行期限、履行地点和方式、违约责任和解决争议方法等要求。</w:t>
      </w:r>
    </w:p>
    <w:p w14:paraId="3421253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280C1A4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2.17进口产品：指通过中国海关报关验收进入中国境内且产自境外的产品。</w:t>
      </w:r>
    </w:p>
    <w:p w14:paraId="2766169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2.18书面形式：指书面文字、合同书、信件和传真等可以有形地表现所载内容的形式。</w:t>
      </w:r>
    </w:p>
    <w:p w14:paraId="1E1E55F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二、 投标人</w:t>
      </w:r>
    </w:p>
    <w:p w14:paraId="2BA5CEF3">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 合格投标人的基本条件</w:t>
      </w:r>
    </w:p>
    <w:p w14:paraId="01BBA13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3.1符合《中华人民共和国政府采购法》第二十二条第一款之规定；</w:t>
      </w:r>
    </w:p>
    <w:p w14:paraId="2FD4F92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3.2满足本文件实质性条款的规定。</w:t>
      </w:r>
    </w:p>
    <w:p w14:paraId="2DAF79C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4．合格投标人的特定条件</w:t>
      </w:r>
    </w:p>
    <w:p w14:paraId="581E305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4.1 按招标公告规定。</w:t>
      </w:r>
    </w:p>
    <w:p w14:paraId="0AFE9FF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5. 投标人代表</w:t>
      </w:r>
    </w:p>
    <w:p w14:paraId="515E2CB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5.1指全权代表投标人参加投标活动并签署投标文件的人，如果投标人代表不是法人代表，须持有《法人代表授权委托书》（详见统一格式）。</w:t>
      </w:r>
    </w:p>
    <w:p w14:paraId="09EDB63E">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6. 联合投标</w:t>
      </w:r>
    </w:p>
    <w:p w14:paraId="6A0A3C8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6.1按招标公告规定。</w:t>
      </w:r>
    </w:p>
    <w:p w14:paraId="76D92AF3">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7. 投标费用 </w:t>
      </w:r>
    </w:p>
    <w:p w14:paraId="245B3F2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7.1投标人应自行承担所有准备及参加投标的相关费用。不论投标结果如何，采购代理机构在任何情况下均无义务也无责任承担这些费用。</w:t>
      </w:r>
    </w:p>
    <w:p w14:paraId="368AAF8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7.2 本次招标项目不收取标书费及中标服务费，请投标人在投标时充分考虑这一因素。</w:t>
      </w:r>
    </w:p>
    <w:p w14:paraId="637BB55E">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三、招标文件说明</w:t>
      </w:r>
    </w:p>
    <w:p w14:paraId="5F2D6FF2">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8. 招标文件</w:t>
      </w:r>
    </w:p>
    <w:p w14:paraId="2A25CE4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116B0D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8.2招标文件及其更正文件不是直接从采购代理机构或指定媒体获得的，采购代理机构对招标文件及其补遗的真实性、完整性不承担任何责任。</w:t>
      </w:r>
    </w:p>
    <w:p w14:paraId="7C40758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9. 招标文件的澄清</w:t>
      </w:r>
    </w:p>
    <w:p w14:paraId="643F991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9.1投标人在获取招标文件后，若有疑问，应于投标截止时间之前，向采购代理机构提出，采购代理机构将予以解答。</w:t>
      </w:r>
    </w:p>
    <w:p w14:paraId="707DE60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9.2如有必要，问题答复将以“变更公告”形式由采购代理机构按照本须知第10条的规定发出。</w:t>
      </w:r>
    </w:p>
    <w:p w14:paraId="25EAA18A">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10.招标文件的修改</w:t>
      </w:r>
    </w:p>
    <w:p w14:paraId="7C04DB0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10.1采购代理机构无论出于自己的考虑，还是出于对投标人提问的澄清，均可对已发出的招标文件用补充文件的方式进行必要澄清或者修改。</w:t>
      </w:r>
    </w:p>
    <w:p w14:paraId="58F50AB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7A62D6C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10.3招标文件的更正（含澄清、修改等）内容与原招标文件在同一内容上表述不一致时，以发出日期最接近开标时间的公告为准。</w:t>
      </w:r>
    </w:p>
    <w:p w14:paraId="4234880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2C77539B">
      <w:pPr>
        <w:pBdr>
          <w:top w:val="none" w:color="000000" w:sz="0" w:space="0"/>
          <w:left w:val="none" w:color="000000" w:sz="0" w:space="0"/>
          <w:bottom w:val="none" w:color="000000" w:sz="0" w:space="0"/>
          <w:right w:val="none" w:color="000000" w:sz="0" w:space="0"/>
        </w:pBdr>
        <w:spacing w:after="0" w:line="439" w:lineRule="atLeast"/>
        <w:ind w:firstLine="361"/>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10.5招标文件若有最新的答疑文件，投标供应商必须下载并使用该文件制作新的电子投标文件，否则将无法完成电子投标文件的上传及投标。</w:t>
      </w:r>
    </w:p>
    <w:p w14:paraId="327CD50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11.质疑</w:t>
      </w:r>
    </w:p>
    <w:p w14:paraId="7E018DD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5A87AF8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11.2 提出质疑的供应商应当是参与所质疑项目采购活动的供应商，未参加投标活动的供应商或在投标活动中自身权益未受到损害的供应商所提出的质疑不予受理。</w:t>
      </w:r>
    </w:p>
    <w:p w14:paraId="4F08A66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11.3上述应知其权益受到损害之日是指：</w:t>
      </w:r>
    </w:p>
    <w:p w14:paraId="23A226D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11.3.1对采购文件提出质疑的，为获取采购文件或者采购文件公告期限届满之日起计算；</w:t>
      </w:r>
    </w:p>
    <w:p w14:paraId="32617DB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11.3.2对采购过程提出质疑的，自采购程序环节结束之日起计算；</w:t>
      </w:r>
    </w:p>
    <w:p w14:paraId="4DD2BA8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11.3.3对中标结果提出质疑的，自中标结果公告期限届满之日起计算。</w:t>
      </w:r>
    </w:p>
    <w:p w14:paraId="0061B01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 供应商提出质疑应当提交质疑函和必要的证明材料。质疑函应当包括下列内容：</w:t>
      </w:r>
    </w:p>
    <w:p w14:paraId="2AF6B79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11.4.1 供应商的姓名或者名称、地址、邮编、联系人及联系电话；</w:t>
      </w:r>
    </w:p>
    <w:p w14:paraId="1EDDAA2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11.4.2 质疑项目的名称、编号；</w:t>
      </w:r>
    </w:p>
    <w:p w14:paraId="023991E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11.4.3 具体、明确的质疑事项和与质疑事项相关的请求；</w:t>
      </w:r>
    </w:p>
    <w:p w14:paraId="7825FAD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11.4.4 事实依据；</w:t>
      </w:r>
    </w:p>
    <w:p w14:paraId="5491944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11.4.5 必要的法律依据；</w:t>
      </w:r>
    </w:p>
    <w:p w14:paraId="6EEB5A9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11.4.6 提出质疑的日期。</w:t>
      </w:r>
    </w:p>
    <w:p w14:paraId="0BEC867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11.5质疑函的格式和内容应当符合财政部《政府采购供应商质疑函范本》 要求，质疑函范本在财政部官网上提供下载。</w:t>
      </w:r>
    </w:p>
    <w:p w14:paraId="2564046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 提交质疑函同时应当附如下证明材料：</w:t>
      </w:r>
    </w:p>
    <w:p w14:paraId="7D93F73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11.6.1对采购文件提出质疑的供应商提供参加本项目的“交易文件下载确认单”；</w:t>
      </w:r>
    </w:p>
    <w:p w14:paraId="00EAE02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11.6.2质疑供应商的营业执照复印件加盖单位公章；</w:t>
      </w:r>
    </w:p>
    <w:p w14:paraId="420C65D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11.6.3质疑供应商法定代表人身份证复印件加盖单位公章；</w:t>
      </w:r>
    </w:p>
    <w:p w14:paraId="0CB048D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06EED88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p>
    <w:p w14:paraId="3AA70D0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11.8供应商对招标项目技术、商务及其他要求，以及评审细则、标准提出询问或质疑的，应向采购人提出；供应商对采购过程及中标结果提出询问或质疑的，应向采购代理机构提出；</w:t>
      </w:r>
    </w:p>
    <w:p w14:paraId="0E7273A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11.9 供应商如对本项目提出质疑须在法定质疑期内一次性提出针对同一采购程序环节的质疑。</w:t>
      </w:r>
    </w:p>
    <w:p w14:paraId="00E545C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11.10接受质疑函联系方式见采购公告联系事项。</w:t>
      </w:r>
    </w:p>
    <w:p w14:paraId="26103A1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四、 投标文件说明</w:t>
      </w:r>
    </w:p>
    <w:p w14:paraId="07DF9D3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12、提示与要求</w:t>
      </w:r>
    </w:p>
    <w:p w14:paraId="21793DD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12.1投标人应仔细阅读招标文件的所有内容，按招标文件的要求提供投标文件，并保证所提供的全部资料的真实性，以使其投标对招标文件做出实质性响应，否则，其投标可能被拒绝。</w:t>
      </w:r>
    </w:p>
    <w:p w14:paraId="255D089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12.2无论是否递交投标文件，投标人都应将招标文件及以后的所有通知、文件等视为保密文件。</w:t>
      </w:r>
    </w:p>
    <w:p w14:paraId="7D09159E">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13. 投标文件计量单位和使用文字</w:t>
      </w:r>
    </w:p>
    <w:p w14:paraId="4A758E1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13.1投标文件中所使用的计量单位，除招标文件中有特殊要求外，均应使用中华人民共和国法定计量单位。</w:t>
      </w:r>
    </w:p>
    <w:p w14:paraId="7AE2CFE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5F24D9D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14. 知识产权</w:t>
      </w:r>
    </w:p>
    <w:p w14:paraId="7386860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4B4F720A">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 投标文件的组成</w:t>
      </w:r>
    </w:p>
    <w:p w14:paraId="03C15DE2">
      <w:pPr>
        <w:pBdr>
          <w:top w:val="none" w:color="000000" w:sz="0" w:space="0"/>
          <w:left w:val="none" w:color="000000" w:sz="0" w:space="0"/>
          <w:bottom w:val="none" w:color="000000" w:sz="0" w:space="0"/>
          <w:right w:val="none" w:color="000000" w:sz="0" w:space="0"/>
        </w:pBdr>
        <w:spacing w:after="0" w:line="439" w:lineRule="atLeast"/>
        <w:ind w:firstLine="12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15.1报价部分（详见投标文件格式）：</w:t>
      </w:r>
    </w:p>
    <w:p w14:paraId="1D7E255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15.1.1封面</w:t>
      </w:r>
    </w:p>
    <w:p w14:paraId="2B96727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15.1.2《开标一览表》(统一格式)；</w:t>
      </w:r>
    </w:p>
    <w:p w14:paraId="5BC5164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15.1.3公开分项报价表；</w:t>
      </w:r>
    </w:p>
    <w:p w14:paraId="2FA95ED1">
      <w:pPr>
        <w:pBdr>
          <w:top w:val="none" w:color="000000" w:sz="0" w:space="0"/>
          <w:left w:val="none" w:color="000000" w:sz="0" w:space="0"/>
          <w:bottom w:val="none" w:color="000000" w:sz="0" w:space="0"/>
          <w:right w:val="none" w:color="000000" w:sz="0" w:space="0"/>
        </w:pBdr>
        <w:spacing w:after="0" w:line="439" w:lineRule="atLeast"/>
        <w:ind w:firstLine="12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15.2 投标正文部分（包含资质证明和技术部分）</w:t>
      </w:r>
    </w:p>
    <w:p w14:paraId="027F2617">
      <w:pPr>
        <w:pBdr>
          <w:top w:val="none" w:color="000000" w:sz="0" w:space="0"/>
          <w:left w:val="none" w:color="000000" w:sz="0" w:space="0"/>
          <w:bottom w:val="none" w:color="000000" w:sz="0" w:space="0"/>
          <w:right w:val="none" w:color="000000" w:sz="0" w:space="0"/>
        </w:pBdr>
        <w:spacing w:after="0" w:line="439" w:lineRule="atLeast"/>
        <w:ind w:firstLine="361"/>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15.2.1资质证明文件部分</w:t>
      </w:r>
    </w:p>
    <w:p w14:paraId="534C2E6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15.2.1.1关于资格文件的声明函（详见投标文件格式）；</w:t>
      </w:r>
    </w:p>
    <w:p w14:paraId="621881B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15.2.1.2投标承诺函（详见投标文件格式）；</w:t>
      </w:r>
    </w:p>
    <w:p w14:paraId="2DFF849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15.2.1.3投标人基本情况表（详见投标文件格式）；</w:t>
      </w:r>
    </w:p>
    <w:p w14:paraId="7AECC7A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15.2.1.4投标人法定代表人身份证复印件；</w:t>
      </w:r>
    </w:p>
    <w:p w14:paraId="0B23A2E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15.2.1.5投标人法定代表人授权委托书原件（如有授权）（详见投标文件格式）</w:t>
      </w:r>
    </w:p>
    <w:p w14:paraId="462FD07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15.2.1.6投标人授权代理人身份证复印件（如有授权）</w:t>
      </w:r>
    </w:p>
    <w:p w14:paraId="4A86649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15.2.1.7投标单位营业执照副本或三证合一营业执照复印件；</w:t>
      </w:r>
    </w:p>
    <w:p w14:paraId="12D9927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15.2.1.8投标人参加本次政府采购活动前的财务状况报告或者银行出具的资信证明；</w:t>
      </w:r>
    </w:p>
    <w:p w14:paraId="31CD3CE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15.2.1.9投标人根据项目需求提供履行合同所必需的设备和专业技术能力的证明材料；</w:t>
      </w:r>
    </w:p>
    <w:p w14:paraId="712B67D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15.2.1.10投标人参加本次政府采购活动前半年（至少一个月）依法缴纳税收和社会保障资金的证明材料；</w:t>
      </w:r>
    </w:p>
    <w:p w14:paraId="620384B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15.2.1.11投标人参加政府采购活动前三年在经营活动中没有重大违法记录的书面申明（详见投标文件格式）；</w:t>
      </w:r>
    </w:p>
    <w:p w14:paraId="6732A11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15.2.1.12投标人证明其符合招标文件规定的投标人特定资格条件的证书、证明和文件材料；（如有）</w:t>
      </w:r>
    </w:p>
    <w:p w14:paraId="33C5B6F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15.2.1.13中小企业声明函</w:t>
      </w:r>
    </w:p>
    <w:p w14:paraId="64F9D9B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15.2.1.14残疾人福利性单位声明函（如有）；</w:t>
      </w:r>
    </w:p>
    <w:p w14:paraId="4763B52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15.2.1.15监狱企业证明文件（如有）</w:t>
      </w:r>
    </w:p>
    <w:p w14:paraId="251C082B">
      <w:pPr>
        <w:pBdr>
          <w:top w:val="none" w:color="000000" w:sz="0" w:space="0"/>
          <w:left w:val="none" w:color="000000" w:sz="0" w:space="0"/>
          <w:bottom w:val="none" w:color="000000" w:sz="0" w:space="0"/>
          <w:right w:val="none" w:color="000000" w:sz="0" w:space="0"/>
        </w:pBdr>
        <w:spacing w:after="0" w:line="439" w:lineRule="atLeast"/>
        <w:ind w:firstLine="361"/>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15.2.2技术部分</w:t>
      </w:r>
    </w:p>
    <w:p w14:paraId="20B54E4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15.2.2.1服务要求偏离表（详见投标文件格式）；</w:t>
      </w:r>
    </w:p>
    <w:p w14:paraId="0FA8D99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15.2.2.2商务要求偏离表（详见投标文件格式）；</w:t>
      </w:r>
    </w:p>
    <w:p w14:paraId="0E34EE2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15.2.2.3项目的技术及服务方案；</w:t>
      </w:r>
    </w:p>
    <w:p w14:paraId="79626BE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15.2.2.4项目实施方案和进度方案；</w:t>
      </w:r>
    </w:p>
    <w:p w14:paraId="1A13002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15.2.2.5质量保证措施和承诺；</w:t>
      </w:r>
    </w:p>
    <w:p w14:paraId="36CDB01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15.2.2.6售后服务内容；</w:t>
      </w:r>
    </w:p>
    <w:p w14:paraId="59EB74C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15.2.2.7企业类似业绩一览表</w:t>
      </w:r>
    </w:p>
    <w:p w14:paraId="415E1F8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15.2.2.8投入本项目技术（服务）人员一览表及相关证明材料；</w:t>
      </w:r>
    </w:p>
    <w:p w14:paraId="364CC89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15.2.2.9其他投标人认为需要提供的材料；</w:t>
      </w:r>
    </w:p>
    <w:p w14:paraId="66A0C59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1EAE87CD">
      <w:pPr>
        <w:pBdr>
          <w:top w:val="none" w:color="000000" w:sz="0" w:space="0"/>
          <w:left w:val="none" w:color="000000" w:sz="0" w:space="0"/>
          <w:bottom w:val="none" w:color="000000" w:sz="0" w:space="0"/>
          <w:right w:val="none" w:color="000000" w:sz="0" w:space="0"/>
        </w:pBdr>
        <w:spacing w:after="0" w:line="439" w:lineRule="atLeast"/>
        <w:ind w:firstLine="14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15.3投标文件由15.1、15.2款规定的内容共同组成。</w:t>
      </w:r>
    </w:p>
    <w:p w14:paraId="2DEB0A9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16. 投标文件编制要求   </w:t>
      </w:r>
    </w:p>
    <w:p w14:paraId="32FCDA6D">
      <w:pPr>
        <w:pBdr>
          <w:top w:val="none" w:color="000000" w:sz="0" w:space="0"/>
          <w:left w:val="none" w:color="000000" w:sz="0" w:space="0"/>
          <w:bottom w:val="none" w:color="000000" w:sz="0" w:space="0"/>
          <w:right w:val="none" w:color="000000" w:sz="0" w:space="0"/>
        </w:pBdr>
        <w:spacing w:after="0" w:line="439" w:lineRule="atLeast"/>
        <w:ind w:firstLine="424"/>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16.1</w:t>
      </w:r>
      <w:r>
        <w:rPr>
          <w:rFonts w:hint="eastAsia" w:ascii="宋体" w:hAnsi="宋体" w:eastAsia="宋体" w:cs="宋体"/>
          <w:b/>
          <w:color w:val="000000"/>
          <w:sz w:val="24"/>
          <w:highlight w:val="none"/>
          <w:lang w:eastAsia="zh-CN"/>
        </w:rPr>
        <w:t>电子投标文件编制要求：</w:t>
      </w:r>
      <w:r>
        <w:rPr>
          <w:rFonts w:hint="eastAsia" w:ascii="宋体" w:hAnsi="宋体" w:eastAsia="宋体" w:cs="宋体"/>
          <w:color w:val="000000"/>
          <w:sz w:val="24"/>
          <w:highlight w:val="none"/>
          <w:lang w:eastAsia="zh-CN"/>
        </w:rPr>
        <w:t>投标人应使用</w:t>
      </w:r>
      <w:r>
        <w:rPr>
          <w:rFonts w:hint="eastAsia" w:ascii="宋体" w:hAnsi="宋体" w:eastAsia="宋体" w:cs="宋体"/>
          <w:b/>
          <w:color w:val="000000"/>
          <w:sz w:val="24"/>
          <w:highlight w:val="none"/>
          <w:lang w:eastAsia="zh-CN"/>
        </w:rPr>
        <w:t>招标文件要求的投标文件制作软件制作电子投标文件</w:t>
      </w:r>
      <w:r>
        <w:rPr>
          <w:rFonts w:hint="eastAsia" w:ascii="宋体" w:hAnsi="宋体" w:eastAsia="宋体" w:cs="宋体"/>
          <w:color w:val="000000"/>
          <w:sz w:val="24"/>
          <w:highlight w:val="none"/>
          <w:lang w:eastAsia="zh-CN"/>
        </w:rPr>
        <w:t>，电子投标文件按招标文件规定的格式制作，如果未按要求制作上传，可能导致投标无效。</w:t>
      </w:r>
    </w:p>
    <w:p w14:paraId="7A2FBA57">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17. 投标报价（编制）要求的说明</w:t>
      </w:r>
    </w:p>
    <w:p w14:paraId="5EFA1C1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4B67C93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7322544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17.3 一项投标内容只允许一个报价，采购代理机构不接受任何有选择性的投标报价。</w:t>
      </w:r>
    </w:p>
    <w:p w14:paraId="212EA8F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17.4投标文件报价中的单价和总价全部采用人民币表示，除非合同的特殊条款另有规定。</w:t>
      </w:r>
    </w:p>
    <w:p w14:paraId="280E60D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17.5最低的投标报价或最高的折扣比例是中标的重要条件，但不是中标的唯一条件。</w:t>
      </w:r>
    </w:p>
    <w:p w14:paraId="074BBDD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18. 投标保证金</w:t>
      </w:r>
    </w:p>
    <w:p w14:paraId="7F870E0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本项目无须缴纳投标保证金</w:t>
      </w:r>
      <w:r>
        <w:rPr>
          <w:rFonts w:hint="eastAsia" w:ascii="宋体" w:hAnsi="宋体" w:eastAsia="宋体" w:cs="宋体"/>
          <w:b/>
          <w:color w:val="000000"/>
          <w:sz w:val="24"/>
          <w:highlight w:val="none"/>
          <w:lang w:eastAsia="zh-CN"/>
        </w:rPr>
        <w:t>。</w:t>
      </w:r>
    </w:p>
    <w:p w14:paraId="75F9C3F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19. 投标文件的有效期</w:t>
      </w:r>
    </w:p>
    <w:p w14:paraId="0FD9CC8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19.1在本招标文件规定的开标之日起九十（90）天内，投标人所提交的投标文件应保持有效。</w:t>
      </w:r>
      <w:r>
        <w:rPr>
          <w:rFonts w:hint="eastAsia" w:ascii="宋体" w:hAnsi="宋体" w:eastAsia="宋体" w:cs="宋体"/>
          <w:b/>
          <w:color w:val="000000"/>
          <w:sz w:val="24"/>
          <w:highlight w:val="none"/>
          <w:lang w:eastAsia="zh-CN"/>
        </w:rPr>
        <w:t>有效期短于这个规定期限的投标文件，将被认定为未实质性响应招标文件要求。</w:t>
      </w:r>
    </w:p>
    <w:p w14:paraId="11D70F2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33440C2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五、 投标文件的提交、撤回和修改</w:t>
      </w:r>
    </w:p>
    <w:p w14:paraId="7C672F8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20. 投标文件的上传、提交</w:t>
      </w:r>
    </w:p>
    <w:p w14:paraId="6E9A04BA">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20.</w:t>
      </w:r>
      <w:r>
        <w:rPr>
          <w:rFonts w:hint="eastAsia" w:ascii="宋体" w:hAnsi="宋体" w:eastAsia="宋体" w:cs="宋体"/>
          <w:b/>
          <w:color w:val="000000"/>
          <w:sz w:val="24"/>
          <w:highlight w:val="none"/>
          <w:lang w:eastAsia="zh-CN"/>
        </w:rPr>
        <w:t>1投标人应将制作好的加密电子投标文件按要求在投标截止时间前上传到交易系统平台中。</w:t>
      </w:r>
    </w:p>
    <w:p w14:paraId="5614A0F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21. 投标截止时间</w:t>
      </w:r>
    </w:p>
    <w:p w14:paraId="60F557C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21.1</w:t>
      </w:r>
      <w:r>
        <w:rPr>
          <w:rFonts w:hint="eastAsia" w:ascii="宋体" w:hAnsi="宋体" w:eastAsia="宋体" w:cs="宋体"/>
          <w:b/>
          <w:color w:val="000000"/>
          <w:sz w:val="24"/>
          <w:highlight w:val="none"/>
          <w:lang w:eastAsia="zh-CN"/>
        </w:rPr>
        <w:t>电子投标文件必须按招标公告中规定的网上投标截止时间前提交</w:t>
      </w:r>
      <w:r>
        <w:rPr>
          <w:rFonts w:hint="eastAsia" w:ascii="宋体" w:hAnsi="宋体" w:eastAsia="宋体" w:cs="宋体"/>
          <w:color w:val="000000"/>
          <w:sz w:val="24"/>
          <w:highlight w:val="none"/>
          <w:lang w:eastAsia="zh-CN"/>
        </w:rPr>
        <w:t>，</w:t>
      </w:r>
      <w:r>
        <w:rPr>
          <w:rFonts w:hint="eastAsia" w:ascii="宋体" w:hAnsi="宋体" w:eastAsia="宋体" w:cs="宋体"/>
          <w:b/>
          <w:color w:val="000000"/>
          <w:sz w:val="24"/>
          <w:highlight w:val="none"/>
          <w:lang w:eastAsia="zh-CN"/>
        </w:rPr>
        <w:t>否则投标无效</w:t>
      </w:r>
      <w:r>
        <w:rPr>
          <w:rFonts w:hint="eastAsia" w:ascii="宋体" w:hAnsi="宋体" w:eastAsia="宋体" w:cs="宋体"/>
          <w:color w:val="000000"/>
          <w:sz w:val="24"/>
          <w:highlight w:val="none"/>
          <w:lang w:eastAsia="zh-CN"/>
        </w:rPr>
        <w:t>。</w:t>
      </w:r>
    </w:p>
    <w:p w14:paraId="5996909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21.2采购代理机构推迟投标截止时间时，应以更正公告的形式，通知所有投标人。在这种情况下，采购代理机构和投标人的权利和义务将受到新的截止期的约束。</w:t>
      </w:r>
    </w:p>
    <w:p w14:paraId="1765359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21.3在投标截止时间止，采购代理机构于本项目（或标段）收到的电子投标文件少于三份的，采购代理机构有权宣布本项目（或标段）招标失败。</w:t>
      </w:r>
    </w:p>
    <w:p w14:paraId="42F507D2">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22. 投标文件的修改和撤回</w:t>
      </w:r>
    </w:p>
    <w:p w14:paraId="6D44B1C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22.1投标人在提交投标文件截止时间前，可对其投标文件进行撤回或修改。</w:t>
      </w:r>
    </w:p>
    <w:p w14:paraId="1087182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23.2开标后投标人不得撤回投标。</w:t>
      </w:r>
    </w:p>
    <w:p w14:paraId="1CAC16EB">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六、开标和评标</w:t>
      </w:r>
    </w:p>
    <w:p w14:paraId="3D4723F3">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23. 开标</w:t>
      </w:r>
    </w:p>
    <w:p w14:paraId="7F8E091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23.1采购代理机构按采购公告规定的时间、地点主持不见面开标活动。开标仪式由采购代理机构、采购人等主持。</w:t>
      </w:r>
    </w:p>
    <w:p w14:paraId="10635E5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23.2</w:t>
      </w:r>
      <w:r>
        <w:rPr>
          <w:rFonts w:hint="eastAsia" w:ascii="宋体" w:hAnsi="宋体" w:eastAsia="宋体" w:cs="宋体"/>
          <w:b/>
          <w:color w:val="000000"/>
          <w:sz w:val="24"/>
          <w:highlight w:val="none"/>
          <w:lang w:eastAsia="zh-CN"/>
        </w:rPr>
        <w:t>参加开标的投标法定代表人或授权代理人须在项目开标前登录苏采云不见面开标系统，进入网上不见面开标大厅，做好相关准备工作。</w:t>
      </w:r>
    </w:p>
    <w:p w14:paraId="489ACA9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23.3</w:t>
      </w:r>
      <w:r>
        <w:rPr>
          <w:rFonts w:hint="eastAsia" w:ascii="宋体" w:hAnsi="宋体" w:eastAsia="宋体" w:cs="宋体"/>
          <w:b/>
          <w:color w:val="000000"/>
          <w:sz w:val="24"/>
          <w:highlight w:val="none"/>
          <w:lang w:eastAsia="zh-CN"/>
        </w:rPr>
        <w:t>本项目开标后在规定的解密时间内，投标人须自行登录网上开标大厅解密投标文件，解密时间为30分钟，因自身原因导致解密失败的，由投标人自行承担相关责任。</w:t>
      </w:r>
    </w:p>
    <w:p w14:paraId="4B1181E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23.4采购代理机构在开标仪式上，将公布投标人的名称、投标价格，并将作唱标记录。</w:t>
      </w:r>
    </w:p>
    <w:p w14:paraId="1CACC82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23.5投标人代表对开标过程和开标记录有疑义，以及认为采购人、采购代理机构相关工作人员有需要回避的情形的，</w:t>
      </w:r>
      <w:r>
        <w:rPr>
          <w:rFonts w:hint="eastAsia" w:ascii="宋体" w:hAnsi="宋体" w:eastAsia="宋体" w:cs="宋体"/>
          <w:b/>
          <w:color w:val="000000"/>
          <w:sz w:val="24"/>
          <w:highlight w:val="none"/>
          <w:lang w:eastAsia="zh-CN"/>
        </w:rPr>
        <w:t>应通过不见面开标大厅提出</w:t>
      </w:r>
      <w:r>
        <w:rPr>
          <w:rFonts w:hint="eastAsia" w:ascii="宋体" w:hAnsi="宋体" w:eastAsia="宋体" w:cs="宋体"/>
          <w:color w:val="000000"/>
          <w:sz w:val="24"/>
          <w:highlight w:val="none"/>
          <w:lang w:eastAsia="zh-CN"/>
        </w:rPr>
        <w:t>询问或者回避申请。采购人、采购代理机构对投标人代表提出的询问或者回避申请应当及时处理。</w:t>
      </w:r>
    </w:p>
    <w:p w14:paraId="7FC1CEA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24. 评标委员会</w:t>
      </w:r>
    </w:p>
    <w:p w14:paraId="0426A36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24.1评标委员会由采购人或委托采购代理机构依法组建，负责本项目的评标事务。</w:t>
      </w:r>
    </w:p>
    <w:p w14:paraId="5EA621A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24.2评标委员会独立履行下列职责：</w:t>
      </w:r>
    </w:p>
    <w:p w14:paraId="7FB8168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24.2.1审查投标文件是否符合招标文件的要求，并作出评价；</w:t>
      </w:r>
    </w:p>
    <w:p w14:paraId="5930991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24.2.2可以要求投标供应商对投标文件有关事项作出解释或澄清；</w:t>
      </w:r>
    </w:p>
    <w:p w14:paraId="537ACF2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24.2.3推荐中标候选供应商名单，或者受采购人委托按照事先确定的办法直接确定中标供应商；</w:t>
      </w:r>
    </w:p>
    <w:p w14:paraId="515E5F4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24.2.4向采购代理机构或者有关部门报告非法干预评标工作的行为；</w:t>
      </w:r>
    </w:p>
    <w:p w14:paraId="037A747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24.3评标委员会成员应当履行下列义务：</w:t>
      </w:r>
    </w:p>
    <w:p w14:paraId="674C719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24.3.1遵纪守法，客观、公正、廉洁地履行职责；</w:t>
      </w:r>
    </w:p>
    <w:p w14:paraId="1310797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24.3.2按照招标文件规定的评标办法和评标标准进行评标，对评审意见承担个人责任；</w:t>
      </w:r>
    </w:p>
    <w:p w14:paraId="49F8F28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24.3.3对评标过程和结果，以及投标人的商业秘密保密；</w:t>
      </w:r>
    </w:p>
    <w:p w14:paraId="1E4672D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24.3.4参与评标报告的起草；</w:t>
      </w:r>
    </w:p>
    <w:p w14:paraId="5942339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24.3.5配合采购代理机构答复投标供应商提出的质疑；</w:t>
      </w:r>
    </w:p>
    <w:p w14:paraId="236349B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24.3.6配合相关部门的投诉处理工作；</w:t>
      </w:r>
    </w:p>
    <w:p w14:paraId="04A9485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25. 评标内容的保密</w:t>
      </w:r>
    </w:p>
    <w:p w14:paraId="3D80E21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25.1公开开标后，直到宣布授予中标供应商合同为止，凡属于审查、澄清、评价和比较投标的所有资料，有关授予合同的信息都不应向投标人或与评标无关的其他人泄露。</w:t>
      </w:r>
    </w:p>
    <w:p w14:paraId="7D93EFD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25.2 在投标文件的审查、澄清、评价和比较以及授予合同的过程中，投标人对采购代理机构和评标委员会成员施加影响的任何行为，都将取消其投标资格。</w:t>
      </w:r>
    </w:p>
    <w:p w14:paraId="2ADCC1B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25.3在评标期间，采购代理机构将通过指定联络人与投标人进行联系。</w:t>
      </w:r>
    </w:p>
    <w:p w14:paraId="4770975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26.对投标文件初审</w:t>
      </w:r>
    </w:p>
    <w:p w14:paraId="27E88B6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26.1投标文件初审分为资格性检查和符合性检查。</w:t>
      </w:r>
    </w:p>
    <w:p w14:paraId="73D534A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26.1.1资格性检查。依据法律法规和招标文件的规定，采购人或者采购代理机构依法对投标人的资格进行审查。对投标文件中的资格证明等进行审查，以确定投标供应商是否具备投标资格。</w:t>
      </w:r>
    </w:p>
    <w:p w14:paraId="0D4F9B5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 关于信用记录查询：</w:t>
      </w:r>
    </w:p>
    <w:p w14:paraId="6248C70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EB5C7A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26.1.2.1查询时间：评标阶段</w:t>
      </w:r>
    </w:p>
    <w:p w14:paraId="20CB9EA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26.1.2.2查询渠道：通过“信用中国”网站、中国政府采购网等渠道查询相关主体信用记录。</w:t>
      </w:r>
    </w:p>
    <w:p w14:paraId="7CB3E86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700E068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26.1.2.4信用记录使用规则：评审小组在对供应商进行资格性审查时，应根据查询结果对供应商的不良信用记录逐项甄别确认。</w:t>
      </w:r>
    </w:p>
    <w:p w14:paraId="5F37C40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26.1.3符合性检查。依据招标文件的规定，从投标文件的有效性、完整性和对招标文件的响应程度进行审查，以确定是否对招标文件的实质性要求作出响应。</w:t>
      </w:r>
    </w:p>
    <w:p w14:paraId="64CB7E3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1FCFF8A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26.2.1 不同投标人的投标文件由同一单位或者个人编制；</w:t>
      </w:r>
    </w:p>
    <w:p w14:paraId="3514993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26.2.2不同投标人委托同一单位或者个人办理投标事宜；</w:t>
      </w:r>
    </w:p>
    <w:p w14:paraId="70CEC45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26.2.3不同投标人的投标文件载明的项目管理成员或者联系人员为同一人；</w:t>
      </w:r>
    </w:p>
    <w:p w14:paraId="4BDAD39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26.2.4不同投标人的投标文件异常一致或者投标报价呈规律性差异；</w:t>
      </w:r>
    </w:p>
    <w:p w14:paraId="3283BFB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26.2.5不同投标人的投标文件相互混装；</w:t>
      </w:r>
    </w:p>
    <w:p w14:paraId="11BCE50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0A6EDB4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3BAFE65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7BAADF2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26.6评标委员会将对确定为实质性响应的投标进行审核，看其是否有计算上或累加上的算术错误，修正错误的原则如下：</w:t>
      </w:r>
    </w:p>
    <w:p w14:paraId="7CBE140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26.6.1投标文件中开标一览表（报价表）内容与投标文件中相应内容不一致的，以开标一览表（报价表）为准；</w:t>
      </w:r>
    </w:p>
    <w:p w14:paraId="08C9C52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26.6.2大写金额和小写金额不一致的，以大写金额为准；</w:t>
      </w:r>
    </w:p>
    <w:p w14:paraId="3F3E979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26.6.3单价金额小数点或者百分比有明显错位的，以开标一览表的总价为准，并修改单价；</w:t>
      </w:r>
    </w:p>
    <w:p w14:paraId="2529489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26.6.4总价金额与按单价汇总金额不一致的，以单价金额计算结果为准。</w:t>
      </w:r>
    </w:p>
    <w:p w14:paraId="7824EB4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同时出现两种以上不一致的，按照前款规定的顺序修正。修正后的报价按照本须知26.6条规定经投标人确认后产生约束力，投标人不确认的，其投标无效。</w:t>
      </w:r>
    </w:p>
    <w:p w14:paraId="681539F5">
      <w:pPr>
        <w:pStyle w:val="201"/>
        <w:spacing w:line="480" w:lineRule="exact"/>
        <w:ind w:firstLine="482" w:firstLineChars="200"/>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hint="eastAsia" w:cs="微软雅黑" w:asciiTheme="minorEastAsia" w:hAnsiTheme="minorEastAsia" w:eastAsiaTheme="minorEastAsia"/>
          <w:b/>
          <w:sz w:val="24"/>
          <w:szCs w:val="24"/>
          <w:highlight w:val="none"/>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），应当要求其在不见面开标大厅内合理的时间内提供说明，必要时提交相关证明材料：投标人不能证明其报价合理性的，评标委员会应当将其作为无效投标处理。：</w:t>
      </w:r>
    </w:p>
    <w:p w14:paraId="5250218A">
      <w:pPr>
        <w:pStyle w:val="201"/>
        <w:spacing w:line="480" w:lineRule="exact"/>
        <w:ind w:firstLine="482" w:firstLineChars="200"/>
        <w:rPr>
          <w:rFonts w:hint="eastAsia"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异常低价投标（响应）审查的情形和具体要求如下：</w:t>
      </w:r>
    </w:p>
    <w:p w14:paraId="6AFCEA3C">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7.1</w:t>
      </w:r>
      <w:r>
        <w:rPr>
          <w:rFonts w:asciiTheme="minorEastAsia" w:hAnsiTheme="minorEastAsia" w:eastAsiaTheme="minorEastAsia"/>
          <w:b/>
          <w:sz w:val="24"/>
          <w:szCs w:val="24"/>
          <w:highlight w:val="none"/>
          <w:lang w:eastAsia="zh-CN"/>
        </w:rPr>
        <w:t xml:space="preserve"> </w:t>
      </w:r>
      <w:r>
        <w:rPr>
          <w:rFonts w:hint="eastAsia" w:cs="微软雅黑" w:asciiTheme="minorEastAsia" w:hAnsiTheme="minorEastAsia" w:eastAsiaTheme="minorEastAsia"/>
          <w:b/>
          <w:sz w:val="24"/>
          <w:szCs w:val="24"/>
          <w:highlight w:val="none"/>
          <w:lang w:eastAsia="zh-CN"/>
        </w:rPr>
        <w:t>投标（响应）报价低于全部通过符合性审查供应商投标（响应）报价平均值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696F7683">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.2 </w:t>
      </w:r>
      <w:r>
        <w:rPr>
          <w:rFonts w:hint="eastAsia" w:cs="微软雅黑" w:asciiTheme="minorEastAsia" w:hAnsiTheme="minorEastAsia" w:eastAsiaTheme="minorEastAsia"/>
          <w:b/>
          <w:sz w:val="24"/>
          <w:szCs w:val="24"/>
          <w:highlight w:val="none"/>
          <w:lang w:eastAsia="zh-CN"/>
        </w:rPr>
        <w:t>投标（响应）报价低于通过符合性审查的次低报价供应商投标（响应）报价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02898966">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.3 </w:t>
      </w:r>
      <w:r>
        <w:rPr>
          <w:rFonts w:hint="eastAsia" w:cs="微软雅黑" w:asciiTheme="minorEastAsia" w:hAnsiTheme="minorEastAsia" w:eastAsiaTheme="minorEastAsia"/>
          <w:b/>
          <w:sz w:val="24"/>
          <w:szCs w:val="24"/>
          <w:highlight w:val="none"/>
          <w:lang w:eastAsia="zh-CN"/>
        </w:rPr>
        <w:t>投标（响应）报价低于采购项目最高限价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w:t>
      </w:r>
    </w:p>
    <w:p w14:paraId="706FF457">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.4 </w:t>
      </w:r>
      <w:r>
        <w:rPr>
          <w:rFonts w:hint="eastAsia" w:cs="微软雅黑" w:asciiTheme="minorEastAsia" w:hAnsiTheme="minorEastAsia" w:eastAsiaTheme="minorEastAsia"/>
          <w:b/>
          <w:sz w:val="24"/>
          <w:szCs w:val="24"/>
          <w:highlight w:val="none"/>
          <w:lang w:eastAsia="zh-CN"/>
        </w:rPr>
        <w:t>评审委员会基于专业判断，认为供应商报价过低，有可能影响产品质量或者不能诚信履约的其他情形。</w:t>
      </w:r>
    </w:p>
    <w:p w14:paraId="7039DB16">
      <w:pPr>
        <w:pStyle w:val="201"/>
        <w:spacing w:line="480" w:lineRule="exact"/>
        <w:ind w:firstLine="482" w:firstLineChars="200"/>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26.8</w:t>
      </w:r>
      <w:r>
        <w:rPr>
          <w:rFonts w:asciiTheme="minorEastAsia" w:hAnsiTheme="minorEastAsia" w:eastAsiaTheme="minorEastAsia"/>
          <w:b/>
          <w:sz w:val="24"/>
          <w:szCs w:val="24"/>
          <w:highlight w:val="none"/>
          <w:lang w:eastAsia="zh-CN"/>
        </w:rPr>
        <w:t xml:space="preserve"> </w:t>
      </w:r>
      <w:r>
        <w:rPr>
          <w:rFonts w:hint="eastAsia" w:ascii="宋体" w:hAnsi="宋体" w:eastAsia="宋体" w:cs="宋体"/>
          <w:b/>
          <w:bCs/>
          <w:sz w:val="24"/>
          <w:highlight w:val="none"/>
          <w:lang w:eastAsia="zh-CN"/>
        </w:rPr>
        <w:t>评审委员会启动异常低价投标（响应）审查后，属于前述第</w:t>
      </w:r>
      <w:r>
        <w:rPr>
          <w:rFonts w:ascii="宋体" w:hAnsi="宋体" w:cs="宋体"/>
          <w:b/>
          <w:bCs/>
          <w:sz w:val="24"/>
          <w:highlight w:val="none"/>
          <w:lang w:eastAsia="zh-CN"/>
        </w:rPr>
        <w:t>1</w:t>
      </w:r>
      <w:r>
        <w:rPr>
          <w:rFonts w:hint="eastAsia" w:ascii="宋体" w:hAnsi="宋体" w:eastAsia="宋体" w:cs="宋体"/>
          <w:b/>
          <w:bCs/>
          <w:sz w:val="24"/>
          <w:highlight w:val="none"/>
          <w:lang w:eastAsia="zh-CN"/>
        </w:rPr>
        <w:t>项至第</w:t>
      </w:r>
      <w:r>
        <w:rPr>
          <w:rFonts w:ascii="宋体" w:hAnsi="宋体" w:cs="宋体"/>
          <w:b/>
          <w:bCs/>
          <w:sz w:val="24"/>
          <w:highlight w:val="none"/>
          <w:lang w:eastAsia="zh-CN"/>
        </w:rPr>
        <w:t>4</w:t>
      </w:r>
      <w:r>
        <w:rPr>
          <w:rFonts w:hint="eastAsia" w:ascii="宋体" w:hAnsi="宋体" w:eastAsia="宋体" w:cs="宋体"/>
          <w:b/>
          <w:bCs/>
          <w:sz w:val="24"/>
          <w:highlight w:val="none"/>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highlight w:val="none"/>
          <w:lang w:eastAsia="zh-CN"/>
        </w:rPr>
        <w:t>30</w:t>
      </w:r>
      <w:r>
        <w:rPr>
          <w:rFonts w:hint="eastAsia" w:ascii="宋体" w:hAnsi="宋体" w:eastAsia="宋体" w:cs="宋体"/>
          <w:b/>
          <w:bCs/>
          <w:sz w:val="24"/>
          <w:highlight w:val="none"/>
          <w:lang w:eastAsia="zh-CN"/>
        </w:rPr>
        <w:t>分钟。其中，属于第</w:t>
      </w:r>
      <w:r>
        <w:rPr>
          <w:rFonts w:ascii="宋体" w:hAnsi="宋体" w:cs="宋体"/>
          <w:b/>
          <w:bCs/>
          <w:sz w:val="24"/>
          <w:highlight w:val="none"/>
          <w:lang w:eastAsia="zh-CN"/>
        </w:rPr>
        <w:t>3</w:t>
      </w:r>
      <w:r>
        <w:rPr>
          <w:rFonts w:hint="eastAsia" w:ascii="宋体" w:hAnsi="宋体" w:eastAsia="宋体" w:cs="宋体"/>
          <w:b/>
          <w:bCs/>
          <w:sz w:val="24"/>
          <w:highlight w:val="none"/>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highlight w:val="none"/>
          <w:lang w:eastAsia="zh-CN"/>
        </w:rPr>
        <w:t>。</w:t>
      </w:r>
      <w:r>
        <w:rPr>
          <w:rFonts w:asciiTheme="minorEastAsia" w:hAnsiTheme="minorEastAsia" w:eastAsiaTheme="minorEastAsia"/>
          <w:b/>
          <w:sz w:val="24"/>
          <w:szCs w:val="24"/>
          <w:highlight w:val="none"/>
          <w:lang w:eastAsia="zh-CN"/>
        </w:rPr>
        <w:br w:type="textWrapping"/>
      </w:r>
      <w:r>
        <w:rPr>
          <w:rFonts w:hint="eastAsia" w:asciiTheme="minorEastAsia" w:hAnsiTheme="minorEastAsia" w:eastAsiaTheme="minorEastAsia"/>
          <w:b/>
          <w:sz w:val="24"/>
          <w:szCs w:val="24"/>
          <w:highlight w:val="none"/>
          <w:lang w:eastAsia="zh-CN"/>
        </w:rPr>
        <w:t xml:space="preserve">    26.</w:t>
      </w:r>
      <w:r>
        <w:rPr>
          <w:rFonts w:asciiTheme="minorEastAsia" w:hAnsiTheme="minorEastAsia" w:eastAsiaTheme="minorEastAsia"/>
          <w:b/>
          <w:sz w:val="24"/>
          <w:szCs w:val="24"/>
          <w:highlight w:val="none"/>
          <w:lang w:eastAsia="zh-CN"/>
        </w:rPr>
        <w:t xml:space="preserve">9 </w:t>
      </w:r>
      <w:r>
        <w:rPr>
          <w:rFonts w:hint="eastAsia" w:ascii="宋体" w:hAnsi="宋体" w:eastAsia="宋体" w:cs="宋体"/>
          <w:b/>
          <w:bCs/>
          <w:sz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2C97361">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0 </w:t>
      </w:r>
      <w:r>
        <w:rPr>
          <w:rFonts w:hint="eastAsia" w:cs="微软雅黑" w:asciiTheme="minorEastAsia" w:hAnsiTheme="minorEastAsia" w:eastAsiaTheme="minorEastAsia"/>
          <w:sz w:val="24"/>
          <w:szCs w:val="24"/>
          <w:highlight w:val="none"/>
          <w:lang w:eastAsia="zh-CN"/>
        </w:rPr>
        <w:t>评标委员会对投标文件的判定，只依据投标内容本身，不依靠开标后的任何外来证明。</w:t>
      </w:r>
    </w:p>
    <w:p w14:paraId="72AF11F9">
      <w:pPr>
        <w:pStyle w:val="201"/>
        <w:spacing w:line="480" w:lineRule="exact"/>
        <w:ind w:firstLine="480" w:firstLineChars="200"/>
        <w:rPr>
          <w:rFonts w:hint="eastAsia" w:ascii="宋体" w:hAnsi="宋体" w:eastAsia="宋体" w:cs="宋体"/>
          <w:color w:val="000000"/>
          <w:sz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1 </w:t>
      </w:r>
      <w:r>
        <w:rPr>
          <w:rFonts w:hint="eastAsia" w:cs="微软雅黑" w:asciiTheme="minorEastAsia" w:hAnsiTheme="minorEastAsia" w:eastAsiaTheme="minorEastAsia"/>
          <w:sz w:val="24"/>
          <w:szCs w:val="24"/>
          <w:highlight w:val="none"/>
          <w:lang w:eastAsia="zh-CN"/>
        </w:rPr>
        <w:t>评标委员会将拒绝被确定为非实质性响应的投标，投标人不能通过修正或撤销不符之处而使其投标成为实质性响应的投标。</w:t>
      </w:r>
    </w:p>
    <w:p w14:paraId="7B3CB86C">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27.投标的澄清</w:t>
      </w:r>
    </w:p>
    <w:p w14:paraId="193F794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4644093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28.无效投标和废标</w:t>
      </w:r>
    </w:p>
    <w:p w14:paraId="5B87D89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28.1无效投标的具体情形有：  </w:t>
      </w:r>
    </w:p>
    <w:p w14:paraId="522259C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28.1.1投标文件未按招标文件要求签署、盖章或电子签章的；</w:t>
      </w:r>
    </w:p>
    <w:p w14:paraId="78B887A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28.1.2不具备招标文件中规定的资格要求的；</w:t>
      </w:r>
    </w:p>
    <w:p w14:paraId="1FE4516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28.1.3报价超过招标文件中规定的预算金额或者最高限价的；</w:t>
      </w:r>
    </w:p>
    <w:p w14:paraId="649940B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28.1.4</w:t>
      </w:r>
      <w:r>
        <w:rPr>
          <w:rFonts w:hint="eastAsia" w:ascii="宋体" w:hAnsi="宋体" w:eastAsia="宋体" w:cs="宋体"/>
          <w:b/>
          <w:color w:val="000000"/>
          <w:sz w:val="24"/>
          <w:highlight w:val="none"/>
          <w:lang w:eastAsia="zh-CN"/>
        </w:rPr>
        <w:t>不同投标人的投标文件使用同一台电脑编制的；</w:t>
      </w:r>
    </w:p>
    <w:p w14:paraId="5DF930E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28.1.5投标文件含有采购人不能接受的附加条件的；</w:t>
      </w:r>
    </w:p>
    <w:p w14:paraId="526695B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28.1.6法律、法规和招标文件规定的其他无效情形。</w:t>
      </w:r>
    </w:p>
    <w:p w14:paraId="2921BB4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 在招标采购中，出现下列情形之一的，应予废标：</w:t>
      </w:r>
    </w:p>
    <w:p w14:paraId="39B5744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28.2.1符合专业条件的供应商或者对招标文件作实质响应的供应商不足三家的；</w:t>
      </w:r>
    </w:p>
    <w:p w14:paraId="13FAD58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28.2.2出现影响采购公正的违法、违规行为的；</w:t>
      </w:r>
    </w:p>
    <w:p w14:paraId="7131DBD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28.2.3投标人的报价均超过了采购预算，采购人不能支付的；</w:t>
      </w:r>
    </w:p>
    <w:p w14:paraId="3CBF827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28.2.4因重大变故，采购任务取消的。</w:t>
      </w:r>
    </w:p>
    <w:p w14:paraId="5B35365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28.3 废标后，采购人应当将废标理由通知所有投标人。</w:t>
      </w:r>
    </w:p>
    <w:p w14:paraId="65D3A68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29. 投标文件的评价和比较</w:t>
      </w:r>
    </w:p>
    <w:p w14:paraId="620CEC6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29.1评标委员会按招标文件规定的评标方法和标准，仅对资格性检查和符合性检查合格的投标文件进行商务和技术评估，综合比较与评价。</w:t>
      </w:r>
    </w:p>
    <w:p w14:paraId="359502A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7D66FBF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29.2.1服务的质量保证（保障）内容；</w:t>
      </w:r>
    </w:p>
    <w:p w14:paraId="1FCA91C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29.2.2服务配备的人员；</w:t>
      </w:r>
    </w:p>
    <w:p w14:paraId="0DF0C76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29.2.3投标者的资信情况和履约能力；</w:t>
      </w:r>
    </w:p>
    <w:p w14:paraId="75F6C82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29.2.4投标者提供的其他优惠条件；</w:t>
      </w:r>
    </w:p>
    <w:p w14:paraId="6C0F119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29.2.5参与本项目政府采购工作的态度及信誉；</w:t>
      </w:r>
    </w:p>
    <w:p w14:paraId="6357FF1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29.2.6最低的投标报价或最高的折扣比例是中标的重要条件，但不是唯一条件。</w:t>
      </w:r>
    </w:p>
    <w:p w14:paraId="18924A3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七、授予合同</w:t>
      </w:r>
    </w:p>
    <w:p w14:paraId="2EB6EC9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30. 中标供应商的确认          </w:t>
      </w:r>
    </w:p>
    <w:p w14:paraId="0ED2FFD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30.1评标委员会按招标文件规定的评标方法和标准进行详细评审后，按采购人的委托向采购人推荐中标候选单位或根据采购人授权直接确定中标供应商。</w:t>
      </w:r>
    </w:p>
    <w:p w14:paraId="2BC3AFE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30.2经评标委员会评审并确定中标供应商后，采购人或授权采购代理机构将在规定的时间内将中标结果在相关媒体上予以公告。</w:t>
      </w:r>
    </w:p>
    <w:p w14:paraId="7B889D2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7024B00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30.4质疑函递交地点及联系方式详见公告内容</w:t>
      </w:r>
    </w:p>
    <w:p w14:paraId="1C1CDE9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31. 合同授予标准</w:t>
      </w:r>
    </w:p>
    <w:p w14:paraId="167DD9C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31.1采购人将把合同授予其投标文件在实质上响应招标文件要求和按本须知规定评选出的投标人。确定为中标的投标人必须具有实施本合同的能力和资源。</w:t>
      </w:r>
    </w:p>
    <w:p w14:paraId="679CA38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2FE693D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32. 中标通知书</w:t>
      </w:r>
    </w:p>
    <w:p w14:paraId="0D03B9F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0C4A355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32.2中标通知书在中标公告发布后将发布在苏采云系统中，中标通知书发布之日视为中标供应商领取之日，中标供应商在中标结果公告届满之日起30日内自行在苏采云系统中下载打印。</w:t>
      </w:r>
    </w:p>
    <w:p w14:paraId="23992D0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32.3因系统存储空间有限，自中标结果公告届满之日起30日后，“苏采云”系统不再保证提供下载中标通知书服务,因未及时下载而造成的不利后果由中标供应商自行承担。</w:t>
      </w:r>
    </w:p>
    <w:p w14:paraId="69704B1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32.4中标通知书将成为合同的组成部分。</w:t>
      </w:r>
    </w:p>
    <w:p w14:paraId="0D5CA0A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 xml:space="preserve"> 32.5采购代理机构对未中标供应商不承担解释未中标原因的义务。</w:t>
      </w:r>
    </w:p>
    <w:p w14:paraId="40249CFB">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33.履约保证金</w:t>
      </w:r>
    </w:p>
    <w:p w14:paraId="1C3A29F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33.1中标供应商按合同约定要求提交履约保证金。</w:t>
      </w:r>
    </w:p>
    <w:p w14:paraId="225E00B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33.2履约保证金用以约束供应商在合同履行中的行为，弥补合同执行中由于自身行为可能给采购人带来的各种损失。</w:t>
      </w:r>
    </w:p>
    <w:p w14:paraId="31A59E7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33.3履约保证金（无息）将在中标供应商合同履行完毕且质保期满后，采购人在五个工作日内退返中标供应商。</w:t>
      </w:r>
    </w:p>
    <w:p w14:paraId="59F8C17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ascii="宋体" w:hAnsi="宋体" w:eastAsia="宋体" w:cs="宋体"/>
          <w:sz w:val="24"/>
          <w:szCs w:val="24"/>
          <w:highlight w:val="none"/>
          <w:lang w:eastAsia="zh-CN"/>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64F1C6D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34. 合同的签订</w:t>
      </w:r>
    </w:p>
    <w:p w14:paraId="3A0448D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08F0DA4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34.2中标供应商应按中标通知书中中规定，由法定代表人或授权代理人与采购人代表签订合同，否则按放弃中标权处理。</w:t>
      </w:r>
    </w:p>
    <w:p w14:paraId="5293D18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34.3签订合同及合同条款应以招标文件和中标供应商的投标文件及其澄清文件为依据。</w:t>
      </w:r>
    </w:p>
    <w:p w14:paraId="0E29D32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34.4中标人无正当理由拒签合同的，或在签订合同时向采购人提出附加条件或者更改合同实质性内容的，采购人可取消其中标资格，同时由中标人承担相应的法律责任。</w:t>
      </w:r>
    </w:p>
    <w:p w14:paraId="039BF31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05938662">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八、政府采购相关政策</w:t>
      </w:r>
    </w:p>
    <w:p w14:paraId="2B86378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35.节能产品和环境标志产品</w:t>
      </w:r>
    </w:p>
    <w:p w14:paraId="7D89FF5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highlight w:val="none"/>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24B84115">
      <w:pPr>
        <w:pBdr>
          <w:top w:val="none" w:color="000000" w:sz="0" w:space="0"/>
          <w:left w:val="none" w:color="000000" w:sz="0" w:space="0"/>
          <w:bottom w:val="none" w:color="000000" w:sz="0" w:space="0"/>
          <w:right w:val="none" w:color="000000" w:sz="0" w:space="0"/>
        </w:pBdr>
        <w:spacing w:after="0" w:line="50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36.</w:t>
      </w:r>
      <w:r>
        <w:rPr>
          <w:rFonts w:ascii="宋体" w:hAnsi="宋体" w:eastAsia="宋体" w:cs="宋体"/>
          <w:b/>
          <w:bCs/>
          <w:sz w:val="24"/>
          <w:szCs w:val="24"/>
          <w:highlight w:val="none"/>
          <w:lang w:eastAsia="zh-CN"/>
        </w:rPr>
        <w:t>中小企业相关政策：</w:t>
      </w:r>
    </w:p>
    <w:p w14:paraId="4BA58324">
      <w:pPr>
        <w:pBdr>
          <w:top w:val="none" w:color="000000" w:sz="0" w:space="0"/>
          <w:left w:val="none" w:color="000000" w:sz="0" w:space="0"/>
          <w:bottom w:val="none" w:color="000000" w:sz="0" w:space="0"/>
          <w:right w:val="none" w:color="000000" w:sz="0" w:space="0"/>
        </w:pBdr>
        <w:spacing w:after="0" w:line="460" w:lineRule="exact"/>
        <w:ind w:firstLine="482"/>
        <w:rPr>
          <w:rFonts w:cs="宋体" w:asciiTheme="minorEastAsia" w:hAnsiTheme="minorEastAsia"/>
          <w:bCs/>
          <w:sz w:val="24"/>
          <w:highlight w:val="none"/>
          <w:lang w:eastAsia="zh-CN"/>
        </w:rPr>
      </w:pPr>
      <w:r>
        <w:rPr>
          <w:rFonts w:hint="eastAsia" w:cs="宋体" w:asciiTheme="minorEastAsia" w:hAnsiTheme="minorEastAsia"/>
          <w:bCs/>
          <w:sz w:val="24"/>
          <w:highlight w:val="none"/>
          <w:lang w:eastAsia="zh-CN"/>
        </w:rPr>
        <w:t>36.1</w:t>
      </w:r>
      <w:r>
        <w:rPr>
          <w:rFonts w:hint="eastAsia" w:cs="仿宋" w:asciiTheme="minorEastAsia" w:hAnsiTheme="minorEastAsia"/>
          <w:sz w:val="24"/>
          <w:szCs w:val="24"/>
          <w:highlight w:val="none"/>
          <w:lang w:eastAsia="zh-CN"/>
        </w:rPr>
        <w:t>根据《政府采购促进中小企业发展管理办法》（财库﹝</w:t>
      </w:r>
      <w:r>
        <w:rPr>
          <w:rFonts w:cs="仿宋" w:asciiTheme="minorEastAsia" w:hAnsiTheme="minorEastAsia"/>
          <w:sz w:val="24"/>
          <w:szCs w:val="24"/>
          <w:highlight w:val="none"/>
          <w:lang w:eastAsia="zh-CN"/>
        </w:rPr>
        <w:t>2020﹞46号）</w:t>
      </w:r>
      <w:r>
        <w:rPr>
          <w:rFonts w:hint="eastAsia" w:cs="仿宋" w:asciiTheme="minorEastAsia" w:hAnsiTheme="minorEastAsia"/>
          <w:sz w:val="24"/>
          <w:szCs w:val="24"/>
          <w:highlight w:val="none"/>
          <w:lang w:eastAsia="zh-CN"/>
        </w:rPr>
        <w:t>规定，</w:t>
      </w:r>
      <w:r>
        <w:rPr>
          <w:rFonts w:cs="仿宋" w:asciiTheme="minorEastAsia" w:hAnsiTheme="minorEastAsia"/>
          <w:sz w:val="24"/>
          <w:szCs w:val="24"/>
          <w:highlight w:val="none"/>
          <w:lang w:eastAsia="zh-CN"/>
        </w:rPr>
        <w:t>第二条 本办法所称中小企业，是指在中华人民共和国境内依法设立，依据国务院批准的中小企业划分标准确定的中型企业、小型企业和微型企业，</w:t>
      </w:r>
      <w:r>
        <w:rPr>
          <w:rFonts w:cs="仿宋" w:asciiTheme="minorEastAsia" w:hAnsiTheme="minorEastAsia"/>
          <w:b/>
          <w:sz w:val="24"/>
          <w:szCs w:val="24"/>
          <w:highlight w:val="none"/>
          <w:lang w:eastAsia="zh-CN"/>
        </w:rPr>
        <w:t>但与大企业的负责人为同一人，或者与大企业存在直接控股、管理关系的除外</w:t>
      </w:r>
      <w:r>
        <w:rPr>
          <w:rFonts w:cs="仿宋" w:asciiTheme="minorEastAsia" w:hAnsiTheme="minorEastAsia"/>
          <w:sz w:val="24"/>
          <w:szCs w:val="24"/>
          <w:highlight w:val="none"/>
          <w:lang w:eastAsia="zh-CN"/>
        </w:rPr>
        <w:t>。符合中小企业划分标准的个体工商户，</w:t>
      </w:r>
      <w:r>
        <w:rPr>
          <w:rFonts w:cs="仿宋" w:asciiTheme="minorEastAsia" w:hAnsiTheme="minorEastAsia"/>
          <w:sz w:val="24"/>
          <w:highlight w:val="none"/>
          <w:lang w:eastAsia="zh-CN"/>
        </w:rPr>
        <w:t>在政府采购活动中视同中小企业。</w:t>
      </w:r>
    </w:p>
    <w:p w14:paraId="27A4E4FB">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1</w:t>
      </w:r>
      <w:r>
        <w:rPr>
          <w:rFonts w:cs="仿宋" w:asciiTheme="minorEastAsia" w:hAnsiTheme="minorEastAsia"/>
          <w:sz w:val="24"/>
          <w:highlight w:val="none"/>
          <w:lang w:eastAsia="zh-CN"/>
        </w:rPr>
        <w:t>）在货物采购项目中，货物由小、微企业制造，即货物由小、微企业生产且使用该小、微企业商号或者注册商标。对其报价给予20%的扣除，扣除后的价格参与价格评审。</w:t>
      </w:r>
    </w:p>
    <w:p w14:paraId="7BF1300C">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2</w:t>
      </w:r>
      <w:r>
        <w:rPr>
          <w:rFonts w:cs="仿宋" w:asciiTheme="minorEastAsia" w:hAnsiTheme="minorEastAsia"/>
          <w:sz w:val="24"/>
          <w:highlight w:val="none"/>
          <w:lang w:eastAsia="zh-CN"/>
        </w:rPr>
        <w:t>）在服务采购项目中，服务由小、微企业承接，即提供服务的人员为小、微企业依照《中华人民共和国劳动合同法》订立劳动合同的从业人员。对其报价给予20%的扣除，扣除后的价格参与价格评审。</w:t>
      </w:r>
    </w:p>
    <w:p w14:paraId="6ECD2568">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3</w:t>
      </w:r>
      <w:r>
        <w:rPr>
          <w:rFonts w:cs="仿宋" w:asciiTheme="minorEastAsia" w:hAnsiTheme="minorEastAsia"/>
          <w:sz w:val="24"/>
          <w:highlight w:val="none"/>
          <w:lang w:eastAsia="zh-CN"/>
        </w:rPr>
        <w:t>）在货物采购项目中，供应商提供的货物既有小、微企业制造货物，也有中、大型企业制造货物的，不享受本办法规定的小、微企业价格扶持政策。</w:t>
      </w:r>
    </w:p>
    <w:p w14:paraId="4F20FA18">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4</w:t>
      </w:r>
      <w:r>
        <w:rPr>
          <w:rFonts w:cs="仿宋" w:asciiTheme="minorEastAsia" w:hAnsiTheme="minorEastAsia"/>
          <w:sz w:val="24"/>
          <w:highlight w:val="none"/>
          <w:lang w:eastAsia="zh-CN"/>
        </w:rPr>
        <w:t>）以联合体形式参加政府采购活动，联合体各方均为中小企业的，联合体视同中小企业。其中，联合体各方均为小微企业的，联合体视同小微企业。</w:t>
      </w:r>
    </w:p>
    <w:p w14:paraId="3F27598A">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5</w:t>
      </w:r>
      <w:r>
        <w:rPr>
          <w:rFonts w:cs="仿宋" w:asciiTheme="minorEastAsia" w:hAnsiTheme="minorEastAsia"/>
          <w:sz w:val="24"/>
          <w:highlight w:val="none"/>
          <w:lang w:eastAsia="zh-CN"/>
        </w:rPr>
        <w:t>）符合中小企业划分标准的个体工商户，在政府采购活动中视同中小企业。</w:t>
      </w:r>
    </w:p>
    <w:p w14:paraId="63A2CF68">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6</w:t>
      </w:r>
      <w:r>
        <w:rPr>
          <w:rFonts w:cs="仿宋" w:asciiTheme="minorEastAsia" w:hAnsiTheme="minorEastAsia"/>
          <w:sz w:val="24"/>
          <w:highlight w:val="none"/>
          <w:lang w:eastAsia="zh-CN"/>
        </w:rPr>
        <w:t>）残疾人福利性单位及监狱企业视同小型企业，享受评审中价格扣除等促进中小企业发展的政府采购政策。</w:t>
      </w:r>
    </w:p>
    <w:p w14:paraId="2596007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bCs/>
          <w:color w:val="000000"/>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7</w:t>
      </w:r>
      <w:r>
        <w:rPr>
          <w:rFonts w:cs="仿宋" w:asciiTheme="minorEastAsia" w:hAnsiTheme="minorEastAsia"/>
          <w:sz w:val="24"/>
          <w:highlight w:val="none"/>
          <w:lang w:eastAsia="zh-CN"/>
        </w:rPr>
        <w:t xml:space="preserve">）供应商按照本办法规定提供声明函内容不实的，属于提供虚假材料谋取中标、 </w:t>
      </w:r>
      <w:r>
        <w:rPr>
          <w:rFonts w:hint="eastAsia" w:cs="仿宋" w:asciiTheme="minorEastAsia" w:hAnsiTheme="minorEastAsia"/>
          <w:sz w:val="24"/>
          <w:highlight w:val="none"/>
          <w:lang w:eastAsia="zh-CN"/>
        </w:rPr>
        <w:t>成交，</w:t>
      </w:r>
      <w:r>
        <w:rPr>
          <w:rFonts w:cs="仿宋" w:asciiTheme="minorEastAsia" w:hAnsiTheme="minorEastAsia"/>
          <w:sz w:val="24"/>
          <w:highlight w:val="none"/>
          <w:lang w:eastAsia="zh-CN"/>
        </w:rPr>
        <w:t xml:space="preserve"> </w:t>
      </w:r>
      <w:r>
        <w:rPr>
          <w:rFonts w:hint="eastAsia" w:cs="仿宋" w:asciiTheme="minorEastAsia" w:hAnsiTheme="minorEastAsia"/>
          <w:sz w:val="24"/>
          <w:highlight w:val="none"/>
          <w:lang w:eastAsia="zh-CN"/>
        </w:rPr>
        <w:t>依照《中华人民共和国政府采购法》</w:t>
      </w:r>
      <w:r>
        <w:rPr>
          <w:rFonts w:cs="仿宋" w:asciiTheme="minorEastAsia" w:hAnsiTheme="minorEastAsia"/>
          <w:sz w:val="24"/>
          <w:highlight w:val="none"/>
          <w:lang w:eastAsia="zh-CN"/>
        </w:rPr>
        <w:t xml:space="preserve"> </w:t>
      </w:r>
      <w:r>
        <w:rPr>
          <w:rFonts w:hint="eastAsia" w:cs="仿宋" w:asciiTheme="minorEastAsia" w:hAnsiTheme="minorEastAsia"/>
          <w:sz w:val="24"/>
          <w:highlight w:val="none"/>
          <w:lang w:eastAsia="zh-CN"/>
        </w:rPr>
        <w:t>等国家有关规定追究相应责任。</w:t>
      </w:r>
    </w:p>
    <w:p w14:paraId="65B1ABA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37.绿色数据中心政策</w:t>
      </w:r>
    </w:p>
    <w:p w14:paraId="3D2B745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color w:val="000000"/>
          <w:sz w:val="24"/>
          <w:highlight w:val="none"/>
          <w:lang w:eastAsia="zh-CN"/>
        </w:rPr>
      </w:pPr>
      <w:r>
        <w:rPr>
          <w:rFonts w:hint="eastAsia" w:ascii="宋体" w:hAnsi="宋体" w:eastAsia="宋体" w:cs="宋体"/>
          <w:sz w:val="24"/>
          <w:highlight w:val="none"/>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4235322">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38.商品包装、快递包装政策</w:t>
      </w:r>
    </w:p>
    <w:p w14:paraId="4AD2D980">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color w:val="000000"/>
          <w:sz w:val="24"/>
          <w:highlight w:val="none"/>
          <w:lang w:eastAsia="zh-CN"/>
        </w:rPr>
      </w:pPr>
      <w:r>
        <w:rPr>
          <w:rFonts w:hint="eastAsia" w:ascii="宋体" w:hAnsi="宋体" w:eastAsia="宋体" w:cs="宋体"/>
          <w:sz w:val="24"/>
          <w:highlight w:val="none"/>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DE6EC7C">
      <w:pPr>
        <w:pBdr>
          <w:top w:val="none" w:color="000000" w:sz="0" w:space="0"/>
          <w:left w:val="none" w:color="000000" w:sz="0" w:space="0"/>
          <w:bottom w:val="none" w:color="000000" w:sz="0" w:space="0"/>
          <w:right w:val="none" w:color="000000" w:sz="0" w:space="0"/>
        </w:pBdr>
        <w:spacing w:after="0" w:line="500" w:lineRule="exact"/>
        <w:rPr>
          <w:rFonts w:ascii="宋体" w:hAnsi="宋体" w:cs="宋体"/>
          <w:b/>
          <w:sz w:val="24"/>
          <w:highlight w:val="none"/>
          <w:lang w:eastAsia="zh-CN"/>
        </w:rPr>
      </w:pPr>
      <w:r>
        <w:rPr>
          <w:rFonts w:hint="eastAsia" w:ascii="宋体" w:hAnsi="宋体" w:cs="宋体"/>
          <w:b/>
          <w:sz w:val="24"/>
          <w:highlight w:val="none"/>
          <w:lang w:eastAsia="zh-CN"/>
        </w:rPr>
        <w:t>3</w:t>
      </w:r>
      <w:r>
        <w:rPr>
          <w:rFonts w:ascii="宋体" w:hAnsi="宋体" w:cs="宋体"/>
          <w:b/>
          <w:sz w:val="24"/>
          <w:highlight w:val="none"/>
          <w:lang w:eastAsia="zh-CN"/>
        </w:rPr>
        <w:t>9</w:t>
      </w:r>
      <w:r>
        <w:rPr>
          <w:rFonts w:hint="eastAsia" w:ascii="宋体" w:hAnsi="宋体" w:cs="宋体"/>
          <w:b/>
          <w:sz w:val="24"/>
          <w:highlight w:val="none"/>
          <w:lang w:eastAsia="zh-CN"/>
        </w:rPr>
        <w:t>.采购本国产品的支持政策</w:t>
      </w:r>
    </w:p>
    <w:p w14:paraId="2F0B2C50">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AAFB5AE">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2</w:t>
      </w:r>
      <w:r>
        <w:rPr>
          <w:rFonts w:hint="eastAsia" w:ascii="宋体" w:hAnsi="宋体" w:cs="宋体"/>
          <w:sz w:val="24"/>
          <w:highlight w:val="none"/>
          <w:lang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D9AC07">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3</w:t>
      </w:r>
      <w:r>
        <w:rPr>
          <w:rFonts w:hint="eastAsia" w:ascii="宋体" w:hAnsi="宋体" w:cs="宋体"/>
          <w:sz w:val="24"/>
          <w:highlight w:val="none"/>
          <w:lang w:eastAsia="zh-CN"/>
        </w:rPr>
        <w:t xml:space="preserve"> 本项目政府采购活动中既有本国产品又有非本国产品参与竞争的，依法对本国产品给予价格评审优惠，</w:t>
      </w:r>
      <w:r>
        <w:rPr>
          <w:rFonts w:hint="eastAsia" w:ascii="宋体" w:hAnsi="宋体" w:cs="宋体"/>
          <w:b/>
          <w:sz w:val="24"/>
          <w:highlight w:val="none"/>
          <w:lang w:eastAsia="zh-CN"/>
        </w:rPr>
        <w:t>对本国产品的报价给予20%的价格扣除，用扣除后的价格参与评审。</w:t>
      </w:r>
    </w:p>
    <w:p w14:paraId="36A95DE3">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4</w:t>
      </w:r>
      <w:r>
        <w:rPr>
          <w:rFonts w:hint="eastAsia" w:ascii="宋体" w:hAnsi="宋体" w:cs="宋体"/>
          <w:sz w:val="24"/>
          <w:highlight w:val="none"/>
          <w:lang w:eastAsia="zh-CN"/>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A83A309">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5</w:t>
      </w:r>
      <w:r>
        <w:rPr>
          <w:rFonts w:hint="eastAsia" w:ascii="宋体" w:hAnsi="宋体" w:cs="宋体"/>
          <w:sz w:val="24"/>
          <w:highlight w:val="none"/>
          <w:lang w:eastAsia="zh-CN"/>
        </w:rPr>
        <w:t xml:space="preserve"> 供应商需按照招标文件的要求提供《关于符合本国产品标准的声明函》（以下简称《声明函》），</w:t>
      </w:r>
      <w:r>
        <w:rPr>
          <w:rFonts w:hint="eastAsia" w:ascii="宋体" w:hAnsi="宋体" w:cs="宋体"/>
          <w:b/>
          <w:sz w:val="24"/>
          <w:highlight w:val="none"/>
          <w:lang w:eastAsia="zh-CN"/>
        </w:rPr>
        <w:t>如不提供将不享受本国产品价格评审优惠。</w:t>
      </w:r>
    </w:p>
    <w:p w14:paraId="47125461">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6</w:t>
      </w:r>
      <w:r>
        <w:rPr>
          <w:rFonts w:hint="eastAsia" w:ascii="宋体" w:hAnsi="宋体" w:cs="宋体"/>
          <w:b/>
          <w:sz w:val="24"/>
          <w:highlight w:val="none"/>
          <w:lang w:eastAsia="zh-CN"/>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253BEB5A">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7</w:t>
      </w:r>
      <w:r>
        <w:rPr>
          <w:rFonts w:hint="eastAsia" w:ascii="宋体" w:hAnsi="宋体" w:cs="宋体"/>
          <w:sz w:val="24"/>
          <w:highlight w:val="none"/>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6C09492">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highlight w:val="none"/>
          <w:lang w:eastAsia="zh-CN"/>
        </w:rPr>
      </w:pPr>
      <w:r>
        <w:rPr>
          <w:rFonts w:hint="eastAsia" w:ascii="宋体" w:hAnsi="宋体" w:cs="宋体"/>
          <w:b/>
          <w:sz w:val="24"/>
          <w:highlight w:val="none"/>
          <w:lang w:eastAsia="zh-CN"/>
        </w:rPr>
        <w:t>九、其他事项</w:t>
      </w:r>
    </w:p>
    <w:p w14:paraId="25105359">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highlight w:val="none"/>
          <w:lang w:eastAsia="zh-CN"/>
        </w:rPr>
      </w:pPr>
      <w:r>
        <w:rPr>
          <w:rFonts w:ascii="宋体" w:hAnsi="宋体" w:cs="宋体"/>
          <w:b/>
          <w:sz w:val="24"/>
          <w:highlight w:val="none"/>
          <w:lang w:eastAsia="zh-CN"/>
        </w:rPr>
        <w:t>40</w:t>
      </w:r>
      <w:r>
        <w:rPr>
          <w:rFonts w:hint="eastAsia" w:ascii="宋体" w:hAnsi="宋体" w:cs="宋体"/>
          <w:b/>
          <w:sz w:val="24"/>
          <w:highlight w:val="none"/>
          <w:lang w:eastAsia="zh-CN"/>
        </w:rPr>
        <w:t>. 监督和公证</w:t>
      </w:r>
    </w:p>
    <w:p w14:paraId="7E5A3A8C">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highlight w:val="none"/>
          <w:lang w:eastAsia="zh-CN"/>
        </w:rPr>
      </w:pPr>
      <w:r>
        <w:rPr>
          <w:rFonts w:ascii="宋体" w:hAnsi="宋体" w:cs="宋体"/>
          <w:sz w:val="24"/>
          <w:highlight w:val="none"/>
          <w:lang w:eastAsia="zh-CN"/>
        </w:rPr>
        <w:t>40</w:t>
      </w:r>
      <w:r>
        <w:rPr>
          <w:rFonts w:hint="eastAsia" w:ascii="宋体" w:hAnsi="宋体" w:cs="宋体"/>
          <w:sz w:val="24"/>
          <w:highlight w:val="none"/>
          <w:lang w:eastAsia="zh-CN"/>
        </w:rPr>
        <w:t>.1政府有关监督部门将对招投标全过程进行监督。</w:t>
      </w:r>
    </w:p>
    <w:p w14:paraId="6684F60F">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highlight w:val="none"/>
          <w:lang w:eastAsia="zh-CN"/>
        </w:rPr>
      </w:pPr>
      <w:r>
        <w:rPr>
          <w:rFonts w:ascii="宋体" w:hAnsi="宋体" w:cs="宋体"/>
          <w:sz w:val="24"/>
          <w:highlight w:val="none"/>
          <w:lang w:eastAsia="zh-CN"/>
        </w:rPr>
        <w:t>40</w:t>
      </w:r>
      <w:r>
        <w:rPr>
          <w:rFonts w:hint="eastAsia" w:ascii="宋体" w:hAnsi="宋体" w:cs="宋体"/>
          <w:sz w:val="24"/>
          <w:highlight w:val="none"/>
          <w:lang w:eastAsia="zh-CN"/>
        </w:rPr>
        <w:t>.2采购代理机构的招标过程将依采购人申请，通过公证机关进行公证。</w:t>
      </w:r>
    </w:p>
    <w:p w14:paraId="15E07831">
      <w:pPr>
        <w:pBdr>
          <w:top w:val="none" w:color="000000" w:sz="0" w:space="0"/>
          <w:left w:val="none" w:color="000000" w:sz="0" w:space="0"/>
          <w:bottom w:val="none" w:color="000000" w:sz="0" w:space="0"/>
          <w:right w:val="none" w:color="000000" w:sz="0" w:space="0"/>
        </w:pBdr>
        <w:spacing w:after="0" w:line="440" w:lineRule="exact"/>
        <w:rPr>
          <w:rFonts w:ascii="宋体" w:hAnsi="宋体" w:cs="宋体"/>
          <w:b/>
          <w:bCs/>
          <w:sz w:val="24"/>
          <w:highlight w:val="none"/>
          <w:lang w:eastAsia="zh-CN"/>
        </w:rPr>
      </w:pPr>
      <w:r>
        <w:rPr>
          <w:rFonts w:hint="eastAsia" w:ascii="宋体" w:hAnsi="宋体" w:cs="宋体"/>
          <w:b/>
          <w:bCs/>
          <w:sz w:val="24"/>
          <w:highlight w:val="none"/>
          <w:lang w:eastAsia="zh-CN"/>
        </w:rPr>
        <w:t>4</w:t>
      </w:r>
      <w:r>
        <w:rPr>
          <w:rFonts w:ascii="宋体" w:hAnsi="宋体" w:cs="宋体"/>
          <w:b/>
          <w:bCs/>
          <w:sz w:val="24"/>
          <w:highlight w:val="none"/>
          <w:lang w:eastAsia="zh-CN"/>
        </w:rPr>
        <w:t>1</w:t>
      </w:r>
      <w:r>
        <w:rPr>
          <w:rFonts w:hint="eastAsia" w:ascii="宋体" w:hAnsi="宋体" w:cs="宋体"/>
          <w:b/>
          <w:bCs/>
          <w:sz w:val="24"/>
          <w:highlight w:val="none"/>
          <w:lang w:eastAsia="zh-CN"/>
        </w:rPr>
        <w:t>.未尽事宜</w:t>
      </w:r>
    </w:p>
    <w:p w14:paraId="5F6FA200">
      <w:pPr>
        <w:spacing w:after="0" w:line="440" w:lineRule="exact"/>
        <w:ind w:firstLine="480" w:firstLineChars="200"/>
        <w:rPr>
          <w:rFonts w:ascii="宋体" w:hAnsi="宋体" w:cs="宋体"/>
          <w:b/>
          <w:sz w:val="24"/>
          <w:highlight w:val="none"/>
          <w:lang w:eastAsia="zh-CN"/>
        </w:rPr>
      </w:pPr>
      <w:r>
        <w:rPr>
          <w:rFonts w:hint="eastAsia" w:ascii="宋体" w:hAnsi="宋体" w:cs="宋体"/>
          <w:sz w:val="24"/>
          <w:highlight w:val="none"/>
          <w:lang w:eastAsia="zh-CN"/>
        </w:rPr>
        <w:t>按《中华人民共和国政府采购法》及其他有关法律法规的规定执行。</w:t>
      </w:r>
    </w:p>
    <w:p w14:paraId="08DD0A49">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13C18CFA">
      <w:pPr>
        <w:pBdr>
          <w:top w:val="none" w:color="000000" w:sz="0" w:space="0"/>
          <w:left w:val="none" w:color="000000" w:sz="0" w:space="0"/>
          <w:bottom w:val="none" w:color="000000" w:sz="0" w:space="0"/>
          <w:right w:val="none" w:color="000000" w:sz="0" w:space="0"/>
        </w:pBdr>
        <w:spacing w:after="0"/>
        <w:ind w:firstLine="440" w:firstLineChars="200"/>
        <w:rPr>
          <w:rFonts w:hint="eastAsia" w:ascii="宋体" w:hAnsi="宋体" w:eastAsia="宋体" w:cs="宋体"/>
          <w:highlight w:val="none"/>
          <w:lang w:eastAsia="zh-CN"/>
        </w:rPr>
      </w:pPr>
    </w:p>
    <w:p w14:paraId="5D7E9BB7">
      <w:pPr>
        <w:pBdr>
          <w:top w:val="none" w:color="000000" w:sz="0" w:space="0"/>
          <w:left w:val="none" w:color="000000" w:sz="0" w:space="0"/>
          <w:bottom w:val="none" w:color="000000" w:sz="0" w:space="0"/>
          <w:right w:val="none" w:color="000000" w:sz="0" w:space="0"/>
        </w:pBdr>
        <w:spacing w:after="0" w:line="440" w:lineRule="exact"/>
        <w:jc w:val="center"/>
        <w:rPr>
          <w:rFonts w:hint="eastAsia" w:ascii="宋体" w:hAnsi="宋体" w:eastAsia="宋体" w:cs="宋体"/>
          <w:b/>
          <w:color w:val="000000"/>
          <w:sz w:val="44"/>
          <w:highlight w:val="none"/>
          <w:lang w:eastAsia="zh-CN"/>
        </w:rPr>
      </w:pPr>
      <w:bookmarkStart w:id="4" w:name="OLE_LINK4"/>
      <w:r>
        <w:rPr>
          <w:rFonts w:hint="eastAsia" w:ascii="宋体" w:hAnsi="宋体" w:eastAsia="宋体" w:cs="宋体"/>
          <w:b/>
          <w:color w:val="000000"/>
          <w:sz w:val="44"/>
          <w:highlight w:val="none"/>
          <w:lang w:eastAsia="zh-CN"/>
        </w:rPr>
        <w:t>第三部分   项目需求</w:t>
      </w:r>
      <w:bookmarkEnd w:id="4"/>
      <w:bookmarkStart w:id="5" w:name="_Toc19021"/>
    </w:p>
    <w:bookmarkEnd w:id="5"/>
    <w:p w14:paraId="45402FC9">
      <w:pPr>
        <w:pStyle w:val="201"/>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b/>
          <w:sz w:val="24"/>
          <w:szCs w:val="24"/>
          <w:highlight w:val="none"/>
          <w:lang w:eastAsia="zh-CN"/>
        </w:rPr>
      </w:pPr>
      <w:r>
        <w:rPr>
          <w:rFonts w:hint="eastAsia" w:ascii="宋体" w:hAnsi="宋体" w:eastAsia="宋体" w:cs="宋体"/>
          <w:b/>
          <w:sz w:val="24"/>
          <w:szCs w:val="24"/>
          <w:highlight w:val="none"/>
          <w:lang w:eastAsia="zh-CN"/>
        </w:rPr>
        <w:t>一、项目背景</w:t>
      </w:r>
    </w:p>
    <w:p w14:paraId="4D7B1BE9">
      <w:pPr>
        <w:pStyle w:val="201"/>
        <w:keepNext w:val="0"/>
        <w:keepLines w:val="0"/>
        <w:pageBreakBefore w:val="0"/>
        <w:widowControl/>
        <w:kinsoku/>
        <w:wordWrap/>
        <w:overflowPunct/>
        <w:topLinePunct w:val="0"/>
        <w:autoSpaceDE/>
        <w:autoSpaceDN/>
        <w:bidi w:val="0"/>
        <w:adjustRightInd/>
        <w:snapToGrid/>
        <w:spacing w:line="480" w:lineRule="exact"/>
        <w:ind w:firstLine="440" w:firstLineChars="200"/>
        <w:textAlignment w:val="auto"/>
        <w:rPr>
          <w:rFonts w:hint="eastAsia" w:ascii="宋体" w:hAnsi="宋体" w:eastAsia="宋体" w:cs="宋体"/>
          <w:sz w:val="24"/>
          <w:szCs w:val="24"/>
          <w:highlight w:val="none"/>
          <w:lang w:eastAsia="zh-CN"/>
        </w:rPr>
      </w:pPr>
      <w:r>
        <w:rPr>
          <w:rFonts w:hint="eastAsia" w:ascii="宋体" w:hAnsi="宋体" w:cs="宋体"/>
          <w:highlight w:val="none"/>
        </w:rPr>
        <w:t>太仓市娄江新城医院（瑞金医院太仓分院）</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定位为一所集医疗、教育、科研为一体的三级甲等综合性医院。是长三角地区具有影响力的研究型、创新型、示范性、现代化大型三级甲等综合医院，与瑞金医院本部、嘉定院区共同成为瑞金医院“一院三区”的核心部分，为周边区域人群提供高品质医疗服务。</w:t>
      </w:r>
      <w:r>
        <w:rPr>
          <w:rFonts w:hint="eastAsia" w:ascii="宋体" w:hAnsi="宋体" w:eastAsia="宋体" w:cs="宋体"/>
          <w:sz w:val="24"/>
          <w:szCs w:val="24"/>
          <w:highlight w:val="none"/>
          <w:lang w:val="en-US" w:eastAsia="zh-CN"/>
        </w:rPr>
        <w:t>因此</w:t>
      </w:r>
      <w:r>
        <w:rPr>
          <w:rFonts w:hint="eastAsia" w:cs="宋体" w:asciiTheme="minorEastAsia" w:hAnsiTheme="minorEastAsia" w:eastAsiaTheme="minorEastAsia"/>
          <w:color w:val="000000" w:themeColor="text1"/>
          <w:kern w:val="2"/>
          <w:sz w:val="24"/>
          <w:szCs w:val="24"/>
          <w:highlight w:val="none"/>
          <w:lang w:val="en-US" w:eastAsia="zh-CN" w:bidi="ar-SA"/>
          <w14:textFill>
            <w14:solidFill>
              <w14:schemeClr w14:val="tx1"/>
            </w14:solidFill>
          </w14:textFill>
        </w:rPr>
        <w:t>太仓分院内网需与北院、总院内网实现互联互通，满足各院区间的信息共享。</w:t>
      </w:r>
    </w:p>
    <w:p w14:paraId="74BBC5A9">
      <w:pPr>
        <w:pStyle w:val="201"/>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b/>
          <w:sz w:val="24"/>
          <w:szCs w:val="24"/>
          <w:highlight w:val="none"/>
          <w:lang w:eastAsia="zh-CN"/>
        </w:rPr>
      </w:pPr>
      <w:r>
        <w:rPr>
          <w:rFonts w:hint="eastAsia" w:ascii="宋体" w:hAnsi="宋体" w:eastAsia="宋体" w:cs="宋体"/>
          <w:b/>
          <w:sz w:val="24"/>
          <w:szCs w:val="24"/>
          <w:highlight w:val="none"/>
          <w:lang w:val="en-US" w:eastAsia="zh-CN"/>
        </w:rPr>
        <w:t>二</w:t>
      </w:r>
      <w:r>
        <w:rPr>
          <w:rFonts w:hint="eastAsia" w:ascii="宋体" w:hAnsi="宋体" w:eastAsia="宋体" w:cs="宋体"/>
          <w:b/>
          <w:sz w:val="24"/>
          <w:szCs w:val="24"/>
          <w:highlight w:val="none"/>
          <w:lang w:eastAsia="zh-CN"/>
        </w:rPr>
        <w:t>、采购需求</w:t>
      </w:r>
    </w:p>
    <w:p w14:paraId="18D96A2D">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第一标段：实现太仓分院与瑞金北院内网互联互通，服务中需要包含组网所需的设备及配件，包括波分设备、两端光模块、跳线等。</w:t>
      </w:r>
    </w:p>
    <w:p w14:paraId="228B1CCC">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第二标段：实现太仓分院与瑞金总院内网互联互通，服务中需要包含组网所需的设备及配件，包括波分设备、两端光模块、跳线等。</w:t>
      </w:r>
    </w:p>
    <w:p w14:paraId="313251C5">
      <w:pPr>
        <w:pStyle w:val="201"/>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b/>
          <w:bCs w:val="0"/>
          <w:sz w:val="24"/>
          <w:szCs w:val="24"/>
          <w:highlight w:val="none"/>
          <w:lang w:eastAsia="zh-CN"/>
        </w:rPr>
      </w:pPr>
      <w:r>
        <w:rPr>
          <w:rFonts w:hint="eastAsia" w:ascii="宋体" w:hAnsi="宋体" w:eastAsia="宋体" w:cs="宋体"/>
          <w:b/>
          <w:bCs w:val="0"/>
          <w:sz w:val="24"/>
          <w:szCs w:val="24"/>
          <w:highlight w:val="none"/>
          <w:lang w:val="en-US" w:eastAsia="zh-CN"/>
        </w:rPr>
        <w:t>三</w:t>
      </w:r>
      <w:r>
        <w:rPr>
          <w:rFonts w:hint="eastAsia" w:ascii="宋体" w:hAnsi="宋体" w:eastAsia="宋体" w:cs="宋体"/>
          <w:b/>
          <w:bCs w:val="0"/>
          <w:sz w:val="24"/>
          <w:szCs w:val="24"/>
          <w:highlight w:val="none"/>
          <w:lang w:eastAsia="zh-CN"/>
        </w:rPr>
        <w:t>、</w:t>
      </w:r>
      <w:r>
        <w:rPr>
          <w:rFonts w:ascii="宋体" w:hAnsi="宋体" w:eastAsia="宋体" w:cs="宋体"/>
          <w:b/>
          <w:bCs w:val="0"/>
          <w:sz w:val="24"/>
          <w:szCs w:val="24"/>
          <w:highlight w:val="none"/>
          <w:lang w:eastAsia="zh-CN"/>
        </w:rPr>
        <w:t>系统性能与响应要求</w:t>
      </w:r>
    </w:p>
    <w:p w14:paraId="1C3ED234">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第一标段：</w:t>
      </w:r>
    </w:p>
    <w:p w14:paraId="5C33E7C0">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1.传输距离：可达20-120 km。</w:t>
      </w:r>
    </w:p>
    <w:p w14:paraId="302238EA">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2.适用波长：1310nm、1550nm。</w:t>
      </w:r>
    </w:p>
    <w:p w14:paraId="2A621811">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3.提供每POP点不低于20G的POP点IPSEC隧道性能。</w:t>
      </w:r>
    </w:p>
    <w:p w14:paraId="034CE0C1">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4.支持通过MSTP，MPLS VPN等组网专线接入就近POP点，实现安全接入。</w:t>
      </w:r>
    </w:p>
    <w:p w14:paraId="6C9B51E5">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5.支持IPSec直连和POP高性能组网，支持混合组网。</w:t>
      </w:r>
    </w:p>
    <w:p w14:paraId="1E88DEC0">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6</w:t>
      </w:r>
      <w:r>
        <w:rPr>
          <w:rFonts w:hint="default" w:ascii="宋体" w:hAnsi="宋体" w:eastAsia="宋体"/>
          <w:sz w:val="24"/>
          <w:szCs w:val="24"/>
          <w:highlight w:val="none"/>
          <w:lang w:val="en-US" w:eastAsia="zh-CN"/>
        </w:rPr>
        <w:t>.波分设备</w:t>
      </w:r>
      <w:r>
        <w:rPr>
          <w:rFonts w:hint="eastAsia" w:ascii="宋体" w:hAnsi="宋体" w:eastAsia="宋体"/>
          <w:sz w:val="24"/>
          <w:szCs w:val="24"/>
          <w:highlight w:val="none"/>
          <w:lang w:val="en-US" w:eastAsia="zh-CN"/>
        </w:rPr>
        <w:t>须支持光电合一，便于统一管理；支持板卡热插拔，支持可插拔模块；可提供主控板、电源等关键部件的冗余；</w:t>
      </w:r>
      <w:r>
        <w:rPr>
          <w:rFonts w:hint="default" w:ascii="宋体" w:hAnsi="宋体" w:eastAsia="宋体"/>
          <w:sz w:val="24"/>
          <w:szCs w:val="24"/>
          <w:highlight w:val="none"/>
          <w:lang w:val="en-US" w:eastAsia="zh-CN"/>
        </w:rPr>
        <w:t>要求</w:t>
      </w:r>
      <w:r>
        <w:rPr>
          <w:rFonts w:hint="eastAsia" w:ascii="宋体" w:hAnsi="宋体" w:eastAsia="宋体"/>
          <w:sz w:val="24"/>
          <w:szCs w:val="24"/>
          <w:highlight w:val="none"/>
          <w:lang w:val="en-US" w:eastAsia="zh-CN"/>
        </w:rPr>
        <w:t>线路侧支持200G、100G、10G等速率，至少1个100G/200G线路接口（含两端光模块共2个）；客户侧支持GE/FE、2.5G、10G、40G、100G，至少4个40G/100G客户侧接口（含两端光模块共8个）和10个10G客户侧接口（含两端光模块共8个）；支持至少16波。</w:t>
      </w:r>
    </w:p>
    <w:p w14:paraId="2A891FCB">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7.求两端时延≤5ms，丢包率≤0.01%。</w:t>
      </w:r>
    </w:p>
    <w:p w14:paraId="44A6C6B6">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第二标段：</w:t>
      </w:r>
    </w:p>
    <w:p w14:paraId="2B6A3D5F">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1.传输距离：可达20-120 km。</w:t>
      </w:r>
    </w:p>
    <w:p w14:paraId="375A5B7D">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2.适用波长：1310nm、1550nm。</w:t>
      </w:r>
    </w:p>
    <w:p w14:paraId="4B5871A4">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3.提供每POP点不低于20G的POP点IPSEC隧道性能。</w:t>
      </w:r>
    </w:p>
    <w:p w14:paraId="3AE9C5DA">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4.支持通过MSTP，MPLS VPN等组网专线接入就近POP点，实现安全接入。</w:t>
      </w:r>
    </w:p>
    <w:p w14:paraId="3F86A99B">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5.支持IPSec直连和POP高性能组网，支持混合组网。</w:t>
      </w:r>
    </w:p>
    <w:p w14:paraId="4C8F1831">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6</w:t>
      </w:r>
      <w:r>
        <w:rPr>
          <w:rFonts w:hint="default" w:ascii="宋体" w:hAnsi="宋体" w:eastAsia="宋体"/>
          <w:sz w:val="24"/>
          <w:szCs w:val="24"/>
          <w:highlight w:val="none"/>
          <w:lang w:val="en-US" w:eastAsia="zh-CN"/>
        </w:rPr>
        <w:t>.波分设备</w:t>
      </w:r>
      <w:r>
        <w:rPr>
          <w:rFonts w:hint="eastAsia" w:ascii="宋体" w:hAnsi="宋体" w:eastAsia="宋体"/>
          <w:sz w:val="24"/>
          <w:szCs w:val="24"/>
          <w:highlight w:val="none"/>
          <w:lang w:val="en-US" w:eastAsia="zh-CN"/>
        </w:rPr>
        <w:t>须支持光电合一，便于统一管理；支持板卡热插拔，支持可插拔模块；可提供主控板、电源等关键部件的冗余；</w:t>
      </w:r>
      <w:r>
        <w:rPr>
          <w:rFonts w:hint="default" w:ascii="宋体" w:hAnsi="宋体" w:eastAsia="宋体"/>
          <w:sz w:val="24"/>
          <w:szCs w:val="24"/>
          <w:highlight w:val="none"/>
          <w:lang w:val="en-US" w:eastAsia="zh-CN"/>
        </w:rPr>
        <w:t>要求</w:t>
      </w:r>
      <w:r>
        <w:rPr>
          <w:rFonts w:hint="eastAsia" w:ascii="宋体" w:hAnsi="宋体" w:eastAsia="宋体"/>
          <w:sz w:val="24"/>
          <w:szCs w:val="24"/>
          <w:highlight w:val="none"/>
          <w:lang w:val="en-US" w:eastAsia="zh-CN"/>
        </w:rPr>
        <w:t>线路侧支持200G、100G、10G等速率，至少1个100G/200G线路接口（含两端光模块共2个）；客户侧支持GE/FE、2.5G、10G、40G、100G，至少4个40G/100G客户侧接口（含两端光模块共8个）和10个10G客户侧接口（含两端光模块共8个）；支持至少16波。</w:t>
      </w:r>
    </w:p>
    <w:p w14:paraId="448CF343">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7.两端时延≤8ms，丢包率≤0.01%。</w:t>
      </w:r>
    </w:p>
    <w:p w14:paraId="631CBFD2">
      <w:pPr>
        <w:pStyle w:val="201"/>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b/>
          <w:sz w:val="24"/>
          <w:szCs w:val="24"/>
          <w:highlight w:val="none"/>
          <w:lang w:eastAsia="zh-CN"/>
        </w:rPr>
      </w:pPr>
      <w:r>
        <w:rPr>
          <w:rFonts w:hint="eastAsia" w:ascii="宋体" w:hAnsi="宋体" w:eastAsia="宋体" w:cs="微软雅黑"/>
          <w:b/>
          <w:sz w:val="24"/>
          <w:szCs w:val="24"/>
          <w:highlight w:val="none"/>
          <w:lang w:val="en-US" w:eastAsia="zh-CN"/>
        </w:rPr>
        <w:t>四</w:t>
      </w:r>
      <w:r>
        <w:rPr>
          <w:rFonts w:hint="eastAsia" w:ascii="宋体" w:hAnsi="宋体" w:eastAsia="宋体" w:cs="微软雅黑"/>
          <w:b/>
          <w:sz w:val="24"/>
          <w:szCs w:val="24"/>
          <w:highlight w:val="none"/>
          <w:lang w:eastAsia="zh-CN"/>
        </w:rPr>
        <w:t>、一般技术服务要求</w:t>
      </w:r>
    </w:p>
    <w:p w14:paraId="39804286">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sz w:val="24"/>
          <w:szCs w:val="24"/>
          <w:highlight w:val="none"/>
          <w:lang w:eastAsia="zh-CN"/>
        </w:rPr>
      </w:pPr>
      <w:r>
        <w:rPr>
          <w:rFonts w:ascii="宋体" w:hAnsi="宋体" w:eastAsia="宋体" w:cs="宋体"/>
          <w:sz w:val="24"/>
          <w:szCs w:val="24"/>
          <w:highlight w:val="none"/>
          <w:lang w:eastAsia="zh-CN"/>
        </w:rPr>
        <w:t>投标单位在投标文件中必须对所有招标技术（服务）规格与要求逐一做出技术（服务）应答，如果有其中某些条款不响应时，应在投标文件中逐条列出，未列出的视同响应。</w:t>
      </w:r>
    </w:p>
    <w:p w14:paraId="5218420A">
      <w:pPr>
        <w:pStyle w:val="201"/>
        <w:keepNext w:val="0"/>
        <w:keepLines w:val="0"/>
        <w:pageBreakBefore w:val="0"/>
        <w:widowControl/>
        <w:numPr>
          <w:ilvl w:val="0"/>
          <w:numId w:val="0"/>
        </w:numPr>
        <w:kinsoku/>
        <w:wordWrap/>
        <w:overflowPunct/>
        <w:topLinePunct w:val="0"/>
        <w:autoSpaceDE/>
        <w:autoSpaceDN/>
        <w:bidi w:val="0"/>
        <w:adjustRightInd/>
        <w:snapToGrid/>
        <w:spacing w:line="480" w:lineRule="exact"/>
        <w:textAlignment w:val="auto"/>
        <w:rPr>
          <w:highlight w:val="none"/>
        </w:rPr>
      </w:pPr>
      <w:r>
        <w:rPr>
          <w:rFonts w:hint="eastAsia" w:ascii="宋体" w:hAnsi="宋体" w:eastAsia="宋体" w:cs="微软雅黑"/>
          <w:b/>
          <w:sz w:val="24"/>
          <w:szCs w:val="24"/>
          <w:highlight w:val="none"/>
          <w:lang w:val="en-US" w:eastAsia="en-US"/>
        </w:rPr>
        <w:t>五、</w:t>
      </w:r>
      <w:r>
        <w:rPr>
          <w:rFonts w:hint="eastAsia" w:ascii="宋体" w:hAnsi="宋体" w:eastAsia="宋体" w:cs="微软雅黑"/>
          <w:b/>
          <w:sz w:val="24"/>
          <w:szCs w:val="24"/>
          <w:highlight w:val="none"/>
          <w:lang w:eastAsia="zh-CN"/>
        </w:rPr>
        <w:t>商务条款</w:t>
      </w:r>
    </w:p>
    <w:p w14:paraId="5CB033CE">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b/>
          <w:bCs/>
          <w:sz w:val="24"/>
          <w:szCs w:val="24"/>
          <w:highlight w:val="none"/>
          <w:lang w:eastAsia="zh-CN"/>
        </w:rPr>
      </w:pPr>
      <w:r>
        <w:rPr>
          <w:rFonts w:hint="eastAsia" w:ascii="宋体" w:hAnsi="宋体" w:eastAsia="宋体" w:cs="宋体"/>
          <w:b/>
          <w:bCs/>
          <w:sz w:val="24"/>
          <w:szCs w:val="24"/>
          <w:highlight w:val="none"/>
          <w:lang w:eastAsia="zh-CN"/>
        </w:rPr>
        <w:t>（一）服务内容及人员要求</w:t>
      </w:r>
    </w:p>
    <w:p w14:paraId="433A4022">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b/>
          <w:sz w:val="24"/>
          <w:szCs w:val="24"/>
          <w:highlight w:val="none"/>
          <w:lang w:eastAsia="zh-CN"/>
        </w:rPr>
      </w:pPr>
      <w:r>
        <w:rPr>
          <w:rFonts w:hint="eastAsia" w:ascii="宋体" w:hAnsi="宋体" w:eastAsia="宋体"/>
          <w:b/>
          <w:sz w:val="24"/>
          <w:szCs w:val="24"/>
          <w:highlight w:val="none"/>
          <w:lang w:eastAsia="zh-CN"/>
        </w:rPr>
        <w:t>1.</w:t>
      </w:r>
      <w:r>
        <w:rPr>
          <w:rFonts w:hint="eastAsia" w:ascii="宋体" w:hAnsi="宋体" w:eastAsia="宋体" w:cs="宋体"/>
          <w:b/>
          <w:sz w:val="24"/>
          <w:szCs w:val="24"/>
          <w:highlight w:val="none"/>
          <w:lang w:eastAsia="zh-CN"/>
        </w:rPr>
        <w:t>总体要求</w:t>
      </w:r>
    </w:p>
    <w:p w14:paraId="7ABC72D9">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bCs/>
          <w:sz w:val="24"/>
          <w:szCs w:val="24"/>
          <w:highlight w:val="none"/>
          <w:lang w:eastAsia="zh-CN"/>
        </w:rPr>
      </w:pPr>
      <w:r>
        <w:rPr>
          <w:rFonts w:hint="eastAsia" w:ascii="宋体" w:hAnsi="宋体" w:eastAsia="宋体"/>
          <w:bCs/>
          <w:sz w:val="24"/>
          <w:szCs w:val="24"/>
          <w:highlight w:val="none"/>
          <w:lang w:eastAsia="zh-CN"/>
        </w:rPr>
        <w:t>1.1</w:t>
      </w:r>
      <w:r>
        <w:rPr>
          <w:rFonts w:hint="eastAsia" w:ascii="宋体" w:hAnsi="宋体" w:eastAsia="宋体" w:cs="宋体"/>
          <w:bCs/>
          <w:sz w:val="24"/>
          <w:szCs w:val="24"/>
          <w:highlight w:val="none"/>
          <w:lang w:eastAsia="zh-CN"/>
        </w:rPr>
        <w:t>中标单位应本着认真负责态度，组织组建队伍，认真做好项目的工作，包含具体实施、服务、维护以及技术支持。</w:t>
      </w:r>
    </w:p>
    <w:p w14:paraId="56BBFB15">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eastAsia="zh-CN"/>
        </w:rPr>
      </w:pPr>
      <w:r>
        <w:rPr>
          <w:rFonts w:hint="eastAsia" w:ascii="宋体" w:hAnsi="宋体" w:eastAsia="宋体"/>
          <w:bCs/>
          <w:sz w:val="24"/>
          <w:szCs w:val="24"/>
          <w:highlight w:val="none"/>
          <w:lang w:eastAsia="zh-CN"/>
        </w:rPr>
        <w:t>1.2</w:t>
      </w:r>
      <w:r>
        <w:rPr>
          <w:rFonts w:hint="eastAsia" w:ascii="宋体" w:hAnsi="宋体" w:eastAsia="宋体" w:cs="宋体"/>
          <w:bCs/>
          <w:sz w:val="24"/>
          <w:szCs w:val="24"/>
          <w:highlight w:val="none"/>
          <w:lang w:eastAsia="zh-CN"/>
        </w:rPr>
        <w:t>中标单位应负责在项目验收时将</w:t>
      </w:r>
      <w:r>
        <w:rPr>
          <w:rFonts w:hint="eastAsia" w:ascii="宋体" w:hAnsi="宋体" w:eastAsia="宋体" w:cs="宋体"/>
          <w:bCs/>
          <w:sz w:val="24"/>
          <w:szCs w:val="24"/>
          <w:highlight w:val="none"/>
          <w:lang w:val="en-US" w:eastAsia="zh-CN"/>
        </w:rPr>
        <w:t>组网</w:t>
      </w:r>
      <w:r>
        <w:rPr>
          <w:rFonts w:hint="eastAsia" w:ascii="宋体" w:hAnsi="宋体" w:eastAsia="宋体" w:cs="宋体"/>
          <w:bCs/>
          <w:sz w:val="24"/>
          <w:szCs w:val="24"/>
          <w:highlight w:val="none"/>
          <w:lang w:eastAsia="zh-CN"/>
        </w:rPr>
        <w:t>的有关技术文件、资料、及安装、测试、等文档交付给用户方。</w:t>
      </w:r>
    </w:p>
    <w:p w14:paraId="775364DC">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eastAsia="zh-CN"/>
        </w:rPr>
      </w:pPr>
      <w:r>
        <w:rPr>
          <w:rFonts w:hint="eastAsia" w:ascii="宋体" w:hAnsi="宋体" w:eastAsia="宋体"/>
          <w:bCs/>
          <w:sz w:val="24"/>
          <w:szCs w:val="24"/>
          <w:highlight w:val="none"/>
          <w:lang w:eastAsia="zh-CN"/>
        </w:rPr>
        <w:t>1.3</w:t>
      </w:r>
      <w:r>
        <w:rPr>
          <w:rFonts w:hint="eastAsia" w:ascii="宋体" w:hAnsi="宋体" w:eastAsia="宋体" w:cs="宋体"/>
          <w:bCs/>
          <w:sz w:val="24"/>
          <w:szCs w:val="24"/>
          <w:highlight w:val="none"/>
          <w:lang w:eastAsia="zh-CN"/>
        </w:rPr>
        <w:t>结合项目实际情况，拟定详细的系统实施计划，包括交付、测试、试运行、培训及上线计划。并保证在合同规定时间内上线及上线后系统平稳运行</w:t>
      </w:r>
      <w:r>
        <w:rPr>
          <w:rFonts w:hint="eastAsia" w:ascii="宋体" w:hAnsi="宋体" w:eastAsia="宋体" w:cs="宋体"/>
          <w:sz w:val="24"/>
          <w:szCs w:val="24"/>
          <w:highlight w:val="none"/>
          <w:lang w:eastAsia="zh-CN"/>
        </w:rPr>
        <w:t>。</w:t>
      </w:r>
    </w:p>
    <w:p w14:paraId="4055D57F">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b/>
          <w:sz w:val="24"/>
          <w:szCs w:val="24"/>
          <w:highlight w:val="none"/>
          <w:lang w:eastAsia="zh-CN"/>
        </w:rPr>
      </w:pPr>
      <w:r>
        <w:rPr>
          <w:rFonts w:hint="eastAsia" w:ascii="宋体" w:hAnsi="宋体" w:eastAsia="宋体"/>
          <w:b/>
          <w:sz w:val="24"/>
          <w:szCs w:val="24"/>
          <w:highlight w:val="none"/>
          <w:lang w:eastAsia="zh-CN"/>
        </w:rPr>
        <w:t>2.</w:t>
      </w:r>
      <w:r>
        <w:rPr>
          <w:rFonts w:hint="eastAsia" w:ascii="宋体" w:hAnsi="宋体" w:eastAsia="宋体" w:cs="宋体"/>
          <w:b/>
          <w:sz w:val="24"/>
          <w:szCs w:val="24"/>
          <w:highlight w:val="none"/>
          <w:lang w:eastAsia="zh-CN"/>
        </w:rPr>
        <w:t>人员培训</w:t>
      </w:r>
    </w:p>
    <w:p w14:paraId="7A85130A">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val="zh-CN" w:eastAsia="zh-CN"/>
        </w:rPr>
      </w:pPr>
      <w:r>
        <w:rPr>
          <w:rFonts w:hint="eastAsia" w:ascii="宋体" w:hAnsi="宋体" w:eastAsia="宋体" w:cs="宋体"/>
          <w:bCs/>
          <w:sz w:val="24"/>
          <w:szCs w:val="24"/>
          <w:highlight w:val="none"/>
          <w:lang w:val="zh-CN" w:eastAsia="zh-CN"/>
        </w:rPr>
        <w:t>中标单位</w:t>
      </w:r>
      <w:r>
        <w:rPr>
          <w:rFonts w:hint="eastAsia" w:ascii="宋体" w:hAnsi="宋体" w:eastAsia="宋体" w:cs="宋体"/>
          <w:sz w:val="24"/>
          <w:szCs w:val="24"/>
          <w:highlight w:val="none"/>
          <w:lang w:val="zh-CN" w:eastAsia="zh-CN"/>
        </w:rPr>
        <w:t>应负责使用人员的培训及考核。并在项目实施后继续按照</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lang w:val="zh-CN" w:eastAsia="zh-CN"/>
        </w:rPr>
        <w:t>要求培训。培训对象包括信息部门系统管理员、日常维护人员、技术层面人员；实际应用部门的管理人员、操作人员。系统管</w:t>
      </w:r>
      <w:r>
        <w:rPr>
          <w:rFonts w:hint="eastAsia" w:ascii="宋体" w:hAnsi="宋体" w:eastAsia="宋体" w:cs="宋体"/>
          <w:bCs/>
          <w:sz w:val="24"/>
          <w:szCs w:val="24"/>
          <w:highlight w:val="none"/>
          <w:lang w:val="zh-CN" w:eastAsia="zh-CN"/>
        </w:rPr>
        <w:t>理人员培训内容为系统中涉及的相关技术内容；管理人员培训内容为系统流程和相关管理思想</w:t>
      </w:r>
      <w:r>
        <w:rPr>
          <w:rFonts w:hint="eastAsia" w:ascii="宋体" w:hAnsi="宋体" w:eastAsia="宋体" w:cs="宋体"/>
          <w:sz w:val="24"/>
          <w:szCs w:val="24"/>
          <w:highlight w:val="none"/>
          <w:lang w:val="zh-CN" w:eastAsia="zh-CN"/>
        </w:rPr>
        <w:t>。</w:t>
      </w:r>
    </w:p>
    <w:p w14:paraId="104FA09A">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highlight w:val="none"/>
        </w:rPr>
      </w:pPr>
      <w:r>
        <w:rPr>
          <w:rFonts w:hint="eastAsia" w:ascii="宋体" w:hAnsi="宋体" w:eastAsia="宋体"/>
          <w:b/>
          <w:sz w:val="24"/>
          <w:szCs w:val="24"/>
          <w:highlight w:val="none"/>
          <w:lang w:eastAsia="zh-CN"/>
        </w:rPr>
        <w:t>3.</w:t>
      </w:r>
      <w:r>
        <w:rPr>
          <w:rFonts w:hint="eastAsia" w:ascii="宋体" w:hAnsi="宋体" w:eastAsia="宋体" w:cs="宋体"/>
          <w:b/>
          <w:sz w:val="24"/>
          <w:szCs w:val="24"/>
          <w:highlight w:val="none"/>
          <w:lang w:eastAsia="zh-CN"/>
        </w:rPr>
        <w:t>对实施人员的要求</w:t>
      </w:r>
    </w:p>
    <w:tbl>
      <w:tblPr>
        <w:tblStyle w:val="45"/>
        <w:tblpPr w:leftFromText="180" w:rightFromText="180" w:vertAnchor="text" w:horzAnchor="page" w:tblpX="1338" w:tblpY="3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1032"/>
        <w:gridCol w:w="876"/>
        <w:gridCol w:w="6504"/>
      </w:tblGrid>
      <w:tr w14:paraId="3A9D7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97" w:type="dxa"/>
            <w:tcBorders>
              <w:top w:val="single" w:color="000000" w:sz="4" w:space="0"/>
              <w:left w:val="single" w:color="000000" w:sz="4" w:space="0"/>
              <w:bottom w:val="single" w:color="000000" w:sz="4" w:space="0"/>
              <w:right w:val="single" w:color="000000" w:sz="4" w:space="0"/>
            </w:tcBorders>
            <w:vAlign w:val="center"/>
          </w:tcPr>
          <w:p w14:paraId="5DB724D4">
            <w:pPr>
              <w:jc w:val="center"/>
              <w:rPr>
                <w:rFonts w:ascii="宋体" w:hAnsi="宋体" w:cs="宋体"/>
                <w:bCs/>
                <w:sz w:val="24"/>
                <w:highlight w:val="none"/>
              </w:rPr>
            </w:pPr>
            <w:r>
              <w:rPr>
                <w:rFonts w:hint="eastAsia" w:ascii="宋体" w:hAnsi="宋体" w:cs="宋体"/>
                <w:bCs/>
                <w:sz w:val="24"/>
                <w:highlight w:val="none"/>
                <w:lang w:bidi="ar"/>
              </w:rPr>
              <w:t>序号</w:t>
            </w:r>
          </w:p>
        </w:tc>
        <w:tc>
          <w:tcPr>
            <w:tcW w:w="1032" w:type="dxa"/>
            <w:tcBorders>
              <w:top w:val="single" w:color="000000" w:sz="4" w:space="0"/>
              <w:left w:val="single" w:color="000000" w:sz="4" w:space="0"/>
              <w:bottom w:val="single" w:color="000000" w:sz="4" w:space="0"/>
              <w:right w:val="single" w:color="000000" w:sz="4" w:space="0"/>
            </w:tcBorders>
            <w:vAlign w:val="center"/>
          </w:tcPr>
          <w:p w14:paraId="26F51B2E">
            <w:pPr>
              <w:jc w:val="center"/>
              <w:rPr>
                <w:rFonts w:ascii="宋体" w:hAnsi="宋体" w:cs="宋体"/>
                <w:bCs/>
                <w:sz w:val="24"/>
                <w:highlight w:val="none"/>
              </w:rPr>
            </w:pPr>
            <w:r>
              <w:rPr>
                <w:rFonts w:hint="eastAsia" w:ascii="宋体" w:hAnsi="宋体" w:cs="宋体"/>
                <w:bCs/>
                <w:sz w:val="24"/>
                <w:highlight w:val="none"/>
                <w:lang w:bidi="ar"/>
              </w:rPr>
              <w:t>岗位</w:t>
            </w:r>
          </w:p>
        </w:tc>
        <w:tc>
          <w:tcPr>
            <w:tcW w:w="876" w:type="dxa"/>
            <w:tcBorders>
              <w:top w:val="single" w:color="000000" w:sz="4" w:space="0"/>
              <w:left w:val="single" w:color="000000" w:sz="4" w:space="0"/>
              <w:bottom w:val="single" w:color="000000" w:sz="4" w:space="0"/>
              <w:right w:val="single" w:color="000000" w:sz="4" w:space="0"/>
            </w:tcBorders>
            <w:vAlign w:val="center"/>
          </w:tcPr>
          <w:p w14:paraId="315F3E3F">
            <w:pPr>
              <w:jc w:val="center"/>
              <w:rPr>
                <w:rFonts w:ascii="宋体" w:hAnsi="宋体" w:cs="宋体"/>
                <w:bCs/>
                <w:sz w:val="24"/>
                <w:highlight w:val="none"/>
              </w:rPr>
            </w:pPr>
            <w:r>
              <w:rPr>
                <w:rFonts w:hint="eastAsia" w:ascii="宋体" w:hAnsi="宋体" w:cs="宋体"/>
                <w:bCs/>
                <w:sz w:val="24"/>
                <w:highlight w:val="none"/>
                <w:lang w:bidi="ar"/>
              </w:rPr>
              <w:t>人数下限</w:t>
            </w:r>
          </w:p>
        </w:tc>
        <w:tc>
          <w:tcPr>
            <w:tcW w:w="6504" w:type="dxa"/>
            <w:tcBorders>
              <w:top w:val="single" w:color="000000" w:sz="4" w:space="0"/>
              <w:left w:val="single" w:color="000000" w:sz="4" w:space="0"/>
              <w:bottom w:val="single" w:color="000000" w:sz="4" w:space="0"/>
              <w:right w:val="single" w:color="000000" w:sz="4" w:space="0"/>
            </w:tcBorders>
            <w:vAlign w:val="center"/>
          </w:tcPr>
          <w:p w14:paraId="79746741">
            <w:pPr>
              <w:jc w:val="center"/>
              <w:rPr>
                <w:rFonts w:ascii="宋体" w:hAnsi="宋体" w:cs="宋体"/>
                <w:bCs/>
                <w:sz w:val="24"/>
                <w:highlight w:val="none"/>
              </w:rPr>
            </w:pPr>
            <w:r>
              <w:rPr>
                <w:rFonts w:hint="eastAsia" w:ascii="宋体" w:hAnsi="宋体" w:cs="宋体"/>
                <w:bCs/>
                <w:sz w:val="24"/>
                <w:highlight w:val="none"/>
                <w:lang w:bidi="ar"/>
              </w:rPr>
              <w:t>基本要求</w:t>
            </w:r>
          </w:p>
        </w:tc>
      </w:tr>
      <w:tr w14:paraId="5A6A8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trPr>
        <w:tc>
          <w:tcPr>
            <w:tcW w:w="797" w:type="dxa"/>
            <w:tcBorders>
              <w:top w:val="single" w:color="000000" w:sz="4" w:space="0"/>
              <w:left w:val="single" w:color="000000" w:sz="4" w:space="0"/>
              <w:bottom w:val="single" w:color="000000" w:sz="4" w:space="0"/>
              <w:right w:val="single" w:color="000000" w:sz="4" w:space="0"/>
            </w:tcBorders>
            <w:vAlign w:val="center"/>
          </w:tcPr>
          <w:p w14:paraId="117DE645">
            <w:pPr>
              <w:jc w:val="center"/>
              <w:rPr>
                <w:rFonts w:ascii="宋体" w:hAnsi="宋体" w:cs="宋体"/>
                <w:sz w:val="24"/>
                <w:highlight w:val="none"/>
              </w:rPr>
            </w:pPr>
            <w:r>
              <w:rPr>
                <w:rFonts w:hint="eastAsia" w:ascii="宋体" w:hAnsi="宋体" w:cs="宋体"/>
                <w:sz w:val="24"/>
                <w:highlight w:val="none"/>
                <w:lang w:bidi="ar"/>
              </w:rPr>
              <w:t>1</w:t>
            </w:r>
          </w:p>
        </w:tc>
        <w:tc>
          <w:tcPr>
            <w:tcW w:w="1032" w:type="dxa"/>
            <w:tcBorders>
              <w:top w:val="single" w:color="000000" w:sz="4" w:space="0"/>
              <w:left w:val="single" w:color="000000" w:sz="4" w:space="0"/>
              <w:bottom w:val="single" w:color="000000" w:sz="4" w:space="0"/>
              <w:right w:val="single" w:color="000000" w:sz="4" w:space="0"/>
            </w:tcBorders>
            <w:vAlign w:val="center"/>
          </w:tcPr>
          <w:p w14:paraId="406D7EE6">
            <w:pPr>
              <w:jc w:val="center"/>
              <w:rPr>
                <w:rFonts w:ascii="宋体" w:hAnsi="宋体" w:cs="宋体"/>
                <w:sz w:val="24"/>
                <w:highlight w:val="none"/>
              </w:rPr>
            </w:pPr>
            <w:r>
              <w:rPr>
                <w:rFonts w:hint="eastAsia" w:ascii="宋体" w:hAnsi="宋体" w:cs="宋体"/>
                <w:sz w:val="24"/>
                <w:highlight w:val="none"/>
                <w:lang w:bidi="ar"/>
              </w:rPr>
              <w:t>项目负责人</w:t>
            </w:r>
          </w:p>
        </w:tc>
        <w:tc>
          <w:tcPr>
            <w:tcW w:w="876" w:type="dxa"/>
            <w:tcBorders>
              <w:top w:val="single" w:color="000000" w:sz="4" w:space="0"/>
              <w:left w:val="single" w:color="000000" w:sz="4" w:space="0"/>
              <w:bottom w:val="single" w:color="000000" w:sz="4" w:space="0"/>
              <w:right w:val="single" w:color="000000" w:sz="4" w:space="0"/>
            </w:tcBorders>
            <w:vAlign w:val="center"/>
          </w:tcPr>
          <w:p w14:paraId="44454A3F">
            <w:pPr>
              <w:jc w:val="center"/>
              <w:rPr>
                <w:rFonts w:ascii="宋体" w:hAnsi="宋体" w:cs="宋体"/>
                <w:sz w:val="24"/>
                <w:highlight w:val="none"/>
              </w:rPr>
            </w:pPr>
            <w:r>
              <w:rPr>
                <w:rFonts w:hint="eastAsia" w:ascii="宋体" w:hAnsi="宋体" w:cs="宋体"/>
                <w:sz w:val="24"/>
                <w:highlight w:val="none"/>
                <w:lang w:bidi="ar"/>
              </w:rPr>
              <w:t>1</w:t>
            </w:r>
          </w:p>
        </w:tc>
        <w:tc>
          <w:tcPr>
            <w:tcW w:w="6504" w:type="dxa"/>
            <w:tcBorders>
              <w:top w:val="single" w:color="000000" w:sz="4" w:space="0"/>
              <w:left w:val="single" w:color="000000" w:sz="4" w:space="0"/>
              <w:bottom w:val="single" w:color="000000" w:sz="4" w:space="0"/>
              <w:right w:val="single" w:color="000000" w:sz="4" w:space="0"/>
            </w:tcBorders>
            <w:vAlign w:val="center"/>
          </w:tcPr>
          <w:p w14:paraId="4DB9C183">
            <w:pPr>
              <w:rPr>
                <w:rFonts w:ascii="宋体" w:hAnsi="宋体" w:cs="宋体"/>
                <w:sz w:val="24"/>
                <w:highlight w:val="none"/>
                <w:lang w:eastAsia="zh-CN"/>
              </w:rPr>
            </w:pPr>
            <w:r>
              <w:rPr>
                <w:rFonts w:hint="eastAsia" w:ascii="宋体" w:hAnsi="宋体" w:cs="宋体"/>
                <w:sz w:val="24"/>
                <w:highlight w:val="none"/>
                <w:lang w:eastAsia="zh-CN" w:bidi="ar"/>
              </w:rPr>
              <w:t>作为项目团队总负责人，建立项目质量、安全、进度、成本管理责任体系，全面统筹项目管理工作。负责定义项目目标与实施范围、制定全周期项目计划、分配任务与资源、管控项目成本、识别与应对项目风险、统筹内外部沟通与工作汇报；对接采购人各项管理要求，组织项目阶段性验收与最终交付，保障组网项目按合同要求落地。</w:t>
            </w:r>
          </w:p>
        </w:tc>
      </w:tr>
      <w:tr w14:paraId="04DEA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trPr>
        <w:tc>
          <w:tcPr>
            <w:tcW w:w="797" w:type="dxa"/>
            <w:tcBorders>
              <w:top w:val="single" w:color="000000" w:sz="4" w:space="0"/>
              <w:left w:val="single" w:color="000000" w:sz="4" w:space="0"/>
              <w:bottom w:val="single" w:color="000000" w:sz="4" w:space="0"/>
              <w:right w:val="single" w:color="000000" w:sz="4" w:space="0"/>
            </w:tcBorders>
            <w:vAlign w:val="center"/>
          </w:tcPr>
          <w:p w14:paraId="08C034EC">
            <w:pPr>
              <w:jc w:val="center"/>
              <w:rPr>
                <w:rFonts w:ascii="宋体" w:hAnsi="宋体" w:cs="宋体"/>
                <w:sz w:val="24"/>
                <w:highlight w:val="none"/>
              </w:rPr>
            </w:pPr>
            <w:r>
              <w:rPr>
                <w:rFonts w:hint="eastAsia" w:ascii="宋体" w:hAnsi="宋体" w:cs="宋体"/>
                <w:sz w:val="24"/>
                <w:highlight w:val="none"/>
                <w:lang w:bidi="ar"/>
              </w:rPr>
              <w:t>2</w:t>
            </w:r>
          </w:p>
        </w:tc>
        <w:tc>
          <w:tcPr>
            <w:tcW w:w="1032" w:type="dxa"/>
            <w:tcBorders>
              <w:top w:val="single" w:color="000000" w:sz="4" w:space="0"/>
              <w:left w:val="single" w:color="000000" w:sz="4" w:space="0"/>
              <w:bottom w:val="single" w:color="000000" w:sz="4" w:space="0"/>
              <w:right w:val="single" w:color="000000" w:sz="4" w:space="0"/>
            </w:tcBorders>
            <w:vAlign w:val="center"/>
          </w:tcPr>
          <w:p w14:paraId="004C8624">
            <w:pPr>
              <w:jc w:val="center"/>
              <w:rPr>
                <w:rFonts w:ascii="宋体" w:hAnsi="宋体" w:cs="宋体"/>
                <w:sz w:val="24"/>
                <w:highlight w:val="none"/>
              </w:rPr>
            </w:pPr>
            <w:r>
              <w:rPr>
                <w:rFonts w:hint="eastAsia" w:ascii="宋体" w:hAnsi="宋体" w:cs="宋体"/>
                <w:sz w:val="24"/>
                <w:highlight w:val="none"/>
                <w:lang w:bidi="ar"/>
              </w:rPr>
              <w:t>项目技术负责人</w:t>
            </w:r>
          </w:p>
        </w:tc>
        <w:tc>
          <w:tcPr>
            <w:tcW w:w="876" w:type="dxa"/>
            <w:tcBorders>
              <w:top w:val="single" w:color="000000" w:sz="4" w:space="0"/>
              <w:left w:val="single" w:color="000000" w:sz="4" w:space="0"/>
              <w:bottom w:val="single" w:color="000000" w:sz="4" w:space="0"/>
              <w:right w:val="single" w:color="000000" w:sz="4" w:space="0"/>
            </w:tcBorders>
            <w:vAlign w:val="center"/>
          </w:tcPr>
          <w:p w14:paraId="747B3A47">
            <w:pPr>
              <w:jc w:val="center"/>
              <w:rPr>
                <w:rFonts w:ascii="宋体" w:hAnsi="宋体" w:cs="宋体"/>
                <w:sz w:val="24"/>
                <w:highlight w:val="none"/>
              </w:rPr>
            </w:pPr>
            <w:r>
              <w:rPr>
                <w:rFonts w:hint="eastAsia" w:ascii="宋体" w:hAnsi="宋体" w:cs="宋体"/>
                <w:sz w:val="24"/>
                <w:highlight w:val="none"/>
                <w:lang w:bidi="ar"/>
              </w:rPr>
              <w:t>1</w:t>
            </w:r>
          </w:p>
        </w:tc>
        <w:tc>
          <w:tcPr>
            <w:tcW w:w="6504" w:type="dxa"/>
            <w:tcBorders>
              <w:top w:val="single" w:color="000000" w:sz="4" w:space="0"/>
              <w:left w:val="single" w:color="000000" w:sz="4" w:space="0"/>
              <w:bottom w:val="single" w:color="000000" w:sz="4" w:space="0"/>
              <w:right w:val="single" w:color="000000" w:sz="4" w:space="0"/>
            </w:tcBorders>
            <w:vAlign w:val="center"/>
          </w:tcPr>
          <w:p w14:paraId="0A41D7BB">
            <w:pPr>
              <w:rPr>
                <w:rFonts w:ascii="宋体" w:hAnsi="宋体" w:cs="宋体"/>
                <w:sz w:val="24"/>
                <w:highlight w:val="none"/>
                <w:lang w:eastAsia="zh-CN"/>
              </w:rPr>
            </w:pPr>
            <w:r>
              <w:rPr>
                <w:rFonts w:hint="eastAsia" w:ascii="宋体" w:hAnsi="宋体" w:cs="宋体"/>
                <w:sz w:val="24"/>
                <w:highlight w:val="none"/>
                <w:lang w:eastAsia="zh-CN" w:bidi="ar"/>
              </w:rPr>
              <w:t>不得与项目负责人为同一人，协助项目负责人开展工作，全面负责项目全流程技术管理。牵头组网架构设计、波分设备调试、系统联调、性能指标测试等核心技术工作；组织项目技术自检，参与项目验收工作；负责解决项目实施与运维阶段的各类技术故障与难题，保障网络时延、丢包率等核心指标符合招标要求；指导团队成员开展技术作业，提供技术支撑与操作培训。</w:t>
            </w:r>
          </w:p>
        </w:tc>
      </w:tr>
      <w:tr w14:paraId="61FF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7" w:type="dxa"/>
            <w:tcBorders>
              <w:top w:val="single" w:color="000000" w:sz="4" w:space="0"/>
              <w:left w:val="single" w:color="000000" w:sz="4" w:space="0"/>
              <w:bottom w:val="single" w:color="000000" w:sz="4" w:space="0"/>
              <w:right w:val="single" w:color="000000" w:sz="4" w:space="0"/>
            </w:tcBorders>
            <w:vAlign w:val="center"/>
          </w:tcPr>
          <w:p w14:paraId="1EFC2692">
            <w:pPr>
              <w:jc w:val="center"/>
              <w:rPr>
                <w:rFonts w:ascii="宋体" w:hAnsi="宋体" w:cs="宋体"/>
                <w:sz w:val="24"/>
                <w:highlight w:val="none"/>
              </w:rPr>
            </w:pPr>
            <w:r>
              <w:rPr>
                <w:rFonts w:hint="eastAsia" w:ascii="宋体" w:hAnsi="宋体" w:cs="宋体"/>
                <w:sz w:val="24"/>
                <w:highlight w:val="none"/>
                <w:lang w:bidi="ar"/>
              </w:rPr>
              <w:t>3</w:t>
            </w:r>
          </w:p>
        </w:tc>
        <w:tc>
          <w:tcPr>
            <w:tcW w:w="1032" w:type="dxa"/>
            <w:tcBorders>
              <w:top w:val="single" w:color="000000" w:sz="4" w:space="0"/>
              <w:left w:val="single" w:color="000000" w:sz="4" w:space="0"/>
              <w:bottom w:val="single" w:color="000000" w:sz="4" w:space="0"/>
              <w:right w:val="single" w:color="000000" w:sz="4" w:space="0"/>
            </w:tcBorders>
            <w:vAlign w:val="center"/>
          </w:tcPr>
          <w:p w14:paraId="469F3D8B">
            <w:pPr>
              <w:jc w:val="center"/>
              <w:rPr>
                <w:rFonts w:ascii="宋体" w:hAnsi="宋体" w:cs="宋体"/>
                <w:sz w:val="24"/>
                <w:highlight w:val="none"/>
              </w:rPr>
            </w:pPr>
            <w:r>
              <w:rPr>
                <w:rFonts w:hint="eastAsia" w:ascii="宋体" w:hAnsi="宋体" w:cs="宋体"/>
                <w:sz w:val="24"/>
                <w:highlight w:val="none"/>
                <w:lang w:bidi="ar"/>
              </w:rPr>
              <w:t>项目团队人员</w:t>
            </w:r>
          </w:p>
        </w:tc>
        <w:tc>
          <w:tcPr>
            <w:tcW w:w="876" w:type="dxa"/>
            <w:tcBorders>
              <w:top w:val="single" w:color="000000" w:sz="4" w:space="0"/>
              <w:left w:val="single" w:color="000000" w:sz="4" w:space="0"/>
              <w:bottom w:val="single" w:color="000000" w:sz="4" w:space="0"/>
              <w:right w:val="single" w:color="000000" w:sz="4" w:space="0"/>
            </w:tcBorders>
            <w:vAlign w:val="center"/>
          </w:tcPr>
          <w:p w14:paraId="7B8186B6">
            <w:pPr>
              <w:jc w:val="center"/>
              <w:rPr>
                <w:rFonts w:ascii="宋体" w:hAnsi="宋体" w:cs="宋体"/>
                <w:sz w:val="24"/>
                <w:highlight w:val="none"/>
              </w:rPr>
            </w:pPr>
            <w:r>
              <w:rPr>
                <w:rFonts w:hint="eastAsia" w:ascii="宋体" w:hAnsi="宋体" w:cs="宋体"/>
                <w:sz w:val="24"/>
                <w:highlight w:val="none"/>
                <w:lang w:bidi="ar"/>
              </w:rPr>
              <w:t>2</w:t>
            </w:r>
          </w:p>
        </w:tc>
        <w:tc>
          <w:tcPr>
            <w:tcW w:w="6504" w:type="dxa"/>
            <w:tcBorders>
              <w:top w:val="single" w:color="000000" w:sz="4" w:space="0"/>
              <w:left w:val="single" w:color="000000" w:sz="4" w:space="0"/>
              <w:bottom w:val="single" w:color="000000" w:sz="4" w:space="0"/>
              <w:right w:val="single" w:color="000000" w:sz="4" w:space="0"/>
            </w:tcBorders>
            <w:vAlign w:val="center"/>
          </w:tcPr>
          <w:p w14:paraId="28C084A3">
            <w:pPr>
              <w:rPr>
                <w:rFonts w:ascii="宋体" w:hAnsi="宋体" w:cs="宋体"/>
                <w:sz w:val="24"/>
                <w:highlight w:val="none"/>
                <w:lang w:eastAsia="zh-CN"/>
              </w:rPr>
            </w:pPr>
            <w:r>
              <w:rPr>
                <w:rFonts w:hint="eastAsia" w:ascii="宋体" w:hAnsi="宋体" w:cs="宋体"/>
                <w:sz w:val="24"/>
                <w:highlight w:val="none"/>
                <w:lang w:eastAsia="zh-CN" w:bidi="ar"/>
              </w:rPr>
              <w:t>在项目负责人、技术负责人的领导下，完成设备安装部署、链路调试、日常巡检维护、故障响应处置等实施与运维工作，保障组网系统安全稳定运行；具备网络相关专业能力与良好沟通能力，配合完成系统测试、技术文档交付及采购人日常运维对接工作。</w:t>
            </w:r>
          </w:p>
        </w:tc>
      </w:tr>
    </w:tbl>
    <w:p w14:paraId="68AAE53B">
      <w:pPr>
        <w:pStyle w:val="201"/>
        <w:spacing w:line="480" w:lineRule="exact"/>
        <w:rPr>
          <w:rFonts w:hint="eastAsia"/>
          <w:highlight w:val="none"/>
          <w:lang w:eastAsia="zh-CN"/>
        </w:rPr>
      </w:pPr>
    </w:p>
    <w:p w14:paraId="607EC1B1">
      <w:pPr>
        <w:pStyle w:val="201"/>
        <w:spacing w:line="480" w:lineRule="exact"/>
        <w:ind w:firstLine="482" w:firstLineChars="200"/>
        <w:rPr>
          <w:rFonts w:hint="eastAsia" w:ascii="宋体" w:hAnsi="宋体" w:eastAsia="宋体" w:cs="宋体"/>
          <w:b/>
          <w:bCs w:val="0"/>
          <w:sz w:val="24"/>
          <w:szCs w:val="24"/>
          <w:highlight w:val="none"/>
          <w:lang w:eastAsia="zh-CN"/>
        </w:rPr>
      </w:pPr>
    </w:p>
    <w:p w14:paraId="3F5426B8">
      <w:pPr>
        <w:pStyle w:val="201"/>
        <w:spacing w:line="480" w:lineRule="exact"/>
        <w:ind w:firstLine="482" w:firstLineChars="200"/>
        <w:rPr>
          <w:rFonts w:hint="eastAsia" w:ascii="宋体" w:hAnsi="宋体" w:eastAsia="宋体" w:cs="宋体"/>
          <w:b/>
          <w:bCs w:val="0"/>
          <w:sz w:val="24"/>
          <w:szCs w:val="24"/>
          <w:highlight w:val="none"/>
          <w:lang w:eastAsia="zh-CN"/>
        </w:rPr>
      </w:pPr>
    </w:p>
    <w:p w14:paraId="7AC554FA">
      <w:pPr>
        <w:pStyle w:val="201"/>
        <w:spacing w:line="480" w:lineRule="exact"/>
        <w:ind w:firstLine="482" w:firstLineChars="200"/>
        <w:rPr>
          <w:rFonts w:hint="eastAsia" w:ascii="宋体" w:hAnsi="宋体" w:eastAsia="宋体" w:cs="宋体"/>
          <w:b/>
          <w:bCs w:val="0"/>
          <w:sz w:val="24"/>
          <w:szCs w:val="24"/>
          <w:highlight w:val="none"/>
          <w:lang w:eastAsia="zh-CN"/>
        </w:rPr>
      </w:pPr>
    </w:p>
    <w:p w14:paraId="54C51049">
      <w:pPr>
        <w:pStyle w:val="201"/>
        <w:spacing w:line="480" w:lineRule="exact"/>
        <w:ind w:firstLine="482" w:firstLineChars="200"/>
        <w:rPr>
          <w:rFonts w:hint="eastAsia" w:ascii="宋体" w:hAnsi="宋体" w:eastAsia="宋体" w:cs="宋体"/>
          <w:b/>
          <w:bCs w:val="0"/>
          <w:sz w:val="24"/>
          <w:szCs w:val="24"/>
          <w:highlight w:val="none"/>
          <w:lang w:eastAsia="zh-CN"/>
        </w:rPr>
      </w:pPr>
    </w:p>
    <w:p w14:paraId="37E3036E">
      <w:pPr>
        <w:pStyle w:val="201"/>
        <w:spacing w:line="480" w:lineRule="exact"/>
        <w:ind w:firstLine="482" w:firstLineChars="200"/>
        <w:rPr>
          <w:rFonts w:hint="eastAsia" w:ascii="宋体" w:hAnsi="宋体" w:eastAsia="宋体" w:cs="宋体"/>
          <w:b/>
          <w:bCs w:val="0"/>
          <w:sz w:val="24"/>
          <w:szCs w:val="24"/>
          <w:highlight w:val="none"/>
          <w:lang w:eastAsia="zh-CN"/>
        </w:rPr>
      </w:pPr>
    </w:p>
    <w:p w14:paraId="6165CAF2">
      <w:pPr>
        <w:pStyle w:val="201"/>
        <w:spacing w:line="480" w:lineRule="exact"/>
        <w:ind w:firstLine="482" w:firstLineChars="200"/>
        <w:rPr>
          <w:rFonts w:hint="eastAsia" w:ascii="宋体" w:hAnsi="宋体" w:eastAsia="宋体" w:cs="宋体"/>
          <w:b/>
          <w:bCs w:val="0"/>
          <w:sz w:val="24"/>
          <w:szCs w:val="24"/>
          <w:highlight w:val="none"/>
          <w:lang w:eastAsia="zh-CN"/>
        </w:rPr>
      </w:pPr>
    </w:p>
    <w:p w14:paraId="3502C2AA">
      <w:pPr>
        <w:pStyle w:val="201"/>
        <w:spacing w:line="480" w:lineRule="exact"/>
        <w:ind w:firstLine="482" w:firstLineChars="200"/>
        <w:rPr>
          <w:rFonts w:hint="eastAsia" w:ascii="宋体" w:hAnsi="宋体" w:eastAsia="宋体" w:cs="宋体"/>
          <w:b/>
          <w:bCs w:val="0"/>
          <w:sz w:val="24"/>
          <w:szCs w:val="24"/>
          <w:highlight w:val="none"/>
          <w:lang w:eastAsia="zh-CN"/>
        </w:rPr>
      </w:pPr>
    </w:p>
    <w:p w14:paraId="5BA9DE32">
      <w:pPr>
        <w:pStyle w:val="201"/>
        <w:spacing w:line="480" w:lineRule="exact"/>
        <w:ind w:firstLine="482" w:firstLineChars="200"/>
        <w:rPr>
          <w:rFonts w:hint="eastAsia" w:ascii="宋体" w:hAnsi="宋体" w:eastAsia="宋体" w:cs="宋体"/>
          <w:b/>
          <w:bCs w:val="0"/>
          <w:sz w:val="24"/>
          <w:szCs w:val="24"/>
          <w:highlight w:val="none"/>
          <w:lang w:eastAsia="zh-CN"/>
        </w:rPr>
      </w:pPr>
    </w:p>
    <w:p w14:paraId="1592AD53">
      <w:pPr>
        <w:pStyle w:val="201"/>
        <w:spacing w:line="480" w:lineRule="exact"/>
        <w:ind w:firstLine="482" w:firstLineChars="200"/>
        <w:rPr>
          <w:rFonts w:hint="eastAsia" w:ascii="宋体" w:hAnsi="宋体" w:eastAsia="宋体" w:cs="宋体"/>
          <w:b/>
          <w:bCs w:val="0"/>
          <w:sz w:val="24"/>
          <w:szCs w:val="24"/>
          <w:highlight w:val="none"/>
          <w:lang w:eastAsia="zh-CN"/>
        </w:rPr>
      </w:pPr>
    </w:p>
    <w:p w14:paraId="43A4BDE2">
      <w:pPr>
        <w:pStyle w:val="201"/>
        <w:spacing w:line="480" w:lineRule="exact"/>
        <w:ind w:firstLine="482" w:firstLineChars="200"/>
        <w:rPr>
          <w:rFonts w:hint="eastAsia" w:ascii="宋体" w:hAnsi="宋体" w:eastAsia="宋体" w:cs="宋体"/>
          <w:b/>
          <w:bCs w:val="0"/>
          <w:sz w:val="24"/>
          <w:szCs w:val="24"/>
          <w:highlight w:val="none"/>
          <w:lang w:eastAsia="zh-CN"/>
        </w:rPr>
      </w:pPr>
    </w:p>
    <w:p w14:paraId="0D0C4662">
      <w:pPr>
        <w:pStyle w:val="201"/>
        <w:spacing w:line="480" w:lineRule="exact"/>
        <w:ind w:firstLine="482" w:firstLineChars="200"/>
        <w:rPr>
          <w:rFonts w:hint="eastAsia" w:ascii="宋体" w:hAnsi="宋体" w:eastAsia="宋体" w:cs="宋体"/>
          <w:b/>
          <w:bCs w:val="0"/>
          <w:sz w:val="24"/>
          <w:szCs w:val="24"/>
          <w:highlight w:val="none"/>
          <w:lang w:eastAsia="zh-CN"/>
        </w:rPr>
      </w:pPr>
    </w:p>
    <w:p w14:paraId="3775B1AD">
      <w:pPr>
        <w:pStyle w:val="201"/>
        <w:spacing w:line="480" w:lineRule="exact"/>
        <w:ind w:firstLine="482" w:firstLineChars="200"/>
        <w:rPr>
          <w:rFonts w:hint="eastAsia" w:ascii="宋体" w:hAnsi="宋体" w:eastAsia="宋体" w:cs="宋体"/>
          <w:b/>
          <w:bCs w:val="0"/>
          <w:sz w:val="24"/>
          <w:szCs w:val="24"/>
          <w:highlight w:val="none"/>
          <w:lang w:eastAsia="zh-CN"/>
        </w:rPr>
      </w:pPr>
    </w:p>
    <w:p w14:paraId="474C803D">
      <w:pPr>
        <w:pStyle w:val="201"/>
        <w:spacing w:line="480" w:lineRule="exact"/>
        <w:ind w:firstLine="482" w:firstLineChars="200"/>
        <w:rPr>
          <w:rFonts w:hint="eastAsia" w:ascii="宋体" w:hAnsi="宋体" w:eastAsia="宋体" w:cs="宋体"/>
          <w:b/>
          <w:bCs w:val="0"/>
          <w:sz w:val="24"/>
          <w:szCs w:val="24"/>
          <w:highlight w:val="none"/>
          <w:lang w:eastAsia="zh-CN"/>
        </w:rPr>
      </w:pPr>
    </w:p>
    <w:p w14:paraId="1CE520E7">
      <w:pPr>
        <w:pStyle w:val="201"/>
        <w:spacing w:line="480" w:lineRule="exact"/>
        <w:ind w:firstLine="482" w:firstLineChars="200"/>
        <w:rPr>
          <w:rFonts w:hint="eastAsia" w:ascii="宋体" w:hAnsi="宋体" w:eastAsia="宋体" w:cs="宋体"/>
          <w:b/>
          <w:bCs w:val="0"/>
          <w:sz w:val="24"/>
          <w:szCs w:val="24"/>
          <w:highlight w:val="none"/>
          <w:lang w:eastAsia="zh-CN"/>
        </w:rPr>
      </w:pPr>
    </w:p>
    <w:p w14:paraId="6B153F5F">
      <w:pPr>
        <w:pStyle w:val="201"/>
        <w:spacing w:line="480" w:lineRule="exact"/>
        <w:ind w:firstLine="482" w:firstLineChars="200"/>
        <w:rPr>
          <w:rFonts w:hint="eastAsia" w:ascii="宋体" w:hAnsi="宋体" w:eastAsia="宋体" w:cs="宋体"/>
          <w:b/>
          <w:bCs w:val="0"/>
          <w:sz w:val="24"/>
          <w:szCs w:val="24"/>
          <w:highlight w:val="none"/>
          <w:lang w:eastAsia="zh-CN"/>
        </w:rPr>
      </w:pPr>
    </w:p>
    <w:p w14:paraId="73C9DECB">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val="0"/>
          <w:sz w:val="24"/>
          <w:szCs w:val="24"/>
          <w:highlight w:val="none"/>
          <w:lang w:eastAsia="zh-CN"/>
        </w:rPr>
      </w:pPr>
    </w:p>
    <w:p w14:paraId="61B062A6">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b/>
          <w:bCs w:val="0"/>
          <w:sz w:val="24"/>
          <w:szCs w:val="24"/>
          <w:highlight w:val="none"/>
          <w:lang w:eastAsia="zh-CN"/>
        </w:rPr>
      </w:pPr>
      <w:r>
        <w:rPr>
          <w:rFonts w:hint="eastAsia" w:ascii="宋体" w:hAnsi="宋体" w:eastAsia="宋体" w:cs="宋体"/>
          <w:b/>
          <w:bCs w:val="0"/>
          <w:sz w:val="24"/>
          <w:szCs w:val="24"/>
          <w:highlight w:val="none"/>
          <w:lang w:eastAsia="zh-CN"/>
        </w:rPr>
        <w:t>（二）保密与责任</w:t>
      </w:r>
    </w:p>
    <w:p w14:paraId="3BD1BB36">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eastAsia="zh-CN"/>
        </w:rPr>
      </w:pPr>
      <w:r>
        <w:rPr>
          <w:rFonts w:hint="eastAsia" w:ascii="宋体" w:hAnsi="宋体" w:eastAsia="宋体" w:cs="宋体"/>
          <w:sz w:val="24"/>
          <w:szCs w:val="24"/>
          <w:highlight w:val="none"/>
          <w:lang w:eastAsia="zh-CN"/>
        </w:rPr>
        <w:t>供应商严格遵守国家有关法律、行政法规和管理规章；严格执行信息安全管理规定《互联网信息服务管理办法》、《计算机信息网络国际联网安全保护管理办法》、《互联网电子公告服务管理规定》、《互联网网络安全应急预案》、《电信业务经营许可管理办法》、《木马和僵尸网络监测与处置机制》（工信部保【</w:t>
      </w:r>
      <w:r>
        <w:rPr>
          <w:rFonts w:hint="eastAsia" w:ascii="宋体" w:hAnsi="宋体" w:eastAsia="宋体"/>
          <w:sz w:val="24"/>
          <w:szCs w:val="24"/>
          <w:highlight w:val="none"/>
          <w:lang w:eastAsia="zh-CN"/>
        </w:rPr>
        <w:t>2009</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eastAsia="zh-CN"/>
        </w:rPr>
        <w:t>157</w:t>
      </w:r>
      <w:r>
        <w:rPr>
          <w:rFonts w:hint="eastAsia" w:ascii="宋体" w:hAnsi="宋体" w:eastAsia="宋体" w:cs="宋体"/>
          <w:sz w:val="24"/>
          <w:szCs w:val="24"/>
          <w:highlight w:val="none"/>
          <w:lang w:eastAsia="zh-CN"/>
        </w:rPr>
        <w:t>号）等有关法规和行政规章制度，不得利用相关业务服务从事危害国家安全、泄露国家秘密、违法犯罪、妨碍社会治安等活动。</w:t>
      </w:r>
    </w:p>
    <w:p w14:paraId="01A0F153">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sz w:val="24"/>
          <w:szCs w:val="24"/>
          <w:highlight w:val="none"/>
          <w:lang w:eastAsia="zh-CN"/>
        </w:rPr>
      </w:pPr>
      <w:r>
        <w:rPr>
          <w:rFonts w:hint="eastAsia" w:ascii="宋体" w:hAnsi="宋体" w:eastAsia="宋体" w:cs="宋体"/>
          <w:sz w:val="24"/>
          <w:szCs w:val="24"/>
          <w:highlight w:val="none"/>
          <w:lang w:eastAsia="zh-CN"/>
        </w:rPr>
        <w:t>供应商负有保密义务，承担保密责任。供应商不得出于非法目的泄露采购人业务系统信息，不得损害采购人业务系统数据安全，未经采购人书面同意不得披露、更不得转卖采购人的任何数据与信息。若一经发现，采购人有权要求立即删除、限期整改、暂停甚至终止合作，并要求承担相应法律责任。</w:t>
      </w:r>
    </w:p>
    <w:p w14:paraId="3F724A83">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default" w:ascii="宋体" w:hAnsi="宋体" w:eastAsia="宋体"/>
          <w:b/>
          <w:bCs/>
          <w:sz w:val="24"/>
          <w:szCs w:val="24"/>
          <w:highlight w:val="none"/>
          <w:lang w:val="en-US" w:eastAsia="zh-CN"/>
        </w:rPr>
      </w:pPr>
      <w:r>
        <w:rPr>
          <w:rFonts w:hint="eastAsia" w:ascii="宋体" w:hAnsi="宋体" w:eastAsia="宋体"/>
          <w:b/>
          <w:bCs/>
          <w:sz w:val="24"/>
          <w:szCs w:val="24"/>
          <w:highlight w:val="none"/>
          <w:lang w:eastAsia="zh-CN"/>
        </w:rPr>
        <w:t>（</w:t>
      </w:r>
      <w:r>
        <w:rPr>
          <w:rFonts w:hint="eastAsia" w:ascii="宋体" w:hAnsi="宋体" w:eastAsia="宋体"/>
          <w:b/>
          <w:bCs/>
          <w:sz w:val="24"/>
          <w:szCs w:val="24"/>
          <w:highlight w:val="none"/>
          <w:lang w:val="en-US" w:eastAsia="zh-CN"/>
        </w:rPr>
        <w:t>三）</w:t>
      </w:r>
      <w:r>
        <w:rPr>
          <w:rFonts w:hint="eastAsia" w:ascii="宋体" w:hAnsi="宋体" w:eastAsia="宋体"/>
          <w:b/>
          <w:bCs/>
          <w:sz w:val="24"/>
          <w:szCs w:val="24"/>
          <w:highlight w:val="none"/>
          <w:lang w:eastAsia="zh-CN"/>
        </w:rPr>
        <w:t>项目</w:t>
      </w:r>
      <w:r>
        <w:rPr>
          <w:rFonts w:hint="eastAsia" w:ascii="宋体" w:hAnsi="宋体" w:eastAsia="宋体"/>
          <w:b/>
          <w:bCs/>
          <w:sz w:val="24"/>
          <w:szCs w:val="24"/>
          <w:highlight w:val="none"/>
          <w:lang w:val="en-US" w:eastAsia="zh-CN"/>
        </w:rPr>
        <w:t>实施要求</w:t>
      </w:r>
    </w:p>
    <w:p w14:paraId="0A8EC3D5">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1、项目</w:t>
      </w:r>
      <w:r>
        <w:rPr>
          <w:rFonts w:hint="eastAsia" w:ascii="宋体" w:hAnsi="宋体" w:eastAsia="宋体"/>
          <w:sz w:val="24"/>
          <w:szCs w:val="24"/>
          <w:highlight w:val="none"/>
          <w:lang w:val="en-US" w:eastAsia="zh-CN"/>
        </w:rPr>
        <w:t>实施方案</w:t>
      </w:r>
    </w:p>
    <w:p w14:paraId="3F958357">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①项目目标与规划：需围绕实现太仓分院与总院、北院内网安全稳定互联互通、保障医疗业务数据高效可靠传输的核心目标，制定清晰的建设目标与分阶段实施规划；②服务内容与流程：需要提供涵盖调试、人员培训及系统运维等内容；③项目周期与交付</w:t>
      </w:r>
      <w:r>
        <w:rPr>
          <w:rFonts w:hint="eastAsia" w:ascii="宋体" w:hAnsi="宋体" w:eastAsia="宋体"/>
          <w:sz w:val="24"/>
          <w:szCs w:val="24"/>
          <w:highlight w:val="none"/>
          <w:lang w:val="en-US" w:eastAsia="zh-CN"/>
        </w:rPr>
        <w:t>成果：</w:t>
      </w:r>
      <w:r>
        <w:rPr>
          <w:rFonts w:ascii="宋体" w:hAnsi="宋体" w:eastAsia="宋体" w:cs="宋体"/>
          <w:sz w:val="24"/>
          <w:szCs w:val="24"/>
          <w:highlight w:val="none"/>
        </w:rPr>
        <w:t>明确各阶段关键时间节点，梳理硬件设备、技术文档、测试报告、验收资料等完整交付成果，确保组网建设完成后可立即投入稳定运行</w:t>
      </w:r>
      <w:r>
        <w:rPr>
          <w:rFonts w:hint="eastAsia" w:ascii="宋体" w:hAnsi="宋体" w:eastAsia="宋体"/>
          <w:sz w:val="24"/>
          <w:szCs w:val="24"/>
          <w:highlight w:val="none"/>
          <w:lang w:eastAsia="zh-CN"/>
        </w:rPr>
        <w:t>。</w:t>
      </w:r>
    </w:p>
    <w:p w14:paraId="3427FF01">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2、项目总体设计</w:t>
      </w:r>
      <w:r>
        <w:rPr>
          <w:rFonts w:hint="eastAsia" w:ascii="宋体" w:hAnsi="宋体" w:eastAsia="宋体"/>
          <w:sz w:val="24"/>
          <w:szCs w:val="24"/>
          <w:highlight w:val="none"/>
          <w:lang w:val="en-US" w:eastAsia="zh-CN"/>
        </w:rPr>
        <w:t>方案</w:t>
      </w:r>
    </w:p>
    <w:p w14:paraId="62112BFA">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①系统整体设计方案：</w:t>
      </w:r>
      <w:r>
        <w:rPr>
          <w:rFonts w:ascii="宋体" w:hAnsi="宋体" w:eastAsia="宋体" w:cs="宋体"/>
          <w:sz w:val="24"/>
          <w:szCs w:val="24"/>
          <w:highlight w:val="none"/>
        </w:rPr>
        <w:t>需结合本项目波分设备配置、传输带宽、时延丢包等技术指标要求，完成组网系统整体架构设计，明确设备部署、链路配置、性能保障的整体思路</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eastAsia="zh-CN"/>
        </w:rPr>
        <w:t>②网络架构部署方案：</w:t>
      </w:r>
      <w:r>
        <w:rPr>
          <w:rFonts w:ascii="宋体" w:hAnsi="宋体" w:eastAsia="宋体" w:cs="宋体"/>
          <w:sz w:val="24"/>
          <w:szCs w:val="24"/>
          <w:highlight w:val="none"/>
        </w:rPr>
        <w:t>需针对医院内网安全传输要求，明确专线接入、IPSec 隧道、安全隔离等部署逻辑，保障医疗数据传输的独立性与安全性。</w:t>
      </w:r>
    </w:p>
    <w:p w14:paraId="791BC365">
      <w:pPr>
        <w:pStyle w:val="43"/>
        <w:keepNext w:val="0"/>
        <w:keepLines w:val="0"/>
        <w:pageBreakBefore w:val="0"/>
        <w:widowControl/>
        <w:kinsoku/>
        <w:wordWrap/>
        <w:overflowPunct/>
        <w:topLinePunct w:val="0"/>
        <w:autoSpaceDE/>
        <w:autoSpaceDN/>
        <w:bidi w:val="0"/>
        <w:adjustRightInd/>
        <w:snapToGrid/>
        <w:spacing w:after="0" w:line="480" w:lineRule="exact"/>
        <w:ind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3、质量保障方案</w:t>
      </w:r>
    </w:p>
    <w:p w14:paraId="3ADC17F7">
      <w:pPr>
        <w:pStyle w:val="43"/>
        <w:keepNext w:val="0"/>
        <w:keepLines w:val="0"/>
        <w:pageBreakBefore w:val="0"/>
        <w:widowControl/>
        <w:kinsoku/>
        <w:wordWrap/>
        <w:overflowPunct/>
        <w:topLinePunct w:val="0"/>
        <w:autoSpaceDE/>
        <w:autoSpaceDN/>
        <w:bidi w:val="0"/>
        <w:adjustRightInd/>
        <w:snapToGrid/>
        <w:spacing w:after="0" w:line="48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①</w:t>
      </w:r>
      <w:r>
        <w:rPr>
          <w:rFonts w:hint="eastAsia" w:ascii="宋体" w:hAnsi="宋体" w:eastAsia="宋体" w:cs="宋体"/>
          <w:sz w:val="24"/>
          <w:highlight w:val="none"/>
        </w:rPr>
        <w:t>质量控制计划</w:t>
      </w:r>
      <w:r>
        <w:rPr>
          <w:rFonts w:hint="eastAsia" w:ascii="宋体" w:hAnsi="宋体" w:eastAsia="宋体" w:cs="宋体"/>
          <w:sz w:val="24"/>
          <w:highlight w:val="none"/>
          <w:lang w:eastAsia="zh-CN"/>
        </w:rPr>
        <w:t>：</w:t>
      </w:r>
      <w:r>
        <w:rPr>
          <w:rFonts w:ascii="宋体" w:hAnsi="宋体" w:eastAsia="宋体" w:cs="宋体"/>
          <w:sz w:val="24"/>
          <w:szCs w:val="24"/>
          <w:highlight w:val="none"/>
        </w:rPr>
        <w:t>需覆盖设备进场检验、安装施工规范、系统调试测试、竣工验收核验等各关键节点的质量管控节点与检验标准</w:t>
      </w:r>
      <w:r>
        <w:rPr>
          <w:rFonts w:hint="eastAsia" w:ascii="宋体" w:hAnsi="宋体" w:eastAsia="宋体" w:cs="宋体"/>
          <w:sz w:val="24"/>
          <w:szCs w:val="24"/>
          <w:highlight w:val="none"/>
          <w:lang w:eastAsia="zh-CN"/>
        </w:rPr>
        <w:t>；</w:t>
      </w:r>
      <w:r>
        <w:rPr>
          <w:rFonts w:hint="eastAsia" w:ascii="宋体" w:hAnsi="宋体" w:eastAsia="宋体" w:cs="宋体"/>
          <w:sz w:val="24"/>
          <w:highlight w:val="none"/>
          <w:lang w:val="en-US" w:eastAsia="zh-CN"/>
        </w:rPr>
        <w:t>②</w:t>
      </w:r>
      <w:r>
        <w:rPr>
          <w:rFonts w:hint="eastAsia" w:ascii="宋体" w:hAnsi="宋体" w:eastAsia="宋体" w:cs="宋体"/>
          <w:sz w:val="24"/>
          <w:highlight w:val="none"/>
        </w:rPr>
        <w:t>质量保障措施</w:t>
      </w:r>
      <w:r>
        <w:rPr>
          <w:rFonts w:hint="eastAsia" w:ascii="宋体" w:hAnsi="宋体" w:eastAsia="宋体" w:cs="宋体"/>
          <w:sz w:val="24"/>
          <w:highlight w:val="none"/>
          <w:lang w:eastAsia="zh-CN"/>
        </w:rPr>
        <w:t>：</w:t>
      </w:r>
      <w:r>
        <w:rPr>
          <w:rFonts w:ascii="宋体" w:hAnsi="宋体" w:eastAsia="宋体" w:cs="宋体"/>
          <w:sz w:val="24"/>
          <w:szCs w:val="24"/>
          <w:highlight w:val="none"/>
        </w:rPr>
        <w:t>需针对波分设备运行性能、链路传输指标、网络稳定性等核心要求，制定专项质量保障手段，确保满足招标要求</w:t>
      </w:r>
      <w:r>
        <w:rPr>
          <w:rFonts w:hint="eastAsia" w:ascii="宋体" w:hAnsi="宋体" w:eastAsia="宋体" w:cs="宋体"/>
          <w:sz w:val="24"/>
          <w:szCs w:val="24"/>
          <w:highlight w:val="none"/>
          <w:lang w:eastAsia="zh-CN"/>
        </w:rPr>
        <w:t>；</w:t>
      </w:r>
      <w:r>
        <w:rPr>
          <w:rFonts w:hint="eastAsia" w:ascii="宋体" w:hAnsi="宋体" w:eastAsia="宋体" w:cs="宋体"/>
          <w:sz w:val="24"/>
          <w:highlight w:val="none"/>
        </w:rPr>
        <w:t>③项目全流程综合管控措施</w:t>
      </w:r>
      <w:r>
        <w:rPr>
          <w:rFonts w:hint="eastAsia" w:ascii="宋体" w:hAnsi="宋体" w:eastAsia="宋体" w:cs="宋体"/>
          <w:sz w:val="24"/>
          <w:highlight w:val="none"/>
          <w:lang w:eastAsia="zh-CN"/>
        </w:rPr>
        <w:t>：</w:t>
      </w:r>
      <w:r>
        <w:rPr>
          <w:rFonts w:ascii="宋体" w:hAnsi="宋体" w:eastAsia="宋体" w:cs="宋体"/>
          <w:sz w:val="24"/>
          <w:szCs w:val="24"/>
          <w:highlight w:val="none"/>
        </w:rPr>
        <w:t>需建立从项目启动、建设实施到服务期运维的全周期质量管控体系，明确各环节责任主体与问题闭环整改机制</w:t>
      </w:r>
      <w:r>
        <w:rPr>
          <w:rFonts w:hint="eastAsia" w:ascii="宋体" w:hAnsi="宋体" w:eastAsia="宋体" w:cs="宋体"/>
          <w:sz w:val="24"/>
          <w:highlight w:val="none"/>
        </w:rPr>
        <w:t>。</w:t>
      </w:r>
    </w:p>
    <w:p w14:paraId="60476AF4">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4、应急</w:t>
      </w:r>
      <w:r>
        <w:rPr>
          <w:rFonts w:hint="eastAsia" w:ascii="宋体" w:hAnsi="宋体" w:eastAsia="宋体"/>
          <w:sz w:val="24"/>
          <w:szCs w:val="24"/>
          <w:highlight w:val="none"/>
          <w:lang w:val="en-US" w:eastAsia="zh-CN"/>
        </w:rPr>
        <w:t>管理</w:t>
      </w:r>
      <w:r>
        <w:rPr>
          <w:rFonts w:hint="eastAsia" w:ascii="宋体" w:hAnsi="宋体" w:eastAsia="宋体"/>
          <w:sz w:val="24"/>
          <w:szCs w:val="24"/>
          <w:highlight w:val="none"/>
          <w:lang w:val="en-US" w:eastAsia="en-US"/>
        </w:rPr>
        <w:t>方案</w:t>
      </w:r>
    </w:p>
    <w:p w14:paraId="11A5D7B0">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①应急组织架构</w:t>
      </w:r>
      <w:r>
        <w:rPr>
          <w:rFonts w:hint="eastAsia" w:ascii="宋体" w:hAnsi="宋体" w:eastAsia="宋体"/>
          <w:sz w:val="24"/>
          <w:szCs w:val="24"/>
          <w:highlight w:val="none"/>
          <w:lang w:val="en-US" w:eastAsia="zh-CN"/>
        </w:rPr>
        <w:t>：</w:t>
      </w:r>
      <w:r>
        <w:rPr>
          <w:rFonts w:hint="eastAsia" w:asciiTheme="minorEastAsia" w:hAnsiTheme="minorEastAsia" w:eastAsiaTheme="minorEastAsia" w:cstheme="minorEastAsia"/>
          <w:sz w:val="24"/>
          <w:highlight w:val="none"/>
          <w:lang w:eastAsia="zh-CN"/>
        </w:rPr>
        <w:t>投标方需成立应急小组，明确技术、运维等人员职责；</w:t>
      </w:r>
      <w:r>
        <w:rPr>
          <w:rFonts w:hint="eastAsia" w:ascii="宋体" w:hAnsi="宋体" w:eastAsia="宋体"/>
          <w:sz w:val="24"/>
          <w:szCs w:val="24"/>
          <w:highlight w:val="none"/>
          <w:lang w:val="en-US" w:eastAsia="en-US"/>
        </w:rPr>
        <w:t>②应急响应流程</w:t>
      </w:r>
      <w:r>
        <w:rPr>
          <w:rFonts w:hint="eastAsia" w:ascii="宋体" w:hAnsi="宋体" w:eastAsia="宋体"/>
          <w:sz w:val="24"/>
          <w:szCs w:val="24"/>
          <w:highlight w:val="none"/>
          <w:lang w:val="en-US" w:eastAsia="zh-CN"/>
        </w:rPr>
        <w:t>：</w:t>
      </w:r>
      <w:r>
        <w:rPr>
          <w:rFonts w:ascii="宋体" w:hAnsi="宋体" w:eastAsia="宋体" w:cs="宋体"/>
          <w:sz w:val="24"/>
          <w:szCs w:val="24"/>
          <w:highlight w:val="none"/>
        </w:rPr>
        <w:t>需针对链路中断、设备故障、网络异常等各类组网常见故障场景，制定分级响应机制、故障排查路径与修复处置流程</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en-US"/>
        </w:rPr>
        <w:t>③</w:t>
      </w:r>
      <w:r>
        <w:rPr>
          <w:rFonts w:hint="eastAsia" w:ascii="宋体" w:hAnsi="宋体" w:eastAsia="宋体"/>
          <w:sz w:val="24"/>
          <w:szCs w:val="24"/>
          <w:highlight w:val="none"/>
          <w:lang w:val="en-US" w:eastAsia="zh-CN"/>
        </w:rPr>
        <w:t>综合调度服务方案：</w:t>
      </w:r>
      <w:r>
        <w:rPr>
          <w:rFonts w:ascii="宋体" w:hAnsi="宋体" w:eastAsia="宋体" w:cs="宋体"/>
          <w:sz w:val="24"/>
          <w:szCs w:val="24"/>
          <w:highlight w:val="none"/>
        </w:rPr>
        <w:t>需明确现场人员、后台技术、运营商资源的协同调度机制，保障故障发生时可快速联动处置、缩短业务中断时长</w:t>
      </w:r>
      <w:r>
        <w:rPr>
          <w:rFonts w:hint="eastAsia" w:ascii="宋体" w:hAnsi="宋体" w:eastAsia="宋体"/>
          <w:sz w:val="24"/>
          <w:szCs w:val="24"/>
          <w:highlight w:val="none"/>
          <w:lang w:val="en-US" w:eastAsia="en-US"/>
        </w:rPr>
        <w:t>。</w:t>
      </w:r>
    </w:p>
    <w:p w14:paraId="0AD4D83E">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zh-CN"/>
        </w:rPr>
        <w:t>5</w:t>
      </w:r>
      <w:r>
        <w:rPr>
          <w:rFonts w:hint="eastAsia" w:ascii="宋体" w:hAnsi="宋体" w:eastAsia="宋体"/>
          <w:sz w:val="24"/>
          <w:szCs w:val="24"/>
          <w:highlight w:val="none"/>
          <w:lang w:val="en-US" w:eastAsia="en-US"/>
        </w:rPr>
        <w:t>、</w:t>
      </w:r>
      <w:r>
        <w:rPr>
          <w:rFonts w:hint="eastAsia" w:ascii="宋体" w:hAnsi="宋体" w:eastAsia="宋体"/>
          <w:sz w:val="24"/>
          <w:szCs w:val="24"/>
          <w:highlight w:val="none"/>
          <w:lang w:val="en-US" w:eastAsia="zh-CN"/>
        </w:rPr>
        <w:t>售后服务</w:t>
      </w:r>
      <w:r>
        <w:rPr>
          <w:rFonts w:hint="eastAsia" w:ascii="宋体" w:hAnsi="宋体" w:eastAsia="宋体"/>
          <w:sz w:val="24"/>
          <w:szCs w:val="24"/>
          <w:highlight w:val="none"/>
          <w:lang w:val="en-US" w:eastAsia="en-US"/>
        </w:rPr>
        <w:t>方案</w:t>
      </w:r>
    </w:p>
    <w:p w14:paraId="2518884B">
      <w:pPr>
        <w:pStyle w:val="201"/>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en-US"/>
        </w:rPr>
        <w:t>①本地化售后服务机构</w:t>
      </w:r>
      <w:r>
        <w:rPr>
          <w:rFonts w:hint="eastAsia" w:ascii="宋体" w:hAnsi="宋体" w:eastAsia="宋体"/>
          <w:sz w:val="24"/>
          <w:szCs w:val="24"/>
          <w:highlight w:val="none"/>
          <w:lang w:val="en-US" w:eastAsia="zh-CN"/>
        </w:rPr>
        <w:t>：</w:t>
      </w:r>
      <w:r>
        <w:rPr>
          <w:rFonts w:ascii="宋体" w:hAnsi="宋体" w:eastAsia="宋体" w:cs="宋体"/>
          <w:sz w:val="24"/>
          <w:szCs w:val="24"/>
          <w:highlight w:val="none"/>
        </w:rPr>
        <w:t>需明确本地化服务网点配置、专属服务团队人员组成与 7×24 小时响应渠道，保障可快速响应本项目售后服务需求</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en-US"/>
        </w:rPr>
        <w:t>②</w:t>
      </w:r>
      <w:r>
        <w:rPr>
          <w:rFonts w:hint="eastAsia" w:ascii="宋体" w:hAnsi="宋体" w:eastAsia="宋体"/>
          <w:sz w:val="24"/>
          <w:szCs w:val="24"/>
          <w:highlight w:val="none"/>
          <w:lang w:val="en-US" w:eastAsia="zh-CN"/>
        </w:rPr>
        <w:t>售后服务流程：</w:t>
      </w:r>
      <w:r>
        <w:rPr>
          <w:rFonts w:ascii="宋体" w:hAnsi="宋体" w:eastAsia="宋体" w:cs="宋体"/>
          <w:sz w:val="24"/>
          <w:szCs w:val="24"/>
          <w:highlight w:val="none"/>
        </w:rPr>
        <w:t>需制定标准化的报修受理、故障处置、定期巡检、问题闭环全流程服务机制，明确各环节响应时效与服务标准</w:t>
      </w:r>
      <w:r>
        <w:rPr>
          <w:rFonts w:hint="eastAsia" w:ascii="宋体" w:hAnsi="宋体" w:eastAsia="宋体" w:cs="宋体"/>
          <w:sz w:val="24"/>
          <w:szCs w:val="24"/>
          <w:highlight w:val="none"/>
          <w:lang w:eastAsia="zh-CN"/>
        </w:rPr>
        <w:t>；</w:t>
      </w:r>
      <w:r>
        <w:rPr>
          <w:rFonts w:hint="eastAsia" w:ascii="宋体" w:hAnsi="宋体" w:eastAsia="宋体"/>
          <w:sz w:val="24"/>
          <w:szCs w:val="24"/>
          <w:highlight w:val="none"/>
          <w:lang w:val="en-US" w:eastAsia="en-US"/>
        </w:rPr>
        <w:t>③培训方案</w:t>
      </w:r>
      <w:r>
        <w:rPr>
          <w:rFonts w:hint="eastAsia" w:ascii="宋体" w:hAnsi="宋体" w:eastAsia="宋体"/>
          <w:sz w:val="24"/>
          <w:szCs w:val="24"/>
          <w:highlight w:val="none"/>
          <w:lang w:val="en-US" w:eastAsia="zh-CN"/>
        </w:rPr>
        <w:t>：</w:t>
      </w:r>
      <w:r>
        <w:rPr>
          <w:rFonts w:ascii="宋体" w:hAnsi="宋体" w:eastAsia="宋体" w:cs="宋体"/>
          <w:sz w:val="24"/>
          <w:szCs w:val="24"/>
          <w:highlight w:val="none"/>
        </w:rPr>
        <w:t>需制定分层分类的培训计划，涵盖设备操作、日常维护、故障排查等内容。</w:t>
      </w:r>
    </w:p>
    <w:p w14:paraId="75BA74D0">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Times New Roman"/>
          <w:b/>
          <w:bCs/>
          <w:sz w:val="24"/>
          <w:szCs w:val="24"/>
          <w:highlight w:val="none"/>
          <w:lang w:eastAsia="zh-CN"/>
        </w:rPr>
      </w:pPr>
      <w:r>
        <w:rPr>
          <w:rFonts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四</w:t>
      </w:r>
      <w:r>
        <w:rPr>
          <w:rFonts w:ascii="宋体" w:hAnsi="宋体" w:eastAsia="宋体" w:cs="Times New Roman"/>
          <w:b/>
          <w:bCs/>
          <w:sz w:val="24"/>
          <w:szCs w:val="24"/>
          <w:highlight w:val="none"/>
          <w:lang w:eastAsia="zh-CN"/>
        </w:rPr>
        <w:t>）付款进度及方式</w:t>
      </w:r>
    </w:p>
    <w:p w14:paraId="3347969A">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第一标段：在合同签订后30个工作日内支付合同金额10%预付款，</w:t>
      </w:r>
      <w:r>
        <w:rPr>
          <w:rFonts w:hint="eastAsia" w:ascii="宋体" w:hAnsi="宋体" w:eastAsia="宋体" w:cs="宋体"/>
          <w:sz w:val="24"/>
          <w:szCs w:val="24"/>
          <w:highlight w:val="none"/>
          <w:shd w:val="clear" w:color="auto" w:fill="FFFFFF"/>
          <w:lang w:val="en-US" w:eastAsia="zh-CN"/>
        </w:rPr>
        <w:t>合同签订后30天内完成组网建设并试运行，试运行通过后组织项目阶段性验收，验收通过后经甲方确认具备服务条件后进入服务期并支付至总款项的50%</w:t>
      </w:r>
      <w:r>
        <w:rPr>
          <w:rFonts w:hint="eastAsia" w:ascii="宋体" w:hAnsi="宋体" w:eastAsia="宋体" w:cs="宋体"/>
          <w:sz w:val="24"/>
          <w:szCs w:val="24"/>
          <w:highlight w:val="none"/>
          <w:lang w:val="en-US" w:eastAsia="zh-CN"/>
        </w:rPr>
        <w:t>，本次付款时，前期已支付的10%预付款将全额自动冲抵对应比例款项，甲方本次实际向乙方支付剩余40%进度款。第一年服务期结束后，根据第一年考核结果支付第一年服务费剩余的款项。</w:t>
      </w:r>
    </w:p>
    <w:p w14:paraId="0BC8EA90">
      <w:pPr>
        <w:pStyle w:val="201"/>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第二标段：在合同签订后30个工作日内支付合同金额10%预付款，</w:t>
      </w:r>
      <w:r>
        <w:rPr>
          <w:rFonts w:hint="eastAsia" w:ascii="宋体" w:hAnsi="宋体" w:eastAsia="宋体" w:cs="宋体"/>
          <w:sz w:val="24"/>
          <w:szCs w:val="24"/>
          <w:highlight w:val="none"/>
          <w:shd w:val="clear" w:color="auto" w:fill="FFFFFF"/>
          <w:lang w:val="en-US" w:eastAsia="zh-CN"/>
        </w:rPr>
        <w:t>合同签订后30天内完成组网建设并试运行，试运行通过后组织项目阶段性验收，验收通过后经甲方确认具备服务条件后进入服务期并支付至总款项的50%</w:t>
      </w:r>
      <w:r>
        <w:rPr>
          <w:rFonts w:hint="eastAsia" w:ascii="宋体" w:hAnsi="宋体" w:eastAsia="宋体" w:cs="宋体"/>
          <w:sz w:val="24"/>
          <w:szCs w:val="24"/>
          <w:highlight w:val="none"/>
          <w:lang w:val="en-US" w:eastAsia="zh-CN"/>
        </w:rPr>
        <w:t>，本次付款时，前期已支付的10%预付款将全额自动冲抵对应比例款项，甲方本次实际向乙方支付剩余40%进度款。第一年服务期结束后，根据第一年考核结果支付第一年服务费剩余的款项。</w:t>
      </w:r>
    </w:p>
    <w:p w14:paraId="780F5DC1">
      <w:pPr>
        <w:pStyle w:val="201"/>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Times New Roman"/>
          <w:b/>
          <w:bCs/>
          <w:sz w:val="24"/>
          <w:szCs w:val="24"/>
          <w:highlight w:val="none"/>
          <w:lang w:eastAsia="zh-CN"/>
        </w:rPr>
      </w:pPr>
      <w:r>
        <w:rPr>
          <w:rFonts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五</w:t>
      </w:r>
      <w:r>
        <w:rPr>
          <w:rFonts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eastAsia="zh-CN"/>
        </w:rPr>
        <w:t>合同履行期限</w:t>
      </w:r>
    </w:p>
    <w:p w14:paraId="37437F5E">
      <w:pPr>
        <w:pStyle w:val="40"/>
        <w:keepNext w:val="0"/>
        <w:keepLines w:val="0"/>
        <w:pageBreakBefore w:val="0"/>
        <w:widowControl/>
        <w:kinsoku/>
        <w:wordWrap/>
        <w:overflowPunct/>
        <w:topLinePunct w:val="0"/>
        <w:autoSpaceDE/>
        <w:autoSpaceDN/>
        <w:bidi w:val="0"/>
        <w:adjustRightInd/>
        <w:snapToGrid/>
        <w:spacing w:after="0" w:line="480" w:lineRule="exact"/>
        <w:ind w:firstLine="480" w:firstLineChars="200"/>
        <w:textAlignment w:val="auto"/>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val="en-US" w:eastAsia="zh-CN"/>
        </w:rPr>
        <w:t>合同签订后30天内完成组网建设并试运行，试运行通过后组织项目阶段性验收，验收通过后经甲方确认具备服务条件后进入服务期，本项目服务期为一年。</w:t>
      </w:r>
    </w:p>
    <w:p w14:paraId="4993B055">
      <w:pPr>
        <w:pStyle w:val="201"/>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b/>
          <w:sz w:val="24"/>
          <w:szCs w:val="24"/>
          <w:highlight w:val="none"/>
          <w:lang w:eastAsia="zh-CN"/>
        </w:rPr>
      </w:pPr>
    </w:p>
    <w:p w14:paraId="3C4C9DDC">
      <w:pPr>
        <w:pStyle w:val="201"/>
        <w:spacing w:line="460" w:lineRule="exact"/>
        <w:rPr>
          <w:rFonts w:hint="eastAsia" w:ascii="宋体" w:hAnsi="宋体" w:eastAsia="宋体" w:cs="宋体"/>
          <w:b/>
          <w:sz w:val="24"/>
          <w:szCs w:val="24"/>
          <w:highlight w:val="none"/>
          <w:lang w:eastAsia="zh-CN"/>
        </w:rPr>
      </w:pPr>
    </w:p>
    <w:p w14:paraId="44471788">
      <w:pPr>
        <w:spacing w:line="50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附件1：服务类项目履约验收方案</w:t>
      </w:r>
      <w:r>
        <w:rPr>
          <w:rFonts w:hint="eastAsia" w:ascii="宋体" w:hAnsi="宋体" w:eastAsia="宋体" w:cs="宋体"/>
          <w:sz w:val="24"/>
          <w:szCs w:val="24"/>
          <w:highlight w:val="none"/>
          <w:lang w:eastAsia="zh-CN"/>
        </w:rPr>
        <w:t>（模板，具体验收方案以本项目管理考核办法为准）</w:t>
      </w:r>
    </w:p>
    <w:p w14:paraId="5EDDC8E0">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一、项目概况</w:t>
      </w:r>
    </w:p>
    <w:p w14:paraId="68BE39E3">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项目编号：</w:t>
      </w:r>
    </w:p>
    <w:p w14:paraId="67C16CF2">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项目名称：</w:t>
      </w:r>
    </w:p>
    <w:p w14:paraId="313CE4CA">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供应商名称：</w:t>
      </w:r>
    </w:p>
    <w:p w14:paraId="7E520CB9">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合同金额：</w:t>
      </w:r>
    </w:p>
    <w:p w14:paraId="6C7B0971">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验收主体：</w:t>
      </w:r>
    </w:p>
    <w:p w14:paraId="23C36ACE">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二、验收目的</w:t>
      </w:r>
    </w:p>
    <w:p w14:paraId="0B3A8E67">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3F658D88">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三、验收依据</w:t>
      </w:r>
    </w:p>
    <w:p w14:paraId="2F0CB4FC">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7E1B203B">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四、验收责任主体</w:t>
      </w:r>
    </w:p>
    <w:p w14:paraId="28B8337A">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2E8D60F3">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五、验收准备</w:t>
      </w:r>
    </w:p>
    <w:p w14:paraId="0F5D4DED">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5.1、验收准备</w:t>
      </w:r>
    </w:p>
    <w:p w14:paraId="3F49A37C">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5.1.1、政府采购合同约定的履约验收条件达到，采购人应当在5个工作 日内启动履约验收工作，并向供应商发出政府采购履约验收通知单。</w:t>
      </w:r>
    </w:p>
    <w:p w14:paraId="0FD8891C">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5.1.2、供应商应当配合采购人、采购代理机构做好项目验收工作，及时提供与项目验收相关的生产、技术、服务、数量、质量、安全、合格证明及验收所必须具备的其他材料。</w:t>
      </w:r>
    </w:p>
    <w:p w14:paraId="5D824815">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5.2、验收小组</w:t>
      </w:r>
    </w:p>
    <w:p w14:paraId="2FED7090">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72C6BDBD">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7ABAAA11">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5.3、参与验收人员</w:t>
      </w:r>
    </w:p>
    <w:p w14:paraId="5768A679">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5.3.1、技术复杂或专业性强的政府采购项目，可以邀请有资质的第三方专业机构参加验收并出具专业意见。</w:t>
      </w:r>
    </w:p>
    <w:p w14:paraId="7D31F75F">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5.3.2、对于采购人和使用人分离的采购项目，采购人或其委托的采购代理机构应当邀请实际使用人参与验收。</w:t>
      </w:r>
    </w:p>
    <w:p w14:paraId="2BE4DE8E">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5.3.3、政府向社会公众提供的公共服务项目，验收时应当邀请服务对象进行公共服务项目满意度评价，评价结果作为履约验收的参考依据。</w:t>
      </w:r>
    </w:p>
    <w:p w14:paraId="5BEE3339">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六、验收方式(形式)</w:t>
      </w:r>
    </w:p>
    <w:p w14:paraId="5A839892">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6.1、日常考核、分段验收</w:t>
      </w:r>
    </w:p>
    <w:p w14:paraId="5A7F1EAA">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542AD5AE">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七、验收内容：</w:t>
      </w:r>
    </w:p>
    <w:p w14:paraId="651A5322">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7.1、验收内容</w:t>
      </w:r>
    </w:p>
    <w:p w14:paraId="5875FAAF">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p>
    <w:p w14:paraId="15063BF6">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7.1.2、项目验收范围应当完整，与采购合同一致，不得省略、遗漏和缺失，也不得擅自扩大范围。</w:t>
      </w:r>
    </w:p>
    <w:p w14:paraId="3C4EB2F8">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7.1.3、项目验收标准应包括所有客观、量化指标，符合采购合同约定，未进行相应约定的，应当符合法律法规、政策要求、国家标准、行业标准，地方标准或企业标准等有关标准。</w:t>
      </w:r>
    </w:p>
    <w:p w14:paraId="2EC2A4B1">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7.1.4、项目验收意见应当客观真实。验收小组成员意见不一致时，按照少数服从多数的原则作出验收意见。</w:t>
      </w:r>
    </w:p>
    <w:p w14:paraId="237A971E">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7.2、验收记录</w:t>
      </w:r>
    </w:p>
    <w:p w14:paraId="3DB5AB8C">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7.2.1、验收小组应当要求参与验收的供应商、专业机构、专家和服务对象等出具书面意见，作为验收书的重要组成部分。</w:t>
      </w:r>
    </w:p>
    <w:p w14:paraId="0E4797BD">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6507E869">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2268BF9A">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八、验收结果</w:t>
      </w:r>
    </w:p>
    <w:p w14:paraId="2BB6F138">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8.1采购人、供应商应当对验收小组出具的验收意见进行确认，并形成政府采购履约验收书。对验收意见存在异议的，采购人与供应商双方可以协商解决，或通过法律途径解决。</w:t>
      </w:r>
    </w:p>
    <w:p w14:paraId="58EA82E0">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8.2项目履约验收合格的，采购人应当根据政府采购合同约定及时向供应商支付采购资金、退还履约保证金，不得拖延、拖欠或非法扣留。</w:t>
      </w:r>
    </w:p>
    <w:p w14:paraId="0594B4D7">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8.3项目验收不合格的，采购人应当停止支付采购资金，并按照政府采购合同约定追究供应商违约责任。</w:t>
      </w:r>
    </w:p>
    <w:p w14:paraId="35D72DD6">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8.4涉及分期（分段）验收的项目，采购人应当开展阶段性验收，并出具阶段性验收意见，最后形成总验收意见。</w:t>
      </w:r>
    </w:p>
    <w:p w14:paraId="56535463">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九、验收资料归档</w:t>
      </w:r>
    </w:p>
    <w:p w14:paraId="722AE633">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项目履约验收完结后，采购人应当将验收小组名单、验收方案、验收原始记录、验收结果等资料作为采购项目档案 妥善保管，不得伪造、编造、隐匿或者违规销毁。</w:t>
      </w:r>
    </w:p>
    <w:p w14:paraId="444BC1CE">
      <w:pPr>
        <w:pStyle w:val="201"/>
        <w:spacing w:line="460" w:lineRule="exact"/>
        <w:rPr>
          <w:rFonts w:hint="eastAsia" w:ascii="宋体" w:hAnsi="宋体" w:eastAsia="宋体" w:cs="宋体"/>
          <w:spacing w:val="9"/>
          <w:sz w:val="24"/>
          <w:szCs w:val="24"/>
          <w:highlight w:val="none"/>
          <w:lang w:eastAsia="zh-CN"/>
        </w:rPr>
      </w:pPr>
    </w:p>
    <w:p w14:paraId="4AE45DDE">
      <w:pPr>
        <w:pStyle w:val="201"/>
        <w:spacing w:line="460" w:lineRule="exact"/>
        <w:rPr>
          <w:rFonts w:hint="eastAsia" w:ascii="宋体" w:hAnsi="宋体" w:eastAsia="宋体" w:cs="宋体"/>
          <w:spacing w:val="9"/>
          <w:sz w:val="24"/>
          <w:szCs w:val="24"/>
          <w:highlight w:val="none"/>
          <w:lang w:eastAsia="zh-CN"/>
        </w:rPr>
      </w:pPr>
    </w:p>
    <w:p w14:paraId="0EFCF040">
      <w:pPr>
        <w:pStyle w:val="201"/>
        <w:spacing w:line="460" w:lineRule="exact"/>
        <w:rPr>
          <w:rFonts w:hint="eastAsia" w:ascii="宋体" w:hAnsi="宋体" w:eastAsia="宋体" w:cs="宋体"/>
          <w:spacing w:val="9"/>
          <w:sz w:val="24"/>
          <w:szCs w:val="24"/>
          <w:highlight w:val="none"/>
          <w:lang w:eastAsia="zh-CN"/>
        </w:rPr>
      </w:pPr>
    </w:p>
    <w:p w14:paraId="64E3B828">
      <w:pPr>
        <w:pStyle w:val="201"/>
        <w:spacing w:line="460" w:lineRule="exact"/>
        <w:rPr>
          <w:rFonts w:hint="eastAsia" w:ascii="宋体" w:hAnsi="宋体" w:eastAsia="宋体" w:cs="宋体"/>
          <w:spacing w:val="9"/>
          <w:sz w:val="24"/>
          <w:szCs w:val="24"/>
          <w:highlight w:val="none"/>
          <w:lang w:eastAsia="zh-CN"/>
        </w:rPr>
      </w:pPr>
    </w:p>
    <w:p w14:paraId="1BCD9252">
      <w:pPr>
        <w:pStyle w:val="201"/>
        <w:spacing w:line="460" w:lineRule="exact"/>
        <w:rPr>
          <w:rFonts w:hint="eastAsia" w:ascii="宋体" w:hAnsi="宋体" w:eastAsia="宋体" w:cs="宋体"/>
          <w:spacing w:val="9"/>
          <w:sz w:val="24"/>
          <w:szCs w:val="24"/>
          <w:highlight w:val="none"/>
          <w:lang w:eastAsia="zh-CN"/>
        </w:rPr>
      </w:pPr>
    </w:p>
    <w:p w14:paraId="60D820F8">
      <w:pPr>
        <w:spacing w:after="0" w:line="240" w:lineRule="auto"/>
        <w:rPr>
          <w:rFonts w:hint="eastAsia"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r>
    </w:p>
    <w:p w14:paraId="5109FBB2">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hint="eastAsia" w:ascii="宋体" w:hAnsi="宋体" w:eastAsia="宋体" w:cs="宋体"/>
          <w:b/>
          <w:sz w:val="44"/>
          <w:highlight w:val="none"/>
          <w:lang w:eastAsia="zh-CN"/>
        </w:rPr>
      </w:pPr>
      <w:r>
        <w:rPr>
          <w:rFonts w:hint="eastAsia" w:ascii="宋体" w:hAnsi="宋体" w:eastAsia="宋体" w:cs="宋体"/>
          <w:b/>
          <w:spacing w:val="9"/>
          <w:sz w:val="36"/>
          <w:szCs w:val="36"/>
          <w:highlight w:val="none"/>
          <w:lang w:eastAsia="zh-CN"/>
        </w:rPr>
        <w:t>政府采购履约验收书(服务类）</w:t>
      </w:r>
    </w:p>
    <w:tbl>
      <w:tblPr>
        <w:tblStyle w:val="45"/>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6EAC8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29AD368">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0FFDB518">
            <w:pPr>
              <w:spacing w:line="300" w:lineRule="exact"/>
              <w:jc w:val="center"/>
              <w:rPr>
                <w:rFonts w:hint="eastAsia"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5AEFC9CC">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4D762663">
            <w:pPr>
              <w:spacing w:line="30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01CFAA8D">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76B3FCBB">
            <w:pPr>
              <w:spacing w:line="300" w:lineRule="exact"/>
              <w:jc w:val="center"/>
              <w:rPr>
                <w:rFonts w:hint="eastAsia" w:ascii="宋体" w:hAnsi="宋体" w:eastAsia="宋体" w:cs="宋体"/>
                <w:sz w:val="18"/>
                <w:szCs w:val="18"/>
                <w:highlight w:val="none"/>
                <w:lang w:bidi="ar"/>
              </w:rPr>
            </w:pPr>
          </w:p>
        </w:tc>
      </w:tr>
      <w:tr w14:paraId="3B0BE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6B1887C">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258C6DFB">
            <w:pPr>
              <w:spacing w:line="300" w:lineRule="exact"/>
              <w:jc w:val="center"/>
              <w:rPr>
                <w:rFonts w:hint="eastAsia"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3F1B55A5">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01099B00">
            <w:pPr>
              <w:spacing w:line="30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410EE54F">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5028BAE6">
            <w:pPr>
              <w:spacing w:line="300" w:lineRule="exact"/>
              <w:jc w:val="center"/>
              <w:rPr>
                <w:rFonts w:hint="eastAsia" w:ascii="宋体" w:hAnsi="宋体" w:eastAsia="宋体" w:cs="宋体"/>
                <w:sz w:val="18"/>
                <w:szCs w:val="18"/>
                <w:highlight w:val="none"/>
                <w:lang w:bidi="ar"/>
              </w:rPr>
            </w:pPr>
          </w:p>
        </w:tc>
      </w:tr>
      <w:tr w14:paraId="073B2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15232E2">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6690762B">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4414475C">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4D912573">
            <w:pPr>
              <w:spacing w:line="300" w:lineRule="exact"/>
              <w:jc w:val="center"/>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共分   期（段），此为第   期（段）验收</w:t>
            </w:r>
          </w:p>
        </w:tc>
      </w:tr>
      <w:tr w14:paraId="3C092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8FB14E7">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53F607C0">
            <w:pPr>
              <w:spacing w:line="300" w:lineRule="exact"/>
              <w:jc w:val="center"/>
              <w:rPr>
                <w:rFonts w:hint="eastAsia"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0CFE3848">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6FD0C3AB">
            <w:pPr>
              <w:spacing w:line="30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ABA54E8">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27BF610C">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□自行简易验收</w:t>
            </w:r>
          </w:p>
          <w:p w14:paraId="0F7D544E">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□验收小组验收</w:t>
            </w:r>
          </w:p>
          <w:p w14:paraId="36FBC23A">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□采购代理机构验收</w:t>
            </w:r>
          </w:p>
        </w:tc>
      </w:tr>
      <w:tr w14:paraId="550D6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043328E5">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0A2C4915">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0C8B8686">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1DBABC50">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1853BCAF">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060A8219">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3EAE000E">
            <w:pPr>
              <w:spacing w:line="300" w:lineRule="exact"/>
              <w:jc w:val="center"/>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合同履约时间、 地点、方式</w:t>
            </w:r>
          </w:p>
        </w:tc>
      </w:tr>
      <w:tr w14:paraId="0F0C0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16CA0466">
            <w:pPr>
              <w:spacing w:line="300" w:lineRule="exact"/>
              <w:jc w:val="center"/>
              <w:rPr>
                <w:rFonts w:hint="eastAsia" w:ascii="宋体" w:hAnsi="宋体" w:eastAsia="宋体" w:cs="宋体"/>
                <w:sz w:val="18"/>
                <w:szCs w:val="18"/>
                <w:highlight w:val="none"/>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6FBE05FF">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1CCAD12">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4B70A3A7">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按  时□ </w:t>
            </w:r>
          </w:p>
          <w:p w14:paraId="1009A33E">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416E9E0E">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202939C0">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0C1407F8">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1B1CB375">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30DF9ABA">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0CCBF315">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06037A3D">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1B0B943">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r>
      <w:tr w14:paraId="1093F7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B7AD236">
            <w:pPr>
              <w:spacing w:line="300" w:lineRule="exact"/>
              <w:jc w:val="center"/>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DCDB8E0">
            <w:pPr>
              <w:spacing w:line="300" w:lineRule="exact"/>
              <w:jc w:val="center"/>
              <w:rPr>
                <w:rFonts w:hint="eastAsia" w:ascii="宋体" w:hAnsi="宋体" w:eastAsia="宋体" w:cs="宋体"/>
                <w:sz w:val="18"/>
                <w:szCs w:val="18"/>
                <w:highlight w:val="none"/>
                <w:lang w:eastAsia="zh-CN" w:bidi="ar"/>
              </w:rPr>
            </w:pPr>
          </w:p>
        </w:tc>
      </w:tr>
      <w:tr w14:paraId="77737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B37F055">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存在问题</w:t>
            </w:r>
          </w:p>
          <w:p w14:paraId="6021D3AE">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CC31A48">
            <w:pPr>
              <w:spacing w:line="300" w:lineRule="exact"/>
              <w:jc w:val="center"/>
              <w:rPr>
                <w:rFonts w:hint="eastAsia" w:ascii="宋体" w:hAnsi="宋体" w:eastAsia="宋体" w:cs="宋体"/>
                <w:sz w:val="18"/>
                <w:szCs w:val="18"/>
                <w:highlight w:val="none"/>
                <w:lang w:bidi="ar"/>
              </w:rPr>
            </w:pPr>
          </w:p>
        </w:tc>
      </w:tr>
      <w:tr w14:paraId="5EF0A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EBE2561">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10F40AA">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  格□                              不合格□</w:t>
            </w:r>
          </w:p>
        </w:tc>
      </w:tr>
      <w:tr w14:paraId="6744A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F3190D7">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验收小组成员</w:t>
            </w:r>
          </w:p>
          <w:p w14:paraId="6EA0C8F6">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0FD6BF60">
            <w:pPr>
              <w:spacing w:line="300" w:lineRule="exact"/>
              <w:jc w:val="center"/>
              <w:rPr>
                <w:rFonts w:hint="eastAsia" w:ascii="宋体" w:hAnsi="宋体" w:eastAsia="宋体" w:cs="宋体"/>
                <w:sz w:val="18"/>
                <w:szCs w:val="18"/>
                <w:highlight w:val="none"/>
                <w:lang w:bidi="ar"/>
              </w:rPr>
            </w:pPr>
          </w:p>
        </w:tc>
      </w:tr>
      <w:tr w14:paraId="7A212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4B3D8682">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7CCFDE46">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采购人意见</w:t>
            </w:r>
          </w:p>
        </w:tc>
      </w:tr>
      <w:tr w14:paraId="57DEF2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3575D607">
            <w:pPr>
              <w:spacing w:line="300" w:lineRule="exact"/>
              <w:rPr>
                <w:rFonts w:hint="eastAsia" w:ascii="宋体" w:hAnsi="宋体" w:eastAsia="宋体" w:cs="宋体"/>
                <w:sz w:val="18"/>
                <w:szCs w:val="18"/>
                <w:highlight w:val="none"/>
                <w:lang w:eastAsia="zh-CN" w:bidi="ar"/>
              </w:rPr>
            </w:pPr>
          </w:p>
          <w:p w14:paraId="0400AA64">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56C34CE4">
            <w:pPr>
              <w:spacing w:line="300" w:lineRule="exact"/>
              <w:rPr>
                <w:rFonts w:hint="eastAsia" w:ascii="宋体" w:hAnsi="宋体" w:eastAsia="宋体" w:cs="宋体"/>
                <w:sz w:val="18"/>
                <w:szCs w:val="18"/>
                <w:highlight w:val="none"/>
                <w:lang w:eastAsia="zh-CN" w:bidi="ar"/>
              </w:rPr>
            </w:pPr>
          </w:p>
          <w:p w14:paraId="5138C845">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（采购人公章）</w:t>
            </w:r>
          </w:p>
        </w:tc>
      </w:tr>
      <w:tr w14:paraId="09E548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6BE2A13B">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供应商确认：</w:t>
            </w:r>
          </w:p>
          <w:p w14:paraId="18F3D799">
            <w:pPr>
              <w:spacing w:line="300" w:lineRule="exact"/>
              <w:rPr>
                <w:rFonts w:hint="eastAsia" w:ascii="宋体" w:hAnsi="宋体" w:eastAsia="宋体" w:cs="宋体"/>
                <w:sz w:val="18"/>
                <w:szCs w:val="18"/>
                <w:highlight w:val="none"/>
                <w:lang w:eastAsia="zh-CN" w:bidi="ar"/>
              </w:rPr>
            </w:pPr>
          </w:p>
          <w:p w14:paraId="01A72793">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（单位公章或授权代表签字）</w:t>
            </w:r>
          </w:p>
        </w:tc>
      </w:tr>
    </w:tbl>
    <w:p w14:paraId="44333774">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tbl>
      <w:tblPr>
        <w:tblStyle w:val="45"/>
        <w:tblW w:w="4714" w:type="pct"/>
        <w:tblInd w:w="174" w:type="dxa"/>
        <w:tblLayout w:type="autofit"/>
        <w:tblCellMar>
          <w:top w:w="0" w:type="dxa"/>
          <w:left w:w="108" w:type="dxa"/>
          <w:bottom w:w="0" w:type="dxa"/>
          <w:right w:w="108" w:type="dxa"/>
        </w:tblCellMar>
      </w:tblPr>
      <w:tblGrid>
        <w:gridCol w:w="3844"/>
        <w:gridCol w:w="751"/>
        <w:gridCol w:w="2655"/>
        <w:gridCol w:w="1774"/>
      </w:tblGrid>
      <w:tr w14:paraId="7EC63F0F">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14:paraId="46CAFBD7">
            <w:pPr>
              <w:jc w:val="center"/>
              <w:textAlignment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bidi="ar"/>
              </w:rPr>
              <w:t>政府采购履约验收通知单</w:t>
            </w:r>
          </w:p>
        </w:tc>
      </w:tr>
      <w:tr w14:paraId="2F24433E">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noWrap/>
            <w:vAlign w:val="center"/>
          </w:tcPr>
          <w:p w14:paraId="04003589">
            <w:pP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供应商：</w:t>
            </w:r>
          </w:p>
        </w:tc>
        <w:tc>
          <w:tcPr>
            <w:tcW w:w="416" w:type="pct"/>
            <w:tcBorders>
              <w:top w:val="nil"/>
              <w:left w:val="nil"/>
              <w:bottom w:val="nil"/>
              <w:right w:val="nil"/>
            </w:tcBorders>
            <w:noWrap/>
            <w:vAlign w:val="center"/>
          </w:tcPr>
          <w:p w14:paraId="653FEBBD">
            <w:pPr>
              <w:jc w:val="center"/>
              <w:rPr>
                <w:rFonts w:hint="eastAsia" w:ascii="宋体" w:hAnsi="宋体" w:eastAsia="宋体" w:cs="宋体"/>
                <w:sz w:val="24"/>
                <w:szCs w:val="24"/>
                <w:highlight w:val="none"/>
              </w:rPr>
            </w:pPr>
          </w:p>
        </w:tc>
        <w:tc>
          <w:tcPr>
            <w:tcW w:w="1471" w:type="pct"/>
            <w:tcBorders>
              <w:top w:val="nil"/>
              <w:left w:val="nil"/>
              <w:bottom w:val="nil"/>
              <w:right w:val="nil"/>
            </w:tcBorders>
            <w:noWrap/>
            <w:vAlign w:val="center"/>
          </w:tcPr>
          <w:p w14:paraId="10ACE661">
            <w:pPr>
              <w:jc w:val="center"/>
              <w:rPr>
                <w:rFonts w:hint="eastAsia" w:ascii="宋体" w:hAnsi="宋体" w:eastAsia="宋体" w:cs="宋体"/>
                <w:sz w:val="24"/>
                <w:szCs w:val="24"/>
                <w:highlight w:val="none"/>
              </w:rPr>
            </w:pPr>
          </w:p>
        </w:tc>
        <w:tc>
          <w:tcPr>
            <w:tcW w:w="981" w:type="pct"/>
            <w:tcBorders>
              <w:top w:val="nil"/>
              <w:left w:val="nil"/>
              <w:bottom w:val="nil"/>
              <w:right w:val="nil"/>
            </w:tcBorders>
            <w:noWrap/>
            <w:vAlign w:val="center"/>
          </w:tcPr>
          <w:p w14:paraId="0B192638">
            <w:pPr>
              <w:jc w:val="center"/>
              <w:rPr>
                <w:rFonts w:hint="eastAsia" w:ascii="宋体" w:hAnsi="宋体" w:eastAsia="宋体" w:cs="宋体"/>
                <w:sz w:val="24"/>
                <w:szCs w:val="24"/>
                <w:highlight w:val="none"/>
              </w:rPr>
            </w:pPr>
          </w:p>
        </w:tc>
      </w:tr>
      <w:tr w14:paraId="7AF1017A">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05EE88B">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17C9565D">
            <w:pPr>
              <w:jc w:val="center"/>
              <w:rPr>
                <w:rFonts w:hint="eastAsia" w:ascii="宋体" w:hAnsi="宋体" w:eastAsia="宋体" w:cs="宋体"/>
                <w:sz w:val="24"/>
                <w:szCs w:val="24"/>
                <w:highlight w:val="none"/>
              </w:rPr>
            </w:pPr>
          </w:p>
        </w:tc>
      </w:tr>
      <w:tr w14:paraId="51AF784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65146894">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797D1CA0">
            <w:pPr>
              <w:jc w:val="center"/>
              <w:rPr>
                <w:rFonts w:hint="eastAsia" w:ascii="宋体" w:hAnsi="宋体" w:eastAsia="宋体" w:cs="宋体"/>
                <w:sz w:val="24"/>
                <w:szCs w:val="24"/>
                <w:highlight w:val="none"/>
              </w:rPr>
            </w:pPr>
          </w:p>
        </w:tc>
      </w:tr>
      <w:tr w14:paraId="597FD102">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F14D675">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7D9AD913">
            <w:pPr>
              <w:jc w:val="center"/>
              <w:rPr>
                <w:rFonts w:hint="eastAsia" w:ascii="宋体" w:hAnsi="宋体" w:eastAsia="宋体" w:cs="宋体"/>
                <w:sz w:val="24"/>
                <w:szCs w:val="24"/>
                <w:highlight w:val="none"/>
              </w:rPr>
            </w:pPr>
          </w:p>
        </w:tc>
      </w:tr>
      <w:tr w14:paraId="3C591D1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4A42408D">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37E80EA6">
            <w:pPr>
              <w:jc w:val="center"/>
              <w:rPr>
                <w:rFonts w:hint="eastAsia"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6B8A77B6">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26C5B07D">
            <w:pPr>
              <w:jc w:val="center"/>
              <w:rPr>
                <w:rFonts w:hint="eastAsia" w:ascii="宋体" w:hAnsi="宋体" w:eastAsia="宋体" w:cs="宋体"/>
                <w:sz w:val="24"/>
                <w:szCs w:val="24"/>
                <w:highlight w:val="none"/>
              </w:rPr>
            </w:pPr>
          </w:p>
        </w:tc>
      </w:tr>
      <w:tr w14:paraId="41F05573">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49FA9320">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28B43834">
            <w:pPr>
              <w:jc w:val="center"/>
              <w:rPr>
                <w:rFonts w:hint="eastAsia"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7C7F9FC8">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58DA7861">
            <w:pPr>
              <w:jc w:val="center"/>
              <w:rPr>
                <w:rFonts w:hint="eastAsia" w:ascii="宋体" w:hAnsi="宋体" w:eastAsia="宋体" w:cs="宋体"/>
                <w:sz w:val="24"/>
                <w:szCs w:val="24"/>
                <w:highlight w:val="none"/>
              </w:rPr>
            </w:pPr>
          </w:p>
        </w:tc>
      </w:tr>
      <w:tr w14:paraId="5CC7E316">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3329F53">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5A5E9E32">
            <w:pPr>
              <w:jc w:val="center"/>
              <w:rPr>
                <w:rFonts w:hint="eastAsia"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62ADB0B5">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2446B8FB">
            <w:pPr>
              <w:jc w:val="center"/>
              <w:rPr>
                <w:rFonts w:hint="eastAsia" w:ascii="宋体" w:hAnsi="宋体" w:eastAsia="宋体" w:cs="宋体"/>
                <w:sz w:val="24"/>
                <w:szCs w:val="24"/>
                <w:highlight w:val="none"/>
              </w:rPr>
            </w:pPr>
          </w:p>
        </w:tc>
      </w:tr>
      <w:tr w14:paraId="23E32400">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10CDE892">
            <w:pPr>
              <w:jc w:val="center"/>
              <w:textAlignment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履约验收方案及工作要求</w:t>
            </w:r>
          </w:p>
        </w:tc>
      </w:tr>
      <w:tr w14:paraId="433283C4">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6900A0E4">
            <w:pPr>
              <w:jc w:val="center"/>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w:t>
            </w:r>
          </w:p>
          <w:p w14:paraId="4FE8CE87">
            <w:pPr>
              <w:jc w:val="center"/>
              <w:textAlignment w:val="center"/>
              <w:rPr>
                <w:rFonts w:hint="eastAsia" w:ascii="宋体" w:hAnsi="宋体" w:eastAsia="宋体" w:cs="宋体"/>
                <w:sz w:val="24"/>
                <w:szCs w:val="24"/>
                <w:highlight w:val="none"/>
                <w:lang w:eastAsia="zh-CN" w:bidi="ar"/>
              </w:rPr>
            </w:pPr>
          </w:p>
          <w:p w14:paraId="5AFA5FD0">
            <w:pPr>
              <w:jc w:val="center"/>
              <w:textAlignment w:val="center"/>
              <w:rPr>
                <w:rFonts w:hint="eastAsia" w:ascii="宋体" w:hAnsi="宋体" w:eastAsia="宋体" w:cs="宋体"/>
                <w:sz w:val="24"/>
                <w:szCs w:val="24"/>
                <w:highlight w:val="none"/>
                <w:lang w:eastAsia="zh-CN" w:bidi="ar"/>
              </w:rPr>
            </w:pPr>
          </w:p>
          <w:p w14:paraId="71B2C349">
            <w:pPr>
              <w:jc w:val="center"/>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单位公章</w:t>
            </w:r>
          </w:p>
          <w:p w14:paraId="4BBB1890">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         年 月 日</w:t>
            </w:r>
          </w:p>
        </w:tc>
      </w:tr>
      <w:tr w14:paraId="69B3A90E">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59EF6561">
            <w:pPr>
              <w:jc w:val="center"/>
              <w:rPr>
                <w:rFonts w:hint="eastAsia" w:ascii="宋体" w:hAnsi="宋体" w:eastAsia="宋体" w:cs="宋体"/>
                <w:sz w:val="24"/>
                <w:szCs w:val="24"/>
                <w:highlight w:val="none"/>
              </w:rPr>
            </w:pPr>
          </w:p>
        </w:tc>
      </w:tr>
      <w:tr w14:paraId="5B2C4705">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D192814">
            <w:pPr>
              <w:jc w:val="center"/>
              <w:rPr>
                <w:rFonts w:hint="eastAsia" w:ascii="宋体" w:hAnsi="宋体" w:eastAsia="宋体" w:cs="宋体"/>
                <w:sz w:val="24"/>
                <w:szCs w:val="24"/>
                <w:highlight w:val="none"/>
              </w:rPr>
            </w:pPr>
          </w:p>
        </w:tc>
      </w:tr>
      <w:tr w14:paraId="32D266C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465C1912">
            <w:pPr>
              <w:jc w:val="center"/>
              <w:rPr>
                <w:rFonts w:hint="eastAsia" w:ascii="宋体" w:hAnsi="宋体" w:eastAsia="宋体" w:cs="宋体"/>
                <w:sz w:val="24"/>
                <w:szCs w:val="24"/>
                <w:highlight w:val="none"/>
              </w:rPr>
            </w:pPr>
          </w:p>
        </w:tc>
      </w:tr>
      <w:tr w14:paraId="603D694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4A920E39">
            <w:pPr>
              <w:jc w:val="center"/>
              <w:rPr>
                <w:rFonts w:hint="eastAsia" w:ascii="宋体" w:hAnsi="宋体" w:eastAsia="宋体" w:cs="宋体"/>
                <w:sz w:val="24"/>
                <w:szCs w:val="24"/>
                <w:highlight w:val="none"/>
              </w:rPr>
            </w:pPr>
          </w:p>
        </w:tc>
      </w:tr>
      <w:tr w14:paraId="307DC37F">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2770B6D7">
            <w:pPr>
              <w:jc w:val="center"/>
              <w:rPr>
                <w:rFonts w:hint="eastAsia" w:ascii="宋体" w:hAnsi="宋体" w:eastAsia="宋体" w:cs="宋体"/>
                <w:sz w:val="24"/>
                <w:szCs w:val="24"/>
                <w:highlight w:val="none"/>
              </w:rPr>
            </w:pPr>
          </w:p>
        </w:tc>
      </w:tr>
      <w:tr w14:paraId="0AE08D5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5B003CF2">
            <w:pPr>
              <w:jc w:val="center"/>
              <w:rPr>
                <w:rFonts w:hint="eastAsia" w:ascii="宋体" w:hAnsi="宋体" w:eastAsia="宋体" w:cs="宋体"/>
                <w:sz w:val="24"/>
                <w:szCs w:val="24"/>
                <w:highlight w:val="none"/>
              </w:rPr>
            </w:pPr>
          </w:p>
        </w:tc>
      </w:tr>
      <w:tr w14:paraId="4F65F7CB">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62CCF1A7">
            <w:pPr>
              <w:jc w:val="center"/>
              <w:rPr>
                <w:rFonts w:hint="eastAsia" w:ascii="宋体" w:hAnsi="宋体" w:eastAsia="宋体" w:cs="宋体"/>
                <w:sz w:val="24"/>
                <w:szCs w:val="24"/>
                <w:highlight w:val="none"/>
              </w:rPr>
            </w:pPr>
          </w:p>
        </w:tc>
      </w:tr>
      <w:tr w14:paraId="4FC6C8D8">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320B74EC">
            <w:pPr>
              <w:jc w:val="center"/>
              <w:rPr>
                <w:rFonts w:hint="eastAsia" w:ascii="宋体" w:hAnsi="宋体" w:eastAsia="宋体" w:cs="宋体"/>
                <w:sz w:val="24"/>
                <w:szCs w:val="24"/>
                <w:highlight w:val="none"/>
              </w:rPr>
            </w:pPr>
          </w:p>
        </w:tc>
      </w:tr>
      <w:tr w14:paraId="77729E0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4873A85C">
            <w:pPr>
              <w:jc w:val="center"/>
              <w:rPr>
                <w:rFonts w:hint="eastAsia" w:ascii="宋体" w:hAnsi="宋体" w:eastAsia="宋体" w:cs="宋体"/>
                <w:sz w:val="24"/>
                <w:szCs w:val="24"/>
                <w:highlight w:val="none"/>
              </w:rPr>
            </w:pPr>
          </w:p>
        </w:tc>
      </w:tr>
      <w:tr w14:paraId="54D8557C">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2F065666">
            <w:pPr>
              <w:jc w:val="center"/>
              <w:rPr>
                <w:rFonts w:hint="eastAsia" w:ascii="宋体" w:hAnsi="宋体" w:eastAsia="宋体" w:cs="宋体"/>
                <w:sz w:val="24"/>
                <w:szCs w:val="24"/>
                <w:highlight w:val="none"/>
              </w:rPr>
            </w:pPr>
          </w:p>
        </w:tc>
      </w:tr>
    </w:tbl>
    <w:p w14:paraId="28A3978B">
      <w:pPr>
        <w:rPr>
          <w:rFonts w:hint="eastAsia" w:ascii="宋体" w:hAnsi="宋体" w:eastAsia="宋体" w:cs="宋体"/>
          <w:highlight w:val="none"/>
          <w:lang w:eastAsia="zh-CN"/>
        </w:rPr>
      </w:pPr>
    </w:p>
    <w:p w14:paraId="7C7D8932">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p w14:paraId="49770193">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p w14:paraId="56E31A83">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第四部分 投标文件格式</w:t>
      </w:r>
    </w:p>
    <w:p w14:paraId="3F4C101E">
      <w:pPr>
        <w:pBdr>
          <w:top w:val="none" w:color="000000" w:sz="0" w:space="0"/>
          <w:left w:val="none" w:color="000000" w:sz="0" w:space="0"/>
          <w:bottom w:val="none" w:color="000000" w:sz="0" w:space="0"/>
          <w:right w:val="none" w:color="000000" w:sz="0" w:space="0"/>
        </w:pBdr>
        <w:spacing w:after="0" w:line="380" w:lineRule="atLeast"/>
        <w:jc w:val="center"/>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516D165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BEB7BE4">
      <w:pPr>
        <w:pBdr>
          <w:top w:val="none" w:color="000000" w:sz="0" w:space="0"/>
          <w:left w:val="none" w:color="000000" w:sz="0" w:space="0"/>
          <w:bottom w:val="none" w:color="000000" w:sz="0" w:space="0"/>
          <w:right w:val="none" w:color="000000" w:sz="0" w:space="0"/>
        </w:pBdr>
        <w:spacing w:after="0" w:line="85" w:lineRule="atLeast"/>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说明：</w:t>
      </w:r>
    </w:p>
    <w:p w14:paraId="768BFA7B">
      <w:pPr>
        <w:pBdr>
          <w:top w:val="none" w:color="000000" w:sz="0" w:space="0"/>
          <w:left w:val="none" w:color="000000" w:sz="0" w:space="0"/>
          <w:bottom w:val="none" w:color="000000" w:sz="0" w:space="0"/>
          <w:right w:val="none" w:color="000000" w:sz="0" w:space="0"/>
        </w:pBdr>
        <w:spacing w:after="0" w:line="85" w:lineRule="atLeast"/>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对本章所有的投标书格式，投标方可根据自身情况进行补充和修改，但补充和修改不得造成与本格式内容有实质性的违背。</w:t>
      </w:r>
    </w:p>
    <w:p w14:paraId="0E24F113">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067EC78E">
      <w:pPr>
        <w:pBdr>
          <w:top w:val="none" w:color="000000" w:sz="0" w:space="0"/>
          <w:left w:val="none" w:color="000000" w:sz="0" w:space="0"/>
          <w:bottom w:val="none" w:color="000000" w:sz="0" w:space="0"/>
          <w:right w:val="none" w:color="000000" w:sz="0" w:space="0"/>
        </w:pBdr>
        <w:spacing w:after="0" w:line="85" w:lineRule="atLeast"/>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w:t>
      </w:r>
      <w:r>
        <w:rPr>
          <w:rFonts w:hint="eastAsia" w:ascii="宋体" w:hAnsi="宋体" w:eastAsia="宋体" w:cs="宋体"/>
          <w:b/>
          <w:color w:val="000000"/>
          <w:sz w:val="28"/>
          <w:highlight w:val="none"/>
          <w:lang w:eastAsia="zh-CN"/>
        </w:rPr>
        <w:t>关于资格文件的声明函</w:t>
      </w:r>
    </w:p>
    <w:p w14:paraId="2164BFF5">
      <w:pPr>
        <w:pBdr>
          <w:top w:val="none" w:color="000000" w:sz="0" w:space="0"/>
          <w:left w:val="none" w:color="000000" w:sz="0" w:space="0"/>
          <w:bottom w:val="none" w:color="000000" w:sz="0" w:space="0"/>
          <w:right w:val="none" w:color="000000" w:sz="0" w:space="0"/>
        </w:pBdr>
        <w:spacing w:after="0"/>
        <w:ind w:left="1260" w:firstLine="420"/>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1B63E45B">
      <w:pPr>
        <w:pBdr>
          <w:top w:val="none" w:color="000000" w:sz="0" w:space="0"/>
          <w:left w:val="none" w:color="000000" w:sz="0" w:space="0"/>
          <w:bottom w:val="none" w:color="000000" w:sz="0" w:space="0"/>
          <w:right w:val="none" w:color="000000" w:sz="0" w:space="0"/>
        </w:pBdr>
        <w:spacing w:after="0"/>
        <w:ind w:left="1260" w:firstLine="420"/>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2B465C25">
      <w:pPr>
        <w:pBdr>
          <w:top w:val="none" w:color="000000" w:sz="0" w:space="0"/>
          <w:left w:val="none" w:color="000000" w:sz="0" w:space="0"/>
          <w:bottom w:val="none" w:color="000000" w:sz="0" w:space="0"/>
          <w:right w:val="none" w:color="000000" w:sz="0" w:space="0"/>
        </w:pBdr>
        <w:spacing w:after="0"/>
        <w:ind w:left="1260" w:firstLine="1770"/>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关于资格文件的声明函</w:t>
      </w:r>
    </w:p>
    <w:p w14:paraId="1CCD77C9">
      <w:pPr>
        <w:pBdr>
          <w:top w:val="none" w:color="000000" w:sz="0" w:space="0"/>
          <w:left w:val="none" w:color="000000" w:sz="0" w:space="0"/>
          <w:bottom w:val="none" w:color="000000" w:sz="0" w:space="0"/>
          <w:right w:val="none" w:color="000000" w:sz="0" w:space="0"/>
        </w:pBdr>
        <w:spacing w:after="0"/>
        <w:ind w:left="1260" w:firstLine="420"/>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9AF5EA8">
      <w:pPr>
        <w:pBdr>
          <w:top w:val="none" w:color="000000" w:sz="0" w:space="0"/>
          <w:left w:val="none" w:color="000000" w:sz="0" w:space="0"/>
          <w:bottom w:val="none" w:color="000000" w:sz="0" w:space="0"/>
          <w:right w:val="none" w:color="000000" w:sz="0" w:space="0"/>
        </w:pBdr>
        <w:spacing w:after="0" w:line="499" w:lineRule="atLeast"/>
        <w:ind w:firstLine="240"/>
        <w:jc w:val="both"/>
        <w:rPr>
          <w:rFonts w:hint="eastAsia" w:ascii="宋体" w:hAnsi="宋体" w:eastAsia="宋体" w:cs="宋体"/>
          <w:highlight w:val="none"/>
          <w:lang w:eastAsia="zh-CN"/>
        </w:rPr>
      </w:pPr>
      <w:r>
        <w:rPr>
          <w:rFonts w:hint="eastAsia" w:ascii="宋体" w:hAnsi="宋体" w:eastAsia="宋体" w:cs="宋体"/>
          <w:color w:val="000000"/>
          <w:sz w:val="24"/>
          <w:highlight w:val="none"/>
          <w:u w:val="single"/>
          <w:lang w:eastAsia="zh-CN"/>
        </w:rPr>
        <w:t>苏州市公共资源交易中心太仓分中心</w:t>
      </w:r>
      <w:r>
        <w:rPr>
          <w:rFonts w:hint="eastAsia" w:ascii="宋体" w:hAnsi="宋体" w:eastAsia="宋体" w:cs="宋体"/>
          <w:color w:val="000000"/>
          <w:sz w:val="24"/>
          <w:highlight w:val="none"/>
          <w:lang w:eastAsia="zh-CN"/>
        </w:rPr>
        <w:t>：</w:t>
      </w:r>
    </w:p>
    <w:p w14:paraId="0C980FE5">
      <w:pPr>
        <w:pBdr>
          <w:top w:val="none" w:color="000000" w:sz="0" w:space="0"/>
          <w:left w:val="none" w:color="000000" w:sz="0" w:space="0"/>
          <w:bottom w:val="none" w:color="000000" w:sz="0" w:space="0"/>
          <w:right w:val="none" w:color="000000" w:sz="0" w:space="0"/>
        </w:pBdr>
        <w:spacing w:after="0" w:line="499" w:lineRule="atLeast"/>
        <w:ind w:left="283" w:right="445" w:firstLine="54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JSZC-320585-JZCG-G2026-0049</w:t>
      </w:r>
      <w:r>
        <w:rPr>
          <w:rFonts w:hint="eastAsia" w:ascii="宋体" w:hAnsi="宋体" w:eastAsia="宋体" w:cs="宋体"/>
          <w:color w:val="000000"/>
          <w:sz w:val="24"/>
          <w:highlight w:val="none"/>
          <w:lang w:eastAsia="zh-CN"/>
        </w:rPr>
        <w:t>号的招标活动进行投标。本公司所提交的投标文件中所有关于投标资格的文件、证明和陈述均是真实的、准确的。若与真实情况不符，本公司愿意承担由此而产生的一切后果。</w:t>
      </w:r>
    </w:p>
    <w:p w14:paraId="255C6AC6">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25F5024">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9F6208C">
      <w:pPr>
        <w:pBdr>
          <w:top w:val="none" w:color="000000" w:sz="0" w:space="0"/>
          <w:left w:val="none" w:color="000000" w:sz="0" w:space="0"/>
          <w:bottom w:val="none" w:color="000000" w:sz="0" w:space="0"/>
          <w:right w:val="none" w:color="000000" w:sz="0" w:space="0"/>
        </w:pBdr>
        <w:spacing w:after="0" w:line="49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21F1E23F">
      <w:pPr>
        <w:pBdr>
          <w:top w:val="none" w:color="000000" w:sz="0" w:space="0"/>
          <w:left w:val="none" w:color="000000" w:sz="0" w:space="0"/>
          <w:bottom w:val="none" w:color="000000" w:sz="0" w:space="0"/>
          <w:right w:val="none" w:color="000000" w:sz="0" w:space="0"/>
        </w:pBdr>
        <w:spacing w:after="0" w:line="49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2D8CCF6D">
      <w:pPr>
        <w:pBdr>
          <w:top w:val="none" w:color="000000" w:sz="0" w:space="0"/>
          <w:left w:val="none" w:color="000000" w:sz="0" w:space="0"/>
          <w:bottom w:val="none" w:color="000000" w:sz="0" w:space="0"/>
          <w:right w:val="none" w:color="000000" w:sz="0" w:space="0"/>
        </w:pBdr>
        <w:spacing w:after="0" w:line="49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27D379E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C57551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1F800C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8DA8EF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A99723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219AAF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A94AF0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811A54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176589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A7E77F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73EB42F3">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6CFB1F14">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370BC98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71B561C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13439C1C">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4AE2582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008707E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3638B24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5B926B2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6DF5644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52C3B9E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28"/>
          <w:highlight w:val="none"/>
          <w:lang w:eastAsia="zh-CN"/>
        </w:rPr>
        <w:t>2、投标承诺函</w:t>
      </w:r>
    </w:p>
    <w:p w14:paraId="00565D54">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投标承诺函</w:t>
      </w:r>
    </w:p>
    <w:p w14:paraId="2281B945">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u w:val="single"/>
          <w:lang w:eastAsia="zh-CN"/>
        </w:rPr>
        <w:t xml:space="preserve">苏州市公共资源交易中心太仓分中心 </w:t>
      </w:r>
      <w:r>
        <w:rPr>
          <w:rFonts w:hint="eastAsia" w:ascii="宋体" w:hAnsi="宋体" w:eastAsia="宋体" w:cs="宋体"/>
          <w:color w:val="000000"/>
          <w:sz w:val="24"/>
          <w:highlight w:val="none"/>
          <w:lang w:eastAsia="zh-CN"/>
        </w:rPr>
        <w:t xml:space="preserve">：       </w:t>
      </w:r>
    </w:p>
    <w:p w14:paraId="10E4D29A">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DF944F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我们收到贵单位</w:t>
      </w:r>
      <w:r>
        <w:rPr>
          <w:rFonts w:hint="eastAsia" w:ascii="宋体" w:hAnsi="宋体" w:eastAsia="宋体" w:cs="宋体"/>
          <w:b/>
          <w:color w:val="000000"/>
          <w:sz w:val="24"/>
          <w:highlight w:val="none"/>
          <w:u w:val="single"/>
          <w:lang w:eastAsia="zh-CN"/>
        </w:rPr>
        <w:t xml:space="preserve"> </w:t>
      </w:r>
      <w:r>
        <w:rPr>
          <w:rFonts w:hint="eastAsia" w:ascii="宋体" w:hAnsi="宋体" w:eastAsia="宋体" w:cs="宋体"/>
          <w:b/>
          <w:sz w:val="24"/>
          <w:szCs w:val="24"/>
          <w:highlight w:val="none"/>
          <w:u w:val="single"/>
          <w:lang w:eastAsia="zh-CN"/>
        </w:rPr>
        <w:t>太仓市娄江新城医院（瑞金医院太仓分院）至总院、北院组网服务</w:t>
      </w:r>
      <w:r>
        <w:rPr>
          <w:rFonts w:hint="eastAsia" w:ascii="宋体" w:hAnsi="宋体" w:eastAsia="宋体" w:cs="宋体"/>
          <w:color w:val="000000"/>
          <w:sz w:val="24"/>
          <w:highlight w:val="none"/>
          <w:lang w:eastAsia="zh-CN"/>
        </w:rPr>
        <w:t>招标文件（项目编号：</w:t>
      </w:r>
      <w:r>
        <w:rPr>
          <w:rFonts w:hint="eastAsia" w:ascii="宋体" w:hAnsi="宋体" w:eastAsia="宋体" w:cs="宋体"/>
          <w:b/>
          <w:sz w:val="24"/>
          <w:szCs w:val="24"/>
          <w:highlight w:val="none"/>
          <w:u w:val="single"/>
          <w:lang w:eastAsia="zh-CN"/>
        </w:rPr>
        <w:t>JSZC-320585-JZCG-G2026-0049</w:t>
      </w:r>
      <w:r>
        <w:rPr>
          <w:rFonts w:hint="eastAsia" w:ascii="宋体" w:hAnsi="宋体" w:eastAsia="宋体" w:cs="宋体"/>
          <w:color w:val="000000"/>
          <w:sz w:val="24"/>
          <w:highlight w:val="none"/>
          <w:lang w:eastAsia="zh-CN"/>
        </w:rPr>
        <w:t>），经仔细阅读和研究，我们决定参加投标。</w:t>
      </w:r>
    </w:p>
    <w:p w14:paraId="033FEDC4">
      <w:pPr>
        <w:pBdr>
          <w:top w:val="none" w:color="000000" w:sz="0" w:space="0"/>
          <w:left w:val="none" w:color="000000" w:sz="0" w:space="0"/>
          <w:bottom w:val="none" w:color="000000" w:sz="0" w:space="0"/>
          <w:right w:val="none" w:color="000000" w:sz="0" w:space="0"/>
        </w:pBdr>
        <w:spacing w:after="0" w:line="439" w:lineRule="atLeast"/>
        <w:ind w:firstLine="24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1、我们愿意按照招标文件的一切要求，提供包括完成该项目全部内容的材料及人工、机械、保险、劳保、各种税费以及质保期间的一切费用。</w:t>
      </w:r>
    </w:p>
    <w:p w14:paraId="2EF0867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2、如果我们的投标书被接受，我们将严格履行招标文件中规定的每一项要求，按期、按质、按量履行合同的义务。</w:t>
      </w:r>
    </w:p>
    <w:p w14:paraId="1D54DD90">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3、我们同意按招标文件中的规定，本投标书的有效期限为开标后</w:t>
      </w:r>
      <w:r>
        <w:rPr>
          <w:rFonts w:hint="eastAsia" w:ascii="宋体" w:hAnsi="宋体" w:eastAsia="宋体" w:cs="宋体"/>
          <w:b/>
          <w:color w:val="000000"/>
          <w:sz w:val="24"/>
          <w:highlight w:val="none"/>
          <w:u w:val="single"/>
          <w:lang w:eastAsia="zh-CN"/>
        </w:rPr>
        <w:t>90</w:t>
      </w:r>
      <w:r>
        <w:rPr>
          <w:rFonts w:hint="eastAsia" w:ascii="宋体" w:hAnsi="宋体" w:eastAsia="宋体" w:cs="宋体"/>
          <w:color w:val="000000"/>
          <w:sz w:val="24"/>
          <w:highlight w:val="none"/>
          <w:lang w:eastAsia="zh-CN"/>
        </w:rPr>
        <w:t>天。</w:t>
      </w:r>
    </w:p>
    <w:p w14:paraId="558F9CEB">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4、我们愿意提供招标方在招标文件中要求的所有资料。</w:t>
      </w:r>
    </w:p>
    <w:p w14:paraId="0D7121A7">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5、我们认为你们有权决定中标者，还认为你们有权接受或拒绝所有的投标者。</w:t>
      </w:r>
    </w:p>
    <w:p w14:paraId="289A5A2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6、我们完全理解贵方不一定要接受最低报价的投标或收到的任何投标。</w:t>
      </w:r>
    </w:p>
    <w:p w14:paraId="6C1C014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7、我们承诺该项投标在开标后的全过程中保持有效，不作任何更改和变动。</w:t>
      </w:r>
    </w:p>
    <w:p w14:paraId="22C6F6B5">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8、</w:t>
      </w:r>
      <w:r>
        <w:rPr>
          <w:rFonts w:hint="eastAsia" w:ascii="宋体" w:hAnsi="宋体" w:eastAsia="宋体" w:cs="宋体"/>
          <w:b/>
          <w:color w:val="000000"/>
          <w:sz w:val="24"/>
          <w:highlight w:val="none"/>
          <w:lang w:eastAsia="zh-CN"/>
        </w:rPr>
        <w:t>如果中标，我们同意并知晓中标通知书发出方式及发出时间，遵守招标文件和中标通知书规定，在指定时间和地点和采购人签订合同。</w:t>
      </w:r>
    </w:p>
    <w:p w14:paraId="4CB7657E">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9、综合说明：</w:t>
      </w:r>
    </w:p>
    <w:p w14:paraId="4F7D1C31">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（1）伴随服务及配合措施；</w:t>
      </w:r>
    </w:p>
    <w:p w14:paraId="5E04163A">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（2）要求甲方提供的配合；</w:t>
      </w:r>
    </w:p>
    <w:p w14:paraId="51EA4ACD">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（3）对招标文件有不同意见的偏离说明；</w:t>
      </w:r>
    </w:p>
    <w:p w14:paraId="16F4F4D5">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（4）其它说明。</w:t>
      </w:r>
    </w:p>
    <w:p w14:paraId="0D66F1A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所有有关标书的函电，请按下列地址联系：</w:t>
      </w:r>
    </w:p>
    <w:p w14:paraId="611DC178">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单位：联系人：</w:t>
      </w:r>
    </w:p>
    <w:p w14:paraId="007A912C">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地址：邮政编码：</w:t>
      </w:r>
    </w:p>
    <w:p w14:paraId="7F94ADC5">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联系电话：传真：</w:t>
      </w:r>
    </w:p>
    <w:p w14:paraId="3D2C9026">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0CED5F2">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7D89992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62D3AB90">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733E2AC2">
      <w:pPr>
        <w:pBdr>
          <w:top w:val="none" w:color="000000" w:sz="0" w:space="0"/>
          <w:left w:val="none" w:color="000000" w:sz="0" w:space="0"/>
          <w:bottom w:val="none" w:color="000000" w:sz="0" w:space="0"/>
          <w:right w:val="none" w:color="000000" w:sz="0" w:space="0"/>
        </w:pBdr>
        <w:spacing w:after="0" w:line="312" w:lineRule="atLeast"/>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685F3A9A">
      <w:pPr>
        <w:pBdr>
          <w:top w:val="none" w:color="000000" w:sz="0" w:space="0"/>
          <w:left w:val="none" w:color="000000" w:sz="0" w:space="0"/>
          <w:bottom w:val="none" w:color="000000" w:sz="0" w:space="0"/>
          <w:right w:val="none" w:color="000000" w:sz="0" w:space="0"/>
        </w:pBdr>
        <w:spacing w:after="0" w:line="312" w:lineRule="atLeast"/>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3、参加政府采购活动前三年内，在经营活动中没有重大违法记录声明</w:t>
      </w:r>
    </w:p>
    <w:p w14:paraId="11643579">
      <w:pPr>
        <w:pBdr>
          <w:top w:val="none" w:color="000000" w:sz="0" w:space="0"/>
          <w:left w:val="none" w:color="000000" w:sz="0" w:space="0"/>
          <w:bottom w:val="none" w:color="000000" w:sz="0" w:space="0"/>
          <w:right w:val="none" w:color="000000" w:sz="0" w:space="0"/>
        </w:pBdr>
        <w:spacing w:after="0" w:line="85" w:lineRule="atLeast"/>
        <w:ind w:left="-210" w:right="-21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7A226D20">
      <w:pPr>
        <w:pBdr>
          <w:top w:val="none" w:color="000000" w:sz="0" w:space="0"/>
          <w:left w:val="none" w:color="000000" w:sz="0" w:space="0"/>
          <w:bottom w:val="none" w:color="000000" w:sz="0" w:space="0"/>
          <w:right w:val="none" w:color="000000" w:sz="0" w:space="0"/>
        </w:pBdr>
        <w:spacing w:after="0" w:line="85" w:lineRule="atLeast"/>
        <w:jc w:val="center"/>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参加政府采购活动前三年内，在经营活动中没有重大违法记录声明</w:t>
      </w:r>
    </w:p>
    <w:p w14:paraId="0C27E1F2">
      <w:pPr>
        <w:pBdr>
          <w:top w:val="none" w:color="000000" w:sz="0" w:space="0"/>
          <w:left w:val="none" w:color="000000" w:sz="0" w:space="0"/>
          <w:bottom w:val="none" w:color="000000" w:sz="0" w:space="0"/>
          <w:right w:val="none" w:color="000000" w:sz="0" w:space="0"/>
        </w:pBdr>
        <w:spacing w:after="0" w:line="85"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7C655FD">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致：苏州市公共资源交易中心太仓分中心：</w:t>
      </w:r>
    </w:p>
    <w:p w14:paraId="0B1A0D3E">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我单位</w:t>
      </w:r>
      <w:r>
        <w:rPr>
          <w:rFonts w:hint="eastAsia" w:ascii="宋体" w:hAnsi="宋体" w:eastAsia="宋体" w:cs="宋体"/>
          <w:sz w:val="24"/>
          <w:highlight w:val="none"/>
          <w:u w:val="single"/>
          <w:lang w:eastAsia="zh-CN"/>
        </w:rPr>
        <w:t>         </w:t>
      </w:r>
      <w:r>
        <w:rPr>
          <w:rFonts w:hint="eastAsia" w:ascii="宋体" w:hAnsi="宋体" w:eastAsia="宋体" w:cs="宋体"/>
          <w:sz w:val="24"/>
          <w:highlight w:val="none"/>
          <w:lang w:eastAsia="zh-CN"/>
        </w:rPr>
        <w:t>（供应商名称）在参加政府采购活动前三年内，没有重大违法记录，特此声明。</w:t>
      </w:r>
    </w:p>
    <w:p w14:paraId="4E90E807">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若采购代理机构在本项目采购过程中发现我单位近三年内在经营活动中有重大违法记录，我单位将无条件退出本项目的招标，并承担因此引起的一起后果。</w:t>
      </w:r>
    </w:p>
    <w:p w14:paraId="6FE7ED13">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w:t>
      </w:r>
    </w:p>
    <w:p w14:paraId="09586CE7">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供应商名称（单位公章）：</w:t>
      </w:r>
    </w:p>
    <w:p w14:paraId="40289B18">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法定代表人（负责人）或代理人（签字或盖章）：</w:t>
      </w:r>
    </w:p>
    <w:p w14:paraId="1E3AA455">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投标日期： 年 月 日</w:t>
      </w:r>
    </w:p>
    <w:p w14:paraId="1601D55F">
      <w:pPr>
        <w:pBdr>
          <w:top w:val="none" w:color="000000" w:sz="0" w:space="0"/>
          <w:left w:val="none" w:color="000000" w:sz="0" w:space="0"/>
          <w:bottom w:val="none" w:color="000000" w:sz="0" w:space="0"/>
          <w:right w:val="none" w:color="000000" w:sz="0" w:space="0"/>
        </w:pBdr>
        <w:spacing w:after="0" w:line="400" w:lineRule="atLeast"/>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56B6338E">
      <w:pPr>
        <w:pBdr>
          <w:top w:val="none" w:color="000000" w:sz="0" w:space="0"/>
          <w:left w:val="none" w:color="000000" w:sz="0" w:space="0"/>
          <w:bottom w:val="none" w:color="000000" w:sz="0" w:space="0"/>
          <w:right w:val="none" w:color="000000" w:sz="0" w:space="0"/>
        </w:pBdr>
        <w:spacing w:after="0" w:line="400" w:lineRule="atLeast"/>
        <w:jc w:val="both"/>
        <w:rPr>
          <w:rFonts w:hint="eastAsia" w:ascii="宋体" w:hAnsi="宋体" w:eastAsia="宋体" w:cs="宋体"/>
          <w:highlight w:val="none"/>
          <w:lang w:eastAsia="zh-CN"/>
        </w:rPr>
      </w:pPr>
      <w:r>
        <w:rPr>
          <w:rFonts w:hint="eastAsia" w:ascii="宋体" w:hAnsi="宋体" w:eastAsia="宋体" w:cs="宋体"/>
          <w:b/>
          <w:color w:val="000000"/>
          <w:sz w:val="28"/>
          <w:highlight w:val="none"/>
          <w:lang w:eastAsia="zh-CN"/>
        </w:rPr>
        <w:t>4、投标单位情况表</w:t>
      </w:r>
    </w:p>
    <w:p w14:paraId="4BE7A34A">
      <w:pPr>
        <w:pBdr>
          <w:top w:val="none" w:color="000000" w:sz="0" w:space="0"/>
          <w:left w:val="none" w:color="000000" w:sz="0" w:space="0"/>
          <w:bottom w:val="none" w:color="000000" w:sz="0" w:space="0"/>
          <w:right w:val="none" w:color="000000" w:sz="0" w:space="0"/>
        </w:pBdr>
        <w:spacing w:after="0"/>
        <w:ind w:left="1260" w:firstLine="2175"/>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投标单位情况表</w:t>
      </w:r>
    </w:p>
    <w:p w14:paraId="7AD51D3B">
      <w:pPr>
        <w:pBdr>
          <w:top w:val="none" w:color="000000" w:sz="0" w:space="0"/>
          <w:left w:val="none" w:color="000000" w:sz="0" w:space="0"/>
          <w:bottom w:val="none" w:color="000000" w:sz="0" w:space="0"/>
          <w:right w:val="none" w:color="000000" w:sz="0" w:space="0"/>
        </w:pBdr>
        <w:spacing w:after="0"/>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单位名称（盖章）：</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475760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D3F3E57">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4A8047A">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D0A04A8">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E2F1065">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58BACD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15B19AB">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3E7BC6">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2D5B92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BFF9E28">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         万元</w:t>
            </w:r>
          </w:p>
        </w:tc>
      </w:tr>
      <w:tr w14:paraId="285E75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FB43E8">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F6AF253">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76C29D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D5C56D">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04A29A">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650353E">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08C27BD">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770DA7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439F251">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944C1A">
            <w:pPr>
              <w:pBdr>
                <w:top w:val="none" w:color="000000" w:sz="0" w:space="0"/>
                <w:left w:val="none" w:color="000000" w:sz="0" w:space="0"/>
                <w:bottom w:val="none" w:color="000000" w:sz="0" w:space="0"/>
                <w:right w:val="none" w:color="000000" w:sz="0" w:space="0"/>
              </w:pBdr>
              <w:spacing w:after="0" w:line="240" w:lineRule="auto"/>
              <w:ind w:firstLine="120"/>
              <w:jc w:val="both"/>
              <w:rPr>
                <w:rFonts w:hint="eastAsia" w:ascii="宋体" w:hAnsi="宋体" w:eastAsia="宋体" w:cs="宋体"/>
                <w:highlight w:val="none"/>
              </w:rPr>
            </w:pPr>
            <w:r>
              <w:rPr>
                <w:rFonts w:hint="eastAsia" w:ascii="宋体" w:hAnsi="宋体" w:eastAsia="宋体" w:cs="宋体"/>
                <w:color w:val="000000"/>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67A2D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384735">
            <w:pPr>
              <w:pBdr>
                <w:top w:val="none" w:color="000000" w:sz="0" w:space="0"/>
                <w:left w:val="none" w:color="000000" w:sz="0" w:space="0"/>
                <w:bottom w:val="none" w:color="000000" w:sz="0" w:space="0"/>
                <w:right w:val="none" w:color="000000" w:sz="0" w:space="0"/>
              </w:pBdr>
              <w:spacing w:after="0" w:line="240" w:lineRule="auto"/>
              <w:ind w:left="1260"/>
              <w:jc w:val="center"/>
              <w:rPr>
                <w:rFonts w:hint="eastAsia" w:ascii="宋体" w:hAnsi="宋体" w:eastAsia="宋体" w:cs="宋体"/>
                <w:highlight w:val="none"/>
              </w:rPr>
            </w:pPr>
            <w:r>
              <w:rPr>
                <w:rFonts w:hint="eastAsia" w:ascii="宋体" w:hAnsi="宋体" w:eastAsia="宋体" w:cs="宋体"/>
                <w:color w:val="000000"/>
                <w:sz w:val="24"/>
                <w:highlight w:val="none"/>
              </w:rPr>
              <w:t>  万元</w:t>
            </w:r>
          </w:p>
        </w:tc>
      </w:tr>
      <w:tr w14:paraId="2C8400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28A36F">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C052207">
            <w:pPr>
              <w:pBdr>
                <w:top w:val="none" w:color="000000" w:sz="0" w:space="0"/>
                <w:left w:val="none" w:color="000000" w:sz="0" w:space="0"/>
                <w:bottom w:val="none" w:color="000000" w:sz="0" w:space="0"/>
                <w:right w:val="none" w:color="000000" w:sz="0" w:space="0"/>
              </w:pBdr>
              <w:spacing w:after="0" w:line="240" w:lineRule="auto"/>
              <w:ind w:firstLine="960"/>
              <w:jc w:val="both"/>
              <w:rPr>
                <w:rFonts w:hint="eastAsia" w:ascii="宋体" w:hAnsi="宋体" w:eastAsia="宋体" w:cs="宋体"/>
                <w:highlight w:val="none"/>
              </w:rPr>
            </w:pPr>
            <w:r>
              <w:rPr>
                <w:rFonts w:hint="eastAsia" w:ascii="宋体" w:hAnsi="宋体" w:eastAsia="宋体" w:cs="宋体"/>
                <w:color w:val="000000"/>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115221">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BEE4661">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b/>
                <w:color w:val="000000"/>
                <w:sz w:val="24"/>
                <w:highlight w:val="none"/>
                <w:lang w:eastAsia="zh-CN"/>
              </w:rPr>
              <w:t>202</w:t>
            </w:r>
            <w:r>
              <w:rPr>
                <w:rFonts w:hint="eastAsia" w:ascii="宋体" w:hAnsi="宋体" w:eastAsia="宋体" w:cs="宋体"/>
                <w:b/>
                <w:color w:val="000000"/>
                <w:sz w:val="24"/>
                <w:highlight w:val="none"/>
                <w:lang w:val="en-US" w:eastAsia="zh-CN"/>
              </w:rPr>
              <w:t>5</w:t>
            </w:r>
            <w:r>
              <w:rPr>
                <w:rFonts w:hint="eastAsia" w:ascii="宋体" w:hAnsi="宋体" w:eastAsia="宋体" w:cs="宋体"/>
                <w:b/>
                <w:color w:val="000000"/>
                <w:sz w:val="24"/>
                <w:highlight w:val="none"/>
              </w:rPr>
              <w:t>年 万元</w:t>
            </w:r>
          </w:p>
        </w:tc>
      </w:tr>
      <w:tr w14:paraId="0D45D7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B3CFB2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BCA35CB">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b/>
                <w:color w:val="000000"/>
                <w:sz w:val="24"/>
                <w:highlight w:val="none"/>
                <w:lang w:eastAsia="zh-CN"/>
              </w:rPr>
              <w:t>202</w:t>
            </w:r>
            <w:r>
              <w:rPr>
                <w:rFonts w:hint="eastAsia" w:ascii="宋体" w:hAnsi="宋体" w:eastAsia="宋体" w:cs="宋体"/>
                <w:b/>
                <w:color w:val="000000"/>
                <w:sz w:val="24"/>
                <w:highlight w:val="none"/>
                <w:lang w:val="en-US" w:eastAsia="zh-CN"/>
              </w:rPr>
              <w:t>5</w:t>
            </w:r>
            <w:r>
              <w:rPr>
                <w:rFonts w:hint="eastAsia" w:ascii="宋体" w:hAnsi="宋体" w:eastAsia="宋体" w:cs="宋体"/>
                <w:b/>
                <w:color w:val="000000"/>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4BCEBCB">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BFB47D1">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21CA01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BEBA4A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1EFC22">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lang w:eastAsia="zh-CN"/>
              </w:rPr>
              <w:t>    </w:t>
            </w:r>
            <w:r>
              <w:rPr>
                <w:rFonts w:hint="eastAsia" w:ascii="宋体" w:hAnsi="宋体" w:eastAsia="宋体" w:cs="宋体"/>
                <w:color w:val="000000"/>
                <w:sz w:val="24"/>
                <w:highlight w:val="none"/>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460F1F2">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4B188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自有面积    平方米</w:t>
            </w:r>
          </w:p>
          <w:p w14:paraId="1D004898">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承租面积    平方米</w:t>
            </w:r>
          </w:p>
        </w:tc>
      </w:tr>
      <w:tr w14:paraId="7A2876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68A047">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CE10918">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416AB3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87B368">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03F12ED">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1DAA25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DD02CA">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97BB63">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0879DC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D78FA57">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A4E30B">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1F8F07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1C174D1">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8844B4">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7D20BD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8EEB3D">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0C00929">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7258AE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93F3A07">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220769">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42F6A9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59CE57">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41B710">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bl>
    <w:p w14:paraId="43BC0FA4">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rPr>
      </w:pPr>
      <w:r>
        <w:rPr>
          <w:rFonts w:hint="eastAsia" w:ascii="宋体" w:hAnsi="宋体" w:eastAsia="宋体" w:cs="宋体"/>
          <w:highlight w:val="none"/>
        </w:rPr>
        <w:br w:type="page" w:clear="all"/>
      </w:r>
    </w:p>
    <w:p w14:paraId="6AF9C4E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5、法定代表人授权委托书 （如有）</w:t>
      </w:r>
    </w:p>
    <w:p w14:paraId="4E704D65">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573E067">
      <w:pPr>
        <w:pBdr>
          <w:top w:val="none" w:color="000000" w:sz="0" w:space="0"/>
          <w:left w:val="none" w:color="000000" w:sz="0" w:space="0"/>
          <w:bottom w:val="none" w:color="000000" w:sz="0" w:space="0"/>
          <w:right w:val="none" w:color="000000" w:sz="0" w:space="0"/>
        </w:pBdr>
        <w:spacing w:after="0"/>
        <w:ind w:firstLine="420"/>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8FC4B4A">
      <w:pPr>
        <w:pBdr>
          <w:top w:val="none" w:color="000000" w:sz="0" w:space="0"/>
          <w:left w:val="none" w:color="000000" w:sz="0" w:space="0"/>
          <w:bottom w:val="none" w:color="000000" w:sz="0" w:space="0"/>
          <w:right w:val="none" w:color="000000" w:sz="0" w:space="0"/>
        </w:pBdr>
        <w:spacing w:after="0"/>
        <w:ind w:firstLine="420"/>
        <w:jc w:val="center"/>
        <w:rPr>
          <w:rFonts w:hint="eastAsia" w:ascii="宋体" w:hAnsi="宋体" w:eastAsia="宋体" w:cs="宋体"/>
          <w:highlight w:val="none"/>
          <w:lang w:eastAsia="zh-CN"/>
        </w:rPr>
      </w:pPr>
      <w:r>
        <w:rPr>
          <w:rFonts w:hint="eastAsia" w:ascii="宋体" w:hAnsi="宋体" w:eastAsia="宋体" w:cs="宋体"/>
          <w:color w:val="000000"/>
          <w:sz w:val="32"/>
          <w:highlight w:val="none"/>
          <w:lang w:eastAsia="zh-CN"/>
        </w:rPr>
        <w:t>授权委托书</w:t>
      </w:r>
    </w:p>
    <w:p w14:paraId="0E7249D3">
      <w:pPr>
        <w:pBdr>
          <w:top w:val="none" w:color="000000" w:sz="0" w:space="0"/>
          <w:left w:val="none" w:color="000000" w:sz="0" w:space="0"/>
          <w:bottom w:val="none" w:color="000000" w:sz="0" w:space="0"/>
          <w:right w:val="none" w:color="000000" w:sz="0" w:space="0"/>
        </w:pBdr>
        <w:spacing w:after="0"/>
        <w:ind w:firstLine="42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7ECD87C">
      <w:pPr>
        <w:pBdr>
          <w:top w:val="none" w:color="000000" w:sz="0" w:space="0"/>
          <w:left w:val="none" w:color="000000" w:sz="0" w:space="0"/>
          <w:bottom w:val="none" w:color="000000" w:sz="0" w:space="0"/>
          <w:right w:val="none" w:color="000000" w:sz="0" w:space="0"/>
        </w:pBdr>
        <w:spacing w:after="0"/>
        <w:ind w:firstLine="42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6BCAB5E">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本授权委托书声明：我</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系</w:t>
      </w:r>
      <w:r>
        <w:rPr>
          <w:rFonts w:hint="eastAsia" w:ascii="宋体" w:hAnsi="宋体" w:eastAsia="宋体" w:cs="宋体"/>
          <w:color w:val="000000"/>
          <w:sz w:val="24"/>
          <w:highlight w:val="none"/>
          <w:u w:val="single"/>
          <w:lang w:eastAsia="zh-CN"/>
        </w:rPr>
        <w:t>（投标单位名称）</w:t>
      </w:r>
      <w:r>
        <w:rPr>
          <w:rFonts w:hint="eastAsia" w:ascii="宋体" w:hAnsi="宋体" w:eastAsia="宋体" w:cs="宋体"/>
          <w:color w:val="000000"/>
          <w:sz w:val="24"/>
          <w:highlight w:val="none"/>
          <w:lang w:eastAsia="zh-CN"/>
        </w:rPr>
        <w:t>的法定代表人，现授权委托</w:t>
      </w:r>
      <w:r>
        <w:rPr>
          <w:rFonts w:hint="eastAsia" w:ascii="宋体" w:hAnsi="宋体" w:eastAsia="宋体" w:cs="宋体"/>
          <w:color w:val="000000"/>
          <w:sz w:val="24"/>
          <w:highlight w:val="none"/>
          <w:u w:val="single"/>
          <w:lang w:eastAsia="zh-CN"/>
        </w:rPr>
        <w:t>（单位名称）</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为我公司代理人，以本公司的名义参加</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组织实施的编号为</w:t>
      </w:r>
      <w:r>
        <w:rPr>
          <w:rFonts w:hint="eastAsia" w:ascii="宋体" w:hAnsi="宋体" w:eastAsia="宋体" w:cs="宋体"/>
          <w:b/>
          <w:color w:val="000000"/>
          <w:sz w:val="24"/>
          <w:highlight w:val="none"/>
          <w:lang w:eastAsia="zh-CN"/>
        </w:rPr>
        <w:t xml:space="preserve"> </w:t>
      </w:r>
      <w:r>
        <w:rPr>
          <w:rFonts w:hint="eastAsia" w:ascii="宋体" w:hAnsi="宋体" w:eastAsia="宋体" w:cs="宋体"/>
          <w:b/>
          <w:sz w:val="24"/>
          <w:szCs w:val="24"/>
          <w:highlight w:val="none"/>
          <w:u w:val="single"/>
          <w:lang w:eastAsia="zh-CN"/>
        </w:rPr>
        <w:t>JSZC-320585-JZCG-G2026-0049</w:t>
      </w:r>
      <w:r>
        <w:rPr>
          <w:rFonts w:hint="eastAsia" w:ascii="宋体" w:hAnsi="宋体" w:eastAsia="宋体" w:cs="宋体"/>
          <w:color w:val="000000"/>
          <w:sz w:val="24"/>
          <w:highlight w:val="none"/>
          <w:lang w:eastAsia="zh-CN"/>
        </w:rPr>
        <w:t>号的招标活动。代理人在开标、评标、合同谈判过程中所签署的一切文件和处理与这有关的一切事务，我均予以承认。</w:t>
      </w:r>
    </w:p>
    <w:p w14:paraId="4450B45A">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代理人在授权委托书有效期内签署的所有文件不因授权委托的撤销而失效，除非有撤销授权委托的书面通知，本授权委托书自投标开始至合同履行完毕止。</w:t>
      </w:r>
    </w:p>
    <w:p w14:paraId="0794C1CB">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代理人无转委托权。特此委托！</w:t>
      </w:r>
    </w:p>
    <w:p w14:paraId="2A0644AD">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C4DCB48">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投标单位：（盖章）</w:t>
      </w:r>
    </w:p>
    <w:p w14:paraId="3E0AB48A">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法定代表人：（签字或盖章）</w:t>
      </w:r>
    </w:p>
    <w:p w14:paraId="0355C123">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授权代理人：（签字或盖章）</w:t>
      </w:r>
    </w:p>
    <w:p w14:paraId="0435D1FC">
      <w:pPr>
        <w:pBdr>
          <w:top w:val="none" w:color="000000" w:sz="0" w:space="0"/>
          <w:left w:val="none" w:color="000000" w:sz="0" w:space="0"/>
          <w:bottom w:val="none" w:color="000000" w:sz="0" w:space="0"/>
          <w:right w:val="none" w:color="000000" w:sz="0" w:space="0"/>
        </w:pBdr>
        <w:spacing w:after="0"/>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0896167F">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5A21CEB2">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6、开标一览表</w:t>
      </w:r>
    </w:p>
    <w:p w14:paraId="4308D12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21"/>
          <w:highlight w:val="none"/>
          <w:lang w:eastAsia="zh-CN"/>
        </w:rPr>
        <w:t> </w:t>
      </w:r>
    </w:p>
    <w:p w14:paraId="1051120F">
      <w:pPr>
        <w:pBdr>
          <w:top w:val="none" w:color="000000" w:sz="0" w:space="0"/>
          <w:left w:val="none" w:color="000000" w:sz="0" w:space="0"/>
          <w:bottom w:val="none" w:color="000000" w:sz="0" w:space="0"/>
          <w:right w:val="none" w:color="000000" w:sz="0" w:space="0"/>
        </w:pBdr>
        <w:spacing w:after="0"/>
        <w:jc w:val="center"/>
        <w:rPr>
          <w:rFonts w:hint="eastAsia" w:ascii="宋体" w:hAnsi="宋体" w:eastAsia="宋体" w:cs="宋体"/>
          <w:highlight w:val="none"/>
          <w:lang w:eastAsia="zh-CN"/>
        </w:rPr>
      </w:pPr>
      <w:r>
        <w:rPr>
          <w:rFonts w:hint="eastAsia" w:ascii="宋体" w:hAnsi="宋体" w:eastAsia="宋体" w:cs="宋体"/>
          <w:color w:val="000000"/>
          <w:sz w:val="21"/>
          <w:highlight w:val="none"/>
          <w:lang w:eastAsia="zh-CN"/>
        </w:rPr>
        <w:t> </w:t>
      </w:r>
    </w:p>
    <w:p w14:paraId="6EAC5EE3">
      <w:pPr>
        <w:pBdr>
          <w:top w:val="none" w:color="000000" w:sz="0" w:space="0"/>
          <w:left w:val="none" w:color="000000" w:sz="0" w:space="0"/>
          <w:bottom w:val="none" w:color="000000" w:sz="0" w:space="0"/>
          <w:right w:val="none" w:color="000000" w:sz="0" w:space="0"/>
        </w:pBdr>
        <w:spacing w:after="0"/>
        <w:jc w:val="center"/>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开标一览表</w:t>
      </w:r>
    </w:p>
    <w:p w14:paraId="59C14BC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5212243">
      <w:pPr>
        <w:pBdr>
          <w:top w:val="none" w:color="000000" w:sz="0" w:space="0"/>
          <w:left w:val="none" w:color="000000" w:sz="0" w:space="0"/>
          <w:bottom w:val="none" w:color="000000" w:sz="0" w:space="0"/>
          <w:right w:val="none" w:color="000000" w:sz="0" w:space="0"/>
        </w:pBdr>
        <w:spacing w:after="0"/>
        <w:ind w:firstLine="7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投标人全称（加盖公章）：供应商名称</w:t>
      </w:r>
    </w:p>
    <w:p w14:paraId="2BD87BAA">
      <w:pPr>
        <w:pBdr>
          <w:top w:val="none" w:color="000000" w:sz="0" w:space="0"/>
          <w:left w:val="none" w:color="000000" w:sz="0" w:space="0"/>
          <w:bottom w:val="none" w:color="000000" w:sz="0" w:space="0"/>
          <w:right w:val="none" w:color="000000" w:sz="0" w:space="0"/>
        </w:pBdr>
        <w:spacing w:after="0"/>
        <w:ind w:firstLine="72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项目编号：</w:t>
      </w:r>
      <w:r>
        <w:rPr>
          <w:rFonts w:hint="eastAsia" w:ascii="宋体" w:hAnsi="宋体" w:eastAsia="宋体" w:cs="宋体"/>
          <w:b/>
          <w:sz w:val="24"/>
          <w:szCs w:val="24"/>
          <w:highlight w:val="none"/>
          <w:lang w:eastAsia="zh-CN"/>
        </w:rPr>
        <w:t>JSZC-320585-JZCG-G2026-0049</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4D7F6D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A145619">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rPr>
            </w:pPr>
            <w:r>
              <w:rPr>
                <w:rFonts w:hint="eastAsia" w:ascii="宋体" w:hAnsi="宋体" w:eastAsia="宋体" w:cs="宋体"/>
                <w:color w:val="000000"/>
                <w:sz w:val="24"/>
                <w:highlight w:val="none"/>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B4A4C0E">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rPr>
            </w:pPr>
            <w:r>
              <w:rPr>
                <w:rFonts w:hint="eastAsia" w:ascii="宋体" w:hAnsi="宋体" w:eastAsia="宋体" w:cs="宋体"/>
                <w:color w:val="000000"/>
                <w:sz w:val="24"/>
                <w:highlight w:val="none"/>
              </w:rPr>
              <w:t>投标总价</w:t>
            </w:r>
          </w:p>
        </w:tc>
      </w:tr>
      <w:tr w14:paraId="357B72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DAEB75">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lang w:eastAsia="zh-CN"/>
              </w:rPr>
            </w:pPr>
            <w:r>
              <w:rPr>
                <w:rFonts w:hint="eastAsia" w:ascii="宋体" w:hAnsi="宋体" w:eastAsia="宋体" w:cs="宋体"/>
                <w:b/>
                <w:bCs/>
                <w:color w:val="000000"/>
                <w:sz w:val="24"/>
                <w:highlight w:val="none"/>
                <w:lang w:eastAsia="zh-CN"/>
              </w:rPr>
              <w:t>太仓市娄江新城医院（瑞金医院太仓分院）至总院、北院组网服务</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A795E00">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highlight w:val="none"/>
              </w:rPr>
            </w:pPr>
            <w:r>
              <w:rPr>
                <w:rFonts w:hint="eastAsia" w:ascii="宋体" w:hAnsi="宋体" w:eastAsia="宋体" w:cs="宋体"/>
                <w:color w:val="000000"/>
                <w:sz w:val="24"/>
                <w:highlight w:val="none"/>
              </w:rPr>
              <w:t>小写          （元人民币）</w:t>
            </w:r>
          </w:p>
        </w:tc>
      </w:tr>
      <w:tr w14:paraId="39D14A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8DFB9E3">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rPr>
            </w:pPr>
            <w:r>
              <w:rPr>
                <w:rFonts w:hint="eastAsia" w:ascii="宋体" w:hAnsi="宋体" w:eastAsia="宋体" w:cs="宋体"/>
                <w:color w:val="000000"/>
                <w:sz w:val="24"/>
                <w:highlight w:val="none"/>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5E02A59">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highlight w:val="none"/>
              </w:rPr>
            </w:pPr>
            <w:r>
              <w:rPr>
                <w:rFonts w:hint="eastAsia" w:ascii="宋体" w:hAnsi="宋体" w:eastAsia="宋体" w:cs="宋体"/>
                <w:color w:val="000000"/>
                <w:sz w:val="24"/>
                <w:highlight w:val="none"/>
              </w:rPr>
              <w:t>金额大写：</w:t>
            </w:r>
          </w:p>
        </w:tc>
      </w:tr>
    </w:tbl>
    <w:p w14:paraId="32477D2E">
      <w:pPr>
        <w:pBdr>
          <w:top w:val="none" w:color="000000" w:sz="0" w:space="0"/>
          <w:left w:val="none" w:color="000000" w:sz="0" w:space="0"/>
          <w:bottom w:val="none" w:color="000000" w:sz="0" w:space="0"/>
          <w:right w:val="none" w:color="000000" w:sz="0" w:space="0"/>
        </w:pBdr>
        <w:spacing w:after="0"/>
        <w:ind w:firstLine="723"/>
        <w:jc w:val="both"/>
        <w:rPr>
          <w:rFonts w:hint="eastAsia" w:ascii="宋体" w:hAnsi="宋体" w:eastAsia="宋体" w:cs="宋体"/>
          <w:highlight w:val="none"/>
        </w:rPr>
      </w:pPr>
      <w:r>
        <w:rPr>
          <w:rFonts w:hint="eastAsia" w:ascii="宋体" w:hAnsi="宋体" w:eastAsia="宋体" w:cs="宋体"/>
          <w:b/>
          <w:color w:val="000000"/>
          <w:sz w:val="24"/>
          <w:highlight w:val="none"/>
        </w:rPr>
        <w:t> </w:t>
      </w:r>
    </w:p>
    <w:p w14:paraId="7CF20875">
      <w:pPr>
        <w:pBdr>
          <w:top w:val="none" w:color="000000" w:sz="0" w:space="0"/>
          <w:left w:val="none" w:color="000000" w:sz="0" w:space="0"/>
          <w:bottom w:val="none" w:color="000000" w:sz="0" w:space="0"/>
          <w:right w:val="none" w:color="000000" w:sz="0" w:space="0"/>
        </w:pBdr>
        <w:spacing w:after="0" w:line="460" w:lineRule="atLeast"/>
        <w:ind w:firstLine="3360"/>
        <w:jc w:val="both"/>
        <w:rPr>
          <w:rFonts w:hint="eastAsia" w:ascii="宋体" w:hAnsi="宋体" w:eastAsia="宋体" w:cs="宋体"/>
          <w:highlight w:val="none"/>
        </w:rPr>
      </w:pPr>
      <w:r>
        <w:rPr>
          <w:rFonts w:hint="eastAsia" w:ascii="宋体" w:hAnsi="宋体" w:eastAsia="宋体" w:cs="宋体"/>
          <w:color w:val="000000"/>
          <w:sz w:val="24"/>
          <w:highlight w:val="none"/>
        </w:rPr>
        <w:t>日期：年月日</w:t>
      </w:r>
    </w:p>
    <w:p w14:paraId="488F2C70">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rPr>
      </w:pPr>
      <w:r>
        <w:rPr>
          <w:rFonts w:hint="eastAsia" w:ascii="宋体" w:hAnsi="宋体" w:eastAsia="宋体" w:cs="宋体"/>
          <w:b/>
          <w:color w:val="000000"/>
          <w:sz w:val="24"/>
          <w:highlight w:val="none"/>
        </w:rPr>
        <w:t> </w:t>
      </w:r>
    </w:p>
    <w:p w14:paraId="0854FA4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rPr>
      </w:pPr>
      <w:r>
        <w:rPr>
          <w:rFonts w:hint="eastAsia" w:ascii="宋体" w:hAnsi="宋体" w:eastAsia="宋体" w:cs="宋体"/>
          <w:highlight w:val="none"/>
        </w:rPr>
        <w:br w:type="page" w:clear="all"/>
      </w:r>
    </w:p>
    <w:p w14:paraId="30EB350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rPr>
      </w:pPr>
      <w:r>
        <w:rPr>
          <w:rFonts w:hint="eastAsia" w:ascii="宋体" w:hAnsi="宋体" w:eastAsia="宋体" w:cs="宋体"/>
          <w:b/>
          <w:color w:val="000000"/>
          <w:sz w:val="28"/>
          <w:highlight w:val="none"/>
        </w:rPr>
        <w:t>7、投标报价明细表</w:t>
      </w:r>
    </w:p>
    <w:p w14:paraId="19EA8F75">
      <w:pPr>
        <w:pBdr>
          <w:top w:val="none" w:color="000000" w:sz="0" w:space="0"/>
          <w:left w:val="none" w:color="000000" w:sz="0" w:space="0"/>
          <w:bottom w:val="none" w:color="000000" w:sz="0" w:space="0"/>
          <w:right w:val="none" w:color="000000" w:sz="0" w:space="0"/>
        </w:pBdr>
        <w:spacing w:after="0"/>
        <w:ind w:firstLine="3012"/>
        <w:jc w:val="both"/>
        <w:rPr>
          <w:rFonts w:hint="eastAsia" w:ascii="宋体" w:hAnsi="宋体" w:eastAsia="宋体" w:cs="宋体"/>
          <w:highlight w:val="none"/>
        </w:rPr>
      </w:pPr>
      <w:r>
        <w:rPr>
          <w:rFonts w:hint="eastAsia" w:ascii="宋体" w:hAnsi="宋体" w:eastAsia="宋体" w:cs="宋体"/>
          <w:b/>
          <w:color w:val="000000"/>
          <w:sz w:val="30"/>
          <w:highlight w:val="none"/>
        </w:rPr>
        <w:t> </w:t>
      </w:r>
    </w:p>
    <w:p w14:paraId="61EBA060">
      <w:pPr>
        <w:pBdr>
          <w:top w:val="none" w:color="000000" w:sz="0" w:space="0"/>
          <w:left w:val="none" w:color="000000" w:sz="0" w:space="0"/>
          <w:bottom w:val="none" w:color="000000" w:sz="0" w:space="0"/>
          <w:right w:val="none" w:color="000000" w:sz="0" w:space="0"/>
        </w:pBdr>
        <w:spacing w:after="0"/>
        <w:ind w:firstLine="2811"/>
        <w:jc w:val="both"/>
        <w:rPr>
          <w:highlight w:val="none"/>
        </w:rPr>
      </w:pPr>
      <w:bookmarkStart w:id="6" w:name="OLE_LINK57"/>
      <w:r>
        <w:rPr>
          <w:rFonts w:ascii="宋体" w:hAnsi="宋体" w:eastAsia="宋体" w:cs="宋体"/>
          <w:b/>
          <w:color w:val="000000"/>
          <w:sz w:val="28"/>
          <w:highlight w:val="none"/>
        </w:rPr>
        <w:t>（一）投标报价明细表</w:t>
      </w:r>
    </w:p>
    <w:p w14:paraId="001EE121">
      <w:pPr>
        <w:pBdr>
          <w:top w:val="none" w:color="000000" w:sz="0" w:space="0"/>
          <w:left w:val="none" w:color="000000" w:sz="0" w:space="0"/>
          <w:bottom w:val="none" w:color="000000" w:sz="0" w:space="0"/>
          <w:right w:val="none" w:color="000000" w:sz="0" w:space="0"/>
        </w:pBdr>
        <w:spacing w:after="0"/>
        <w:ind w:firstLine="3012"/>
        <w:jc w:val="both"/>
        <w:rPr>
          <w:highlight w:val="none"/>
        </w:rPr>
      </w:pPr>
      <w:r>
        <w:rPr>
          <w:rFonts w:ascii="宋体" w:hAnsi="宋体" w:eastAsia="宋体" w:cs="宋体"/>
          <w:b/>
          <w:color w:val="000000"/>
          <w:sz w:val="30"/>
          <w:highlight w:val="none"/>
        </w:rPr>
        <w:t> </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9"/>
        <w:gridCol w:w="2027"/>
        <w:gridCol w:w="1260"/>
        <w:gridCol w:w="1332"/>
        <w:gridCol w:w="1500"/>
        <w:gridCol w:w="1416"/>
        <w:gridCol w:w="1140"/>
      </w:tblGrid>
      <w:tr w14:paraId="5D0031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trPr>
        <w:tc>
          <w:tcPr>
            <w:tcW w:w="59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A8AE66B">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序号</w:t>
            </w:r>
          </w:p>
        </w:tc>
        <w:tc>
          <w:tcPr>
            <w:tcW w:w="202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63DEA30">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分项名称</w:t>
            </w:r>
          </w:p>
        </w:tc>
        <w:tc>
          <w:tcPr>
            <w:tcW w:w="1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6C793DF">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数量</w:t>
            </w:r>
          </w:p>
        </w:tc>
        <w:tc>
          <w:tcPr>
            <w:tcW w:w="133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BA53EC9">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单位</w:t>
            </w:r>
          </w:p>
        </w:tc>
        <w:tc>
          <w:tcPr>
            <w:tcW w:w="150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1EBC73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单价</w:t>
            </w:r>
          </w:p>
        </w:tc>
        <w:tc>
          <w:tcPr>
            <w:tcW w:w="141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0B5A58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总价</w:t>
            </w:r>
          </w:p>
        </w:tc>
        <w:tc>
          <w:tcPr>
            <w:tcW w:w="114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728B493">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备注</w:t>
            </w:r>
          </w:p>
        </w:tc>
      </w:tr>
      <w:tr w14:paraId="1C4E8A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A0A8BD">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1</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5C3D113">
            <w:pPr>
              <w:pBdr>
                <w:top w:val="none" w:color="000000" w:sz="0" w:space="0"/>
                <w:left w:val="none" w:color="000000" w:sz="0" w:space="0"/>
                <w:bottom w:val="none" w:color="000000" w:sz="0" w:space="0"/>
                <w:right w:val="none" w:color="000000" w:sz="0" w:space="0"/>
              </w:pBdr>
              <w:spacing w:after="0" w:line="380" w:lineRule="atLeast"/>
              <w:ind w:right="-199"/>
              <w:jc w:val="center"/>
              <w:rPr>
                <w:highlight w:val="none"/>
              </w:rPr>
            </w:pPr>
            <w:r>
              <w:rPr>
                <w:rFonts w:ascii="Times New Roman" w:hAnsi="Times New Roman" w:eastAsia="Times New Roman" w:cs="Times New Roman"/>
                <w:color w:val="000000"/>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043E2C9">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A46C8DE">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2B3CD12">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888505">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30DB41C">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r>
      <w:tr w14:paraId="406B70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B03953E">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2</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E52F635">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18CF220">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5FC460E">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44375A5">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D857C9D">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9254A2C">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r>
      <w:tr w14:paraId="77E2AD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E20CF0">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3</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DF396E9">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37CBA7B">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5C4124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2F76AF7">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7D34D16">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6C6B20F">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r>
      <w:tr w14:paraId="2CADF1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6DD3DDE">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F1C1EE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D9AE215">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20F60D8">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2F4BE71">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D3143ED">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0F6873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r>
      <w:tr w14:paraId="35A620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626"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DCF30C3">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投标总报价</w:t>
            </w:r>
          </w:p>
        </w:tc>
        <w:tc>
          <w:tcPr>
            <w:tcW w:w="6648" w:type="dxa"/>
            <w:gridSpan w:val="5"/>
            <w:tcBorders>
              <w:top w:val="nil"/>
              <w:left w:val="nil"/>
              <w:bottom w:val="single" w:color="000000" w:sz="8" w:space="0"/>
              <w:right w:val="single" w:color="000000" w:sz="8" w:space="0"/>
            </w:tcBorders>
            <w:tcMar>
              <w:top w:w="0" w:type="dxa"/>
              <w:left w:w="108" w:type="dxa"/>
              <w:bottom w:w="0" w:type="dxa"/>
              <w:right w:w="108" w:type="dxa"/>
            </w:tcMar>
            <w:vAlign w:val="center"/>
          </w:tcPr>
          <w:p w14:paraId="62D82543">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大写：元；小写：元</w:t>
            </w:r>
          </w:p>
        </w:tc>
      </w:tr>
    </w:tbl>
    <w:p w14:paraId="4D5213AC">
      <w:pPr>
        <w:pBdr>
          <w:top w:val="none" w:color="000000" w:sz="0" w:space="0"/>
          <w:left w:val="none" w:color="000000" w:sz="0" w:space="0"/>
          <w:bottom w:val="none" w:color="000000" w:sz="0" w:space="0"/>
          <w:right w:val="none" w:color="000000" w:sz="0" w:space="0"/>
        </w:pBdr>
        <w:spacing w:after="0" w:line="499" w:lineRule="atLeast"/>
        <w:jc w:val="both"/>
        <w:rPr>
          <w:highlight w:val="none"/>
        </w:rPr>
      </w:pPr>
      <w:r>
        <w:rPr>
          <w:rFonts w:ascii="宋体" w:hAnsi="宋体" w:eastAsia="宋体" w:cs="宋体"/>
          <w:color w:val="000000"/>
          <w:sz w:val="24"/>
          <w:highlight w:val="none"/>
        </w:rPr>
        <w:t> </w:t>
      </w:r>
    </w:p>
    <w:p w14:paraId="07574CD9">
      <w:pPr>
        <w:pBdr>
          <w:top w:val="none" w:color="000000" w:sz="0" w:space="0"/>
          <w:left w:val="none" w:color="000000" w:sz="0" w:space="0"/>
          <w:bottom w:val="none" w:color="000000" w:sz="0" w:space="0"/>
          <w:right w:val="none" w:color="000000" w:sz="0" w:space="0"/>
        </w:pBdr>
        <w:spacing w:after="0" w:line="499" w:lineRule="atLeast"/>
        <w:jc w:val="both"/>
        <w:rPr>
          <w:highlight w:val="none"/>
          <w:lang w:eastAsia="zh-CN"/>
        </w:rPr>
      </w:pPr>
      <w:r>
        <w:rPr>
          <w:rFonts w:ascii="宋体" w:hAnsi="宋体" w:eastAsia="宋体" w:cs="宋体"/>
          <w:color w:val="000000"/>
          <w:sz w:val="24"/>
          <w:highlight w:val="none"/>
          <w:lang w:eastAsia="zh-CN"/>
        </w:rPr>
        <w:t>注：1、本表报价的合计金额应与开标一览表报价一致</w:t>
      </w:r>
    </w:p>
    <w:p w14:paraId="229A219E">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highlight w:val="none"/>
          <w:lang w:eastAsia="zh-CN"/>
        </w:rPr>
      </w:pPr>
    </w:p>
    <w:p w14:paraId="05990426">
      <w:pPr>
        <w:pBdr>
          <w:top w:val="none" w:color="000000" w:sz="0" w:space="0"/>
          <w:left w:val="none" w:color="000000" w:sz="0" w:space="0"/>
          <w:bottom w:val="none" w:color="000000" w:sz="0" w:space="0"/>
          <w:right w:val="none" w:color="000000" w:sz="0" w:space="0"/>
        </w:pBdr>
        <w:spacing w:after="0" w:line="499" w:lineRule="atLeast"/>
        <w:rPr>
          <w:highlight w:val="none"/>
          <w:lang w:eastAsia="zh-CN"/>
        </w:rPr>
      </w:pPr>
      <w:r>
        <w:rPr>
          <w:rFonts w:ascii="宋体" w:hAnsi="宋体" w:eastAsia="宋体" w:cs="宋体"/>
          <w:color w:val="000000"/>
          <w:sz w:val="24"/>
          <w:highlight w:val="none"/>
          <w:lang w:eastAsia="zh-CN"/>
        </w:rPr>
        <w:t>投标单位：（公章）</w:t>
      </w:r>
    </w:p>
    <w:p w14:paraId="076D58A3">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szCs w:val="24"/>
          <w:highlight w:val="none"/>
          <w:lang w:eastAsia="zh-CN"/>
        </w:rPr>
      </w:pPr>
      <w:r>
        <w:rPr>
          <w:rFonts w:ascii="宋体" w:hAnsi="宋体" w:eastAsia="宋体" w:cs="宋体"/>
          <w:color w:val="000000"/>
          <w:sz w:val="24"/>
          <w:highlight w:val="none"/>
          <w:lang w:eastAsia="zh-CN"/>
        </w:rPr>
        <w:t xml:space="preserve">法定代表人或委托代理人（签字或盖章）： </w:t>
      </w:r>
    </w:p>
    <w:p w14:paraId="2A00BA10">
      <w:pPr>
        <w:pBdr>
          <w:top w:val="none" w:color="000000" w:sz="0" w:space="0"/>
          <w:left w:val="none" w:color="000000" w:sz="0" w:space="0"/>
          <w:bottom w:val="none" w:color="000000" w:sz="0" w:space="0"/>
          <w:right w:val="none" w:color="000000" w:sz="0" w:space="0"/>
        </w:pBdr>
        <w:spacing w:after="0" w:line="499" w:lineRule="atLeast"/>
        <w:rPr>
          <w:rFonts w:ascii="Times New Roman" w:hAnsi="Times New Roman" w:eastAsia="Times New Roman" w:cs="Times New Roman"/>
          <w:sz w:val="21"/>
          <w:szCs w:val="21"/>
          <w:highlight w:val="none"/>
          <w:lang w:eastAsia="zh-CN"/>
        </w:rPr>
      </w:pPr>
      <w:r>
        <w:rPr>
          <w:rFonts w:ascii="宋体" w:hAnsi="宋体" w:eastAsia="宋体" w:cs="宋体"/>
          <w:color w:val="000000"/>
          <w:sz w:val="24"/>
          <w:highlight w:val="none"/>
          <w:lang w:eastAsia="zh-CN"/>
        </w:rPr>
        <w:t>日期： 年 月 日</w:t>
      </w:r>
    </w:p>
    <w:p w14:paraId="4060C70E">
      <w:pPr>
        <w:pBdr>
          <w:top w:val="none" w:color="000000" w:sz="0" w:space="0"/>
          <w:left w:val="none" w:color="000000" w:sz="0" w:space="0"/>
          <w:bottom w:val="none" w:color="000000" w:sz="0" w:space="0"/>
          <w:right w:val="none" w:color="000000" w:sz="0" w:space="0"/>
        </w:pBdr>
        <w:spacing w:after="0"/>
        <w:ind w:firstLine="1506"/>
        <w:jc w:val="both"/>
        <w:rPr>
          <w:rFonts w:hint="eastAsia" w:ascii="宋体" w:hAnsi="宋体" w:eastAsia="宋体" w:cs="宋体"/>
          <w:highlight w:val="none"/>
          <w:lang w:eastAsia="zh-CN"/>
        </w:rPr>
      </w:pPr>
      <w:r>
        <w:rPr>
          <w:rFonts w:hint="eastAsia" w:ascii="宋体" w:hAnsi="宋体" w:eastAsia="宋体" w:cs="宋体"/>
          <w:b/>
          <w:color w:val="000000"/>
          <w:sz w:val="30"/>
          <w:highlight w:val="none"/>
          <w:lang w:eastAsia="zh-CN"/>
        </w:rPr>
        <w:t> </w:t>
      </w:r>
    </w:p>
    <w:p w14:paraId="110843E6">
      <w:pPr>
        <w:ind w:firstLine="1200" w:firstLineChars="5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w:t>
      </w:r>
    </w:p>
    <w:p w14:paraId="207127CE">
      <w:pPr>
        <w:ind w:firstLine="1506" w:firstLineChars="500"/>
        <w:rPr>
          <w:rFonts w:hint="eastAsia" w:ascii="宋体" w:hAnsi="宋体" w:eastAsia="宋体" w:cs="宋体"/>
          <w:b/>
          <w:sz w:val="30"/>
          <w:szCs w:val="30"/>
          <w:highlight w:val="none"/>
          <w:lang w:eastAsia="zh-CN"/>
        </w:rPr>
      </w:pPr>
    </w:p>
    <w:p w14:paraId="153C3939">
      <w:pPr>
        <w:ind w:firstLine="1506" w:firstLineChars="500"/>
        <w:rPr>
          <w:rFonts w:hint="eastAsia" w:ascii="宋体" w:hAnsi="宋体" w:eastAsia="宋体" w:cs="宋体"/>
          <w:b/>
          <w:sz w:val="30"/>
          <w:szCs w:val="30"/>
          <w:highlight w:val="none"/>
          <w:lang w:eastAsia="zh-CN"/>
        </w:rPr>
      </w:pPr>
    </w:p>
    <w:p w14:paraId="5671A7E2">
      <w:pPr>
        <w:ind w:firstLine="1506" w:firstLineChars="500"/>
        <w:rPr>
          <w:rFonts w:hint="eastAsia" w:ascii="宋体" w:hAnsi="宋体" w:eastAsia="宋体" w:cs="宋体"/>
          <w:b/>
          <w:sz w:val="30"/>
          <w:szCs w:val="30"/>
          <w:highlight w:val="none"/>
          <w:lang w:eastAsia="zh-CN"/>
        </w:rPr>
      </w:pPr>
    </w:p>
    <w:p w14:paraId="09C050C9">
      <w:pPr>
        <w:ind w:firstLine="1506" w:firstLineChars="500"/>
        <w:rPr>
          <w:rFonts w:hint="eastAsia" w:ascii="宋体" w:hAnsi="宋体" w:eastAsia="宋体" w:cs="宋体"/>
          <w:b/>
          <w:sz w:val="30"/>
          <w:szCs w:val="30"/>
          <w:highlight w:val="none"/>
          <w:lang w:eastAsia="zh-CN"/>
        </w:rPr>
      </w:pPr>
    </w:p>
    <w:p w14:paraId="189F8D20">
      <w:pPr>
        <w:ind w:firstLine="1506" w:firstLineChars="500"/>
        <w:rPr>
          <w:rFonts w:hint="eastAsia" w:ascii="宋体" w:hAnsi="宋体" w:eastAsia="宋体" w:cs="宋体"/>
          <w:b/>
          <w:sz w:val="30"/>
          <w:szCs w:val="30"/>
          <w:highlight w:val="none"/>
          <w:lang w:eastAsia="zh-CN"/>
        </w:rPr>
      </w:pPr>
    </w:p>
    <w:p w14:paraId="61F50338">
      <w:pPr>
        <w:ind w:firstLine="1506" w:firstLineChars="500"/>
        <w:rPr>
          <w:rFonts w:hint="eastAsia" w:ascii="宋体" w:hAnsi="宋体" w:eastAsia="宋体" w:cs="宋体"/>
          <w:b/>
          <w:sz w:val="30"/>
          <w:szCs w:val="30"/>
          <w:highlight w:val="none"/>
          <w:lang w:eastAsia="zh-CN"/>
        </w:rPr>
      </w:pPr>
    </w:p>
    <w:p w14:paraId="5DCDC298">
      <w:pPr>
        <w:ind w:firstLine="1506" w:firstLineChars="500"/>
        <w:rPr>
          <w:rFonts w:hint="eastAsia" w:ascii="宋体" w:hAnsi="宋体" w:eastAsia="宋体" w:cs="宋体"/>
          <w:b/>
          <w:sz w:val="30"/>
          <w:szCs w:val="30"/>
          <w:highlight w:val="none"/>
          <w:lang w:eastAsia="zh-CN"/>
        </w:rPr>
      </w:pPr>
    </w:p>
    <w:p w14:paraId="5E22BD3A">
      <w:pPr>
        <w:ind w:firstLine="1506" w:firstLineChars="500"/>
        <w:rPr>
          <w:rFonts w:hint="eastAsia" w:ascii="宋体" w:hAnsi="宋体" w:eastAsia="宋体" w:cs="宋体"/>
          <w:b/>
          <w:sz w:val="30"/>
          <w:szCs w:val="30"/>
          <w:highlight w:val="none"/>
          <w:lang w:eastAsia="zh-CN"/>
        </w:rPr>
      </w:pPr>
    </w:p>
    <w:p w14:paraId="27EE4003">
      <w:pPr>
        <w:ind w:firstLine="1506" w:firstLineChars="500"/>
        <w:rPr>
          <w:rFonts w:hint="eastAsia" w:ascii="宋体" w:hAnsi="宋体" w:eastAsia="宋体" w:cs="宋体"/>
          <w:b/>
          <w:sz w:val="30"/>
          <w:szCs w:val="30"/>
          <w:highlight w:val="none"/>
          <w:lang w:eastAsia="zh-CN"/>
        </w:rPr>
      </w:pPr>
    </w:p>
    <w:p w14:paraId="22C332E8">
      <w:pPr>
        <w:ind w:firstLine="1506" w:firstLineChars="500"/>
        <w:rPr>
          <w:rFonts w:hint="eastAsia" w:ascii="宋体" w:hAnsi="宋体" w:eastAsia="宋体" w:cs="宋体"/>
          <w:b/>
          <w:bCs/>
          <w:sz w:val="24"/>
          <w:szCs w:val="24"/>
          <w:highlight w:val="none"/>
          <w:lang w:eastAsia="zh-CN"/>
        </w:rPr>
      </w:pPr>
      <w:r>
        <w:rPr>
          <w:rFonts w:hint="eastAsia" w:ascii="宋体" w:hAnsi="宋体" w:eastAsia="宋体" w:cs="宋体"/>
          <w:b/>
          <w:sz w:val="30"/>
          <w:szCs w:val="30"/>
          <w:highlight w:val="none"/>
          <w:lang w:eastAsia="zh-CN"/>
        </w:rPr>
        <w:t>（二）投标报价合理性说明（如有）</w:t>
      </w:r>
    </w:p>
    <w:p w14:paraId="1B8461B1">
      <w:pPr>
        <w:spacing w:line="420" w:lineRule="exact"/>
        <w:rPr>
          <w:rFonts w:hint="eastAsia" w:ascii="宋体" w:hAnsi="宋体" w:eastAsia="宋体" w:cs="宋体"/>
          <w:b/>
          <w:sz w:val="24"/>
          <w:szCs w:val="24"/>
          <w:highlight w:val="none"/>
          <w:lang w:eastAsia="zh-CN"/>
        </w:rPr>
      </w:pPr>
    </w:p>
    <w:p w14:paraId="6ED332AE">
      <w:pPr>
        <w:spacing w:line="420" w:lineRule="exact"/>
        <w:rPr>
          <w:rFonts w:ascii="宋体" w:hAnsi="宋体"/>
          <w:b/>
          <w:highlight w:val="none"/>
          <w:lang w:eastAsia="zh-CN"/>
        </w:rPr>
      </w:pPr>
    </w:p>
    <w:p w14:paraId="1AE3D8BB">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注：根据</w:t>
      </w:r>
      <w:r>
        <w:rPr>
          <w:rFonts w:hint="eastAsia" w:cs="微软雅黑" w:asciiTheme="minorEastAsia" w:hAnsiTheme="minorEastAsia" w:eastAsiaTheme="minorEastAsia"/>
          <w:b/>
          <w:sz w:val="24"/>
          <w:szCs w:val="24"/>
          <w:highlight w:val="none"/>
          <w:lang w:eastAsia="zh-CN"/>
        </w:rPr>
        <w:t>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w:t>
      </w:r>
      <w:r>
        <w:rPr>
          <w:rFonts w:hint="eastAsia" w:ascii="宋体" w:hAnsi="宋体" w:cs="宋体"/>
          <w:b/>
          <w:sz w:val="24"/>
          <w:highlight w:val="none"/>
          <w:lang w:eastAsia="zh-CN"/>
        </w:rPr>
        <w:t xml:space="preserve"> ，若投标人的投标（响应）报价满足以下任一条件：</w:t>
      </w:r>
    </w:p>
    <w:p w14:paraId="41A473F1">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1）</w:t>
      </w:r>
      <w:r>
        <w:rPr>
          <w:rFonts w:ascii="宋体" w:hAnsi="宋体" w:eastAsia="宋体" w:cs="宋体"/>
          <w:b/>
          <w:bCs/>
          <w:sz w:val="24"/>
          <w:highlight w:val="none"/>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sz w:val="24"/>
          <w:highlight w:val="none"/>
          <w:lang w:eastAsia="zh-CN"/>
        </w:rPr>
        <w:br w:type="textWrapping"/>
      </w:r>
      <w:r>
        <w:rPr>
          <w:rFonts w:hint="eastAsia" w:ascii="宋体" w:hAnsi="宋体" w:cs="宋体"/>
          <w:b/>
          <w:sz w:val="24"/>
          <w:highlight w:val="none"/>
          <w:lang w:eastAsia="zh-CN"/>
        </w:rPr>
        <w:t>；</w:t>
      </w:r>
    </w:p>
    <w:p w14:paraId="2792BF18">
      <w:pPr>
        <w:spacing w:line="420" w:lineRule="exact"/>
        <w:ind w:firstLine="480" w:firstLineChars="200"/>
        <w:rPr>
          <w:rFonts w:hint="eastAsia" w:ascii="宋体" w:hAnsi="宋体" w:eastAsia="宋体" w:cs="宋体"/>
          <w:b/>
          <w:sz w:val="24"/>
          <w:highlight w:val="none"/>
          <w:lang w:eastAsia="zh-CN"/>
        </w:rPr>
      </w:pPr>
      <w:r>
        <w:rPr>
          <w:rFonts w:hint="eastAsia" w:ascii="宋体" w:hAnsi="宋体" w:cs="宋体"/>
          <w:b/>
          <w:sz w:val="24"/>
          <w:highlight w:val="none"/>
          <w:lang w:eastAsia="zh-CN"/>
        </w:rPr>
        <w:t>2）</w:t>
      </w:r>
      <w:r>
        <w:rPr>
          <w:rFonts w:ascii="宋体" w:hAnsi="宋体" w:eastAsia="宋体" w:cs="宋体"/>
          <w:b/>
          <w:bCs/>
          <w:sz w:val="24"/>
          <w:highlight w:val="none"/>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lang w:eastAsia="zh-CN"/>
        </w:rPr>
        <w:t>；</w:t>
      </w:r>
    </w:p>
    <w:p w14:paraId="436112F5">
      <w:pPr>
        <w:spacing w:line="420" w:lineRule="exact"/>
        <w:ind w:firstLine="480" w:firstLineChars="200"/>
        <w:rPr>
          <w:rFonts w:ascii="宋体" w:hAnsi="宋体" w:cs="宋体"/>
          <w:b/>
          <w:sz w:val="24"/>
          <w:highlight w:val="none"/>
          <w:lang w:eastAsia="zh-CN"/>
        </w:rPr>
      </w:pPr>
      <w:r>
        <w:rPr>
          <w:rFonts w:hint="eastAsia" w:ascii="宋体" w:hAnsi="宋体" w:cs="宋体"/>
          <w:b/>
          <w:bCs/>
          <w:sz w:val="24"/>
          <w:highlight w:val="none"/>
          <w:lang w:eastAsia="zh-CN"/>
        </w:rPr>
        <w:t>3）</w:t>
      </w:r>
      <w:r>
        <w:rPr>
          <w:rFonts w:ascii="宋体" w:hAnsi="宋体" w:eastAsia="宋体" w:cs="宋体"/>
          <w:b/>
          <w:bCs/>
          <w:sz w:val="24"/>
          <w:highlight w:val="none"/>
          <w:lang w:eastAsia="zh-CN"/>
        </w:rPr>
        <w:t>投标（响应）报价低于采购项目最高限价45%的，即投标（响应）报价&lt;采购项目最高限价×45%；</w:t>
      </w:r>
      <w:r>
        <w:rPr>
          <w:rFonts w:ascii="宋体" w:hAnsi="宋体" w:eastAsia="宋体" w:cs="宋体"/>
          <w:b/>
          <w:bCs/>
          <w:sz w:val="24"/>
          <w:highlight w:val="none"/>
          <w:lang w:eastAsia="zh-CN"/>
        </w:rPr>
        <w:br w:type="textWrapping"/>
      </w:r>
      <w:r>
        <w:rPr>
          <w:rFonts w:hint="eastAsia" w:ascii="宋体" w:hAnsi="宋体" w:eastAsia="宋体" w:cs="宋体"/>
          <w:b/>
          <w:bCs/>
          <w:sz w:val="24"/>
          <w:highlight w:val="none"/>
          <w:lang w:eastAsia="zh-CN"/>
        </w:rPr>
        <w:t xml:space="preserve">   </w:t>
      </w:r>
      <w:r>
        <w:rPr>
          <w:rFonts w:hint="eastAsia" w:ascii="宋体" w:hAnsi="宋体" w:cs="宋体"/>
          <w:b/>
          <w:bCs/>
          <w:sz w:val="24"/>
          <w:highlight w:val="none"/>
          <w:lang w:eastAsia="zh-CN"/>
        </w:rPr>
        <w:t>4）</w:t>
      </w:r>
      <w:r>
        <w:rPr>
          <w:rFonts w:ascii="宋体" w:hAnsi="宋体" w:eastAsia="宋体" w:cs="宋体"/>
          <w:b/>
          <w:bCs/>
          <w:sz w:val="24"/>
          <w:highlight w:val="none"/>
          <w:lang w:eastAsia="zh-CN"/>
        </w:rPr>
        <w:t>评审委员会基于专业判断，认为供应商报价过低，有可能影响产品质量或者不能诚信履约的其他情形。</w:t>
      </w:r>
      <w:r>
        <w:rPr>
          <w:rFonts w:ascii="宋体" w:hAnsi="宋体" w:eastAsia="宋体" w:cs="宋体"/>
          <w:b/>
          <w:bCs/>
          <w:sz w:val="24"/>
          <w:highlight w:val="none"/>
          <w:lang w:eastAsia="zh-CN"/>
        </w:rPr>
        <w:br w:type="textWrapping"/>
      </w:r>
      <w:r>
        <w:rPr>
          <w:rFonts w:hint="eastAsia" w:ascii="宋体" w:hAnsi="宋体" w:cs="宋体"/>
          <w:b/>
          <w:bCs/>
          <w:sz w:val="24"/>
          <w:highlight w:val="none"/>
          <w:lang w:eastAsia="zh-CN"/>
        </w:rPr>
        <w:t xml:space="preserve">    </w:t>
      </w:r>
      <w:r>
        <w:rPr>
          <w:rFonts w:ascii="宋体" w:hAnsi="宋体" w:eastAsia="宋体" w:cs="宋体"/>
          <w:b/>
          <w:bCs/>
          <w:sz w:val="24"/>
          <w:highlight w:val="none"/>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highlight w:val="none"/>
          <w:lang w:eastAsia="zh-CN"/>
        </w:rPr>
        <w:br w:type="textWrapping"/>
      </w:r>
    </w:p>
    <w:p w14:paraId="0B87D5A2">
      <w:pPr>
        <w:spacing w:line="420" w:lineRule="exact"/>
        <w:rPr>
          <w:rFonts w:ascii="宋体" w:hAnsi="宋体"/>
          <w:b/>
          <w:highlight w:val="none"/>
          <w:lang w:eastAsia="zh-CN"/>
        </w:rPr>
      </w:pPr>
    </w:p>
    <w:p w14:paraId="59DC0300">
      <w:pPr>
        <w:spacing w:line="420" w:lineRule="exact"/>
        <w:rPr>
          <w:rFonts w:ascii="宋体" w:hAnsi="宋体"/>
          <w:b/>
          <w:highlight w:val="none"/>
          <w:lang w:eastAsia="zh-CN"/>
        </w:rPr>
      </w:pPr>
    </w:p>
    <w:p w14:paraId="12315E0F">
      <w:pPr>
        <w:adjustRightInd w:val="0"/>
        <w:spacing w:line="500" w:lineRule="exact"/>
        <w:textAlignment w:val="baseline"/>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投标单位：（公章）</w:t>
      </w:r>
    </w:p>
    <w:p w14:paraId="701F5CEC">
      <w:pPr>
        <w:adjustRightInd w:val="0"/>
        <w:spacing w:line="500" w:lineRule="exact"/>
        <w:textAlignment w:val="baseline"/>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法定代表人或委托代理人（签字或盖章）： </w:t>
      </w:r>
    </w:p>
    <w:p w14:paraId="4053DC2A">
      <w:pPr>
        <w:pStyle w:val="20"/>
        <w:ind w:firstLine="0"/>
        <w:rPr>
          <w:rFonts w:hint="eastAsia" w:hAnsi="宋体" w:eastAsia="宋体" w:cs="宋体"/>
          <w:highlight w:val="none"/>
          <w:lang w:eastAsia="zh-CN"/>
        </w:rPr>
      </w:pPr>
      <w:r>
        <w:rPr>
          <w:rFonts w:hint="eastAsia" w:hAnsi="宋体" w:eastAsia="宋体" w:cs="宋体"/>
          <w:sz w:val="24"/>
          <w:highlight w:val="none"/>
          <w:lang w:eastAsia="zh-CN"/>
        </w:rPr>
        <w:t>日期：      年     月     日</w:t>
      </w:r>
      <w:bookmarkEnd w:id="6"/>
    </w:p>
    <w:p w14:paraId="0845E37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3156AF70">
      <w:pPr>
        <w:pBdr>
          <w:top w:val="none" w:color="000000" w:sz="0" w:space="0"/>
          <w:left w:val="none" w:color="000000" w:sz="0" w:space="0"/>
          <w:bottom w:val="none" w:color="000000" w:sz="0" w:space="0"/>
          <w:right w:val="none" w:color="000000" w:sz="0" w:space="0"/>
        </w:pBdr>
        <w:spacing w:after="0"/>
        <w:jc w:val="both"/>
        <w:outlineLvl w:val="1"/>
        <w:rPr>
          <w:highlight w:val="none"/>
          <w:lang w:eastAsia="zh-CN"/>
        </w:rPr>
      </w:pPr>
      <w:r>
        <w:rPr>
          <w:rFonts w:hint="eastAsia" w:ascii="宋体" w:hAnsi="宋体" w:eastAsia="宋体" w:cs="宋体"/>
          <w:b/>
          <w:color w:val="000000"/>
          <w:sz w:val="32"/>
          <w:highlight w:val="none"/>
          <w:lang w:eastAsia="zh-CN"/>
        </w:rPr>
        <w:t>8、</w:t>
      </w:r>
      <w:r>
        <w:rPr>
          <w:rFonts w:ascii="宋体" w:hAnsi="宋体" w:eastAsia="宋体" w:cs="宋体"/>
          <w:b/>
          <w:sz w:val="32"/>
          <w:highlight w:val="none"/>
          <w:lang w:eastAsia="zh-CN"/>
        </w:rPr>
        <w:t>服务要求偏离表</w:t>
      </w:r>
    </w:p>
    <w:p w14:paraId="46E81F72">
      <w:pPr>
        <w:jc w:val="center"/>
        <w:rPr>
          <w:rFonts w:hint="eastAsia" w:ascii="宋体" w:hAnsi="宋体" w:eastAsia="宋体" w:cs="宋体"/>
          <w:b/>
          <w:sz w:val="30"/>
          <w:szCs w:val="30"/>
          <w:highlight w:val="none"/>
          <w:lang w:eastAsia="zh-CN"/>
        </w:rPr>
      </w:pPr>
    </w:p>
    <w:p w14:paraId="63CF47F4">
      <w:pPr>
        <w:jc w:val="center"/>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服务要求偏离表</w:t>
      </w:r>
    </w:p>
    <w:p w14:paraId="460CBADD">
      <w:pPr>
        <w:pStyle w:val="18"/>
        <w:spacing w:after="0" w:line="360" w:lineRule="auto"/>
        <w:ind w:left="2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招标文件编号： </w:t>
      </w:r>
    </w:p>
    <w:tbl>
      <w:tblPr>
        <w:tblStyle w:val="45"/>
        <w:tblW w:w="9068" w:type="dxa"/>
        <w:tblInd w:w="0" w:type="dxa"/>
        <w:tblLayout w:type="autofit"/>
        <w:tblCellMar>
          <w:top w:w="0" w:type="dxa"/>
          <w:left w:w="108" w:type="dxa"/>
          <w:bottom w:w="0" w:type="dxa"/>
          <w:right w:w="108" w:type="dxa"/>
        </w:tblCellMar>
      </w:tblPr>
      <w:tblGrid>
        <w:gridCol w:w="846"/>
        <w:gridCol w:w="1417"/>
        <w:gridCol w:w="1560"/>
        <w:gridCol w:w="1417"/>
        <w:gridCol w:w="1985"/>
        <w:gridCol w:w="1843"/>
      </w:tblGrid>
      <w:tr w14:paraId="155B868E">
        <w:tblPrEx>
          <w:tblCellMar>
            <w:top w:w="0" w:type="dxa"/>
            <w:left w:w="108" w:type="dxa"/>
            <w:bottom w:w="0" w:type="dxa"/>
            <w:right w:w="108" w:type="dxa"/>
          </w:tblCellMar>
        </w:tblPrEx>
        <w:trPr>
          <w:trHeight w:val="609" w:hRule="atLeast"/>
        </w:trPr>
        <w:tc>
          <w:tcPr>
            <w:tcW w:w="846" w:type="dxa"/>
            <w:tcBorders>
              <w:top w:val="single" w:color="auto" w:sz="4" w:space="0"/>
              <w:left w:val="single" w:color="auto" w:sz="4" w:space="0"/>
              <w:bottom w:val="single" w:color="auto" w:sz="4" w:space="0"/>
              <w:right w:val="single" w:color="auto" w:sz="4" w:space="0"/>
            </w:tcBorders>
            <w:vAlign w:val="center"/>
          </w:tcPr>
          <w:p w14:paraId="3DE4678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 </w:t>
            </w:r>
          </w:p>
        </w:tc>
        <w:tc>
          <w:tcPr>
            <w:tcW w:w="1417" w:type="dxa"/>
            <w:tcBorders>
              <w:top w:val="single" w:color="auto" w:sz="4" w:space="0"/>
              <w:left w:val="nil"/>
              <w:bottom w:val="single" w:color="auto" w:sz="4" w:space="0"/>
              <w:right w:val="single" w:color="auto" w:sz="4" w:space="0"/>
            </w:tcBorders>
            <w:vAlign w:val="center"/>
          </w:tcPr>
          <w:p w14:paraId="46743A5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标的名称</w:t>
            </w:r>
          </w:p>
        </w:tc>
        <w:tc>
          <w:tcPr>
            <w:tcW w:w="1560" w:type="dxa"/>
            <w:tcBorders>
              <w:top w:val="single" w:color="auto" w:sz="4" w:space="0"/>
              <w:left w:val="nil"/>
              <w:bottom w:val="single" w:color="auto" w:sz="4" w:space="0"/>
              <w:right w:val="single" w:color="auto" w:sz="4" w:space="0"/>
            </w:tcBorders>
            <w:vAlign w:val="center"/>
          </w:tcPr>
          <w:p w14:paraId="6CED415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招标文件</w:t>
            </w:r>
          </w:p>
          <w:p w14:paraId="7815423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技术要求</w:t>
            </w:r>
          </w:p>
        </w:tc>
        <w:tc>
          <w:tcPr>
            <w:tcW w:w="1417" w:type="dxa"/>
            <w:tcBorders>
              <w:top w:val="single" w:color="auto" w:sz="4" w:space="0"/>
              <w:left w:val="nil"/>
              <w:bottom w:val="single" w:color="auto" w:sz="4" w:space="0"/>
              <w:right w:val="single" w:color="auto" w:sz="4" w:space="0"/>
            </w:tcBorders>
            <w:vAlign w:val="center"/>
          </w:tcPr>
          <w:p w14:paraId="31AD03A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w:t>
            </w:r>
          </w:p>
          <w:p w14:paraId="344A9FC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响应要求</w:t>
            </w:r>
          </w:p>
        </w:tc>
        <w:tc>
          <w:tcPr>
            <w:tcW w:w="1985" w:type="dxa"/>
            <w:tcBorders>
              <w:top w:val="single" w:color="auto" w:sz="4" w:space="0"/>
              <w:left w:val="nil"/>
              <w:bottom w:val="single" w:color="auto" w:sz="4" w:space="0"/>
              <w:right w:val="single" w:color="auto" w:sz="4" w:space="0"/>
            </w:tcBorders>
            <w:vAlign w:val="center"/>
          </w:tcPr>
          <w:p w14:paraId="2887245C">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偏离情况(正偏离/无偏离/负偏离)</w:t>
            </w:r>
          </w:p>
        </w:tc>
        <w:tc>
          <w:tcPr>
            <w:tcW w:w="1843" w:type="dxa"/>
            <w:tcBorders>
              <w:top w:val="single" w:color="auto" w:sz="4" w:space="0"/>
              <w:left w:val="nil"/>
              <w:bottom w:val="single" w:color="auto" w:sz="4" w:space="0"/>
              <w:right w:val="single" w:color="auto" w:sz="4" w:space="0"/>
            </w:tcBorders>
            <w:vAlign w:val="center"/>
          </w:tcPr>
          <w:p w14:paraId="70244B9F">
            <w:pPr>
              <w:rPr>
                <w:rFonts w:hint="eastAsia" w:ascii="宋体" w:hAnsi="宋体" w:eastAsia="宋体" w:cs="宋体"/>
                <w:sz w:val="24"/>
                <w:szCs w:val="24"/>
                <w:highlight w:val="none"/>
              </w:rPr>
            </w:pPr>
            <w:r>
              <w:rPr>
                <w:rFonts w:hint="eastAsia" w:ascii="宋体" w:hAnsi="宋体" w:eastAsia="宋体" w:cs="宋体"/>
                <w:sz w:val="24"/>
                <w:szCs w:val="24"/>
                <w:highlight w:val="none"/>
              </w:rPr>
              <w:t>备注(证明材料位置)</w:t>
            </w:r>
          </w:p>
        </w:tc>
      </w:tr>
      <w:tr w14:paraId="552376A9">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1699A95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32FE040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719F0A5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2668375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02A1791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4BE22717">
            <w:pPr>
              <w:jc w:val="center"/>
              <w:rPr>
                <w:rFonts w:hint="eastAsia" w:ascii="宋体" w:hAnsi="宋体" w:eastAsia="宋体" w:cs="宋体"/>
                <w:sz w:val="24"/>
                <w:szCs w:val="24"/>
                <w:highlight w:val="none"/>
              </w:rPr>
            </w:pPr>
          </w:p>
        </w:tc>
      </w:tr>
      <w:tr w14:paraId="109AA8E8">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25238F3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63F4703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466B4CA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5E35905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4870CAF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0A12CC6C">
            <w:pPr>
              <w:jc w:val="center"/>
              <w:rPr>
                <w:rFonts w:hint="eastAsia" w:ascii="宋体" w:hAnsi="宋体" w:eastAsia="宋体" w:cs="宋体"/>
                <w:sz w:val="24"/>
                <w:szCs w:val="24"/>
                <w:highlight w:val="none"/>
              </w:rPr>
            </w:pPr>
          </w:p>
        </w:tc>
      </w:tr>
      <w:tr w14:paraId="7F5E16C6">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725A43C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5E32D8C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010F178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5C29A9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7BF0C72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02E5E7CF">
            <w:pPr>
              <w:jc w:val="center"/>
              <w:rPr>
                <w:rFonts w:hint="eastAsia" w:ascii="宋体" w:hAnsi="宋体" w:eastAsia="宋体" w:cs="宋体"/>
                <w:sz w:val="24"/>
                <w:szCs w:val="24"/>
                <w:highlight w:val="none"/>
              </w:rPr>
            </w:pPr>
          </w:p>
        </w:tc>
      </w:tr>
      <w:tr w14:paraId="068C7A8D">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10A5F3D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0418022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611F13A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4F1F93F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575A40D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67CD0588">
            <w:pPr>
              <w:jc w:val="center"/>
              <w:rPr>
                <w:rFonts w:hint="eastAsia" w:ascii="宋体" w:hAnsi="宋体" w:eastAsia="宋体" w:cs="宋体"/>
                <w:sz w:val="24"/>
                <w:szCs w:val="24"/>
                <w:highlight w:val="none"/>
              </w:rPr>
            </w:pPr>
          </w:p>
        </w:tc>
      </w:tr>
      <w:tr w14:paraId="59C91317">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32A54A4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555007E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099260F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7F7806E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6A69000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49255D5E">
            <w:pPr>
              <w:jc w:val="center"/>
              <w:rPr>
                <w:rFonts w:hint="eastAsia" w:ascii="宋体" w:hAnsi="宋体" w:eastAsia="宋体" w:cs="宋体"/>
                <w:sz w:val="24"/>
                <w:szCs w:val="24"/>
                <w:highlight w:val="none"/>
              </w:rPr>
            </w:pPr>
          </w:p>
        </w:tc>
      </w:tr>
    </w:tbl>
    <w:p w14:paraId="7C27D91A">
      <w:pPr>
        <w:rPr>
          <w:rFonts w:hint="eastAsia" w:ascii="宋体" w:hAnsi="宋体" w:eastAsia="宋体" w:cs="宋体"/>
          <w:b/>
          <w:sz w:val="24"/>
          <w:szCs w:val="24"/>
          <w:highlight w:val="none"/>
        </w:rPr>
      </w:pPr>
    </w:p>
    <w:p w14:paraId="34057999">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注：</w:t>
      </w:r>
    </w:p>
    <w:p w14:paraId="25A7CB7E">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应在本表中对照招标文件技术要求（包括服务要求）与实际投标技术要求（包括服务要求）逐项对应列出，并在“偏离说明”项下填写以下内容：优于的，填写“正偏离”；符合的，填写“无偏离”；低于的，填写“负偏离”。</w:t>
      </w:r>
    </w:p>
    <w:p w14:paraId="22B696EE">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2、若事项较多，投标人可根据响应内容的实际情况另纸说明。</w:t>
      </w:r>
    </w:p>
    <w:p w14:paraId="4110015C">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3.上表所指证明材料为项目需求中要求提供的检测报告、截图、各类证书或其他形式的材料，证明材料附后。</w:t>
      </w:r>
    </w:p>
    <w:p w14:paraId="51B1599C">
      <w:pPr>
        <w:rPr>
          <w:rFonts w:hint="eastAsia" w:ascii="宋体" w:hAnsi="宋体" w:eastAsia="宋体" w:cs="宋体"/>
          <w:sz w:val="24"/>
          <w:szCs w:val="24"/>
          <w:highlight w:val="none"/>
          <w:lang w:eastAsia="zh-CN"/>
        </w:rPr>
      </w:pPr>
    </w:p>
    <w:p w14:paraId="0A193717">
      <w:pPr>
        <w:rPr>
          <w:rFonts w:hint="eastAsia" w:ascii="宋体" w:hAnsi="宋体" w:eastAsia="宋体" w:cs="宋体"/>
          <w:sz w:val="24"/>
          <w:szCs w:val="24"/>
          <w:highlight w:val="none"/>
          <w:lang w:eastAsia="zh-CN"/>
        </w:rPr>
      </w:pPr>
    </w:p>
    <w:p w14:paraId="3B3A770D">
      <w:pPr>
        <w:rPr>
          <w:rFonts w:hint="eastAsia" w:ascii="宋体" w:hAnsi="宋体" w:eastAsia="宋体" w:cs="宋体"/>
          <w:sz w:val="24"/>
          <w:szCs w:val="24"/>
          <w:highlight w:val="none"/>
          <w:lang w:eastAsia="zh-CN"/>
        </w:rPr>
      </w:pPr>
    </w:p>
    <w:p w14:paraId="7659823B">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投标单位：（单位盖章）</w:t>
      </w:r>
    </w:p>
    <w:p w14:paraId="279E6148">
      <w:pPr>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法定代表人或代理人（签字或盖章）</w:t>
      </w:r>
      <w:r>
        <w:rPr>
          <w:rFonts w:hint="eastAsia" w:ascii="宋体" w:hAnsi="宋体" w:eastAsia="宋体" w:cs="宋体"/>
          <w:bCs/>
          <w:sz w:val="24"/>
          <w:szCs w:val="24"/>
          <w:highlight w:val="none"/>
          <w:lang w:eastAsia="zh-CN"/>
        </w:rPr>
        <w:t>：</w:t>
      </w:r>
    </w:p>
    <w:p w14:paraId="1CE7D85F">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投标日期：   年   月   日</w:t>
      </w:r>
    </w:p>
    <w:p w14:paraId="515A0A5A">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p>
    <w:p w14:paraId="3F09AF43">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68297A1">
      <w:pPr>
        <w:snapToGrid w:val="0"/>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9、商务要求偏离表</w:t>
      </w:r>
    </w:p>
    <w:p w14:paraId="44177525">
      <w:pPr>
        <w:snapToGrid w:val="0"/>
        <w:spacing w:line="360" w:lineRule="auto"/>
        <w:jc w:val="center"/>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t>商务要求偏离表</w:t>
      </w:r>
    </w:p>
    <w:tbl>
      <w:tblPr>
        <w:tblStyle w:val="45"/>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38FEC1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348F9A36">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398F6E20">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1CC1712F">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kern w:val="1"/>
                <w:sz w:val="24"/>
                <w:szCs w:val="24"/>
                <w:highlight w:val="none"/>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200D53C4">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kern w:val="1"/>
                <w:sz w:val="24"/>
                <w:szCs w:val="24"/>
                <w:highlight w:val="none"/>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14C199A3">
            <w:pPr>
              <w:snapToGrid w:val="0"/>
              <w:spacing w:line="360" w:lineRule="auto"/>
              <w:jc w:val="center"/>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380D152C">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备注</w:t>
            </w:r>
          </w:p>
        </w:tc>
      </w:tr>
      <w:tr w14:paraId="481016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0439349">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2213" w:type="dxa"/>
            <w:tcBorders>
              <w:top w:val="single" w:color="auto" w:sz="8" w:space="0"/>
              <w:left w:val="single" w:color="auto" w:sz="8" w:space="0"/>
              <w:bottom w:val="single" w:color="auto" w:sz="8" w:space="0"/>
              <w:right w:val="single" w:color="auto" w:sz="8" w:space="0"/>
            </w:tcBorders>
            <w:vAlign w:val="center"/>
          </w:tcPr>
          <w:p w14:paraId="1656B67F">
            <w:pPr>
              <w:snapToGrid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时间</w:t>
            </w:r>
          </w:p>
        </w:tc>
        <w:tc>
          <w:tcPr>
            <w:tcW w:w="1959" w:type="dxa"/>
            <w:tcBorders>
              <w:top w:val="single" w:color="auto" w:sz="8" w:space="0"/>
              <w:left w:val="single" w:color="auto" w:sz="8" w:space="0"/>
              <w:bottom w:val="single" w:color="auto" w:sz="8" w:space="0"/>
              <w:right w:val="single" w:color="auto" w:sz="8" w:space="0"/>
            </w:tcBorders>
          </w:tcPr>
          <w:p w14:paraId="00BDAA4E">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51762EE">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F8268BF">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D78F3D6">
            <w:pPr>
              <w:snapToGrid w:val="0"/>
              <w:spacing w:line="360" w:lineRule="auto"/>
              <w:rPr>
                <w:rFonts w:hint="eastAsia" w:ascii="宋体" w:hAnsi="宋体" w:eastAsia="宋体" w:cs="宋体"/>
                <w:sz w:val="24"/>
                <w:szCs w:val="24"/>
                <w:highlight w:val="none"/>
              </w:rPr>
            </w:pPr>
          </w:p>
        </w:tc>
      </w:tr>
      <w:tr w14:paraId="5C4DFD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DA869CE">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p>
        </w:tc>
        <w:tc>
          <w:tcPr>
            <w:tcW w:w="2213" w:type="dxa"/>
            <w:tcBorders>
              <w:top w:val="single" w:color="auto" w:sz="8" w:space="0"/>
              <w:left w:val="single" w:color="auto" w:sz="8" w:space="0"/>
              <w:bottom w:val="single" w:color="auto" w:sz="8" w:space="0"/>
              <w:right w:val="single" w:color="auto" w:sz="8" w:space="0"/>
            </w:tcBorders>
            <w:vAlign w:val="center"/>
          </w:tcPr>
          <w:p w14:paraId="12AF99AD">
            <w:pPr>
              <w:snapToGrid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地点</w:t>
            </w:r>
          </w:p>
        </w:tc>
        <w:tc>
          <w:tcPr>
            <w:tcW w:w="1959" w:type="dxa"/>
            <w:tcBorders>
              <w:top w:val="single" w:color="auto" w:sz="8" w:space="0"/>
              <w:left w:val="single" w:color="auto" w:sz="8" w:space="0"/>
              <w:bottom w:val="single" w:color="auto" w:sz="8" w:space="0"/>
              <w:right w:val="single" w:color="auto" w:sz="8" w:space="0"/>
            </w:tcBorders>
          </w:tcPr>
          <w:p w14:paraId="25A56801">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EFCECBE">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39AB85B">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CA09BC1">
            <w:pPr>
              <w:snapToGrid w:val="0"/>
              <w:spacing w:line="360" w:lineRule="auto"/>
              <w:rPr>
                <w:rFonts w:hint="eastAsia" w:ascii="宋体" w:hAnsi="宋体" w:eastAsia="宋体" w:cs="宋体"/>
                <w:sz w:val="24"/>
                <w:szCs w:val="24"/>
                <w:highlight w:val="none"/>
              </w:rPr>
            </w:pPr>
          </w:p>
        </w:tc>
      </w:tr>
      <w:tr w14:paraId="79B622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FE5D171">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p>
        </w:tc>
        <w:tc>
          <w:tcPr>
            <w:tcW w:w="2213" w:type="dxa"/>
            <w:tcBorders>
              <w:top w:val="single" w:color="auto" w:sz="8" w:space="0"/>
              <w:left w:val="single" w:color="auto" w:sz="8" w:space="0"/>
              <w:bottom w:val="single" w:color="auto" w:sz="8" w:space="0"/>
              <w:right w:val="single" w:color="auto" w:sz="8" w:space="0"/>
            </w:tcBorders>
            <w:vAlign w:val="center"/>
          </w:tcPr>
          <w:p w14:paraId="03CB85D0">
            <w:pPr>
              <w:snapToGrid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0695418F">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8E8AF9B">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5ACD4A8A">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5B238583">
            <w:pPr>
              <w:snapToGrid w:val="0"/>
              <w:spacing w:line="360" w:lineRule="auto"/>
              <w:rPr>
                <w:rFonts w:hint="eastAsia" w:ascii="宋体" w:hAnsi="宋体" w:eastAsia="宋体" w:cs="宋体"/>
                <w:sz w:val="24"/>
                <w:szCs w:val="24"/>
                <w:highlight w:val="none"/>
              </w:rPr>
            </w:pPr>
          </w:p>
        </w:tc>
      </w:tr>
      <w:tr w14:paraId="6925A9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1007D28">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4</w:t>
            </w:r>
          </w:p>
        </w:tc>
        <w:tc>
          <w:tcPr>
            <w:tcW w:w="2213" w:type="dxa"/>
            <w:tcBorders>
              <w:top w:val="single" w:color="auto" w:sz="8" w:space="0"/>
              <w:left w:val="single" w:color="auto" w:sz="8" w:space="0"/>
              <w:bottom w:val="single" w:color="auto" w:sz="8" w:space="0"/>
              <w:right w:val="single" w:color="auto" w:sz="8" w:space="0"/>
            </w:tcBorders>
            <w:vAlign w:val="center"/>
          </w:tcPr>
          <w:p w14:paraId="3B2ABF91">
            <w:pPr>
              <w:snapToGrid w:val="0"/>
              <w:spacing w:line="360" w:lineRule="auto"/>
              <w:rPr>
                <w:rFonts w:hint="eastAsia" w:ascii="宋体" w:hAnsi="宋体" w:eastAsia="宋体" w:cs="宋体"/>
                <w:bCs/>
                <w:sz w:val="24"/>
                <w:szCs w:val="24"/>
                <w:highlight w:val="none"/>
              </w:rPr>
            </w:pPr>
            <w:r>
              <w:rPr>
                <w:rFonts w:hint="eastAsia" w:ascii="宋体" w:hAnsi="宋体" w:eastAsia="宋体" w:cs="宋体"/>
                <w:sz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0FCD721E">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7A05080">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1477521">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54993A01">
            <w:pPr>
              <w:snapToGrid w:val="0"/>
              <w:spacing w:line="360" w:lineRule="auto"/>
              <w:rPr>
                <w:rFonts w:hint="eastAsia" w:ascii="宋体" w:hAnsi="宋体" w:eastAsia="宋体" w:cs="宋体"/>
                <w:sz w:val="24"/>
                <w:szCs w:val="24"/>
                <w:highlight w:val="none"/>
              </w:rPr>
            </w:pPr>
          </w:p>
        </w:tc>
      </w:tr>
      <w:tr w14:paraId="4450D9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6A89B0F">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2213" w:type="dxa"/>
            <w:tcBorders>
              <w:top w:val="single" w:color="auto" w:sz="8" w:space="0"/>
              <w:left w:val="single" w:color="auto" w:sz="8" w:space="0"/>
              <w:bottom w:val="single" w:color="auto" w:sz="8" w:space="0"/>
              <w:right w:val="single" w:color="auto" w:sz="8" w:space="0"/>
            </w:tcBorders>
          </w:tcPr>
          <w:p w14:paraId="5EC2FCD3">
            <w:pPr>
              <w:snapToGri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1959" w:type="dxa"/>
            <w:tcBorders>
              <w:top w:val="single" w:color="auto" w:sz="8" w:space="0"/>
              <w:left w:val="single" w:color="auto" w:sz="8" w:space="0"/>
              <w:bottom w:val="single" w:color="auto" w:sz="8" w:space="0"/>
              <w:right w:val="single" w:color="auto" w:sz="8" w:space="0"/>
            </w:tcBorders>
          </w:tcPr>
          <w:p w14:paraId="2DE745F5">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4BAC0957">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4FD8803">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4D4CEF1">
            <w:pPr>
              <w:snapToGrid w:val="0"/>
              <w:spacing w:line="360" w:lineRule="auto"/>
              <w:rPr>
                <w:rFonts w:hint="eastAsia" w:ascii="宋体" w:hAnsi="宋体" w:eastAsia="宋体" w:cs="宋体"/>
                <w:sz w:val="24"/>
                <w:szCs w:val="24"/>
                <w:highlight w:val="none"/>
              </w:rPr>
            </w:pPr>
          </w:p>
        </w:tc>
      </w:tr>
      <w:tr w14:paraId="6F8BDF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113A259">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6</w:t>
            </w:r>
          </w:p>
        </w:tc>
        <w:tc>
          <w:tcPr>
            <w:tcW w:w="2213" w:type="dxa"/>
            <w:tcBorders>
              <w:top w:val="single" w:color="auto" w:sz="8" w:space="0"/>
              <w:left w:val="single" w:color="auto" w:sz="8" w:space="0"/>
              <w:bottom w:val="single" w:color="auto" w:sz="8" w:space="0"/>
              <w:right w:val="single" w:color="auto" w:sz="8" w:space="0"/>
            </w:tcBorders>
          </w:tcPr>
          <w:p w14:paraId="08A2EE53">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51DDD972">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E038756">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5C0E3FB">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7400B602">
            <w:pPr>
              <w:snapToGrid w:val="0"/>
              <w:spacing w:line="360" w:lineRule="auto"/>
              <w:rPr>
                <w:rFonts w:hint="eastAsia" w:ascii="宋体" w:hAnsi="宋体" w:eastAsia="宋体" w:cs="宋体"/>
                <w:sz w:val="24"/>
                <w:szCs w:val="24"/>
                <w:highlight w:val="none"/>
              </w:rPr>
            </w:pPr>
          </w:p>
        </w:tc>
      </w:tr>
      <w:tr w14:paraId="690720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D27D918">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7</w:t>
            </w:r>
          </w:p>
        </w:tc>
        <w:tc>
          <w:tcPr>
            <w:tcW w:w="2213" w:type="dxa"/>
            <w:tcBorders>
              <w:top w:val="single" w:color="auto" w:sz="8" w:space="0"/>
              <w:left w:val="single" w:color="auto" w:sz="8" w:space="0"/>
              <w:bottom w:val="single" w:color="auto" w:sz="8" w:space="0"/>
              <w:right w:val="single" w:color="auto" w:sz="8" w:space="0"/>
            </w:tcBorders>
          </w:tcPr>
          <w:p w14:paraId="0C32AF2E">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60BF305B">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90842EE">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B69651C">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7B954A0">
            <w:pPr>
              <w:snapToGrid w:val="0"/>
              <w:spacing w:line="360" w:lineRule="auto"/>
              <w:rPr>
                <w:rFonts w:hint="eastAsia" w:ascii="宋体" w:hAnsi="宋体" w:eastAsia="宋体" w:cs="宋体"/>
                <w:sz w:val="24"/>
                <w:szCs w:val="24"/>
                <w:highlight w:val="none"/>
              </w:rPr>
            </w:pPr>
          </w:p>
        </w:tc>
      </w:tr>
      <w:tr w14:paraId="572A13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21955F0">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2213" w:type="dxa"/>
            <w:tcBorders>
              <w:top w:val="single" w:color="auto" w:sz="8" w:space="0"/>
              <w:left w:val="single" w:color="auto" w:sz="8" w:space="0"/>
              <w:bottom w:val="single" w:color="auto" w:sz="8" w:space="0"/>
              <w:right w:val="single" w:color="auto" w:sz="8" w:space="0"/>
            </w:tcBorders>
          </w:tcPr>
          <w:p w14:paraId="04EBF36A">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74DDC7AB">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4BA6484">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960DD06">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E5014FC">
            <w:pPr>
              <w:snapToGrid w:val="0"/>
              <w:spacing w:line="360" w:lineRule="auto"/>
              <w:rPr>
                <w:rFonts w:hint="eastAsia" w:ascii="宋体" w:hAnsi="宋体" w:eastAsia="宋体" w:cs="宋体"/>
                <w:sz w:val="24"/>
                <w:szCs w:val="24"/>
                <w:highlight w:val="none"/>
              </w:rPr>
            </w:pPr>
          </w:p>
        </w:tc>
      </w:tr>
      <w:tr w14:paraId="4D9793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749BA22">
            <w:pPr>
              <w:snapToGrid w:val="0"/>
              <w:spacing w:line="360" w:lineRule="auto"/>
              <w:jc w:val="center"/>
              <w:rPr>
                <w:rFonts w:hint="eastAsia" w:ascii="宋体" w:hAnsi="宋体" w:eastAsia="宋体" w:cs="宋体"/>
                <w:bCs/>
                <w:sz w:val="24"/>
                <w:szCs w:val="24"/>
                <w:highlight w:val="none"/>
              </w:rPr>
            </w:pPr>
          </w:p>
        </w:tc>
        <w:tc>
          <w:tcPr>
            <w:tcW w:w="2213" w:type="dxa"/>
            <w:tcBorders>
              <w:top w:val="single" w:color="auto" w:sz="8" w:space="0"/>
              <w:left w:val="single" w:color="auto" w:sz="8" w:space="0"/>
              <w:bottom w:val="single" w:color="auto" w:sz="8" w:space="0"/>
              <w:right w:val="single" w:color="auto" w:sz="8" w:space="0"/>
            </w:tcBorders>
          </w:tcPr>
          <w:p w14:paraId="03917678">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012716D7">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289E9AF">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327127F">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455259A">
            <w:pPr>
              <w:snapToGrid w:val="0"/>
              <w:spacing w:line="360" w:lineRule="auto"/>
              <w:rPr>
                <w:rFonts w:hint="eastAsia" w:ascii="宋体" w:hAnsi="宋体" w:eastAsia="宋体" w:cs="宋体"/>
                <w:sz w:val="24"/>
                <w:szCs w:val="24"/>
                <w:highlight w:val="none"/>
              </w:rPr>
            </w:pPr>
          </w:p>
        </w:tc>
      </w:tr>
    </w:tbl>
    <w:p w14:paraId="1F708544">
      <w:pPr>
        <w:snapToGrid w:val="0"/>
        <w:spacing w:line="360" w:lineRule="auto"/>
        <w:ind w:firstLine="482" w:firstLineChars="200"/>
        <w:rPr>
          <w:rFonts w:hint="eastAsia" w:ascii="宋体" w:hAnsi="宋体" w:eastAsia="宋体" w:cs="宋体"/>
          <w:b/>
          <w:sz w:val="24"/>
          <w:szCs w:val="24"/>
          <w:highlight w:val="none"/>
        </w:rPr>
      </w:pPr>
    </w:p>
    <w:p w14:paraId="5A49F187">
      <w:pPr>
        <w:autoSpaceDE w:val="0"/>
        <w:autoSpaceDN w:val="0"/>
        <w:adjustRightInd w:val="0"/>
        <w:snapToGrid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注：</w:t>
      </w:r>
      <w:r>
        <w:rPr>
          <w:rFonts w:hint="eastAsia" w:ascii="宋体" w:hAnsi="宋体" w:eastAsia="宋体" w:cs="宋体"/>
          <w:sz w:val="24"/>
          <w:szCs w:val="24"/>
          <w:highlight w:val="none"/>
          <w:lang w:eastAsia="zh-CN"/>
        </w:rPr>
        <w:t>1.供应商应在本表中把招标文件商务要求与实际投标商务要求逐项对应列出，并在“偏离说明”项下填写以下内容：优于的，填写“正偏离”；符合的，填写“无偏离”；低于的，填写“负偏离”。</w:t>
      </w:r>
    </w:p>
    <w:p w14:paraId="24D143CF">
      <w:pPr>
        <w:pStyle w:val="14"/>
        <w:overflowPunct w:val="0"/>
        <w:spacing w:line="360" w:lineRule="auto"/>
        <w:ind w:firstLine="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2.若事项较多，投标人可根据响应内容的实际情况另纸说明。</w:t>
      </w:r>
    </w:p>
    <w:p w14:paraId="4A2034A5">
      <w:pPr>
        <w:adjustRightInd w:val="0"/>
        <w:snapToGrid w:val="0"/>
        <w:spacing w:line="360" w:lineRule="auto"/>
        <w:ind w:firstLine="480" w:firstLineChars="200"/>
        <w:rPr>
          <w:rFonts w:hint="eastAsia" w:ascii="宋体" w:hAnsi="宋体" w:eastAsia="宋体" w:cs="宋体"/>
          <w:sz w:val="24"/>
          <w:szCs w:val="24"/>
          <w:highlight w:val="none"/>
          <w:lang w:eastAsia="zh-CN"/>
        </w:rPr>
      </w:pPr>
    </w:p>
    <w:p w14:paraId="6379768E">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供应商：（公章）</w:t>
      </w:r>
    </w:p>
    <w:p w14:paraId="1A92CAC2">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法定代表人或代理人（签字或盖章）</w:t>
      </w:r>
      <w:r>
        <w:rPr>
          <w:rFonts w:hint="eastAsia" w:ascii="宋体" w:hAnsi="宋体" w:eastAsia="宋体" w:cs="宋体"/>
          <w:bCs/>
          <w:sz w:val="24"/>
          <w:szCs w:val="24"/>
          <w:highlight w:val="none"/>
          <w:lang w:eastAsia="zh-CN"/>
        </w:rPr>
        <w:t>：</w:t>
      </w:r>
    </w:p>
    <w:p w14:paraId="66B1D7FB">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投标日期:  年  月   日</w:t>
      </w:r>
    </w:p>
    <w:p w14:paraId="2CBCED5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10、项目技术方案及服务方案</w:t>
      </w:r>
    </w:p>
    <w:p w14:paraId="498E5C1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07A91F9">
      <w:pPr>
        <w:pBdr>
          <w:top w:val="none" w:color="000000" w:sz="0" w:space="0"/>
          <w:left w:val="none" w:color="000000" w:sz="0" w:space="0"/>
          <w:bottom w:val="none" w:color="000000" w:sz="0" w:space="0"/>
          <w:right w:val="none" w:color="000000" w:sz="0" w:space="0"/>
        </w:pBdr>
        <w:spacing w:after="0"/>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投标人根据项目需求编写针对本项目的技术方案及服务方案</w:t>
      </w:r>
    </w:p>
    <w:p w14:paraId="64683E8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C5191B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583BBE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267E38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BBA662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A76BF3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DF0DBE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11、项目实施方案及进度方案</w:t>
      </w:r>
    </w:p>
    <w:p w14:paraId="5771ACA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5FB5D33">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投标人根据项目需求编写针对本项目的实施方案及进度方案</w:t>
      </w:r>
    </w:p>
    <w:p w14:paraId="74426FC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836119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0513547">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04F1F20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7C1618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06953A1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12、项目质量保证措施及承诺</w:t>
      </w:r>
    </w:p>
    <w:p w14:paraId="32EB36D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CCCB0FF">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投标人根据项目需求编写针对本项目的质量保证措施及承诺</w:t>
      </w:r>
    </w:p>
    <w:p w14:paraId="6A5D4E5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2D99D1F">
      <w:pPr>
        <w:pBdr>
          <w:top w:val="none" w:color="000000" w:sz="0" w:space="0"/>
          <w:left w:val="none" w:color="000000" w:sz="0" w:space="0"/>
          <w:bottom w:val="none" w:color="000000" w:sz="0" w:space="0"/>
          <w:right w:val="none" w:color="000000" w:sz="0" w:space="0"/>
        </w:pBdr>
        <w:spacing w:before="240" w:after="240" w:line="85" w:lineRule="atLeast"/>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DDA8100">
      <w:pPr>
        <w:pBdr>
          <w:top w:val="none" w:color="000000" w:sz="0" w:space="0"/>
          <w:left w:val="none" w:color="000000" w:sz="0" w:space="0"/>
          <w:bottom w:val="none" w:color="000000" w:sz="0" w:space="0"/>
          <w:right w:val="none" w:color="000000" w:sz="0" w:space="0"/>
        </w:pBdr>
        <w:spacing w:before="240" w:after="240" w:line="85" w:lineRule="atLeast"/>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38F2264">
      <w:pPr>
        <w:pBdr>
          <w:top w:val="none" w:color="000000" w:sz="0" w:space="0"/>
          <w:left w:val="none" w:color="000000" w:sz="0" w:space="0"/>
          <w:bottom w:val="none" w:color="000000" w:sz="0" w:space="0"/>
          <w:right w:val="none" w:color="000000" w:sz="0" w:space="0"/>
        </w:pBdr>
        <w:spacing w:before="240" w:after="240" w:line="85" w:lineRule="atLeast"/>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7A02BC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13、项目售后服务方案</w:t>
      </w:r>
    </w:p>
    <w:p w14:paraId="64DD119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C139B0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投标人根据项目需求编写针对本项目的售后服务方案</w:t>
      </w:r>
    </w:p>
    <w:p w14:paraId="18F4970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8EDE49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92F2B0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6F214DB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21541C5C">
      <w:pPr>
        <w:snapToGrid w:val="0"/>
        <w:rPr>
          <w:rFonts w:hint="eastAsia" w:ascii="宋体" w:hAnsi="宋体" w:eastAsia="宋体" w:cs="宋体"/>
          <w:b/>
          <w:sz w:val="32"/>
          <w:szCs w:val="32"/>
          <w:highlight w:val="none"/>
          <w:lang w:eastAsia="zh-CN"/>
        </w:rPr>
      </w:pPr>
      <w:r>
        <w:rPr>
          <w:rFonts w:hint="eastAsia" w:ascii="宋体" w:hAnsi="宋体" w:eastAsia="宋体" w:cs="宋体"/>
          <w:b/>
          <w:bCs/>
          <w:sz w:val="32"/>
          <w:szCs w:val="32"/>
          <w:highlight w:val="none"/>
          <w:lang w:eastAsia="zh-CN"/>
        </w:rPr>
        <w:t>14、</w:t>
      </w:r>
      <w:r>
        <w:rPr>
          <w:rFonts w:hint="eastAsia" w:ascii="宋体" w:hAnsi="宋体" w:eastAsia="宋体" w:cs="宋体"/>
          <w:b/>
          <w:sz w:val="32"/>
          <w:szCs w:val="32"/>
          <w:highlight w:val="none"/>
          <w:lang w:eastAsia="zh-CN"/>
        </w:rPr>
        <w:t>企业类似业绩一览表</w:t>
      </w:r>
    </w:p>
    <w:p w14:paraId="0179A5CA">
      <w:pPr>
        <w:spacing w:line="360" w:lineRule="auto"/>
        <w:jc w:val="center"/>
        <w:rPr>
          <w:rFonts w:hint="eastAsia" w:ascii="宋体" w:hAnsi="宋体" w:eastAsia="宋体" w:cs="宋体"/>
          <w:b/>
          <w:sz w:val="28"/>
          <w:szCs w:val="28"/>
          <w:highlight w:val="none"/>
          <w:lang w:eastAsia="zh-CN"/>
        </w:rPr>
      </w:pPr>
    </w:p>
    <w:p w14:paraId="167851CD">
      <w:pPr>
        <w:spacing w:line="360" w:lineRule="auto"/>
        <w:jc w:val="center"/>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企业类似业绩一览表</w:t>
      </w:r>
    </w:p>
    <w:tbl>
      <w:tblPr>
        <w:tblStyle w:val="4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14F8B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3F78062">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356" w:type="dxa"/>
            <w:vAlign w:val="center"/>
          </w:tcPr>
          <w:p w14:paraId="504B0E1F">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1327" w:type="dxa"/>
            <w:vAlign w:val="center"/>
          </w:tcPr>
          <w:p w14:paraId="22D6B8B8">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项目时间</w:t>
            </w:r>
          </w:p>
        </w:tc>
        <w:tc>
          <w:tcPr>
            <w:tcW w:w="1347" w:type="dxa"/>
            <w:vAlign w:val="center"/>
          </w:tcPr>
          <w:p w14:paraId="2641C376">
            <w:pPr>
              <w:tabs>
                <w:tab w:val="left" w:pos="6252"/>
              </w:tabs>
              <w:jc w:val="center"/>
              <w:rPr>
                <w:rFonts w:hint="eastAsia" w:ascii="宋体" w:hAnsi="宋体" w:eastAsia="宋体" w:cs="宋体"/>
                <w:sz w:val="24"/>
                <w:highlight w:val="none"/>
              </w:rPr>
            </w:pPr>
            <w:r>
              <w:rPr>
                <w:rFonts w:hint="eastAsia" w:ascii="宋体" w:hAnsi="宋体" w:eastAsia="宋体" w:cs="宋体"/>
                <w:sz w:val="24"/>
                <w:highlight w:val="none"/>
              </w:rPr>
              <w:t>合同金额</w:t>
            </w:r>
          </w:p>
          <w:p w14:paraId="1C5575FD">
            <w:pPr>
              <w:tabs>
                <w:tab w:val="left" w:pos="6252"/>
              </w:tabs>
              <w:jc w:val="center"/>
              <w:rPr>
                <w:rFonts w:hint="eastAsia" w:ascii="宋体" w:hAnsi="宋体" w:eastAsia="宋体" w:cs="宋体"/>
                <w:sz w:val="24"/>
                <w:highlight w:val="none"/>
              </w:rPr>
            </w:pPr>
            <w:r>
              <w:rPr>
                <w:rFonts w:hint="eastAsia" w:ascii="宋体" w:hAnsi="宋体" w:eastAsia="宋体" w:cs="宋体"/>
                <w:sz w:val="24"/>
                <w:highlight w:val="none"/>
              </w:rPr>
              <w:t>（人民币）</w:t>
            </w:r>
          </w:p>
        </w:tc>
        <w:tc>
          <w:tcPr>
            <w:tcW w:w="1965" w:type="dxa"/>
            <w:vAlign w:val="center"/>
          </w:tcPr>
          <w:p w14:paraId="3099399C">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业主单位</w:t>
            </w:r>
          </w:p>
        </w:tc>
        <w:tc>
          <w:tcPr>
            <w:tcW w:w="1274" w:type="dxa"/>
            <w:vAlign w:val="center"/>
          </w:tcPr>
          <w:p w14:paraId="4188E1D3">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14:paraId="137C8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A86471A">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356" w:type="dxa"/>
            <w:vAlign w:val="center"/>
          </w:tcPr>
          <w:p w14:paraId="63D6178F">
            <w:pPr>
              <w:spacing w:line="360" w:lineRule="auto"/>
              <w:jc w:val="center"/>
              <w:rPr>
                <w:rFonts w:hint="eastAsia" w:ascii="宋体" w:hAnsi="宋体" w:eastAsia="宋体" w:cs="宋体"/>
                <w:sz w:val="24"/>
                <w:highlight w:val="none"/>
              </w:rPr>
            </w:pPr>
          </w:p>
        </w:tc>
        <w:tc>
          <w:tcPr>
            <w:tcW w:w="1327" w:type="dxa"/>
          </w:tcPr>
          <w:p w14:paraId="1213DA0A">
            <w:pPr>
              <w:spacing w:line="360" w:lineRule="auto"/>
              <w:jc w:val="center"/>
              <w:rPr>
                <w:rFonts w:hint="eastAsia" w:ascii="宋体" w:hAnsi="宋体" w:eastAsia="宋体" w:cs="宋体"/>
                <w:sz w:val="24"/>
                <w:highlight w:val="none"/>
              </w:rPr>
            </w:pPr>
          </w:p>
        </w:tc>
        <w:tc>
          <w:tcPr>
            <w:tcW w:w="1347" w:type="dxa"/>
            <w:vAlign w:val="center"/>
          </w:tcPr>
          <w:p w14:paraId="6E7588AB">
            <w:pPr>
              <w:spacing w:line="360" w:lineRule="auto"/>
              <w:jc w:val="center"/>
              <w:rPr>
                <w:rFonts w:hint="eastAsia" w:ascii="宋体" w:hAnsi="宋体" w:eastAsia="宋体" w:cs="宋体"/>
                <w:sz w:val="24"/>
                <w:highlight w:val="none"/>
              </w:rPr>
            </w:pPr>
          </w:p>
        </w:tc>
        <w:tc>
          <w:tcPr>
            <w:tcW w:w="1965" w:type="dxa"/>
            <w:vAlign w:val="center"/>
          </w:tcPr>
          <w:p w14:paraId="54E00E50">
            <w:pPr>
              <w:spacing w:line="360" w:lineRule="auto"/>
              <w:jc w:val="center"/>
              <w:rPr>
                <w:rFonts w:hint="eastAsia" w:ascii="宋体" w:hAnsi="宋体" w:eastAsia="宋体" w:cs="宋体"/>
                <w:sz w:val="24"/>
                <w:highlight w:val="none"/>
              </w:rPr>
            </w:pPr>
          </w:p>
        </w:tc>
        <w:tc>
          <w:tcPr>
            <w:tcW w:w="1274" w:type="dxa"/>
            <w:vAlign w:val="center"/>
          </w:tcPr>
          <w:p w14:paraId="694A3A43">
            <w:pPr>
              <w:spacing w:line="360" w:lineRule="auto"/>
              <w:jc w:val="center"/>
              <w:rPr>
                <w:rFonts w:hint="eastAsia" w:ascii="宋体" w:hAnsi="宋体" w:eastAsia="宋体" w:cs="宋体"/>
                <w:sz w:val="24"/>
                <w:highlight w:val="none"/>
              </w:rPr>
            </w:pPr>
          </w:p>
        </w:tc>
      </w:tr>
      <w:tr w14:paraId="07FD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248A799">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356" w:type="dxa"/>
            <w:vAlign w:val="center"/>
          </w:tcPr>
          <w:p w14:paraId="0EC946AB">
            <w:pPr>
              <w:spacing w:line="360" w:lineRule="auto"/>
              <w:jc w:val="center"/>
              <w:rPr>
                <w:rFonts w:hint="eastAsia" w:ascii="宋体" w:hAnsi="宋体" w:eastAsia="宋体" w:cs="宋体"/>
                <w:sz w:val="24"/>
                <w:highlight w:val="none"/>
              </w:rPr>
            </w:pPr>
          </w:p>
        </w:tc>
        <w:tc>
          <w:tcPr>
            <w:tcW w:w="1327" w:type="dxa"/>
          </w:tcPr>
          <w:p w14:paraId="16258370">
            <w:pPr>
              <w:spacing w:line="360" w:lineRule="auto"/>
              <w:jc w:val="center"/>
              <w:rPr>
                <w:rFonts w:hint="eastAsia" w:ascii="宋体" w:hAnsi="宋体" w:eastAsia="宋体" w:cs="宋体"/>
                <w:sz w:val="24"/>
                <w:highlight w:val="none"/>
              </w:rPr>
            </w:pPr>
          </w:p>
        </w:tc>
        <w:tc>
          <w:tcPr>
            <w:tcW w:w="1347" w:type="dxa"/>
            <w:vAlign w:val="center"/>
          </w:tcPr>
          <w:p w14:paraId="2F341A0C">
            <w:pPr>
              <w:spacing w:line="360" w:lineRule="auto"/>
              <w:jc w:val="center"/>
              <w:rPr>
                <w:rFonts w:hint="eastAsia" w:ascii="宋体" w:hAnsi="宋体" w:eastAsia="宋体" w:cs="宋体"/>
                <w:sz w:val="24"/>
                <w:highlight w:val="none"/>
              </w:rPr>
            </w:pPr>
          </w:p>
        </w:tc>
        <w:tc>
          <w:tcPr>
            <w:tcW w:w="1965" w:type="dxa"/>
            <w:vAlign w:val="center"/>
          </w:tcPr>
          <w:p w14:paraId="06D4CA81">
            <w:pPr>
              <w:spacing w:line="360" w:lineRule="auto"/>
              <w:jc w:val="center"/>
              <w:rPr>
                <w:rFonts w:hint="eastAsia" w:ascii="宋体" w:hAnsi="宋体" w:eastAsia="宋体" w:cs="宋体"/>
                <w:sz w:val="24"/>
                <w:highlight w:val="none"/>
              </w:rPr>
            </w:pPr>
          </w:p>
        </w:tc>
        <w:tc>
          <w:tcPr>
            <w:tcW w:w="1274" w:type="dxa"/>
            <w:vAlign w:val="center"/>
          </w:tcPr>
          <w:p w14:paraId="00109E66">
            <w:pPr>
              <w:spacing w:line="360" w:lineRule="auto"/>
              <w:jc w:val="center"/>
              <w:rPr>
                <w:rFonts w:hint="eastAsia" w:ascii="宋体" w:hAnsi="宋体" w:eastAsia="宋体" w:cs="宋体"/>
                <w:sz w:val="24"/>
                <w:highlight w:val="none"/>
              </w:rPr>
            </w:pPr>
          </w:p>
        </w:tc>
      </w:tr>
      <w:tr w14:paraId="5CC50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B9EBEE7">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356" w:type="dxa"/>
            <w:vAlign w:val="center"/>
          </w:tcPr>
          <w:p w14:paraId="4A5DF293">
            <w:pPr>
              <w:spacing w:line="360" w:lineRule="auto"/>
              <w:jc w:val="center"/>
              <w:rPr>
                <w:rFonts w:hint="eastAsia" w:ascii="宋体" w:hAnsi="宋体" w:eastAsia="宋体" w:cs="宋体"/>
                <w:sz w:val="24"/>
                <w:highlight w:val="none"/>
              </w:rPr>
            </w:pPr>
          </w:p>
        </w:tc>
        <w:tc>
          <w:tcPr>
            <w:tcW w:w="1327" w:type="dxa"/>
          </w:tcPr>
          <w:p w14:paraId="51A47FDD">
            <w:pPr>
              <w:spacing w:line="360" w:lineRule="auto"/>
              <w:jc w:val="center"/>
              <w:rPr>
                <w:rFonts w:hint="eastAsia" w:ascii="宋体" w:hAnsi="宋体" w:eastAsia="宋体" w:cs="宋体"/>
                <w:sz w:val="24"/>
                <w:highlight w:val="none"/>
              </w:rPr>
            </w:pPr>
          </w:p>
        </w:tc>
        <w:tc>
          <w:tcPr>
            <w:tcW w:w="1347" w:type="dxa"/>
            <w:vAlign w:val="center"/>
          </w:tcPr>
          <w:p w14:paraId="5F86D40F">
            <w:pPr>
              <w:spacing w:line="360" w:lineRule="auto"/>
              <w:jc w:val="center"/>
              <w:rPr>
                <w:rFonts w:hint="eastAsia" w:ascii="宋体" w:hAnsi="宋体" w:eastAsia="宋体" w:cs="宋体"/>
                <w:sz w:val="24"/>
                <w:highlight w:val="none"/>
              </w:rPr>
            </w:pPr>
          </w:p>
        </w:tc>
        <w:tc>
          <w:tcPr>
            <w:tcW w:w="1965" w:type="dxa"/>
            <w:vAlign w:val="center"/>
          </w:tcPr>
          <w:p w14:paraId="387DED6E">
            <w:pPr>
              <w:spacing w:line="360" w:lineRule="auto"/>
              <w:jc w:val="center"/>
              <w:rPr>
                <w:rFonts w:hint="eastAsia" w:ascii="宋体" w:hAnsi="宋体" w:eastAsia="宋体" w:cs="宋体"/>
                <w:sz w:val="24"/>
                <w:highlight w:val="none"/>
              </w:rPr>
            </w:pPr>
          </w:p>
        </w:tc>
        <w:tc>
          <w:tcPr>
            <w:tcW w:w="1274" w:type="dxa"/>
            <w:vAlign w:val="center"/>
          </w:tcPr>
          <w:p w14:paraId="0842F519">
            <w:pPr>
              <w:spacing w:line="360" w:lineRule="auto"/>
              <w:jc w:val="center"/>
              <w:rPr>
                <w:rFonts w:hint="eastAsia" w:ascii="宋体" w:hAnsi="宋体" w:eastAsia="宋体" w:cs="宋体"/>
                <w:sz w:val="24"/>
                <w:highlight w:val="none"/>
              </w:rPr>
            </w:pPr>
          </w:p>
        </w:tc>
      </w:tr>
      <w:tr w14:paraId="7435B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73A3F58">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1356" w:type="dxa"/>
            <w:vAlign w:val="center"/>
          </w:tcPr>
          <w:p w14:paraId="4E177E99">
            <w:pPr>
              <w:spacing w:line="360" w:lineRule="auto"/>
              <w:jc w:val="center"/>
              <w:rPr>
                <w:rFonts w:hint="eastAsia" w:ascii="宋体" w:hAnsi="宋体" w:eastAsia="宋体" w:cs="宋体"/>
                <w:sz w:val="24"/>
                <w:highlight w:val="none"/>
              </w:rPr>
            </w:pPr>
          </w:p>
        </w:tc>
        <w:tc>
          <w:tcPr>
            <w:tcW w:w="1327" w:type="dxa"/>
          </w:tcPr>
          <w:p w14:paraId="78E39C84">
            <w:pPr>
              <w:spacing w:line="360" w:lineRule="auto"/>
              <w:jc w:val="center"/>
              <w:rPr>
                <w:rFonts w:hint="eastAsia" w:ascii="宋体" w:hAnsi="宋体" w:eastAsia="宋体" w:cs="宋体"/>
                <w:sz w:val="24"/>
                <w:highlight w:val="none"/>
              </w:rPr>
            </w:pPr>
          </w:p>
        </w:tc>
        <w:tc>
          <w:tcPr>
            <w:tcW w:w="1347" w:type="dxa"/>
            <w:vAlign w:val="center"/>
          </w:tcPr>
          <w:p w14:paraId="0A1DCCC5">
            <w:pPr>
              <w:spacing w:line="360" w:lineRule="auto"/>
              <w:jc w:val="center"/>
              <w:rPr>
                <w:rFonts w:hint="eastAsia" w:ascii="宋体" w:hAnsi="宋体" w:eastAsia="宋体" w:cs="宋体"/>
                <w:sz w:val="24"/>
                <w:highlight w:val="none"/>
              </w:rPr>
            </w:pPr>
          </w:p>
        </w:tc>
        <w:tc>
          <w:tcPr>
            <w:tcW w:w="1965" w:type="dxa"/>
            <w:vAlign w:val="center"/>
          </w:tcPr>
          <w:p w14:paraId="79FC6975">
            <w:pPr>
              <w:spacing w:line="360" w:lineRule="auto"/>
              <w:jc w:val="center"/>
              <w:rPr>
                <w:rFonts w:hint="eastAsia" w:ascii="宋体" w:hAnsi="宋体" w:eastAsia="宋体" w:cs="宋体"/>
                <w:sz w:val="24"/>
                <w:highlight w:val="none"/>
              </w:rPr>
            </w:pPr>
          </w:p>
        </w:tc>
        <w:tc>
          <w:tcPr>
            <w:tcW w:w="1274" w:type="dxa"/>
            <w:vAlign w:val="center"/>
          </w:tcPr>
          <w:p w14:paraId="7360291A">
            <w:pPr>
              <w:spacing w:line="360" w:lineRule="auto"/>
              <w:jc w:val="center"/>
              <w:rPr>
                <w:rFonts w:hint="eastAsia" w:ascii="宋体" w:hAnsi="宋体" w:eastAsia="宋体" w:cs="宋体"/>
                <w:sz w:val="24"/>
                <w:highlight w:val="none"/>
              </w:rPr>
            </w:pPr>
          </w:p>
        </w:tc>
      </w:tr>
      <w:tr w14:paraId="55D56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191877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5</w:t>
            </w:r>
          </w:p>
        </w:tc>
        <w:tc>
          <w:tcPr>
            <w:tcW w:w="1356" w:type="dxa"/>
            <w:vAlign w:val="center"/>
          </w:tcPr>
          <w:p w14:paraId="6ACCDCA0">
            <w:pPr>
              <w:spacing w:line="360" w:lineRule="auto"/>
              <w:jc w:val="center"/>
              <w:rPr>
                <w:rFonts w:hint="eastAsia" w:ascii="宋体" w:hAnsi="宋体" w:eastAsia="宋体" w:cs="宋体"/>
                <w:sz w:val="24"/>
                <w:highlight w:val="none"/>
              </w:rPr>
            </w:pPr>
          </w:p>
        </w:tc>
        <w:tc>
          <w:tcPr>
            <w:tcW w:w="1327" w:type="dxa"/>
          </w:tcPr>
          <w:p w14:paraId="44D53175">
            <w:pPr>
              <w:spacing w:line="360" w:lineRule="auto"/>
              <w:jc w:val="center"/>
              <w:rPr>
                <w:rFonts w:hint="eastAsia" w:ascii="宋体" w:hAnsi="宋体" w:eastAsia="宋体" w:cs="宋体"/>
                <w:sz w:val="24"/>
                <w:highlight w:val="none"/>
              </w:rPr>
            </w:pPr>
          </w:p>
        </w:tc>
        <w:tc>
          <w:tcPr>
            <w:tcW w:w="1347" w:type="dxa"/>
            <w:vAlign w:val="center"/>
          </w:tcPr>
          <w:p w14:paraId="0B59F825">
            <w:pPr>
              <w:spacing w:line="360" w:lineRule="auto"/>
              <w:jc w:val="center"/>
              <w:rPr>
                <w:rFonts w:hint="eastAsia" w:ascii="宋体" w:hAnsi="宋体" w:eastAsia="宋体" w:cs="宋体"/>
                <w:sz w:val="24"/>
                <w:highlight w:val="none"/>
              </w:rPr>
            </w:pPr>
          </w:p>
        </w:tc>
        <w:tc>
          <w:tcPr>
            <w:tcW w:w="1965" w:type="dxa"/>
            <w:vAlign w:val="center"/>
          </w:tcPr>
          <w:p w14:paraId="6DCB0D9E">
            <w:pPr>
              <w:spacing w:line="360" w:lineRule="auto"/>
              <w:jc w:val="center"/>
              <w:rPr>
                <w:rFonts w:hint="eastAsia" w:ascii="宋体" w:hAnsi="宋体" w:eastAsia="宋体" w:cs="宋体"/>
                <w:sz w:val="24"/>
                <w:highlight w:val="none"/>
              </w:rPr>
            </w:pPr>
          </w:p>
        </w:tc>
        <w:tc>
          <w:tcPr>
            <w:tcW w:w="1274" w:type="dxa"/>
            <w:vAlign w:val="center"/>
          </w:tcPr>
          <w:p w14:paraId="6D2531C5">
            <w:pPr>
              <w:spacing w:line="360" w:lineRule="auto"/>
              <w:jc w:val="center"/>
              <w:rPr>
                <w:rFonts w:hint="eastAsia" w:ascii="宋体" w:hAnsi="宋体" w:eastAsia="宋体" w:cs="宋体"/>
                <w:sz w:val="24"/>
                <w:highlight w:val="none"/>
              </w:rPr>
            </w:pPr>
          </w:p>
        </w:tc>
      </w:tr>
      <w:tr w14:paraId="295BE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1E588AA">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6</w:t>
            </w:r>
          </w:p>
        </w:tc>
        <w:tc>
          <w:tcPr>
            <w:tcW w:w="1356" w:type="dxa"/>
            <w:vAlign w:val="center"/>
          </w:tcPr>
          <w:p w14:paraId="335F113F">
            <w:pPr>
              <w:spacing w:line="360" w:lineRule="auto"/>
              <w:jc w:val="center"/>
              <w:rPr>
                <w:rFonts w:hint="eastAsia" w:ascii="宋体" w:hAnsi="宋体" w:eastAsia="宋体" w:cs="宋体"/>
                <w:sz w:val="24"/>
                <w:highlight w:val="none"/>
              </w:rPr>
            </w:pPr>
          </w:p>
        </w:tc>
        <w:tc>
          <w:tcPr>
            <w:tcW w:w="1327" w:type="dxa"/>
          </w:tcPr>
          <w:p w14:paraId="70A6B644">
            <w:pPr>
              <w:spacing w:line="360" w:lineRule="auto"/>
              <w:jc w:val="center"/>
              <w:rPr>
                <w:rFonts w:hint="eastAsia" w:ascii="宋体" w:hAnsi="宋体" w:eastAsia="宋体" w:cs="宋体"/>
                <w:sz w:val="24"/>
                <w:highlight w:val="none"/>
              </w:rPr>
            </w:pPr>
          </w:p>
        </w:tc>
        <w:tc>
          <w:tcPr>
            <w:tcW w:w="1347" w:type="dxa"/>
            <w:vAlign w:val="center"/>
          </w:tcPr>
          <w:p w14:paraId="7402F638">
            <w:pPr>
              <w:spacing w:line="360" w:lineRule="auto"/>
              <w:jc w:val="center"/>
              <w:rPr>
                <w:rFonts w:hint="eastAsia" w:ascii="宋体" w:hAnsi="宋体" w:eastAsia="宋体" w:cs="宋体"/>
                <w:sz w:val="24"/>
                <w:highlight w:val="none"/>
              </w:rPr>
            </w:pPr>
          </w:p>
        </w:tc>
        <w:tc>
          <w:tcPr>
            <w:tcW w:w="1965" w:type="dxa"/>
            <w:vAlign w:val="center"/>
          </w:tcPr>
          <w:p w14:paraId="7BE2BF8F">
            <w:pPr>
              <w:spacing w:line="360" w:lineRule="auto"/>
              <w:jc w:val="center"/>
              <w:rPr>
                <w:rFonts w:hint="eastAsia" w:ascii="宋体" w:hAnsi="宋体" w:eastAsia="宋体" w:cs="宋体"/>
                <w:sz w:val="24"/>
                <w:highlight w:val="none"/>
              </w:rPr>
            </w:pPr>
          </w:p>
        </w:tc>
        <w:tc>
          <w:tcPr>
            <w:tcW w:w="1274" w:type="dxa"/>
            <w:vAlign w:val="center"/>
          </w:tcPr>
          <w:p w14:paraId="2F232583">
            <w:pPr>
              <w:spacing w:line="360" w:lineRule="auto"/>
              <w:jc w:val="center"/>
              <w:rPr>
                <w:rFonts w:hint="eastAsia" w:ascii="宋体" w:hAnsi="宋体" w:eastAsia="宋体" w:cs="宋体"/>
                <w:sz w:val="24"/>
                <w:highlight w:val="none"/>
              </w:rPr>
            </w:pPr>
          </w:p>
        </w:tc>
      </w:tr>
      <w:tr w14:paraId="62DBD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B3F685E">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1356" w:type="dxa"/>
            <w:vAlign w:val="center"/>
          </w:tcPr>
          <w:p w14:paraId="7C4B183C">
            <w:pPr>
              <w:spacing w:line="360" w:lineRule="auto"/>
              <w:jc w:val="center"/>
              <w:rPr>
                <w:rFonts w:hint="eastAsia" w:ascii="宋体" w:hAnsi="宋体" w:eastAsia="宋体" w:cs="宋体"/>
                <w:sz w:val="24"/>
                <w:highlight w:val="none"/>
              </w:rPr>
            </w:pPr>
          </w:p>
        </w:tc>
        <w:tc>
          <w:tcPr>
            <w:tcW w:w="1327" w:type="dxa"/>
          </w:tcPr>
          <w:p w14:paraId="7E346D62">
            <w:pPr>
              <w:spacing w:line="360" w:lineRule="auto"/>
              <w:jc w:val="center"/>
              <w:rPr>
                <w:rFonts w:hint="eastAsia" w:ascii="宋体" w:hAnsi="宋体" w:eastAsia="宋体" w:cs="宋体"/>
                <w:sz w:val="24"/>
                <w:highlight w:val="none"/>
              </w:rPr>
            </w:pPr>
          </w:p>
        </w:tc>
        <w:tc>
          <w:tcPr>
            <w:tcW w:w="1347" w:type="dxa"/>
            <w:vAlign w:val="center"/>
          </w:tcPr>
          <w:p w14:paraId="199C89D9">
            <w:pPr>
              <w:spacing w:line="360" w:lineRule="auto"/>
              <w:jc w:val="center"/>
              <w:rPr>
                <w:rFonts w:hint="eastAsia" w:ascii="宋体" w:hAnsi="宋体" w:eastAsia="宋体" w:cs="宋体"/>
                <w:sz w:val="24"/>
                <w:highlight w:val="none"/>
              </w:rPr>
            </w:pPr>
          </w:p>
        </w:tc>
        <w:tc>
          <w:tcPr>
            <w:tcW w:w="1965" w:type="dxa"/>
            <w:vAlign w:val="center"/>
          </w:tcPr>
          <w:p w14:paraId="4CC1BCD5">
            <w:pPr>
              <w:spacing w:line="360" w:lineRule="auto"/>
              <w:jc w:val="center"/>
              <w:rPr>
                <w:rFonts w:hint="eastAsia" w:ascii="宋体" w:hAnsi="宋体" w:eastAsia="宋体" w:cs="宋体"/>
                <w:sz w:val="24"/>
                <w:highlight w:val="none"/>
              </w:rPr>
            </w:pPr>
          </w:p>
        </w:tc>
        <w:tc>
          <w:tcPr>
            <w:tcW w:w="1274" w:type="dxa"/>
            <w:vAlign w:val="center"/>
          </w:tcPr>
          <w:p w14:paraId="02C34808">
            <w:pPr>
              <w:spacing w:line="360" w:lineRule="auto"/>
              <w:jc w:val="center"/>
              <w:rPr>
                <w:rFonts w:hint="eastAsia" w:ascii="宋体" w:hAnsi="宋体" w:eastAsia="宋体" w:cs="宋体"/>
                <w:sz w:val="24"/>
                <w:highlight w:val="none"/>
              </w:rPr>
            </w:pPr>
          </w:p>
        </w:tc>
      </w:tr>
    </w:tbl>
    <w:p w14:paraId="44CB4F95">
      <w:pPr>
        <w:spacing w:line="440" w:lineRule="exact"/>
        <w:ind w:firstLine="240" w:firstLineChars="1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附：按照招标文件要求及评分标准提供相应证明材料</w:t>
      </w:r>
    </w:p>
    <w:p w14:paraId="292DBE67">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0B82F7DC">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5B02DDC0">
      <w:pPr>
        <w:ind w:firstLine="480" w:firstLineChars="200"/>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日期：         年         月       日</w:t>
      </w:r>
    </w:p>
    <w:p w14:paraId="7DBEDF4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1C04299A">
      <w:pPr>
        <w:snapToGrid w:val="0"/>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15、拟投入本项目的专业技术（服务）人员情况一览表</w:t>
      </w:r>
    </w:p>
    <w:p w14:paraId="74FBFCED">
      <w:pPr>
        <w:pStyle w:val="205"/>
        <w:ind w:firstLine="1043" w:firstLineChars="371"/>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拟投入本项目的专业技术（服务）人员情况一览表</w:t>
      </w:r>
    </w:p>
    <w:tbl>
      <w:tblPr>
        <w:tblStyle w:val="4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4218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35F09A07">
            <w:pPr>
              <w:jc w:val="center"/>
              <w:rPr>
                <w:rFonts w:hint="eastAsia" w:ascii="宋体" w:hAnsi="宋体" w:eastAsia="宋体" w:cs="宋体"/>
                <w:b/>
                <w:highlight w:val="none"/>
              </w:rPr>
            </w:pPr>
            <w:r>
              <w:rPr>
                <w:rFonts w:hint="eastAsia" w:ascii="宋体" w:hAnsi="宋体" w:eastAsia="宋体" w:cs="宋体"/>
                <w:b/>
                <w:highlight w:val="none"/>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2E30AFAF">
            <w:pPr>
              <w:jc w:val="center"/>
              <w:rPr>
                <w:rFonts w:hint="eastAsia" w:ascii="宋体" w:hAnsi="宋体" w:eastAsia="宋体" w:cs="宋体"/>
                <w:b/>
                <w:highlight w:val="none"/>
              </w:rPr>
            </w:pPr>
            <w:r>
              <w:rPr>
                <w:rFonts w:hint="eastAsia" w:ascii="宋体" w:hAnsi="宋体" w:eastAsia="宋体" w:cs="宋体"/>
                <w:b/>
                <w:highlight w:val="none"/>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2F66F991">
            <w:pPr>
              <w:jc w:val="center"/>
              <w:rPr>
                <w:rFonts w:hint="eastAsia" w:ascii="宋体" w:hAnsi="宋体" w:eastAsia="宋体" w:cs="宋体"/>
                <w:b/>
                <w:highlight w:val="none"/>
              </w:rPr>
            </w:pPr>
            <w:r>
              <w:rPr>
                <w:rFonts w:hint="eastAsia" w:ascii="宋体" w:hAnsi="宋体" w:eastAsia="宋体" w:cs="宋体"/>
                <w:b/>
                <w:highlight w:val="none"/>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3C3964C4">
            <w:pPr>
              <w:jc w:val="center"/>
              <w:rPr>
                <w:rFonts w:hint="eastAsia" w:ascii="宋体" w:hAnsi="宋体" w:eastAsia="宋体" w:cs="宋体"/>
                <w:b/>
                <w:highlight w:val="none"/>
              </w:rPr>
            </w:pPr>
            <w:r>
              <w:rPr>
                <w:rFonts w:hint="eastAsia" w:ascii="宋体" w:hAnsi="宋体" w:eastAsia="宋体" w:cs="宋体"/>
                <w:b/>
                <w:highlight w:val="none"/>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3150FB56">
            <w:pPr>
              <w:jc w:val="center"/>
              <w:rPr>
                <w:rFonts w:hint="eastAsia" w:ascii="宋体" w:hAnsi="宋体" w:eastAsia="宋体" w:cs="宋体"/>
                <w:b/>
                <w:highlight w:val="none"/>
              </w:rPr>
            </w:pPr>
            <w:r>
              <w:rPr>
                <w:rFonts w:hint="eastAsia" w:ascii="宋体" w:hAnsi="宋体" w:eastAsia="宋体" w:cs="宋体"/>
                <w:b/>
                <w:highlight w:val="none"/>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59C30737">
            <w:pPr>
              <w:jc w:val="center"/>
              <w:rPr>
                <w:rFonts w:hint="eastAsia" w:ascii="宋体" w:hAnsi="宋体" w:eastAsia="宋体" w:cs="宋体"/>
                <w:b/>
                <w:highlight w:val="none"/>
              </w:rPr>
            </w:pPr>
            <w:r>
              <w:rPr>
                <w:rFonts w:hint="eastAsia" w:ascii="宋体" w:hAnsi="宋体" w:eastAsia="宋体" w:cs="宋体"/>
                <w:b/>
                <w:highlight w:val="none"/>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69B9C4BB">
            <w:pPr>
              <w:jc w:val="center"/>
              <w:rPr>
                <w:rFonts w:hint="eastAsia" w:ascii="宋体" w:hAnsi="宋体" w:eastAsia="宋体" w:cs="宋体"/>
                <w:b/>
                <w:highlight w:val="none"/>
              </w:rPr>
            </w:pPr>
            <w:r>
              <w:rPr>
                <w:rFonts w:hint="eastAsia" w:ascii="宋体" w:hAnsi="宋体" w:eastAsia="宋体" w:cs="宋体"/>
                <w:b/>
                <w:highlight w:val="none"/>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1021F76B">
            <w:pPr>
              <w:ind w:firstLine="221" w:firstLineChars="100"/>
              <w:rPr>
                <w:rFonts w:hint="eastAsia" w:ascii="宋体" w:hAnsi="宋体" w:eastAsia="宋体" w:cs="宋体"/>
                <w:b/>
                <w:highlight w:val="none"/>
              </w:rPr>
            </w:pPr>
            <w:r>
              <w:rPr>
                <w:rFonts w:hint="eastAsia" w:ascii="宋体" w:hAnsi="宋体" w:eastAsia="宋体" w:cs="宋体"/>
                <w:b/>
                <w:highlight w:val="none"/>
              </w:rPr>
              <w:t>备注</w:t>
            </w:r>
          </w:p>
        </w:tc>
      </w:tr>
      <w:tr w14:paraId="5B274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BE63BF2">
            <w:pPr>
              <w:snapToGrid w:val="0"/>
              <w:ind w:firstLine="220" w:firstLineChars="100"/>
              <w:rPr>
                <w:rFonts w:hint="eastAsia" w:ascii="宋体" w:hAnsi="宋体" w:eastAsia="宋体" w:cs="宋体"/>
                <w:highlight w:val="none"/>
              </w:rPr>
            </w:pPr>
            <w:r>
              <w:rPr>
                <w:rFonts w:hint="eastAsia" w:ascii="宋体" w:hAnsi="宋体" w:eastAsia="宋体" w:cs="宋体"/>
                <w:highlight w:val="none"/>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431E9432">
            <w:pPr>
              <w:snapToGrid w:val="0"/>
              <w:jc w:val="center"/>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8E03CB5">
            <w:pPr>
              <w:snapToGrid w:val="0"/>
              <w:ind w:firstLine="480"/>
              <w:jc w:val="center"/>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4F1C8BAB">
            <w:pPr>
              <w:snapToGrid w:val="0"/>
              <w:ind w:firstLine="480"/>
              <w:jc w:val="center"/>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20D6E192">
            <w:pPr>
              <w:snapToGrid w:val="0"/>
              <w:ind w:firstLine="480"/>
              <w:jc w:val="center"/>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AE0DADD">
            <w:pPr>
              <w:snapToGrid w:val="0"/>
              <w:ind w:firstLine="480"/>
              <w:jc w:val="center"/>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4EC58FDB">
            <w:pPr>
              <w:snapToGrid w:val="0"/>
              <w:ind w:firstLine="480"/>
              <w:jc w:val="center"/>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A8C2B55">
            <w:pPr>
              <w:snapToGrid w:val="0"/>
              <w:ind w:firstLine="480"/>
              <w:jc w:val="center"/>
              <w:rPr>
                <w:rFonts w:hint="eastAsia" w:ascii="宋体" w:hAnsi="宋体" w:eastAsia="宋体" w:cs="宋体"/>
                <w:highlight w:val="none"/>
              </w:rPr>
            </w:pPr>
          </w:p>
        </w:tc>
      </w:tr>
      <w:tr w14:paraId="09A19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957A813">
            <w:pPr>
              <w:snapToGrid w:val="0"/>
              <w:ind w:firstLine="220" w:firstLineChars="100"/>
              <w:rPr>
                <w:rFonts w:hint="eastAsia" w:ascii="宋体" w:hAnsi="宋体" w:eastAsia="宋体" w:cs="宋体"/>
                <w:highlight w:val="none"/>
              </w:rPr>
            </w:pPr>
            <w:r>
              <w:rPr>
                <w:rFonts w:hint="eastAsia" w:ascii="宋体" w:hAnsi="宋体" w:eastAsia="宋体" w:cs="宋体"/>
                <w:highlight w:val="none"/>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7D7BAD72">
            <w:pPr>
              <w:snapToGrid w:val="0"/>
              <w:jc w:val="center"/>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2D393FE">
            <w:pPr>
              <w:snapToGrid w:val="0"/>
              <w:ind w:firstLine="480"/>
              <w:jc w:val="center"/>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298A070">
            <w:pPr>
              <w:snapToGrid w:val="0"/>
              <w:ind w:firstLine="480"/>
              <w:jc w:val="center"/>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D9E22E2">
            <w:pPr>
              <w:snapToGrid w:val="0"/>
              <w:ind w:firstLine="480"/>
              <w:jc w:val="center"/>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273767D9">
            <w:pPr>
              <w:snapToGrid w:val="0"/>
              <w:ind w:firstLine="480"/>
              <w:jc w:val="center"/>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63569E8">
            <w:pPr>
              <w:snapToGrid w:val="0"/>
              <w:ind w:firstLine="480"/>
              <w:jc w:val="center"/>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FE22C2B">
            <w:pPr>
              <w:snapToGrid w:val="0"/>
              <w:ind w:firstLine="480"/>
              <w:jc w:val="center"/>
              <w:rPr>
                <w:rFonts w:hint="eastAsia" w:ascii="宋体" w:hAnsi="宋体" w:eastAsia="宋体" w:cs="宋体"/>
                <w:highlight w:val="none"/>
              </w:rPr>
            </w:pPr>
          </w:p>
        </w:tc>
      </w:tr>
      <w:tr w14:paraId="28CC0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AB20168">
            <w:pPr>
              <w:snapToGrid w:val="0"/>
              <w:ind w:firstLine="220" w:firstLineChars="100"/>
              <w:rPr>
                <w:rFonts w:hint="eastAsia" w:ascii="宋体" w:hAnsi="宋体" w:eastAsia="宋体" w:cs="宋体"/>
                <w:highlight w:val="none"/>
              </w:rPr>
            </w:pPr>
            <w:r>
              <w:rPr>
                <w:rFonts w:hint="eastAsia" w:ascii="宋体" w:hAnsi="宋体" w:eastAsia="宋体" w:cs="宋体"/>
                <w:highlight w:val="none"/>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3A2848AD">
            <w:pPr>
              <w:snapToGrid w:val="0"/>
              <w:jc w:val="center"/>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64A1CBF2">
            <w:pPr>
              <w:snapToGrid w:val="0"/>
              <w:ind w:firstLine="480"/>
              <w:jc w:val="center"/>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BA97236">
            <w:pPr>
              <w:snapToGrid w:val="0"/>
              <w:ind w:firstLine="480"/>
              <w:jc w:val="center"/>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673A0B6">
            <w:pPr>
              <w:snapToGrid w:val="0"/>
              <w:ind w:firstLine="480"/>
              <w:jc w:val="center"/>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3E001A97">
            <w:pPr>
              <w:snapToGrid w:val="0"/>
              <w:ind w:firstLine="480"/>
              <w:jc w:val="center"/>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9F1CE79">
            <w:pPr>
              <w:snapToGrid w:val="0"/>
              <w:ind w:firstLine="480"/>
              <w:jc w:val="center"/>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4613D14">
            <w:pPr>
              <w:snapToGrid w:val="0"/>
              <w:ind w:firstLine="480"/>
              <w:jc w:val="center"/>
              <w:rPr>
                <w:rFonts w:hint="eastAsia" w:ascii="宋体" w:hAnsi="宋体" w:eastAsia="宋体" w:cs="宋体"/>
                <w:highlight w:val="none"/>
              </w:rPr>
            </w:pPr>
          </w:p>
        </w:tc>
      </w:tr>
      <w:tr w14:paraId="18964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FEE8D73">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20DE190E">
            <w:pPr>
              <w:snapToGrid w:val="0"/>
              <w:ind w:firstLine="480"/>
              <w:rPr>
                <w:rFonts w:hint="eastAsia" w:ascii="宋体" w:hAnsi="宋体" w:eastAsia="宋体" w:cs="宋体"/>
                <w:highlight w:val="none"/>
              </w:rPr>
            </w:pPr>
            <w:r>
              <w:rPr>
                <w:rFonts w:hint="eastAsia" w:ascii="宋体" w:hAnsi="宋体" w:eastAsia="宋体" w:cs="宋体"/>
                <w:highlight w:val="none"/>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08486DB4">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2D25B7AA">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5B66562">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D9C671F">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8189C04">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83A1398">
            <w:pPr>
              <w:snapToGrid w:val="0"/>
              <w:ind w:firstLine="480"/>
              <w:rPr>
                <w:rFonts w:hint="eastAsia" w:ascii="宋体" w:hAnsi="宋体" w:eastAsia="宋体" w:cs="宋体"/>
                <w:highlight w:val="none"/>
              </w:rPr>
            </w:pPr>
          </w:p>
        </w:tc>
      </w:tr>
      <w:tr w14:paraId="39D95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8FDC045">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358B556B">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7FFBB97">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4DAEAF35">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602503B0">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52DC8F54">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186AF907">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9F111D5">
            <w:pPr>
              <w:snapToGrid w:val="0"/>
              <w:ind w:firstLine="480"/>
              <w:rPr>
                <w:rFonts w:hint="eastAsia" w:ascii="宋体" w:hAnsi="宋体" w:eastAsia="宋体" w:cs="宋体"/>
                <w:highlight w:val="none"/>
              </w:rPr>
            </w:pPr>
          </w:p>
        </w:tc>
      </w:tr>
      <w:tr w14:paraId="5FCF1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FC8BC6D">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76BDA662">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2483CC8D">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221C6BC">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B4FDE49">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7BCE9986">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F47CBCA">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B0F3F91">
            <w:pPr>
              <w:snapToGrid w:val="0"/>
              <w:ind w:firstLine="480"/>
              <w:rPr>
                <w:rFonts w:hint="eastAsia" w:ascii="宋体" w:hAnsi="宋体" w:eastAsia="宋体" w:cs="宋体"/>
                <w:highlight w:val="none"/>
              </w:rPr>
            </w:pPr>
          </w:p>
        </w:tc>
      </w:tr>
      <w:tr w14:paraId="3EF91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C5399A9">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548DF12D">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465C114">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7EAE2C4E">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753E1DAC">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E9DE81D">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A1F2F93">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4AB8AAE">
            <w:pPr>
              <w:snapToGrid w:val="0"/>
              <w:ind w:firstLine="480"/>
              <w:rPr>
                <w:rFonts w:hint="eastAsia" w:ascii="宋体" w:hAnsi="宋体" w:eastAsia="宋体" w:cs="宋体"/>
                <w:highlight w:val="none"/>
              </w:rPr>
            </w:pPr>
          </w:p>
        </w:tc>
      </w:tr>
      <w:tr w14:paraId="4B3FA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B24A643">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17F0491D">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BFA51CB">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F371704">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8A2F9DC">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0E9BE3F0">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4A3C06C">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1D556534">
            <w:pPr>
              <w:snapToGrid w:val="0"/>
              <w:ind w:firstLine="480"/>
              <w:rPr>
                <w:rFonts w:hint="eastAsia" w:ascii="宋体" w:hAnsi="宋体" w:eastAsia="宋体" w:cs="宋体"/>
                <w:highlight w:val="none"/>
              </w:rPr>
            </w:pPr>
          </w:p>
        </w:tc>
      </w:tr>
      <w:tr w14:paraId="259A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AF47A79">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3C2629A7">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90B77FE">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5190A8CD">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093A436">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01C37EE8">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4F524698">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216A4E4">
            <w:pPr>
              <w:snapToGrid w:val="0"/>
              <w:ind w:firstLine="480"/>
              <w:rPr>
                <w:rFonts w:hint="eastAsia" w:ascii="宋体" w:hAnsi="宋体" w:eastAsia="宋体" w:cs="宋体"/>
                <w:highlight w:val="none"/>
              </w:rPr>
            </w:pPr>
          </w:p>
        </w:tc>
      </w:tr>
    </w:tbl>
    <w:p w14:paraId="666BC83C">
      <w:pPr>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附：1、按照招标文件要求提供相应资质证明材料。</w:t>
      </w:r>
    </w:p>
    <w:p w14:paraId="7EBD7309">
      <w:pPr>
        <w:spacing w:line="420" w:lineRule="exact"/>
        <w:rPr>
          <w:rFonts w:hint="eastAsia" w:ascii="宋体" w:hAnsi="宋体" w:eastAsia="宋体" w:cs="宋体"/>
          <w:sz w:val="24"/>
          <w:highlight w:val="none"/>
          <w:lang w:eastAsia="zh-CN"/>
        </w:rPr>
      </w:pPr>
    </w:p>
    <w:p w14:paraId="0E91C8FA">
      <w:pPr>
        <w:pStyle w:val="20"/>
        <w:rPr>
          <w:rFonts w:hint="eastAsia" w:hAnsi="宋体" w:eastAsia="宋体" w:cs="宋体"/>
          <w:highlight w:val="none"/>
          <w:lang w:eastAsia="zh-CN"/>
        </w:rPr>
      </w:pPr>
    </w:p>
    <w:p w14:paraId="574DCAEA">
      <w:pPr>
        <w:pStyle w:val="20"/>
        <w:rPr>
          <w:rFonts w:hint="eastAsia" w:hAnsi="宋体" w:eastAsia="宋体" w:cs="宋体"/>
          <w:highlight w:val="none"/>
          <w:lang w:eastAsia="zh-CN"/>
        </w:rPr>
      </w:pPr>
    </w:p>
    <w:p w14:paraId="10EECE5B">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61F16751">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34F75FD2">
      <w:pPr>
        <w:pStyle w:val="20"/>
        <w:rPr>
          <w:rFonts w:hint="eastAsia" w:hAnsi="宋体" w:eastAsia="宋体" w:cs="宋体"/>
          <w:sz w:val="24"/>
          <w:highlight w:val="none"/>
          <w:lang w:eastAsia="zh-CN"/>
        </w:rPr>
      </w:pPr>
      <w:r>
        <w:rPr>
          <w:rFonts w:hint="eastAsia" w:hAnsi="宋体" w:eastAsia="宋体" w:cs="宋体"/>
          <w:sz w:val="24"/>
          <w:szCs w:val="24"/>
          <w:highlight w:val="none"/>
          <w:lang w:eastAsia="zh-CN"/>
        </w:rPr>
        <w:t>日期：    年    月    日</w:t>
      </w:r>
    </w:p>
    <w:p w14:paraId="42E1A2F9">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7DB154FC">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37826732">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15178264">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10F8B1D9">
      <w:pPr>
        <w:spacing w:line="360" w:lineRule="auto"/>
        <w:rPr>
          <w:rFonts w:hint="eastAsia" w:ascii="宋体" w:hAnsi="宋体" w:eastAsia="宋体" w:cs="宋体"/>
          <w:b/>
          <w:highlight w:val="none"/>
          <w:lang w:eastAsia="zh-CN"/>
        </w:rPr>
      </w:pPr>
      <w:r>
        <w:rPr>
          <w:rFonts w:hint="eastAsia" w:ascii="宋体" w:hAnsi="宋体" w:eastAsia="宋体" w:cs="宋体"/>
          <w:b/>
          <w:sz w:val="32"/>
          <w:szCs w:val="32"/>
          <w:highlight w:val="none"/>
          <w:lang w:eastAsia="zh-CN"/>
        </w:rPr>
        <w:t xml:space="preserve">16、中小企业声明函      </w:t>
      </w:r>
      <w:r>
        <w:rPr>
          <w:rFonts w:hint="eastAsia" w:ascii="宋体" w:hAnsi="宋体" w:eastAsia="宋体" w:cs="宋体"/>
          <w:b/>
          <w:highlight w:val="none"/>
          <w:lang w:eastAsia="zh-CN"/>
        </w:rPr>
        <w:t xml:space="preserve">           </w:t>
      </w:r>
    </w:p>
    <w:p w14:paraId="4C267939">
      <w:pPr>
        <w:autoSpaceDE w:val="0"/>
        <w:autoSpaceDN w:val="0"/>
        <w:adjustRightInd w:val="0"/>
        <w:spacing w:line="400" w:lineRule="exact"/>
        <w:rPr>
          <w:rFonts w:hint="eastAsia" w:ascii="宋体" w:hAnsi="宋体" w:eastAsia="宋体" w:cs="宋体"/>
          <w:sz w:val="28"/>
          <w:szCs w:val="28"/>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sz w:val="28"/>
          <w:szCs w:val="28"/>
          <w:highlight w:val="none"/>
          <w:lang w:eastAsia="zh-CN"/>
        </w:rPr>
        <w:t>中小企业声明函（服务）</w:t>
      </w:r>
    </w:p>
    <w:p w14:paraId="3CF93DA8">
      <w:pPr>
        <w:spacing w:line="44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本公司郑重声明，根据《政府采购促进中小企业发展管理办法》（财库﹝2020﹞46号）的规定，本公司参加</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太仓市娄江新城医院（瑞金医院太仓分院）  </w:t>
      </w:r>
      <w:r>
        <w:rPr>
          <w:rFonts w:hint="eastAsia" w:ascii="宋体" w:hAnsi="宋体" w:eastAsia="宋体" w:cs="宋体"/>
          <w:sz w:val="24"/>
          <w:highlight w:val="none"/>
          <w:lang w:eastAsia="zh-CN"/>
        </w:rPr>
        <w:t>的</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太仓市娄江新城医院（瑞金医院太仓分院）至总院、北院组网服务</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编号 </w:t>
      </w:r>
      <w:r>
        <w:rPr>
          <w:rFonts w:hint="eastAsia" w:ascii="宋体" w:hAnsi="宋体" w:eastAsia="宋体" w:cs="宋体"/>
          <w:b/>
          <w:sz w:val="24"/>
          <w:szCs w:val="24"/>
          <w:highlight w:val="none"/>
          <w:u w:val="single"/>
          <w:lang w:eastAsia="zh-CN"/>
        </w:rPr>
        <w:t>JSZC-320585-JZCG-G2026-0049</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号采购活动，服务全部由符合政策要求的中小企业承接。相关企业的具体情况如下：</w:t>
      </w:r>
    </w:p>
    <w:p w14:paraId="2779BAF1">
      <w:pPr>
        <w:numPr>
          <w:ilvl w:val="0"/>
          <w:numId w:val="2"/>
        </w:numPr>
        <w:spacing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i/>
          <w:sz w:val="24"/>
          <w:szCs w:val="24"/>
          <w:highlight w:val="none"/>
          <w:u w:val="single"/>
          <w:lang w:eastAsia="zh-CN"/>
        </w:rPr>
        <w:t>（标的名称）</w:t>
      </w:r>
      <w:r>
        <w:rPr>
          <w:rFonts w:hint="eastAsia" w:ascii="宋体" w:hAnsi="宋体" w:eastAsia="宋体" w:cs="宋体"/>
          <w:sz w:val="24"/>
          <w:szCs w:val="24"/>
          <w:highlight w:val="none"/>
          <w:lang w:eastAsia="zh-CN"/>
        </w:rPr>
        <w:t>，属于</w:t>
      </w:r>
      <w:r>
        <w:rPr>
          <w:rFonts w:hint="eastAsia" w:ascii="宋体" w:hAnsi="宋体" w:eastAsia="宋体" w:cs="宋体"/>
          <w:b/>
          <w:sz w:val="24"/>
          <w:szCs w:val="24"/>
          <w:highlight w:val="none"/>
          <w:u w:val="single"/>
          <w:lang w:eastAsia="zh-CN"/>
        </w:rPr>
        <w:t xml:space="preserve">  信息传输业  </w:t>
      </w:r>
      <w:r>
        <w:rPr>
          <w:rFonts w:hint="eastAsia" w:ascii="宋体" w:hAnsi="宋体" w:eastAsia="宋体" w:cs="宋体"/>
          <w:i/>
          <w:sz w:val="24"/>
          <w:szCs w:val="24"/>
          <w:highlight w:val="none"/>
          <w:lang w:eastAsia="zh-CN"/>
        </w:rPr>
        <w:t>行业</w:t>
      </w:r>
      <w:r>
        <w:rPr>
          <w:rFonts w:hint="eastAsia" w:ascii="宋体" w:hAnsi="宋体" w:eastAsia="宋体" w:cs="宋体"/>
          <w:sz w:val="24"/>
          <w:szCs w:val="24"/>
          <w:highlight w:val="none"/>
          <w:lang w:eastAsia="zh-CN"/>
        </w:rPr>
        <w:t>；承接企业为</w:t>
      </w:r>
      <w:r>
        <w:rPr>
          <w:rFonts w:hint="eastAsia" w:ascii="宋体" w:hAnsi="宋体" w:eastAsia="宋体" w:cs="宋体"/>
          <w:i/>
          <w:sz w:val="24"/>
          <w:szCs w:val="24"/>
          <w:highlight w:val="none"/>
          <w:u w:val="single"/>
          <w:lang w:eastAsia="zh-CN"/>
        </w:rPr>
        <w:t>（企业名称）</w:t>
      </w:r>
      <w:r>
        <w:rPr>
          <w:rFonts w:hint="eastAsia" w:ascii="宋体" w:hAnsi="宋体" w:eastAsia="宋体" w:cs="宋体"/>
          <w:sz w:val="24"/>
          <w:szCs w:val="24"/>
          <w:highlight w:val="none"/>
          <w:lang w:eastAsia="zh-CN"/>
        </w:rPr>
        <w:t>，从业人员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eastAsia="宋体" w:cs="宋体"/>
          <w:position w:val="16"/>
          <w:sz w:val="24"/>
          <w:szCs w:val="24"/>
          <w:highlight w:val="none"/>
          <w:lang w:eastAsia="zh-CN"/>
        </w:rPr>
        <w:t>1</w:t>
      </w:r>
      <w:r>
        <w:rPr>
          <w:rFonts w:hint="eastAsia" w:ascii="宋体" w:hAnsi="宋体" w:eastAsia="宋体" w:cs="宋体"/>
          <w:position w:val="16"/>
          <w:sz w:val="24"/>
          <w:szCs w:val="24"/>
          <w:highlight w:val="none"/>
          <w:lang w:eastAsia="zh-CN"/>
        </w:rPr>
        <w:fldChar w:fldCharType="end"/>
      </w:r>
      <w:r>
        <w:rPr>
          <w:rFonts w:hint="eastAsia" w:ascii="宋体" w:hAnsi="宋体" w:eastAsia="宋体" w:cs="宋体"/>
          <w:sz w:val="24"/>
          <w:szCs w:val="24"/>
          <w:highlight w:val="none"/>
          <w:lang w:eastAsia="zh-CN"/>
        </w:rPr>
        <w:t>，属于</w:t>
      </w:r>
      <w:r>
        <w:rPr>
          <w:rFonts w:hint="eastAsia" w:ascii="宋体" w:hAnsi="宋体" w:eastAsia="宋体" w:cs="宋体"/>
          <w:i/>
          <w:sz w:val="24"/>
          <w:szCs w:val="24"/>
          <w:highlight w:val="none"/>
          <w:u w:val="single"/>
          <w:lang w:eastAsia="zh-CN"/>
        </w:rPr>
        <w:t xml:space="preserve">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i/>
          <w:sz w:val="24"/>
          <w:szCs w:val="24"/>
          <w:highlight w:val="none"/>
          <w:lang w:eastAsia="zh-CN"/>
        </w:rPr>
        <w:t>（中型企业、小型企业、微型企业，</w:t>
      </w:r>
      <w:r>
        <w:rPr>
          <w:rFonts w:hint="eastAsia" w:ascii="宋体" w:hAnsi="宋体" w:eastAsia="宋体" w:cs="宋体"/>
          <w:b/>
          <w:bCs/>
          <w:i/>
          <w:sz w:val="24"/>
          <w:szCs w:val="24"/>
          <w:highlight w:val="none"/>
          <w:lang w:eastAsia="zh-CN"/>
        </w:rPr>
        <w:t>三者选一填写</w:t>
      </w:r>
      <w:r>
        <w:rPr>
          <w:rFonts w:hint="eastAsia" w:ascii="宋体" w:hAnsi="宋体" w:eastAsia="宋体" w:cs="宋体"/>
          <w:i/>
          <w:sz w:val="24"/>
          <w:szCs w:val="24"/>
          <w:highlight w:val="none"/>
          <w:lang w:eastAsia="zh-CN"/>
        </w:rPr>
        <w:t>）</w:t>
      </w:r>
      <w:r>
        <w:rPr>
          <w:rFonts w:hint="eastAsia" w:ascii="宋体" w:hAnsi="宋体" w:eastAsia="宋体" w:cs="宋体"/>
          <w:sz w:val="24"/>
          <w:szCs w:val="24"/>
          <w:highlight w:val="none"/>
          <w:lang w:eastAsia="zh-CN"/>
        </w:rPr>
        <w:t>；</w:t>
      </w:r>
    </w:p>
    <w:p w14:paraId="4BA072F3">
      <w:pPr>
        <w:spacing w:line="440" w:lineRule="exact"/>
        <w:ind w:firstLine="480" w:firstLineChars="200"/>
        <w:rPr>
          <w:rFonts w:ascii="宋体" w:hAnsi="宋体"/>
          <w:sz w:val="24"/>
          <w:highlight w:val="none"/>
          <w:lang w:eastAsia="zh-CN"/>
        </w:rPr>
      </w:pPr>
      <w:r>
        <w:rPr>
          <w:rFonts w:ascii="宋体" w:hAnsi="宋体"/>
          <w:sz w:val="24"/>
          <w:highlight w:val="none"/>
          <w:lang w:eastAsia="zh-CN"/>
        </w:rPr>
        <w:t>……</w:t>
      </w:r>
    </w:p>
    <w:p w14:paraId="39328452">
      <w:pPr>
        <w:spacing w:line="440" w:lineRule="exact"/>
        <w:ind w:firstLine="480" w:firstLineChars="200"/>
        <w:rPr>
          <w:rFonts w:ascii="宋体" w:hAnsi="宋体"/>
          <w:sz w:val="24"/>
          <w:highlight w:val="none"/>
          <w:lang w:eastAsia="zh-CN"/>
        </w:rPr>
      </w:pPr>
      <w:r>
        <w:rPr>
          <w:rFonts w:hint="eastAsia" w:ascii="宋体" w:hAnsi="宋体"/>
          <w:sz w:val="24"/>
          <w:highlight w:val="none"/>
          <w:lang w:eastAsia="zh-CN"/>
        </w:rPr>
        <w:t>以上企业，不属于大企业的分支机构，不存在控股股东为大企业的情形，也不存在与大企业的负责人为同一人的情形。</w:t>
      </w:r>
    </w:p>
    <w:p w14:paraId="38A7AB70">
      <w:pPr>
        <w:spacing w:line="440" w:lineRule="exact"/>
        <w:ind w:firstLine="480" w:firstLineChars="200"/>
        <w:rPr>
          <w:rFonts w:ascii="宋体" w:hAnsi="宋体"/>
          <w:sz w:val="24"/>
          <w:highlight w:val="none"/>
          <w:lang w:eastAsia="zh-CN"/>
        </w:rPr>
      </w:pPr>
      <w:r>
        <w:rPr>
          <w:rFonts w:hint="eastAsia" w:ascii="宋体" w:hAnsi="宋体"/>
          <w:sz w:val="24"/>
          <w:highlight w:val="none"/>
          <w:lang w:eastAsia="zh-CN"/>
        </w:rPr>
        <w:t>本企业对上述声明内容的真实性负责。如有虚假，将依法承担相应责任。</w:t>
      </w:r>
    </w:p>
    <w:p w14:paraId="7DFB12F2">
      <w:pPr>
        <w:spacing w:line="440" w:lineRule="exact"/>
        <w:ind w:right="960" w:firstLine="4800" w:firstLineChars="2000"/>
        <w:rPr>
          <w:rFonts w:ascii="宋体" w:hAnsi="宋体"/>
          <w:sz w:val="24"/>
          <w:highlight w:val="none"/>
          <w:lang w:eastAsia="zh-CN"/>
        </w:rPr>
      </w:pPr>
      <w:r>
        <w:rPr>
          <w:rFonts w:hint="eastAsia" w:ascii="宋体" w:hAnsi="宋体"/>
          <w:sz w:val="24"/>
          <w:highlight w:val="none"/>
          <w:lang w:eastAsia="zh-CN"/>
        </w:rPr>
        <w:t>企业名称（盖章）：</w:t>
      </w:r>
    </w:p>
    <w:p w14:paraId="482FE5C3">
      <w:pPr>
        <w:spacing w:line="440" w:lineRule="exact"/>
        <w:ind w:right="1120" w:firstLine="4800" w:firstLineChars="2000"/>
        <w:rPr>
          <w:rFonts w:ascii="宋体" w:hAnsi="宋体"/>
          <w:sz w:val="24"/>
          <w:highlight w:val="none"/>
          <w:lang w:eastAsia="zh-CN"/>
        </w:rPr>
      </w:pPr>
      <w:r>
        <w:rPr>
          <w:rFonts w:hint="eastAsia" w:ascii="宋体" w:hAnsi="宋体"/>
          <w:sz w:val="24"/>
          <w:highlight w:val="none"/>
          <w:lang w:eastAsia="zh-CN"/>
        </w:rPr>
        <w:t>日期：</w:t>
      </w:r>
    </w:p>
    <w:p w14:paraId="6DA1FC89">
      <w:pPr>
        <w:spacing w:after="0" w:line="440" w:lineRule="exact"/>
        <w:ind w:firstLine="480" w:firstLineChars="200"/>
        <w:rPr>
          <w:rFonts w:hint="eastAsia" w:ascii="宋体" w:hAnsi="宋体" w:eastAsia="宋体" w:cs="宋体"/>
          <w:sz w:val="24"/>
          <w:szCs w:val="24"/>
          <w:highlight w:val="none"/>
          <w:lang w:eastAsia="zh-CN"/>
        </w:rPr>
      </w:pPr>
      <w:r>
        <w:rPr>
          <w:rFonts w:hint="eastAsia" w:ascii="宋体" w:hAnsi="宋体"/>
          <w:sz w:val="24"/>
          <w:highlight w:val="none"/>
          <w:lang w:eastAsia="zh-CN"/>
        </w:rPr>
        <w:t>从</w:t>
      </w:r>
      <w:r>
        <w:rPr>
          <w:rFonts w:hint="eastAsia" w:ascii="宋体" w:hAnsi="宋体" w:eastAsia="宋体" w:cs="宋体"/>
          <w:sz w:val="24"/>
          <w:szCs w:val="24"/>
          <w:highlight w:val="none"/>
          <w:lang w:eastAsia="zh-CN"/>
        </w:rPr>
        <w:t>业人员、营业收入、资产总额填报上一年度数据，无上一年度数据的新成立企业可不填报。</w:t>
      </w:r>
    </w:p>
    <w:p w14:paraId="19DDB5C7">
      <w:pPr>
        <w:spacing w:after="0"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备注：</w:t>
      </w:r>
    </w:p>
    <w:p w14:paraId="422B4738">
      <w:pPr>
        <w:spacing w:line="440" w:lineRule="exact"/>
        <w:ind w:firstLine="480"/>
        <w:rPr>
          <w:rFonts w:ascii="宋体" w:hAnsi="宋体" w:cs="宋体"/>
          <w:sz w:val="24"/>
          <w:highlight w:val="none"/>
          <w:lang w:eastAsia="zh-CN"/>
        </w:rPr>
      </w:pPr>
    </w:p>
    <w:p w14:paraId="58393964">
      <w:pPr>
        <w:spacing w:line="360" w:lineRule="exact"/>
        <w:ind w:firstLine="480"/>
        <w:rPr>
          <w:rFonts w:ascii="宋体" w:hAnsi="宋体" w:cs="Calibri"/>
          <w:sz w:val="24"/>
          <w:highlight w:val="none"/>
          <w:lang w:eastAsia="zh-CN"/>
        </w:rPr>
      </w:pPr>
      <w:r>
        <w:rPr>
          <w:rFonts w:hint="eastAsia" w:ascii="宋体" w:hAnsi="宋体" w:cs="Calibri"/>
          <w:sz w:val="24"/>
          <w:highlight w:val="none"/>
          <w:lang w:eastAsia="zh-CN"/>
        </w:rPr>
        <w:t>1、投标人参加政府采购活动，应当出具《中小企业声明函》，否则不得享受相关中小企业扶持政策。</w:t>
      </w:r>
    </w:p>
    <w:p w14:paraId="1E6DECA9">
      <w:pPr>
        <w:spacing w:line="360" w:lineRule="exact"/>
        <w:ind w:firstLine="480"/>
        <w:rPr>
          <w:rFonts w:ascii="宋体" w:hAnsi="宋体" w:cs="Calibri"/>
          <w:sz w:val="24"/>
          <w:highlight w:val="none"/>
          <w:lang w:eastAsia="zh-CN"/>
        </w:rPr>
      </w:pPr>
      <w:r>
        <w:rPr>
          <w:rFonts w:hint="eastAsia" w:ascii="宋体" w:hAnsi="宋体" w:cs="Calibri"/>
          <w:sz w:val="24"/>
          <w:highlight w:val="none"/>
          <w:lang w:eastAsia="zh-CN"/>
        </w:rPr>
        <w:t>2、投标人提供的中小企业声明函必须包含本项目所有服务及其服务承接企业，并按照声明函格式填写完整、明确，否则不得享受相关中小企业扶持政策。</w:t>
      </w:r>
    </w:p>
    <w:p w14:paraId="75315A37">
      <w:pPr>
        <w:pBdr>
          <w:top w:val="none" w:color="000000" w:sz="0" w:space="0"/>
          <w:left w:val="none" w:color="000000" w:sz="0" w:space="0"/>
          <w:bottom w:val="none" w:color="000000" w:sz="0" w:space="0"/>
          <w:right w:val="none" w:color="000000" w:sz="0" w:space="0"/>
        </w:pBdr>
        <w:spacing w:line="439" w:lineRule="atLeast"/>
        <w:ind w:firstLine="480" w:firstLineChars="200"/>
        <w:rPr>
          <w:rFonts w:ascii="宋体" w:hAnsi="宋体" w:cs="宋体"/>
          <w:b/>
          <w:sz w:val="32"/>
          <w:highlight w:val="none"/>
          <w:lang w:eastAsia="zh-CN"/>
        </w:rPr>
      </w:pPr>
      <w:r>
        <w:rPr>
          <w:rFonts w:hint="eastAsia" w:ascii="宋体" w:hAnsi="宋体" w:cs="Calibri"/>
          <w:sz w:val="24"/>
          <w:highlight w:val="none"/>
          <w:lang w:eastAsia="zh-CN"/>
        </w:rPr>
        <w:t>3、中标、成交供应商享受规定的中小企业扶持政策的，《中小企业声明函》应当随中标、成交结果同时公告，接受社会监督。</w:t>
      </w:r>
      <w:r>
        <w:rPr>
          <w:rFonts w:hint="eastAsia" w:ascii="宋体" w:hAnsi="宋体" w:cs="宋体"/>
          <w:b/>
          <w:sz w:val="32"/>
          <w:highlight w:val="none"/>
          <w:lang w:eastAsia="zh-CN"/>
        </w:rPr>
        <w:t> </w:t>
      </w:r>
    </w:p>
    <w:p w14:paraId="58EB1429">
      <w:pPr>
        <w:adjustRightInd w:val="0"/>
        <w:snapToGrid w:val="0"/>
        <w:spacing w:line="400" w:lineRule="exact"/>
        <w:ind w:firstLine="480" w:firstLineChars="200"/>
        <w:rPr>
          <w:rFonts w:hint="eastAsia" w:ascii="仿宋" w:hAnsi="仿宋" w:eastAsia="仿宋" w:cs="仿宋"/>
          <w:sz w:val="24"/>
          <w:szCs w:val="24"/>
          <w:highlight w:val="none"/>
          <w:lang w:eastAsia="zh-CN"/>
        </w:rPr>
      </w:pPr>
    </w:p>
    <w:p w14:paraId="02A78433">
      <w:pPr>
        <w:spacing w:after="0" w:line="440" w:lineRule="exact"/>
        <w:ind w:firstLine="480" w:firstLineChars="200"/>
        <w:rPr>
          <w:rFonts w:hint="eastAsia" w:ascii="宋体" w:hAnsi="宋体" w:eastAsia="宋体" w:cs="宋体"/>
          <w:sz w:val="24"/>
          <w:szCs w:val="24"/>
          <w:highlight w:val="none"/>
          <w:lang w:eastAsia="zh-CN"/>
        </w:rPr>
      </w:pPr>
    </w:p>
    <w:p w14:paraId="0E09FD1C">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 </w:t>
      </w:r>
    </w:p>
    <w:p w14:paraId="2CBAEB49">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color w:val="000000"/>
          <w:sz w:val="32"/>
          <w:highlight w:val="none"/>
          <w:lang w:eastAsia="zh-CN"/>
        </w:rPr>
      </w:pPr>
    </w:p>
    <w:p w14:paraId="12639222">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color w:val="000000"/>
          <w:sz w:val="32"/>
          <w:highlight w:val="none"/>
          <w:lang w:eastAsia="zh-CN"/>
        </w:rPr>
      </w:pPr>
    </w:p>
    <w:p w14:paraId="33B7A38F">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bCs/>
          <w:sz w:val="32"/>
          <w:szCs w:val="32"/>
          <w:highlight w:val="none"/>
          <w:lang w:eastAsia="zh-CN"/>
        </w:rPr>
      </w:pPr>
      <w:r>
        <w:rPr>
          <w:rFonts w:hint="eastAsia" w:ascii="宋体" w:hAnsi="宋体" w:eastAsia="宋体" w:cs="宋体"/>
          <w:b/>
          <w:color w:val="000000"/>
          <w:sz w:val="32"/>
          <w:highlight w:val="none"/>
          <w:lang w:eastAsia="zh-CN"/>
        </w:rPr>
        <w:t>17、</w:t>
      </w:r>
      <w:r>
        <w:rPr>
          <w:rFonts w:hint="eastAsia" w:ascii="宋体" w:hAnsi="宋体" w:eastAsia="宋体" w:cs="宋体"/>
          <w:b/>
          <w:sz w:val="32"/>
          <w:highlight w:val="none"/>
          <w:lang w:eastAsia="zh-CN"/>
        </w:rPr>
        <w:t>残疾人福利性单位声明函（如有）</w:t>
      </w:r>
    </w:p>
    <w:p w14:paraId="6967B854">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b/>
          <w:sz w:val="32"/>
          <w:highlight w:val="none"/>
          <w:lang w:eastAsia="zh-CN"/>
        </w:rPr>
        <w:t> </w:t>
      </w:r>
    </w:p>
    <w:p w14:paraId="3DAC3FC5">
      <w:pPr>
        <w:pBdr>
          <w:top w:val="none" w:color="000000" w:sz="0" w:space="0"/>
          <w:left w:val="none" w:color="000000" w:sz="0" w:space="0"/>
          <w:bottom w:val="none" w:color="000000" w:sz="0" w:space="0"/>
          <w:right w:val="none" w:color="000000" w:sz="0" w:space="0"/>
        </w:pBdr>
        <w:spacing w:after="0" w:line="479" w:lineRule="atLeast"/>
        <w:ind w:firstLine="2560"/>
        <w:rPr>
          <w:rFonts w:hint="eastAsia" w:ascii="宋体" w:hAnsi="宋体" w:eastAsia="宋体" w:cs="宋体"/>
          <w:highlight w:val="none"/>
          <w:lang w:eastAsia="zh-CN"/>
        </w:rPr>
      </w:pPr>
      <w:r>
        <w:rPr>
          <w:rFonts w:hint="eastAsia" w:ascii="宋体" w:hAnsi="宋体" w:eastAsia="宋体" w:cs="宋体"/>
          <w:sz w:val="32"/>
          <w:highlight w:val="none"/>
          <w:lang w:eastAsia="zh-CN"/>
        </w:rPr>
        <w:t>残疾人福利性单位声明函</w:t>
      </w:r>
    </w:p>
    <w:p w14:paraId="5F0EC660">
      <w:pPr>
        <w:pBdr>
          <w:top w:val="none" w:color="000000" w:sz="0" w:space="0"/>
          <w:left w:val="none" w:color="000000" w:sz="0" w:space="0"/>
          <w:bottom w:val="none" w:color="000000" w:sz="0" w:space="0"/>
          <w:right w:val="none" w:color="000000" w:sz="0" w:space="0"/>
        </w:pBdr>
        <w:spacing w:after="0" w:line="479" w:lineRule="atLeast"/>
        <w:ind w:firstLine="1928"/>
        <w:rPr>
          <w:rFonts w:hint="eastAsia" w:ascii="宋体" w:hAnsi="宋体" w:eastAsia="宋体" w:cs="宋体"/>
          <w:highlight w:val="none"/>
          <w:lang w:eastAsia="zh-CN"/>
        </w:rPr>
      </w:pPr>
      <w:r>
        <w:rPr>
          <w:rFonts w:hint="eastAsia" w:ascii="宋体" w:hAnsi="宋体" w:eastAsia="宋体" w:cs="宋体"/>
          <w:b/>
          <w:sz w:val="32"/>
          <w:highlight w:val="none"/>
          <w:lang w:eastAsia="zh-CN"/>
        </w:rPr>
        <w:t> </w:t>
      </w:r>
    </w:p>
    <w:p w14:paraId="11A23F04">
      <w:pPr>
        <w:pBdr>
          <w:top w:val="none" w:color="000000" w:sz="0" w:space="0"/>
          <w:left w:val="none" w:color="000000" w:sz="0" w:space="0"/>
          <w:bottom w:val="none" w:color="000000" w:sz="0" w:space="0"/>
          <w:right w:val="none" w:color="000000" w:sz="0" w:space="0"/>
        </w:pBdr>
        <w:spacing w:after="0" w:line="479" w:lineRule="atLeast"/>
        <w:ind w:firstLine="480"/>
        <w:rPr>
          <w:rFonts w:hint="eastAsia" w:ascii="宋体" w:hAnsi="宋体" w:eastAsia="宋体" w:cs="宋体"/>
          <w:highlight w:val="none"/>
          <w:lang w:eastAsia="zh-CN"/>
        </w:rPr>
      </w:pPr>
      <w:r>
        <w:rPr>
          <w:rFonts w:hint="eastAsia" w:ascii="宋体" w:hAnsi="宋体" w:eastAsia="宋体" w:cs="宋体"/>
          <w:sz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526D40">
      <w:pPr>
        <w:pBdr>
          <w:top w:val="none" w:color="000000" w:sz="0" w:space="0"/>
          <w:left w:val="none" w:color="000000" w:sz="0" w:space="0"/>
          <w:bottom w:val="none" w:color="000000" w:sz="0" w:space="0"/>
          <w:right w:val="none" w:color="000000" w:sz="0" w:space="0"/>
        </w:pBdr>
        <w:spacing w:after="0" w:line="479" w:lineRule="atLeast"/>
        <w:ind w:firstLine="480"/>
        <w:rPr>
          <w:rFonts w:hint="eastAsia" w:ascii="宋体" w:hAnsi="宋体" w:eastAsia="宋体" w:cs="宋体"/>
          <w:highlight w:val="none"/>
          <w:lang w:eastAsia="zh-CN"/>
        </w:rPr>
      </w:pPr>
      <w:r>
        <w:rPr>
          <w:rFonts w:hint="eastAsia" w:ascii="宋体" w:hAnsi="宋体" w:eastAsia="宋体" w:cs="宋体"/>
          <w:sz w:val="24"/>
          <w:highlight w:val="none"/>
          <w:lang w:eastAsia="zh-CN"/>
        </w:rPr>
        <w:t>本单位对上述声明的真实性负责。如有虚假，将依法承担相应责任。</w:t>
      </w:r>
    </w:p>
    <w:p w14:paraId="0959A429">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24E1A614">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1F99C4B0">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sz w:val="24"/>
          <w:highlight w:val="none"/>
          <w:lang w:eastAsia="zh-CN"/>
        </w:rPr>
        <w:t>             单位名称（盖章）：</w:t>
      </w:r>
    </w:p>
    <w:p w14:paraId="41989C9A">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p>
    <w:p w14:paraId="6918B747">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590B7D8A">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p>
    <w:p w14:paraId="6791D8A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3AAD6C1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680A06B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6E71F7D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35BD3834">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07A9A94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4E67FCA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6277A98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24D1E81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2C12C9B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193D3BB9">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41EFAA8C">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704C4968">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3A0E0D9B">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18、监狱企业证明文件（如有）</w:t>
      </w:r>
    </w:p>
    <w:p w14:paraId="6141C60B">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31E20AB3">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46156E56">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sz w:val="32"/>
          <w:highlight w:val="none"/>
          <w:lang w:eastAsia="zh-CN"/>
        </w:rPr>
        <w:t>监狱企业证明文件</w:t>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t xml:space="preserve"> </w:t>
      </w:r>
      <w:r>
        <w:rPr>
          <w:rFonts w:hint="eastAsia" w:ascii="宋体" w:hAnsi="宋体" w:eastAsia="宋体" w:cs="宋体"/>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39BD83D6">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color w:val="000000"/>
          <w:sz w:val="24"/>
          <w:highlight w:val="none"/>
          <w:lang w:eastAsia="zh-CN"/>
        </w:rPr>
      </w:pPr>
    </w:p>
    <w:p w14:paraId="48C08B0E">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4F64924E">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20AE5E87">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6D106B81">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3D564F87">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47DEE761">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76D537CC">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210DCAF">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669B028">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3E80A72F">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0195943D">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6B9B1656">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3E2A8A1">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7F3A7427">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2013FCA">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215EAFF0">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4BB35671">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6D5951F5">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7330BB1E">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C216E5A">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第五部分  评标方法与评标标准</w:t>
      </w:r>
    </w:p>
    <w:p w14:paraId="24C4078F">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评标方法</w:t>
      </w:r>
    </w:p>
    <w:p w14:paraId="297DC1CA">
      <w:pPr>
        <w:pStyle w:val="201"/>
        <w:spacing w:line="48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highlight w:val="none"/>
          <w:lang w:eastAsia="zh-CN"/>
        </w:rPr>
        <w:t>一、</w:t>
      </w:r>
      <w:r>
        <w:rPr>
          <w:rFonts w:hint="eastAsia" w:ascii="宋体" w:hAnsi="宋体" w:cs="宋体"/>
          <w:sz w:val="24"/>
          <w:highlight w:val="none"/>
          <w:lang w:eastAsia="zh-CN"/>
        </w:rPr>
        <w:t>本次招标评标采用为综合评分法，即在满足招标文件实质性要求前提下，按照招标文件中规定的评分标准和各项因素进行综合评审，</w:t>
      </w:r>
      <w:r>
        <w:rPr>
          <w:rFonts w:hint="eastAsia" w:ascii="宋体" w:hAnsi="宋体"/>
          <w:b/>
          <w:sz w:val="24"/>
          <w:highlight w:val="none"/>
          <w:lang w:eastAsia="zh-CN"/>
        </w:rPr>
        <w:t>各标段以评标总得分从高到低为相应标段中标候选人排名，排名第一的为中标供应商，定标的顺序从第一标段到第二标段依次确定中标人。已中标的供应商在后面的标段中失去得标权，由该标段具有得标权且评标总得分最高的为该标段中标供应商，进入每个标段评审的实质响应且具有得标权的供应商不得少于3家。</w:t>
      </w:r>
    </w:p>
    <w:p w14:paraId="4199079F">
      <w:pPr>
        <w:pBdr>
          <w:top w:val="none" w:color="000000" w:sz="0" w:space="0"/>
          <w:left w:val="none" w:color="000000" w:sz="0" w:space="0"/>
          <w:bottom w:val="none" w:color="000000" w:sz="0" w:space="0"/>
          <w:right w:val="none" w:color="000000" w:sz="0" w:space="0"/>
        </w:pBdr>
        <w:spacing w:after="0" w:line="46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755786AF">
      <w:pPr>
        <w:pBdr>
          <w:top w:val="none" w:color="000000" w:sz="0" w:space="0"/>
          <w:left w:val="none" w:color="000000" w:sz="0" w:space="0"/>
          <w:bottom w:val="none" w:color="000000" w:sz="0" w:space="0"/>
          <w:right w:val="none" w:color="000000" w:sz="0" w:space="0"/>
        </w:pBdr>
        <w:spacing w:after="0" w:line="46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D12EA11">
      <w:pPr>
        <w:pBdr>
          <w:top w:val="none" w:color="000000" w:sz="0" w:space="0"/>
          <w:left w:val="none" w:color="000000" w:sz="0" w:space="0"/>
          <w:bottom w:val="none" w:color="000000" w:sz="0" w:space="0"/>
          <w:right w:val="none" w:color="000000" w:sz="0" w:space="0"/>
        </w:pBdr>
        <w:spacing w:after="0" w:line="46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四、如出现评审得分最高的投标人有两个或两个以上的，以投标报价较低者优先作为该标段中标候选人，如果投标报价也相同的，则由公证机构组织以抽签方式确定中标候选人。</w:t>
      </w:r>
    </w:p>
    <w:p w14:paraId="1BB536E4">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6710AEC">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43ECEB39">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七、中小企业相关政策：</w:t>
      </w:r>
    </w:p>
    <w:p w14:paraId="4ACC6740">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szCs w:val="24"/>
          <w:highlight w:val="none"/>
          <w:lang w:eastAsia="zh-CN"/>
        </w:rPr>
        <w:t>但与大企业的负责人为同一人，或者与大企业存在直接控股、管理关系的除外。</w:t>
      </w:r>
      <w:r>
        <w:rPr>
          <w:rFonts w:hint="eastAsia" w:ascii="宋体" w:hAnsi="宋体" w:eastAsia="宋体" w:cs="宋体"/>
          <w:sz w:val="24"/>
          <w:szCs w:val="24"/>
          <w:highlight w:val="none"/>
          <w:lang w:eastAsia="zh-CN"/>
        </w:rPr>
        <w:t>符合中小企业划分标准的个体工商户，在政府采购活动中视同中小企业：</w:t>
      </w:r>
    </w:p>
    <w:p w14:paraId="0BF48454">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1、在货物采购项目中，货物由小、微企业制造，即货物由小、微企业生产且使用该小、微企业商号或者注册商标。对其报价给予20%的扣除，扣除后的价格参与价格评审。</w:t>
      </w:r>
    </w:p>
    <w:p w14:paraId="4FC1F7F8">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2、在服务采购项目中，服务由小、微企业承接，即提供服务的人员为小、微企业依照《中华人民共和国劳动合同法》订立劳动合同的从业人员。对其报价给予20%的扣除，扣除后的价格参与价格评审。</w:t>
      </w:r>
    </w:p>
    <w:p w14:paraId="3D02D43F">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3、在货物采购项目中，供应商提供的货物既有小、微企业制造货物，也有中、大型企业制造货物的，不享受本办法规定的小、微企业价格扶持政策。</w:t>
      </w:r>
    </w:p>
    <w:p w14:paraId="49AF2CDA">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4、以联合体形式参加政府采购活动，联合体各方均为中小企业的，联合体视同中小企业。其中，联合体各方均为小微企业的，联合体视同小微企业。</w:t>
      </w:r>
    </w:p>
    <w:p w14:paraId="77BE2490">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5、符合中小企业划分标准的个体工商户，在政府采购活动中视同中小企业。</w:t>
      </w:r>
    </w:p>
    <w:p w14:paraId="522F68AB">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6、残疾人福利性单位及监狱企业视同小型企业，享受评审中价格扣除等促进中小企业发展的政府采购政策。</w:t>
      </w:r>
    </w:p>
    <w:p w14:paraId="7691A321">
      <w:pP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7、供应商按照本办法规定提供声明函内容不实的，属于提供虚假材料谋取中标、 成交， 依照《中华人民共和国政府采购法》 等国家有关规定追究相应责任。</w:t>
      </w:r>
    </w:p>
    <w:p w14:paraId="37430D2E">
      <w:pPr>
        <w:spacing w:after="0" w:line="500" w:lineRule="exact"/>
        <w:ind w:firstLine="480"/>
        <w:rPr>
          <w:rFonts w:ascii="宋体" w:hAnsi="宋体" w:cs="宋体"/>
          <w:sz w:val="24"/>
          <w:highlight w:val="none"/>
          <w:lang w:eastAsia="zh-CN"/>
        </w:rPr>
      </w:pPr>
      <w:r>
        <w:rPr>
          <w:rFonts w:hint="eastAsia" w:ascii="宋体" w:hAnsi="宋体" w:cs="宋体"/>
          <w:sz w:val="24"/>
          <w:highlight w:val="none"/>
          <w:lang w:eastAsia="zh-CN"/>
        </w:rPr>
        <w:t> </w:t>
      </w:r>
    </w:p>
    <w:p w14:paraId="57C52FAE">
      <w:pPr>
        <w:pStyle w:val="201"/>
        <w:spacing w:line="460" w:lineRule="exact"/>
        <w:rPr>
          <w:rFonts w:hint="eastAsia" w:ascii="宋体" w:hAnsi="宋体" w:eastAsia="宋体" w:cs="宋体"/>
          <w:sz w:val="24"/>
          <w:szCs w:val="24"/>
          <w:highlight w:val="none"/>
          <w:lang w:eastAsia="zh-CN"/>
        </w:rPr>
      </w:pPr>
    </w:p>
    <w:p w14:paraId="5058D4B2">
      <w:pPr>
        <w:pStyle w:val="201"/>
        <w:spacing w:line="500" w:lineRule="exact"/>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sz w:val="24"/>
          <w:szCs w:val="24"/>
          <w:highlight w:val="none"/>
          <w:lang w:eastAsia="zh-CN"/>
        </w:rPr>
        <w:t>评分标准</w:t>
      </w:r>
      <w:bookmarkStart w:id="7" w:name="OLE_LINK22"/>
      <w:bookmarkStart w:id="8" w:name="_Hlk166575460"/>
    </w:p>
    <w:p w14:paraId="563FA9C5">
      <w:pPr>
        <w:pStyle w:val="210"/>
        <w:spacing w:after="0" w:line="560" w:lineRule="exact"/>
        <w:ind w:firstLine="482" w:firstLineChars="200"/>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标段一</w:t>
      </w:r>
      <w:r>
        <w:rPr>
          <w:rFonts w:hint="eastAsia" w:asciiTheme="minorEastAsia" w:hAnsiTheme="minorEastAsia" w:eastAsiaTheme="minorEastAsia" w:cstheme="minorEastAsia"/>
          <w:b/>
          <w:sz w:val="24"/>
          <w:szCs w:val="24"/>
          <w:highlight w:val="none"/>
          <w:lang w:val="en-US" w:eastAsia="zh-CN"/>
        </w:rPr>
        <w:t>及标段二</w:t>
      </w:r>
      <w:r>
        <w:rPr>
          <w:rFonts w:hint="eastAsia" w:asciiTheme="minorEastAsia" w:hAnsiTheme="minorEastAsia" w:eastAsiaTheme="minorEastAsia" w:cstheme="minorEastAsia"/>
          <w:b/>
          <w:sz w:val="24"/>
          <w:szCs w:val="24"/>
          <w:highlight w:val="none"/>
          <w:lang w:eastAsia="zh-CN"/>
        </w:rPr>
        <w:t>评分标准</w:t>
      </w:r>
    </w:p>
    <w:p w14:paraId="0752AB79">
      <w:pPr>
        <w:pStyle w:val="201"/>
        <w:keepNext w:val="0"/>
        <w:keepLines w:val="0"/>
        <w:pageBreakBefore w:val="0"/>
        <w:widowControl/>
        <w:kinsoku/>
        <w:wordWrap/>
        <w:overflowPunct/>
        <w:topLinePunct w:val="0"/>
        <w:autoSpaceDE/>
        <w:autoSpaceDN/>
        <w:bidi w:val="0"/>
        <w:adjustRightInd/>
        <w:snapToGrid/>
        <w:spacing w:after="0" w:line="480" w:lineRule="exact"/>
        <w:ind w:right="0"/>
        <w:textAlignment w:val="auto"/>
        <w:rPr>
          <w:rFonts w:hint="eastAsia" w:ascii="宋体" w:hAnsi="宋体" w:eastAsia="宋体"/>
          <w:b/>
          <w:bCs/>
          <w:sz w:val="24"/>
          <w:szCs w:val="24"/>
          <w:highlight w:val="none"/>
          <w:lang w:eastAsia="zh-CN"/>
        </w:rPr>
      </w:pPr>
      <w:r>
        <w:rPr>
          <w:rFonts w:hint="eastAsia" w:ascii="宋体" w:hAnsi="宋体" w:eastAsia="宋体"/>
          <w:b/>
          <w:bCs/>
          <w:sz w:val="24"/>
          <w:szCs w:val="24"/>
          <w:highlight w:val="none"/>
          <w:lang w:eastAsia="zh-CN"/>
        </w:rPr>
        <w:t>一、价格分（20分）</w:t>
      </w:r>
    </w:p>
    <w:p w14:paraId="633E8476">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sz w:val="24"/>
          <w:szCs w:val="24"/>
          <w:highlight w:val="none"/>
          <w:lang w:eastAsia="zh-CN"/>
        </w:rPr>
      </w:pPr>
      <w:r>
        <w:rPr>
          <w:rFonts w:hint="eastAsia" w:ascii="宋体" w:hAnsi="宋体" w:eastAsia="宋体" w:cs="宋体"/>
          <w:sz w:val="24"/>
          <w:szCs w:val="24"/>
          <w:highlight w:val="none"/>
          <w:lang w:val="en-US" w:eastAsia="zh-CN" w:bidi="ar-SA"/>
        </w:rPr>
        <w:t>第一步：投标报价低于或等于财政预算价格的，为有效投标报价。超财政预算的投标报价或招标文件规定的报价为无效投标报价。无效投标报价的投标文件不进行评审，也不得标。</w:t>
      </w:r>
    </w:p>
    <w:p w14:paraId="4FD868C5">
      <w:pPr>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第二步：在所有有效投标报价中满足招标文件要求，且投标价格最低的投标报价为评标基准价，其价格分为20分，其他投标人的价格分按照下列公式计算（计算结果四舍五入保留两位小数）</w:t>
      </w:r>
    </w:p>
    <w:p w14:paraId="02E2ED2E">
      <w:pPr>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投标报价得分＝（评标基准价/投标报价）×20％×100</w:t>
      </w:r>
    </w:p>
    <w:p w14:paraId="7CFF195B">
      <w:pPr>
        <w:pStyle w:val="201"/>
        <w:keepNext w:val="0"/>
        <w:keepLines w:val="0"/>
        <w:pageBreakBefore w:val="0"/>
        <w:widowControl/>
        <w:kinsoku/>
        <w:wordWrap/>
        <w:overflowPunct/>
        <w:topLinePunct w:val="0"/>
        <w:autoSpaceDE/>
        <w:autoSpaceDN/>
        <w:bidi w:val="0"/>
        <w:adjustRightInd/>
        <w:snapToGrid/>
        <w:spacing w:after="0" w:line="480" w:lineRule="exact"/>
        <w:ind w:right="0"/>
        <w:textAlignment w:val="auto"/>
        <w:rPr>
          <w:rFonts w:hint="eastAsia" w:ascii="宋体" w:hAnsi="宋体" w:cs="宋体" w:eastAsiaTheme="minorEastAsia"/>
          <w:b/>
          <w:bCs/>
          <w:kern w:val="0"/>
          <w:sz w:val="24"/>
          <w:szCs w:val="24"/>
          <w:highlight w:val="none"/>
          <w:lang w:eastAsia="zh-CN"/>
        </w:rPr>
      </w:pPr>
      <w:r>
        <w:rPr>
          <w:rFonts w:hint="eastAsia" w:ascii="宋体" w:hAnsi="宋体" w:eastAsia="宋体" w:cs="宋体"/>
          <w:b/>
          <w:bCs/>
          <w:kern w:val="0"/>
          <w:sz w:val="24"/>
          <w:szCs w:val="24"/>
          <w:highlight w:val="none"/>
          <w:lang w:eastAsia="zh-CN"/>
        </w:rPr>
        <w:t>二、</w:t>
      </w:r>
      <w:r>
        <w:rPr>
          <w:rFonts w:hint="eastAsia" w:ascii="宋体" w:hAnsi="宋体" w:cs="宋体"/>
          <w:b/>
          <w:bCs/>
          <w:kern w:val="0"/>
          <w:sz w:val="24"/>
          <w:szCs w:val="24"/>
          <w:highlight w:val="none"/>
          <w:lang w:val="en-US" w:eastAsia="zh-CN"/>
        </w:rPr>
        <w:t>服务方案</w:t>
      </w:r>
      <w:r>
        <w:rPr>
          <w:rFonts w:hint="eastAsia" w:ascii="宋体" w:hAnsi="宋体" w:cs="宋体"/>
          <w:b/>
          <w:bCs/>
          <w:kern w:val="0"/>
          <w:sz w:val="24"/>
          <w:szCs w:val="24"/>
          <w:highlight w:val="none"/>
          <w:lang w:eastAsia="zh-CN"/>
        </w:rPr>
        <w:t>（</w:t>
      </w:r>
      <w:r>
        <w:rPr>
          <w:rFonts w:hint="eastAsia" w:ascii="宋体" w:hAnsi="宋体" w:cs="宋体"/>
          <w:b/>
          <w:bCs/>
          <w:kern w:val="0"/>
          <w:sz w:val="24"/>
          <w:szCs w:val="24"/>
          <w:highlight w:val="none"/>
          <w:lang w:val="en-US" w:eastAsia="zh-CN"/>
        </w:rPr>
        <w:t>5</w:t>
      </w:r>
      <w:r>
        <w:rPr>
          <w:rFonts w:hint="eastAsia" w:ascii="宋体" w:hAnsi="宋体" w:cs="宋体" w:eastAsiaTheme="minorEastAsia"/>
          <w:b/>
          <w:bCs/>
          <w:kern w:val="0"/>
          <w:sz w:val="24"/>
          <w:szCs w:val="24"/>
          <w:highlight w:val="none"/>
          <w:lang w:eastAsia="zh-CN"/>
        </w:rPr>
        <w:t>6</w:t>
      </w:r>
      <w:r>
        <w:rPr>
          <w:rFonts w:hint="eastAsia" w:ascii="宋体" w:hAnsi="宋体" w:cs="宋体"/>
          <w:b/>
          <w:bCs/>
          <w:kern w:val="0"/>
          <w:sz w:val="24"/>
          <w:szCs w:val="24"/>
          <w:highlight w:val="none"/>
          <w:lang w:eastAsia="zh-CN"/>
        </w:rPr>
        <w:t>分）</w:t>
      </w:r>
    </w:p>
    <w:p w14:paraId="7FAF2DD8">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b/>
          <w:bCs/>
          <w:sz w:val="24"/>
          <w:szCs w:val="24"/>
          <w:highlight w:val="none"/>
          <w:lang w:eastAsia="zh-CN"/>
        </w:rPr>
      </w:pPr>
      <w:r>
        <w:rPr>
          <w:rFonts w:hint="eastAsia" w:ascii="宋体" w:hAnsi="宋体" w:eastAsia="宋体"/>
          <w:b/>
          <w:bCs/>
          <w:sz w:val="24"/>
          <w:szCs w:val="24"/>
          <w:highlight w:val="none"/>
          <w:lang w:eastAsia="zh-CN"/>
        </w:rPr>
        <w:t>1、项目</w:t>
      </w:r>
      <w:r>
        <w:rPr>
          <w:rFonts w:hint="eastAsia" w:ascii="宋体" w:hAnsi="宋体" w:eastAsia="宋体"/>
          <w:b/>
          <w:bCs/>
          <w:sz w:val="24"/>
          <w:szCs w:val="24"/>
          <w:highlight w:val="none"/>
          <w:lang w:val="en-US" w:eastAsia="zh-CN"/>
        </w:rPr>
        <w:t>实施方案</w:t>
      </w:r>
      <w:r>
        <w:rPr>
          <w:rFonts w:hint="eastAsia" w:ascii="宋体" w:hAnsi="宋体" w:eastAsia="宋体"/>
          <w:b/>
          <w:bCs/>
          <w:sz w:val="24"/>
          <w:szCs w:val="24"/>
          <w:highlight w:val="none"/>
          <w:lang w:eastAsia="zh-CN"/>
        </w:rPr>
        <w:t>（</w:t>
      </w:r>
      <w:r>
        <w:rPr>
          <w:rFonts w:hint="eastAsia" w:ascii="宋体" w:hAnsi="宋体" w:eastAsia="宋体"/>
          <w:b/>
          <w:bCs/>
          <w:sz w:val="24"/>
          <w:szCs w:val="24"/>
          <w:highlight w:val="none"/>
          <w:lang w:val="en-US" w:eastAsia="zh-CN"/>
        </w:rPr>
        <w:t>12</w:t>
      </w:r>
      <w:r>
        <w:rPr>
          <w:rFonts w:hint="eastAsia" w:ascii="宋体" w:hAnsi="宋体" w:eastAsia="宋体"/>
          <w:b/>
          <w:bCs/>
          <w:sz w:val="24"/>
          <w:szCs w:val="24"/>
          <w:highlight w:val="none"/>
          <w:lang w:eastAsia="zh-CN"/>
        </w:rPr>
        <w:t>分）</w:t>
      </w:r>
    </w:p>
    <w:p w14:paraId="77B28226">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据投标人针对本项目的实施方案进行评分，方案内容至少包括①项目目标与规划、②服务内容与流程、③项目周期与交付</w:t>
      </w:r>
      <w:r>
        <w:rPr>
          <w:rFonts w:hint="eastAsia" w:ascii="宋体" w:hAnsi="宋体" w:eastAsia="宋体"/>
          <w:sz w:val="24"/>
          <w:szCs w:val="24"/>
          <w:highlight w:val="none"/>
          <w:lang w:val="en-US" w:eastAsia="zh-CN"/>
        </w:rPr>
        <w:t>成果</w:t>
      </w:r>
      <w:r>
        <w:rPr>
          <w:rFonts w:hint="eastAsia" w:ascii="宋体" w:hAnsi="宋体" w:eastAsia="宋体"/>
          <w:sz w:val="24"/>
          <w:szCs w:val="24"/>
          <w:highlight w:val="none"/>
          <w:lang w:eastAsia="zh-CN"/>
        </w:rPr>
        <w:t>等。</w:t>
      </w:r>
    </w:p>
    <w:p w14:paraId="1DA04D10">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sz w:val="24"/>
          <w:szCs w:val="24"/>
          <w:highlight w:val="none"/>
          <w:lang w:eastAsia="zh-CN"/>
        </w:rPr>
      </w:pPr>
      <w:r>
        <w:rPr>
          <w:rFonts w:hint="eastAsia" w:ascii="宋体" w:hAnsi="宋体" w:eastAsia="宋体" w:cs="宋体"/>
          <w:sz w:val="24"/>
          <w:szCs w:val="24"/>
          <w:highlight w:val="none"/>
          <w:lang w:val="zh-CN" w:eastAsia="zh-CN"/>
        </w:rPr>
        <w:t>方案内容针对本项目且满足本项目实际需求的，每项得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eastAsia="zh-CN"/>
        </w:rPr>
        <w:t>分，满分</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lang w:val="zh-CN" w:eastAsia="zh-CN"/>
        </w:rPr>
        <w:t>分。每缺少一项内容，或内容非专门针对本项目，不得分</w:t>
      </w:r>
      <w:r>
        <w:rPr>
          <w:rFonts w:hint="eastAsia" w:ascii="宋体" w:hAnsi="宋体" w:eastAsia="宋体" w:cs="宋体"/>
          <w:sz w:val="24"/>
          <w:szCs w:val="24"/>
          <w:highlight w:val="none"/>
          <w:lang w:eastAsia="zh-CN"/>
        </w:rPr>
        <w:t>。</w:t>
      </w:r>
    </w:p>
    <w:p w14:paraId="500209DF">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b/>
          <w:bCs/>
          <w:sz w:val="24"/>
          <w:szCs w:val="24"/>
          <w:highlight w:val="none"/>
          <w:lang w:eastAsia="zh-CN"/>
        </w:rPr>
      </w:pPr>
      <w:r>
        <w:rPr>
          <w:rFonts w:hint="eastAsia" w:ascii="宋体" w:hAnsi="宋体" w:eastAsia="宋体"/>
          <w:b/>
          <w:bCs/>
          <w:sz w:val="24"/>
          <w:szCs w:val="24"/>
          <w:highlight w:val="none"/>
          <w:lang w:eastAsia="zh-CN"/>
        </w:rPr>
        <w:t>2、项目总体设计</w:t>
      </w:r>
      <w:r>
        <w:rPr>
          <w:rFonts w:hint="eastAsia" w:ascii="宋体" w:hAnsi="宋体" w:eastAsia="宋体"/>
          <w:b/>
          <w:bCs/>
          <w:sz w:val="24"/>
          <w:szCs w:val="24"/>
          <w:highlight w:val="none"/>
          <w:lang w:val="en-US" w:eastAsia="zh-CN"/>
        </w:rPr>
        <w:t>方案</w:t>
      </w:r>
      <w:r>
        <w:rPr>
          <w:rFonts w:hint="eastAsia" w:ascii="宋体" w:hAnsi="宋体" w:eastAsia="宋体"/>
          <w:b/>
          <w:bCs/>
          <w:sz w:val="24"/>
          <w:szCs w:val="24"/>
          <w:highlight w:val="none"/>
          <w:lang w:eastAsia="zh-CN"/>
        </w:rPr>
        <w:t>（8分）</w:t>
      </w:r>
    </w:p>
    <w:p w14:paraId="188F1242">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根据投标人针对本项目的项目总体设计</w:t>
      </w:r>
      <w:r>
        <w:rPr>
          <w:rFonts w:hint="eastAsia" w:ascii="宋体" w:hAnsi="宋体" w:eastAsia="宋体"/>
          <w:sz w:val="24"/>
          <w:szCs w:val="24"/>
          <w:highlight w:val="none"/>
          <w:lang w:val="en-US" w:eastAsia="zh-CN"/>
        </w:rPr>
        <w:t>方案</w:t>
      </w:r>
      <w:r>
        <w:rPr>
          <w:rFonts w:hint="eastAsia" w:ascii="宋体" w:hAnsi="宋体" w:eastAsia="宋体"/>
          <w:sz w:val="24"/>
          <w:szCs w:val="24"/>
          <w:highlight w:val="none"/>
          <w:lang w:eastAsia="zh-CN"/>
        </w:rPr>
        <w:t>进行评分，方案内容至少包括①系统整体设计方案、②网络架构部署方案</w:t>
      </w:r>
      <w:r>
        <w:rPr>
          <w:rFonts w:hint="eastAsia" w:ascii="宋体" w:hAnsi="宋体" w:eastAsia="宋体" w:cs="宋体"/>
          <w:sz w:val="24"/>
          <w:highlight w:val="none"/>
        </w:rPr>
        <w:t>；不提供方案不得分</w:t>
      </w:r>
      <w:r>
        <w:rPr>
          <w:rFonts w:hint="eastAsia" w:ascii="宋体" w:hAnsi="宋体" w:eastAsia="宋体"/>
          <w:sz w:val="24"/>
          <w:szCs w:val="24"/>
          <w:highlight w:val="none"/>
          <w:lang w:eastAsia="zh-CN"/>
        </w:rPr>
        <w:t>。</w:t>
      </w:r>
    </w:p>
    <w:p w14:paraId="5B20B86D">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sz w:val="24"/>
          <w:szCs w:val="24"/>
          <w:highlight w:val="none"/>
          <w:lang w:eastAsia="zh-CN"/>
        </w:rPr>
      </w:pPr>
      <w:r>
        <w:rPr>
          <w:rFonts w:hint="eastAsia" w:ascii="宋体" w:hAnsi="宋体" w:eastAsia="宋体" w:cs="宋体"/>
          <w:sz w:val="24"/>
          <w:szCs w:val="24"/>
          <w:highlight w:val="none"/>
          <w:lang w:val="zh-CN" w:eastAsia="zh-CN"/>
        </w:rPr>
        <w:t>方案内容针对本项目且满足本项目实际需求的，每项得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eastAsia="zh-CN"/>
        </w:rPr>
        <w:t>分，满分</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val="zh-CN" w:eastAsia="zh-CN"/>
        </w:rPr>
        <w:t>分。每缺少一项内容，或内容非专门针对本项目，不得分</w:t>
      </w:r>
      <w:r>
        <w:rPr>
          <w:rFonts w:hint="eastAsia" w:ascii="宋体" w:hAnsi="宋体" w:eastAsia="宋体" w:cs="宋体"/>
          <w:sz w:val="24"/>
          <w:szCs w:val="24"/>
          <w:highlight w:val="none"/>
          <w:lang w:eastAsia="zh-CN"/>
        </w:rPr>
        <w:t>。</w:t>
      </w:r>
    </w:p>
    <w:p w14:paraId="6B9BFA6E">
      <w:pPr>
        <w:pStyle w:val="43"/>
        <w:keepNext w:val="0"/>
        <w:keepLines w:val="0"/>
        <w:pageBreakBefore w:val="0"/>
        <w:widowControl/>
        <w:kinsoku/>
        <w:wordWrap/>
        <w:overflowPunct/>
        <w:topLinePunct w:val="0"/>
        <w:autoSpaceDE/>
        <w:autoSpaceDN/>
        <w:bidi w:val="0"/>
        <w:adjustRightInd/>
        <w:snapToGrid/>
        <w:spacing w:after="0" w:line="480" w:lineRule="exact"/>
        <w:ind w:right="0" w:firstLine="482" w:firstLineChars="200"/>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3、质量保障方案（12分）</w:t>
      </w:r>
    </w:p>
    <w:p w14:paraId="01CBBB7F">
      <w:pPr>
        <w:pStyle w:val="43"/>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cs="宋体"/>
          <w:sz w:val="24"/>
          <w:highlight w:val="none"/>
        </w:rPr>
      </w:pPr>
      <w:r>
        <w:rPr>
          <w:rStyle w:val="237"/>
          <w:rFonts w:hint="eastAsia" w:ascii="宋体" w:hAnsi="宋体" w:cs="宋体"/>
          <w:sz w:val="24"/>
          <w:highlight w:val="none"/>
        </w:rPr>
        <w:t>根据投标人针对本项目</w:t>
      </w:r>
      <w:r>
        <w:rPr>
          <w:rStyle w:val="237"/>
          <w:rFonts w:hint="eastAsia" w:ascii="宋体" w:hAnsi="宋体" w:cs="宋体"/>
          <w:sz w:val="24"/>
          <w:highlight w:val="none"/>
          <w:lang w:val="en-US"/>
        </w:rPr>
        <w:t>质量保障方案</w:t>
      </w:r>
      <w:r>
        <w:rPr>
          <w:rStyle w:val="237"/>
          <w:rFonts w:hint="eastAsia" w:ascii="宋体" w:hAnsi="宋体" w:cs="宋体"/>
          <w:sz w:val="24"/>
          <w:highlight w:val="none"/>
        </w:rPr>
        <w:t>内容进行评分，</w:t>
      </w:r>
      <w:r>
        <w:rPr>
          <w:rFonts w:hint="eastAsia" w:ascii="宋体" w:hAnsi="宋体" w:eastAsia="宋体" w:cs="宋体"/>
          <w:sz w:val="24"/>
          <w:highlight w:val="none"/>
        </w:rPr>
        <w:t>方案内容至少包括</w:t>
      </w:r>
      <w:r>
        <w:rPr>
          <w:rFonts w:hint="eastAsia" w:ascii="宋体" w:hAnsi="宋体" w:eastAsia="宋体" w:cs="宋体"/>
          <w:sz w:val="24"/>
          <w:highlight w:val="none"/>
          <w:lang w:val="en-US" w:eastAsia="zh-CN"/>
        </w:rPr>
        <w:t>①</w:t>
      </w:r>
      <w:r>
        <w:rPr>
          <w:rFonts w:hint="eastAsia" w:ascii="宋体" w:hAnsi="宋体" w:eastAsia="宋体" w:cs="宋体"/>
          <w:sz w:val="24"/>
          <w:highlight w:val="none"/>
        </w:rPr>
        <w:t>质量控制计划</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②</w:t>
      </w:r>
      <w:r>
        <w:rPr>
          <w:rFonts w:hint="eastAsia" w:ascii="宋体" w:hAnsi="宋体" w:eastAsia="宋体" w:cs="宋体"/>
          <w:sz w:val="24"/>
          <w:highlight w:val="none"/>
        </w:rPr>
        <w:t>质量保障措施</w:t>
      </w:r>
      <w:r>
        <w:rPr>
          <w:rFonts w:hint="eastAsia" w:ascii="宋体" w:hAnsi="宋体" w:eastAsia="宋体" w:cs="宋体"/>
          <w:sz w:val="24"/>
          <w:highlight w:val="none"/>
          <w:lang w:eastAsia="zh-CN"/>
        </w:rPr>
        <w:t>；</w:t>
      </w:r>
      <w:r>
        <w:rPr>
          <w:rFonts w:hint="eastAsia" w:ascii="宋体" w:hAnsi="宋体" w:eastAsia="宋体" w:cs="宋体"/>
          <w:sz w:val="24"/>
          <w:highlight w:val="none"/>
        </w:rPr>
        <w:t>③项目全流程综合管控措施。</w:t>
      </w:r>
    </w:p>
    <w:p w14:paraId="79B35976">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方案内容针对本项目且满足本项目实际需求的，每项得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eastAsia="zh-CN"/>
        </w:rPr>
        <w:t>分，满分</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lang w:val="zh-CN" w:eastAsia="zh-CN"/>
        </w:rPr>
        <w:t>分。每缺少一项内容，或内容非专门针对本项目，不得分</w:t>
      </w:r>
      <w:r>
        <w:rPr>
          <w:rFonts w:hint="eastAsia" w:ascii="宋体" w:hAnsi="宋体" w:eastAsia="宋体" w:cs="宋体"/>
          <w:sz w:val="24"/>
          <w:szCs w:val="24"/>
          <w:highlight w:val="none"/>
          <w:lang w:eastAsia="zh-CN"/>
        </w:rPr>
        <w:t>。</w:t>
      </w:r>
    </w:p>
    <w:p w14:paraId="5D8629CC">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b/>
          <w:bCs/>
          <w:sz w:val="24"/>
          <w:szCs w:val="24"/>
          <w:highlight w:val="none"/>
          <w:lang w:val="en-US" w:eastAsia="en-US"/>
        </w:rPr>
      </w:pPr>
      <w:r>
        <w:rPr>
          <w:rFonts w:hint="eastAsia" w:ascii="宋体" w:hAnsi="宋体" w:eastAsia="宋体"/>
          <w:b/>
          <w:bCs/>
          <w:sz w:val="24"/>
          <w:szCs w:val="24"/>
          <w:highlight w:val="none"/>
          <w:lang w:val="en-US" w:eastAsia="en-US"/>
        </w:rPr>
        <w:t>4、应急</w:t>
      </w:r>
      <w:r>
        <w:rPr>
          <w:rFonts w:hint="eastAsia" w:ascii="宋体" w:hAnsi="宋体" w:eastAsia="宋体"/>
          <w:b/>
          <w:bCs/>
          <w:sz w:val="24"/>
          <w:szCs w:val="24"/>
          <w:highlight w:val="none"/>
          <w:lang w:val="en-US" w:eastAsia="zh-CN"/>
        </w:rPr>
        <w:t>管理</w:t>
      </w:r>
      <w:r>
        <w:rPr>
          <w:rFonts w:hint="eastAsia" w:ascii="宋体" w:hAnsi="宋体" w:eastAsia="宋体"/>
          <w:b/>
          <w:bCs/>
          <w:sz w:val="24"/>
          <w:szCs w:val="24"/>
          <w:highlight w:val="none"/>
          <w:lang w:val="en-US" w:eastAsia="en-US"/>
        </w:rPr>
        <w:t>方案</w:t>
      </w:r>
      <w:r>
        <w:rPr>
          <w:rFonts w:hint="eastAsia" w:ascii="宋体" w:hAnsi="宋体" w:eastAsia="宋体"/>
          <w:b/>
          <w:bCs/>
          <w:sz w:val="24"/>
          <w:szCs w:val="24"/>
          <w:highlight w:val="none"/>
          <w:lang w:val="en-US" w:eastAsia="zh-CN"/>
        </w:rPr>
        <w:t>（12分）</w:t>
      </w:r>
    </w:p>
    <w:p w14:paraId="54AE0DF1">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sz w:val="24"/>
          <w:szCs w:val="24"/>
          <w:highlight w:val="none"/>
          <w:lang w:val="en-US" w:eastAsia="en-US"/>
        </w:rPr>
      </w:pPr>
      <w:r>
        <w:rPr>
          <w:rFonts w:hint="eastAsia" w:ascii="宋体" w:hAnsi="宋体" w:eastAsia="宋体"/>
          <w:sz w:val="24"/>
          <w:szCs w:val="24"/>
          <w:highlight w:val="none"/>
          <w:lang w:val="en-US" w:eastAsia="en-US"/>
        </w:rPr>
        <w:t>根据投标人针对本项目的应急</w:t>
      </w:r>
      <w:r>
        <w:rPr>
          <w:rFonts w:hint="eastAsia" w:ascii="宋体" w:hAnsi="宋体" w:eastAsia="宋体"/>
          <w:sz w:val="24"/>
          <w:szCs w:val="24"/>
          <w:highlight w:val="none"/>
          <w:lang w:val="en-US" w:eastAsia="zh-CN"/>
        </w:rPr>
        <w:t>管理</w:t>
      </w:r>
      <w:r>
        <w:rPr>
          <w:rFonts w:hint="eastAsia" w:ascii="宋体" w:hAnsi="宋体" w:eastAsia="宋体"/>
          <w:sz w:val="24"/>
          <w:szCs w:val="24"/>
          <w:highlight w:val="none"/>
          <w:lang w:val="en-US" w:eastAsia="en-US"/>
        </w:rPr>
        <w:t>方案进行评分，方案内容至少包括：①应急组织架构、②应急响应流程、③</w:t>
      </w:r>
      <w:r>
        <w:rPr>
          <w:rFonts w:hint="eastAsia" w:ascii="宋体" w:hAnsi="宋体" w:eastAsia="宋体"/>
          <w:sz w:val="24"/>
          <w:szCs w:val="24"/>
          <w:highlight w:val="none"/>
          <w:lang w:val="en-US" w:eastAsia="zh-CN"/>
        </w:rPr>
        <w:t>综合调度服务方案</w:t>
      </w:r>
      <w:r>
        <w:rPr>
          <w:rFonts w:hint="eastAsia" w:ascii="宋体" w:hAnsi="宋体" w:eastAsia="宋体"/>
          <w:sz w:val="24"/>
          <w:szCs w:val="24"/>
          <w:highlight w:val="none"/>
          <w:lang w:val="en-US" w:eastAsia="en-US"/>
        </w:rPr>
        <w:t>等。</w:t>
      </w:r>
    </w:p>
    <w:p w14:paraId="5DECDD80">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方案内容针对本项目且满足本项目实际需求的，每项得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eastAsia="zh-CN"/>
        </w:rPr>
        <w:t>分，满分</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lang w:val="zh-CN" w:eastAsia="zh-CN"/>
        </w:rPr>
        <w:t>分。每缺少一项内容，或内容非专门针对本项目，不得分</w:t>
      </w:r>
      <w:r>
        <w:rPr>
          <w:rFonts w:hint="eastAsia" w:ascii="宋体" w:hAnsi="宋体" w:eastAsia="宋体" w:cs="宋体"/>
          <w:sz w:val="24"/>
          <w:szCs w:val="24"/>
          <w:highlight w:val="none"/>
          <w:lang w:eastAsia="zh-CN"/>
        </w:rPr>
        <w:t>。</w:t>
      </w:r>
    </w:p>
    <w:p w14:paraId="086A1831">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b/>
          <w:bCs/>
          <w:sz w:val="24"/>
          <w:szCs w:val="24"/>
          <w:highlight w:val="none"/>
          <w:lang w:val="en-US" w:eastAsia="en-US"/>
        </w:rPr>
      </w:pPr>
      <w:r>
        <w:rPr>
          <w:rFonts w:hint="eastAsia" w:ascii="宋体" w:hAnsi="宋体" w:eastAsia="宋体"/>
          <w:b/>
          <w:bCs/>
          <w:sz w:val="24"/>
          <w:szCs w:val="24"/>
          <w:highlight w:val="none"/>
          <w:lang w:val="en-US" w:eastAsia="zh-CN"/>
        </w:rPr>
        <w:t>5</w:t>
      </w:r>
      <w:r>
        <w:rPr>
          <w:rFonts w:hint="eastAsia" w:ascii="宋体" w:hAnsi="宋体" w:eastAsia="宋体"/>
          <w:b/>
          <w:bCs/>
          <w:sz w:val="24"/>
          <w:szCs w:val="24"/>
          <w:highlight w:val="none"/>
          <w:lang w:val="en-US" w:eastAsia="en-US"/>
        </w:rPr>
        <w:t>、</w:t>
      </w:r>
      <w:r>
        <w:rPr>
          <w:rFonts w:hint="eastAsia" w:ascii="宋体" w:hAnsi="宋体" w:eastAsia="宋体"/>
          <w:b/>
          <w:bCs/>
          <w:sz w:val="24"/>
          <w:szCs w:val="24"/>
          <w:highlight w:val="none"/>
          <w:lang w:val="en-US" w:eastAsia="zh-CN"/>
        </w:rPr>
        <w:t>售后服务</w:t>
      </w:r>
      <w:r>
        <w:rPr>
          <w:rFonts w:hint="eastAsia" w:ascii="宋体" w:hAnsi="宋体" w:eastAsia="宋体"/>
          <w:b/>
          <w:bCs/>
          <w:sz w:val="24"/>
          <w:szCs w:val="24"/>
          <w:highlight w:val="none"/>
          <w:lang w:val="en-US" w:eastAsia="en-US"/>
        </w:rPr>
        <w:t>方案</w:t>
      </w:r>
      <w:r>
        <w:rPr>
          <w:rFonts w:hint="eastAsia" w:ascii="宋体" w:hAnsi="宋体" w:eastAsia="宋体"/>
          <w:b/>
          <w:bCs/>
          <w:sz w:val="24"/>
          <w:szCs w:val="24"/>
          <w:highlight w:val="none"/>
          <w:lang w:val="en-US" w:eastAsia="zh-CN"/>
        </w:rPr>
        <w:t>（12分）</w:t>
      </w:r>
    </w:p>
    <w:p w14:paraId="4F59D5AD">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en-US"/>
        </w:rPr>
        <w:t>根据投标人针对本项目的</w:t>
      </w:r>
      <w:r>
        <w:rPr>
          <w:rFonts w:hint="eastAsia" w:ascii="宋体" w:hAnsi="宋体" w:eastAsia="宋体"/>
          <w:sz w:val="24"/>
          <w:szCs w:val="24"/>
          <w:highlight w:val="none"/>
          <w:lang w:val="en-US" w:eastAsia="zh-CN"/>
        </w:rPr>
        <w:t>售后服务</w:t>
      </w:r>
      <w:r>
        <w:rPr>
          <w:rFonts w:hint="eastAsia" w:ascii="宋体" w:hAnsi="宋体" w:eastAsia="宋体"/>
          <w:sz w:val="24"/>
          <w:szCs w:val="24"/>
          <w:highlight w:val="none"/>
          <w:lang w:val="en-US" w:eastAsia="en-US"/>
        </w:rPr>
        <w:t>方案进行评分，方案内容至少包括：①本地化售后服务机构、②</w:t>
      </w:r>
      <w:r>
        <w:rPr>
          <w:rFonts w:hint="eastAsia" w:ascii="宋体" w:hAnsi="宋体" w:eastAsia="宋体"/>
          <w:sz w:val="24"/>
          <w:szCs w:val="24"/>
          <w:highlight w:val="none"/>
          <w:lang w:val="en-US" w:eastAsia="zh-CN"/>
        </w:rPr>
        <w:t>售后服务流程</w:t>
      </w:r>
      <w:r>
        <w:rPr>
          <w:rFonts w:hint="eastAsia" w:ascii="宋体" w:hAnsi="宋体" w:eastAsia="宋体"/>
          <w:sz w:val="24"/>
          <w:szCs w:val="24"/>
          <w:highlight w:val="none"/>
          <w:lang w:val="en-US" w:eastAsia="en-US"/>
        </w:rPr>
        <w:t>、③培训方案等</w:t>
      </w:r>
      <w:r>
        <w:rPr>
          <w:rFonts w:hint="eastAsia" w:ascii="宋体" w:hAnsi="宋体" w:eastAsia="宋体"/>
          <w:sz w:val="24"/>
          <w:szCs w:val="24"/>
          <w:highlight w:val="none"/>
          <w:lang w:val="en-US" w:eastAsia="zh-CN"/>
        </w:rPr>
        <w:t>。</w:t>
      </w:r>
    </w:p>
    <w:p w14:paraId="63CB5880">
      <w:pPr>
        <w:pStyle w:val="201"/>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Fonts w:hint="eastAsia" w:ascii="宋体" w:hAnsi="宋体" w:cs="宋体" w:eastAsiaTheme="minorEastAsia"/>
          <w:b/>
          <w:bCs/>
          <w:kern w:val="0"/>
          <w:sz w:val="24"/>
          <w:szCs w:val="24"/>
          <w:highlight w:val="none"/>
          <w:lang w:eastAsia="zh-CN"/>
        </w:rPr>
      </w:pPr>
      <w:r>
        <w:rPr>
          <w:rFonts w:hint="eastAsia" w:ascii="宋体" w:hAnsi="宋体" w:eastAsia="宋体" w:cs="宋体"/>
          <w:sz w:val="24"/>
          <w:szCs w:val="24"/>
          <w:highlight w:val="none"/>
          <w:lang w:val="zh-CN" w:eastAsia="zh-CN"/>
        </w:rPr>
        <w:t>方案内容针对本项目且满足本项目实际需求的，每项得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eastAsia="zh-CN"/>
        </w:rPr>
        <w:t>分，满分</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lang w:val="zh-CN" w:eastAsia="zh-CN"/>
        </w:rPr>
        <w:t>分。每缺少一项内容，或内容非专门针对本项目，不得分</w:t>
      </w:r>
      <w:r>
        <w:rPr>
          <w:rFonts w:hint="eastAsia" w:ascii="宋体" w:hAnsi="宋体" w:eastAsia="宋体" w:cs="宋体"/>
          <w:sz w:val="24"/>
          <w:szCs w:val="24"/>
          <w:highlight w:val="none"/>
          <w:lang w:eastAsia="zh-CN"/>
        </w:rPr>
        <w:t>。</w:t>
      </w:r>
    </w:p>
    <w:p w14:paraId="116C7550">
      <w:pPr>
        <w:pStyle w:val="201"/>
        <w:keepNext w:val="0"/>
        <w:keepLines w:val="0"/>
        <w:pageBreakBefore w:val="0"/>
        <w:widowControl/>
        <w:kinsoku/>
        <w:wordWrap/>
        <w:overflowPunct/>
        <w:topLinePunct w:val="0"/>
        <w:autoSpaceDE/>
        <w:autoSpaceDN/>
        <w:bidi w:val="0"/>
        <w:adjustRightInd/>
        <w:snapToGrid/>
        <w:spacing w:after="0" w:line="480" w:lineRule="exact"/>
        <w:ind w:right="0"/>
        <w:textAlignment w:val="auto"/>
        <w:rPr>
          <w:rFonts w:hint="eastAsia" w:ascii="宋体" w:hAnsi="宋体" w:eastAsia="宋体"/>
          <w:b/>
          <w:bCs/>
          <w:sz w:val="24"/>
          <w:szCs w:val="24"/>
          <w:highlight w:val="none"/>
          <w:lang w:eastAsia="zh-CN"/>
        </w:rPr>
      </w:pPr>
      <w:r>
        <w:rPr>
          <w:rFonts w:hint="eastAsia" w:ascii="宋体" w:hAnsi="宋体" w:eastAsia="宋体"/>
          <w:b/>
          <w:bCs/>
          <w:sz w:val="24"/>
          <w:szCs w:val="24"/>
          <w:highlight w:val="none"/>
          <w:lang w:val="en-US" w:eastAsia="zh-CN"/>
        </w:rPr>
        <w:t>三、项目团队及类似业绩：</w:t>
      </w:r>
      <w:r>
        <w:rPr>
          <w:rFonts w:hint="eastAsia" w:ascii="宋体" w:hAnsi="宋体" w:cs="宋体"/>
          <w:b/>
          <w:bCs/>
          <w:kern w:val="0"/>
          <w:sz w:val="24"/>
          <w:szCs w:val="24"/>
          <w:highlight w:val="none"/>
          <w:lang w:eastAsia="zh-CN"/>
        </w:rPr>
        <w:t>（</w:t>
      </w:r>
      <w:r>
        <w:rPr>
          <w:rFonts w:hint="eastAsia" w:ascii="宋体" w:hAnsi="宋体" w:cs="宋体"/>
          <w:b/>
          <w:bCs/>
          <w:kern w:val="0"/>
          <w:sz w:val="24"/>
          <w:szCs w:val="24"/>
          <w:highlight w:val="none"/>
          <w:lang w:val="en-US" w:eastAsia="zh-CN"/>
        </w:rPr>
        <w:t>24</w:t>
      </w:r>
      <w:r>
        <w:rPr>
          <w:rFonts w:hint="eastAsia" w:ascii="宋体" w:hAnsi="宋体" w:cs="宋体"/>
          <w:b/>
          <w:bCs/>
          <w:kern w:val="0"/>
          <w:sz w:val="24"/>
          <w:szCs w:val="24"/>
          <w:highlight w:val="none"/>
          <w:lang w:eastAsia="zh-CN"/>
        </w:rPr>
        <w:t>分）</w:t>
      </w:r>
    </w:p>
    <w:p w14:paraId="2B85A2DB">
      <w:pPr>
        <w:pStyle w:val="43"/>
        <w:keepNext w:val="0"/>
        <w:keepLines w:val="0"/>
        <w:pageBreakBefore w:val="0"/>
        <w:widowControl/>
        <w:kinsoku/>
        <w:wordWrap/>
        <w:overflowPunct/>
        <w:topLinePunct w:val="0"/>
        <w:autoSpaceDE/>
        <w:autoSpaceDN/>
        <w:bidi w:val="0"/>
        <w:adjustRightInd/>
        <w:snapToGrid/>
        <w:spacing w:after="0" w:line="480" w:lineRule="exact"/>
        <w:ind w:right="0" w:firstLine="482" w:firstLineChars="200"/>
        <w:textAlignment w:val="auto"/>
        <w:rPr>
          <w:rStyle w:val="237"/>
          <w:rFonts w:ascii="宋体" w:hAnsi="宋体" w:cs="宋体"/>
          <w:b/>
          <w:bCs/>
          <w:sz w:val="24"/>
          <w:highlight w:val="none"/>
        </w:rPr>
      </w:pPr>
      <w:r>
        <w:rPr>
          <w:rStyle w:val="237"/>
          <w:rFonts w:hint="eastAsia" w:ascii="宋体" w:hAnsi="宋体" w:cs="宋体"/>
          <w:b/>
          <w:bCs/>
          <w:sz w:val="24"/>
          <w:highlight w:val="none"/>
        </w:rPr>
        <w:t>1、项目</w:t>
      </w:r>
      <w:r>
        <w:rPr>
          <w:rStyle w:val="237"/>
          <w:rFonts w:hint="eastAsia" w:ascii="宋体" w:hAnsi="宋体" w:cs="宋体"/>
          <w:b/>
          <w:bCs/>
          <w:sz w:val="24"/>
          <w:highlight w:val="none"/>
          <w:lang w:val="en-US"/>
        </w:rPr>
        <w:t>负责人</w:t>
      </w:r>
      <w:r>
        <w:rPr>
          <w:rFonts w:hint="eastAsia" w:ascii="宋体" w:hAnsi="宋体" w:eastAsia="宋体" w:cs="宋体"/>
          <w:b/>
          <w:bCs/>
          <w:sz w:val="24"/>
          <w:highlight w:val="none"/>
        </w:rPr>
        <w:t>（</w:t>
      </w:r>
      <w:r>
        <w:rPr>
          <w:rFonts w:hint="eastAsia" w:ascii="宋体" w:hAnsi="宋体" w:eastAsia="宋体" w:cs="宋体"/>
          <w:b/>
          <w:bCs/>
          <w:sz w:val="24"/>
          <w:highlight w:val="none"/>
          <w:lang w:val="en-US" w:eastAsia="zh-CN"/>
        </w:rPr>
        <w:t>8</w:t>
      </w:r>
      <w:r>
        <w:rPr>
          <w:rFonts w:hint="eastAsia" w:ascii="宋体" w:hAnsi="宋体" w:eastAsia="宋体" w:cs="宋体"/>
          <w:b/>
          <w:bCs/>
          <w:sz w:val="24"/>
          <w:highlight w:val="none"/>
        </w:rPr>
        <w:t>分）</w:t>
      </w:r>
    </w:p>
    <w:p w14:paraId="51A06517">
      <w:pPr>
        <w:keepNext w:val="0"/>
        <w:keepLines w:val="0"/>
        <w:pageBreakBefore w:val="0"/>
        <w:widowControl/>
        <w:kinsoku/>
        <w:wordWrap/>
        <w:overflowPunct/>
        <w:topLinePunct w:val="0"/>
        <w:autoSpaceDE/>
        <w:autoSpaceDN/>
        <w:bidi w:val="0"/>
        <w:adjustRightInd/>
        <w:snapToGrid/>
        <w:spacing w:after="0" w:line="480" w:lineRule="exact"/>
        <w:ind w:right="0" w:firstLine="480"/>
        <w:textAlignment w:val="auto"/>
        <w:rPr>
          <w:rStyle w:val="237"/>
          <w:rFonts w:hint="eastAsia" w:ascii="宋体" w:hAnsi="宋体" w:cs="宋体"/>
          <w:sz w:val="24"/>
          <w:highlight w:val="none"/>
          <w:lang w:val="zh-CN"/>
        </w:rPr>
      </w:pPr>
      <w:r>
        <w:rPr>
          <w:rStyle w:val="237"/>
          <w:rFonts w:hint="eastAsia" w:ascii="宋体" w:hAnsi="宋体" w:cs="宋体"/>
          <w:sz w:val="24"/>
          <w:highlight w:val="none"/>
          <w:lang w:val="zh-CN" w:eastAsia="zh-CN"/>
        </w:rPr>
        <w:t>投标人拟派往该项目的项目负责人具有网络工程师（人事厅）、通信专业技术人员职业资格（人力资源和社会保障厅），每有一证得4分，仅限一人，最多得8分。须提供人员证书复印件加盖公章。</w:t>
      </w:r>
    </w:p>
    <w:p w14:paraId="49AA4617">
      <w:pPr>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Style w:val="237"/>
          <w:rFonts w:hint="eastAsia" w:ascii="宋体" w:hAnsi="宋体" w:cs="宋体"/>
          <w:sz w:val="24"/>
          <w:highlight w:val="none"/>
          <w:lang w:val="zh-CN"/>
        </w:rPr>
      </w:pPr>
    </w:p>
    <w:p w14:paraId="68EC692F">
      <w:pPr>
        <w:pStyle w:val="43"/>
        <w:keepNext w:val="0"/>
        <w:keepLines w:val="0"/>
        <w:pageBreakBefore w:val="0"/>
        <w:widowControl/>
        <w:kinsoku/>
        <w:wordWrap/>
        <w:overflowPunct/>
        <w:topLinePunct w:val="0"/>
        <w:autoSpaceDE/>
        <w:autoSpaceDN/>
        <w:bidi w:val="0"/>
        <w:adjustRightInd/>
        <w:snapToGrid/>
        <w:spacing w:after="0" w:line="480" w:lineRule="exact"/>
        <w:ind w:right="0" w:firstLine="482" w:firstLineChars="200"/>
        <w:textAlignment w:val="auto"/>
        <w:rPr>
          <w:rStyle w:val="237"/>
          <w:rFonts w:ascii="宋体" w:hAnsi="宋体" w:cs="宋体"/>
          <w:b/>
          <w:bCs/>
          <w:sz w:val="24"/>
          <w:highlight w:val="none"/>
        </w:rPr>
      </w:pPr>
      <w:r>
        <w:rPr>
          <w:rStyle w:val="237"/>
          <w:rFonts w:hint="eastAsia" w:ascii="宋体" w:hAnsi="宋体" w:cs="宋体"/>
          <w:b/>
          <w:bCs/>
          <w:sz w:val="24"/>
          <w:highlight w:val="none"/>
          <w:lang w:val="zh-CN"/>
        </w:rPr>
        <w:t>2、</w:t>
      </w:r>
      <w:r>
        <w:rPr>
          <w:rStyle w:val="237"/>
          <w:rFonts w:hint="eastAsia" w:ascii="宋体" w:hAnsi="宋体" w:cs="宋体"/>
          <w:b/>
          <w:bCs/>
          <w:sz w:val="24"/>
          <w:highlight w:val="none"/>
        </w:rPr>
        <w:t>技术负责人</w:t>
      </w:r>
      <w:r>
        <w:rPr>
          <w:rFonts w:hint="eastAsia" w:ascii="宋体" w:hAnsi="宋体" w:eastAsia="宋体" w:cs="宋体"/>
          <w:b/>
          <w:bCs/>
          <w:sz w:val="24"/>
          <w:highlight w:val="none"/>
        </w:rPr>
        <w:t>（</w:t>
      </w:r>
      <w:r>
        <w:rPr>
          <w:rFonts w:hint="eastAsia" w:ascii="宋体" w:hAnsi="宋体" w:eastAsia="宋体" w:cs="宋体"/>
          <w:b/>
          <w:bCs/>
          <w:sz w:val="24"/>
          <w:highlight w:val="none"/>
          <w:lang w:val="en-US" w:eastAsia="zh-CN"/>
        </w:rPr>
        <w:t>8</w:t>
      </w:r>
      <w:r>
        <w:rPr>
          <w:rFonts w:hint="eastAsia" w:ascii="宋体" w:hAnsi="宋体" w:eastAsia="宋体" w:cs="宋体"/>
          <w:b/>
          <w:bCs/>
          <w:sz w:val="24"/>
          <w:highlight w:val="none"/>
        </w:rPr>
        <w:t>分）</w:t>
      </w:r>
    </w:p>
    <w:p w14:paraId="20555463">
      <w:pPr>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Style w:val="237"/>
          <w:rFonts w:hint="eastAsia" w:ascii="宋体" w:hAnsi="宋体" w:cs="宋体"/>
          <w:sz w:val="24"/>
          <w:highlight w:val="none"/>
          <w:lang w:val="zh-CN"/>
        </w:rPr>
      </w:pPr>
      <w:r>
        <w:rPr>
          <w:rStyle w:val="237"/>
          <w:rFonts w:hint="eastAsia" w:ascii="宋体" w:hAnsi="宋体" w:cs="宋体"/>
          <w:sz w:val="24"/>
          <w:highlight w:val="none"/>
          <w:lang w:val="zh-CN"/>
        </w:rPr>
        <w:t>投标人拟派往该项目的技术负责人具有信息系统项目管理师（人力资源和社会保障厅）、CISP注册信息安全专业人员（中国信息安全评测中心），每有一证得4分，仅限一人，最多得8分。</w:t>
      </w:r>
    </w:p>
    <w:p w14:paraId="5074413C">
      <w:pPr>
        <w:pStyle w:val="43"/>
        <w:keepNext w:val="0"/>
        <w:keepLines w:val="0"/>
        <w:pageBreakBefore w:val="0"/>
        <w:widowControl/>
        <w:kinsoku/>
        <w:wordWrap/>
        <w:overflowPunct/>
        <w:topLinePunct w:val="0"/>
        <w:autoSpaceDE/>
        <w:autoSpaceDN/>
        <w:bidi w:val="0"/>
        <w:adjustRightInd/>
        <w:snapToGrid/>
        <w:spacing w:after="0" w:line="480" w:lineRule="exact"/>
        <w:ind w:right="0" w:firstLine="482" w:firstLineChars="200"/>
        <w:textAlignment w:val="auto"/>
        <w:rPr>
          <w:rStyle w:val="237"/>
          <w:rFonts w:ascii="宋体" w:hAnsi="宋体" w:cs="宋体"/>
          <w:b/>
          <w:bCs/>
          <w:sz w:val="24"/>
          <w:highlight w:val="none"/>
        </w:rPr>
      </w:pPr>
      <w:r>
        <w:rPr>
          <w:rStyle w:val="237"/>
          <w:rFonts w:hint="eastAsia" w:ascii="宋体" w:hAnsi="宋体" w:cs="宋体"/>
          <w:b/>
          <w:bCs/>
          <w:sz w:val="24"/>
          <w:highlight w:val="none"/>
          <w:lang w:val="zh-CN"/>
        </w:rPr>
        <w:t>3、</w:t>
      </w:r>
      <w:r>
        <w:rPr>
          <w:rStyle w:val="237"/>
          <w:rFonts w:hint="eastAsia" w:ascii="宋体" w:hAnsi="宋体" w:cs="宋体"/>
          <w:b/>
          <w:bCs/>
          <w:sz w:val="24"/>
          <w:highlight w:val="none"/>
        </w:rPr>
        <w:t>其他团队人员</w:t>
      </w:r>
      <w:r>
        <w:rPr>
          <w:rFonts w:hint="eastAsia" w:ascii="宋体" w:hAnsi="宋体" w:eastAsia="宋体" w:cs="宋体"/>
          <w:b/>
          <w:bCs/>
          <w:sz w:val="24"/>
          <w:highlight w:val="none"/>
        </w:rPr>
        <w:t>（</w:t>
      </w:r>
      <w:r>
        <w:rPr>
          <w:rFonts w:hint="eastAsia" w:ascii="宋体" w:hAnsi="宋体" w:eastAsia="宋体" w:cs="宋体"/>
          <w:b/>
          <w:bCs/>
          <w:sz w:val="24"/>
          <w:highlight w:val="none"/>
          <w:lang w:val="en-US" w:eastAsia="zh-CN"/>
        </w:rPr>
        <w:t>4</w:t>
      </w:r>
      <w:r>
        <w:rPr>
          <w:rFonts w:hint="eastAsia" w:ascii="宋体" w:hAnsi="宋体" w:eastAsia="宋体" w:cs="宋体"/>
          <w:b/>
          <w:bCs/>
          <w:sz w:val="24"/>
          <w:highlight w:val="none"/>
        </w:rPr>
        <w:t>分）</w:t>
      </w:r>
    </w:p>
    <w:p w14:paraId="117F7198">
      <w:pPr>
        <w:keepNext w:val="0"/>
        <w:keepLines w:val="0"/>
        <w:pageBreakBefore w:val="0"/>
        <w:widowControl/>
        <w:kinsoku/>
        <w:wordWrap/>
        <w:overflowPunct/>
        <w:topLinePunct w:val="0"/>
        <w:autoSpaceDE/>
        <w:autoSpaceDN/>
        <w:bidi w:val="0"/>
        <w:adjustRightInd/>
        <w:snapToGrid/>
        <w:spacing w:after="0" w:line="480" w:lineRule="exact"/>
        <w:ind w:right="0" w:firstLine="480" w:firstLineChars="200"/>
        <w:textAlignment w:val="auto"/>
        <w:rPr>
          <w:rStyle w:val="237"/>
          <w:rFonts w:hint="eastAsia" w:ascii="宋体" w:hAnsi="宋体" w:cs="宋体"/>
          <w:sz w:val="24"/>
          <w:highlight w:val="none"/>
          <w:lang w:val="zh-CN"/>
        </w:rPr>
      </w:pPr>
      <w:r>
        <w:rPr>
          <w:rStyle w:val="237"/>
          <w:rFonts w:hint="eastAsia" w:ascii="宋体" w:hAnsi="宋体" w:cs="宋体"/>
          <w:sz w:val="24"/>
          <w:highlight w:val="none"/>
          <w:lang w:val="zh-CN"/>
        </w:rPr>
        <w:t>投标人拟派往该项目的其他项目团队人员具有网络规划设计师（中华人民共和国工业和信息化部）、网络工程师（中华人民共和国工业和信息化部）每一种证书得</w:t>
      </w:r>
      <w:r>
        <w:rPr>
          <w:rStyle w:val="237"/>
          <w:rFonts w:hint="eastAsia" w:ascii="宋体" w:hAnsi="宋体" w:cs="宋体"/>
          <w:sz w:val="24"/>
          <w:highlight w:val="none"/>
          <w:lang w:val="en-US"/>
        </w:rPr>
        <w:t>2</w:t>
      </w:r>
      <w:r>
        <w:rPr>
          <w:rStyle w:val="237"/>
          <w:rFonts w:hint="eastAsia" w:ascii="宋体" w:hAnsi="宋体" w:cs="宋体"/>
          <w:sz w:val="24"/>
          <w:highlight w:val="none"/>
          <w:lang w:val="zh-CN"/>
        </w:rPr>
        <w:t>分，一人多证不重复得分，最多得</w:t>
      </w:r>
      <w:r>
        <w:rPr>
          <w:rStyle w:val="237"/>
          <w:rFonts w:hint="eastAsia" w:ascii="宋体" w:hAnsi="宋体" w:cs="宋体"/>
          <w:sz w:val="24"/>
          <w:highlight w:val="none"/>
          <w:lang w:val="en-US"/>
        </w:rPr>
        <w:t>4</w:t>
      </w:r>
      <w:r>
        <w:rPr>
          <w:rStyle w:val="237"/>
          <w:rFonts w:hint="eastAsia" w:ascii="宋体" w:hAnsi="宋体" w:cs="宋体"/>
          <w:sz w:val="24"/>
          <w:highlight w:val="none"/>
          <w:lang w:val="zh-CN"/>
        </w:rPr>
        <w:t>分。</w:t>
      </w:r>
    </w:p>
    <w:p w14:paraId="03E9E8AD">
      <w:pPr>
        <w:pStyle w:val="43"/>
        <w:keepNext w:val="0"/>
        <w:keepLines w:val="0"/>
        <w:pageBreakBefore w:val="0"/>
        <w:widowControl/>
        <w:kinsoku/>
        <w:wordWrap/>
        <w:overflowPunct/>
        <w:topLinePunct w:val="0"/>
        <w:autoSpaceDE/>
        <w:autoSpaceDN/>
        <w:bidi w:val="0"/>
        <w:adjustRightInd/>
        <w:snapToGrid/>
        <w:spacing w:after="0" w:line="480" w:lineRule="exact"/>
        <w:ind w:right="0" w:firstLine="482" w:firstLineChars="200"/>
        <w:textAlignment w:val="auto"/>
        <w:rPr>
          <w:rFonts w:ascii="宋体" w:hAnsi="宋体" w:eastAsia="宋体" w:cs="宋体"/>
          <w:sz w:val="24"/>
          <w:highlight w:val="none"/>
        </w:rPr>
      </w:pPr>
      <w:r>
        <w:rPr>
          <w:rFonts w:hint="eastAsia" w:ascii="宋体" w:hAnsi="宋体" w:eastAsia="宋体" w:cs="宋体"/>
          <w:b/>
          <w:bCs/>
          <w:sz w:val="24"/>
          <w:highlight w:val="none"/>
        </w:rPr>
        <w:t>4、类似业绩（</w:t>
      </w:r>
      <w:r>
        <w:rPr>
          <w:rFonts w:hint="eastAsia" w:ascii="宋体" w:hAnsi="宋体" w:eastAsia="宋体" w:cs="宋体"/>
          <w:b/>
          <w:bCs/>
          <w:sz w:val="24"/>
          <w:highlight w:val="none"/>
          <w:lang w:val="en-US" w:eastAsia="zh-CN"/>
        </w:rPr>
        <w:t>4</w:t>
      </w:r>
      <w:r>
        <w:rPr>
          <w:rFonts w:hint="eastAsia" w:ascii="宋体" w:hAnsi="宋体" w:eastAsia="宋体" w:cs="宋体"/>
          <w:b/>
          <w:bCs/>
          <w:sz w:val="24"/>
          <w:highlight w:val="none"/>
        </w:rPr>
        <w:t>分）</w:t>
      </w:r>
    </w:p>
    <w:p w14:paraId="0E26708B">
      <w:pPr>
        <w:keepNext w:val="0"/>
        <w:keepLines w:val="0"/>
        <w:pageBreakBefore w:val="0"/>
        <w:widowControl/>
        <w:kinsoku/>
        <w:wordWrap/>
        <w:overflowPunct/>
        <w:topLinePunct w:val="0"/>
        <w:autoSpaceDE/>
        <w:autoSpaceDN/>
        <w:bidi w:val="0"/>
        <w:adjustRightInd/>
        <w:snapToGrid/>
        <w:spacing w:after="0" w:line="480" w:lineRule="exact"/>
        <w:ind w:right="0" w:firstLine="419"/>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提供2023年1月1日起至今(以合同签订日期为准)类似项目业绩，每提供一个得2分，最高得4分。(投标文件中须提供完整的合同复印件并加盖投标人公章，提供不全或未提供不得分)</w:t>
      </w:r>
    </w:p>
    <w:p w14:paraId="130E90A4">
      <w:pPr>
        <w:pStyle w:val="201"/>
        <w:spacing w:line="500" w:lineRule="exact"/>
        <w:rPr>
          <w:rFonts w:hint="eastAsia" w:asciiTheme="minorEastAsia" w:hAnsiTheme="minorEastAsia" w:eastAsiaTheme="minorEastAsia"/>
          <w:bCs/>
          <w:sz w:val="24"/>
          <w:szCs w:val="24"/>
          <w:highlight w:val="none"/>
          <w:lang w:eastAsia="zh-CN"/>
        </w:rPr>
      </w:pPr>
    </w:p>
    <w:p w14:paraId="643E6C3B">
      <w:pPr>
        <w:pStyle w:val="201"/>
        <w:spacing w:line="500" w:lineRule="exact"/>
        <w:rPr>
          <w:rFonts w:hint="eastAsia" w:asciiTheme="minorEastAsia" w:hAnsiTheme="minorEastAsia" w:eastAsiaTheme="minorEastAsia"/>
          <w:bCs/>
          <w:sz w:val="24"/>
          <w:szCs w:val="24"/>
          <w:highlight w:val="none"/>
          <w:lang w:eastAsia="zh-CN"/>
        </w:rPr>
      </w:pPr>
    </w:p>
    <w:p w14:paraId="2623DB1D">
      <w:pPr>
        <w:pStyle w:val="201"/>
        <w:spacing w:line="500" w:lineRule="exact"/>
        <w:rPr>
          <w:rFonts w:hint="eastAsia" w:asciiTheme="minorEastAsia" w:hAnsiTheme="minorEastAsia" w:eastAsiaTheme="minorEastAsia"/>
          <w:sz w:val="24"/>
          <w:szCs w:val="24"/>
          <w:highlight w:val="none"/>
          <w:lang w:eastAsia="zh-CN"/>
        </w:rPr>
      </w:pPr>
    </w:p>
    <w:bookmarkEnd w:id="7"/>
    <w:bookmarkEnd w:id="8"/>
    <w:p w14:paraId="15C6D231">
      <w:pPr>
        <w:pStyle w:val="20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注： 1、报价超过采购预算的为无效投标。</w:t>
      </w:r>
    </w:p>
    <w:p w14:paraId="6E168338">
      <w:pPr>
        <w:pStyle w:val="20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2、针对评分标准中评分的每一条，投标人均应提供相关电子证明资料并作出相应说明供评委评判，不提供相关电子证明资料的视为不具备该项得分的条件。</w:t>
      </w:r>
    </w:p>
    <w:p w14:paraId="31622798">
      <w:pPr>
        <w:pStyle w:val="20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3、所有复印件字迹须复印清晰可见,复印不全或字迹不清晰的，视为未提供。</w:t>
      </w:r>
    </w:p>
    <w:p w14:paraId="44CB182A">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353085E0">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6D553FD6">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79E7668F">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70F108E1">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63438E31">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4B177BE6">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第六部分 合同格式</w:t>
      </w:r>
    </w:p>
    <w:p w14:paraId="6C18F14D">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lang w:eastAsia="zh-CN"/>
        </w:rPr>
        <w:t> </w:t>
      </w:r>
      <w:r>
        <w:rPr>
          <w:rFonts w:hint="eastAsia" w:ascii="宋体" w:hAnsi="宋体" w:eastAsia="宋体" w:cs="宋体"/>
          <w:sz w:val="24"/>
          <w:szCs w:val="24"/>
          <w:highlight w:val="none"/>
          <w:lang w:val="en-US" w:eastAsia="zh-CN"/>
        </w:rPr>
        <w:t>至瑞金北院组网</w:t>
      </w:r>
      <w:r>
        <w:rPr>
          <w:rFonts w:hint="eastAsia" w:ascii="宋体" w:hAnsi="宋体" w:eastAsia="宋体" w:cs="宋体"/>
          <w:sz w:val="24"/>
          <w:szCs w:val="24"/>
          <w:highlight w:val="none"/>
        </w:rPr>
        <w:t>服务采购合同（服务类）</w:t>
      </w:r>
    </w:p>
    <w:p w14:paraId="2205862B">
      <w:pPr>
        <w:keepNext w:val="0"/>
        <w:keepLines w:val="0"/>
        <w:pageBreakBefore w:val="0"/>
        <w:widowControl/>
        <w:kinsoku/>
        <w:wordWrap/>
        <w:overflowPunct/>
        <w:topLinePunct w:val="0"/>
        <w:autoSpaceDE/>
        <w:autoSpaceDN/>
        <w:bidi w:val="0"/>
        <w:adjustRightInd/>
        <w:snapToGrid/>
        <w:spacing w:after="0" w:line="480" w:lineRule="exact"/>
        <w:ind w:lef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51B77E4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甲方： </w:t>
      </w:r>
      <w:r>
        <w:rPr>
          <w:rFonts w:hint="eastAsia" w:ascii="宋体" w:hAnsi="宋体" w:eastAsia="宋体" w:cs="宋体"/>
          <w:sz w:val="24"/>
          <w:szCs w:val="24"/>
          <w:highlight w:val="none"/>
          <w:lang w:val="en-US" w:eastAsia="zh-CN"/>
        </w:rPr>
        <w:t>太仓市娄江新城医院（瑞金医院太仓分院）</w:t>
      </w:r>
    </w:p>
    <w:p w14:paraId="3B7B05D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 太仓市上海东路666号</w:t>
      </w:r>
    </w:p>
    <w:p w14:paraId="64739C3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邮政编码：</w:t>
      </w:r>
      <w:r>
        <w:rPr>
          <w:rFonts w:hint="eastAsia" w:ascii="宋体" w:hAnsi="宋体" w:eastAsia="宋体" w:cs="宋体"/>
          <w:sz w:val="24"/>
          <w:szCs w:val="24"/>
          <w:highlight w:val="none"/>
          <w:lang w:val="en-US" w:eastAsia="zh-CN"/>
        </w:rPr>
        <w:t>215400</w:t>
      </w:r>
    </w:p>
    <w:p w14:paraId="6788FB87">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u w:val="none"/>
          <w:lang w:val="en-US" w:eastAsia="zh-CN"/>
        </w:rPr>
        <w:t>0512-56561907</w:t>
      </w:r>
    </w:p>
    <w:p w14:paraId="6FE6E6E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传真：</w:t>
      </w:r>
    </w:p>
    <w:p w14:paraId="21F66D3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p w14:paraId="7EDB048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p>
    <w:p w14:paraId="3153707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w:t>
      </w:r>
      <w:permStart w:id="0" w:edGrp="everyone"/>
      <w:r>
        <w:rPr>
          <w:rFonts w:hint="eastAsia" w:ascii="宋体" w:hAnsi="宋体" w:eastAsia="宋体" w:cs="宋体"/>
          <w:sz w:val="24"/>
          <w:szCs w:val="24"/>
          <w:highlight w:val="none"/>
        </w:rPr>
        <w:t xml:space="preserve">  </w:t>
      </w:r>
      <w:permEnd w:id="0"/>
    </w:p>
    <w:p w14:paraId="5B968DE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permStart w:id="1" w:edGrp="everyone"/>
      <w:r>
        <w:rPr>
          <w:rFonts w:hint="eastAsia" w:ascii="宋体" w:hAnsi="宋体" w:eastAsia="宋体" w:cs="宋体"/>
          <w:sz w:val="24"/>
          <w:szCs w:val="24"/>
          <w:highlight w:val="none"/>
        </w:rPr>
        <w:t xml:space="preserve">  </w:t>
      </w:r>
      <w:permEnd w:id="1"/>
    </w:p>
    <w:p w14:paraId="2EFFDAC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ermStart w:id="2" w:edGrp="everyone"/>
      <w:r>
        <w:rPr>
          <w:rFonts w:hint="eastAsia" w:ascii="宋体" w:hAnsi="宋体" w:eastAsia="宋体" w:cs="宋体"/>
          <w:sz w:val="24"/>
          <w:szCs w:val="24"/>
          <w:highlight w:val="none"/>
        </w:rPr>
        <w:t xml:space="preserve">  </w:t>
      </w:r>
      <w:permEnd w:id="2"/>
    </w:p>
    <w:p w14:paraId="42ACC90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ermStart w:id="3" w:edGrp="everyone"/>
      <w:r>
        <w:rPr>
          <w:rFonts w:hint="eastAsia" w:ascii="宋体" w:hAnsi="宋体" w:eastAsia="宋体" w:cs="宋体"/>
          <w:sz w:val="24"/>
          <w:szCs w:val="24"/>
          <w:highlight w:val="none"/>
        </w:rPr>
        <w:t xml:space="preserve">  </w:t>
      </w:r>
      <w:permEnd w:id="3"/>
    </w:p>
    <w:p w14:paraId="7C49D37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传真：</w:t>
      </w:r>
      <w:permStart w:id="4" w:edGrp="everyone"/>
      <w:r>
        <w:rPr>
          <w:rFonts w:hint="eastAsia" w:ascii="宋体" w:hAnsi="宋体" w:eastAsia="宋体" w:cs="宋体"/>
          <w:sz w:val="24"/>
          <w:szCs w:val="24"/>
          <w:highlight w:val="none"/>
        </w:rPr>
        <w:t xml:space="preserve">  </w:t>
      </w:r>
      <w:permEnd w:id="4"/>
    </w:p>
    <w:p w14:paraId="6DFCD89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ermStart w:id="5" w:edGrp="everyone"/>
      <w:r>
        <w:rPr>
          <w:rFonts w:hint="eastAsia" w:ascii="宋体" w:hAnsi="宋体" w:eastAsia="宋体" w:cs="宋体"/>
          <w:sz w:val="24"/>
          <w:szCs w:val="24"/>
          <w:highlight w:val="none"/>
        </w:rPr>
        <w:t xml:space="preserve">  </w:t>
      </w:r>
      <w:permEnd w:id="5"/>
    </w:p>
    <w:p w14:paraId="656FB32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ermStart w:id="6" w:edGrp="everyone"/>
      <w:r>
        <w:rPr>
          <w:rFonts w:hint="eastAsia" w:ascii="宋体" w:hAnsi="宋体" w:eastAsia="宋体" w:cs="宋体"/>
          <w:sz w:val="24"/>
          <w:szCs w:val="24"/>
          <w:highlight w:val="none"/>
        </w:rPr>
        <w:t xml:space="preserve">  </w:t>
      </w:r>
      <w:permEnd w:id="6"/>
    </w:p>
    <w:p w14:paraId="044CACD1">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账号：</w:t>
      </w:r>
      <w:permStart w:id="7" w:edGrp="everyone"/>
      <w:r>
        <w:rPr>
          <w:rFonts w:hint="eastAsia" w:ascii="宋体" w:hAnsi="宋体" w:eastAsia="宋体" w:cs="宋体"/>
          <w:sz w:val="24"/>
          <w:szCs w:val="24"/>
          <w:highlight w:val="none"/>
        </w:rPr>
        <w:t xml:space="preserve">  </w:t>
      </w:r>
      <w:permEnd w:id="7"/>
    </w:p>
    <w:p w14:paraId="28C9C1F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p>
    <w:p w14:paraId="61F395E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根据《中华人民共和国民法典》等法律之规定，本合同当事人在平等、自愿的基础上，经协商一致，签订本合同：</w:t>
      </w:r>
    </w:p>
    <w:p w14:paraId="246EABC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1．本合同项下，乙方向甲方提供以下服务： </w:t>
      </w:r>
    </w:p>
    <w:p w14:paraId="53A9EFEC">
      <w:pPr>
        <w:keepNext w:val="0"/>
        <w:keepLines w:val="0"/>
        <w:pageBreakBefore w:val="0"/>
        <w:widowControl/>
        <w:kinsoku/>
        <w:wordWrap/>
        <w:overflowPunct/>
        <w:topLinePunct w:val="0"/>
        <w:autoSpaceDE/>
        <w:autoSpaceDN/>
        <w:bidi w:val="0"/>
        <w:adjustRightInd/>
        <w:snapToGrid/>
        <w:spacing w:after="0" w:line="480" w:lineRule="exact"/>
        <w:ind w:left="0" w:leftChars="0" w:firstLine="480" w:firstLineChars="200"/>
        <w:textAlignment w:val="auto"/>
        <w:rPr>
          <w:rFonts w:hint="eastAsia" w:ascii="宋体" w:hAnsi="宋体" w:eastAsia="宋体" w:cs="宋体"/>
          <w:sz w:val="24"/>
          <w:szCs w:val="24"/>
          <w:highlight w:val="none"/>
          <w:lang w:val="en-US" w:eastAsia="zh-CN"/>
        </w:rPr>
      </w:pPr>
      <w:permStart w:id="8" w:edGrp="everyone"/>
      <w:r>
        <w:rPr>
          <w:rFonts w:hint="eastAsia" w:ascii="宋体" w:hAnsi="宋体" w:eastAsia="宋体" w:cs="宋体"/>
          <w:sz w:val="24"/>
          <w:szCs w:val="24"/>
          <w:highlight w:val="none"/>
        </w:rPr>
        <w:t xml:space="preserve">1．1 </w:t>
      </w:r>
      <w:r>
        <w:rPr>
          <w:rFonts w:hint="eastAsia" w:ascii="宋体" w:hAnsi="宋体" w:eastAsia="宋体" w:cs="宋体"/>
          <w:sz w:val="24"/>
          <w:szCs w:val="24"/>
          <w:highlight w:val="none"/>
          <w:lang w:val="en-US" w:eastAsia="zh-CN"/>
        </w:rPr>
        <w:t>合同签订后30天内完成组网建设（包含两端设备安装）并试运行，试运行通过后组织项目阶段性验收，验收通过后经甲方确认具备服务条件后进入服务期</w:t>
      </w:r>
    </w:p>
    <w:permEnd w:id="8"/>
    <w:p w14:paraId="6FDF4E41">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乙方所提供的服务应符合国家有关规定。</w:t>
      </w:r>
    </w:p>
    <w:p w14:paraId="140086A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合同价款、交付地点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交付时间</w:t>
      </w:r>
      <w:r>
        <w:rPr>
          <w:rFonts w:hint="eastAsia" w:ascii="宋体" w:hAnsi="宋体" w:eastAsia="宋体" w:cs="宋体"/>
          <w:sz w:val="24"/>
          <w:szCs w:val="24"/>
          <w:highlight w:val="none"/>
        </w:rPr>
        <w:t>和执行日期</w:t>
      </w:r>
    </w:p>
    <w:p w14:paraId="55B34CE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2．1合同价款</w:t>
      </w:r>
    </w:p>
    <w:p w14:paraId="4ED4882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本合同项下服务的价款为</w:t>
      </w:r>
      <w:permStart w:id="9" w:edGrp="everyone"/>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permEnd w:id="9"/>
      <w:r>
        <w:rPr>
          <w:rFonts w:hint="eastAsia" w:ascii="宋体" w:hAnsi="宋体" w:eastAsia="宋体" w:cs="宋体"/>
          <w:sz w:val="24"/>
          <w:szCs w:val="24"/>
          <w:highlight w:val="none"/>
        </w:rPr>
        <w:t>元（大写：人民币</w:t>
      </w:r>
      <w:permStart w:id="10" w:edGrp="everyone"/>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permEnd w:id="10"/>
      <w:r>
        <w:rPr>
          <w:rFonts w:hint="eastAsia" w:ascii="宋体" w:hAnsi="宋体" w:eastAsia="宋体" w:cs="宋体"/>
          <w:sz w:val="24"/>
          <w:szCs w:val="24"/>
          <w:highlight w:val="none"/>
        </w:rPr>
        <w:t>元）。</w:t>
      </w:r>
    </w:p>
    <w:p w14:paraId="21C62D7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乙方为履行本合同而发生的所有费用均应包含在上述合同价款内，甲方不再另行支付其它任何费用。</w:t>
      </w:r>
    </w:p>
    <w:p w14:paraId="1272AB1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2．2交付地点</w:t>
      </w:r>
    </w:p>
    <w:p w14:paraId="1009FB28">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本服务交付地点：</w:t>
      </w:r>
      <w:permStart w:id="11" w:edGrp="everyone"/>
      <w:r>
        <w:rPr>
          <w:rFonts w:hint="eastAsia" w:ascii="宋体" w:hAnsi="宋体" w:eastAsia="宋体" w:cs="宋体"/>
          <w:sz w:val="24"/>
          <w:szCs w:val="24"/>
          <w:highlight w:val="none"/>
        </w:rPr>
        <w:t xml:space="preserve"> 太仓市上海东路666号</w:t>
      </w:r>
      <w:r>
        <w:rPr>
          <w:rFonts w:hint="eastAsia" w:ascii="宋体" w:hAnsi="宋体" w:eastAsia="宋体" w:cs="宋体"/>
          <w:color w:val="FF0000"/>
          <w:sz w:val="24"/>
          <w:szCs w:val="24"/>
          <w:highlight w:val="none"/>
        </w:rPr>
        <w:t xml:space="preserve"> </w:t>
      </w:r>
      <w:permEnd w:id="11"/>
      <w:r>
        <w:rPr>
          <w:rFonts w:hint="eastAsia" w:ascii="宋体" w:hAnsi="宋体" w:eastAsia="宋体" w:cs="宋体"/>
          <w:sz w:val="24"/>
          <w:szCs w:val="24"/>
          <w:highlight w:val="none"/>
        </w:rPr>
        <w:t>。</w:t>
      </w:r>
    </w:p>
    <w:p w14:paraId="18FBCD6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交付时间</w:t>
      </w:r>
    </w:p>
    <w:p w14:paraId="511A000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本服务正式交付时间：试运行</w:t>
      </w:r>
      <w:r>
        <w:rPr>
          <w:rFonts w:hint="eastAsia" w:ascii="宋体" w:hAnsi="宋体" w:eastAsia="宋体" w:cs="宋体"/>
          <w:sz w:val="24"/>
          <w:szCs w:val="24"/>
          <w:highlight w:val="none"/>
          <w:lang w:val="en-US" w:eastAsia="zh-CN"/>
        </w:rPr>
        <w:t>验收通过后经甲方确认具备服务条件后进入服务期</w:t>
      </w:r>
    </w:p>
    <w:p w14:paraId="2ABF129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服务执行日期</w:t>
      </w:r>
    </w:p>
    <w:p w14:paraId="00E0E1B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本合同项下服务的执行日期：</w:t>
      </w:r>
      <w:permStart w:id="12" w:edGrp="everyone"/>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进入服务期后12个月</w:t>
      </w:r>
      <w:r>
        <w:rPr>
          <w:rFonts w:hint="eastAsia" w:ascii="宋体" w:hAnsi="宋体" w:eastAsia="宋体" w:cs="宋体"/>
          <w:color w:val="FF0000"/>
          <w:sz w:val="24"/>
          <w:szCs w:val="24"/>
          <w:highlight w:val="none"/>
        </w:rPr>
        <w:t xml:space="preserve"> </w:t>
      </w:r>
      <w:permEnd w:id="12"/>
    </w:p>
    <w:p w14:paraId="0D6037D7">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3．质量标准和要求</w:t>
      </w:r>
    </w:p>
    <w:p w14:paraId="32410438">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 乙方所提供服务的质量标准按照国家标准、行业标准、甲方及主管部门要求确定，上述标准不一致的，以严格的标准为准。没有国家标准、行业标准和企业标准的，按照通常标准或者符合合同目的的特定标准确定。</w:t>
      </w:r>
    </w:p>
    <w:p w14:paraId="49BAA889">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 乙方所提供的服务还应符合国家和</w:t>
      </w:r>
      <w:r>
        <w:rPr>
          <w:rFonts w:hint="eastAsia" w:ascii="宋体" w:hAnsi="宋体" w:eastAsia="宋体" w:cs="宋体"/>
          <w:sz w:val="24"/>
          <w:szCs w:val="24"/>
          <w:highlight w:val="none"/>
          <w:lang w:val="en-US" w:eastAsia="zh-CN"/>
        </w:rPr>
        <w:t>江苏省</w:t>
      </w:r>
      <w:r>
        <w:rPr>
          <w:rFonts w:hint="eastAsia" w:ascii="宋体" w:hAnsi="宋体" w:eastAsia="宋体" w:cs="宋体"/>
          <w:sz w:val="24"/>
          <w:szCs w:val="24"/>
          <w:highlight w:val="none"/>
        </w:rPr>
        <w:t>有关安全、环保、卫生之规定，并且符合其投标或报价书中的相关承诺（如本项目具备招标或询价程序）。</w:t>
      </w:r>
    </w:p>
    <w:p w14:paraId="0643931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4．权利瑕疵担保</w:t>
      </w:r>
    </w:p>
    <w:p w14:paraId="6CF453B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 乙方保证其提供本合同项下的服务具备相应资质，为履行本合同而使用的硬件、软件不存在权利瑕疵或侵害第三人利益的情形。</w:t>
      </w:r>
    </w:p>
    <w:p w14:paraId="4A0721B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4．2 乙方保证其所提供的服务没有侵犯任何第三人的知识产权和商业秘密等权利。</w:t>
      </w:r>
    </w:p>
    <w:p w14:paraId="47E7CCF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4．3 如甲方使用该服务构成上述侵权的，则由乙方承担全部责任。</w:t>
      </w:r>
    </w:p>
    <w:p w14:paraId="385225E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5．交付、领受与验收</w:t>
      </w:r>
    </w:p>
    <w:p w14:paraId="57573167">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5．1甲方应依据服务事项的条件和性质，根据乙方的要求向乙方提供开展服务的相关环境。如甲方未能在该时间内提供该服务实施的环境，乙方可相应顺延提供日期。</w:t>
      </w:r>
    </w:p>
    <w:p w14:paraId="48020CB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2 乙方应在进行服务交付（如本服务为分次交付的，则每次交付前）前5个工作日内，以书面方式通知甲方。甲方应当在接到通知的5个工作日内安排接收交付。乙方在交付前应当对所提供的服务进行功能和运行检测，以确认提供的服务符合本合同的规定。</w:t>
      </w:r>
    </w:p>
    <w:p w14:paraId="71360B3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3 乙方应按照合同及其附件所约定的内容进行交付，乙方完成服务的交付时（如本服务为分次交付的，则每次交付时），应根据招投标文件提交相应的说明文档。</w:t>
      </w:r>
    </w:p>
    <w:p w14:paraId="4FE1EB2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4 乙方在完成服务交付后（如本服务为分次交付的，则每次交付后），甲方应当在15个工作日内对所交付服务进行检验，经检验合格后,向乙方出具书面文件确认其符合本合同所约定的服务任务、需求和功能。所交付服务如有缺陷，甲方应向乙方出具书面报告，陈述需要改进的缺陷。乙方应立即改进此项缺陷，并再次进行检测和评估。甲方在接收乙方改进后的交付服务后,应当于15个工作日内再次检验并按照检验情况向乙方出具书面确认文件或出具缺陷报告。甲、乙双方将重复此项程序直至甲方领受或甲方依法或依约解除本合同为止。</w:t>
      </w:r>
    </w:p>
    <w:p w14:paraId="1794449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5 如合同约定的服务产生相关产品的，自检验通过之日起，甲方拥有60天的系统试运行权利。</w:t>
      </w:r>
    </w:p>
    <w:p w14:paraId="55D1A6D9">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6 如果由于乙方原因，导致本项目所采购的服务出现故障或问题，乙方应及时排除该故障或问题。以上行为产生的费用和损失均由乙方承担。</w:t>
      </w:r>
    </w:p>
    <w:p w14:paraId="127EDE1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 7 如果由于甲方原因，导致本项目所采购的服务出现故障或问题，乙方应及时配合排除该方面的故障或问题。以上行为产生的相关费用均由甲方承担。</w:t>
      </w:r>
    </w:p>
    <w:p w14:paraId="7264574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8 本项目所采购的服务全部完成后，甲方应及时进行验收。乙方应当以书面形式向甲方递交验收通知书，甲方在收到验收通知书后的15个工作日内，确定具体日期，由双方按照本合同的规定完成验收。甲方有权组织第三方专家验收会，对此乙方应当配合。 </w:t>
      </w:r>
    </w:p>
    <w:p w14:paraId="1514556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5．9如果属于乙方原因致使所提供的服务未能通过验收，乙方应当排除故障，并自行承担相关费用和赔偿甲方损失，同时延长服务执行期30个工作日，直至所提供的服务完全符合验收标准。</w:t>
      </w:r>
    </w:p>
    <w:p w14:paraId="177B4C3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5．10如果属于甲方原因致使所提供的服务未能通过验收，甲方应在合理时间内排除障碍，再次进行验收。</w:t>
      </w:r>
    </w:p>
    <w:p w14:paraId="3DE1A04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5．11甲方根据服务的技术规格要求和质量标准，项目验收合格后，甲方签署验收意见，乙方应及时向甲方开具合法发票。</w:t>
      </w:r>
    </w:p>
    <w:p w14:paraId="46B93817">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6．知识产权和保密</w:t>
      </w:r>
    </w:p>
    <w:p w14:paraId="6AADE6A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 甲方委托服务所产生的软件、文档等知识产权归甲方所有。乙方应当向甲方交付使用的服务中应用的相关软件、文档等已享有知识产权的，甲方在本合同范围内具有使用权。</w:t>
      </w:r>
    </w:p>
    <w:p w14:paraId="6C69FA3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 2如果本合同签订后乙方发生收购、兼并、重组、分立的情形，乙方应于情形发生之日起7日内通知甲方，在甲方同意的情况下，则本合同项下的权利随之转移至收购、兼并、重组后的企业继续履行合同，分立后成立的企业共同对甲方承担连带责任。甲方保留在发生上述情形时解除合同的权利。</w:t>
      </w:r>
    </w:p>
    <w:p w14:paraId="4DF65CFA">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 3 如果甲方或乙方提供的内容属于保密的，应签订保密协议，甲乙双方均有保密义务。</w:t>
      </w:r>
    </w:p>
    <w:p w14:paraId="250B887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 4 如果在履行本合同过程中乙方接触到甲方病人的个人信息或诊疗信息的，乙方不得将其用于本合同之外任何目的、不得向任何第三人或机构提供上述信息，否则应向甲方支付合同总价30%的违约金；违约金不足以弥补甲方损失的，还应就损失予以赔偿。</w:t>
      </w:r>
    </w:p>
    <w:p w14:paraId="0212CC0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7．付款</w:t>
      </w:r>
    </w:p>
    <w:p w14:paraId="3C2D9FE1">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7．1本合同以人民币付款（单位：元）。</w:t>
      </w:r>
    </w:p>
    <w:p w14:paraId="3B02719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7．2 本合同款项按照以下方式支付。</w:t>
      </w:r>
    </w:p>
    <w:tbl>
      <w:tblPr>
        <w:tblStyle w:val="45"/>
        <w:tblW w:w="7740" w:type="dxa"/>
        <w:jc w:val="center"/>
        <w:tblLayout w:type="fixed"/>
        <w:tblCellMar>
          <w:top w:w="0" w:type="dxa"/>
          <w:left w:w="108" w:type="dxa"/>
          <w:bottom w:w="0" w:type="dxa"/>
          <w:right w:w="108" w:type="dxa"/>
        </w:tblCellMar>
      </w:tblPr>
      <w:tblGrid>
        <w:gridCol w:w="1842"/>
        <w:gridCol w:w="5898"/>
      </w:tblGrid>
      <w:tr w14:paraId="68494957">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6738D562">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付款次序</w:t>
            </w:r>
          </w:p>
        </w:tc>
        <w:tc>
          <w:tcPr>
            <w:tcW w:w="5898" w:type="dxa"/>
            <w:tcBorders>
              <w:top w:val="single" w:color="auto" w:sz="4" w:space="0"/>
              <w:left w:val="single" w:color="auto" w:sz="4" w:space="0"/>
              <w:bottom w:val="single" w:color="auto" w:sz="4" w:space="0"/>
              <w:right w:val="single" w:color="auto" w:sz="4" w:space="0"/>
            </w:tcBorders>
            <w:vAlign w:val="center"/>
          </w:tcPr>
          <w:p w14:paraId="2DEC426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支付比例（按合同金额总数的百分比）</w:t>
            </w:r>
          </w:p>
        </w:tc>
      </w:tr>
      <w:tr w14:paraId="56A1F9F8">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05AD273E">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第</w:t>
            </w:r>
            <w:r>
              <w:rPr>
                <w:rFonts w:hint="eastAsia" w:ascii="宋体" w:hAnsi="宋体" w:eastAsia="宋体" w:cs="宋体"/>
                <w:sz w:val="24"/>
                <w:szCs w:val="24"/>
                <w:highlight w:val="none"/>
              </w:rPr>
              <w:t>一笔</w:t>
            </w:r>
          </w:p>
        </w:tc>
        <w:tc>
          <w:tcPr>
            <w:tcW w:w="5898" w:type="dxa"/>
            <w:tcBorders>
              <w:top w:val="single" w:color="auto" w:sz="4" w:space="0"/>
              <w:left w:val="single" w:color="auto" w:sz="4" w:space="0"/>
              <w:bottom w:val="single" w:color="auto" w:sz="4" w:space="0"/>
              <w:right w:val="single" w:color="auto" w:sz="4" w:space="0"/>
            </w:tcBorders>
            <w:vAlign w:val="center"/>
          </w:tcPr>
          <w:p w14:paraId="4747DB44">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w:t>
            </w:r>
          </w:p>
        </w:tc>
      </w:tr>
      <w:tr w14:paraId="31F75074">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31B92095">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第二笔</w:t>
            </w:r>
          </w:p>
        </w:tc>
        <w:tc>
          <w:tcPr>
            <w:tcW w:w="5898" w:type="dxa"/>
            <w:tcBorders>
              <w:top w:val="single" w:color="auto" w:sz="4" w:space="0"/>
              <w:left w:val="single" w:color="auto" w:sz="4" w:space="0"/>
              <w:bottom w:val="single" w:color="auto" w:sz="4" w:space="0"/>
              <w:right w:val="single" w:color="auto" w:sz="4" w:space="0"/>
            </w:tcBorders>
            <w:vAlign w:val="center"/>
          </w:tcPr>
          <w:p w14:paraId="4E64A55E">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40%</w:t>
            </w:r>
          </w:p>
        </w:tc>
      </w:tr>
      <w:tr w14:paraId="28D83201">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0802975F">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第三笔</w:t>
            </w:r>
          </w:p>
        </w:tc>
        <w:tc>
          <w:tcPr>
            <w:tcW w:w="5898" w:type="dxa"/>
            <w:tcBorders>
              <w:top w:val="single" w:color="auto" w:sz="4" w:space="0"/>
              <w:left w:val="single" w:color="auto" w:sz="4" w:space="0"/>
              <w:bottom w:val="single" w:color="auto" w:sz="4" w:space="0"/>
              <w:right w:val="single" w:color="auto" w:sz="4" w:space="0"/>
            </w:tcBorders>
            <w:vAlign w:val="center"/>
          </w:tcPr>
          <w:p w14:paraId="0A0CFB76">
            <w:pPr>
              <w:keepNext w:val="0"/>
              <w:keepLines w:val="0"/>
              <w:pageBreakBefore w:val="0"/>
              <w:widowControl/>
              <w:kinsoku/>
              <w:wordWrap/>
              <w:overflowPunct/>
              <w:topLinePunct w:val="0"/>
              <w:autoSpaceDE/>
              <w:autoSpaceDN/>
              <w:bidi w:val="0"/>
              <w:adjustRightInd/>
              <w:snapToGrid/>
              <w:spacing w:after="0" w:line="480" w:lineRule="exact"/>
              <w:ind w:left="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50%</w:t>
            </w:r>
          </w:p>
        </w:tc>
      </w:tr>
    </w:tbl>
    <w:p w14:paraId="23B4ACC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7．3付款条件： </w:t>
      </w:r>
    </w:p>
    <w:p w14:paraId="7374A64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第一笔款项：在合同签订后30个工作日内支付合同金额10%预付款。</w:t>
      </w:r>
    </w:p>
    <w:p w14:paraId="3B541FAA">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第二笔款项：试运行通过后，</w:t>
      </w:r>
      <w:r>
        <w:rPr>
          <w:rFonts w:hint="eastAsia" w:ascii="宋体" w:hAnsi="宋体" w:eastAsia="宋体" w:cs="宋体"/>
          <w:sz w:val="24"/>
          <w:szCs w:val="24"/>
          <w:highlight w:val="none"/>
        </w:rPr>
        <w:t>经甲方</w:t>
      </w:r>
      <w:r>
        <w:rPr>
          <w:rFonts w:hint="eastAsia" w:ascii="宋体" w:hAnsi="宋体" w:eastAsia="宋体" w:cs="宋体"/>
          <w:sz w:val="24"/>
          <w:szCs w:val="24"/>
          <w:highlight w:val="none"/>
          <w:lang w:val="en-US" w:eastAsia="zh-CN"/>
        </w:rPr>
        <w:t>阶段性</w:t>
      </w:r>
      <w:r>
        <w:rPr>
          <w:rFonts w:hint="eastAsia" w:ascii="宋体" w:hAnsi="宋体" w:eastAsia="宋体" w:cs="宋体"/>
          <w:sz w:val="24"/>
          <w:szCs w:val="24"/>
          <w:highlight w:val="none"/>
        </w:rPr>
        <w:t>验收完成出具验收单，并且甲方收到乙方发票后3个月内，甲方向乙方支付</w:t>
      </w:r>
      <w:r>
        <w:rPr>
          <w:rFonts w:hint="eastAsia" w:ascii="宋体" w:hAnsi="宋体" w:eastAsia="宋体" w:cs="宋体"/>
          <w:sz w:val="24"/>
          <w:szCs w:val="24"/>
          <w:highlight w:val="none"/>
          <w:lang w:val="en-US" w:eastAsia="zh-CN"/>
        </w:rPr>
        <w:t>至总款项的50%，本次付款时，前期已支付的10%预付款将全额自动冲抵对应比例款项，甲方本次实际向乙方支付剩余40%进度款。</w:t>
      </w:r>
    </w:p>
    <w:p w14:paraId="03E48A28">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lang w:val="en-US" w:eastAsia="zh-CN"/>
        </w:rPr>
        <w:t>第三笔款项：</w:t>
      </w:r>
      <w:r>
        <w:rPr>
          <w:rFonts w:hint="eastAsia" w:ascii="宋体" w:hAnsi="宋体" w:eastAsia="宋体" w:cs="宋体"/>
          <w:sz w:val="24"/>
          <w:szCs w:val="24"/>
          <w:highlight w:val="none"/>
        </w:rPr>
        <w:t>服务</w:t>
      </w:r>
      <w:r>
        <w:rPr>
          <w:rFonts w:hint="eastAsia" w:ascii="宋体" w:hAnsi="宋体" w:eastAsia="宋体" w:cs="宋体"/>
          <w:sz w:val="24"/>
          <w:szCs w:val="24"/>
          <w:highlight w:val="none"/>
          <w:lang w:val="en-US" w:eastAsia="zh-CN"/>
        </w:rPr>
        <w:t>期结束后</w:t>
      </w:r>
      <w:r>
        <w:rPr>
          <w:rFonts w:hint="eastAsia" w:ascii="宋体" w:hAnsi="宋体" w:eastAsia="宋体" w:cs="宋体"/>
          <w:sz w:val="24"/>
          <w:szCs w:val="24"/>
          <w:highlight w:val="none"/>
        </w:rPr>
        <w:t>，经甲方</w:t>
      </w:r>
      <w:r>
        <w:rPr>
          <w:rFonts w:hint="eastAsia" w:ascii="宋体" w:hAnsi="宋体" w:eastAsia="宋体" w:cs="宋体"/>
          <w:sz w:val="24"/>
          <w:szCs w:val="24"/>
          <w:highlight w:val="none"/>
          <w:lang w:val="en-US" w:eastAsia="zh-CN"/>
        </w:rPr>
        <w:t>考核评价出具验收单和考核表</w:t>
      </w:r>
      <w:r>
        <w:rPr>
          <w:rFonts w:hint="eastAsia" w:ascii="宋体" w:hAnsi="宋体" w:eastAsia="宋体" w:cs="宋体"/>
          <w:sz w:val="24"/>
          <w:szCs w:val="24"/>
          <w:highlight w:val="none"/>
        </w:rPr>
        <w:t>，并且甲方收到乙方发票后3个月内，甲方</w:t>
      </w:r>
      <w:r>
        <w:rPr>
          <w:rFonts w:hint="eastAsia" w:ascii="宋体" w:hAnsi="宋体" w:eastAsia="宋体" w:cs="宋体"/>
          <w:sz w:val="24"/>
          <w:szCs w:val="24"/>
          <w:highlight w:val="none"/>
          <w:lang w:val="en-US" w:eastAsia="zh-CN"/>
        </w:rPr>
        <w:t>根据相应考核结果</w:t>
      </w:r>
      <w:r>
        <w:rPr>
          <w:rFonts w:hint="eastAsia" w:ascii="宋体" w:hAnsi="宋体" w:eastAsia="宋体" w:cs="宋体"/>
          <w:sz w:val="24"/>
          <w:szCs w:val="24"/>
          <w:highlight w:val="none"/>
        </w:rPr>
        <w:t>向乙方支付</w:t>
      </w:r>
      <w:r>
        <w:rPr>
          <w:rFonts w:hint="eastAsia" w:ascii="宋体" w:hAnsi="宋体" w:eastAsia="宋体" w:cs="宋体"/>
          <w:sz w:val="24"/>
          <w:szCs w:val="24"/>
          <w:highlight w:val="none"/>
          <w:lang w:val="en-US" w:eastAsia="zh-CN"/>
        </w:rPr>
        <w:t>剩余的款项。</w:t>
      </w:r>
    </w:p>
    <w:p w14:paraId="6FB9096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8．辅助服务</w:t>
      </w:r>
    </w:p>
    <w:p w14:paraId="07998E8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8．1 乙方应提交所提供服务的技术文件，包括相应的中文技术文件，例如：产品目录、图纸、详细设计、操作手册、使用说明、维护手册和/或服务指南。</w:t>
      </w:r>
    </w:p>
    <w:p w14:paraId="0E344E1E">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8．2 乙方还应提供下列服务：</w:t>
      </w:r>
    </w:p>
    <w:p w14:paraId="5208172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（1）服务所需硬件设备的现场移动、安装、调试、启动监督及技术支持；</w:t>
      </w:r>
    </w:p>
    <w:p w14:paraId="0402B34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（2）提供设备组装和维修所需的专用工具和辅助材料；</w:t>
      </w:r>
    </w:p>
    <w:p w14:paraId="4A6364A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（3）在质量保证期内对交付的服务实施运行监督、维护、维修；</w:t>
      </w:r>
    </w:p>
    <w:p w14:paraId="0250E8B1">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（4）乙方应根据项目实施的计划、进度和需要与甲方的合理要求，及时安排对甲方的相关人员进行培训。培训目标为使受训者能够独立、熟练地完成操作，实现依据本合同项下甲方购买的项目的目标和功能。</w:t>
      </w:r>
    </w:p>
    <w:p w14:paraId="42839B7A">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8．3 辅助服务的费用应包含在合同价内，甲方不再另行支付。</w:t>
      </w:r>
    </w:p>
    <w:p w14:paraId="77FFE66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9．系统保证和维护</w:t>
      </w:r>
    </w:p>
    <w:p w14:paraId="61E6E14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9．1在乙方所交付的服务中，不得含有未经甲方许可的可以自动终止或妨碍系统运作的软件和硬件，否则，乙方应承担赔偿责任；</w:t>
      </w:r>
    </w:p>
    <w:p w14:paraId="711ED27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9．2乙方所提供的服务，包括受甲方委托所开发的软件，如果需要经国家有关部门登记、备案、审批或许可的，乙方应当保证所提供的服务已经完成上述手续。</w:t>
      </w:r>
    </w:p>
    <w:p w14:paraId="780CC98A">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9．3乙方保证，依据本合同向甲方提供的服务及其附属产品不存在品质或技术上的瑕疵，能够符合技术规范地正常运行、实现产品和项目功能、满足甲方的合同目的。</w:t>
      </w:r>
    </w:p>
    <w:p w14:paraId="7CE15D2D">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9．4乙方在约定的时间内未能弥补缺陷，甲方可采取必要的补救措施，但其风险和费用由乙方承担，甲方根据合同规定对乙方行使的其他权利不受影响。</w:t>
      </w:r>
    </w:p>
    <w:p w14:paraId="64DCA40E">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9．5在乙方所维护的产品中，如果存在安全漏洞必须免费修补。</w:t>
      </w:r>
    </w:p>
    <w:p w14:paraId="32D2891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10．补救措施和索赔</w:t>
      </w:r>
    </w:p>
    <w:p w14:paraId="72A0253D">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 甲方有权根据质量检测部门出具的检验证书向乙方提出索赔。</w:t>
      </w:r>
    </w:p>
    <w:p w14:paraId="033D762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10．2</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服务执行期</w:t>
      </w:r>
      <w:r>
        <w:rPr>
          <w:rFonts w:hint="eastAsia" w:ascii="宋体" w:hAnsi="宋体" w:eastAsia="宋体" w:cs="宋体"/>
          <w:color w:val="auto"/>
          <w:sz w:val="24"/>
          <w:szCs w:val="24"/>
          <w:highlight w:val="none"/>
        </w:rPr>
        <w:t>内</w:t>
      </w:r>
      <w:r>
        <w:rPr>
          <w:rFonts w:hint="eastAsia" w:ascii="宋体" w:hAnsi="宋体" w:eastAsia="宋体" w:cs="宋体"/>
          <w:sz w:val="24"/>
          <w:szCs w:val="24"/>
          <w:highlight w:val="none"/>
        </w:rPr>
        <w:t>，如果服务成果出现质量问题或其潜在缺陷被发现，甲方提出索赔，乙方应按照甲方同意的下列一种或多种方式解决索赔事宜（双方约定选择第____3_____种）：</w:t>
      </w:r>
    </w:p>
    <w:p w14:paraId="170A736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（1）乙方同意将已支付的价款退还给甲方，甲方将已经交付的服务成果退还给乙方，由此发生的一切费用和损失由乙方承担。</w:t>
      </w:r>
    </w:p>
    <w:p w14:paraId="18E50AD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根据服务成果的质量状况以及甲方所遭受的损失，经买卖双方协商一致减少应支付的价款。</w:t>
      </w:r>
    </w:p>
    <w:p w14:paraId="2C367B28">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（3）乙方应在接到甲方通知后七天内采取包括维修、更换、重做等补救措施，以使得服务成果能够符合合同规定的规格、质量和性能要求，其费用由乙方负担。同时，约定的质量保证期应相应延长。</w:t>
      </w:r>
    </w:p>
    <w:p w14:paraId="542EC579">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10．3 </w:t>
      </w:r>
      <w:r>
        <w:rPr>
          <w:rFonts w:hint="eastAsia" w:ascii="宋体" w:hAnsi="宋体" w:eastAsia="宋体" w:cs="宋体"/>
          <w:sz w:val="24"/>
          <w:szCs w:val="24"/>
          <w:highlight w:val="none"/>
        </w:rPr>
        <w:t>如果在甲方发出索赔通知后十天内乙方未作答复，上述索赔应视为已被乙方接受。如果乙方未能在甲方发出索赔通知后十天内或甲方同意延长的期限内，按照上述规定的任何一种方法采取补救措施，甲方有权从应付的服务款中扣除索赔金额，如不足以弥补甲方损失的，甲方有权进一步要求乙方赔偿。</w:t>
      </w:r>
    </w:p>
    <w:p w14:paraId="57585528">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11．迟延履行</w:t>
      </w:r>
    </w:p>
    <w:p w14:paraId="5D595F2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11．1乙方应按照合同规定的时间、地点交付约定的服务。</w:t>
      </w:r>
    </w:p>
    <w:p w14:paraId="5D93A63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11．2如乙方无正当理由迟延交付服务，甲方有权获赔迟延履行违约金，或解除合同并追究乙方的违约责任。</w:t>
      </w:r>
    </w:p>
    <w:p w14:paraId="244C8BD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3在合同履行过程中，如果乙方可能遇到妨碍按时提供服务的情况，应及时以书面形式将迟延履行事由通知甲方。应及时以书面形式将延迟的事实、可能延迟的时间和理由通知甲方。甲方在收到乙方通知后，应尽快对情况进行评价，并确定是否同意延长服务成果交付时间或延期提供服务。</w:t>
      </w:r>
    </w:p>
    <w:p w14:paraId="6E247BBD">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12．迟延履行违约金</w:t>
      </w:r>
    </w:p>
    <w:p w14:paraId="7F79095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除合同第13条规定外，如果乙方没有按照合同规定的时间提供服务，甲方应从货款中扣除迟延履行违约金而不影响合同项下的其他补救方法，金额按每</w:t>
      </w:r>
      <w:r>
        <w:rPr>
          <w:rFonts w:hint="eastAsia" w:ascii="宋体" w:hAnsi="宋体" w:eastAsia="宋体" w:cs="宋体"/>
          <w:color w:val="auto"/>
          <w:sz w:val="24"/>
          <w:szCs w:val="24"/>
          <w:highlight w:val="none"/>
        </w:rPr>
        <w:t>（</w:t>
      </w:r>
      <w:permStart w:id="13" w:edGrp="everyone"/>
      <w:r>
        <w:rPr>
          <w:rFonts w:hint="eastAsia" w:ascii="宋体" w:hAnsi="宋体" w:eastAsia="宋体" w:cs="宋体"/>
          <w:color w:val="auto"/>
          <w:sz w:val="24"/>
          <w:szCs w:val="24"/>
          <w:highlight w:val="none"/>
        </w:rPr>
        <w:t>天</w:t>
      </w:r>
      <w:permEnd w:id="13"/>
      <w:r>
        <w:rPr>
          <w:rFonts w:hint="eastAsia" w:ascii="宋体" w:hAnsi="宋体" w:eastAsia="宋体" w:cs="宋体"/>
          <w:color w:val="auto"/>
          <w:sz w:val="24"/>
          <w:szCs w:val="24"/>
          <w:highlight w:val="none"/>
        </w:rPr>
        <w:t>）</w:t>
      </w:r>
      <w:r>
        <w:rPr>
          <w:rFonts w:hint="eastAsia" w:ascii="宋体" w:hAnsi="宋体" w:eastAsia="宋体" w:cs="宋体"/>
          <w:sz w:val="24"/>
          <w:szCs w:val="24"/>
          <w:highlight w:val="none"/>
        </w:rPr>
        <w:t>支付迟延提供服务的价款的百分之零点五（0.5%）计收，直至提供服务为止。但迟延违约金的最高限额不超过合同总金额的百分之五（5%）。（一周按七天计算，不足七天按一周计算。）一旦达到迟延履行违约金的最高限额，甲方可提前解除合同并要求赔偿实际损失。</w:t>
      </w:r>
    </w:p>
    <w:p w14:paraId="42BB8EB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13．不可抗力</w:t>
      </w:r>
    </w:p>
    <w:p w14:paraId="434E447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13．1如果因不可抗力而导致合同履行延迟或履行不能，合同双方均不承担违约责任。</w:t>
      </w:r>
    </w:p>
    <w:p w14:paraId="7A2565F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本条所述的“不可抗力”系指那些双方不能预见、不能避免并不能克服的客观事件，但不包括双方的违约或疏忽。这些事件包括但不限于：战争、不可归责于任何一方的严重火灾、洪水、台风、地震、国家法律或政策的重大变化，以及双方商定的其他事件。</w:t>
      </w:r>
    </w:p>
    <w:p w14:paraId="751074A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3在不可抗力事件发生后，当事方应尽快以书面形式将不可抗力的情况和原因通知对方。合同各方应尽可能继续履行合同义务，并积极采取合理的措施履行不受不可抗力影响的其他合同条款。合同各方应通过友好协商在合理的时间内达成进一步履行合同的协议。</w:t>
      </w:r>
    </w:p>
    <w:p w14:paraId="5F341B1E">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bookmarkStart w:id="9" w:name="履约保证金"/>
      <w:bookmarkEnd w:id="9"/>
      <w:r>
        <w:rPr>
          <w:rFonts w:hint="eastAsia" w:ascii="宋体" w:hAnsi="宋体" w:eastAsia="宋体" w:cs="宋体"/>
          <w:sz w:val="24"/>
          <w:szCs w:val="24"/>
          <w:highlight w:val="none"/>
        </w:rPr>
        <w:t>14．争端的解决</w:t>
      </w:r>
    </w:p>
    <w:p w14:paraId="713B7AF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14．1 合同各方应通过友好协商，解决在履行本合同过程中所发生的或与本合同有关的一切争端。</w:t>
      </w:r>
    </w:p>
    <w:p w14:paraId="5B890C7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14．2协商不成则</w:t>
      </w:r>
      <w:r>
        <w:rPr>
          <w:rFonts w:hint="eastAsia" w:ascii="宋体" w:hAnsi="宋体" w:eastAsia="宋体" w:cs="宋体"/>
          <w:color w:val="auto"/>
          <w:sz w:val="24"/>
          <w:szCs w:val="24"/>
          <w:highlight w:val="none"/>
          <w:lang w:val="en-US" w:eastAsia="zh-CN"/>
        </w:rPr>
        <w:t>甲方所在地人民法院诉讼</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sz w:val="24"/>
          <w:szCs w:val="24"/>
          <w:highlight w:val="none"/>
          <w:lang w:val="en-US" w:eastAsia="zh-CN"/>
        </w:rPr>
        <w:t>诉讼</w:t>
      </w:r>
      <w:r>
        <w:rPr>
          <w:rFonts w:hint="eastAsia" w:ascii="宋体" w:hAnsi="宋体" w:eastAsia="宋体" w:cs="宋体"/>
          <w:sz w:val="24"/>
          <w:szCs w:val="24"/>
          <w:highlight w:val="none"/>
        </w:rPr>
        <w:t>费用由败诉方承担。</w:t>
      </w:r>
    </w:p>
    <w:p w14:paraId="3440215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14．3如</w:t>
      </w:r>
      <w:r>
        <w:rPr>
          <w:rFonts w:hint="eastAsia" w:ascii="宋体" w:hAnsi="宋体" w:eastAsia="宋体" w:cs="宋体"/>
          <w:sz w:val="24"/>
          <w:szCs w:val="24"/>
          <w:highlight w:val="none"/>
          <w:lang w:val="en-US" w:eastAsia="zh-CN"/>
        </w:rPr>
        <w:t>诉</w:t>
      </w:r>
      <w:r>
        <w:rPr>
          <w:rFonts w:hint="eastAsia" w:ascii="宋体" w:hAnsi="宋体" w:eastAsia="宋体" w:cs="宋体"/>
          <w:color w:val="auto"/>
          <w:sz w:val="24"/>
          <w:szCs w:val="24"/>
          <w:highlight w:val="none"/>
          <w:lang w:val="en-US" w:eastAsia="zh-CN"/>
        </w:rPr>
        <w:t>讼</w:t>
      </w:r>
      <w:r>
        <w:rPr>
          <w:rFonts w:hint="eastAsia" w:ascii="宋体" w:hAnsi="宋体" w:eastAsia="宋体" w:cs="宋体"/>
          <w:color w:val="auto"/>
          <w:sz w:val="24"/>
          <w:szCs w:val="24"/>
          <w:highlight w:val="none"/>
        </w:rPr>
        <w:t>事项不影响合同其它部分的履行，则在</w:t>
      </w:r>
      <w:r>
        <w:rPr>
          <w:rFonts w:hint="eastAsia" w:ascii="宋体" w:hAnsi="宋体" w:eastAsia="宋体" w:cs="宋体"/>
          <w:color w:val="auto"/>
          <w:sz w:val="24"/>
          <w:szCs w:val="24"/>
          <w:highlight w:val="none"/>
          <w:lang w:val="en-US" w:eastAsia="zh-CN"/>
        </w:rPr>
        <w:t>诉讼</w:t>
      </w:r>
      <w:r>
        <w:rPr>
          <w:rFonts w:hint="eastAsia" w:ascii="宋体" w:hAnsi="宋体" w:eastAsia="宋体" w:cs="宋体"/>
          <w:color w:val="auto"/>
          <w:sz w:val="24"/>
          <w:szCs w:val="24"/>
          <w:highlight w:val="none"/>
        </w:rPr>
        <w:t>期间，除正在进行</w:t>
      </w:r>
      <w:r>
        <w:rPr>
          <w:rFonts w:hint="eastAsia" w:ascii="宋体" w:hAnsi="宋体" w:eastAsia="宋体" w:cs="宋体"/>
          <w:color w:val="auto"/>
          <w:sz w:val="24"/>
          <w:szCs w:val="24"/>
          <w:highlight w:val="none"/>
          <w:lang w:val="en-US" w:eastAsia="zh-CN"/>
        </w:rPr>
        <w:t>诉讼</w:t>
      </w:r>
      <w:r>
        <w:rPr>
          <w:rFonts w:hint="eastAsia" w:ascii="宋体" w:hAnsi="宋体" w:eastAsia="宋体" w:cs="宋体"/>
          <w:sz w:val="24"/>
          <w:szCs w:val="24"/>
          <w:highlight w:val="none"/>
        </w:rPr>
        <w:t>的部分外，本合同的其它部分应继续执行。</w:t>
      </w:r>
    </w:p>
    <w:p w14:paraId="15312A2D">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15．合同的解除</w:t>
      </w:r>
    </w:p>
    <w:p w14:paraId="0627F2AB">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15．1在甲方对乙方违约而采取的任何补救措施不受影响的情况下，甲方可在下列情况下向乙方发出书面通知书，提出解除部分或全部合同。</w:t>
      </w:r>
    </w:p>
    <w:p w14:paraId="25196CB0">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（1）如果乙方未能在合同规定的期限或甲方同意延长的期限内交付部分或全部产品或服务。</w:t>
      </w:r>
    </w:p>
    <w:p w14:paraId="45142E51">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（2）如果乙方未能履行合同规定的其它义务。</w:t>
      </w:r>
    </w:p>
    <w:p w14:paraId="20A0205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15．2 如果甲方根据上述15.1款的规定，解除了全部或者部分合同，甲方可以依其认为适当的条件和方法另行购买乙方未履行部分的服务，乙方应对购买类似的服务所超出的那部分费用负责。并且乙方应继续履行未解除的部分合同。</w:t>
      </w:r>
    </w:p>
    <w:p w14:paraId="5326B0D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15．3 如果乙方在履行合同过程中有不正当竞争行为，甲方有权解除合同。</w:t>
      </w:r>
    </w:p>
    <w:p w14:paraId="0E81849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16．甲方的合同解除权</w:t>
      </w:r>
    </w:p>
    <w:p w14:paraId="2EC9075F">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16.1 如果乙方丧失履约能力或被宣告破产，甲方可在任何时候以书面形式通知乙方解除合同并无需赔偿乙方任何费用及损失。解除合同的行为将不影响甲方已经采取或将要采取任何行动或补救措施的权利。</w:t>
      </w:r>
    </w:p>
    <w:p w14:paraId="4C631A7A">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16.2 甲方可根据本合同的其他约定或法律规定行使解除权。</w:t>
      </w:r>
    </w:p>
    <w:p w14:paraId="4687FDE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17．合同转让和分包</w:t>
      </w:r>
    </w:p>
    <w:p w14:paraId="01063F57">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除甲方事先书面同意外，乙方不得转让和分包其应履行的合同义务。</w:t>
      </w:r>
    </w:p>
    <w:p w14:paraId="6059CA9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18．合同生效</w:t>
      </w:r>
    </w:p>
    <w:p w14:paraId="33D9EA95">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18．1 本合同经合同各方加盖公章或合同章后生效。在具备双方公章或合同章的情况下，任何人员在合同签署部位签字与否，不影响合同效力。</w:t>
      </w:r>
    </w:p>
    <w:p w14:paraId="2FF9F239">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 本合同一式（</w:t>
      </w:r>
      <w:permStart w:id="14" w:edGrp="everyone"/>
      <w:r>
        <w:rPr>
          <w:rFonts w:hint="eastAsia" w:ascii="宋体" w:hAnsi="宋体" w:eastAsia="宋体" w:cs="宋体"/>
          <w:sz w:val="24"/>
          <w:szCs w:val="24"/>
          <w:highlight w:val="none"/>
        </w:rPr>
        <w:t>陆</w:t>
      </w:r>
      <w:permEnd w:id="14"/>
      <w:r>
        <w:rPr>
          <w:rFonts w:hint="eastAsia" w:ascii="宋体" w:hAnsi="宋体" w:eastAsia="宋体" w:cs="宋体"/>
          <w:sz w:val="24"/>
          <w:szCs w:val="24"/>
          <w:highlight w:val="none"/>
        </w:rPr>
        <w:t>）份，以中文书就，甲方执</w:t>
      </w:r>
      <w:permStart w:id="15" w:edGrp="everyone"/>
      <w:r>
        <w:rPr>
          <w:rFonts w:hint="eastAsia" w:ascii="宋体" w:hAnsi="宋体" w:eastAsia="宋体" w:cs="宋体"/>
          <w:sz w:val="24"/>
          <w:szCs w:val="24"/>
          <w:highlight w:val="none"/>
        </w:rPr>
        <w:t>肆</w:t>
      </w:r>
      <w:permEnd w:id="15"/>
      <w:r>
        <w:rPr>
          <w:rFonts w:hint="eastAsia" w:ascii="宋体" w:hAnsi="宋体" w:eastAsia="宋体" w:cs="宋体"/>
          <w:sz w:val="24"/>
          <w:szCs w:val="24"/>
          <w:highlight w:val="none"/>
        </w:rPr>
        <w:t>份，乙方执</w:t>
      </w:r>
      <w:permStart w:id="16" w:edGrp="everyone"/>
      <w:r>
        <w:rPr>
          <w:rFonts w:hint="eastAsia" w:ascii="宋体" w:hAnsi="宋体" w:eastAsia="宋体" w:cs="宋体"/>
          <w:sz w:val="24"/>
          <w:szCs w:val="24"/>
          <w:highlight w:val="none"/>
        </w:rPr>
        <w:t>贰</w:t>
      </w:r>
      <w:permEnd w:id="16"/>
      <w:r>
        <w:rPr>
          <w:rFonts w:hint="eastAsia" w:ascii="宋体" w:hAnsi="宋体" w:eastAsia="宋体" w:cs="宋体"/>
          <w:sz w:val="24"/>
          <w:szCs w:val="24"/>
          <w:highlight w:val="none"/>
        </w:rPr>
        <w:t>份。</w:t>
      </w:r>
    </w:p>
    <w:p w14:paraId="01C7260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 合同附件</w:t>
      </w:r>
    </w:p>
    <w:p w14:paraId="544D6FD2">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 1 本合同附件包括：________/_________等。</w:t>
      </w:r>
    </w:p>
    <w:p w14:paraId="0C45C0C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 2 本合同附件（如有）是合同的组成部分。</w:t>
      </w:r>
    </w:p>
    <w:p w14:paraId="0A71700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 3若合同文件之间有矛盾，则以在后形成的文件为准。</w:t>
      </w:r>
    </w:p>
    <w:p w14:paraId="0198B8A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20．合同修改</w:t>
      </w:r>
    </w:p>
    <w:p w14:paraId="6391739D">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本合同如确需修改，应经双方协商一致后签订书面协议。</w:t>
      </w:r>
    </w:p>
    <w:p w14:paraId="4C71EEDA">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（以下为盖章处，无正文）</w:t>
      </w:r>
    </w:p>
    <w:p w14:paraId="6310052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p>
    <w:p w14:paraId="12781D13">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                            乙方（盖章）： </w:t>
      </w:r>
    </w:p>
    <w:p w14:paraId="645BD62C">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bookmarkStart w:id="10" w:name="乙方1"/>
      <w:bookmarkEnd w:id="10"/>
    </w:p>
    <w:p w14:paraId="1A13EBF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法定代表人或授权委托人                   法定代表人或授权委托人</w:t>
      </w:r>
    </w:p>
    <w:p w14:paraId="5620CA56">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或经办人（签章）                           或经办人（签章） </w:t>
      </w:r>
    </w:p>
    <w:p w14:paraId="59A11784">
      <w:pPr>
        <w:keepNext w:val="0"/>
        <w:keepLines w:val="0"/>
        <w:pageBreakBefore w:val="0"/>
        <w:widowControl/>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年  月  日</w:t>
      </w:r>
    </w:p>
    <w:p w14:paraId="315390BA">
      <w:pPr>
        <w:keepNext w:val="0"/>
        <w:keepLines w:val="0"/>
        <w:pageBreakBefore w:val="0"/>
        <w:widowControl/>
        <w:kinsoku/>
        <w:wordWrap/>
        <w:overflowPunct/>
        <w:topLinePunct w:val="0"/>
        <w:autoSpaceDE/>
        <w:autoSpaceDN/>
        <w:bidi w:val="0"/>
        <w:adjustRightInd/>
        <w:snapToGrid/>
        <w:spacing w:after="0" w:line="480" w:lineRule="exact"/>
        <w:ind w:left="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3418CD6F">
      <w:pPr>
        <w:keepNext w:val="0"/>
        <w:keepLines w:val="0"/>
        <w:pageBreakBefore w:val="0"/>
        <w:widowControl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highlight w:val="none"/>
          <w:lang w:val="en-US" w:eastAsia="zh-CN"/>
        </w:rPr>
      </w:pPr>
      <w:r>
        <w:rPr>
          <w:rFonts w:hint="eastAsia" w:ascii="Times New Roman" w:hAnsi="Times New Roman" w:eastAsia="宋体" w:cs="Times New Roman"/>
          <w:b/>
          <w:bCs/>
          <w:highlight w:val="none"/>
          <w:lang w:val="en-US" w:eastAsia="zh-CN"/>
        </w:rPr>
        <w:t>组网服务年度评价考核办法</w:t>
      </w:r>
    </w:p>
    <w:p w14:paraId="5A167EA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一、考核总则</w:t>
      </w:r>
    </w:p>
    <w:p w14:paraId="25314D9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（一）考核目的</w:t>
      </w:r>
    </w:p>
    <w:p w14:paraId="40296EA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为客观、全面评估网络安全咨询服务供应商（以下简称“乙方”）的年度服务质量与履约能力，验证服务是否满足甲方网络安全管理需求，强化服务过程管控，推动服务质量持续提升，保障甲方网络安全体系稳定运行，依据双方签订的服务合同及相关技术要求制定本办法。</w:t>
      </w:r>
    </w:p>
    <w:p w14:paraId="5B5A385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（二）考核对象</w:t>
      </w:r>
    </w:p>
    <w:p w14:paraId="10865A0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提供组网服务的供应商（以下简称“乙方”）。</w:t>
      </w:r>
    </w:p>
    <w:p w14:paraId="4B3883F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（三）考核周期</w:t>
      </w:r>
    </w:p>
    <w:p w14:paraId="6BE5659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本服务一年服务期结束后进行考核。</w:t>
      </w:r>
    </w:p>
    <w:p w14:paraId="36E0980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（四）考核原则</w:t>
      </w:r>
    </w:p>
    <w:p w14:paraId="27189A3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客观公正原则：以合同约定、服务标准、实际交付成果及运行数据为依据，避免主观臆断。</w:t>
      </w:r>
    </w:p>
    <w:p w14:paraId="2DD4FF9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突出重点原则：聚焦服务响应时效、交付物质量、风险闭环能力、设备合规性等核心指标。</w:t>
      </w:r>
    </w:p>
    <w:p w14:paraId="5678F9A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奖惩联动原则：考核结果与服务费用支付直接挂钩。</w:t>
      </w:r>
    </w:p>
    <w:p w14:paraId="065F08B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持续改进原则：针对考核发现的问题，督促乙方制定整改方案并跟踪落实，形成管理闭环。</w:t>
      </w:r>
    </w:p>
    <w:p w14:paraId="525A1FD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二、考核指标体系与评分标准（总分100分）</w:t>
      </w:r>
    </w:p>
    <w:p w14:paraId="53509C7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（一）日常维护（24分）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090"/>
        <w:gridCol w:w="2213"/>
        <w:gridCol w:w="2091"/>
        <w:gridCol w:w="2152"/>
      </w:tblGrid>
      <w:tr w14:paraId="10046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noWrap w:val="0"/>
            <w:tcMar>
              <w:top w:w="60" w:type="dxa"/>
              <w:left w:w="120" w:type="dxa"/>
              <w:bottom w:w="30" w:type="dxa"/>
              <w:right w:w="120" w:type="dxa"/>
            </w:tcMar>
            <w:vAlign w:val="center"/>
          </w:tcPr>
          <w:p w14:paraId="3CE41591">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213" w:type="dxa"/>
            <w:noWrap w:val="0"/>
            <w:tcMar>
              <w:top w:w="60" w:type="dxa"/>
              <w:left w:w="120" w:type="dxa"/>
              <w:bottom w:w="30" w:type="dxa"/>
              <w:right w:w="120" w:type="dxa"/>
            </w:tcMar>
            <w:vAlign w:val="center"/>
          </w:tcPr>
          <w:p w14:paraId="30A920C6">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091" w:type="dxa"/>
            <w:noWrap w:val="0"/>
            <w:tcMar>
              <w:top w:w="60" w:type="dxa"/>
              <w:left w:w="120" w:type="dxa"/>
              <w:bottom w:w="30" w:type="dxa"/>
              <w:right w:w="120" w:type="dxa"/>
            </w:tcMar>
            <w:vAlign w:val="center"/>
          </w:tcPr>
          <w:p w14:paraId="0D6BE05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52" w:type="dxa"/>
            <w:noWrap w:val="0"/>
            <w:tcMar>
              <w:top w:w="60" w:type="dxa"/>
              <w:left w:w="120" w:type="dxa"/>
              <w:bottom w:w="30" w:type="dxa"/>
              <w:right w:w="120" w:type="dxa"/>
            </w:tcMar>
            <w:vAlign w:val="center"/>
          </w:tcPr>
          <w:p w14:paraId="314171C0">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73771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noWrap w:val="0"/>
            <w:tcMar>
              <w:top w:w="60" w:type="dxa"/>
              <w:left w:w="120" w:type="dxa"/>
              <w:bottom w:w="30" w:type="dxa"/>
              <w:right w:w="120" w:type="dxa"/>
            </w:tcMar>
            <w:vAlign w:val="center"/>
          </w:tcPr>
          <w:p w14:paraId="110EEB74">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每月定期巡检</w:t>
            </w:r>
          </w:p>
        </w:tc>
        <w:tc>
          <w:tcPr>
            <w:tcW w:w="2213" w:type="dxa"/>
            <w:noWrap w:val="0"/>
            <w:tcMar>
              <w:top w:w="60" w:type="dxa"/>
              <w:left w:w="120" w:type="dxa"/>
              <w:bottom w:w="30" w:type="dxa"/>
              <w:right w:w="120" w:type="dxa"/>
            </w:tcMar>
            <w:vAlign w:val="center"/>
          </w:tcPr>
          <w:p w14:paraId="4EF8BD13">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rPr>
            </w:pPr>
            <w:r>
              <w:rPr>
                <w:rFonts w:hint="eastAsia" w:ascii="Times New Roman" w:hAnsi="Times New Roman" w:eastAsia="宋体" w:cs="Times New Roman"/>
                <w:color w:val="auto"/>
                <w:kern w:val="2"/>
                <w:sz w:val="24"/>
                <w:szCs w:val="24"/>
                <w:highlight w:val="none"/>
                <w:lang w:val="en-US" w:eastAsia="zh-CN"/>
              </w:rPr>
              <w:t>每少一月巡检扣2分，扣完本项分值为止</w:t>
            </w:r>
          </w:p>
        </w:tc>
        <w:tc>
          <w:tcPr>
            <w:tcW w:w="2091" w:type="dxa"/>
            <w:noWrap w:val="0"/>
            <w:tcMar>
              <w:top w:w="60" w:type="dxa"/>
              <w:left w:w="120" w:type="dxa"/>
              <w:bottom w:w="30" w:type="dxa"/>
              <w:right w:w="120" w:type="dxa"/>
            </w:tcMar>
            <w:vAlign w:val="center"/>
          </w:tcPr>
          <w:p w14:paraId="209401E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24</w:t>
            </w:r>
            <w:r>
              <w:rPr>
                <w:rFonts w:ascii="Times New Roman" w:hAnsi="Times New Roman" w:eastAsia="宋体" w:cs="Times New Roman"/>
                <w:color w:val="auto"/>
                <w:kern w:val="2"/>
                <w:sz w:val="24"/>
                <w:szCs w:val="24"/>
                <w:highlight w:val="none"/>
              </w:rPr>
              <w:t xml:space="preserve"> 分</w:t>
            </w:r>
          </w:p>
        </w:tc>
        <w:tc>
          <w:tcPr>
            <w:tcW w:w="2152" w:type="dxa"/>
            <w:noWrap w:val="0"/>
            <w:tcMar>
              <w:top w:w="60" w:type="dxa"/>
              <w:left w:w="120" w:type="dxa"/>
              <w:bottom w:w="30" w:type="dxa"/>
              <w:right w:w="120" w:type="dxa"/>
            </w:tcMar>
            <w:vAlign w:val="center"/>
          </w:tcPr>
          <w:p w14:paraId="5BB2921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巡检记录</w:t>
            </w:r>
          </w:p>
        </w:tc>
      </w:tr>
    </w:tbl>
    <w:p w14:paraId="3F972BC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p>
    <w:p w14:paraId="1B14D85D">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firstLine="480" w:firstLineChars="200"/>
        <w:jc w:val="left"/>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en-US" w:bidi="ar-SA"/>
        </w:rPr>
        <w:t>（二）</w:t>
      </w:r>
      <w:r>
        <w:rPr>
          <w:rFonts w:hint="eastAsia" w:ascii="Times New Roman" w:hAnsi="Times New Roman" w:eastAsia="宋体" w:cs="Times New Roman"/>
          <w:color w:val="auto"/>
          <w:kern w:val="2"/>
          <w:sz w:val="24"/>
          <w:szCs w:val="24"/>
          <w:highlight w:val="none"/>
          <w:lang w:val="en-US" w:eastAsia="zh-CN"/>
        </w:rPr>
        <w:t>故障响应</w:t>
      </w:r>
      <w:r>
        <w:rPr>
          <w:rFonts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kern w:val="2"/>
          <w:sz w:val="24"/>
          <w:szCs w:val="24"/>
          <w:highlight w:val="none"/>
          <w:lang w:val="en-US" w:eastAsia="zh-CN"/>
        </w:rPr>
        <w:t>36</w:t>
      </w:r>
      <w:r>
        <w:rPr>
          <w:rFonts w:ascii="Times New Roman" w:hAnsi="Times New Roman" w:eastAsia="宋体" w:cs="Times New Roman"/>
          <w:color w:val="auto"/>
          <w:kern w:val="2"/>
          <w:sz w:val="24"/>
          <w:szCs w:val="24"/>
          <w:highlight w:val="none"/>
        </w:rPr>
        <w:t>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07"/>
        <w:gridCol w:w="2166"/>
        <w:gridCol w:w="2107"/>
        <w:gridCol w:w="2166"/>
      </w:tblGrid>
      <w:tr w14:paraId="45CED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29E5C8B5">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166" w:type="dxa"/>
            <w:noWrap w:val="0"/>
            <w:tcMar>
              <w:top w:w="60" w:type="dxa"/>
              <w:left w:w="120" w:type="dxa"/>
              <w:bottom w:w="30" w:type="dxa"/>
              <w:right w:w="120" w:type="dxa"/>
            </w:tcMar>
            <w:vAlign w:val="center"/>
          </w:tcPr>
          <w:p w14:paraId="758D8840">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107" w:type="dxa"/>
            <w:noWrap w:val="0"/>
            <w:tcMar>
              <w:top w:w="60" w:type="dxa"/>
              <w:left w:w="120" w:type="dxa"/>
              <w:bottom w:w="30" w:type="dxa"/>
              <w:right w:w="120" w:type="dxa"/>
            </w:tcMar>
            <w:vAlign w:val="center"/>
          </w:tcPr>
          <w:p w14:paraId="2780E082">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66" w:type="dxa"/>
            <w:noWrap w:val="0"/>
            <w:tcMar>
              <w:top w:w="60" w:type="dxa"/>
              <w:left w:w="120" w:type="dxa"/>
              <w:bottom w:w="30" w:type="dxa"/>
              <w:right w:w="120" w:type="dxa"/>
            </w:tcMar>
            <w:vAlign w:val="center"/>
          </w:tcPr>
          <w:p w14:paraId="471A414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1A64D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196E17E6">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应急处理</w:t>
            </w:r>
          </w:p>
        </w:tc>
        <w:tc>
          <w:tcPr>
            <w:tcW w:w="2166" w:type="dxa"/>
            <w:noWrap w:val="0"/>
            <w:tcMar>
              <w:top w:w="60" w:type="dxa"/>
              <w:left w:w="120" w:type="dxa"/>
              <w:bottom w:w="30" w:type="dxa"/>
              <w:right w:w="120" w:type="dxa"/>
            </w:tcMar>
            <w:vAlign w:val="center"/>
          </w:tcPr>
          <w:p w14:paraId="2FAE905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每次故障以甲方报障时间开始计算，1小时内解决不扣分；1-3小时解决提交书面故障报告，并扣1分；3-6小时解决扣5分；6小时以上解决扣10分</w:t>
            </w:r>
          </w:p>
        </w:tc>
        <w:tc>
          <w:tcPr>
            <w:tcW w:w="2107" w:type="dxa"/>
            <w:noWrap w:val="0"/>
            <w:tcMar>
              <w:top w:w="60" w:type="dxa"/>
              <w:left w:w="120" w:type="dxa"/>
              <w:bottom w:w="30" w:type="dxa"/>
              <w:right w:w="120" w:type="dxa"/>
            </w:tcMar>
            <w:vAlign w:val="center"/>
          </w:tcPr>
          <w:p w14:paraId="6AA36D2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36 分</w:t>
            </w:r>
          </w:p>
        </w:tc>
        <w:tc>
          <w:tcPr>
            <w:tcW w:w="2166" w:type="dxa"/>
            <w:noWrap w:val="0"/>
            <w:tcMar>
              <w:top w:w="60" w:type="dxa"/>
              <w:left w:w="120" w:type="dxa"/>
              <w:bottom w:w="30" w:type="dxa"/>
              <w:right w:w="120" w:type="dxa"/>
            </w:tcMar>
            <w:vAlign w:val="center"/>
          </w:tcPr>
          <w:p w14:paraId="72FAB21B">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ascii="Times New Roman" w:hAnsi="Times New Roman" w:eastAsia="宋体" w:cs="Times New Roman"/>
                <w:color w:val="auto"/>
                <w:kern w:val="2"/>
                <w:sz w:val="24"/>
                <w:szCs w:val="24"/>
                <w:highlight w:val="none"/>
              </w:rPr>
              <w:t>服务工单记录、甲方监测系统日志</w:t>
            </w:r>
          </w:p>
        </w:tc>
      </w:tr>
    </w:tbl>
    <w:p w14:paraId="7E44D46B">
      <w:pPr>
        <w:pStyle w:val="18"/>
        <w:keepNext w:val="0"/>
        <w:keepLines w:val="0"/>
        <w:pageBreakBefore w:val="0"/>
        <w:kinsoku/>
        <w:wordWrap/>
        <w:overflowPunct/>
        <w:topLinePunct w:val="0"/>
        <w:autoSpaceDE/>
        <w:autoSpaceDN/>
        <w:bidi w:val="0"/>
        <w:adjustRightInd/>
        <w:snapToGrid/>
        <w:spacing w:after="0" w:line="500" w:lineRule="exact"/>
        <w:ind w:left="0"/>
        <w:textAlignment w:val="auto"/>
        <w:rPr>
          <w:rFonts w:hint="eastAsia"/>
          <w:sz w:val="24"/>
          <w:szCs w:val="24"/>
          <w:highlight w:val="none"/>
          <w:lang w:val="en-US" w:eastAsia="zh-CN"/>
        </w:rPr>
      </w:pPr>
    </w:p>
    <w:p w14:paraId="2495BEB1">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firstLine="480" w:firstLineChars="200"/>
        <w:jc w:val="left"/>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en-US" w:bidi="ar-SA"/>
        </w:rPr>
        <w:t>（三）</w:t>
      </w:r>
      <w:r>
        <w:rPr>
          <w:rFonts w:hint="eastAsia" w:ascii="Times New Roman" w:hAnsi="Times New Roman" w:eastAsia="宋体" w:cs="Times New Roman"/>
          <w:color w:val="auto"/>
          <w:kern w:val="2"/>
          <w:sz w:val="24"/>
          <w:szCs w:val="24"/>
          <w:highlight w:val="none"/>
          <w:lang w:val="en-US" w:eastAsia="zh-CN"/>
        </w:rPr>
        <w:t>运行质量</w:t>
      </w:r>
      <w:r>
        <w:rPr>
          <w:rFonts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kern w:val="2"/>
          <w:sz w:val="24"/>
          <w:szCs w:val="24"/>
          <w:highlight w:val="none"/>
          <w:lang w:val="en-US" w:eastAsia="zh-CN"/>
        </w:rPr>
        <w:t>30</w:t>
      </w:r>
      <w:r>
        <w:rPr>
          <w:rFonts w:ascii="Times New Roman" w:hAnsi="Times New Roman" w:eastAsia="宋体" w:cs="Times New Roman"/>
          <w:color w:val="auto"/>
          <w:kern w:val="2"/>
          <w:sz w:val="24"/>
          <w:szCs w:val="24"/>
          <w:highlight w:val="none"/>
        </w:rPr>
        <w:t>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07"/>
        <w:gridCol w:w="2166"/>
        <w:gridCol w:w="2107"/>
        <w:gridCol w:w="2166"/>
      </w:tblGrid>
      <w:tr w14:paraId="43976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5444F8B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166" w:type="dxa"/>
            <w:noWrap w:val="0"/>
            <w:tcMar>
              <w:top w:w="60" w:type="dxa"/>
              <w:left w:w="120" w:type="dxa"/>
              <w:bottom w:w="30" w:type="dxa"/>
              <w:right w:w="120" w:type="dxa"/>
            </w:tcMar>
            <w:vAlign w:val="center"/>
          </w:tcPr>
          <w:p w14:paraId="4767B531">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107" w:type="dxa"/>
            <w:noWrap w:val="0"/>
            <w:tcMar>
              <w:top w:w="60" w:type="dxa"/>
              <w:left w:w="120" w:type="dxa"/>
              <w:bottom w:w="30" w:type="dxa"/>
              <w:right w:w="120" w:type="dxa"/>
            </w:tcMar>
            <w:vAlign w:val="center"/>
          </w:tcPr>
          <w:p w14:paraId="2EB8D126">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66" w:type="dxa"/>
            <w:noWrap w:val="0"/>
            <w:tcMar>
              <w:top w:w="60" w:type="dxa"/>
              <w:left w:w="120" w:type="dxa"/>
              <w:bottom w:w="30" w:type="dxa"/>
              <w:right w:w="120" w:type="dxa"/>
            </w:tcMar>
            <w:vAlign w:val="center"/>
          </w:tcPr>
          <w:p w14:paraId="10EB4653">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3751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07548A17">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线路故障</w:t>
            </w:r>
          </w:p>
        </w:tc>
        <w:tc>
          <w:tcPr>
            <w:tcW w:w="2166" w:type="dxa"/>
            <w:noWrap w:val="0"/>
            <w:tcMar>
              <w:top w:w="60" w:type="dxa"/>
              <w:left w:w="120" w:type="dxa"/>
              <w:bottom w:w="30" w:type="dxa"/>
              <w:right w:w="120" w:type="dxa"/>
            </w:tcMar>
            <w:vAlign w:val="center"/>
          </w:tcPr>
          <w:p w14:paraId="4FF60C4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每出现一次线路故障导致业务影响扣1分，扣完本项分值为止</w:t>
            </w:r>
          </w:p>
        </w:tc>
        <w:tc>
          <w:tcPr>
            <w:tcW w:w="2107" w:type="dxa"/>
            <w:noWrap w:val="0"/>
            <w:tcMar>
              <w:top w:w="60" w:type="dxa"/>
              <w:left w:w="120" w:type="dxa"/>
              <w:bottom w:w="30" w:type="dxa"/>
              <w:right w:w="120" w:type="dxa"/>
            </w:tcMar>
            <w:vAlign w:val="center"/>
          </w:tcPr>
          <w:p w14:paraId="46E3893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 分</w:t>
            </w:r>
          </w:p>
        </w:tc>
        <w:tc>
          <w:tcPr>
            <w:tcW w:w="2166" w:type="dxa"/>
            <w:noWrap w:val="0"/>
            <w:tcMar>
              <w:top w:w="60" w:type="dxa"/>
              <w:left w:w="120" w:type="dxa"/>
              <w:bottom w:w="30" w:type="dxa"/>
              <w:right w:w="120" w:type="dxa"/>
            </w:tcMar>
            <w:vAlign w:val="center"/>
          </w:tcPr>
          <w:p w14:paraId="3C18FC1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ascii="Times New Roman" w:hAnsi="Times New Roman" w:eastAsia="宋体" w:cs="Times New Roman"/>
                <w:color w:val="auto"/>
                <w:kern w:val="2"/>
                <w:sz w:val="24"/>
                <w:szCs w:val="24"/>
                <w:highlight w:val="none"/>
              </w:rPr>
              <w:t>服务工单记录、甲方监测系统日志</w:t>
            </w:r>
          </w:p>
        </w:tc>
      </w:tr>
      <w:tr w14:paraId="52FC1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4086DB51">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线路时延</w:t>
            </w:r>
          </w:p>
        </w:tc>
        <w:tc>
          <w:tcPr>
            <w:tcW w:w="2166" w:type="dxa"/>
            <w:noWrap w:val="0"/>
            <w:tcMar>
              <w:top w:w="60" w:type="dxa"/>
              <w:left w:w="120" w:type="dxa"/>
              <w:bottom w:w="30" w:type="dxa"/>
              <w:right w:w="120" w:type="dxa"/>
            </w:tcMar>
            <w:vAlign w:val="center"/>
          </w:tcPr>
          <w:p w14:paraId="2F53B14E">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两端时延大于100ms，每持续1天扣1分，扣完本项分值为止</w:t>
            </w:r>
          </w:p>
        </w:tc>
        <w:tc>
          <w:tcPr>
            <w:tcW w:w="2107" w:type="dxa"/>
            <w:noWrap w:val="0"/>
            <w:tcMar>
              <w:top w:w="60" w:type="dxa"/>
              <w:left w:w="120" w:type="dxa"/>
              <w:bottom w:w="30" w:type="dxa"/>
              <w:right w:w="120" w:type="dxa"/>
            </w:tcMar>
            <w:vAlign w:val="center"/>
          </w:tcPr>
          <w:p w14:paraId="616A0C21">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10分</w:t>
            </w:r>
          </w:p>
        </w:tc>
        <w:tc>
          <w:tcPr>
            <w:tcW w:w="2166" w:type="dxa"/>
            <w:noWrap w:val="0"/>
            <w:tcMar>
              <w:top w:w="60" w:type="dxa"/>
              <w:left w:w="120" w:type="dxa"/>
              <w:bottom w:w="30" w:type="dxa"/>
              <w:right w:w="120" w:type="dxa"/>
            </w:tcMar>
            <w:vAlign w:val="center"/>
          </w:tcPr>
          <w:p w14:paraId="144D25CB">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ascii="Times New Roman" w:hAnsi="Times New Roman" w:eastAsia="宋体" w:cs="Times New Roman"/>
                <w:color w:val="auto"/>
                <w:kern w:val="2"/>
                <w:sz w:val="24"/>
                <w:szCs w:val="24"/>
                <w:highlight w:val="none"/>
              </w:rPr>
            </w:pPr>
            <w:r>
              <w:rPr>
                <w:rFonts w:ascii="Times New Roman" w:hAnsi="Times New Roman" w:eastAsia="宋体" w:cs="Times New Roman"/>
                <w:color w:val="auto"/>
                <w:kern w:val="2"/>
                <w:sz w:val="24"/>
                <w:szCs w:val="24"/>
                <w:highlight w:val="none"/>
              </w:rPr>
              <w:t>服务工单记录、甲方监测系统日志</w:t>
            </w:r>
          </w:p>
        </w:tc>
      </w:tr>
      <w:tr w14:paraId="1167D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5FF03909">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线路丢包</w:t>
            </w:r>
          </w:p>
        </w:tc>
        <w:tc>
          <w:tcPr>
            <w:tcW w:w="2166" w:type="dxa"/>
            <w:noWrap w:val="0"/>
            <w:tcMar>
              <w:top w:w="60" w:type="dxa"/>
              <w:left w:w="120" w:type="dxa"/>
              <w:bottom w:w="30" w:type="dxa"/>
              <w:right w:w="120" w:type="dxa"/>
            </w:tcMar>
            <w:vAlign w:val="center"/>
          </w:tcPr>
          <w:p w14:paraId="2865875E">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1000个包中丢包率大于0.5%，每持续1天扣1分，扣完本项分值为止</w:t>
            </w:r>
          </w:p>
        </w:tc>
        <w:tc>
          <w:tcPr>
            <w:tcW w:w="2107" w:type="dxa"/>
            <w:noWrap w:val="0"/>
            <w:tcMar>
              <w:top w:w="60" w:type="dxa"/>
              <w:left w:w="120" w:type="dxa"/>
              <w:bottom w:w="30" w:type="dxa"/>
              <w:right w:w="120" w:type="dxa"/>
            </w:tcMar>
            <w:vAlign w:val="center"/>
          </w:tcPr>
          <w:p w14:paraId="5A078A32">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10分</w:t>
            </w:r>
          </w:p>
        </w:tc>
        <w:tc>
          <w:tcPr>
            <w:tcW w:w="2166" w:type="dxa"/>
            <w:noWrap w:val="0"/>
            <w:tcMar>
              <w:top w:w="60" w:type="dxa"/>
              <w:left w:w="120" w:type="dxa"/>
              <w:bottom w:w="30" w:type="dxa"/>
              <w:right w:w="120" w:type="dxa"/>
            </w:tcMar>
            <w:vAlign w:val="center"/>
          </w:tcPr>
          <w:p w14:paraId="0CE58BFC">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ascii="Times New Roman" w:hAnsi="Times New Roman" w:eastAsia="宋体" w:cs="Times New Roman"/>
                <w:color w:val="auto"/>
                <w:kern w:val="2"/>
                <w:sz w:val="24"/>
                <w:szCs w:val="24"/>
                <w:highlight w:val="none"/>
              </w:rPr>
            </w:pPr>
            <w:r>
              <w:rPr>
                <w:rFonts w:ascii="Times New Roman" w:hAnsi="Times New Roman" w:eastAsia="宋体" w:cs="Times New Roman"/>
                <w:color w:val="auto"/>
                <w:kern w:val="2"/>
                <w:sz w:val="24"/>
                <w:szCs w:val="24"/>
                <w:highlight w:val="none"/>
              </w:rPr>
              <w:t>服务工单记录、甲方监测系统日志</w:t>
            </w:r>
          </w:p>
        </w:tc>
      </w:tr>
    </w:tbl>
    <w:p w14:paraId="3E3642DC">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jc w:val="left"/>
        <w:textAlignment w:val="auto"/>
        <w:rPr>
          <w:rFonts w:ascii="Times New Roman" w:hAnsi="Times New Roman" w:eastAsia="宋体" w:cs="Times New Roman"/>
          <w:color w:val="auto"/>
          <w:kern w:val="2"/>
          <w:sz w:val="24"/>
          <w:szCs w:val="24"/>
          <w:highlight w:val="none"/>
        </w:rPr>
      </w:pPr>
    </w:p>
    <w:p w14:paraId="7548818D">
      <w:pPr>
        <w:keepNext w:val="0"/>
        <w:keepLines w:val="0"/>
        <w:pageBreakBefore w:val="0"/>
        <w:widowControl/>
        <w:numPr>
          <w:ilvl w:val="0"/>
          <w:numId w:val="3"/>
        </w:numPr>
        <w:kinsoku/>
        <w:wordWrap/>
        <w:overflowPunct/>
        <w:topLinePunct w:val="0"/>
        <w:autoSpaceDE/>
        <w:autoSpaceDN/>
        <w:bidi w:val="0"/>
        <w:adjustRightInd/>
        <w:snapToGrid/>
        <w:spacing w:after="0" w:line="500" w:lineRule="exact"/>
        <w:ind w:left="0" w:firstLine="480" w:firstLineChars="200"/>
        <w:jc w:val="left"/>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安全规范</w:t>
      </w:r>
      <w:r>
        <w:rPr>
          <w:rFonts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kern w:val="2"/>
          <w:sz w:val="24"/>
          <w:szCs w:val="24"/>
          <w:highlight w:val="none"/>
          <w:lang w:val="en-US" w:eastAsia="zh-CN"/>
        </w:rPr>
        <w:t>10</w:t>
      </w:r>
      <w:r>
        <w:rPr>
          <w:rFonts w:ascii="Times New Roman" w:hAnsi="Times New Roman" w:eastAsia="宋体" w:cs="Times New Roman"/>
          <w:color w:val="auto"/>
          <w:kern w:val="2"/>
          <w:sz w:val="24"/>
          <w:szCs w:val="24"/>
          <w:highlight w:val="none"/>
        </w:rPr>
        <w:t>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07"/>
        <w:gridCol w:w="2166"/>
        <w:gridCol w:w="2107"/>
        <w:gridCol w:w="2166"/>
      </w:tblGrid>
      <w:tr w14:paraId="1DB62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3C76F594">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166" w:type="dxa"/>
            <w:noWrap w:val="0"/>
            <w:tcMar>
              <w:top w:w="60" w:type="dxa"/>
              <w:left w:w="120" w:type="dxa"/>
              <w:bottom w:w="30" w:type="dxa"/>
              <w:right w:w="120" w:type="dxa"/>
            </w:tcMar>
            <w:vAlign w:val="center"/>
          </w:tcPr>
          <w:p w14:paraId="71E989C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107" w:type="dxa"/>
            <w:noWrap w:val="0"/>
            <w:tcMar>
              <w:top w:w="60" w:type="dxa"/>
              <w:left w:w="120" w:type="dxa"/>
              <w:bottom w:w="30" w:type="dxa"/>
              <w:right w:w="120" w:type="dxa"/>
            </w:tcMar>
            <w:vAlign w:val="center"/>
          </w:tcPr>
          <w:p w14:paraId="144CE54E">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66" w:type="dxa"/>
            <w:noWrap w:val="0"/>
            <w:tcMar>
              <w:top w:w="60" w:type="dxa"/>
              <w:left w:w="120" w:type="dxa"/>
              <w:bottom w:w="30" w:type="dxa"/>
              <w:right w:w="120" w:type="dxa"/>
            </w:tcMar>
            <w:vAlign w:val="center"/>
          </w:tcPr>
          <w:p w14:paraId="2BDEF3F1">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1E797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5806C15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服务合规</w:t>
            </w:r>
          </w:p>
        </w:tc>
        <w:tc>
          <w:tcPr>
            <w:tcW w:w="2166" w:type="dxa"/>
            <w:noWrap w:val="0"/>
            <w:tcMar>
              <w:top w:w="60" w:type="dxa"/>
              <w:left w:w="120" w:type="dxa"/>
              <w:bottom w:w="30" w:type="dxa"/>
              <w:right w:w="120" w:type="dxa"/>
            </w:tcMar>
            <w:vAlign w:val="center"/>
          </w:tcPr>
          <w:p w14:paraId="48613897">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按照甲方的管理要求进行操作和运维，每出现一次违规行为扣1分，扣完本项分值为止</w:t>
            </w:r>
          </w:p>
        </w:tc>
        <w:tc>
          <w:tcPr>
            <w:tcW w:w="2107" w:type="dxa"/>
            <w:noWrap w:val="0"/>
            <w:tcMar>
              <w:top w:w="60" w:type="dxa"/>
              <w:left w:w="120" w:type="dxa"/>
              <w:bottom w:w="30" w:type="dxa"/>
              <w:right w:w="120" w:type="dxa"/>
            </w:tcMar>
            <w:vAlign w:val="center"/>
          </w:tcPr>
          <w:p w14:paraId="5D4CA021">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 分</w:t>
            </w:r>
          </w:p>
        </w:tc>
        <w:tc>
          <w:tcPr>
            <w:tcW w:w="2166" w:type="dxa"/>
            <w:noWrap w:val="0"/>
            <w:tcMar>
              <w:top w:w="60" w:type="dxa"/>
              <w:left w:w="120" w:type="dxa"/>
              <w:bottom w:w="30" w:type="dxa"/>
              <w:right w:w="120" w:type="dxa"/>
            </w:tcMar>
            <w:vAlign w:val="center"/>
          </w:tcPr>
          <w:p w14:paraId="093E0412">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ascii="Times New Roman" w:hAnsi="Times New Roman" w:eastAsia="宋体" w:cs="Times New Roman"/>
                <w:color w:val="auto"/>
                <w:kern w:val="2"/>
                <w:sz w:val="24"/>
                <w:szCs w:val="24"/>
                <w:highlight w:val="none"/>
              </w:rPr>
              <w:t>服务工单记录</w:t>
            </w:r>
            <w:r>
              <w:rPr>
                <w:rFonts w:hint="eastAsia" w:ascii="Times New Roman" w:hAnsi="Times New Roman" w:eastAsia="宋体" w:cs="Times New Roman"/>
                <w:color w:val="auto"/>
                <w:kern w:val="2"/>
                <w:sz w:val="24"/>
                <w:szCs w:val="24"/>
                <w:highlight w:val="none"/>
                <w:lang w:eastAsia="zh-CN"/>
              </w:rPr>
              <w:t>、</w:t>
            </w:r>
            <w:r>
              <w:rPr>
                <w:rFonts w:ascii="Times New Roman" w:hAnsi="Times New Roman" w:eastAsia="宋体" w:cs="Times New Roman"/>
                <w:color w:val="auto"/>
                <w:kern w:val="2"/>
                <w:sz w:val="24"/>
                <w:szCs w:val="24"/>
                <w:highlight w:val="none"/>
              </w:rPr>
              <w:t>甲方</w:t>
            </w:r>
            <w:r>
              <w:rPr>
                <w:rFonts w:hint="eastAsia" w:ascii="Times New Roman" w:hAnsi="Times New Roman" w:eastAsia="宋体" w:cs="Times New Roman"/>
                <w:color w:val="auto"/>
                <w:kern w:val="2"/>
                <w:sz w:val="24"/>
                <w:szCs w:val="24"/>
                <w:highlight w:val="none"/>
                <w:lang w:val="en-US" w:eastAsia="zh-CN"/>
              </w:rPr>
              <w:t>备注记录</w:t>
            </w:r>
          </w:p>
        </w:tc>
      </w:tr>
    </w:tbl>
    <w:p w14:paraId="54608B3B">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jc w:val="left"/>
        <w:textAlignment w:val="auto"/>
        <w:rPr>
          <w:rFonts w:ascii="Times New Roman" w:hAnsi="Times New Roman" w:eastAsia="宋体" w:cs="Times New Roman"/>
          <w:color w:val="auto"/>
          <w:kern w:val="2"/>
          <w:sz w:val="24"/>
          <w:szCs w:val="24"/>
          <w:highlight w:val="none"/>
        </w:rPr>
      </w:pPr>
    </w:p>
    <w:p w14:paraId="2E449CB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三、考核实施流程</w:t>
      </w:r>
    </w:p>
    <w:p w14:paraId="60E1392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（一）数据收集</w:t>
      </w:r>
    </w:p>
    <w:p w14:paraId="3AA71F7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服务期结束前，甲方网络安全管理部门牵头，收集服务工单、事件处置记录、核查报告等相关数据，确保数据真实可追溯。</w:t>
      </w:r>
    </w:p>
    <w:p w14:paraId="4C0CEE4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（二）初步评分</w:t>
      </w:r>
    </w:p>
    <w:p w14:paraId="43D146B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甲方考核小组依据本办法评分标准，对各项指标进行量化打分，形成初步考核结果，并附评分依据说明。</w:t>
      </w:r>
    </w:p>
    <w:p w14:paraId="286B3F8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四、考核结果应用</w:t>
      </w:r>
    </w:p>
    <w:p w14:paraId="79FC276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（一）考核等级划分</w:t>
      </w:r>
    </w:p>
    <w:p w14:paraId="6509B9D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1、等级</w:t>
      </w:r>
    </w:p>
    <w:p w14:paraId="0C48062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优秀：90分及以上；</w:t>
      </w:r>
    </w:p>
    <w:p w14:paraId="4DD1049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良好：80-89分（含）；</w:t>
      </w:r>
    </w:p>
    <w:p w14:paraId="3160AAB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合格：60-79分（含）；</w:t>
      </w:r>
    </w:p>
    <w:p w14:paraId="31926E3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不合格：60分以下。</w:t>
      </w:r>
    </w:p>
    <w:p w14:paraId="0C350F4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2、每次支付比例</w:t>
      </w:r>
    </w:p>
    <w:p w14:paraId="2BC6000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（1）良好及以上等级：甲方全额支付该次合同金额；</w:t>
      </w:r>
    </w:p>
    <w:p w14:paraId="5D3D94F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（2）合格等级：甲方支付该次合同金额的90%，乙方需在30日内提交整改方案，甲方跟踪整改效果；整改未达标的，甲方有权解除合同；</w:t>
      </w:r>
    </w:p>
    <w:p w14:paraId="7A3702B4">
      <w:pPr>
        <w:keepNext w:val="0"/>
        <w:keepLines w:val="0"/>
        <w:pageBreakBefore w:val="0"/>
        <w:widowControl w:val="0"/>
        <w:kinsoku/>
        <w:wordWrap/>
        <w:overflowPunct/>
        <w:topLinePunct w:val="0"/>
        <w:autoSpaceDE/>
        <w:autoSpaceDN/>
        <w:bidi w:val="0"/>
        <w:adjustRightInd/>
        <w:snapToGrid/>
        <w:spacing w:after="0" w:line="500" w:lineRule="exact"/>
        <w:ind w:left="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（3）不合格等级：甲方支付该次合同金额的50%。</w:t>
      </w:r>
    </w:p>
    <w:p w14:paraId="63C2DF60">
      <w:pPr>
        <w:keepNext w:val="0"/>
        <w:keepLines w:val="0"/>
        <w:pageBreakBefore w:val="0"/>
        <w:widowControl w:val="0"/>
        <w:kinsoku/>
        <w:wordWrap/>
        <w:overflowPunct/>
        <w:topLinePunct w:val="0"/>
        <w:autoSpaceDE/>
        <w:autoSpaceDN/>
        <w:bidi w:val="0"/>
        <w:adjustRightInd/>
        <w:snapToGrid/>
        <w:spacing w:after="0" w:line="500" w:lineRule="exact"/>
        <w:ind w:left="0" w:firstLine="480" w:firstLineChars="200"/>
        <w:textAlignment w:val="auto"/>
        <w:rPr>
          <w:rFonts w:hint="eastAsia" w:ascii="宋体" w:hAnsi="宋体" w:eastAsia="宋体" w:cs="宋体"/>
          <w:bCs/>
          <w:color w:val="auto"/>
          <w:kern w:val="2"/>
          <w:sz w:val="24"/>
          <w:szCs w:val="24"/>
          <w:highlight w:val="none"/>
          <w:lang w:val="en-US" w:eastAsia="zh-CN" w:bidi="ar-SA"/>
        </w:rPr>
      </w:pPr>
    </w:p>
    <w:p w14:paraId="72250198">
      <w:pPr>
        <w:keepNext w:val="0"/>
        <w:keepLines w:val="0"/>
        <w:pageBreakBefore w:val="0"/>
        <w:kinsoku/>
        <w:wordWrap/>
        <w:overflowPunct/>
        <w:topLinePunct w:val="0"/>
        <w:autoSpaceDE/>
        <w:autoSpaceDN/>
        <w:bidi w:val="0"/>
        <w:adjustRightInd/>
        <w:snapToGrid/>
        <w:spacing w:after="0" w:line="500" w:lineRule="exact"/>
        <w:ind w:left="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br w:type="page"/>
      </w:r>
    </w:p>
    <w:p w14:paraId="04D533BF">
      <w:pPr>
        <w:keepNext w:val="0"/>
        <w:keepLines w:val="0"/>
        <w:pageBreakBefore w:val="0"/>
        <w:widowControl w:val="0"/>
        <w:kinsoku/>
        <w:wordWrap/>
        <w:overflowPunct/>
        <w:topLinePunct w:val="0"/>
        <w:autoSpaceDE/>
        <w:autoSpaceDN/>
        <w:bidi w:val="0"/>
        <w:adjustRightInd/>
        <w:snapToGrid/>
        <w:spacing w:after="0" w:line="500" w:lineRule="exact"/>
        <w:ind w:left="0" w:firstLine="0"/>
        <w:textAlignment w:val="auto"/>
        <w:rPr>
          <w:rFonts w:hint="eastAsia" w:ascii="宋体" w:hAnsi="宋体" w:eastAsia="宋体" w:cs="宋体"/>
          <w:bCs/>
          <w:color w:val="auto"/>
          <w:kern w:val="2"/>
          <w:sz w:val="24"/>
          <w:szCs w:val="24"/>
          <w:highlight w:val="none"/>
          <w:lang w:val="en-US" w:eastAsia="zh-CN" w:bidi="ar-SA"/>
        </w:rPr>
      </w:pPr>
    </w:p>
    <w:p w14:paraId="2EB6702D">
      <w:pPr>
        <w:keepNext w:val="0"/>
        <w:keepLines w:val="0"/>
        <w:pageBreakBefore w:val="0"/>
        <w:kinsoku/>
        <w:wordWrap/>
        <w:overflowPunct/>
        <w:topLinePunct w:val="0"/>
        <w:autoSpaceDE/>
        <w:autoSpaceDN/>
        <w:bidi w:val="0"/>
        <w:adjustRightInd/>
        <w:snapToGrid/>
        <w:spacing w:after="0" w:line="500" w:lineRule="exact"/>
        <w:ind w:left="0"/>
        <w:jc w:val="center"/>
        <w:textAlignment w:val="auto"/>
        <w:rPr>
          <w:bCs/>
          <w:sz w:val="24"/>
          <w:szCs w:val="24"/>
          <w:highlight w:val="none"/>
        </w:rPr>
      </w:pPr>
      <w:r>
        <w:rPr>
          <w:rFonts w:hint="eastAsia"/>
          <w:sz w:val="24"/>
          <w:szCs w:val="24"/>
          <w:highlight w:val="none"/>
          <w:lang w:val="en-US" w:eastAsia="zh-CN"/>
        </w:rPr>
        <w:t>至瑞金总院组网</w:t>
      </w:r>
      <w:r>
        <w:rPr>
          <w:rFonts w:hint="eastAsia"/>
          <w:sz w:val="24"/>
          <w:szCs w:val="24"/>
          <w:highlight w:val="none"/>
        </w:rPr>
        <w:t>服务</w:t>
      </w:r>
      <w:r>
        <w:rPr>
          <w:sz w:val="24"/>
          <w:szCs w:val="24"/>
          <w:highlight w:val="none"/>
        </w:rPr>
        <w:t>采购</w:t>
      </w:r>
      <w:r>
        <w:rPr>
          <w:rFonts w:hint="eastAsia"/>
          <w:sz w:val="24"/>
          <w:szCs w:val="24"/>
          <w:highlight w:val="none"/>
        </w:rPr>
        <w:t>合同（服务类）</w:t>
      </w:r>
    </w:p>
    <w:p w14:paraId="617FC466">
      <w:pPr>
        <w:keepNext w:val="0"/>
        <w:keepLines w:val="0"/>
        <w:pageBreakBefore w:val="0"/>
        <w:kinsoku/>
        <w:wordWrap/>
        <w:overflowPunct/>
        <w:topLinePunct w:val="0"/>
        <w:autoSpaceDE/>
        <w:autoSpaceDN/>
        <w:bidi w:val="0"/>
        <w:adjustRightInd/>
        <w:snapToGrid/>
        <w:spacing w:after="0" w:line="500" w:lineRule="exact"/>
        <w:ind w:left="0"/>
        <w:textAlignment w:val="auto"/>
        <w:rPr>
          <w:sz w:val="24"/>
          <w:szCs w:val="24"/>
          <w:highlight w:val="none"/>
        </w:rPr>
      </w:pPr>
      <w:r>
        <w:rPr>
          <w:rFonts w:hint="eastAsia"/>
          <w:sz w:val="24"/>
          <w:szCs w:val="24"/>
          <w:highlight w:val="none"/>
        </w:rPr>
        <w:t xml:space="preserve">             </w:t>
      </w:r>
    </w:p>
    <w:p w14:paraId="5F70411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default" w:eastAsia="宋体"/>
          <w:sz w:val="24"/>
          <w:szCs w:val="24"/>
          <w:highlight w:val="none"/>
          <w:lang w:val="en-US" w:eastAsia="zh-CN"/>
        </w:rPr>
      </w:pPr>
      <w:r>
        <w:rPr>
          <w:rFonts w:hint="eastAsia"/>
          <w:sz w:val="24"/>
          <w:szCs w:val="24"/>
          <w:highlight w:val="none"/>
        </w:rPr>
        <w:t>甲方：</w:t>
      </w:r>
      <w:r>
        <w:rPr>
          <w:sz w:val="24"/>
          <w:szCs w:val="24"/>
          <w:highlight w:val="none"/>
        </w:rPr>
        <w:t xml:space="preserve"> </w:t>
      </w:r>
      <w:r>
        <w:rPr>
          <w:rFonts w:hint="eastAsia"/>
          <w:sz w:val="24"/>
          <w:szCs w:val="24"/>
          <w:highlight w:val="none"/>
          <w:lang w:val="en-US" w:eastAsia="zh-CN"/>
        </w:rPr>
        <w:t>太仓市娄江新城医院（瑞金医院太仓分院）</w:t>
      </w:r>
    </w:p>
    <w:p w14:paraId="49E1ED9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地址：</w:t>
      </w:r>
      <w:r>
        <w:rPr>
          <w:sz w:val="24"/>
          <w:szCs w:val="24"/>
          <w:highlight w:val="none"/>
        </w:rPr>
        <w:t xml:space="preserve"> </w:t>
      </w:r>
      <w:r>
        <w:rPr>
          <w:rFonts w:hint="eastAsia"/>
          <w:sz w:val="24"/>
          <w:szCs w:val="24"/>
          <w:highlight w:val="none"/>
        </w:rPr>
        <w:t>太仓市上海东路666号</w:t>
      </w:r>
    </w:p>
    <w:p w14:paraId="54F8EBC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default" w:eastAsia="宋体"/>
          <w:sz w:val="24"/>
          <w:szCs w:val="24"/>
          <w:highlight w:val="none"/>
          <w:lang w:val="en-US" w:eastAsia="zh-CN"/>
        </w:rPr>
      </w:pPr>
      <w:r>
        <w:rPr>
          <w:rFonts w:hint="eastAsia"/>
          <w:sz w:val="24"/>
          <w:szCs w:val="24"/>
          <w:highlight w:val="none"/>
        </w:rPr>
        <w:t>邮政编码：</w:t>
      </w:r>
      <w:r>
        <w:rPr>
          <w:rFonts w:hint="eastAsia"/>
          <w:sz w:val="24"/>
          <w:szCs w:val="24"/>
          <w:highlight w:val="none"/>
          <w:lang w:val="en-US" w:eastAsia="zh-CN"/>
        </w:rPr>
        <w:t>215400</w:t>
      </w:r>
    </w:p>
    <w:p w14:paraId="1B6EF68E">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电话：</w:t>
      </w:r>
      <w:r>
        <w:rPr>
          <w:rFonts w:hint="eastAsia"/>
          <w:sz w:val="24"/>
          <w:szCs w:val="24"/>
          <w:highlight w:val="none"/>
          <w:u w:val="none"/>
          <w:lang w:val="en-US" w:eastAsia="zh-CN"/>
        </w:rPr>
        <w:t>0512-56561907</w:t>
      </w:r>
    </w:p>
    <w:p w14:paraId="5EA2F29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传真：</w:t>
      </w:r>
    </w:p>
    <w:p w14:paraId="6D48ADD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联系人：</w:t>
      </w:r>
    </w:p>
    <w:p w14:paraId="32A75C5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p>
    <w:p w14:paraId="5613ABB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乙方：</w:t>
      </w:r>
      <w:permStart w:id="17" w:edGrp="everyone"/>
      <w:r>
        <w:rPr>
          <w:sz w:val="24"/>
          <w:szCs w:val="24"/>
          <w:highlight w:val="none"/>
        </w:rPr>
        <w:t xml:space="preserve"> </w:t>
      </w:r>
      <w:r>
        <w:rPr>
          <w:rFonts w:hint="eastAsia"/>
          <w:sz w:val="24"/>
          <w:szCs w:val="24"/>
          <w:highlight w:val="none"/>
        </w:rPr>
        <w:t xml:space="preserve"> </w:t>
      </w:r>
      <w:permEnd w:id="17"/>
    </w:p>
    <w:p w14:paraId="7ED49C8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地址：</w:t>
      </w:r>
      <w:permStart w:id="18" w:edGrp="everyone"/>
      <w:r>
        <w:rPr>
          <w:sz w:val="24"/>
          <w:szCs w:val="24"/>
          <w:highlight w:val="none"/>
        </w:rPr>
        <w:t xml:space="preserve"> </w:t>
      </w:r>
      <w:r>
        <w:rPr>
          <w:rFonts w:hint="eastAsia"/>
          <w:sz w:val="24"/>
          <w:szCs w:val="24"/>
          <w:highlight w:val="none"/>
        </w:rPr>
        <w:t xml:space="preserve"> </w:t>
      </w:r>
      <w:permEnd w:id="18"/>
    </w:p>
    <w:p w14:paraId="742A45F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邮政编码：</w:t>
      </w:r>
      <w:permStart w:id="19" w:edGrp="everyone"/>
      <w:r>
        <w:rPr>
          <w:rFonts w:hint="eastAsia"/>
          <w:sz w:val="24"/>
          <w:szCs w:val="24"/>
          <w:highlight w:val="none"/>
        </w:rPr>
        <w:t xml:space="preserve">  </w:t>
      </w:r>
      <w:permEnd w:id="19"/>
    </w:p>
    <w:p w14:paraId="7A58B43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电话：</w:t>
      </w:r>
      <w:permStart w:id="20" w:edGrp="everyone"/>
      <w:r>
        <w:rPr>
          <w:rFonts w:hint="eastAsia"/>
          <w:sz w:val="24"/>
          <w:szCs w:val="24"/>
          <w:highlight w:val="none"/>
        </w:rPr>
        <w:t xml:space="preserve">  </w:t>
      </w:r>
      <w:permEnd w:id="20"/>
    </w:p>
    <w:p w14:paraId="0A2C93A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传真：</w:t>
      </w:r>
      <w:permStart w:id="21" w:edGrp="everyone"/>
      <w:r>
        <w:rPr>
          <w:rFonts w:hint="eastAsia"/>
          <w:sz w:val="24"/>
          <w:szCs w:val="24"/>
          <w:highlight w:val="none"/>
        </w:rPr>
        <w:t xml:space="preserve">  </w:t>
      </w:r>
      <w:permEnd w:id="21"/>
    </w:p>
    <w:p w14:paraId="6A6CC10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联系人：</w:t>
      </w:r>
      <w:permStart w:id="22" w:edGrp="everyone"/>
      <w:r>
        <w:rPr>
          <w:sz w:val="24"/>
          <w:szCs w:val="24"/>
          <w:highlight w:val="none"/>
        </w:rPr>
        <w:t xml:space="preserve"> </w:t>
      </w:r>
      <w:r>
        <w:rPr>
          <w:rFonts w:hint="eastAsia"/>
          <w:sz w:val="24"/>
          <w:szCs w:val="24"/>
          <w:highlight w:val="none"/>
        </w:rPr>
        <w:t xml:space="preserve"> </w:t>
      </w:r>
      <w:permEnd w:id="22"/>
    </w:p>
    <w:p w14:paraId="09AE026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开户银行：</w:t>
      </w:r>
      <w:permStart w:id="23" w:edGrp="everyone"/>
      <w:r>
        <w:rPr>
          <w:rFonts w:hint="eastAsia"/>
          <w:sz w:val="24"/>
          <w:szCs w:val="24"/>
          <w:highlight w:val="none"/>
        </w:rPr>
        <w:t xml:space="preserve"> </w:t>
      </w:r>
      <w:r>
        <w:rPr>
          <w:sz w:val="24"/>
          <w:szCs w:val="24"/>
          <w:highlight w:val="none"/>
        </w:rPr>
        <w:t xml:space="preserve"> </w:t>
      </w:r>
      <w:permEnd w:id="23"/>
    </w:p>
    <w:p w14:paraId="18C8E92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账号：</w:t>
      </w:r>
      <w:permStart w:id="24" w:edGrp="everyone"/>
      <w:r>
        <w:rPr>
          <w:rFonts w:hint="eastAsia"/>
          <w:sz w:val="24"/>
          <w:szCs w:val="24"/>
          <w:highlight w:val="none"/>
        </w:rPr>
        <w:t xml:space="preserve">  </w:t>
      </w:r>
      <w:permEnd w:id="24"/>
    </w:p>
    <w:p w14:paraId="1E01F27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p>
    <w:p w14:paraId="422D94B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根据《中华人民共和国民法典》等法律之</w:t>
      </w:r>
      <w:r>
        <w:rPr>
          <w:rFonts w:hint="eastAsia" w:cs="宋体"/>
          <w:sz w:val="24"/>
          <w:szCs w:val="24"/>
          <w:highlight w:val="none"/>
        </w:rPr>
        <w:t>规</w:t>
      </w:r>
      <w:r>
        <w:rPr>
          <w:rFonts w:hint="eastAsia"/>
          <w:sz w:val="24"/>
          <w:szCs w:val="24"/>
          <w:highlight w:val="none"/>
        </w:rPr>
        <w:t>定，本合同当事人在平等、自愿的基</w:t>
      </w:r>
      <w:r>
        <w:rPr>
          <w:rFonts w:hint="eastAsia" w:cs="宋体"/>
          <w:sz w:val="24"/>
          <w:szCs w:val="24"/>
          <w:highlight w:val="none"/>
        </w:rPr>
        <w:t>础</w:t>
      </w:r>
      <w:r>
        <w:rPr>
          <w:rFonts w:hint="eastAsia"/>
          <w:sz w:val="24"/>
          <w:szCs w:val="24"/>
          <w:highlight w:val="none"/>
        </w:rPr>
        <w:t>上，</w:t>
      </w:r>
      <w:r>
        <w:rPr>
          <w:rFonts w:hint="eastAsia" w:cs="宋体"/>
          <w:sz w:val="24"/>
          <w:szCs w:val="24"/>
          <w:highlight w:val="none"/>
        </w:rPr>
        <w:t>经协</w:t>
      </w:r>
      <w:r>
        <w:rPr>
          <w:rFonts w:hint="eastAsia"/>
          <w:sz w:val="24"/>
          <w:szCs w:val="24"/>
          <w:highlight w:val="none"/>
        </w:rPr>
        <w:t>商一致，</w:t>
      </w:r>
      <w:r>
        <w:rPr>
          <w:rFonts w:hint="eastAsia" w:cs="宋体"/>
          <w:sz w:val="24"/>
          <w:szCs w:val="24"/>
          <w:highlight w:val="none"/>
        </w:rPr>
        <w:t>签</w:t>
      </w:r>
      <w:r>
        <w:rPr>
          <w:rFonts w:hint="eastAsia"/>
          <w:sz w:val="24"/>
          <w:szCs w:val="24"/>
          <w:highlight w:val="none"/>
        </w:rPr>
        <w:t>订本合同：</w:t>
      </w:r>
    </w:p>
    <w:p w14:paraId="2F650BE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 xml:space="preserve">1．本合同项下，乙方向甲方提供以下服务： </w:t>
      </w:r>
    </w:p>
    <w:p w14:paraId="595772F4">
      <w:pPr>
        <w:keepNext w:val="0"/>
        <w:keepLines w:val="0"/>
        <w:pageBreakBefore w:val="0"/>
        <w:widowControl/>
        <w:kinsoku/>
        <w:wordWrap/>
        <w:overflowPunct/>
        <w:topLinePunct w:val="0"/>
        <w:autoSpaceDE/>
        <w:autoSpaceDN/>
        <w:bidi w:val="0"/>
        <w:adjustRightInd/>
        <w:snapToGrid/>
        <w:spacing w:after="0" w:line="500" w:lineRule="exact"/>
        <w:ind w:left="0" w:leftChars="0" w:firstLine="480" w:firstLineChars="200"/>
        <w:textAlignment w:val="auto"/>
        <w:rPr>
          <w:rFonts w:hint="default" w:eastAsia="宋体"/>
          <w:sz w:val="24"/>
          <w:szCs w:val="24"/>
          <w:highlight w:val="none"/>
          <w:lang w:val="en-US" w:eastAsia="zh-CN"/>
        </w:rPr>
      </w:pPr>
      <w:permStart w:id="25" w:edGrp="everyone"/>
      <w:r>
        <w:rPr>
          <w:rFonts w:hint="eastAsia"/>
          <w:sz w:val="24"/>
          <w:szCs w:val="24"/>
          <w:highlight w:val="none"/>
        </w:rPr>
        <w:t xml:space="preserve">1．1 </w:t>
      </w:r>
      <w:r>
        <w:rPr>
          <w:rFonts w:hint="eastAsia" w:ascii="Times New Roman" w:hAnsi="Times New Roman" w:eastAsia="宋体" w:cs="宋体"/>
          <w:sz w:val="24"/>
          <w:szCs w:val="24"/>
          <w:highlight w:val="none"/>
          <w:lang w:val="en-US" w:eastAsia="zh-CN"/>
        </w:rPr>
        <w:t>合同签订后30天内完成组网建设（包含</w:t>
      </w:r>
      <w:r>
        <w:rPr>
          <w:rFonts w:hint="eastAsia" w:cs="宋体"/>
          <w:sz w:val="24"/>
          <w:szCs w:val="24"/>
          <w:highlight w:val="none"/>
          <w:lang w:val="en-US" w:eastAsia="zh-CN"/>
        </w:rPr>
        <w:t>两端设备安装）</w:t>
      </w:r>
      <w:r>
        <w:rPr>
          <w:rFonts w:hint="eastAsia" w:ascii="Times New Roman" w:hAnsi="Times New Roman" w:eastAsia="宋体" w:cs="宋体"/>
          <w:sz w:val="24"/>
          <w:szCs w:val="24"/>
          <w:highlight w:val="none"/>
          <w:lang w:val="en-US" w:eastAsia="zh-CN"/>
        </w:rPr>
        <w:t>并试运行，试运行通过后组织项目阶段性验收，验收通过后经甲方确认具备服务条件后进入服务期</w:t>
      </w:r>
    </w:p>
    <w:permEnd w:id="25"/>
    <w:p w14:paraId="7F952EF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乙方所提供的服务</w:t>
      </w:r>
      <w:r>
        <w:rPr>
          <w:rFonts w:hint="eastAsia" w:cs="宋体"/>
          <w:sz w:val="24"/>
          <w:szCs w:val="24"/>
          <w:highlight w:val="none"/>
        </w:rPr>
        <w:t>应</w:t>
      </w:r>
      <w:r>
        <w:rPr>
          <w:rFonts w:hint="eastAsia" w:cs="MS Gothic"/>
          <w:sz w:val="24"/>
          <w:szCs w:val="24"/>
          <w:highlight w:val="none"/>
        </w:rPr>
        <w:t>符合国家有</w:t>
      </w:r>
      <w:r>
        <w:rPr>
          <w:rFonts w:hint="eastAsia" w:cs="宋体"/>
          <w:sz w:val="24"/>
          <w:szCs w:val="24"/>
          <w:highlight w:val="none"/>
        </w:rPr>
        <w:t>关规</w:t>
      </w:r>
      <w:r>
        <w:rPr>
          <w:rFonts w:hint="eastAsia" w:cs="MS Gothic"/>
          <w:sz w:val="24"/>
          <w:szCs w:val="24"/>
          <w:highlight w:val="none"/>
        </w:rPr>
        <w:t>定。</w:t>
      </w:r>
    </w:p>
    <w:p w14:paraId="1ED677C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2.</w:t>
      </w:r>
      <w:r>
        <w:rPr>
          <w:rFonts w:hint="eastAsia"/>
          <w:sz w:val="24"/>
          <w:szCs w:val="24"/>
          <w:highlight w:val="none"/>
        </w:rPr>
        <w:t xml:space="preserve"> 合同价款、交付地点</w:t>
      </w:r>
      <w:r>
        <w:rPr>
          <w:rFonts w:hint="eastAsia"/>
          <w:color w:val="auto"/>
          <w:sz w:val="24"/>
          <w:szCs w:val="24"/>
          <w:highlight w:val="none"/>
          <w:lang w:eastAsia="zh-CN"/>
        </w:rPr>
        <w:t>、</w:t>
      </w:r>
      <w:r>
        <w:rPr>
          <w:rFonts w:hint="eastAsia"/>
          <w:color w:val="auto"/>
          <w:sz w:val="24"/>
          <w:szCs w:val="24"/>
          <w:highlight w:val="none"/>
          <w:lang w:val="en-US" w:eastAsia="zh-CN"/>
        </w:rPr>
        <w:t>交付时间</w:t>
      </w:r>
      <w:r>
        <w:rPr>
          <w:rFonts w:hint="eastAsia"/>
          <w:sz w:val="24"/>
          <w:szCs w:val="24"/>
          <w:highlight w:val="none"/>
        </w:rPr>
        <w:t>和执行日期</w:t>
      </w:r>
    </w:p>
    <w:p w14:paraId="2F54DB0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2．1合同价款</w:t>
      </w:r>
    </w:p>
    <w:p w14:paraId="7F3E94F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本合同项下服务的价款为</w:t>
      </w:r>
      <w:permStart w:id="26" w:edGrp="everyone"/>
      <w:r>
        <w:rPr>
          <w:rFonts w:hint="eastAsia"/>
          <w:sz w:val="24"/>
          <w:szCs w:val="24"/>
          <w:highlight w:val="none"/>
        </w:rPr>
        <w:t xml:space="preserve"> </w:t>
      </w:r>
      <w:r>
        <w:rPr>
          <w:rFonts w:hint="eastAsia" w:eastAsia="宋体"/>
          <w:sz w:val="24"/>
          <w:szCs w:val="24"/>
          <w:highlight w:val="none"/>
          <w:lang w:val="en-US" w:eastAsia="zh-CN"/>
        </w:rPr>
        <w:t xml:space="preserve">       </w:t>
      </w:r>
      <w:permEnd w:id="26"/>
      <w:r>
        <w:rPr>
          <w:rFonts w:hint="eastAsia"/>
          <w:sz w:val="24"/>
          <w:szCs w:val="24"/>
          <w:highlight w:val="none"/>
        </w:rPr>
        <w:t>元（大写：人民币</w:t>
      </w:r>
      <w:permStart w:id="27" w:edGrp="everyone"/>
      <w:r>
        <w:rPr>
          <w:rFonts w:hint="eastAsia"/>
          <w:sz w:val="24"/>
          <w:szCs w:val="24"/>
          <w:highlight w:val="none"/>
        </w:rPr>
        <w:t xml:space="preserve"> </w:t>
      </w:r>
      <w:r>
        <w:rPr>
          <w:rFonts w:hint="eastAsia" w:eastAsia="宋体"/>
          <w:sz w:val="24"/>
          <w:szCs w:val="24"/>
          <w:highlight w:val="none"/>
          <w:lang w:val="en-US" w:eastAsia="zh-CN"/>
        </w:rPr>
        <w:t xml:space="preserve">      </w:t>
      </w:r>
      <w:r>
        <w:rPr>
          <w:rFonts w:hint="eastAsia"/>
          <w:sz w:val="24"/>
          <w:szCs w:val="24"/>
          <w:highlight w:val="none"/>
        </w:rPr>
        <w:t xml:space="preserve"> </w:t>
      </w:r>
      <w:permEnd w:id="27"/>
      <w:r>
        <w:rPr>
          <w:rFonts w:hint="eastAsia"/>
          <w:sz w:val="24"/>
          <w:szCs w:val="24"/>
          <w:highlight w:val="none"/>
        </w:rPr>
        <w:t>元）。</w:t>
      </w:r>
    </w:p>
    <w:p w14:paraId="23EABCB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乙方为履行本合同而发生的所有费用均应包含在上述合同价款内，甲方不再另行支付其它任何费用。</w:t>
      </w:r>
    </w:p>
    <w:p w14:paraId="3CBD60B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2．2交付地点</w:t>
      </w:r>
    </w:p>
    <w:p w14:paraId="19BBB7F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eastAsia"/>
          <w:sz w:val="24"/>
          <w:szCs w:val="24"/>
          <w:highlight w:val="none"/>
        </w:rPr>
      </w:pPr>
      <w:r>
        <w:rPr>
          <w:rFonts w:hint="eastAsia"/>
          <w:sz w:val="24"/>
          <w:szCs w:val="24"/>
          <w:highlight w:val="none"/>
        </w:rPr>
        <w:t>本服务交付地点：</w:t>
      </w:r>
      <w:permStart w:id="28" w:edGrp="everyone"/>
      <w:r>
        <w:rPr>
          <w:rFonts w:hint="eastAsia"/>
          <w:sz w:val="24"/>
          <w:szCs w:val="24"/>
          <w:highlight w:val="none"/>
        </w:rPr>
        <w:t xml:space="preserve"> 太仓市上海东路666号</w:t>
      </w:r>
      <w:r>
        <w:rPr>
          <w:rFonts w:hint="eastAsia"/>
          <w:color w:val="FF0000"/>
          <w:sz w:val="24"/>
          <w:szCs w:val="24"/>
          <w:highlight w:val="none"/>
        </w:rPr>
        <w:t xml:space="preserve"> </w:t>
      </w:r>
      <w:permEnd w:id="28"/>
      <w:r>
        <w:rPr>
          <w:rFonts w:hint="eastAsia"/>
          <w:sz w:val="24"/>
          <w:szCs w:val="24"/>
          <w:highlight w:val="none"/>
        </w:rPr>
        <w:t>。</w:t>
      </w:r>
    </w:p>
    <w:p w14:paraId="49AFA9C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eastAsia"/>
          <w:color w:val="auto"/>
          <w:sz w:val="24"/>
          <w:szCs w:val="24"/>
          <w:highlight w:val="none"/>
          <w:lang w:val="en-US" w:eastAsia="zh-CN"/>
        </w:rPr>
      </w:pPr>
      <w:r>
        <w:rPr>
          <w:rFonts w:hint="eastAsia"/>
          <w:color w:val="auto"/>
          <w:sz w:val="24"/>
          <w:szCs w:val="24"/>
          <w:highlight w:val="none"/>
        </w:rPr>
        <w:t>2．3</w:t>
      </w:r>
      <w:r>
        <w:rPr>
          <w:rFonts w:hint="eastAsia"/>
          <w:color w:val="auto"/>
          <w:sz w:val="24"/>
          <w:szCs w:val="24"/>
          <w:highlight w:val="none"/>
          <w:lang w:val="en-US" w:eastAsia="zh-CN"/>
        </w:rPr>
        <w:t>交付时间</w:t>
      </w:r>
    </w:p>
    <w:p w14:paraId="7AFEE68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val="en-US" w:eastAsia="zh-CN"/>
        </w:rPr>
        <w:t>本服务正式交付时间：试运行</w:t>
      </w:r>
      <w:r>
        <w:rPr>
          <w:rFonts w:hint="eastAsia" w:ascii="Times New Roman" w:hAnsi="Times New Roman" w:eastAsia="宋体" w:cs="宋体"/>
          <w:sz w:val="24"/>
          <w:szCs w:val="24"/>
          <w:highlight w:val="none"/>
          <w:lang w:val="en-US" w:eastAsia="zh-CN"/>
        </w:rPr>
        <w:t>验收通过后经甲方确认具备服务条件后进入服务期</w:t>
      </w:r>
    </w:p>
    <w:p w14:paraId="22D9594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2．</w:t>
      </w:r>
      <w:r>
        <w:rPr>
          <w:rFonts w:hint="eastAsia"/>
          <w:sz w:val="24"/>
          <w:szCs w:val="24"/>
          <w:highlight w:val="none"/>
          <w:lang w:val="en-US" w:eastAsia="zh-CN"/>
        </w:rPr>
        <w:t>4</w:t>
      </w:r>
      <w:r>
        <w:rPr>
          <w:rFonts w:hint="eastAsia"/>
          <w:sz w:val="24"/>
          <w:szCs w:val="24"/>
          <w:highlight w:val="none"/>
        </w:rPr>
        <w:t>服务执行日期</w:t>
      </w:r>
    </w:p>
    <w:p w14:paraId="57EC3FE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本合同项下服务</w:t>
      </w:r>
      <w:r>
        <w:rPr>
          <w:rFonts w:hint="eastAsia" w:cs="MS Gothic"/>
          <w:sz w:val="24"/>
          <w:szCs w:val="24"/>
          <w:highlight w:val="none"/>
        </w:rPr>
        <w:t>的执行日期：</w:t>
      </w:r>
      <w:permStart w:id="29" w:edGrp="everyone"/>
      <w:r>
        <w:rPr>
          <w:rFonts w:hint="eastAsia"/>
          <w:sz w:val="24"/>
          <w:szCs w:val="24"/>
          <w:highlight w:val="none"/>
        </w:rPr>
        <w:t xml:space="preserve"> </w:t>
      </w:r>
      <w:r>
        <w:rPr>
          <w:rFonts w:hint="eastAsia"/>
          <w:sz w:val="24"/>
          <w:szCs w:val="24"/>
          <w:highlight w:val="none"/>
          <w:lang w:val="en-US" w:eastAsia="zh-CN"/>
        </w:rPr>
        <w:t>进入服务期后12个月</w:t>
      </w:r>
      <w:r>
        <w:rPr>
          <w:rFonts w:hint="eastAsia"/>
          <w:color w:val="FF0000"/>
          <w:sz w:val="24"/>
          <w:szCs w:val="24"/>
          <w:highlight w:val="none"/>
        </w:rPr>
        <w:t xml:space="preserve"> </w:t>
      </w:r>
      <w:permEnd w:id="29"/>
    </w:p>
    <w:p w14:paraId="773FCE4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3．</w:t>
      </w:r>
      <w:r>
        <w:rPr>
          <w:rFonts w:hint="eastAsia" w:cs="宋体"/>
          <w:sz w:val="24"/>
          <w:szCs w:val="24"/>
          <w:highlight w:val="none"/>
        </w:rPr>
        <w:t>质</w:t>
      </w:r>
      <w:r>
        <w:rPr>
          <w:rFonts w:hint="eastAsia"/>
          <w:sz w:val="24"/>
          <w:szCs w:val="24"/>
          <w:highlight w:val="none"/>
        </w:rPr>
        <w:t>量</w:t>
      </w:r>
      <w:r>
        <w:rPr>
          <w:rFonts w:hint="eastAsia" w:cs="宋体"/>
          <w:sz w:val="24"/>
          <w:szCs w:val="24"/>
          <w:highlight w:val="none"/>
        </w:rPr>
        <w:t>标</w:t>
      </w:r>
      <w:r>
        <w:rPr>
          <w:rFonts w:hint="eastAsia"/>
          <w:sz w:val="24"/>
          <w:szCs w:val="24"/>
          <w:highlight w:val="none"/>
        </w:rPr>
        <w:t>准和要求</w:t>
      </w:r>
    </w:p>
    <w:p w14:paraId="5A7B707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3．1 乙方所提供服务的</w:t>
      </w:r>
      <w:r>
        <w:rPr>
          <w:rFonts w:hint="eastAsia" w:cs="宋体"/>
          <w:sz w:val="24"/>
          <w:szCs w:val="24"/>
          <w:highlight w:val="none"/>
        </w:rPr>
        <w:t>质</w:t>
      </w:r>
      <w:r>
        <w:rPr>
          <w:rFonts w:hint="eastAsia"/>
          <w:sz w:val="24"/>
          <w:szCs w:val="24"/>
          <w:highlight w:val="none"/>
        </w:rPr>
        <w:t>量</w:t>
      </w:r>
      <w:r>
        <w:rPr>
          <w:rFonts w:hint="eastAsia" w:cs="宋体"/>
          <w:sz w:val="24"/>
          <w:szCs w:val="24"/>
          <w:highlight w:val="none"/>
        </w:rPr>
        <w:t>标</w:t>
      </w:r>
      <w:r>
        <w:rPr>
          <w:rFonts w:hint="eastAsia"/>
          <w:sz w:val="24"/>
          <w:szCs w:val="24"/>
          <w:highlight w:val="none"/>
        </w:rPr>
        <w:t>准按照国家</w:t>
      </w:r>
      <w:r>
        <w:rPr>
          <w:rFonts w:hint="eastAsia" w:cs="宋体"/>
          <w:sz w:val="24"/>
          <w:szCs w:val="24"/>
          <w:highlight w:val="none"/>
        </w:rPr>
        <w:t>标</w:t>
      </w:r>
      <w:r>
        <w:rPr>
          <w:rFonts w:hint="eastAsia"/>
          <w:sz w:val="24"/>
          <w:szCs w:val="24"/>
          <w:highlight w:val="none"/>
        </w:rPr>
        <w:t>准、行</w:t>
      </w:r>
      <w:r>
        <w:rPr>
          <w:rFonts w:hint="eastAsia" w:cs="宋体"/>
          <w:sz w:val="24"/>
          <w:szCs w:val="24"/>
          <w:highlight w:val="none"/>
        </w:rPr>
        <w:t>业标</w:t>
      </w:r>
      <w:r>
        <w:rPr>
          <w:rFonts w:hint="eastAsia"/>
          <w:sz w:val="24"/>
          <w:szCs w:val="24"/>
          <w:highlight w:val="none"/>
        </w:rPr>
        <w:t>准、甲方及主管部门要求确定，上述</w:t>
      </w:r>
      <w:r>
        <w:rPr>
          <w:rFonts w:hint="eastAsia" w:cs="宋体"/>
          <w:sz w:val="24"/>
          <w:szCs w:val="24"/>
          <w:highlight w:val="none"/>
        </w:rPr>
        <w:t>标</w:t>
      </w:r>
      <w:r>
        <w:rPr>
          <w:rFonts w:hint="eastAsia"/>
          <w:sz w:val="24"/>
          <w:szCs w:val="24"/>
          <w:highlight w:val="none"/>
        </w:rPr>
        <w:t>准不一致的，以</w:t>
      </w:r>
      <w:r>
        <w:rPr>
          <w:rFonts w:hint="eastAsia" w:cs="宋体"/>
          <w:sz w:val="24"/>
          <w:szCs w:val="24"/>
          <w:highlight w:val="none"/>
        </w:rPr>
        <w:t>严</w:t>
      </w:r>
      <w:r>
        <w:rPr>
          <w:rFonts w:hint="eastAsia"/>
          <w:sz w:val="24"/>
          <w:szCs w:val="24"/>
          <w:highlight w:val="none"/>
        </w:rPr>
        <w:t>格的</w:t>
      </w:r>
      <w:r>
        <w:rPr>
          <w:rFonts w:hint="eastAsia" w:cs="宋体"/>
          <w:sz w:val="24"/>
          <w:szCs w:val="24"/>
          <w:highlight w:val="none"/>
        </w:rPr>
        <w:t>标</w:t>
      </w:r>
      <w:r>
        <w:rPr>
          <w:rFonts w:hint="eastAsia"/>
          <w:sz w:val="24"/>
          <w:szCs w:val="24"/>
          <w:highlight w:val="none"/>
        </w:rPr>
        <w:t>准</w:t>
      </w:r>
      <w:r>
        <w:rPr>
          <w:rFonts w:hint="eastAsia" w:cs="宋体"/>
          <w:sz w:val="24"/>
          <w:szCs w:val="24"/>
          <w:highlight w:val="none"/>
        </w:rPr>
        <w:t>为</w:t>
      </w:r>
      <w:r>
        <w:rPr>
          <w:rFonts w:hint="eastAsia"/>
          <w:sz w:val="24"/>
          <w:szCs w:val="24"/>
          <w:highlight w:val="none"/>
        </w:rPr>
        <w:t>准。没有国家</w:t>
      </w:r>
      <w:r>
        <w:rPr>
          <w:rFonts w:hint="eastAsia" w:cs="宋体"/>
          <w:sz w:val="24"/>
          <w:szCs w:val="24"/>
          <w:highlight w:val="none"/>
        </w:rPr>
        <w:t>标</w:t>
      </w:r>
      <w:r>
        <w:rPr>
          <w:rFonts w:hint="eastAsia"/>
          <w:sz w:val="24"/>
          <w:szCs w:val="24"/>
          <w:highlight w:val="none"/>
        </w:rPr>
        <w:t>准、行</w:t>
      </w:r>
      <w:r>
        <w:rPr>
          <w:rFonts w:hint="eastAsia" w:cs="宋体"/>
          <w:sz w:val="24"/>
          <w:szCs w:val="24"/>
          <w:highlight w:val="none"/>
        </w:rPr>
        <w:t>业标</w:t>
      </w:r>
      <w:r>
        <w:rPr>
          <w:rFonts w:hint="eastAsia"/>
          <w:sz w:val="24"/>
          <w:szCs w:val="24"/>
          <w:highlight w:val="none"/>
        </w:rPr>
        <w:t>准和企</w:t>
      </w:r>
      <w:r>
        <w:rPr>
          <w:rFonts w:hint="eastAsia" w:cs="宋体"/>
          <w:sz w:val="24"/>
          <w:szCs w:val="24"/>
          <w:highlight w:val="none"/>
        </w:rPr>
        <w:t>业标</w:t>
      </w:r>
      <w:r>
        <w:rPr>
          <w:rFonts w:hint="eastAsia"/>
          <w:sz w:val="24"/>
          <w:szCs w:val="24"/>
          <w:highlight w:val="none"/>
        </w:rPr>
        <w:t>准的，按照通常</w:t>
      </w:r>
      <w:r>
        <w:rPr>
          <w:rFonts w:hint="eastAsia" w:cs="宋体"/>
          <w:sz w:val="24"/>
          <w:szCs w:val="24"/>
          <w:highlight w:val="none"/>
        </w:rPr>
        <w:t>标</w:t>
      </w:r>
      <w:r>
        <w:rPr>
          <w:rFonts w:hint="eastAsia"/>
          <w:sz w:val="24"/>
          <w:szCs w:val="24"/>
          <w:highlight w:val="none"/>
        </w:rPr>
        <w:t>准或者符合合同目的的特定</w:t>
      </w:r>
      <w:r>
        <w:rPr>
          <w:rFonts w:hint="eastAsia" w:cs="宋体"/>
          <w:sz w:val="24"/>
          <w:szCs w:val="24"/>
          <w:highlight w:val="none"/>
        </w:rPr>
        <w:t>标</w:t>
      </w:r>
      <w:r>
        <w:rPr>
          <w:rFonts w:hint="eastAsia"/>
          <w:sz w:val="24"/>
          <w:szCs w:val="24"/>
          <w:highlight w:val="none"/>
        </w:rPr>
        <w:t>准确定。</w:t>
      </w:r>
    </w:p>
    <w:p w14:paraId="6CD0521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3．2 乙方所提供的服务</w:t>
      </w:r>
      <w:r>
        <w:rPr>
          <w:rFonts w:hint="eastAsia" w:cs="宋体"/>
          <w:sz w:val="24"/>
          <w:szCs w:val="24"/>
          <w:highlight w:val="none"/>
        </w:rPr>
        <w:t>还应</w:t>
      </w:r>
      <w:r>
        <w:rPr>
          <w:rFonts w:hint="eastAsia"/>
          <w:sz w:val="24"/>
          <w:szCs w:val="24"/>
          <w:highlight w:val="none"/>
        </w:rPr>
        <w:t>符合国家和</w:t>
      </w:r>
      <w:r>
        <w:rPr>
          <w:rFonts w:hint="eastAsia"/>
          <w:sz w:val="24"/>
          <w:szCs w:val="24"/>
          <w:highlight w:val="none"/>
          <w:lang w:val="en-US" w:eastAsia="zh-CN"/>
        </w:rPr>
        <w:t>江苏省</w:t>
      </w:r>
      <w:r>
        <w:rPr>
          <w:rFonts w:hint="eastAsia"/>
          <w:sz w:val="24"/>
          <w:szCs w:val="24"/>
          <w:highlight w:val="none"/>
        </w:rPr>
        <w:t>有</w:t>
      </w:r>
      <w:r>
        <w:rPr>
          <w:rFonts w:hint="eastAsia" w:cs="宋体"/>
          <w:sz w:val="24"/>
          <w:szCs w:val="24"/>
          <w:highlight w:val="none"/>
        </w:rPr>
        <w:t>关</w:t>
      </w:r>
      <w:r>
        <w:rPr>
          <w:rFonts w:hint="eastAsia"/>
          <w:sz w:val="24"/>
          <w:szCs w:val="24"/>
          <w:highlight w:val="none"/>
        </w:rPr>
        <w:t>安全、</w:t>
      </w:r>
      <w:r>
        <w:rPr>
          <w:rFonts w:hint="eastAsia" w:cs="宋体"/>
          <w:sz w:val="24"/>
          <w:szCs w:val="24"/>
          <w:highlight w:val="none"/>
        </w:rPr>
        <w:t>环</w:t>
      </w:r>
      <w:r>
        <w:rPr>
          <w:rFonts w:hint="eastAsia"/>
          <w:sz w:val="24"/>
          <w:szCs w:val="24"/>
          <w:highlight w:val="none"/>
        </w:rPr>
        <w:t>保、</w:t>
      </w:r>
      <w:r>
        <w:rPr>
          <w:rFonts w:hint="eastAsia" w:cs="宋体"/>
          <w:sz w:val="24"/>
          <w:szCs w:val="24"/>
          <w:highlight w:val="none"/>
        </w:rPr>
        <w:t>卫</w:t>
      </w:r>
      <w:r>
        <w:rPr>
          <w:rFonts w:hint="eastAsia"/>
          <w:sz w:val="24"/>
          <w:szCs w:val="24"/>
          <w:highlight w:val="none"/>
        </w:rPr>
        <w:t>生之</w:t>
      </w:r>
      <w:r>
        <w:rPr>
          <w:rFonts w:hint="eastAsia" w:cs="宋体"/>
          <w:sz w:val="24"/>
          <w:szCs w:val="24"/>
          <w:highlight w:val="none"/>
        </w:rPr>
        <w:t>规</w:t>
      </w:r>
      <w:r>
        <w:rPr>
          <w:rFonts w:hint="eastAsia"/>
          <w:sz w:val="24"/>
          <w:szCs w:val="24"/>
          <w:highlight w:val="none"/>
        </w:rPr>
        <w:t>定，并且符合其投标或报价书中的相关承诺（如本项目具备招标或询价程序）。</w:t>
      </w:r>
    </w:p>
    <w:p w14:paraId="47338C5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4．</w:t>
      </w:r>
      <w:r>
        <w:rPr>
          <w:rFonts w:hint="eastAsia" w:cs="宋体"/>
          <w:sz w:val="24"/>
          <w:szCs w:val="24"/>
          <w:highlight w:val="none"/>
        </w:rPr>
        <w:t>权</w:t>
      </w:r>
      <w:r>
        <w:rPr>
          <w:rFonts w:hint="eastAsia"/>
          <w:sz w:val="24"/>
          <w:szCs w:val="24"/>
          <w:highlight w:val="none"/>
        </w:rPr>
        <w:t>利瑕疵担保</w:t>
      </w:r>
    </w:p>
    <w:p w14:paraId="06A03BC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4．1 乙方保证其提供本合同项下的服务具备相应资质，为履行本合同而使用的硬件、软件不存在权利瑕疵或侵害第三人利益的情形</w:t>
      </w:r>
      <w:r>
        <w:rPr>
          <w:rFonts w:hint="eastAsia" w:cs="MS Gothic"/>
          <w:sz w:val="24"/>
          <w:szCs w:val="24"/>
          <w:highlight w:val="none"/>
        </w:rPr>
        <w:t>。</w:t>
      </w:r>
    </w:p>
    <w:p w14:paraId="5C623D4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4．2 乙方保</w:t>
      </w:r>
      <w:r>
        <w:rPr>
          <w:rFonts w:hint="eastAsia" w:cs="宋体"/>
          <w:sz w:val="24"/>
          <w:szCs w:val="24"/>
          <w:highlight w:val="none"/>
        </w:rPr>
        <w:t>证</w:t>
      </w:r>
      <w:r>
        <w:rPr>
          <w:rFonts w:hint="eastAsia"/>
          <w:sz w:val="24"/>
          <w:szCs w:val="24"/>
          <w:highlight w:val="none"/>
        </w:rPr>
        <w:t>其所提供的服务没有侵犯任何第三人的知</w:t>
      </w:r>
      <w:r>
        <w:rPr>
          <w:rFonts w:hint="eastAsia" w:cs="宋体"/>
          <w:sz w:val="24"/>
          <w:szCs w:val="24"/>
          <w:highlight w:val="none"/>
        </w:rPr>
        <w:t>识产权</w:t>
      </w:r>
      <w:r>
        <w:rPr>
          <w:rFonts w:hint="eastAsia"/>
          <w:sz w:val="24"/>
          <w:szCs w:val="24"/>
          <w:highlight w:val="none"/>
        </w:rPr>
        <w:t>和商</w:t>
      </w:r>
      <w:r>
        <w:rPr>
          <w:rFonts w:hint="eastAsia" w:cs="宋体"/>
          <w:sz w:val="24"/>
          <w:szCs w:val="24"/>
          <w:highlight w:val="none"/>
        </w:rPr>
        <w:t>业</w:t>
      </w:r>
      <w:r>
        <w:rPr>
          <w:rFonts w:hint="eastAsia"/>
          <w:sz w:val="24"/>
          <w:szCs w:val="24"/>
          <w:highlight w:val="none"/>
        </w:rPr>
        <w:t>秘密等</w:t>
      </w:r>
      <w:r>
        <w:rPr>
          <w:rFonts w:hint="eastAsia" w:cs="宋体"/>
          <w:sz w:val="24"/>
          <w:szCs w:val="24"/>
          <w:highlight w:val="none"/>
        </w:rPr>
        <w:t>权</w:t>
      </w:r>
      <w:r>
        <w:rPr>
          <w:rFonts w:hint="eastAsia"/>
          <w:sz w:val="24"/>
          <w:szCs w:val="24"/>
          <w:highlight w:val="none"/>
        </w:rPr>
        <w:t>利。</w:t>
      </w:r>
    </w:p>
    <w:p w14:paraId="4571080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4．</w:t>
      </w:r>
      <w:r>
        <w:rPr>
          <w:sz w:val="24"/>
          <w:szCs w:val="24"/>
          <w:highlight w:val="none"/>
        </w:rPr>
        <w:t>3</w:t>
      </w:r>
      <w:r>
        <w:rPr>
          <w:rFonts w:hint="eastAsia"/>
          <w:sz w:val="24"/>
          <w:szCs w:val="24"/>
          <w:highlight w:val="none"/>
        </w:rPr>
        <w:t xml:space="preserve"> 如甲方使用</w:t>
      </w:r>
      <w:r>
        <w:rPr>
          <w:rFonts w:hint="eastAsia" w:cs="宋体"/>
          <w:sz w:val="24"/>
          <w:szCs w:val="24"/>
          <w:highlight w:val="none"/>
        </w:rPr>
        <w:t>该</w:t>
      </w:r>
      <w:r>
        <w:rPr>
          <w:rFonts w:hint="eastAsia"/>
          <w:sz w:val="24"/>
          <w:szCs w:val="24"/>
          <w:highlight w:val="none"/>
        </w:rPr>
        <w:t>服务构成上述侵</w:t>
      </w:r>
      <w:r>
        <w:rPr>
          <w:rFonts w:hint="eastAsia" w:cs="宋体"/>
          <w:sz w:val="24"/>
          <w:szCs w:val="24"/>
          <w:highlight w:val="none"/>
        </w:rPr>
        <w:t>权</w:t>
      </w:r>
      <w:r>
        <w:rPr>
          <w:rFonts w:hint="eastAsia"/>
          <w:sz w:val="24"/>
          <w:szCs w:val="24"/>
          <w:highlight w:val="none"/>
        </w:rPr>
        <w:t>的，</w:t>
      </w:r>
      <w:r>
        <w:rPr>
          <w:rFonts w:hint="eastAsia" w:cs="宋体"/>
          <w:sz w:val="24"/>
          <w:szCs w:val="24"/>
          <w:highlight w:val="none"/>
        </w:rPr>
        <w:t>则</w:t>
      </w:r>
      <w:r>
        <w:rPr>
          <w:rFonts w:hint="eastAsia"/>
          <w:sz w:val="24"/>
          <w:szCs w:val="24"/>
          <w:highlight w:val="none"/>
        </w:rPr>
        <w:t>由乙方承担全部</w:t>
      </w:r>
      <w:r>
        <w:rPr>
          <w:rFonts w:hint="eastAsia" w:cs="宋体"/>
          <w:sz w:val="24"/>
          <w:szCs w:val="24"/>
          <w:highlight w:val="none"/>
        </w:rPr>
        <w:t>责</w:t>
      </w:r>
      <w:r>
        <w:rPr>
          <w:rFonts w:hint="eastAsia"/>
          <w:sz w:val="24"/>
          <w:szCs w:val="24"/>
          <w:highlight w:val="none"/>
        </w:rPr>
        <w:t>任。</w:t>
      </w:r>
    </w:p>
    <w:p w14:paraId="7817AE5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5．交付、领受与</w:t>
      </w:r>
      <w:r>
        <w:rPr>
          <w:rFonts w:hint="eastAsia" w:cs="宋体"/>
          <w:sz w:val="24"/>
          <w:szCs w:val="24"/>
          <w:highlight w:val="none"/>
        </w:rPr>
        <w:t>验</w:t>
      </w:r>
      <w:r>
        <w:rPr>
          <w:rFonts w:hint="eastAsia" w:cs="MS Gothic"/>
          <w:sz w:val="24"/>
          <w:szCs w:val="24"/>
          <w:highlight w:val="none"/>
        </w:rPr>
        <w:t>收</w:t>
      </w:r>
    </w:p>
    <w:p w14:paraId="590A89A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5．1甲方</w:t>
      </w:r>
      <w:r>
        <w:rPr>
          <w:rFonts w:hint="eastAsia" w:cs="宋体"/>
          <w:sz w:val="24"/>
          <w:szCs w:val="24"/>
          <w:highlight w:val="none"/>
        </w:rPr>
        <w:t>应依据服务事项的条件和性质，根据乙方的要求向</w:t>
      </w:r>
      <w:r>
        <w:rPr>
          <w:rFonts w:hint="eastAsia"/>
          <w:sz w:val="24"/>
          <w:szCs w:val="24"/>
          <w:highlight w:val="none"/>
        </w:rPr>
        <w:t>乙方</w:t>
      </w:r>
      <w:r>
        <w:rPr>
          <w:rFonts w:hint="eastAsia" w:cs="宋体"/>
          <w:sz w:val="24"/>
          <w:szCs w:val="24"/>
          <w:highlight w:val="none"/>
        </w:rPr>
        <w:t>提供开展</w:t>
      </w:r>
      <w:r>
        <w:rPr>
          <w:rFonts w:hint="eastAsia"/>
          <w:sz w:val="24"/>
          <w:szCs w:val="24"/>
          <w:highlight w:val="none"/>
        </w:rPr>
        <w:t>服务</w:t>
      </w:r>
      <w:r>
        <w:rPr>
          <w:rFonts w:hint="eastAsia" w:cs="宋体"/>
          <w:sz w:val="24"/>
          <w:szCs w:val="24"/>
          <w:highlight w:val="none"/>
        </w:rPr>
        <w:t>的相关环境。如</w:t>
      </w:r>
      <w:r>
        <w:rPr>
          <w:rFonts w:hint="eastAsia"/>
          <w:sz w:val="24"/>
          <w:szCs w:val="24"/>
          <w:highlight w:val="none"/>
        </w:rPr>
        <w:t>甲方未能在该时间内提供该服务实施的环境，乙方可相应顺延提供日期。</w:t>
      </w:r>
    </w:p>
    <w:p w14:paraId="1967C0D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 2 乙方应在进行服务交付（如本服务为分次交付的，则每次交付前）前5个工作日内，以书面方式通知甲方。甲方应当在接到通知的5个工作日内安排接收交付。乙方在交付前应当对所提供的</w:t>
      </w:r>
      <w:r>
        <w:rPr>
          <w:rFonts w:hint="eastAsia" w:cs="MS Gothic"/>
          <w:sz w:val="24"/>
          <w:szCs w:val="24"/>
          <w:highlight w:val="none"/>
        </w:rPr>
        <w:t>服务</w:t>
      </w:r>
      <w:r>
        <w:rPr>
          <w:rFonts w:hint="eastAsia"/>
          <w:sz w:val="24"/>
          <w:szCs w:val="24"/>
          <w:highlight w:val="none"/>
        </w:rPr>
        <w:t>进行功能和运行检测，以确认提供的服务符合本合同的规定。</w:t>
      </w:r>
    </w:p>
    <w:p w14:paraId="01A0106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 3 乙方应按照合同及其附件所约定的内容进行交付，乙方完成服务的交付时（如本服务为分次交付的，则每次交付时），应根据招投标文件提交相应的说明文档。</w:t>
      </w:r>
    </w:p>
    <w:p w14:paraId="29ACC9E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 4 乙方在完成</w:t>
      </w:r>
      <w:r>
        <w:rPr>
          <w:rFonts w:hint="eastAsia" w:cs="MS Gothic"/>
          <w:sz w:val="24"/>
          <w:szCs w:val="24"/>
          <w:highlight w:val="none"/>
        </w:rPr>
        <w:t>服务交付</w:t>
      </w:r>
      <w:r>
        <w:rPr>
          <w:rFonts w:hint="eastAsia"/>
          <w:sz w:val="24"/>
          <w:szCs w:val="24"/>
          <w:highlight w:val="none"/>
        </w:rPr>
        <w:t>后（如本服务为分次交付的，则每次交付后），甲方应当在15个工作日内对所交付</w:t>
      </w:r>
      <w:r>
        <w:rPr>
          <w:rFonts w:hint="eastAsia" w:cs="MS Gothic"/>
          <w:sz w:val="24"/>
          <w:szCs w:val="24"/>
          <w:highlight w:val="none"/>
        </w:rPr>
        <w:t>服务</w:t>
      </w:r>
      <w:r>
        <w:rPr>
          <w:rFonts w:hint="eastAsia"/>
          <w:sz w:val="24"/>
          <w:szCs w:val="24"/>
          <w:highlight w:val="none"/>
        </w:rPr>
        <w:t>进行检验，经检验合格后,向乙方出具书面文件确认其符合本合同所约定的</w:t>
      </w:r>
      <w:r>
        <w:rPr>
          <w:rFonts w:hint="eastAsia" w:cs="MS Gothic"/>
          <w:sz w:val="24"/>
          <w:szCs w:val="24"/>
          <w:highlight w:val="none"/>
        </w:rPr>
        <w:t>服务</w:t>
      </w:r>
      <w:r>
        <w:rPr>
          <w:rFonts w:hint="eastAsia"/>
          <w:sz w:val="24"/>
          <w:szCs w:val="24"/>
          <w:highlight w:val="none"/>
        </w:rPr>
        <w:t>任务、需求和功能。所交付服务如有缺陷，甲方应向乙方出具书面报告，陈述需要改进的缺陷。乙方应立即改进此项缺陷，并再次进行检测和评估。甲方在接收乙方改进后的交付服务后,应当于15个工作日内再次检验并按照检验情况向乙方出具书面确认文件或出具缺陷报告。甲、乙双方将重复此项程序直至甲方领受或甲方依法或依约解除本合同为止。</w:t>
      </w:r>
    </w:p>
    <w:p w14:paraId="7A21B78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 5 如合同约定的服务产生相关</w:t>
      </w:r>
      <w:r>
        <w:rPr>
          <w:rFonts w:hint="eastAsia" w:cs="MS Gothic"/>
          <w:sz w:val="24"/>
          <w:szCs w:val="24"/>
          <w:highlight w:val="none"/>
        </w:rPr>
        <w:t>产品的，自检验</w:t>
      </w:r>
      <w:r>
        <w:rPr>
          <w:rFonts w:hint="eastAsia"/>
          <w:sz w:val="24"/>
          <w:szCs w:val="24"/>
          <w:highlight w:val="none"/>
        </w:rPr>
        <w:t>通过之日起，甲方拥有60天的系统试运行权利。</w:t>
      </w:r>
    </w:p>
    <w:p w14:paraId="43EA2E0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 6 如果由于乙方原因，导致本项目所采购的服务出现故障或问题，乙方应及时排除该故障或问题。以上行为产生的费用和损失均由乙方承担。</w:t>
      </w:r>
    </w:p>
    <w:p w14:paraId="2D9B50A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 7 如果由于甲方原因，导致本项目所采购的服务出现故障或问题，乙方应及时配合排除该方面的故障或问题。以上行为产生的相关费用均由甲方承担。</w:t>
      </w:r>
    </w:p>
    <w:p w14:paraId="531590D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 xml:space="preserve">5. 8 本项目所采购的服务全部完成后，甲方应及时进行验收。乙方应当以书面形式向甲方递交验收通知书，甲方在收到验收通知书后的15个工作日内，确定具体日期，由双方按照本合同的规定完成验收。甲方有权组织第三方专家验收会，对此乙方应当配合。 </w:t>
      </w:r>
    </w:p>
    <w:p w14:paraId="023E1EE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5．9如果属于乙方原因致使</w:t>
      </w:r>
      <w:r>
        <w:rPr>
          <w:rFonts w:hint="eastAsia" w:cs="宋体"/>
          <w:sz w:val="24"/>
          <w:szCs w:val="24"/>
          <w:highlight w:val="none"/>
        </w:rPr>
        <w:t>所提供的服务</w:t>
      </w:r>
      <w:r>
        <w:rPr>
          <w:rFonts w:hint="eastAsia"/>
          <w:sz w:val="24"/>
          <w:szCs w:val="24"/>
          <w:highlight w:val="none"/>
        </w:rPr>
        <w:t>未能通</w:t>
      </w:r>
      <w:r>
        <w:rPr>
          <w:rFonts w:hint="eastAsia" w:cs="宋体"/>
          <w:sz w:val="24"/>
          <w:szCs w:val="24"/>
          <w:highlight w:val="none"/>
        </w:rPr>
        <w:t>过验</w:t>
      </w:r>
      <w:r>
        <w:rPr>
          <w:rFonts w:hint="eastAsia"/>
          <w:sz w:val="24"/>
          <w:szCs w:val="24"/>
          <w:highlight w:val="none"/>
        </w:rPr>
        <w:t>收，乙方</w:t>
      </w:r>
      <w:r>
        <w:rPr>
          <w:rFonts w:hint="eastAsia" w:cs="宋体"/>
          <w:sz w:val="24"/>
          <w:szCs w:val="24"/>
          <w:highlight w:val="none"/>
        </w:rPr>
        <w:t>应</w:t>
      </w:r>
      <w:r>
        <w:rPr>
          <w:rFonts w:hint="eastAsia"/>
          <w:sz w:val="24"/>
          <w:szCs w:val="24"/>
          <w:highlight w:val="none"/>
        </w:rPr>
        <w:t>当排除故障，并自行承担相</w:t>
      </w:r>
      <w:r>
        <w:rPr>
          <w:rFonts w:hint="eastAsia" w:cs="宋体"/>
          <w:sz w:val="24"/>
          <w:szCs w:val="24"/>
          <w:highlight w:val="none"/>
        </w:rPr>
        <w:t>关费</w:t>
      </w:r>
      <w:r>
        <w:rPr>
          <w:rFonts w:hint="eastAsia"/>
          <w:sz w:val="24"/>
          <w:szCs w:val="24"/>
          <w:highlight w:val="none"/>
        </w:rPr>
        <w:t>用和赔偿甲方损失，同</w:t>
      </w:r>
      <w:r>
        <w:rPr>
          <w:rFonts w:hint="eastAsia" w:cs="宋体"/>
          <w:sz w:val="24"/>
          <w:szCs w:val="24"/>
          <w:highlight w:val="none"/>
        </w:rPr>
        <w:t>时延长服务</w:t>
      </w:r>
      <w:r>
        <w:rPr>
          <w:rFonts w:hint="eastAsia"/>
          <w:sz w:val="24"/>
          <w:szCs w:val="24"/>
          <w:highlight w:val="none"/>
        </w:rPr>
        <w:t>执行期30个工作日，直至</w:t>
      </w:r>
      <w:r>
        <w:rPr>
          <w:rFonts w:hint="eastAsia" w:cs="宋体"/>
          <w:sz w:val="24"/>
          <w:szCs w:val="24"/>
          <w:highlight w:val="none"/>
        </w:rPr>
        <w:t>所提供的服务</w:t>
      </w:r>
      <w:r>
        <w:rPr>
          <w:rFonts w:hint="eastAsia"/>
          <w:sz w:val="24"/>
          <w:szCs w:val="24"/>
          <w:highlight w:val="none"/>
        </w:rPr>
        <w:t>完全符合</w:t>
      </w:r>
      <w:r>
        <w:rPr>
          <w:rFonts w:hint="eastAsia" w:cs="宋体"/>
          <w:sz w:val="24"/>
          <w:szCs w:val="24"/>
          <w:highlight w:val="none"/>
        </w:rPr>
        <w:t>验</w:t>
      </w:r>
      <w:r>
        <w:rPr>
          <w:rFonts w:hint="eastAsia"/>
          <w:sz w:val="24"/>
          <w:szCs w:val="24"/>
          <w:highlight w:val="none"/>
        </w:rPr>
        <w:t>收</w:t>
      </w:r>
      <w:r>
        <w:rPr>
          <w:rFonts w:hint="eastAsia" w:cs="宋体"/>
          <w:sz w:val="24"/>
          <w:szCs w:val="24"/>
          <w:highlight w:val="none"/>
        </w:rPr>
        <w:t>标</w:t>
      </w:r>
      <w:r>
        <w:rPr>
          <w:rFonts w:hint="eastAsia"/>
          <w:sz w:val="24"/>
          <w:szCs w:val="24"/>
          <w:highlight w:val="none"/>
        </w:rPr>
        <w:t>准。</w:t>
      </w:r>
    </w:p>
    <w:p w14:paraId="3452004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5．10如果属于甲方原因致使</w:t>
      </w:r>
      <w:r>
        <w:rPr>
          <w:rFonts w:hint="eastAsia" w:cs="宋体"/>
          <w:sz w:val="24"/>
          <w:szCs w:val="24"/>
          <w:highlight w:val="none"/>
        </w:rPr>
        <w:t>所提供的服务</w:t>
      </w:r>
      <w:r>
        <w:rPr>
          <w:rFonts w:hint="eastAsia"/>
          <w:sz w:val="24"/>
          <w:szCs w:val="24"/>
          <w:highlight w:val="none"/>
        </w:rPr>
        <w:t>未能通</w:t>
      </w:r>
      <w:r>
        <w:rPr>
          <w:rFonts w:hint="eastAsia" w:cs="宋体"/>
          <w:sz w:val="24"/>
          <w:szCs w:val="24"/>
          <w:highlight w:val="none"/>
        </w:rPr>
        <w:t>过验</w:t>
      </w:r>
      <w:r>
        <w:rPr>
          <w:rFonts w:hint="eastAsia"/>
          <w:sz w:val="24"/>
          <w:szCs w:val="24"/>
          <w:highlight w:val="none"/>
        </w:rPr>
        <w:t>收，甲方</w:t>
      </w:r>
      <w:r>
        <w:rPr>
          <w:rFonts w:hint="eastAsia" w:cs="宋体"/>
          <w:sz w:val="24"/>
          <w:szCs w:val="24"/>
          <w:highlight w:val="none"/>
        </w:rPr>
        <w:t>应</w:t>
      </w:r>
      <w:r>
        <w:rPr>
          <w:rFonts w:hint="eastAsia"/>
          <w:sz w:val="24"/>
          <w:szCs w:val="24"/>
          <w:highlight w:val="none"/>
        </w:rPr>
        <w:t>在合理</w:t>
      </w:r>
      <w:r>
        <w:rPr>
          <w:rFonts w:hint="eastAsia" w:cs="宋体"/>
          <w:sz w:val="24"/>
          <w:szCs w:val="24"/>
          <w:highlight w:val="none"/>
        </w:rPr>
        <w:t>时间</w:t>
      </w:r>
      <w:r>
        <w:rPr>
          <w:rFonts w:hint="eastAsia"/>
          <w:sz w:val="24"/>
          <w:szCs w:val="24"/>
          <w:highlight w:val="none"/>
        </w:rPr>
        <w:t>内排除障碍，再次</w:t>
      </w:r>
      <w:r>
        <w:rPr>
          <w:rFonts w:hint="eastAsia" w:cs="宋体"/>
          <w:sz w:val="24"/>
          <w:szCs w:val="24"/>
          <w:highlight w:val="none"/>
        </w:rPr>
        <w:t>进</w:t>
      </w:r>
      <w:r>
        <w:rPr>
          <w:rFonts w:hint="eastAsia"/>
          <w:sz w:val="24"/>
          <w:szCs w:val="24"/>
          <w:highlight w:val="none"/>
        </w:rPr>
        <w:t>行</w:t>
      </w:r>
      <w:r>
        <w:rPr>
          <w:rFonts w:hint="eastAsia" w:cs="宋体"/>
          <w:sz w:val="24"/>
          <w:szCs w:val="24"/>
          <w:highlight w:val="none"/>
        </w:rPr>
        <w:t>验</w:t>
      </w:r>
      <w:r>
        <w:rPr>
          <w:rFonts w:hint="eastAsia"/>
          <w:sz w:val="24"/>
          <w:szCs w:val="24"/>
          <w:highlight w:val="none"/>
        </w:rPr>
        <w:t>收。</w:t>
      </w:r>
    </w:p>
    <w:p w14:paraId="399AA58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5．11甲方根据服务的技术规格要求和质量标准，</w:t>
      </w:r>
      <w:r>
        <w:rPr>
          <w:rFonts w:hint="eastAsia" w:cs="宋体"/>
          <w:sz w:val="24"/>
          <w:szCs w:val="24"/>
          <w:highlight w:val="none"/>
        </w:rPr>
        <w:t>项目验</w:t>
      </w:r>
      <w:r>
        <w:rPr>
          <w:rFonts w:hint="eastAsia"/>
          <w:sz w:val="24"/>
          <w:szCs w:val="24"/>
          <w:highlight w:val="none"/>
        </w:rPr>
        <w:t>收合格后，甲方</w:t>
      </w:r>
      <w:r>
        <w:rPr>
          <w:rFonts w:hint="eastAsia" w:cs="宋体"/>
          <w:sz w:val="24"/>
          <w:szCs w:val="24"/>
          <w:highlight w:val="none"/>
        </w:rPr>
        <w:t>签</w:t>
      </w:r>
      <w:r>
        <w:rPr>
          <w:rFonts w:hint="eastAsia"/>
          <w:sz w:val="24"/>
          <w:szCs w:val="24"/>
          <w:highlight w:val="none"/>
        </w:rPr>
        <w:t>署</w:t>
      </w:r>
      <w:r>
        <w:rPr>
          <w:rFonts w:hint="eastAsia" w:cs="宋体"/>
          <w:sz w:val="24"/>
          <w:szCs w:val="24"/>
          <w:highlight w:val="none"/>
        </w:rPr>
        <w:t>验</w:t>
      </w:r>
      <w:r>
        <w:rPr>
          <w:rFonts w:hint="eastAsia"/>
          <w:sz w:val="24"/>
          <w:szCs w:val="24"/>
          <w:highlight w:val="none"/>
        </w:rPr>
        <w:t>收意</w:t>
      </w:r>
      <w:r>
        <w:rPr>
          <w:rFonts w:hint="eastAsia" w:cs="宋体"/>
          <w:sz w:val="24"/>
          <w:szCs w:val="24"/>
          <w:highlight w:val="none"/>
        </w:rPr>
        <w:t>见，</w:t>
      </w:r>
      <w:r>
        <w:rPr>
          <w:rFonts w:hint="eastAsia"/>
          <w:sz w:val="24"/>
          <w:szCs w:val="24"/>
          <w:highlight w:val="none"/>
        </w:rPr>
        <w:t>乙方应及时向甲方开具合法</w:t>
      </w:r>
      <w:r>
        <w:rPr>
          <w:rFonts w:hint="eastAsia" w:cs="宋体"/>
          <w:sz w:val="24"/>
          <w:szCs w:val="24"/>
          <w:highlight w:val="none"/>
        </w:rPr>
        <w:t>发</w:t>
      </w:r>
      <w:r>
        <w:rPr>
          <w:rFonts w:hint="eastAsia"/>
          <w:sz w:val="24"/>
          <w:szCs w:val="24"/>
          <w:highlight w:val="none"/>
        </w:rPr>
        <w:t>票。</w:t>
      </w:r>
    </w:p>
    <w:p w14:paraId="7115AAB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6．知识产权和保密</w:t>
      </w:r>
    </w:p>
    <w:p w14:paraId="352201F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6．1 甲方委托服务所产生的软件、文档等知识产权归甲方所有。乙方应当向甲方交付使用的</w:t>
      </w:r>
      <w:r>
        <w:rPr>
          <w:rFonts w:hint="eastAsia" w:cs="MS Gothic"/>
          <w:sz w:val="24"/>
          <w:szCs w:val="24"/>
          <w:highlight w:val="none"/>
        </w:rPr>
        <w:t>服务中应用的相关软件、文档等</w:t>
      </w:r>
      <w:r>
        <w:rPr>
          <w:rFonts w:hint="eastAsia"/>
          <w:sz w:val="24"/>
          <w:szCs w:val="24"/>
          <w:highlight w:val="none"/>
        </w:rPr>
        <w:t>已享有知识产权的，甲方在本合同范围内具有使用权。</w:t>
      </w:r>
    </w:p>
    <w:p w14:paraId="7CFE664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6. 2如果本合同签订后乙方发生收购、兼并、重组、分立的情形，乙方应于情形发生之日起7日内通知甲方，在甲方同意的情况下，则本合同项下的权利随之转移至收购、兼并、重组后的企业继续履行合同，分立后成立的企业共同对甲方承担连带责任。甲方保留在发生上述情形时解除合同的权利。</w:t>
      </w:r>
    </w:p>
    <w:p w14:paraId="4B014AF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cs="MS Gothic"/>
          <w:sz w:val="24"/>
          <w:szCs w:val="24"/>
          <w:highlight w:val="none"/>
        </w:rPr>
      </w:pPr>
      <w:r>
        <w:rPr>
          <w:rFonts w:hint="eastAsia"/>
          <w:sz w:val="24"/>
          <w:szCs w:val="24"/>
          <w:highlight w:val="none"/>
        </w:rPr>
        <w:t>6. 3 如果甲方或乙方提供的内容属于保密的，</w:t>
      </w:r>
      <w:r>
        <w:rPr>
          <w:rFonts w:hint="eastAsia" w:cs="宋体"/>
          <w:sz w:val="24"/>
          <w:szCs w:val="24"/>
          <w:highlight w:val="none"/>
        </w:rPr>
        <w:t>应签订</w:t>
      </w:r>
      <w:r>
        <w:rPr>
          <w:rFonts w:hint="eastAsia" w:cs="MS Gothic"/>
          <w:sz w:val="24"/>
          <w:szCs w:val="24"/>
          <w:highlight w:val="none"/>
        </w:rPr>
        <w:t>保密</w:t>
      </w:r>
      <w:r>
        <w:rPr>
          <w:rFonts w:hint="eastAsia" w:cs="宋体"/>
          <w:sz w:val="24"/>
          <w:szCs w:val="24"/>
          <w:highlight w:val="none"/>
        </w:rPr>
        <w:t>协议</w:t>
      </w:r>
      <w:r>
        <w:rPr>
          <w:rFonts w:hint="eastAsia" w:cs="MS Gothic"/>
          <w:sz w:val="24"/>
          <w:szCs w:val="24"/>
          <w:highlight w:val="none"/>
        </w:rPr>
        <w:t>，甲乙双方均有保密</w:t>
      </w:r>
      <w:r>
        <w:rPr>
          <w:rFonts w:hint="eastAsia" w:cs="宋体"/>
          <w:sz w:val="24"/>
          <w:szCs w:val="24"/>
          <w:highlight w:val="none"/>
        </w:rPr>
        <w:t>义务</w:t>
      </w:r>
      <w:r>
        <w:rPr>
          <w:rFonts w:hint="eastAsia" w:cs="MS Gothic"/>
          <w:sz w:val="24"/>
          <w:szCs w:val="24"/>
          <w:highlight w:val="none"/>
        </w:rPr>
        <w:t>。</w:t>
      </w:r>
    </w:p>
    <w:p w14:paraId="3B22C2A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6. 4 如果在履行本合同过程中乙方接触到甲方病人的个人信息或诊疗信息的，乙方不得将其用于本合同之外任何目的、不得向任何第三人或机构提供上述信息，否则应向甲方支付合同总价30%的违约金；违约金不足以弥补甲方损失的，还应就损失予以赔偿。</w:t>
      </w:r>
    </w:p>
    <w:p w14:paraId="7910C73E">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7．付款</w:t>
      </w:r>
    </w:p>
    <w:p w14:paraId="3921418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7．1本合同以人民</w:t>
      </w:r>
      <w:r>
        <w:rPr>
          <w:rFonts w:hint="eastAsia" w:cs="宋体"/>
          <w:sz w:val="24"/>
          <w:szCs w:val="24"/>
          <w:highlight w:val="none"/>
        </w:rPr>
        <w:t>币</w:t>
      </w:r>
      <w:r>
        <w:rPr>
          <w:rFonts w:hint="eastAsia" w:cs="MS Gothic"/>
          <w:sz w:val="24"/>
          <w:szCs w:val="24"/>
          <w:highlight w:val="none"/>
        </w:rPr>
        <w:t>付款（</w:t>
      </w:r>
      <w:r>
        <w:rPr>
          <w:rFonts w:hint="eastAsia" w:cs="宋体"/>
          <w:sz w:val="24"/>
          <w:szCs w:val="24"/>
          <w:highlight w:val="none"/>
        </w:rPr>
        <w:t>单</w:t>
      </w:r>
      <w:r>
        <w:rPr>
          <w:rFonts w:hint="eastAsia" w:cs="MS Gothic"/>
          <w:sz w:val="24"/>
          <w:szCs w:val="24"/>
          <w:highlight w:val="none"/>
        </w:rPr>
        <w:t>位：元）。</w:t>
      </w:r>
    </w:p>
    <w:p w14:paraId="086E07F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ascii="宋体" w:hAnsi="宋体" w:cs="MS Gothic"/>
          <w:sz w:val="24"/>
          <w:szCs w:val="24"/>
          <w:highlight w:val="none"/>
        </w:rPr>
      </w:pPr>
      <w:r>
        <w:rPr>
          <w:rFonts w:hint="eastAsia" w:ascii="宋体" w:hAnsi="宋体"/>
          <w:sz w:val="24"/>
          <w:szCs w:val="24"/>
          <w:highlight w:val="none"/>
        </w:rPr>
        <w:t>7．2 本合同款</w:t>
      </w:r>
      <w:r>
        <w:rPr>
          <w:rFonts w:hint="eastAsia" w:ascii="宋体" w:hAnsi="宋体" w:cs="宋体"/>
          <w:sz w:val="24"/>
          <w:szCs w:val="24"/>
          <w:highlight w:val="none"/>
        </w:rPr>
        <w:t>项</w:t>
      </w:r>
      <w:r>
        <w:rPr>
          <w:rFonts w:hint="eastAsia" w:ascii="宋体" w:hAnsi="宋体" w:cs="MS Gothic"/>
          <w:sz w:val="24"/>
          <w:szCs w:val="24"/>
          <w:highlight w:val="none"/>
        </w:rPr>
        <w:t>按照以下方式支付。</w:t>
      </w:r>
    </w:p>
    <w:tbl>
      <w:tblPr>
        <w:tblStyle w:val="45"/>
        <w:tblW w:w="7740" w:type="dxa"/>
        <w:jc w:val="center"/>
        <w:tblLayout w:type="fixed"/>
        <w:tblCellMar>
          <w:top w:w="0" w:type="dxa"/>
          <w:left w:w="108" w:type="dxa"/>
          <w:bottom w:w="0" w:type="dxa"/>
          <w:right w:w="108" w:type="dxa"/>
        </w:tblCellMar>
      </w:tblPr>
      <w:tblGrid>
        <w:gridCol w:w="1842"/>
        <w:gridCol w:w="5898"/>
      </w:tblGrid>
      <w:tr w14:paraId="211EFDF2">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638CC541">
            <w:pPr>
              <w:keepNext w:val="0"/>
              <w:keepLines w:val="0"/>
              <w:pageBreakBefore w:val="0"/>
              <w:widowControl/>
              <w:kinsoku/>
              <w:wordWrap/>
              <w:overflowPunct/>
              <w:topLinePunct w:val="0"/>
              <w:autoSpaceDE/>
              <w:autoSpaceDN/>
              <w:bidi w:val="0"/>
              <w:adjustRightInd/>
              <w:snapToGrid/>
              <w:spacing w:after="0" w:line="500" w:lineRule="exact"/>
              <w:ind w:left="0" w:leftChars="0" w:firstLine="480" w:firstLineChars="200"/>
              <w:jc w:val="center"/>
              <w:textAlignment w:val="auto"/>
              <w:rPr>
                <w:rFonts w:ascii="宋体" w:hAnsi="宋体"/>
                <w:sz w:val="24"/>
                <w:szCs w:val="24"/>
                <w:highlight w:val="none"/>
              </w:rPr>
            </w:pPr>
            <w:r>
              <w:rPr>
                <w:rFonts w:hint="eastAsia" w:ascii="宋体" w:hAnsi="宋体"/>
                <w:sz w:val="24"/>
                <w:szCs w:val="24"/>
                <w:highlight w:val="none"/>
              </w:rPr>
              <w:t>付款次序</w:t>
            </w:r>
          </w:p>
        </w:tc>
        <w:tc>
          <w:tcPr>
            <w:tcW w:w="5898" w:type="dxa"/>
            <w:tcBorders>
              <w:top w:val="single" w:color="auto" w:sz="4" w:space="0"/>
              <w:left w:val="single" w:color="auto" w:sz="4" w:space="0"/>
              <w:bottom w:val="single" w:color="auto" w:sz="4" w:space="0"/>
              <w:right w:val="single" w:color="auto" w:sz="4" w:space="0"/>
            </w:tcBorders>
            <w:vAlign w:val="center"/>
          </w:tcPr>
          <w:p w14:paraId="672ACEB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center"/>
              <w:textAlignment w:val="auto"/>
              <w:rPr>
                <w:rFonts w:ascii="宋体" w:hAnsi="宋体"/>
                <w:sz w:val="24"/>
                <w:szCs w:val="24"/>
                <w:highlight w:val="none"/>
              </w:rPr>
            </w:pPr>
            <w:r>
              <w:rPr>
                <w:rFonts w:hint="eastAsia" w:ascii="宋体" w:hAnsi="宋体"/>
                <w:sz w:val="24"/>
                <w:szCs w:val="24"/>
                <w:highlight w:val="none"/>
              </w:rPr>
              <w:t>支付比例（按合同金额总数的百分比）</w:t>
            </w:r>
          </w:p>
        </w:tc>
      </w:tr>
      <w:tr w14:paraId="1CD76BF2">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62C88E62">
            <w:pPr>
              <w:keepNext w:val="0"/>
              <w:keepLines w:val="0"/>
              <w:pageBreakBefore w:val="0"/>
              <w:widowControl/>
              <w:kinsoku/>
              <w:wordWrap/>
              <w:overflowPunct/>
              <w:topLinePunct w:val="0"/>
              <w:autoSpaceDE/>
              <w:autoSpaceDN/>
              <w:bidi w:val="0"/>
              <w:adjustRightInd/>
              <w:snapToGrid/>
              <w:spacing w:after="0" w:line="500" w:lineRule="exact"/>
              <w:ind w:left="0"/>
              <w:jc w:val="center"/>
              <w:textAlignment w:val="auto"/>
              <w:rPr>
                <w:rFonts w:ascii="宋体" w:hAnsi="宋体"/>
                <w:sz w:val="24"/>
                <w:szCs w:val="24"/>
                <w:highlight w:val="none"/>
              </w:rPr>
            </w:pPr>
            <w:r>
              <w:rPr>
                <w:rFonts w:hint="eastAsia" w:ascii="宋体" w:hAnsi="宋体"/>
                <w:sz w:val="24"/>
                <w:szCs w:val="24"/>
                <w:highlight w:val="none"/>
                <w:lang w:val="en-US" w:eastAsia="zh-CN"/>
              </w:rPr>
              <w:t>第</w:t>
            </w:r>
            <w:r>
              <w:rPr>
                <w:rFonts w:hint="eastAsia" w:ascii="宋体" w:hAnsi="宋体"/>
                <w:sz w:val="24"/>
                <w:szCs w:val="24"/>
                <w:highlight w:val="none"/>
              </w:rPr>
              <w:t>一笔</w:t>
            </w:r>
          </w:p>
        </w:tc>
        <w:tc>
          <w:tcPr>
            <w:tcW w:w="5898" w:type="dxa"/>
            <w:tcBorders>
              <w:top w:val="single" w:color="auto" w:sz="4" w:space="0"/>
              <w:left w:val="single" w:color="auto" w:sz="4" w:space="0"/>
              <w:bottom w:val="single" w:color="auto" w:sz="4" w:space="0"/>
              <w:right w:val="single" w:color="auto" w:sz="4" w:space="0"/>
            </w:tcBorders>
            <w:vAlign w:val="center"/>
          </w:tcPr>
          <w:p w14:paraId="622C3898">
            <w:pPr>
              <w:keepNext w:val="0"/>
              <w:keepLines w:val="0"/>
              <w:pageBreakBefore w:val="0"/>
              <w:widowControl/>
              <w:kinsoku/>
              <w:wordWrap/>
              <w:overflowPunct/>
              <w:topLinePunct w:val="0"/>
              <w:autoSpaceDE/>
              <w:autoSpaceDN/>
              <w:bidi w:val="0"/>
              <w:adjustRightInd/>
              <w:snapToGrid/>
              <w:spacing w:after="0" w:line="500" w:lineRule="exact"/>
              <w:ind w:left="0"/>
              <w:jc w:val="center"/>
              <w:textAlignment w:val="auto"/>
              <w:rPr>
                <w:rFonts w:ascii="宋体" w:hAnsi="宋体"/>
                <w:sz w:val="24"/>
                <w:szCs w:val="24"/>
                <w:highlight w:val="none"/>
              </w:rPr>
            </w:pPr>
            <w:r>
              <w:rPr>
                <w:rFonts w:hint="eastAsia" w:ascii="宋体" w:hAnsi="宋体"/>
                <w:sz w:val="24"/>
                <w:szCs w:val="24"/>
                <w:highlight w:val="none"/>
                <w:lang w:val="en-US" w:eastAsia="zh-CN"/>
              </w:rPr>
              <w:t>10</w:t>
            </w:r>
            <w:r>
              <w:rPr>
                <w:rFonts w:hint="eastAsia" w:ascii="宋体" w:hAnsi="宋体"/>
                <w:sz w:val="24"/>
                <w:szCs w:val="24"/>
                <w:highlight w:val="none"/>
              </w:rPr>
              <w:t>%</w:t>
            </w:r>
          </w:p>
        </w:tc>
      </w:tr>
      <w:tr w14:paraId="7C5FAA0B">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777220B4">
            <w:pPr>
              <w:keepNext w:val="0"/>
              <w:keepLines w:val="0"/>
              <w:pageBreakBefore w:val="0"/>
              <w:widowControl/>
              <w:kinsoku/>
              <w:wordWrap/>
              <w:overflowPunct/>
              <w:topLinePunct w:val="0"/>
              <w:autoSpaceDE/>
              <w:autoSpaceDN/>
              <w:bidi w:val="0"/>
              <w:adjustRightInd/>
              <w:snapToGrid/>
              <w:spacing w:after="0" w:line="500" w:lineRule="exact"/>
              <w:ind w:left="0"/>
              <w:jc w:val="center"/>
              <w:textAlignment w:val="auto"/>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第二笔</w:t>
            </w:r>
          </w:p>
        </w:tc>
        <w:tc>
          <w:tcPr>
            <w:tcW w:w="5898" w:type="dxa"/>
            <w:tcBorders>
              <w:top w:val="single" w:color="auto" w:sz="4" w:space="0"/>
              <w:left w:val="single" w:color="auto" w:sz="4" w:space="0"/>
              <w:bottom w:val="single" w:color="auto" w:sz="4" w:space="0"/>
              <w:right w:val="single" w:color="auto" w:sz="4" w:space="0"/>
            </w:tcBorders>
            <w:vAlign w:val="center"/>
          </w:tcPr>
          <w:p w14:paraId="1BB2A7B5">
            <w:pPr>
              <w:keepNext w:val="0"/>
              <w:keepLines w:val="0"/>
              <w:pageBreakBefore w:val="0"/>
              <w:widowControl/>
              <w:kinsoku/>
              <w:wordWrap/>
              <w:overflowPunct/>
              <w:topLinePunct w:val="0"/>
              <w:autoSpaceDE/>
              <w:autoSpaceDN/>
              <w:bidi w:val="0"/>
              <w:adjustRightInd/>
              <w:snapToGrid/>
              <w:spacing w:after="0" w:line="500" w:lineRule="exact"/>
              <w:ind w:left="0"/>
              <w:jc w:val="center"/>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40%</w:t>
            </w:r>
          </w:p>
        </w:tc>
      </w:tr>
      <w:tr w14:paraId="6348566B">
        <w:tblPrEx>
          <w:tblCellMar>
            <w:top w:w="0" w:type="dxa"/>
            <w:left w:w="108" w:type="dxa"/>
            <w:bottom w:w="0" w:type="dxa"/>
            <w:right w:w="108" w:type="dxa"/>
          </w:tblCellMar>
        </w:tblPrEx>
        <w:trPr>
          <w:jc w:val="center"/>
        </w:trPr>
        <w:tc>
          <w:tcPr>
            <w:tcW w:w="1842" w:type="dxa"/>
            <w:tcBorders>
              <w:top w:val="single" w:color="auto" w:sz="4" w:space="0"/>
              <w:left w:val="single" w:color="auto" w:sz="4" w:space="0"/>
              <w:bottom w:val="single" w:color="auto" w:sz="4" w:space="0"/>
              <w:right w:val="single" w:color="auto" w:sz="4" w:space="0"/>
            </w:tcBorders>
            <w:vAlign w:val="center"/>
          </w:tcPr>
          <w:p w14:paraId="06163A15">
            <w:pPr>
              <w:keepNext w:val="0"/>
              <w:keepLines w:val="0"/>
              <w:pageBreakBefore w:val="0"/>
              <w:widowControl/>
              <w:kinsoku/>
              <w:wordWrap/>
              <w:overflowPunct/>
              <w:topLinePunct w:val="0"/>
              <w:autoSpaceDE/>
              <w:autoSpaceDN/>
              <w:bidi w:val="0"/>
              <w:adjustRightInd/>
              <w:snapToGrid/>
              <w:spacing w:after="0" w:line="500" w:lineRule="exact"/>
              <w:ind w:left="0"/>
              <w:jc w:val="center"/>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第三笔</w:t>
            </w:r>
          </w:p>
        </w:tc>
        <w:tc>
          <w:tcPr>
            <w:tcW w:w="5898" w:type="dxa"/>
            <w:tcBorders>
              <w:top w:val="single" w:color="auto" w:sz="4" w:space="0"/>
              <w:left w:val="single" w:color="auto" w:sz="4" w:space="0"/>
              <w:bottom w:val="single" w:color="auto" w:sz="4" w:space="0"/>
              <w:right w:val="single" w:color="auto" w:sz="4" w:space="0"/>
            </w:tcBorders>
            <w:vAlign w:val="center"/>
          </w:tcPr>
          <w:p w14:paraId="466AE980">
            <w:pPr>
              <w:keepNext w:val="0"/>
              <w:keepLines w:val="0"/>
              <w:pageBreakBefore w:val="0"/>
              <w:widowControl/>
              <w:kinsoku/>
              <w:wordWrap/>
              <w:overflowPunct/>
              <w:topLinePunct w:val="0"/>
              <w:autoSpaceDE/>
              <w:autoSpaceDN/>
              <w:bidi w:val="0"/>
              <w:adjustRightInd/>
              <w:snapToGrid/>
              <w:spacing w:after="0" w:line="500" w:lineRule="exact"/>
              <w:ind w:left="0"/>
              <w:jc w:val="center"/>
              <w:textAlignment w:val="auto"/>
              <w:rPr>
                <w:rFonts w:hint="eastAsia" w:ascii="宋体" w:hAnsi="宋体"/>
                <w:sz w:val="24"/>
                <w:szCs w:val="24"/>
                <w:highlight w:val="none"/>
                <w:lang w:val="en-US" w:eastAsia="zh-CN"/>
              </w:rPr>
            </w:pPr>
            <w:r>
              <w:rPr>
                <w:rFonts w:hint="eastAsia" w:ascii="宋体" w:hAnsi="宋体"/>
                <w:sz w:val="24"/>
                <w:szCs w:val="24"/>
                <w:highlight w:val="none"/>
                <w:lang w:val="en-US" w:eastAsia="zh-CN"/>
              </w:rPr>
              <w:t>50%</w:t>
            </w:r>
          </w:p>
        </w:tc>
      </w:tr>
    </w:tbl>
    <w:p w14:paraId="7EC5569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eastAsia"/>
          <w:sz w:val="24"/>
          <w:szCs w:val="24"/>
          <w:highlight w:val="none"/>
        </w:rPr>
      </w:pPr>
      <w:r>
        <w:rPr>
          <w:rFonts w:hint="eastAsia"/>
          <w:sz w:val="24"/>
          <w:szCs w:val="24"/>
          <w:highlight w:val="none"/>
        </w:rPr>
        <w:t xml:space="preserve">7．3付款条件： </w:t>
      </w:r>
    </w:p>
    <w:p w14:paraId="585F11C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eastAsia"/>
          <w:sz w:val="24"/>
          <w:szCs w:val="24"/>
          <w:highlight w:val="none"/>
          <w:lang w:val="en-US" w:eastAsia="zh-CN"/>
        </w:rPr>
      </w:pPr>
      <w:r>
        <w:rPr>
          <w:rFonts w:hint="eastAsia"/>
          <w:sz w:val="24"/>
          <w:szCs w:val="24"/>
          <w:highlight w:val="none"/>
          <w:lang w:val="en-US" w:eastAsia="zh-CN"/>
        </w:rPr>
        <w:t>第一笔款项：在合同签订后30个工作日内支付合同金额10%预付款。</w:t>
      </w:r>
    </w:p>
    <w:p w14:paraId="2E86B70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eastAsia" w:ascii="宋体"/>
          <w:sz w:val="24"/>
          <w:szCs w:val="24"/>
          <w:highlight w:val="none"/>
          <w:lang w:val="en-US" w:eastAsia="zh-CN"/>
        </w:rPr>
      </w:pPr>
      <w:r>
        <w:rPr>
          <w:rFonts w:hint="eastAsia"/>
          <w:sz w:val="24"/>
          <w:szCs w:val="24"/>
          <w:highlight w:val="none"/>
          <w:lang w:val="en-US" w:eastAsia="zh-CN"/>
        </w:rPr>
        <w:t>第二笔款项：试运行通过后，</w:t>
      </w:r>
      <w:r>
        <w:rPr>
          <w:rFonts w:hint="eastAsia" w:ascii="宋体"/>
          <w:sz w:val="24"/>
          <w:szCs w:val="24"/>
          <w:highlight w:val="none"/>
        </w:rPr>
        <w:t>经甲方</w:t>
      </w:r>
      <w:r>
        <w:rPr>
          <w:rFonts w:hint="eastAsia" w:ascii="宋体"/>
          <w:sz w:val="24"/>
          <w:szCs w:val="24"/>
          <w:highlight w:val="none"/>
          <w:lang w:val="en-US" w:eastAsia="zh-CN"/>
        </w:rPr>
        <w:t>阶段性</w:t>
      </w:r>
      <w:r>
        <w:rPr>
          <w:rFonts w:hint="eastAsia" w:ascii="宋体"/>
          <w:sz w:val="24"/>
          <w:szCs w:val="24"/>
          <w:highlight w:val="none"/>
        </w:rPr>
        <w:t>验收完成出具验收单，并且甲方收到乙方发票后</w:t>
      </w:r>
      <w:r>
        <w:rPr>
          <w:rFonts w:ascii="宋体"/>
          <w:sz w:val="24"/>
          <w:szCs w:val="24"/>
          <w:highlight w:val="none"/>
        </w:rPr>
        <w:t>3</w:t>
      </w:r>
      <w:r>
        <w:rPr>
          <w:rFonts w:hint="eastAsia" w:ascii="宋体"/>
          <w:sz w:val="24"/>
          <w:szCs w:val="24"/>
          <w:highlight w:val="none"/>
        </w:rPr>
        <w:t>个月内，甲方向乙方支付</w:t>
      </w:r>
      <w:r>
        <w:rPr>
          <w:rFonts w:hint="eastAsia" w:ascii="宋体" w:eastAsia="宋体"/>
          <w:sz w:val="24"/>
          <w:szCs w:val="24"/>
          <w:highlight w:val="none"/>
          <w:lang w:val="en-US" w:eastAsia="zh-CN"/>
        </w:rPr>
        <w:t>至总款项的50%，本次付款时，前期已支付的10%预付款将全额自动冲抵对应比例款项，甲方本次实际向乙方支付剩余40%进度款</w:t>
      </w:r>
      <w:r>
        <w:rPr>
          <w:rFonts w:hint="eastAsia" w:ascii="宋体"/>
          <w:sz w:val="24"/>
          <w:szCs w:val="24"/>
          <w:highlight w:val="none"/>
          <w:lang w:val="en-US" w:eastAsia="zh-CN"/>
        </w:rPr>
        <w:t>。</w:t>
      </w:r>
    </w:p>
    <w:p w14:paraId="406A985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default" w:ascii="宋体" w:eastAsia="宋体"/>
          <w:b w:val="0"/>
          <w:bCs w:val="0"/>
          <w:sz w:val="24"/>
          <w:szCs w:val="24"/>
          <w:highlight w:val="none"/>
          <w:lang w:val="en-US" w:eastAsia="zh-CN"/>
        </w:rPr>
      </w:pPr>
      <w:r>
        <w:rPr>
          <w:rFonts w:hint="eastAsia" w:ascii="宋体"/>
          <w:sz w:val="24"/>
          <w:szCs w:val="24"/>
          <w:highlight w:val="none"/>
          <w:lang w:val="en-US" w:eastAsia="zh-CN"/>
        </w:rPr>
        <w:t>第三笔款项：</w:t>
      </w:r>
      <w:r>
        <w:rPr>
          <w:rFonts w:hint="eastAsia" w:ascii="宋体"/>
          <w:sz w:val="24"/>
          <w:szCs w:val="24"/>
          <w:highlight w:val="none"/>
        </w:rPr>
        <w:t>服务</w:t>
      </w:r>
      <w:r>
        <w:rPr>
          <w:rFonts w:hint="eastAsia" w:ascii="宋体" w:eastAsia="宋体"/>
          <w:sz w:val="24"/>
          <w:szCs w:val="24"/>
          <w:highlight w:val="none"/>
          <w:lang w:val="en-US" w:eastAsia="zh-CN"/>
        </w:rPr>
        <w:t>期结束后</w:t>
      </w:r>
      <w:r>
        <w:rPr>
          <w:rFonts w:hint="eastAsia" w:ascii="宋体"/>
          <w:sz w:val="24"/>
          <w:szCs w:val="24"/>
          <w:highlight w:val="none"/>
        </w:rPr>
        <w:t>，经甲方</w:t>
      </w:r>
      <w:r>
        <w:rPr>
          <w:rFonts w:hint="eastAsia" w:ascii="宋体"/>
          <w:sz w:val="24"/>
          <w:szCs w:val="24"/>
          <w:highlight w:val="none"/>
          <w:lang w:val="en-US" w:eastAsia="zh-CN"/>
        </w:rPr>
        <w:t>考核评价出具验收单和考核表</w:t>
      </w:r>
      <w:r>
        <w:rPr>
          <w:rFonts w:hint="eastAsia" w:ascii="宋体"/>
          <w:sz w:val="24"/>
          <w:szCs w:val="24"/>
          <w:highlight w:val="none"/>
        </w:rPr>
        <w:t>，并且甲方收到乙方发票后</w:t>
      </w:r>
      <w:r>
        <w:rPr>
          <w:rFonts w:ascii="宋体"/>
          <w:sz w:val="24"/>
          <w:szCs w:val="24"/>
          <w:highlight w:val="none"/>
        </w:rPr>
        <w:t>3</w:t>
      </w:r>
      <w:r>
        <w:rPr>
          <w:rFonts w:hint="eastAsia" w:ascii="宋体"/>
          <w:sz w:val="24"/>
          <w:szCs w:val="24"/>
          <w:highlight w:val="none"/>
        </w:rPr>
        <w:t>个月内，甲方</w:t>
      </w:r>
      <w:r>
        <w:rPr>
          <w:rFonts w:hint="eastAsia" w:ascii="宋体"/>
          <w:sz w:val="24"/>
          <w:szCs w:val="24"/>
          <w:highlight w:val="none"/>
          <w:lang w:val="en-US" w:eastAsia="zh-CN"/>
        </w:rPr>
        <w:t>根据相应考核结果</w:t>
      </w:r>
      <w:r>
        <w:rPr>
          <w:rFonts w:hint="eastAsia" w:ascii="宋体"/>
          <w:sz w:val="24"/>
          <w:szCs w:val="24"/>
          <w:highlight w:val="none"/>
        </w:rPr>
        <w:t>向乙方支付</w:t>
      </w:r>
      <w:r>
        <w:rPr>
          <w:rFonts w:hint="eastAsia" w:ascii="宋体"/>
          <w:sz w:val="24"/>
          <w:szCs w:val="24"/>
          <w:highlight w:val="none"/>
          <w:lang w:val="en-US" w:eastAsia="zh-CN"/>
        </w:rPr>
        <w:t>剩余的款项。</w:t>
      </w:r>
    </w:p>
    <w:p w14:paraId="152DF20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8．辅助服务</w:t>
      </w:r>
    </w:p>
    <w:p w14:paraId="6ABE92D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8．1 乙方应提交所提供服务的技术文件，包括相应的中文技术文件，例如：产品目录、图纸、详细设计、操作手册、使用说明、维护手册和/或服务指南。</w:t>
      </w:r>
    </w:p>
    <w:p w14:paraId="72FDA8F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8．2 乙方还应提供下列服务：</w:t>
      </w:r>
    </w:p>
    <w:p w14:paraId="0585E48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（1）服务所需硬件设备的现场移动、安装、调试、启动监督及技术支持；</w:t>
      </w:r>
    </w:p>
    <w:p w14:paraId="08608E7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（2）提供设备组装和维修所需的专用工具和辅助材料；</w:t>
      </w:r>
    </w:p>
    <w:p w14:paraId="23CC387E">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（3）在质量保证期内对交付的服务实施运行监督、维护、维修；</w:t>
      </w:r>
    </w:p>
    <w:p w14:paraId="18746A9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（4）乙方应根据项目实施的计划、进度和需要与甲方的合理要求，及时安排对甲方的相关人员进行培训。培训目标为使受训者能够独立、熟练地完成操作，实现依据本合同项下甲方购买的项目的目标和功能。</w:t>
      </w:r>
    </w:p>
    <w:p w14:paraId="61A2368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8．3 辅助服务的费用应包含在合同价内，甲方不再另行支付。</w:t>
      </w:r>
    </w:p>
    <w:p w14:paraId="4666D42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9．系统保证和维护</w:t>
      </w:r>
    </w:p>
    <w:p w14:paraId="024D419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9．1在乙方所交付的服务中，不得含有未经甲方许可的可以自动终止或妨碍系统运作的软件和硬件，否则，乙方应承担赔偿责任；</w:t>
      </w:r>
    </w:p>
    <w:p w14:paraId="2227D08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9．2乙方所提供的服务，包括受甲方委托所开发的软件，如果需要经国家有关部门登记、备案、审批或许可的，乙方应当保证所提供的服务已经完成上述手续。</w:t>
      </w:r>
    </w:p>
    <w:p w14:paraId="77C2D46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9．3乙方保证，依据本合同向甲方提供的服务及其附属产品不存在品质或技术上的瑕疵，能够符合技术规范地正常运行、实现产品和项目功能、满足甲方的合同目的。</w:t>
      </w:r>
    </w:p>
    <w:p w14:paraId="2382B56E">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9．</w:t>
      </w:r>
      <w:r>
        <w:rPr>
          <w:sz w:val="24"/>
          <w:szCs w:val="24"/>
          <w:highlight w:val="none"/>
        </w:rPr>
        <w:t>4</w:t>
      </w:r>
      <w:r>
        <w:rPr>
          <w:rFonts w:hint="eastAsia"/>
          <w:sz w:val="24"/>
          <w:szCs w:val="24"/>
          <w:highlight w:val="none"/>
        </w:rPr>
        <w:t>乙方在约定的时间内未能弥补缺陷，甲方可采取必要的补救措施，但其风险和费用由乙方承担，甲方根据合同规定对乙方行使的其他权利不受影响。</w:t>
      </w:r>
    </w:p>
    <w:p w14:paraId="3BFEFAE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9．</w:t>
      </w:r>
      <w:r>
        <w:rPr>
          <w:sz w:val="24"/>
          <w:szCs w:val="24"/>
          <w:highlight w:val="none"/>
        </w:rPr>
        <w:t>5</w:t>
      </w:r>
      <w:r>
        <w:rPr>
          <w:rFonts w:hint="eastAsia"/>
          <w:sz w:val="24"/>
          <w:szCs w:val="24"/>
          <w:highlight w:val="none"/>
        </w:rPr>
        <w:t>在乙方所维护的产品中，如果存在安全漏洞必须免费修补。</w:t>
      </w:r>
    </w:p>
    <w:p w14:paraId="43BBFDF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10．</w:t>
      </w:r>
      <w:r>
        <w:rPr>
          <w:rFonts w:hint="eastAsia" w:cs="宋体"/>
          <w:sz w:val="24"/>
          <w:szCs w:val="24"/>
          <w:highlight w:val="none"/>
        </w:rPr>
        <w:t>补</w:t>
      </w:r>
      <w:r>
        <w:rPr>
          <w:rFonts w:hint="eastAsia"/>
          <w:sz w:val="24"/>
          <w:szCs w:val="24"/>
          <w:highlight w:val="none"/>
        </w:rPr>
        <w:t>救措施和索</w:t>
      </w:r>
      <w:r>
        <w:rPr>
          <w:rFonts w:hint="eastAsia" w:cs="宋体"/>
          <w:sz w:val="24"/>
          <w:szCs w:val="24"/>
          <w:highlight w:val="none"/>
        </w:rPr>
        <w:t>赔</w:t>
      </w:r>
    </w:p>
    <w:p w14:paraId="7D19862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10．1 甲方有</w:t>
      </w:r>
      <w:r>
        <w:rPr>
          <w:rFonts w:hint="eastAsia" w:cs="宋体"/>
          <w:sz w:val="24"/>
          <w:szCs w:val="24"/>
          <w:highlight w:val="none"/>
        </w:rPr>
        <w:t>权</w:t>
      </w:r>
      <w:r>
        <w:rPr>
          <w:rFonts w:hint="eastAsia"/>
          <w:sz w:val="24"/>
          <w:szCs w:val="24"/>
          <w:highlight w:val="none"/>
        </w:rPr>
        <w:t>根据</w:t>
      </w:r>
      <w:r>
        <w:rPr>
          <w:rFonts w:hint="eastAsia" w:cs="宋体"/>
          <w:sz w:val="24"/>
          <w:szCs w:val="24"/>
          <w:highlight w:val="none"/>
        </w:rPr>
        <w:t>质</w:t>
      </w:r>
      <w:r>
        <w:rPr>
          <w:rFonts w:hint="eastAsia"/>
          <w:sz w:val="24"/>
          <w:szCs w:val="24"/>
          <w:highlight w:val="none"/>
        </w:rPr>
        <w:t>量</w:t>
      </w:r>
      <w:r>
        <w:rPr>
          <w:rFonts w:hint="eastAsia" w:cs="宋体"/>
          <w:sz w:val="24"/>
          <w:szCs w:val="24"/>
          <w:highlight w:val="none"/>
        </w:rPr>
        <w:t>检测</w:t>
      </w:r>
      <w:r>
        <w:rPr>
          <w:rFonts w:hint="eastAsia"/>
          <w:sz w:val="24"/>
          <w:szCs w:val="24"/>
          <w:highlight w:val="none"/>
        </w:rPr>
        <w:t>部</w:t>
      </w:r>
      <w:r>
        <w:rPr>
          <w:rFonts w:hint="eastAsia" w:cs="宋体"/>
          <w:sz w:val="24"/>
          <w:szCs w:val="24"/>
          <w:highlight w:val="none"/>
        </w:rPr>
        <w:t>门</w:t>
      </w:r>
      <w:r>
        <w:rPr>
          <w:rFonts w:hint="eastAsia"/>
          <w:sz w:val="24"/>
          <w:szCs w:val="24"/>
          <w:highlight w:val="none"/>
        </w:rPr>
        <w:t>出具的</w:t>
      </w:r>
      <w:r>
        <w:rPr>
          <w:rFonts w:hint="eastAsia" w:cs="宋体"/>
          <w:sz w:val="24"/>
          <w:szCs w:val="24"/>
          <w:highlight w:val="none"/>
        </w:rPr>
        <w:t>检验证书</w:t>
      </w:r>
      <w:r>
        <w:rPr>
          <w:rFonts w:hint="eastAsia"/>
          <w:sz w:val="24"/>
          <w:szCs w:val="24"/>
          <w:highlight w:val="none"/>
        </w:rPr>
        <w:t>向乙方提出索</w:t>
      </w:r>
      <w:r>
        <w:rPr>
          <w:rFonts w:hint="eastAsia" w:cs="宋体"/>
          <w:sz w:val="24"/>
          <w:szCs w:val="24"/>
          <w:highlight w:val="none"/>
        </w:rPr>
        <w:t>赔</w:t>
      </w:r>
      <w:r>
        <w:rPr>
          <w:rFonts w:hint="eastAsia"/>
          <w:sz w:val="24"/>
          <w:szCs w:val="24"/>
          <w:highlight w:val="none"/>
        </w:rPr>
        <w:t>。</w:t>
      </w:r>
    </w:p>
    <w:p w14:paraId="2FD0520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10．2</w:t>
      </w:r>
      <w:r>
        <w:rPr>
          <w:rFonts w:hint="eastAsia"/>
          <w:color w:val="auto"/>
          <w:sz w:val="24"/>
          <w:szCs w:val="24"/>
          <w:highlight w:val="none"/>
        </w:rPr>
        <w:t>在</w:t>
      </w:r>
      <w:r>
        <w:rPr>
          <w:rFonts w:hint="eastAsia" w:cs="宋体"/>
          <w:color w:val="auto"/>
          <w:sz w:val="24"/>
          <w:szCs w:val="24"/>
          <w:highlight w:val="none"/>
          <w:lang w:val="en-US" w:eastAsia="zh-CN"/>
        </w:rPr>
        <w:t>服务执行期</w:t>
      </w:r>
      <w:r>
        <w:rPr>
          <w:rFonts w:hint="eastAsia"/>
          <w:color w:val="auto"/>
          <w:sz w:val="24"/>
          <w:szCs w:val="24"/>
          <w:highlight w:val="none"/>
        </w:rPr>
        <w:t>内</w:t>
      </w:r>
      <w:r>
        <w:rPr>
          <w:rFonts w:hint="eastAsia"/>
          <w:sz w:val="24"/>
          <w:szCs w:val="24"/>
          <w:highlight w:val="none"/>
        </w:rPr>
        <w:t>，如果服务成果出现质量问题或其潜在缺陷被发现，甲方提出索</w:t>
      </w:r>
      <w:r>
        <w:rPr>
          <w:rFonts w:hint="eastAsia" w:cs="宋体"/>
          <w:sz w:val="24"/>
          <w:szCs w:val="24"/>
          <w:highlight w:val="none"/>
        </w:rPr>
        <w:t>赔</w:t>
      </w:r>
      <w:r>
        <w:rPr>
          <w:rFonts w:hint="eastAsia"/>
          <w:sz w:val="24"/>
          <w:szCs w:val="24"/>
          <w:highlight w:val="none"/>
        </w:rPr>
        <w:t>，乙方</w:t>
      </w:r>
      <w:r>
        <w:rPr>
          <w:rFonts w:hint="eastAsia" w:cs="宋体"/>
          <w:sz w:val="24"/>
          <w:szCs w:val="24"/>
          <w:highlight w:val="none"/>
        </w:rPr>
        <w:t>应</w:t>
      </w:r>
      <w:r>
        <w:rPr>
          <w:rFonts w:hint="eastAsia"/>
          <w:sz w:val="24"/>
          <w:szCs w:val="24"/>
          <w:highlight w:val="none"/>
        </w:rPr>
        <w:t>按照甲方同意的下列一</w:t>
      </w:r>
      <w:r>
        <w:rPr>
          <w:rFonts w:hint="eastAsia" w:cs="宋体"/>
          <w:sz w:val="24"/>
          <w:szCs w:val="24"/>
          <w:highlight w:val="none"/>
        </w:rPr>
        <w:t>种</w:t>
      </w:r>
      <w:r>
        <w:rPr>
          <w:rFonts w:hint="eastAsia"/>
          <w:sz w:val="24"/>
          <w:szCs w:val="24"/>
          <w:highlight w:val="none"/>
        </w:rPr>
        <w:t>或多</w:t>
      </w:r>
      <w:r>
        <w:rPr>
          <w:rFonts w:hint="eastAsia" w:cs="宋体"/>
          <w:sz w:val="24"/>
          <w:szCs w:val="24"/>
          <w:highlight w:val="none"/>
        </w:rPr>
        <w:t>种</w:t>
      </w:r>
      <w:r>
        <w:rPr>
          <w:rFonts w:hint="eastAsia"/>
          <w:sz w:val="24"/>
          <w:szCs w:val="24"/>
          <w:highlight w:val="none"/>
        </w:rPr>
        <w:t>方式解决索</w:t>
      </w:r>
      <w:r>
        <w:rPr>
          <w:rFonts w:hint="eastAsia" w:cs="宋体"/>
          <w:sz w:val="24"/>
          <w:szCs w:val="24"/>
          <w:highlight w:val="none"/>
        </w:rPr>
        <w:t>赔</w:t>
      </w:r>
      <w:r>
        <w:rPr>
          <w:rFonts w:hint="eastAsia"/>
          <w:sz w:val="24"/>
          <w:szCs w:val="24"/>
          <w:highlight w:val="none"/>
        </w:rPr>
        <w:t>事宜（双方约定选择第____3_____种）：</w:t>
      </w:r>
    </w:p>
    <w:p w14:paraId="43AC9A0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（1）乙方同意将已支付的价款退还给甲方，甲方将已经交付的服务成果退还给乙方，由此</w:t>
      </w:r>
      <w:r>
        <w:rPr>
          <w:rFonts w:hint="eastAsia" w:cs="宋体"/>
          <w:sz w:val="24"/>
          <w:szCs w:val="24"/>
          <w:highlight w:val="none"/>
        </w:rPr>
        <w:t>发</w:t>
      </w:r>
      <w:r>
        <w:rPr>
          <w:rFonts w:hint="eastAsia"/>
          <w:sz w:val="24"/>
          <w:szCs w:val="24"/>
          <w:highlight w:val="none"/>
        </w:rPr>
        <w:t>生的一切费用和损失由乙方承担。</w:t>
      </w:r>
    </w:p>
    <w:p w14:paraId="0090F59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 xml:space="preserve">（2） </w:t>
      </w:r>
      <w:r>
        <w:rPr>
          <w:rFonts w:hint="eastAsia" w:cs="宋体"/>
          <w:sz w:val="24"/>
          <w:szCs w:val="24"/>
          <w:highlight w:val="none"/>
        </w:rPr>
        <w:t>根据服务成果的质</w:t>
      </w:r>
      <w:r>
        <w:rPr>
          <w:rFonts w:hint="eastAsia"/>
          <w:sz w:val="24"/>
          <w:szCs w:val="24"/>
          <w:highlight w:val="none"/>
        </w:rPr>
        <w:t>量状况以及甲方所遭受的损失，经买卖双方协商一致减少应支付的价款。</w:t>
      </w:r>
    </w:p>
    <w:p w14:paraId="1858015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（3）乙方</w:t>
      </w:r>
      <w:r>
        <w:rPr>
          <w:rFonts w:hint="eastAsia" w:cs="宋体"/>
          <w:sz w:val="24"/>
          <w:szCs w:val="24"/>
          <w:highlight w:val="none"/>
        </w:rPr>
        <w:t>应</w:t>
      </w:r>
      <w:r>
        <w:rPr>
          <w:rFonts w:hint="eastAsia"/>
          <w:sz w:val="24"/>
          <w:szCs w:val="24"/>
          <w:highlight w:val="none"/>
        </w:rPr>
        <w:t>在接到甲方通知后七天内采取包括维修、更换、重做等补救措施，以使得服务成果能够符合合同</w:t>
      </w:r>
      <w:r>
        <w:rPr>
          <w:rFonts w:hint="eastAsia" w:cs="宋体"/>
          <w:sz w:val="24"/>
          <w:szCs w:val="24"/>
          <w:highlight w:val="none"/>
        </w:rPr>
        <w:t>规</w:t>
      </w:r>
      <w:r>
        <w:rPr>
          <w:rFonts w:hint="eastAsia"/>
          <w:sz w:val="24"/>
          <w:szCs w:val="24"/>
          <w:highlight w:val="none"/>
        </w:rPr>
        <w:t>定的</w:t>
      </w:r>
      <w:r>
        <w:rPr>
          <w:rFonts w:hint="eastAsia" w:cs="宋体"/>
          <w:sz w:val="24"/>
          <w:szCs w:val="24"/>
          <w:highlight w:val="none"/>
        </w:rPr>
        <w:t>规</w:t>
      </w:r>
      <w:r>
        <w:rPr>
          <w:rFonts w:hint="eastAsia"/>
          <w:sz w:val="24"/>
          <w:szCs w:val="24"/>
          <w:highlight w:val="none"/>
        </w:rPr>
        <w:t>格、</w:t>
      </w:r>
      <w:r>
        <w:rPr>
          <w:rFonts w:hint="eastAsia" w:cs="宋体"/>
          <w:sz w:val="24"/>
          <w:szCs w:val="24"/>
          <w:highlight w:val="none"/>
        </w:rPr>
        <w:t>质</w:t>
      </w:r>
      <w:r>
        <w:rPr>
          <w:rFonts w:hint="eastAsia"/>
          <w:sz w:val="24"/>
          <w:szCs w:val="24"/>
          <w:highlight w:val="none"/>
        </w:rPr>
        <w:t>量和性能要求，其</w:t>
      </w:r>
      <w:r>
        <w:rPr>
          <w:rFonts w:hint="eastAsia" w:cs="宋体"/>
          <w:sz w:val="24"/>
          <w:szCs w:val="24"/>
          <w:highlight w:val="none"/>
        </w:rPr>
        <w:t>费</w:t>
      </w:r>
      <w:r>
        <w:rPr>
          <w:rFonts w:hint="eastAsia"/>
          <w:sz w:val="24"/>
          <w:szCs w:val="24"/>
          <w:highlight w:val="none"/>
        </w:rPr>
        <w:t>用由乙方</w:t>
      </w:r>
      <w:r>
        <w:rPr>
          <w:rFonts w:hint="eastAsia" w:cs="宋体"/>
          <w:sz w:val="24"/>
          <w:szCs w:val="24"/>
          <w:highlight w:val="none"/>
        </w:rPr>
        <w:t>负</w:t>
      </w:r>
      <w:r>
        <w:rPr>
          <w:rFonts w:hint="eastAsia"/>
          <w:sz w:val="24"/>
          <w:szCs w:val="24"/>
          <w:highlight w:val="none"/>
        </w:rPr>
        <w:t>担。同时，约定的质量保证期应相应延长。</w:t>
      </w:r>
    </w:p>
    <w:p w14:paraId="699B9A2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bCs/>
          <w:sz w:val="24"/>
          <w:szCs w:val="24"/>
          <w:highlight w:val="none"/>
        </w:rPr>
        <w:t xml:space="preserve">10．3 </w:t>
      </w:r>
      <w:r>
        <w:rPr>
          <w:rFonts w:hint="eastAsia"/>
          <w:sz w:val="24"/>
          <w:szCs w:val="24"/>
          <w:highlight w:val="none"/>
        </w:rPr>
        <w:t>如果在甲方</w:t>
      </w:r>
      <w:r>
        <w:rPr>
          <w:rFonts w:hint="eastAsia" w:cs="宋体"/>
          <w:sz w:val="24"/>
          <w:szCs w:val="24"/>
          <w:highlight w:val="none"/>
        </w:rPr>
        <w:t>发</w:t>
      </w:r>
      <w:r>
        <w:rPr>
          <w:rFonts w:hint="eastAsia"/>
          <w:sz w:val="24"/>
          <w:szCs w:val="24"/>
          <w:highlight w:val="none"/>
        </w:rPr>
        <w:t>出索</w:t>
      </w:r>
      <w:r>
        <w:rPr>
          <w:rFonts w:hint="eastAsia" w:cs="宋体"/>
          <w:sz w:val="24"/>
          <w:szCs w:val="24"/>
          <w:highlight w:val="none"/>
        </w:rPr>
        <w:t>赔</w:t>
      </w:r>
      <w:r>
        <w:rPr>
          <w:rFonts w:hint="eastAsia"/>
          <w:sz w:val="24"/>
          <w:szCs w:val="24"/>
          <w:highlight w:val="none"/>
        </w:rPr>
        <w:t>通知后十天内乙方未作答</w:t>
      </w:r>
      <w:r>
        <w:rPr>
          <w:rFonts w:hint="eastAsia" w:cs="宋体"/>
          <w:sz w:val="24"/>
          <w:szCs w:val="24"/>
          <w:highlight w:val="none"/>
        </w:rPr>
        <w:t>复</w:t>
      </w:r>
      <w:r>
        <w:rPr>
          <w:rFonts w:hint="eastAsia"/>
          <w:sz w:val="24"/>
          <w:szCs w:val="24"/>
          <w:highlight w:val="none"/>
        </w:rPr>
        <w:t>，上述索</w:t>
      </w:r>
      <w:r>
        <w:rPr>
          <w:rFonts w:hint="eastAsia" w:cs="宋体"/>
          <w:sz w:val="24"/>
          <w:szCs w:val="24"/>
          <w:highlight w:val="none"/>
        </w:rPr>
        <w:t>赔应视为</w:t>
      </w:r>
      <w:r>
        <w:rPr>
          <w:rFonts w:hint="eastAsia"/>
          <w:sz w:val="24"/>
          <w:szCs w:val="24"/>
          <w:highlight w:val="none"/>
        </w:rPr>
        <w:t>已被乙方接受。如果乙方未能在甲方</w:t>
      </w:r>
      <w:r>
        <w:rPr>
          <w:rFonts w:hint="eastAsia" w:cs="宋体"/>
          <w:sz w:val="24"/>
          <w:szCs w:val="24"/>
          <w:highlight w:val="none"/>
        </w:rPr>
        <w:t>发</w:t>
      </w:r>
      <w:r>
        <w:rPr>
          <w:rFonts w:hint="eastAsia"/>
          <w:sz w:val="24"/>
          <w:szCs w:val="24"/>
          <w:highlight w:val="none"/>
        </w:rPr>
        <w:t>出索</w:t>
      </w:r>
      <w:r>
        <w:rPr>
          <w:rFonts w:hint="eastAsia" w:cs="宋体"/>
          <w:sz w:val="24"/>
          <w:szCs w:val="24"/>
          <w:highlight w:val="none"/>
        </w:rPr>
        <w:t>赔</w:t>
      </w:r>
      <w:r>
        <w:rPr>
          <w:rFonts w:hint="eastAsia"/>
          <w:sz w:val="24"/>
          <w:szCs w:val="24"/>
          <w:highlight w:val="none"/>
        </w:rPr>
        <w:t>通知后十天内或甲方同意延</w:t>
      </w:r>
      <w:r>
        <w:rPr>
          <w:rFonts w:hint="eastAsia" w:cs="宋体"/>
          <w:sz w:val="24"/>
          <w:szCs w:val="24"/>
          <w:highlight w:val="none"/>
        </w:rPr>
        <w:t>长</w:t>
      </w:r>
      <w:r>
        <w:rPr>
          <w:rFonts w:hint="eastAsia"/>
          <w:sz w:val="24"/>
          <w:szCs w:val="24"/>
          <w:highlight w:val="none"/>
        </w:rPr>
        <w:t>的期限内，按照上述</w:t>
      </w:r>
      <w:r>
        <w:rPr>
          <w:rFonts w:hint="eastAsia" w:cs="宋体"/>
          <w:sz w:val="24"/>
          <w:szCs w:val="24"/>
          <w:highlight w:val="none"/>
        </w:rPr>
        <w:t>规</w:t>
      </w:r>
      <w:r>
        <w:rPr>
          <w:rFonts w:hint="eastAsia"/>
          <w:sz w:val="24"/>
          <w:szCs w:val="24"/>
          <w:highlight w:val="none"/>
        </w:rPr>
        <w:t>定的任何一</w:t>
      </w:r>
      <w:r>
        <w:rPr>
          <w:rFonts w:hint="eastAsia" w:cs="宋体"/>
          <w:sz w:val="24"/>
          <w:szCs w:val="24"/>
          <w:highlight w:val="none"/>
        </w:rPr>
        <w:t>种</w:t>
      </w:r>
      <w:r>
        <w:rPr>
          <w:rFonts w:hint="eastAsia"/>
          <w:sz w:val="24"/>
          <w:szCs w:val="24"/>
          <w:highlight w:val="none"/>
        </w:rPr>
        <w:t>方法采取</w:t>
      </w:r>
      <w:r>
        <w:rPr>
          <w:rFonts w:hint="eastAsia" w:cs="宋体"/>
          <w:sz w:val="24"/>
          <w:szCs w:val="24"/>
          <w:highlight w:val="none"/>
        </w:rPr>
        <w:t>补</w:t>
      </w:r>
      <w:r>
        <w:rPr>
          <w:rFonts w:hint="eastAsia"/>
          <w:sz w:val="24"/>
          <w:szCs w:val="24"/>
          <w:highlight w:val="none"/>
        </w:rPr>
        <w:t>救措施，甲方有</w:t>
      </w:r>
      <w:r>
        <w:rPr>
          <w:rFonts w:hint="eastAsia" w:cs="宋体"/>
          <w:sz w:val="24"/>
          <w:szCs w:val="24"/>
          <w:highlight w:val="none"/>
        </w:rPr>
        <w:t>权</w:t>
      </w:r>
      <w:r>
        <w:rPr>
          <w:rFonts w:hint="eastAsia"/>
          <w:sz w:val="24"/>
          <w:szCs w:val="24"/>
          <w:highlight w:val="none"/>
        </w:rPr>
        <w:t>从</w:t>
      </w:r>
      <w:r>
        <w:rPr>
          <w:rFonts w:hint="eastAsia" w:cs="宋体"/>
          <w:sz w:val="24"/>
          <w:szCs w:val="24"/>
          <w:highlight w:val="none"/>
        </w:rPr>
        <w:t>应</w:t>
      </w:r>
      <w:r>
        <w:rPr>
          <w:rFonts w:hint="eastAsia"/>
          <w:sz w:val="24"/>
          <w:szCs w:val="24"/>
          <w:highlight w:val="none"/>
        </w:rPr>
        <w:t>付的服务款中扣除索</w:t>
      </w:r>
      <w:r>
        <w:rPr>
          <w:rFonts w:hint="eastAsia" w:cs="宋体"/>
          <w:sz w:val="24"/>
          <w:szCs w:val="24"/>
          <w:highlight w:val="none"/>
        </w:rPr>
        <w:t>赔</w:t>
      </w:r>
      <w:r>
        <w:rPr>
          <w:rFonts w:hint="eastAsia"/>
          <w:sz w:val="24"/>
          <w:szCs w:val="24"/>
          <w:highlight w:val="none"/>
        </w:rPr>
        <w:t>金</w:t>
      </w:r>
      <w:r>
        <w:rPr>
          <w:rFonts w:hint="eastAsia" w:cs="宋体"/>
          <w:sz w:val="24"/>
          <w:szCs w:val="24"/>
          <w:highlight w:val="none"/>
        </w:rPr>
        <w:t>额</w:t>
      </w:r>
      <w:r>
        <w:rPr>
          <w:rFonts w:hint="eastAsia"/>
          <w:sz w:val="24"/>
          <w:szCs w:val="24"/>
          <w:highlight w:val="none"/>
        </w:rPr>
        <w:t>，如不足以弥</w:t>
      </w:r>
      <w:r>
        <w:rPr>
          <w:rFonts w:hint="eastAsia" w:cs="宋体"/>
          <w:sz w:val="24"/>
          <w:szCs w:val="24"/>
          <w:highlight w:val="none"/>
        </w:rPr>
        <w:t>补</w:t>
      </w:r>
      <w:r>
        <w:rPr>
          <w:rFonts w:hint="eastAsia"/>
          <w:sz w:val="24"/>
          <w:szCs w:val="24"/>
          <w:highlight w:val="none"/>
        </w:rPr>
        <w:t>甲方</w:t>
      </w:r>
      <w:r>
        <w:rPr>
          <w:rFonts w:hint="eastAsia" w:cs="宋体"/>
          <w:sz w:val="24"/>
          <w:szCs w:val="24"/>
          <w:highlight w:val="none"/>
        </w:rPr>
        <w:t>损</w:t>
      </w:r>
      <w:r>
        <w:rPr>
          <w:rFonts w:hint="eastAsia"/>
          <w:sz w:val="24"/>
          <w:szCs w:val="24"/>
          <w:highlight w:val="none"/>
        </w:rPr>
        <w:t>失的，甲方有</w:t>
      </w:r>
      <w:r>
        <w:rPr>
          <w:rFonts w:hint="eastAsia" w:cs="宋体"/>
          <w:sz w:val="24"/>
          <w:szCs w:val="24"/>
          <w:highlight w:val="none"/>
        </w:rPr>
        <w:t>权进</w:t>
      </w:r>
      <w:r>
        <w:rPr>
          <w:rFonts w:hint="eastAsia"/>
          <w:sz w:val="24"/>
          <w:szCs w:val="24"/>
          <w:highlight w:val="none"/>
        </w:rPr>
        <w:t>一</w:t>
      </w:r>
      <w:r>
        <w:rPr>
          <w:rFonts w:hint="eastAsia" w:cs="宋体"/>
          <w:sz w:val="24"/>
          <w:szCs w:val="24"/>
          <w:highlight w:val="none"/>
        </w:rPr>
        <w:t>步</w:t>
      </w:r>
      <w:r>
        <w:rPr>
          <w:rFonts w:hint="eastAsia"/>
          <w:sz w:val="24"/>
          <w:szCs w:val="24"/>
          <w:highlight w:val="none"/>
        </w:rPr>
        <w:t>要求乙方</w:t>
      </w:r>
      <w:r>
        <w:rPr>
          <w:rFonts w:hint="eastAsia" w:cs="宋体"/>
          <w:sz w:val="24"/>
          <w:szCs w:val="24"/>
          <w:highlight w:val="none"/>
        </w:rPr>
        <w:t>赔偿</w:t>
      </w:r>
      <w:r>
        <w:rPr>
          <w:rFonts w:hint="eastAsia"/>
          <w:sz w:val="24"/>
          <w:szCs w:val="24"/>
          <w:highlight w:val="none"/>
        </w:rPr>
        <w:t>。</w:t>
      </w:r>
    </w:p>
    <w:p w14:paraId="50CF0FB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1</w:t>
      </w:r>
      <w:r>
        <w:rPr>
          <w:rFonts w:hint="eastAsia"/>
          <w:sz w:val="24"/>
          <w:szCs w:val="24"/>
          <w:highlight w:val="none"/>
        </w:rPr>
        <w:t>1．迟延</w:t>
      </w:r>
      <w:r>
        <w:rPr>
          <w:rFonts w:hint="eastAsia" w:cs="宋体"/>
          <w:sz w:val="24"/>
          <w:szCs w:val="24"/>
          <w:highlight w:val="none"/>
        </w:rPr>
        <w:t>履行</w:t>
      </w:r>
    </w:p>
    <w:p w14:paraId="427B950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11．1乙方</w:t>
      </w:r>
      <w:r>
        <w:rPr>
          <w:rFonts w:hint="eastAsia" w:cs="宋体"/>
          <w:sz w:val="24"/>
          <w:szCs w:val="24"/>
          <w:highlight w:val="none"/>
        </w:rPr>
        <w:t>应</w:t>
      </w:r>
      <w:r>
        <w:rPr>
          <w:rFonts w:hint="eastAsia"/>
          <w:sz w:val="24"/>
          <w:szCs w:val="24"/>
          <w:highlight w:val="none"/>
        </w:rPr>
        <w:t>按照合同</w:t>
      </w:r>
      <w:r>
        <w:rPr>
          <w:rFonts w:hint="eastAsia" w:cs="宋体"/>
          <w:sz w:val="24"/>
          <w:szCs w:val="24"/>
          <w:highlight w:val="none"/>
        </w:rPr>
        <w:t>规</w:t>
      </w:r>
      <w:r>
        <w:rPr>
          <w:rFonts w:hint="eastAsia"/>
          <w:sz w:val="24"/>
          <w:szCs w:val="24"/>
          <w:highlight w:val="none"/>
        </w:rPr>
        <w:t>定的</w:t>
      </w:r>
      <w:r>
        <w:rPr>
          <w:rFonts w:hint="eastAsia" w:cs="宋体"/>
          <w:sz w:val="24"/>
          <w:szCs w:val="24"/>
          <w:highlight w:val="none"/>
        </w:rPr>
        <w:t>时间</w:t>
      </w:r>
      <w:r>
        <w:rPr>
          <w:rFonts w:hint="eastAsia"/>
          <w:sz w:val="24"/>
          <w:szCs w:val="24"/>
          <w:highlight w:val="none"/>
        </w:rPr>
        <w:t>、地点交</w:t>
      </w:r>
      <w:r>
        <w:rPr>
          <w:rFonts w:hint="eastAsia" w:cs="宋体"/>
          <w:sz w:val="24"/>
          <w:szCs w:val="24"/>
          <w:highlight w:val="none"/>
        </w:rPr>
        <w:t>付约定的服务</w:t>
      </w:r>
      <w:r>
        <w:rPr>
          <w:rFonts w:hint="eastAsia"/>
          <w:sz w:val="24"/>
          <w:szCs w:val="24"/>
          <w:highlight w:val="none"/>
        </w:rPr>
        <w:t>。</w:t>
      </w:r>
    </w:p>
    <w:p w14:paraId="237880F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1</w:t>
      </w:r>
      <w:r>
        <w:rPr>
          <w:rFonts w:hint="eastAsia"/>
          <w:sz w:val="24"/>
          <w:szCs w:val="24"/>
          <w:highlight w:val="none"/>
        </w:rPr>
        <w:t>1．2如乙方无正当理由迟延交付服务</w:t>
      </w:r>
      <w:r>
        <w:rPr>
          <w:rFonts w:hint="eastAsia" w:cs="MS Gothic"/>
          <w:sz w:val="24"/>
          <w:szCs w:val="24"/>
          <w:highlight w:val="none"/>
        </w:rPr>
        <w:t>，甲方有</w:t>
      </w:r>
      <w:r>
        <w:rPr>
          <w:rFonts w:hint="eastAsia" w:cs="宋体"/>
          <w:sz w:val="24"/>
          <w:szCs w:val="24"/>
          <w:highlight w:val="none"/>
        </w:rPr>
        <w:t>权获赔迟延履行违约金</w:t>
      </w:r>
      <w:r>
        <w:rPr>
          <w:rFonts w:hint="eastAsia" w:cs="MS Gothic"/>
          <w:sz w:val="24"/>
          <w:szCs w:val="24"/>
          <w:highlight w:val="none"/>
        </w:rPr>
        <w:t>，或解除合同并追究乙方的</w:t>
      </w:r>
      <w:r>
        <w:rPr>
          <w:rFonts w:hint="eastAsia" w:cs="宋体"/>
          <w:sz w:val="24"/>
          <w:szCs w:val="24"/>
          <w:highlight w:val="none"/>
        </w:rPr>
        <w:t>违约责</w:t>
      </w:r>
      <w:r>
        <w:rPr>
          <w:rFonts w:hint="eastAsia" w:cs="MS Gothic"/>
          <w:sz w:val="24"/>
          <w:szCs w:val="24"/>
          <w:highlight w:val="none"/>
        </w:rPr>
        <w:t>任。</w:t>
      </w:r>
    </w:p>
    <w:p w14:paraId="2FF3C74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1</w:t>
      </w:r>
      <w:r>
        <w:rPr>
          <w:rFonts w:hint="eastAsia"/>
          <w:sz w:val="24"/>
          <w:szCs w:val="24"/>
          <w:highlight w:val="none"/>
        </w:rPr>
        <w:t>1．3在合同履行</w:t>
      </w:r>
      <w:r>
        <w:rPr>
          <w:rFonts w:hint="eastAsia" w:cs="宋体"/>
          <w:sz w:val="24"/>
          <w:szCs w:val="24"/>
          <w:highlight w:val="none"/>
        </w:rPr>
        <w:t>过</w:t>
      </w:r>
      <w:r>
        <w:rPr>
          <w:rFonts w:hint="eastAsia"/>
          <w:sz w:val="24"/>
          <w:szCs w:val="24"/>
          <w:highlight w:val="none"/>
        </w:rPr>
        <w:t>程中，如果乙方可能遇到妨碍按</w:t>
      </w:r>
      <w:r>
        <w:rPr>
          <w:rFonts w:hint="eastAsia" w:cs="宋体"/>
          <w:sz w:val="24"/>
          <w:szCs w:val="24"/>
          <w:highlight w:val="none"/>
        </w:rPr>
        <w:t>时</w:t>
      </w:r>
      <w:r>
        <w:rPr>
          <w:rFonts w:hint="eastAsia"/>
          <w:sz w:val="24"/>
          <w:szCs w:val="24"/>
          <w:highlight w:val="none"/>
        </w:rPr>
        <w:t>提供服</w:t>
      </w:r>
      <w:r>
        <w:rPr>
          <w:rFonts w:hint="eastAsia" w:cs="宋体"/>
          <w:sz w:val="24"/>
          <w:szCs w:val="24"/>
          <w:highlight w:val="none"/>
        </w:rPr>
        <w:t>务</w:t>
      </w:r>
      <w:r>
        <w:rPr>
          <w:rFonts w:hint="eastAsia"/>
          <w:sz w:val="24"/>
          <w:szCs w:val="24"/>
          <w:highlight w:val="none"/>
        </w:rPr>
        <w:t>的情况，</w:t>
      </w:r>
      <w:r>
        <w:rPr>
          <w:rFonts w:hint="eastAsia" w:cs="宋体"/>
          <w:sz w:val="24"/>
          <w:szCs w:val="24"/>
          <w:highlight w:val="none"/>
        </w:rPr>
        <w:t>应</w:t>
      </w:r>
      <w:r>
        <w:rPr>
          <w:rFonts w:hint="eastAsia"/>
          <w:sz w:val="24"/>
          <w:szCs w:val="24"/>
          <w:highlight w:val="none"/>
        </w:rPr>
        <w:t>及</w:t>
      </w:r>
      <w:r>
        <w:rPr>
          <w:rFonts w:hint="eastAsia" w:cs="宋体"/>
          <w:sz w:val="24"/>
          <w:szCs w:val="24"/>
          <w:highlight w:val="none"/>
        </w:rPr>
        <w:t>时</w:t>
      </w:r>
      <w:r>
        <w:rPr>
          <w:rFonts w:hint="eastAsia"/>
          <w:sz w:val="24"/>
          <w:szCs w:val="24"/>
          <w:highlight w:val="none"/>
        </w:rPr>
        <w:t>以</w:t>
      </w:r>
      <w:r>
        <w:rPr>
          <w:rFonts w:hint="eastAsia" w:cs="宋体"/>
          <w:sz w:val="24"/>
          <w:szCs w:val="24"/>
          <w:highlight w:val="none"/>
        </w:rPr>
        <w:t>书</w:t>
      </w:r>
      <w:r>
        <w:rPr>
          <w:rFonts w:hint="eastAsia"/>
          <w:sz w:val="24"/>
          <w:szCs w:val="24"/>
          <w:highlight w:val="none"/>
        </w:rPr>
        <w:t>面形式将迟延履行事由通知甲方。</w:t>
      </w:r>
      <w:r>
        <w:rPr>
          <w:rFonts w:hint="eastAsia" w:cs="宋体"/>
          <w:sz w:val="24"/>
          <w:szCs w:val="24"/>
          <w:highlight w:val="none"/>
        </w:rPr>
        <w:t>应</w:t>
      </w:r>
      <w:r>
        <w:rPr>
          <w:rFonts w:hint="eastAsia"/>
          <w:sz w:val="24"/>
          <w:szCs w:val="24"/>
          <w:highlight w:val="none"/>
        </w:rPr>
        <w:t>及</w:t>
      </w:r>
      <w:r>
        <w:rPr>
          <w:rFonts w:hint="eastAsia" w:cs="宋体"/>
          <w:sz w:val="24"/>
          <w:szCs w:val="24"/>
          <w:highlight w:val="none"/>
        </w:rPr>
        <w:t>时</w:t>
      </w:r>
      <w:r>
        <w:rPr>
          <w:rFonts w:hint="eastAsia"/>
          <w:sz w:val="24"/>
          <w:szCs w:val="24"/>
          <w:highlight w:val="none"/>
        </w:rPr>
        <w:t>以</w:t>
      </w:r>
      <w:r>
        <w:rPr>
          <w:rFonts w:hint="eastAsia" w:cs="宋体"/>
          <w:sz w:val="24"/>
          <w:szCs w:val="24"/>
          <w:highlight w:val="none"/>
        </w:rPr>
        <w:t>书</w:t>
      </w:r>
      <w:r>
        <w:rPr>
          <w:rFonts w:hint="eastAsia"/>
          <w:sz w:val="24"/>
          <w:szCs w:val="24"/>
          <w:highlight w:val="none"/>
        </w:rPr>
        <w:t>面形式将延迟的事</w:t>
      </w:r>
      <w:r>
        <w:rPr>
          <w:rFonts w:hint="eastAsia" w:cs="宋体"/>
          <w:sz w:val="24"/>
          <w:szCs w:val="24"/>
          <w:highlight w:val="none"/>
        </w:rPr>
        <w:t>实</w:t>
      </w:r>
      <w:r>
        <w:rPr>
          <w:rFonts w:hint="eastAsia"/>
          <w:sz w:val="24"/>
          <w:szCs w:val="24"/>
          <w:highlight w:val="none"/>
        </w:rPr>
        <w:t>、可能延迟的时间和理由通知甲方。甲方在收到乙方通知后，</w:t>
      </w:r>
      <w:r>
        <w:rPr>
          <w:rFonts w:hint="eastAsia" w:cs="宋体"/>
          <w:sz w:val="24"/>
          <w:szCs w:val="24"/>
          <w:highlight w:val="none"/>
        </w:rPr>
        <w:t>应</w:t>
      </w:r>
      <w:r>
        <w:rPr>
          <w:rFonts w:hint="eastAsia"/>
          <w:sz w:val="24"/>
          <w:szCs w:val="24"/>
          <w:highlight w:val="none"/>
        </w:rPr>
        <w:t>尽快</w:t>
      </w:r>
      <w:r>
        <w:rPr>
          <w:rFonts w:hint="eastAsia" w:cs="宋体"/>
          <w:sz w:val="24"/>
          <w:szCs w:val="24"/>
          <w:highlight w:val="none"/>
        </w:rPr>
        <w:t>对</w:t>
      </w:r>
      <w:r>
        <w:rPr>
          <w:rFonts w:hint="eastAsia"/>
          <w:sz w:val="24"/>
          <w:szCs w:val="24"/>
          <w:highlight w:val="none"/>
        </w:rPr>
        <w:t>情况</w:t>
      </w:r>
      <w:r>
        <w:rPr>
          <w:rFonts w:hint="eastAsia" w:cs="宋体"/>
          <w:sz w:val="24"/>
          <w:szCs w:val="24"/>
          <w:highlight w:val="none"/>
        </w:rPr>
        <w:t>进</w:t>
      </w:r>
      <w:r>
        <w:rPr>
          <w:rFonts w:hint="eastAsia"/>
          <w:sz w:val="24"/>
          <w:szCs w:val="24"/>
          <w:highlight w:val="none"/>
        </w:rPr>
        <w:t>行</w:t>
      </w:r>
      <w:r>
        <w:rPr>
          <w:rFonts w:hint="eastAsia" w:cs="宋体"/>
          <w:sz w:val="24"/>
          <w:szCs w:val="24"/>
          <w:highlight w:val="none"/>
        </w:rPr>
        <w:t>评</w:t>
      </w:r>
      <w:r>
        <w:rPr>
          <w:rFonts w:hint="eastAsia"/>
          <w:sz w:val="24"/>
          <w:szCs w:val="24"/>
          <w:highlight w:val="none"/>
        </w:rPr>
        <w:t>价，并确定是否同意延</w:t>
      </w:r>
      <w:r>
        <w:rPr>
          <w:rFonts w:hint="eastAsia" w:cs="宋体"/>
          <w:sz w:val="24"/>
          <w:szCs w:val="24"/>
          <w:highlight w:val="none"/>
        </w:rPr>
        <w:t>长服务成果交付时间或延期</w:t>
      </w:r>
      <w:r>
        <w:rPr>
          <w:rFonts w:hint="eastAsia"/>
          <w:sz w:val="24"/>
          <w:szCs w:val="24"/>
          <w:highlight w:val="none"/>
        </w:rPr>
        <w:t>提供服</w:t>
      </w:r>
      <w:r>
        <w:rPr>
          <w:rFonts w:hint="eastAsia" w:cs="宋体"/>
          <w:sz w:val="24"/>
          <w:szCs w:val="24"/>
          <w:highlight w:val="none"/>
        </w:rPr>
        <w:t>务</w:t>
      </w:r>
      <w:r>
        <w:rPr>
          <w:rFonts w:hint="eastAsia"/>
          <w:sz w:val="24"/>
          <w:szCs w:val="24"/>
          <w:highlight w:val="none"/>
        </w:rPr>
        <w:t>。</w:t>
      </w:r>
    </w:p>
    <w:p w14:paraId="636414A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12．迟延履行违约金</w:t>
      </w:r>
    </w:p>
    <w:p w14:paraId="41BCC64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除合同第</w:t>
      </w:r>
      <w:r>
        <w:rPr>
          <w:sz w:val="24"/>
          <w:szCs w:val="24"/>
          <w:highlight w:val="none"/>
        </w:rPr>
        <w:t>1</w:t>
      </w:r>
      <w:r>
        <w:rPr>
          <w:rFonts w:hint="eastAsia"/>
          <w:sz w:val="24"/>
          <w:szCs w:val="24"/>
          <w:highlight w:val="none"/>
        </w:rPr>
        <w:t>3条</w:t>
      </w:r>
      <w:r>
        <w:rPr>
          <w:rFonts w:hint="eastAsia" w:cs="宋体"/>
          <w:sz w:val="24"/>
          <w:szCs w:val="24"/>
          <w:highlight w:val="none"/>
        </w:rPr>
        <w:t>规</w:t>
      </w:r>
      <w:r>
        <w:rPr>
          <w:rFonts w:hint="eastAsia"/>
          <w:sz w:val="24"/>
          <w:szCs w:val="24"/>
          <w:highlight w:val="none"/>
        </w:rPr>
        <w:t>定外，如果乙方没有按照合同</w:t>
      </w:r>
      <w:r>
        <w:rPr>
          <w:rFonts w:hint="eastAsia" w:cs="宋体"/>
          <w:sz w:val="24"/>
          <w:szCs w:val="24"/>
          <w:highlight w:val="none"/>
        </w:rPr>
        <w:t>规</w:t>
      </w:r>
      <w:r>
        <w:rPr>
          <w:rFonts w:hint="eastAsia"/>
          <w:sz w:val="24"/>
          <w:szCs w:val="24"/>
          <w:highlight w:val="none"/>
        </w:rPr>
        <w:t>定的</w:t>
      </w:r>
      <w:r>
        <w:rPr>
          <w:rFonts w:hint="eastAsia" w:cs="宋体"/>
          <w:sz w:val="24"/>
          <w:szCs w:val="24"/>
          <w:highlight w:val="none"/>
        </w:rPr>
        <w:t>时间提供服务</w:t>
      </w:r>
      <w:r>
        <w:rPr>
          <w:rFonts w:hint="eastAsia"/>
          <w:sz w:val="24"/>
          <w:szCs w:val="24"/>
          <w:highlight w:val="none"/>
        </w:rPr>
        <w:t>，甲方</w:t>
      </w:r>
      <w:r>
        <w:rPr>
          <w:rFonts w:hint="eastAsia" w:cs="宋体"/>
          <w:sz w:val="24"/>
          <w:szCs w:val="24"/>
          <w:highlight w:val="none"/>
        </w:rPr>
        <w:t>应从货款中</w:t>
      </w:r>
      <w:r>
        <w:rPr>
          <w:rFonts w:hint="eastAsia"/>
          <w:sz w:val="24"/>
          <w:szCs w:val="24"/>
          <w:highlight w:val="none"/>
        </w:rPr>
        <w:t>扣除</w:t>
      </w:r>
      <w:r>
        <w:rPr>
          <w:rFonts w:hint="eastAsia" w:cs="宋体"/>
          <w:sz w:val="24"/>
          <w:szCs w:val="24"/>
          <w:highlight w:val="none"/>
        </w:rPr>
        <w:t>迟延履行违约金</w:t>
      </w:r>
      <w:r>
        <w:rPr>
          <w:rFonts w:hint="eastAsia"/>
          <w:sz w:val="24"/>
          <w:szCs w:val="24"/>
          <w:highlight w:val="none"/>
        </w:rPr>
        <w:t>而不影响合同</w:t>
      </w:r>
      <w:r>
        <w:rPr>
          <w:rFonts w:hint="eastAsia" w:cs="宋体"/>
          <w:sz w:val="24"/>
          <w:szCs w:val="24"/>
          <w:highlight w:val="none"/>
        </w:rPr>
        <w:t>项</w:t>
      </w:r>
      <w:r>
        <w:rPr>
          <w:rFonts w:hint="eastAsia"/>
          <w:sz w:val="24"/>
          <w:szCs w:val="24"/>
          <w:highlight w:val="none"/>
        </w:rPr>
        <w:t>下的其他</w:t>
      </w:r>
      <w:r>
        <w:rPr>
          <w:rFonts w:hint="eastAsia" w:cs="宋体"/>
          <w:sz w:val="24"/>
          <w:szCs w:val="24"/>
          <w:highlight w:val="none"/>
        </w:rPr>
        <w:t>补</w:t>
      </w:r>
      <w:r>
        <w:rPr>
          <w:rFonts w:hint="eastAsia"/>
          <w:sz w:val="24"/>
          <w:szCs w:val="24"/>
          <w:highlight w:val="none"/>
        </w:rPr>
        <w:t>救方法，</w:t>
      </w:r>
      <w:r>
        <w:rPr>
          <w:rFonts w:hint="eastAsia" w:cs="宋体"/>
          <w:sz w:val="24"/>
          <w:szCs w:val="24"/>
          <w:highlight w:val="none"/>
        </w:rPr>
        <w:t>金额</w:t>
      </w:r>
      <w:r>
        <w:rPr>
          <w:rFonts w:hint="eastAsia"/>
          <w:sz w:val="24"/>
          <w:szCs w:val="24"/>
          <w:highlight w:val="none"/>
        </w:rPr>
        <w:t>按</w:t>
      </w:r>
      <w:r>
        <w:rPr>
          <w:rFonts w:hint="eastAsia" w:cs="宋体"/>
          <w:sz w:val="24"/>
          <w:szCs w:val="24"/>
          <w:highlight w:val="none"/>
        </w:rPr>
        <w:t>每</w:t>
      </w:r>
      <w:r>
        <w:rPr>
          <w:rFonts w:hint="eastAsia"/>
          <w:color w:val="FF0000"/>
          <w:sz w:val="24"/>
          <w:szCs w:val="24"/>
          <w:highlight w:val="none"/>
        </w:rPr>
        <w:t>（</w:t>
      </w:r>
      <w:permStart w:id="30" w:edGrp="everyone"/>
      <w:r>
        <w:rPr>
          <w:rFonts w:hint="eastAsia"/>
          <w:color w:val="FF0000"/>
          <w:sz w:val="24"/>
          <w:szCs w:val="24"/>
          <w:highlight w:val="none"/>
        </w:rPr>
        <w:t>天</w:t>
      </w:r>
      <w:permEnd w:id="30"/>
      <w:r>
        <w:rPr>
          <w:rFonts w:hint="eastAsia"/>
          <w:color w:val="FF0000"/>
          <w:sz w:val="24"/>
          <w:szCs w:val="24"/>
          <w:highlight w:val="none"/>
        </w:rPr>
        <w:t>）</w:t>
      </w:r>
      <w:r>
        <w:rPr>
          <w:rFonts w:hint="eastAsia" w:cs="宋体"/>
          <w:sz w:val="24"/>
          <w:szCs w:val="24"/>
          <w:highlight w:val="none"/>
        </w:rPr>
        <w:t>支付迟延提供服务的价款</w:t>
      </w:r>
      <w:r>
        <w:rPr>
          <w:rFonts w:hint="eastAsia"/>
          <w:sz w:val="24"/>
          <w:szCs w:val="24"/>
          <w:highlight w:val="none"/>
        </w:rPr>
        <w:t>的百分之零点五（</w:t>
      </w:r>
      <w:r>
        <w:rPr>
          <w:sz w:val="24"/>
          <w:szCs w:val="24"/>
          <w:highlight w:val="none"/>
        </w:rPr>
        <w:t>0.5%</w:t>
      </w:r>
      <w:r>
        <w:rPr>
          <w:rFonts w:hint="eastAsia"/>
          <w:sz w:val="24"/>
          <w:szCs w:val="24"/>
          <w:highlight w:val="none"/>
        </w:rPr>
        <w:t>）</w:t>
      </w:r>
      <w:r>
        <w:rPr>
          <w:rFonts w:hint="eastAsia" w:cs="宋体"/>
          <w:sz w:val="24"/>
          <w:szCs w:val="24"/>
          <w:highlight w:val="none"/>
        </w:rPr>
        <w:t>计</w:t>
      </w:r>
      <w:r>
        <w:rPr>
          <w:rFonts w:hint="eastAsia"/>
          <w:sz w:val="24"/>
          <w:szCs w:val="24"/>
          <w:highlight w:val="none"/>
        </w:rPr>
        <w:t>收，直至提供服</w:t>
      </w:r>
      <w:r>
        <w:rPr>
          <w:rFonts w:hint="eastAsia" w:cs="宋体"/>
          <w:sz w:val="24"/>
          <w:szCs w:val="24"/>
          <w:highlight w:val="none"/>
        </w:rPr>
        <w:t>务为</w:t>
      </w:r>
      <w:r>
        <w:rPr>
          <w:rFonts w:hint="eastAsia"/>
          <w:sz w:val="24"/>
          <w:szCs w:val="24"/>
          <w:highlight w:val="none"/>
        </w:rPr>
        <w:t>止。但</w:t>
      </w:r>
      <w:r>
        <w:rPr>
          <w:rFonts w:hint="eastAsia" w:cs="宋体"/>
          <w:sz w:val="24"/>
          <w:szCs w:val="24"/>
          <w:highlight w:val="none"/>
        </w:rPr>
        <w:t>迟延违约金</w:t>
      </w:r>
      <w:r>
        <w:rPr>
          <w:rFonts w:hint="eastAsia"/>
          <w:sz w:val="24"/>
          <w:szCs w:val="24"/>
          <w:highlight w:val="none"/>
        </w:rPr>
        <w:t>的最高限</w:t>
      </w:r>
      <w:r>
        <w:rPr>
          <w:rFonts w:hint="eastAsia" w:cs="宋体"/>
          <w:sz w:val="24"/>
          <w:szCs w:val="24"/>
          <w:highlight w:val="none"/>
        </w:rPr>
        <w:t>额</w:t>
      </w:r>
      <w:r>
        <w:rPr>
          <w:rFonts w:hint="eastAsia"/>
          <w:sz w:val="24"/>
          <w:szCs w:val="24"/>
          <w:highlight w:val="none"/>
        </w:rPr>
        <w:t>不超</w:t>
      </w:r>
      <w:r>
        <w:rPr>
          <w:rFonts w:hint="eastAsia" w:cs="宋体"/>
          <w:sz w:val="24"/>
          <w:szCs w:val="24"/>
          <w:highlight w:val="none"/>
        </w:rPr>
        <w:t>过</w:t>
      </w:r>
      <w:r>
        <w:rPr>
          <w:rFonts w:hint="eastAsia"/>
          <w:sz w:val="24"/>
          <w:szCs w:val="24"/>
          <w:highlight w:val="none"/>
        </w:rPr>
        <w:t>合同总金额的百分之五（</w:t>
      </w:r>
      <w:r>
        <w:rPr>
          <w:sz w:val="24"/>
          <w:szCs w:val="24"/>
          <w:highlight w:val="none"/>
        </w:rPr>
        <w:t>5%</w:t>
      </w:r>
      <w:r>
        <w:rPr>
          <w:rFonts w:hint="eastAsia"/>
          <w:sz w:val="24"/>
          <w:szCs w:val="24"/>
          <w:highlight w:val="none"/>
        </w:rPr>
        <w:t>）。（一周按七天</w:t>
      </w:r>
      <w:r>
        <w:rPr>
          <w:rFonts w:hint="eastAsia" w:cs="宋体"/>
          <w:sz w:val="24"/>
          <w:szCs w:val="24"/>
          <w:highlight w:val="none"/>
        </w:rPr>
        <w:t>计</w:t>
      </w:r>
      <w:r>
        <w:rPr>
          <w:rFonts w:hint="eastAsia"/>
          <w:sz w:val="24"/>
          <w:szCs w:val="24"/>
          <w:highlight w:val="none"/>
        </w:rPr>
        <w:t>算，不足七天按一周</w:t>
      </w:r>
      <w:r>
        <w:rPr>
          <w:rFonts w:hint="eastAsia" w:cs="宋体"/>
          <w:sz w:val="24"/>
          <w:szCs w:val="24"/>
          <w:highlight w:val="none"/>
        </w:rPr>
        <w:t>计</w:t>
      </w:r>
      <w:r>
        <w:rPr>
          <w:rFonts w:hint="eastAsia"/>
          <w:sz w:val="24"/>
          <w:szCs w:val="24"/>
          <w:highlight w:val="none"/>
        </w:rPr>
        <w:t>算。）一旦达到</w:t>
      </w:r>
      <w:r>
        <w:rPr>
          <w:rFonts w:hint="eastAsia" w:cs="宋体"/>
          <w:sz w:val="24"/>
          <w:szCs w:val="24"/>
          <w:highlight w:val="none"/>
        </w:rPr>
        <w:t>迟延履行违约金</w:t>
      </w:r>
      <w:r>
        <w:rPr>
          <w:rFonts w:hint="eastAsia"/>
          <w:sz w:val="24"/>
          <w:szCs w:val="24"/>
          <w:highlight w:val="none"/>
        </w:rPr>
        <w:t>的最高限</w:t>
      </w:r>
      <w:r>
        <w:rPr>
          <w:rFonts w:hint="eastAsia" w:cs="宋体"/>
          <w:sz w:val="24"/>
          <w:szCs w:val="24"/>
          <w:highlight w:val="none"/>
        </w:rPr>
        <w:t>额</w:t>
      </w:r>
      <w:r>
        <w:rPr>
          <w:rFonts w:hint="eastAsia"/>
          <w:sz w:val="24"/>
          <w:szCs w:val="24"/>
          <w:highlight w:val="none"/>
        </w:rPr>
        <w:t>，甲方可提前解除合同并要求赔偿实际损失。</w:t>
      </w:r>
    </w:p>
    <w:p w14:paraId="4140481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1</w:t>
      </w:r>
      <w:r>
        <w:rPr>
          <w:rFonts w:hint="eastAsia"/>
          <w:sz w:val="24"/>
          <w:szCs w:val="24"/>
          <w:highlight w:val="none"/>
        </w:rPr>
        <w:t>3．不可抗力</w:t>
      </w:r>
    </w:p>
    <w:p w14:paraId="5EF362C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13．1如果因不可抗力而</w:t>
      </w:r>
      <w:r>
        <w:rPr>
          <w:rFonts w:hint="eastAsia" w:cs="宋体"/>
          <w:sz w:val="24"/>
          <w:szCs w:val="24"/>
          <w:highlight w:val="none"/>
        </w:rPr>
        <w:t>导</w:t>
      </w:r>
      <w:r>
        <w:rPr>
          <w:rFonts w:hint="eastAsia"/>
          <w:sz w:val="24"/>
          <w:szCs w:val="24"/>
          <w:highlight w:val="none"/>
        </w:rPr>
        <w:t>致合同</w:t>
      </w:r>
      <w:r>
        <w:rPr>
          <w:rFonts w:hint="eastAsia" w:cs="宋体"/>
          <w:sz w:val="24"/>
          <w:szCs w:val="24"/>
          <w:highlight w:val="none"/>
        </w:rPr>
        <w:t>履行</w:t>
      </w:r>
      <w:r>
        <w:rPr>
          <w:rFonts w:hint="eastAsia"/>
          <w:sz w:val="24"/>
          <w:szCs w:val="24"/>
          <w:highlight w:val="none"/>
        </w:rPr>
        <w:t>延</w:t>
      </w:r>
      <w:r>
        <w:rPr>
          <w:rFonts w:hint="eastAsia" w:cs="宋体"/>
          <w:sz w:val="24"/>
          <w:szCs w:val="24"/>
          <w:highlight w:val="none"/>
        </w:rPr>
        <w:t>迟</w:t>
      </w:r>
      <w:r>
        <w:rPr>
          <w:rFonts w:hint="eastAsia"/>
          <w:sz w:val="24"/>
          <w:szCs w:val="24"/>
          <w:highlight w:val="none"/>
        </w:rPr>
        <w:t>或履行不能，合同双方均不承担违约责任。</w:t>
      </w:r>
    </w:p>
    <w:p w14:paraId="2AFF258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13．2本条所述的“不可抗力”系指那些双方不能</w:t>
      </w:r>
      <w:r>
        <w:rPr>
          <w:rFonts w:hint="eastAsia" w:cs="宋体"/>
          <w:sz w:val="24"/>
          <w:szCs w:val="24"/>
          <w:highlight w:val="none"/>
        </w:rPr>
        <w:t>预见</w:t>
      </w:r>
      <w:r>
        <w:rPr>
          <w:rFonts w:hint="eastAsia"/>
          <w:sz w:val="24"/>
          <w:szCs w:val="24"/>
          <w:highlight w:val="none"/>
        </w:rPr>
        <w:t>、不能避免并不能克服的客观事件，但不包括双方的</w:t>
      </w:r>
      <w:r>
        <w:rPr>
          <w:rFonts w:hint="eastAsia" w:cs="宋体"/>
          <w:sz w:val="24"/>
          <w:szCs w:val="24"/>
          <w:highlight w:val="none"/>
        </w:rPr>
        <w:t>违约</w:t>
      </w:r>
      <w:r>
        <w:rPr>
          <w:rFonts w:hint="eastAsia"/>
          <w:sz w:val="24"/>
          <w:szCs w:val="24"/>
          <w:highlight w:val="none"/>
        </w:rPr>
        <w:t>或疏忽。</w:t>
      </w:r>
      <w:r>
        <w:rPr>
          <w:rFonts w:hint="eastAsia" w:cs="宋体"/>
          <w:sz w:val="24"/>
          <w:szCs w:val="24"/>
          <w:highlight w:val="none"/>
        </w:rPr>
        <w:t>这</w:t>
      </w:r>
      <w:r>
        <w:rPr>
          <w:rFonts w:hint="eastAsia"/>
          <w:sz w:val="24"/>
          <w:szCs w:val="24"/>
          <w:highlight w:val="none"/>
        </w:rPr>
        <w:t>些事件包括但不限于：</w:t>
      </w:r>
      <w:r>
        <w:rPr>
          <w:rFonts w:hint="eastAsia" w:cs="宋体"/>
          <w:sz w:val="24"/>
          <w:szCs w:val="24"/>
          <w:highlight w:val="none"/>
        </w:rPr>
        <w:t>战</w:t>
      </w:r>
      <w:r>
        <w:rPr>
          <w:rFonts w:hint="eastAsia"/>
          <w:sz w:val="24"/>
          <w:szCs w:val="24"/>
          <w:highlight w:val="none"/>
        </w:rPr>
        <w:t>争、不可归责于任何一方的严重火灾、洪水、台</w:t>
      </w:r>
      <w:r>
        <w:rPr>
          <w:rFonts w:hint="eastAsia" w:cs="宋体"/>
          <w:sz w:val="24"/>
          <w:szCs w:val="24"/>
          <w:highlight w:val="none"/>
        </w:rPr>
        <w:t>风</w:t>
      </w:r>
      <w:r>
        <w:rPr>
          <w:rFonts w:hint="eastAsia"/>
          <w:sz w:val="24"/>
          <w:szCs w:val="24"/>
          <w:highlight w:val="none"/>
        </w:rPr>
        <w:t>、地震、国家法律或政策的重大</w:t>
      </w:r>
      <w:r>
        <w:rPr>
          <w:rFonts w:hint="eastAsia" w:cs="宋体"/>
          <w:sz w:val="24"/>
          <w:szCs w:val="24"/>
          <w:highlight w:val="none"/>
        </w:rPr>
        <w:t>变</w:t>
      </w:r>
      <w:r>
        <w:rPr>
          <w:rFonts w:hint="eastAsia"/>
          <w:sz w:val="24"/>
          <w:szCs w:val="24"/>
          <w:highlight w:val="none"/>
        </w:rPr>
        <w:t>化，以及双方商定的其他事件。</w:t>
      </w:r>
    </w:p>
    <w:p w14:paraId="155D7F6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13．3在不可抗力事件</w:t>
      </w:r>
      <w:r>
        <w:rPr>
          <w:rFonts w:hint="eastAsia" w:cs="宋体"/>
          <w:sz w:val="24"/>
          <w:szCs w:val="24"/>
          <w:highlight w:val="none"/>
        </w:rPr>
        <w:t>发</w:t>
      </w:r>
      <w:r>
        <w:rPr>
          <w:rFonts w:hint="eastAsia"/>
          <w:sz w:val="24"/>
          <w:szCs w:val="24"/>
          <w:highlight w:val="none"/>
        </w:rPr>
        <w:t>生后，当事方</w:t>
      </w:r>
      <w:r>
        <w:rPr>
          <w:rFonts w:hint="eastAsia" w:cs="宋体"/>
          <w:sz w:val="24"/>
          <w:szCs w:val="24"/>
          <w:highlight w:val="none"/>
        </w:rPr>
        <w:t>应</w:t>
      </w:r>
      <w:r>
        <w:rPr>
          <w:rFonts w:hint="eastAsia"/>
          <w:sz w:val="24"/>
          <w:szCs w:val="24"/>
          <w:highlight w:val="none"/>
        </w:rPr>
        <w:t>尽快以</w:t>
      </w:r>
      <w:r>
        <w:rPr>
          <w:rFonts w:hint="eastAsia" w:cs="宋体"/>
          <w:sz w:val="24"/>
          <w:szCs w:val="24"/>
          <w:highlight w:val="none"/>
        </w:rPr>
        <w:t>书</w:t>
      </w:r>
      <w:r>
        <w:rPr>
          <w:rFonts w:hint="eastAsia"/>
          <w:sz w:val="24"/>
          <w:szCs w:val="24"/>
          <w:highlight w:val="none"/>
        </w:rPr>
        <w:t>面形式将不可抗力的情况和原因通知</w:t>
      </w:r>
      <w:r>
        <w:rPr>
          <w:rFonts w:hint="eastAsia" w:cs="宋体"/>
          <w:sz w:val="24"/>
          <w:szCs w:val="24"/>
          <w:highlight w:val="none"/>
        </w:rPr>
        <w:t>对</w:t>
      </w:r>
      <w:r>
        <w:rPr>
          <w:rFonts w:hint="eastAsia"/>
          <w:sz w:val="24"/>
          <w:szCs w:val="24"/>
          <w:highlight w:val="none"/>
        </w:rPr>
        <w:t>方。合同各方</w:t>
      </w:r>
      <w:r>
        <w:rPr>
          <w:rFonts w:hint="eastAsia" w:cs="宋体"/>
          <w:sz w:val="24"/>
          <w:szCs w:val="24"/>
          <w:highlight w:val="none"/>
        </w:rPr>
        <w:t>应</w:t>
      </w:r>
      <w:r>
        <w:rPr>
          <w:rFonts w:hint="eastAsia"/>
          <w:sz w:val="24"/>
          <w:szCs w:val="24"/>
          <w:highlight w:val="none"/>
        </w:rPr>
        <w:t>尽可能</w:t>
      </w:r>
      <w:r>
        <w:rPr>
          <w:rFonts w:hint="eastAsia" w:cs="宋体"/>
          <w:sz w:val="24"/>
          <w:szCs w:val="24"/>
          <w:highlight w:val="none"/>
        </w:rPr>
        <w:t>继续</w:t>
      </w:r>
      <w:r>
        <w:rPr>
          <w:rFonts w:hint="eastAsia"/>
          <w:sz w:val="24"/>
          <w:szCs w:val="24"/>
          <w:highlight w:val="none"/>
        </w:rPr>
        <w:t>履行合同</w:t>
      </w:r>
      <w:r>
        <w:rPr>
          <w:rFonts w:hint="eastAsia" w:cs="宋体"/>
          <w:sz w:val="24"/>
          <w:szCs w:val="24"/>
          <w:highlight w:val="none"/>
        </w:rPr>
        <w:t>义务</w:t>
      </w:r>
      <w:r>
        <w:rPr>
          <w:rFonts w:hint="eastAsia"/>
          <w:sz w:val="24"/>
          <w:szCs w:val="24"/>
          <w:highlight w:val="none"/>
        </w:rPr>
        <w:t>，并</w:t>
      </w:r>
      <w:r>
        <w:rPr>
          <w:rFonts w:hint="eastAsia" w:cs="宋体"/>
          <w:sz w:val="24"/>
          <w:szCs w:val="24"/>
          <w:highlight w:val="none"/>
        </w:rPr>
        <w:t>积</w:t>
      </w:r>
      <w:r>
        <w:rPr>
          <w:rFonts w:hint="eastAsia"/>
          <w:sz w:val="24"/>
          <w:szCs w:val="24"/>
          <w:highlight w:val="none"/>
        </w:rPr>
        <w:t>极采取合理的措施履行不受不可抗力影响的其他合同条款。合同各方</w:t>
      </w:r>
      <w:r>
        <w:rPr>
          <w:rFonts w:hint="eastAsia" w:cs="宋体"/>
          <w:sz w:val="24"/>
          <w:szCs w:val="24"/>
          <w:highlight w:val="none"/>
        </w:rPr>
        <w:t>应</w:t>
      </w:r>
      <w:r>
        <w:rPr>
          <w:rFonts w:hint="eastAsia"/>
          <w:sz w:val="24"/>
          <w:szCs w:val="24"/>
          <w:highlight w:val="none"/>
        </w:rPr>
        <w:t>通</w:t>
      </w:r>
      <w:r>
        <w:rPr>
          <w:rFonts w:hint="eastAsia" w:cs="宋体"/>
          <w:sz w:val="24"/>
          <w:szCs w:val="24"/>
          <w:highlight w:val="none"/>
        </w:rPr>
        <w:t>过</w:t>
      </w:r>
      <w:r>
        <w:rPr>
          <w:rFonts w:hint="eastAsia"/>
          <w:sz w:val="24"/>
          <w:szCs w:val="24"/>
          <w:highlight w:val="none"/>
        </w:rPr>
        <w:t>友好</w:t>
      </w:r>
      <w:r>
        <w:rPr>
          <w:rFonts w:hint="eastAsia" w:cs="宋体"/>
          <w:sz w:val="24"/>
          <w:szCs w:val="24"/>
          <w:highlight w:val="none"/>
        </w:rPr>
        <w:t>协</w:t>
      </w:r>
      <w:r>
        <w:rPr>
          <w:rFonts w:hint="eastAsia"/>
          <w:sz w:val="24"/>
          <w:szCs w:val="24"/>
          <w:highlight w:val="none"/>
        </w:rPr>
        <w:t>商在合理的</w:t>
      </w:r>
      <w:r>
        <w:rPr>
          <w:rFonts w:hint="eastAsia" w:cs="宋体"/>
          <w:sz w:val="24"/>
          <w:szCs w:val="24"/>
          <w:highlight w:val="none"/>
        </w:rPr>
        <w:t>时间</w:t>
      </w:r>
      <w:r>
        <w:rPr>
          <w:rFonts w:hint="eastAsia"/>
          <w:sz w:val="24"/>
          <w:szCs w:val="24"/>
          <w:highlight w:val="none"/>
        </w:rPr>
        <w:t>内达成</w:t>
      </w:r>
      <w:r>
        <w:rPr>
          <w:rFonts w:hint="eastAsia" w:cs="宋体"/>
          <w:sz w:val="24"/>
          <w:szCs w:val="24"/>
          <w:highlight w:val="none"/>
        </w:rPr>
        <w:t>进</w:t>
      </w:r>
      <w:r>
        <w:rPr>
          <w:rFonts w:hint="eastAsia"/>
          <w:sz w:val="24"/>
          <w:szCs w:val="24"/>
          <w:highlight w:val="none"/>
        </w:rPr>
        <w:t>一</w:t>
      </w:r>
      <w:r>
        <w:rPr>
          <w:rFonts w:hint="eastAsia" w:cs="宋体"/>
          <w:sz w:val="24"/>
          <w:szCs w:val="24"/>
          <w:highlight w:val="none"/>
        </w:rPr>
        <w:t>步</w:t>
      </w:r>
      <w:r>
        <w:rPr>
          <w:rFonts w:hint="eastAsia"/>
          <w:sz w:val="24"/>
          <w:szCs w:val="24"/>
          <w:highlight w:val="none"/>
        </w:rPr>
        <w:t>履行合同的</w:t>
      </w:r>
      <w:r>
        <w:rPr>
          <w:rFonts w:hint="eastAsia" w:cs="宋体"/>
          <w:sz w:val="24"/>
          <w:szCs w:val="24"/>
          <w:highlight w:val="none"/>
        </w:rPr>
        <w:t>协议</w:t>
      </w:r>
      <w:r>
        <w:rPr>
          <w:rFonts w:hint="eastAsia"/>
          <w:sz w:val="24"/>
          <w:szCs w:val="24"/>
          <w:highlight w:val="none"/>
        </w:rPr>
        <w:t>。</w:t>
      </w:r>
    </w:p>
    <w:p w14:paraId="219C50A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1</w:t>
      </w:r>
      <w:r>
        <w:rPr>
          <w:rFonts w:hint="eastAsia"/>
          <w:sz w:val="24"/>
          <w:szCs w:val="24"/>
          <w:highlight w:val="none"/>
        </w:rPr>
        <w:t>4．争端的解决</w:t>
      </w:r>
    </w:p>
    <w:p w14:paraId="111B46B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14．</w:t>
      </w:r>
      <w:r>
        <w:rPr>
          <w:sz w:val="24"/>
          <w:szCs w:val="24"/>
          <w:highlight w:val="none"/>
        </w:rPr>
        <w:t>1</w:t>
      </w:r>
      <w:r>
        <w:rPr>
          <w:rFonts w:hint="eastAsia"/>
          <w:sz w:val="24"/>
          <w:szCs w:val="24"/>
          <w:highlight w:val="none"/>
        </w:rPr>
        <w:t xml:space="preserve"> 合同各方</w:t>
      </w:r>
      <w:r>
        <w:rPr>
          <w:rFonts w:hint="eastAsia" w:cs="宋体"/>
          <w:sz w:val="24"/>
          <w:szCs w:val="24"/>
          <w:highlight w:val="none"/>
        </w:rPr>
        <w:t>应</w:t>
      </w:r>
      <w:r>
        <w:rPr>
          <w:rFonts w:hint="eastAsia"/>
          <w:sz w:val="24"/>
          <w:szCs w:val="24"/>
          <w:highlight w:val="none"/>
        </w:rPr>
        <w:t>通</w:t>
      </w:r>
      <w:r>
        <w:rPr>
          <w:rFonts w:hint="eastAsia" w:cs="宋体"/>
          <w:sz w:val="24"/>
          <w:szCs w:val="24"/>
          <w:highlight w:val="none"/>
        </w:rPr>
        <w:t>过</w:t>
      </w:r>
      <w:r>
        <w:rPr>
          <w:rFonts w:hint="eastAsia"/>
          <w:sz w:val="24"/>
          <w:szCs w:val="24"/>
          <w:highlight w:val="none"/>
        </w:rPr>
        <w:t>友好</w:t>
      </w:r>
      <w:r>
        <w:rPr>
          <w:rFonts w:hint="eastAsia" w:cs="宋体"/>
          <w:sz w:val="24"/>
          <w:szCs w:val="24"/>
          <w:highlight w:val="none"/>
        </w:rPr>
        <w:t>协</w:t>
      </w:r>
      <w:r>
        <w:rPr>
          <w:rFonts w:hint="eastAsia"/>
          <w:sz w:val="24"/>
          <w:szCs w:val="24"/>
          <w:highlight w:val="none"/>
        </w:rPr>
        <w:t>商，解决在履行本合同</w:t>
      </w:r>
      <w:r>
        <w:rPr>
          <w:rFonts w:hint="eastAsia" w:cs="宋体"/>
          <w:sz w:val="24"/>
          <w:szCs w:val="24"/>
          <w:highlight w:val="none"/>
        </w:rPr>
        <w:t>过</w:t>
      </w:r>
      <w:r>
        <w:rPr>
          <w:rFonts w:hint="eastAsia"/>
          <w:sz w:val="24"/>
          <w:szCs w:val="24"/>
          <w:highlight w:val="none"/>
        </w:rPr>
        <w:t>程中所</w:t>
      </w:r>
      <w:r>
        <w:rPr>
          <w:rFonts w:hint="eastAsia" w:cs="宋体"/>
          <w:sz w:val="24"/>
          <w:szCs w:val="24"/>
          <w:highlight w:val="none"/>
        </w:rPr>
        <w:t>发</w:t>
      </w:r>
      <w:r>
        <w:rPr>
          <w:rFonts w:hint="eastAsia"/>
          <w:sz w:val="24"/>
          <w:szCs w:val="24"/>
          <w:highlight w:val="none"/>
        </w:rPr>
        <w:t>生的或与本合同有</w:t>
      </w:r>
      <w:r>
        <w:rPr>
          <w:rFonts w:hint="eastAsia" w:cs="宋体"/>
          <w:sz w:val="24"/>
          <w:szCs w:val="24"/>
          <w:highlight w:val="none"/>
        </w:rPr>
        <w:t>关</w:t>
      </w:r>
      <w:r>
        <w:rPr>
          <w:rFonts w:hint="eastAsia"/>
          <w:sz w:val="24"/>
          <w:szCs w:val="24"/>
          <w:highlight w:val="none"/>
        </w:rPr>
        <w:t>的一切争端。</w:t>
      </w:r>
    </w:p>
    <w:p w14:paraId="45140E4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14．2协商不成</w:t>
      </w:r>
      <w:r>
        <w:rPr>
          <w:rFonts w:hint="eastAsia" w:cs="宋体"/>
          <w:sz w:val="24"/>
          <w:szCs w:val="24"/>
          <w:highlight w:val="none"/>
        </w:rPr>
        <w:t>则</w:t>
      </w:r>
      <w:r>
        <w:rPr>
          <w:rFonts w:hint="eastAsia"/>
          <w:color w:val="auto"/>
          <w:sz w:val="24"/>
          <w:szCs w:val="24"/>
          <w:highlight w:val="none"/>
          <w:lang w:val="en-US" w:eastAsia="zh-CN"/>
        </w:rPr>
        <w:t>甲方所在地人民法院诉讼</w:t>
      </w:r>
      <w:r>
        <w:rPr>
          <w:rFonts w:hint="eastAsia"/>
          <w:color w:val="000000" w:themeColor="text1"/>
          <w:sz w:val="24"/>
          <w:szCs w:val="24"/>
          <w:highlight w:val="none"/>
          <w:lang w:val="en-US" w:eastAsia="zh-CN"/>
          <w14:textFill>
            <w14:solidFill>
              <w14:schemeClr w14:val="tx1"/>
            </w14:solidFill>
          </w14:textFill>
        </w:rPr>
        <w:t>，</w:t>
      </w:r>
      <w:r>
        <w:rPr>
          <w:rFonts w:hint="eastAsia"/>
          <w:sz w:val="24"/>
          <w:szCs w:val="24"/>
          <w:highlight w:val="none"/>
          <w:lang w:val="en-US" w:eastAsia="zh-CN"/>
        </w:rPr>
        <w:t>诉讼</w:t>
      </w:r>
      <w:r>
        <w:rPr>
          <w:rFonts w:hint="eastAsia"/>
          <w:sz w:val="24"/>
          <w:szCs w:val="24"/>
          <w:highlight w:val="none"/>
        </w:rPr>
        <w:t>费用由败诉方承担。</w:t>
      </w:r>
    </w:p>
    <w:p w14:paraId="39B7024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14．3如</w:t>
      </w:r>
      <w:r>
        <w:rPr>
          <w:rFonts w:hint="eastAsia"/>
          <w:sz w:val="24"/>
          <w:szCs w:val="24"/>
          <w:highlight w:val="none"/>
          <w:lang w:val="en-US" w:eastAsia="zh-CN"/>
        </w:rPr>
        <w:t>诉</w:t>
      </w:r>
      <w:r>
        <w:rPr>
          <w:rFonts w:hint="eastAsia"/>
          <w:color w:val="auto"/>
          <w:sz w:val="24"/>
          <w:szCs w:val="24"/>
          <w:highlight w:val="none"/>
          <w:lang w:val="en-US" w:eastAsia="zh-CN"/>
        </w:rPr>
        <w:t>讼</w:t>
      </w:r>
      <w:r>
        <w:rPr>
          <w:rFonts w:hint="eastAsia"/>
          <w:color w:val="auto"/>
          <w:sz w:val="24"/>
          <w:szCs w:val="24"/>
          <w:highlight w:val="none"/>
        </w:rPr>
        <w:t>事</w:t>
      </w:r>
      <w:r>
        <w:rPr>
          <w:rFonts w:hint="eastAsia" w:cs="宋体"/>
          <w:color w:val="auto"/>
          <w:sz w:val="24"/>
          <w:szCs w:val="24"/>
          <w:highlight w:val="none"/>
        </w:rPr>
        <w:t>项</w:t>
      </w:r>
      <w:r>
        <w:rPr>
          <w:rFonts w:hint="eastAsia"/>
          <w:color w:val="auto"/>
          <w:sz w:val="24"/>
          <w:szCs w:val="24"/>
          <w:highlight w:val="none"/>
        </w:rPr>
        <w:t>不影响合同其它部分的履行，</w:t>
      </w:r>
      <w:r>
        <w:rPr>
          <w:rFonts w:hint="eastAsia" w:cs="宋体"/>
          <w:color w:val="auto"/>
          <w:sz w:val="24"/>
          <w:szCs w:val="24"/>
          <w:highlight w:val="none"/>
        </w:rPr>
        <w:t>则</w:t>
      </w:r>
      <w:r>
        <w:rPr>
          <w:rFonts w:hint="eastAsia"/>
          <w:color w:val="auto"/>
          <w:sz w:val="24"/>
          <w:szCs w:val="24"/>
          <w:highlight w:val="none"/>
        </w:rPr>
        <w:t>在</w:t>
      </w:r>
      <w:r>
        <w:rPr>
          <w:rFonts w:hint="eastAsia"/>
          <w:color w:val="auto"/>
          <w:sz w:val="24"/>
          <w:szCs w:val="24"/>
          <w:highlight w:val="none"/>
          <w:lang w:val="en-US" w:eastAsia="zh-CN"/>
        </w:rPr>
        <w:t>诉讼</w:t>
      </w:r>
      <w:r>
        <w:rPr>
          <w:rFonts w:hint="eastAsia"/>
          <w:color w:val="auto"/>
          <w:sz w:val="24"/>
          <w:szCs w:val="24"/>
          <w:highlight w:val="none"/>
        </w:rPr>
        <w:t>期</w:t>
      </w:r>
      <w:r>
        <w:rPr>
          <w:rFonts w:hint="eastAsia" w:cs="宋体"/>
          <w:color w:val="auto"/>
          <w:sz w:val="24"/>
          <w:szCs w:val="24"/>
          <w:highlight w:val="none"/>
        </w:rPr>
        <w:t>间</w:t>
      </w:r>
      <w:r>
        <w:rPr>
          <w:rFonts w:hint="eastAsia"/>
          <w:color w:val="auto"/>
          <w:sz w:val="24"/>
          <w:szCs w:val="24"/>
          <w:highlight w:val="none"/>
        </w:rPr>
        <w:t>，除正在</w:t>
      </w:r>
      <w:r>
        <w:rPr>
          <w:rFonts w:hint="eastAsia" w:cs="宋体"/>
          <w:color w:val="auto"/>
          <w:sz w:val="24"/>
          <w:szCs w:val="24"/>
          <w:highlight w:val="none"/>
        </w:rPr>
        <w:t>进</w:t>
      </w:r>
      <w:r>
        <w:rPr>
          <w:rFonts w:hint="eastAsia"/>
          <w:color w:val="auto"/>
          <w:sz w:val="24"/>
          <w:szCs w:val="24"/>
          <w:highlight w:val="none"/>
        </w:rPr>
        <w:t>行</w:t>
      </w:r>
      <w:r>
        <w:rPr>
          <w:rFonts w:hint="eastAsia"/>
          <w:color w:val="auto"/>
          <w:sz w:val="24"/>
          <w:szCs w:val="24"/>
          <w:highlight w:val="none"/>
          <w:lang w:val="en-US" w:eastAsia="zh-CN"/>
        </w:rPr>
        <w:t>诉讼</w:t>
      </w:r>
      <w:r>
        <w:rPr>
          <w:rFonts w:hint="eastAsia"/>
          <w:sz w:val="24"/>
          <w:szCs w:val="24"/>
          <w:highlight w:val="none"/>
        </w:rPr>
        <w:t>的部分外，本合同的其它部分</w:t>
      </w:r>
      <w:r>
        <w:rPr>
          <w:rFonts w:hint="eastAsia" w:cs="宋体"/>
          <w:sz w:val="24"/>
          <w:szCs w:val="24"/>
          <w:highlight w:val="none"/>
        </w:rPr>
        <w:t>应继续执</w:t>
      </w:r>
      <w:r>
        <w:rPr>
          <w:rFonts w:hint="eastAsia"/>
          <w:sz w:val="24"/>
          <w:szCs w:val="24"/>
          <w:highlight w:val="none"/>
        </w:rPr>
        <w:t>行。</w:t>
      </w:r>
    </w:p>
    <w:p w14:paraId="2275CF3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15．合同的解除</w:t>
      </w:r>
    </w:p>
    <w:p w14:paraId="6E1E33B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15．1在甲方</w:t>
      </w:r>
      <w:r>
        <w:rPr>
          <w:rFonts w:hint="eastAsia" w:cs="宋体"/>
          <w:sz w:val="24"/>
          <w:szCs w:val="24"/>
          <w:highlight w:val="none"/>
        </w:rPr>
        <w:t>对</w:t>
      </w:r>
      <w:r>
        <w:rPr>
          <w:rFonts w:hint="eastAsia"/>
          <w:sz w:val="24"/>
          <w:szCs w:val="24"/>
          <w:highlight w:val="none"/>
        </w:rPr>
        <w:t>乙方</w:t>
      </w:r>
      <w:r>
        <w:rPr>
          <w:rFonts w:hint="eastAsia" w:cs="宋体"/>
          <w:sz w:val="24"/>
          <w:szCs w:val="24"/>
          <w:highlight w:val="none"/>
        </w:rPr>
        <w:t>违约</w:t>
      </w:r>
      <w:r>
        <w:rPr>
          <w:rFonts w:hint="eastAsia"/>
          <w:sz w:val="24"/>
          <w:szCs w:val="24"/>
          <w:highlight w:val="none"/>
        </w:rPr>
        <w:t>而采取的任何</w:t>
      </w:r>
      <w:r>
        <w:rPr>
          <w:rFonts w:hint="eastAsia" w:cs="宋体"/>
          <w:sz w:val="24"/>
          <w:szCs w:val="24"/>
          <w:highlight w:val="none"/>
        </w:rPr>
        <w:t>补</w:t>
      </w:r>
      <w:r>
        <w:rPr>
          <w:rFonts w:hint="eastAsia"/>
          <w:sz w:val="24"/>
          <w:szCs w:val="24"/>
          <w:highlight w:val="none"/>
        </w:rPr>
        <w:t>救措施不受影响的情况下，甲方可在下列情况下向乙方</w:t>
      </w:r>
      <w:r>
        <w:rPr>
          <w:rFonts w:hint="eastAsia" w:cs="宋体"/>
          <w:sz w:val="24"/>
          <w:szCs w:val="24"/>
          <w:highlight w:val="none"/>
        </w:rPr>
        <w:t>发</w:t>
      </w:r>
      <w:r>
        <w:rPr>
          <w:rFonts w:hint="eastAsia"/>
          <w:sz w:val="24"/>
          <w:szCs w:val="24"/>
          <w:highlight w:val="none"/>
        </w:rPr>
        <w:t>出</w:t>
      </w:r>
      <w:r>
        <w:rPr>
          <w:rFonts w:hint="eastAsia" w:cs="宋体"/>
          <w:sz w:val="24"/>
          <w:szCs w:val="24"/>
          <w:highlight w:val="none"/>
        </w:rPr>
        <w:t>书</w:t>
      </w:r>
      <w:r>
        <w:rPr>
          <w:rFonts w:hint="eastAsia"/>
          <w:sz w:val="24"/>
          <w:szCs w:val="24"/>
          <w:highlight w:val="none"/>
        </w:rPr>
        <w:t>面通知</w:t>
      </w:r>
      <w:r>
        <w:rPr>
          <w:rFonts w:hint="eastAsia" w:cs="宋体"/>
          <w:sz w:val="24"/>
          <w:szCs w:val="24"/>
          <w:highlight w:val="none"/>
        </w:rPr>
        <w:t>书</w:t>
      </w:r>
      <w:r>
        <w:rPr>
          <w:rFonts w:hint="eastAsia"/>
          <w:sz w:val="24"/>
          <w:szCs w:val="24"/>
          <w:highlight w:val="none"/>
        </w:rPr>
        <w:t>，提出</w:t>
      </w:r>
      <w:r>
        <w:rPr>
          <w:rFonts w:hint="eastAsia" w:cs="宋体"/>
          <w:sz w:val="24"/>
          <w:szCs w:val="24"/>
          <w:highlight w:val="none"/>
        </w:rPr>
        <w:t>解除</w:t>
      </w:r>
      <w:r>
        <w:rPr>
          <w:rFonts w:hint="eastAsia"/>
          <w:sz w:val="24"/>
          <w:szCs w:val="24"/>
          <w:highlight w:val="none"/>
        </w:rPr>
        <w:t>部分或全部合同。</w:t>
      </w:r>
    </w:p>
    <w:p w14:paraId="1B9E8D0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（1）如果乙方未能在合同</w:t>
      </w:r>
      <w:r>
        <w:rPr>
          <w:rFonts w:hint="eastAsia" w:cs="宋体"/>
          <w:sz w:val="24"/>
          <w:szCs w:val="24"/>
          <w:highlight w:val="none"/>
        </w:rPr>
        <w:t>规</w:t>
      </w:r>
      <w:r>
        <w:rPr>
          <w:rFonts w:hint="eastAsia" w:cs="MS Gothic"/>
          <w:sz w:val="24"/>
          <w:szCs w:val="24"/>
          <w:highlight w:val="none"/>
        </w:rPr>
        <w:t>定的期限或甲方同意延</w:t>
      </w:r>
      <w:r>
        <w:rPr>
          <w:rFonts w:hint="eastAsia" w:cs="宋体"/>
          <w:sz w:val="24"/>
          <w:szCs w:val="24"/>
          <w:highlight w:val="none"/>
        </w:rPr>
        <w:t>长</w:t>
      </w:r>
      <w:r>
        <w:rPr>
          <w:rFonts w:hint="eastAsia" w:cs="MS Gothic"/>
          <w:sz w:val="24"/>
          <w:szCs w:val="24"/>
          <w:highlight w:val="none"/>
        </w:rPr>
        <w:t>的期限内交付</w:t>
      </w:r>
      <w:r>
        <w:rPr>
          <w:rFonts w:hint="eastAsia"/>
          <w:sz w:val="24"/>
          <w:szCs w:val="24"/>
          <w:highlight w:val="none"/>
        </w:rPr>
        <w:t>部分或全部产品或服务</w:t>
      </w:r>
      <w:r>
        <w:rPr>
          <w:rFonts w:hint="eastAsia" w:cs="MS Gothic"/>
          <w:sz w:val="24"/>
          <w:szCs w:val="24"/>
          <w:highlight w:val="none"/>
        </w:rPr>
        <w:t>。</w:t>
      </w:r>
    </w:p>
    <w:p w14:paraId="05F105E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cs="MS Gothic"/>
          <w:sz w:val="24"/>
          <w:szCs w:val="24"/>
          <w:highlight w:val="none"/>
        </w:rPr>
      </w:pPr>
      <w:r>
        <w:rPr>
          <w:rFonts w:hint="eastAsia"/>
          <w:sz w:val="24"/>
          <w:szCs w:val="24"/>
          <w:highlight w:val="none"/>
        </w:rPr>
        <w:t>（2）如果乙方未能履行合同</w:t>
      </w:r>
      <w:r>
        <w:rPr>
          <w:rFonts w:hint="eastAsia" w:cs="宋体"/>
          <w:sz w:val="24"/>
          <w:szCs w:val="24"/>
          <w:highlight w:val="none"/>
        </w:rPr>
        <w:t>规</w:t>
      </w:r>
      <w:r>
        <w:rPr>
          <w:rFonts w:hint="eastAsia" w:cs="MS Gothic"/>
          <w:sz w:val="24"/>
          <w:szCs w:val="24"/>
          <w:highlight w:val="none"/>
        </w:rPr>
        <w:t>定的其它</w:t>
      </w:r>
      <w:r>
        <w:rPr>
          <w:rFonts w:hint="eastAsia" w:cs="宋体"/>
          <w:sz w:val="24"/>
          <w:szCs w:val="24"/>
          <w:highlight w:val="none"/>
        </w:rPr>
        <w:t>义务</w:t>
      </w:r>
      <w:r>
        <w:rPr>
          <w:rFonts w:hint="eastAsia" w:cs="MS Gothic"/>
          <w:sz w:val="24"/>
          <w:szCs w:val="24"/>
          <w:highlight w:val="none"/>
        </w:rPr>
        <w:t>。</w:t>
      </w:r>
    </w:p>
    <w:p w14:paraId="27A2336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15．2 如果甲方根据上述15.1款的规定，解除了全部或者部分合同，甲方可以依其认为适当的条件和方法另行购买乙方未履行部分的服务</w:t>
      </w:r>
      <w:r>
        <w:rPr>
          <w:rFonts w:hint="eastAsia" w:cs="MS Gothic"/>
          <w:sz w:val="24"/>
          <w:szCs w:val="24"/>
          <w:highlight w:val="none"/>
        </w:rPr>
        <w:t>，</w:t>
      </w:r>
      <w:r>
        <w:rPr>
          <w:rFonts w:hint="eastAsia"/>
          <w:sz w:val="24"/>
          <w:szCs w:val="24"/>
          <w:highlight w:val="none"/>
        </w:rPr>
        <w:t>乙方应对购买类似的服务所超出的那部分费用负责</w:t>
      </w:r>
      <w:r>
        <w:rPr>
          <w:rFonts w:hint="eastAsia" w:cs="MS Gothic"/>
          <w:sz w:val="24"/>
          <w:szCs w:val="24"/>
          <w:highlight w:val="none"/>
        </w:rPr>
        <w:t>。并且乙方应继续履行未解除的部分合同。</w:t>
      </w:r>
    </w:p>
    <w:p w14:paraId="6D157352">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15．3 如果乙方在履行合同</w:t>
      </w:r>
      <w:r>
        <w:rPr>
          <w:rFonts w:hint="eastAsia" w:cs="宋体"/>
          <w:sz w:val="24"/>
          <w:szCs w:val="24"/>
          <w:highlight w:val="none"/>
        </w:rPr>
        <w:t>过</w:t>
      </w:r>
      <w:r>
        <w:rPr>
          <w:rFonts w:hint="eastAsia"/>
          <w:sz w:val="24"/>
          <w:szCs w:val="24"/>
          <w:highlight w:val="none"/>
        </w:rPr>
        <w:t>程中有不正当</w:t>
      </w:r>
      <w:r>
        <w:rPr>
          <w:rFonts w:hint="eastAsia" w:cs="宋体"/>
          <w:sz w:val="24"/>
          <w:szCs w:val="24"/>
          <w:highlight w:val="none"/>
        </w:rPr>
        <w:t>竞</w:t>
      </w:r>
      <w:r>
        <w:rPr>
          <w:rFonts w:hint="eastAsia"/>
          <w:sz w:val="24"/>
          <w:szCs w:val="24"/>
          <w:highlight w:val="none"/>
        </w:rPr>
        <w:t>争行</w:t>
      </w:r>
      <w:r>
        <w:rPr>
          <w:rFonts w:hint="eastAsia" w:cs="宋体"/>
          <w:sz w:val="24"/>
          <w:szCs w:val="24"/>
          <w:highlight w:val="none"/>
        </w:rPr>
        <w:t>为</w:t>
      </w:r>
      <w:r>
        <w:rPr>
          <w:rFonts w:hint="eastAsia"/>
          <w:sz w:val="24"/>
          <w:szCs w:val="24"/>
          <w:highlight w:val="none"/>
        </w:rPr>
        <w:t>，甲方有</w:t>
      </w:r>
      <w:r>
        <w:rPr>
          <w:rFonts w:hint="eastAsia" w:cs="宋体"/>
          <w:sz w:val="24"/>
          <w:szCs w:val="24"/>
          <w:highlight w:val="none"/>
        </w:rPr>
        <w:t>权</w:t>
      </w:r>
      <w:r>
        <w:rPr>
          <w:rFonts w:hint="eastAsia"/>
          <w:sz w:val="24"/>
          <w:szCs w:val="24"/>
          <w:highlight w:val="none"/>
        </w:rPr>
        <w:t>解除合同。</w:t>
      </w:r>
    </w:p>
    <w:p w14:paraId="6BBEA25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16．甲方的合同解除权</w:t>
      </w:r>
    </w:p>
    <w:p w14:paraId="0228CE3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16.1 如果乙方</w:t>
      </w:r>
      <w:r>
        <w:rPr>
          <w:rFonts w:hint="eastAsia" w:cs="宋体"/>
          <w:sz w:val="24"/>
          <w:szCs w:val="24"/>
          <w:highlight w:val="none"/>
        </w:rPr>
        <w:t>丧</w:t>
      </w:r>
      <w:r>
        <w:rPr>
          <w:rFonts w:hint="eastAsia"/>
          <w:sz w:val="24"/>
          <w:szCs w:val="24"/>
          <w:highlight w:val="none"/>
        </w:rPr>
        <w:t>失履</w:t>
      </w:r>
      <w:r>
        <w:rPr>
          <w:rFonts w:hint="eastAsia" w:cs="宋体"/>
          <w:sz w:val="24"/>
          <w:szCs w:val="24"/>
          <w:highlight w:val="none"/>
        </w:rPr>
        <w:t>约</w:t>
      </w:r>
      <w:r>
        <w:rPr>
          <w:rFonts w:hint="eastAsia"/>
          <w:sz w:val="24"/>
          <w:szCs w:val="24"/>
          <w:highlight w:val="none"/>
        </w:rPr>
        <w:t>能力或被宣告破</w:t>
      </w:r>
      <w:r>
        <w:rPr>
          <w:rFonts w:hint="eastAsia" w:cs="宋体"/>
          <w:sz w:val="24"/>
          <w:szCs w:val="24"/>
          <w:highlight w:val="none"/>
        </w:rPr>
        <w:t>产</w:t>
      </w:r>
      <w:r>
        <w:rPr>
          <w:rFonts w:hint="eastAsia"/>
          <w:sz w:val="24"/>
          <w:szCs w:val="24"/>
          <w:highlight w:val="none"/>
        </w:rPr>
        <w:t>，甲方可在任何</w:t>
      </w:r>
      <w:r>
        <w:rPr>
          <w:rFonts w:hint="eastAsia" w:cs="宋体"/>
          <w:sz w:val="24"/>
          <w:szCs w:val="24"/>
          <w:highlight w:val="none"/>
        </w:rPr>
        <w:t>时</w:t>
      </w:r>
      <w:r>
        <w:rPr>
          <w:rFonts w:hint="eastAsia"/>
          <w:sz w:val="24"/>
          <w:szCs w:val="24"/>
          <w:highlight w:val="none"/>
        </w:rPr>
        <w:t>候以</w:t>
      </w:r>
      <w:r>
        <w:rPr>
          <w:rFonts w:hint="eastAsia" w:cs="宋体"/>
          <w:sz w:val="24"/>
          <w:szCs w:val="24"/>
          <w:highlight w:val="none"/>
        </w:rPr>
        <w:t>书</w:t>
      </w:r>
      <w:r>
        <w:rPr>
          <w:rFonts w:hint="eastAsia"/>
          <w:sz w:val="24"/>
          <w:szCs w:val="24"/>
          <w:highlight w:val="none"/>
        </w:rPr>
        <w:t>面形式通知乙方</w:t>
      </w:r>
      <w:r>
        <w:rPr>
          <w:rFonts w:hint="eastAsia" w:cs="宋体"/>
          <w:sz w:val="24"/>
          <w:szCs w:val="24"/>
          <w:highlight w:val="none"/>
        </w:rPr>
        <w:t>解除</w:t>
      </w:r>
      <w:r>
        <w:rPr>
          <w:rFonts w:hint="eastAsia"/>
          <w:sz w:val="24"/>
          <w:szCs w:val="24"/>
          <w:highlight w:val="none"/>
        </w:rPr>
        <w:t>合同并无需</w:t>
      </w:r>
      <w:r>
        <w:rPr>
          <w:rFonts w:hint="eastAsia" w:cs="宋体"/>
          <w:sz w:val="24"/>
          <w:szCs w:val="24"/>
          <w:highlight w:val="none"/>
        </w:rPr>
        <w:t>赔偿乙方任何费用及损失。</w:t>
      </w:r>
      <w:r>
        <w:rPr>
          <w:rFonts w:hint="eastAsia"/>
          <w:sz w:val="24"/>
          <w:szCs w:val="24"/>
          <w:highlight w:val="none"/>
        </w:rPr>
        <w:t>解除合同的行为将不影响甲方已</w:t>
      </w:r>
      <w:r>
        <w:rPr>
          <w:rFonts w:hint="eastAsia" w:cs="宋体"/>
          <w:sz w:val="24"/>
          <w:szCs w:val="24"/>
          <w:highlight w:val="none"/>
        </w:rPr>
        <w:t>经</w:t>
      </w:r>
      <w:r>
        <w:rPr>
          <w:rFonts w:hint="eastAsia"/>
          <w:sz w:val="24"/>
          <w:szCs w:val="24"/>
          <w:highlight w:val="none"/>
        </w:rPr>
        <w:t>采取或将要采取任何行</w:t>
      </w:r>
      <w:r>
        <w:rPr>
          <w:rFonts w:hint="eastAsia" w:cs="宋体"/>
          <w:sz w:val="24"/>
          <w:szCs w:val="24"/>
          <w:highlight w:val="none"/>
        </w:rPr>
        <w:t>动</w:t>
      </w:r>
      <w:r>
        <w:rPr>
          <w:rFonts w:hint="eastAsia"/>
          <w:sz w:val="24"/>
          <w:szCs w:val="24"/>
          <w:highlight w:val="none"/>
        </w:rPr>
        <w:t>或</w:t>
      </w:r>
      <w:r>
        <w:rPr>
          <w:rFonts w:hint="eastAsia" w:cs="宋体"/>
          <w:sz w:val="24"/>
          <w:szCs w:val="24"/>
          <w:highlight w:val="none"/>
        </w:rPr>
        <w:t>补</w:t>
      </w:r>
      <w:r>
        <w:rPr>
          <w:rFonts w:hint="eastAsia"/>
          <w:sz w:val="24"/>
          <w:szCs w:val="24"/>
          <w:highlight w:val="none"/>
        </w:rPr>
        <w:t>救措施的</w:t>
      </w:r>
      <w:r>
        <w:rPr>
          <w:rFonts w:hint="eastAsia" w:cs="宋体"/>
          <w:sz w:val="24"/>
          <w:szCs w:val="24"/>
          <w:highlight w:val="none"/>
        </w:rPr>
        <w:t>权</w:t>
      </w:r>
      <w:r>
        <w:rPr>
          <w:rFonts w:hint="eastAsia"/>
          <w:sz w:val="24"/>
          <w:szCs w:val="24"/>
          <w:highlight w:val="none"/>
        </w:rPr>
        <w:t>利。</w:t>
      </w:r>
    </w:p>
    <w:p w14:paraId="30194C9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16.2 甲方可根据本合同的其他约定或法律规定行使解除权。</w:t>
      </w:r>
    </w:p>
    <w:p w14:paraId="50D92AA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17．合同</w:t>
      </w:r>
      <w:r>
        <w:rPr>
          <w:rFonts w:hint="eastAsia" w:cs="宋体"/>
          <w:sz w:val="24"/>
          <w:szCs w:val="24"/>
          <w:highlight w:val="none"/>
        </w:rPr>
        <w:t>转让</w:t>
      </w:r>
      <w:r>
        <w:rPr>
          <w:rFonts w:hint="eastAsia" w:cs="MS Gothic"/>
          <w:sz w:val="24"/>
          <w:szCs w:val="24"/>
          <w:highlight w:val="none"/>
        </w:rPr>
        <w:t>和分包</w:t>
      </w:r>
    </w:p>
    <w:p w14:paraId="51B1EB4E">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除甲方事先</w:t>
      </w:r>
      <w:r>
        <w:rPr>
          <w:rFonts w:hint="eastAsia" w:cs="宋体"/>
          <w:sz w:val="24"/>
          <w:szCs w:val="24"/>
          <w:highlight w:val="none"/>
        </w:rPr>
        <w:t>书</w:t>
      </w:r>
      <w:r>
        <w:rPr>
          <w:rFonts w:hint="eastAsia"/>
          <w:sz w:val="24"/>
          <w:szCs w:val="24"/>
          <w:highlight w:val="none"/>
        </w:rPr>
        <w:t>面同意外，乙方不得</w:t>
      </w:r>
      <w:r>
        <w:rPr>
          <w:rFonts w:hint="eastAsia" w:cs="宋体"/>
          <w:sz w:val="24"/>
          <w:szCs w:val="24"/>
          <w:highlight w:val="none"/>
        </w:rPr>
        <w:t>转让</w:t>
      </w:r>
      <w:r>
        <w:rPr>
          <w:rFonts w:hint="eastAsia"/>
          <w:sz w:val="24"/>
          <w:szCs w:val="24"/>
          <w:highlight w:val="none"/>
        </w:rPr>
        <w:t>和分包其</w:t>
      </w:r>
      <w:r>
        <w:rPr>
          <w:rFonts w:hint="eastAsia" w:cs="宋体"/>
          <w:sz w:val="24"/>
          <w:szCs w:val="24"/>
          <w:highlight w:val="none"/>
        </w:rPr>
        <w:t>应</w:t>
      </w:r>
      <w:r>
        <w:rPr>
          <w:rFonts w:hint="eastAsia"/>
          <w:sz w:val="24"/>
          <w:szCs w:val="24"/>
          <w:highlight w:val="none"/>
        </w:rPr>
        <w:t>履行的合同</w:t>
      </w:r>
      <w:r>
        <w:rPr>
          <w:rFonts w:hint="eastAsia" w:cs="宋体"/>
          <w:sz w:val="24"/>
          <w:szCs w:val="24"/>
          <w:highlight w:val="none"/>
        </w:rPr>
        <w:t>义务</w:t>
      </w:r>
      <w:r>
        <w:rPr>
          <w:rFonts w:hint="eastAsia"/>
          <w:sz w:val="24"/>
          <w:szCs w:val="24"/>
          <w:highlight w:val="none"/>
        </w:rPr>
        <w:t>。</w:t>
      </w:r>
    </w:p>
    <w:p w14:paraId="63B6412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sz w:val="24"/>
          <w:szCs w:val="24"/>
          <w:highlight w:val="none"/>
        </w:rPr>
        <w:t>1</w:t>
      </w:r>
      <w:r>
        <w:rPr>
          <w:rFonts w:hint="eastAsia"/>
          <w:sz w:val="24"/>
          <w:szCs w:val="24"/>
          <w:highlight w:val="none"/>
        </w:rPr>
        <w:t>8．合同生效</w:t>
      </w:r>
    </w:p>
    <w:p w14:paraId="0F57EE2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18．</w:t>
      </w:r>
      <w:r>
        <w:rPr>
          <w:sz w:val="24"/>
          <w:szCs w:val="24"/>
          <w:highlight w:val="none"/>
        </w:rPr>
        <w:t xml:space="preserve">1 </w:t>
      </w:r>
      <w:r>
        <w:rPr>
          <w:rFonts w:hint="eastAsia"/>
          <w:sz w:val="24"/>
          <w:szCs w:val="24"/>
          <w:highlight w:val="none"/>
        </w:rPr>
        <w:t>本合同经合同各方加盖公章或合同章后生效。在具备双方公章或合同章的情况下，任何人员在合同签署部位签字与否，不影响合同效力。</w:t>
      </w:r>
    </w:p>
    <w:p w14:paraId="45A226F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rFonts w:hint="eastAsia"/>
          <w:sz w:val="24"/>
          <w:szCs w:val="24"/>
          <w:highlight w:val="none"/>
        </w:rPr>
      </w:pPr>
      <w:r>
        <w:rPr>
          <w:rFonts w:hint="eastAsia"/>
          <w:sz w:val="24"/>
          <w:szCs w:val="24"/>
          <w:highlight w:val="none"/>
        </w:rPr>
        <w:t>18．</w:t>
      </w:r>
      <w:r>
        <w:rPr>
          <w:rFonts w:hint="eastAsia"/>
          <w:sz w:val="24"/>
          <w:szCs w:val="24"/>
          <w:highlight w:val="none"/>
          <w:lang w:val="en-US" w:eastAsia="zh-CN"/>
        </w:rPr>
        <w:t>2</w:t>
      </w:r>
      <w:r>
        <w:rPr>
          <w:rFonts w:hint="eastAsia"/>
          <w:sz w:val="24"/>
          <w:szCs w:val="24"/>
          <w:highlight w:val="none"/>
        </w:rPr>
        <w:t xml:space="preserve"> 本合同一式（</w:t>
      </w:r>
      <w:permStart w:id="31" w:edGrp="everyone"/>
      <w:r>
        <w:rPr>
          <w:rFonts w:hint="eastAsia"/>
          <w:sz w:val="24"/>
          <w:szCs w:val="24"/>
          <w:highlight w:val="none"/>
        </w:rPr>
        <w:t>陆</w:t>
      </w:r>
      <w:permEnd w:id="31"/>
      <w:r>
        <w:rPr>
          <w:rFonts w:hint="eastAsia"/>
          <w:sz w:val="24"/>
          <w:szCs w:val="24"/>
          <w:highlight w:val="none"/>
        </w:rPr>
        <w:t>）份，以中文书就，甲方执</w:t>
      </w:r>
      <w:permStart w:id="32" w:edGrp="everyone"/>
      <w:r>
        <w:rPr>
          <w:rFonts w:hint="eastAsia"/>
          <w:sz w:val="24"/>
          <w:szCs w:val="24"/>
          <w:highlight w:val="none"/>
        </w:rPr>
        <w:t>肆</w:t>
      </w:r>
      <w:permEnd w:id="32"/>
      <w:r>
        <w:rPr>
          <w:rFonts w:hint="eastAsia"/>
          <w:sz w:val="24"/>
          <w:szCs w:val="24"/>
          <w:highlight w:val="none"/>
        </w:rPr>
        <w:t>份，乙方执</w:t>
      </w:r>
      <w:permStart w:id="33" w:edGrp="everyone"/>
      <w:r>
        <w:rPr>
          <w:rFonts w:hint="eastAsia"/>
          <w:sz w:val="24"/>
          <w:szCs w:val="24"/>
          <w:highlight w:val="none"/>
        </w:rPr>
        <w:t>贰</w:t>
      </w:r>
      <w:permEnd w:id="33"/>
      <w:r>
        <w:rPr>
          <w:rFonts w:hint="eastAsia"/>
          <w:sz w:val="24"/>
          <w:szCs w:val="24"/>
          <w:highlight w:val="none"/>
        </w:rPr>
        <w:t>份。</w:t>
      </w:r>
    </w:p>
    <w:p w14:paraId="440E868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19. 合同附件</w:t>
      </w:r>
    </w:p>
    <w:p w14:paraId="16D3777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19. 1 本合同附件包括：________/_________</w:t>
      </w:r>
      <w:r>
        <w:rPr>
          <w:rFonts w:hint="eastAsia" w:cs="MS Gothic"/>
          <w:sz w:val="24"/>
          <w:szCs w:val="24"/>
          <w:highlight w:val="none"/>
        </w:rPr>
        <w:t>等。</w:t>
      </w:r>
    </w:p>
    <w:p w14:paraId="5F4C7A2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19. 2 本合同附件（如有）是合同的组成部分。</w:t>
      </w:r>
    </w:p>
    <w:p w14:paraId="52E1C31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19. 3若合同文件之</w:t>
      </w:r>
      <w:r>
        <w:rPr>
          <w:rFonts w:hint="eastAsia" w:cs="宋体"/>
          <w:sz w:val="24"/>
          <w:szCs w:val="24"/>
          <w:highlight w:val="none"/>
        </w:rPr>
        <w:t>间</w:t>
      </w:r>
      <w:r>
        <w:rPr>
          <w:rFonts w:hint="eastAsia"/>
          <w:sz w:val="24"/>
          <w:szCs w:val="24"/>
          <w:highlight w:val="none"/>
        </w:rPr>
        <w:t>有矛盾，</w:t>
      </w:r>
      <w:r>
        <w:rPr>
          <w:rFonts w:hint="eastAsia" w:cs="宋体"/>
          <w:sz w:val="24"/>
          <w:szCs w:val="24"/>
          <w:highlight w:val="none"/>
        </w:rPr>
        <w:t>则</w:t>
      </w:r>
      <w:r>
        <w:rPr>
          <w:rFonts w:hint="eastAsia"/>
          <w:sz w:val="24"/>
          <w:szCs w:val="24"/>
          <w:highlight w:val="none"/>
        </w:rPr>
        <w:t>以在后形成的文件</w:t>
      </w:r>
      <w:r>
        <w:rPr>
          <w:rFonts w:hint="eastAsia" w:cs="宋体"/>
          <w:sz w:val="24"/>
          <w:szCs w:val="24"/>
          <w:highlight w:val="none"/>
        </w:rPr>
        <w:t>为</w:t>
      </w:r>
      <w:r>
        <w:rPr>
          <w:rFonts w:hint="eastAsia"/>
          <w:sz w:val="24"/>
          <w:szCs w:val="24"/>
          <w:highlight w:val="none"/>
        </w:rPr>
        <w:t>准。</w:t>
      </w:r>
    </w:p>
    <w:p w14:paraId="1212B99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20．合同修改</w:t>
      </w:r>
    </w:p>
    <w:p w14:paraId="0DAD807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本合同如确需修改，应经双方协商一致后签订书面协议。</w:t>
      </w:r>
    </w:p>
    <w:p w14:paraId="10AFFE9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（以下为盖章处，无正文）</w:t>
      </w:r>
    </w:p>
    <w:p w14:paraId="431DBA9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p>
    <w:p w14:paraId="2053B06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 xml:space="preserve">甲方（盖章）：                            乙方（盖章）： </w:t>
      </w:r>
    </w:p>
    <w:p w14:paraId="1CAF2B2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p>
    <w:p w14:paraId="20BD39D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法定代表人或授权委托人                   法定代表人或授权委托人</w:t>
      </w:r>
    </w:p>
    <w:p w14:paraId="05471C9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 xml:space="preserve">或经办人（签章）                           或经办人（签章） </w:t>
      </w:r>
    </w:p>
    <w:p w14:paraId="1D89347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textAlignment w:val="auto"/>
        <w:rPr>
          <w:sz w:val="24"/>
          <w:szCs w:val="24"/>
          <w:highlight w:val="none"/>
        </w:rPr>
      </w:pPr>
      <w:r>
        <w:rPr>
          <w:rFonts w:hint="eastAsia"/>
          <w:sz w:val="24"/>
          <w:szCs w:val="24"/>
          <w:highlight w:val="none"/>
        </w:rPr>
        <w:t>年  月  日</w:t>
      </w:r>
      <w:r>
        <w:rPr>
          <w:rFonts w:hint="eastAsia"/>
          <w:sz w:val="24"/>
          <w:szCs w:val="24"/>
          <w:highlight w:val="none"/>
        </w:rPr>
        <w:tab/>
      </w:r>
      <w:r>
        <w:rPr>
          <w:rFonts w:hint="eastAsia"/>
          <w:sz w:val="24"/>
          <w:szCs w:val="24"/>
          <w:highlight w:val="none"/>
        </w:rPr>
        <w:tab/>
      </w:r>
      <w:r>
        <w:rPr>
          <w:rFonts w:hint="eastAsia"/>
          <w:sz w:val="24"/>
          <w:szCs w:val="24"/>
          <w:highlight w:val="none"/>
        </w:rPr>
        <w:tab/>
      </w:r>
      <w:r>
        <w:rPr>
          <w:rFonts w:hint="eastAsia"/>
          <w:sz w:val="24"/>
          <w:szCs w:val="24"/>
          <w:highlight w:val="none"/>
        </w:rPr>
        <w:tab/>
      </w:r>
      <w:r>
        <w:rPr>
          <w:rFonts w:hint="eastAsia"/>
          <w:sz w:val="24"/>
          <w:szCs w:val="24"/>
          <w:highlight w:val="none"/>
        </w:rPr>
        <w:tab/>
      </w:r>
      <w:r>
        <w:rPr>
          <w:rFonts w:hint="eastAsia"/>
          <w:sz w:val="24"/>
          <w:szCs w:val="24"/>
          <w:highlight w:val="none"/>
        </w:rPr>
        <w:tab/>
      </w:r>
      <w:r>
        <w:rPr>
          <w:rFonts w:hint="eastAsia"/>
          <w:sz w:val="24"/>
          <w:szCs w:val="24"/>
          <w:highlight w:val="none"/>
        </w:rPr>
        <w:tab/>
      </w:r>
      <w:r>
        <w:rPr>
          <w:rFonts w:hint="eastAsia"/>
          <w:sz w:val="24"/>
          <w:szCs w:val="24"/>
          <w:highlight w:val="none"/>
        </w:rPr>
        <w:tab/>
      </w:r>
      <w:r>
        <w:rPr>
          <w:rFonts w:hint="eastAsia"/>
          <w:sz w:val="24"/>
          <w:szCs w:val="24"/>
          <w:highlight w:val="none"/>
        </w:rPr>
        <w:t xml:space="preserve"> 年  月  日</w:t>
      </w:r>
    </w:p>
    <w:p w14:paraId="2B3ABC74">
      <w:pPr>
        <w:keepNext w:val="0"/>
        <w:keepLines w:val="0"/>
        <w:pageBreakBefore w:val="0"/>
        <w:kinsoku/>
        <w:wordWrap/>
        <w:overflowPunct/>
        <w:topLinePunct w:val="0"/>
        <w:autoSpaceDE/>
        <w:autoSpaceDN/>
        <w:bidi w:val="0"/>
        <w:adjustRightInd/>
        <w:snapToGrid/>
        <w:spacing w:after="0" w:line="500" w:lineRule="exact"/>
        <w:ind w:left="0"/>
        <w:textAlignment w:val="auto"/>
        <w:rPr>
          <w:sz w:val="24"/>
          <w:szCs w:val="24"/>
          <w:highlight w:val="none"/>
        </w:rPr>
      </w:pPr>
      <w:r>
        <w:rPr>
          <w:sz w:val="24"/>
          <w:szCs w:val="24"/>
          <w:highlight w:val="none"/>
        </w:rPr>
        <w:br w:type="page"/>
      </w:r>
    </w:p>
    <w:p w14:paraId="397546F8">
      <w:pPr>
        <w:keepNext w:val="0"/>
        <w:keepLines w:val="0"/>
        <w:pageBreakBefore w:val="0"/>
        <w:widowControl w:val="0"/>
        <w:kinsoku/>
        <w:wordWrap/>
        <w:overflowPunct/>
        <w:topLinePunct w:val="0"/>
        <w:autoSpaceDE/>
        <w:autoSpaceDN/>
        <w:bidi w:val="0"/>
        <w:adjustRightInd/>
        <w:snapToGrid/>
        <w:spacing w:after="0" w:line="500" w:lineRule="exact"/>
        <w:ind w:left="0" w:firstLine="0"/>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合同附件：</w:t>
      </w:r>
    </w:p>
    <w:p w14:paraId="26F01DD3">
      <w:pPr>
        <w:keepNext w:val="0"/>
        <w:keepLines w:val="0"/>
        <w:pageBreakBefore w:val="0"/>
        <w:widowControl w:val="0"/>
        <w:kinsoku/>
        <w:wordWrap/>
        <w:overflowPunct/>
        <w:topLinePunct w:val="0"/>
        <w:autoSpaceDE/>
        <w:autoSpaceDN/>
        <w:bidi w:val="0"/>
        <w:adjustRightInd/>
        <w:snapToGrid/>
        <w:spacing w:after="0" w:line="500" w:lineRule="exact"/>
        <w:ind w:left="0" w:firstLine="0"/>
        <w:jc w:val="center"/>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组网服务年度评价考核办法</w:t>
      </w:r>
    </w:p>
    <w:p w14:paraId="69DC94E0">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一、考核总则</w:t>
      </w:r>
    </w:p>
    <w:p w14:paraId="1DD91B9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（一）考核目的</w:t>
      </w:r>
    </w:p>
    <w:p w14:paraId="34064D2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为客观、全面评估网络安全咨询服务供应商（以下简称“乙方”）的年度服务质量与履约能力，验证服务是否满足甲方网络安全管理需求，强化服务过程管控，推动服务质量持续提升，保障甲方网络安全体系稳定运行，依据双方签订的服务合同及相关技术要求制定本办法。</w:t>
      </w:r>
    </w:p>
    <w:p w14:paraId="16BFC27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（二）考核对象</w:t>
      </w:r>
    </w:p>
    <w:p w14:paraId="2D7D588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提供组网服务的供应商（以下简称“乙方”）。</w:t>
      </w:r>
    </w:p>
    <w:p w14:paraId="57AB5AE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（三）考核周期</w:t>
      </w:r>
    </w:p>
    <w:p w14:paraId="5AADD6E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本服务一年服务期结束后进行考核。</w:t>
      </w:r>
    </w:p>
    <w:p w14:paraId="3311D22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（四）考核原则</w:t>
      </w:r>
    </w:p>
    <w:p w14:paraId="34D0986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客观公正原则：以合同约定、服务标准、实际交付成果及运行数据为依据，避免主观臆断。</w:t>
      </w:r>
    </w:p>
    <w:p w14:paraId="1761DB4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突出重点原则：聚焦服务响应时效、交付物质量、风险闭环能力、设备合规性等核心指标。</w:t>
      </w:r>
    </w:p>
    <w:p w14:paraId="37A2E62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奖惩联动原则：考核结果与服务费用支付直接挂钩。</w:t>
      </w:r>
    </w:p>
    <w:p w14:paraId="09D7D92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持续改进原则：针对考核发现的问题，督促乙方制定整改方案并跟踪落实，形成管理闭环。</w:t>
      </w:r>
    </w:p>
    <w:p w14:paraId="5C4DF58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二、考核指标体系与评分标准（总分100分）</w:t>
      </w:r>
    </w:p>
    <w:p w14:paraId="1F7EC58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（一）日常维护（24分）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090"/>
        <w:gridCol w:w="2213"/>
        <w:gridCol w:w="2091"/>
        <w:gridCol w:w="2152"/>
      </w:tblGrid>
      <w:tr w14:paraId="30803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noWrap w:val="0"/>
            <w:tcMar>
              <w:top w:w="60" w:type="dxa"/>
              <w:left w:w="120" w:type="dxa"/>
              <w:bottom w:w="30" w:type="dxa"/>
              <w:right w:w="120" w:type="dxa"/>
            </w:tcMar>
            <w:vAlign w:val="center"/>
          </w:tcPr>
          <w:p w14:paraId="19E83E6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213" w:type="dxa"/>
            <w:noWrap w:val="0"/>
            <w:tcMar>
              <w:top w:w="60" w:type="dxa"/>
              <w:left w:w="120" w:type="dxa"/>
              <w:bottom w:w="30" w:type="dxa"/>
              <w:right w:w="120" w:type="dxa"/>
            </w:tcMar>
            <w:vAlign w:val="center"/>
          </w:tcPr>
          <w:p w14:paraId="3B1474E6">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091" w:type="dxa"/>
            <w:noWrap w:val="0"/>
            <w:tcMar>
              <w:top w:w="60" w:type="dxa"/>
              <w:left w:w="120" w:type="dxa"/>
              <w:bottom w:w="30" w:type="dxa"/>
              <w:right w:w="120" w:type="dxa"/>
            </w:tcMar>
            <w:vAlign w:val="center"/>
          </w:tcPr>
          <w:p w14:paraId="54CBFCB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52" w:type="dxa"/>
            <w:noWrap w:val="0"/>
            <w:tcMar>
              <w:top w:w="60" w:type="dxa"/>
              <w:left w:w="120" w:type="dxa"/>
              <w:bottom w:w="30" w:type="dxa"/>
              <w:right w:w="120" w:type="dxa"/>
            </w:tcMar>
            <w:vAlign w:val="center"/>
          </w:tcPr>
          <w:p w14:paraId="2CF3AF5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48ACA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090" w:type="dxa"/>
            <w:noWrap w:val="0"/>
            <w:tcMar>
              <w:top w:w="60" w:type="dxa"/>
              <w:left w:w="120" w:type="dxa"/>
              <w:bottom w:w="30" w:type="dxa"/>
              <w:right w:w="120" w:type="dxa"/>
            </w:tcMar>
            <w:vAlign w:val="center"/>
          </w:tcPr>
          <w:p w14:paraId="66745264">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每月定期巡检</w:t>
            </w:r>
          </w:p>
        </w:tc>
        <w:tc>
          <w:tcPr>
            <w:tcW w:w="2213" w:type="dxa"/>
            <w:noWrap w:val="0"/>
            <w:tcMar>
              <w:top w:w="60" w:type="dxa"/>
              <w:left w:w="120" w:type="dxa"/>
              <w:bottom w:w="30" w:type="dxa"/>
              <w:right w:w="120" w:type="dxa"/>
            </w:tcMar>
            <w:vAlign w:val="center"/>
          </w:tcPr>
          <w:p w14:paraId="350C05A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rPr>
            </w:pPr>
            <w:r>
              <w:rPr>
                <w:rFonts w:hint="eastAsia" w:ascii="Times New Roman" w:hAnsi="Times New Roman" w:eastAsia="宋体" w:cs="Times New Roman"/>
                <w:color w:val="auto"/>
                <w:kern w:val="2"/>
                <w:sz w:val="24"/>
                <w:szCs w:val="24"/>
                <w:highlight w:val="none"/>
                <w:lang w:val="en-US" w:eastAsia="zh-CN"/>
              </w:rPr>
              <w:t>每少一月巡检扣2分，扣完本项分值为止</w:t>
            </w:r>
          </w:p>
        </w:tc>
        <w:tc>
          <w:tcPr>
            <w:tcW w:w="2091" w:type="dxa"/>
            <w:noWrap w:val="0"/>
            <w:tcMar>
              <w:top w:w="60" w:type="dxa"/>
              <w:left w:w="120" w:type="dxa"/>
              <w:bottom w:w="30" w:type="dxa"/>
              <w:right w:w="120" w:type="dxa"/>
            </w:tcMar>
            <w:vAlign w:val="center"/>
          </w:tcPr>
          <w:p w14:paraId="2A4CFE43">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24</w:t>
            </w:r>
            <w:r>
              <w:rPr>
                <w:rFonts w:ascii="Times New Roman" w:hAnsi="Times New Roman" w:eastAsia="宋体" w:cs="Times New Roman"/>
                <w:color w:val="auto"/>
                <w:kern w:val="2"/>
                <w:sz w:val="24"/>
                <w:szCs w:val="24"/>
                <w:highlight w:val="none"/>
              </w:rPr>
              <w:t xml:space="preserve"> 分</w:t>
            </w:r>
          </w:p>
        </w:tc>
        <w:tc>
          <w:tcPr>
            <w:tcW w:w="2152" w:type="dxa"/>
            <w:noWrap w:val="0"/>
            <w:tcMar>
              <w:top w:w="60" w:type="dxa"/>
              <w:left w:w="120" w:type="dxa"/>
              <w:bottom w:w="30" w:type="dxa"/>
              <w:right w:w="120" w:type="dxa"/>
            </w:tcMar>
            <w:vAlign w:val="center"/>
          </w:tcPr>
          <w:p w14:paraId="74AD416B">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巡检记录</w:t>
            </w:r>
          </w:p>
        </w:tc>
      </w:tr>
    </w:tbl>
    <w:p w14:paraId="4C39E8B5">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p>
    <w:p w14:paraId="275E2C11">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firstLine="480" w:firstLineChars="200"/>
        <w:jc w:val="left"/>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en-US" w:bidi="ar-SA"/>
        </w:rPr>
        <w:t>（二）</w:t>
      </w:r>
      <w:r>
        <w:rPr>
          <w:rFonts w:hint="eastAsia" w:ascii="Times New Roman" w:hAnsi="Times New Roman" w:eastAsia="宋体" w:cs="Times New Roman"/>
          <w:color w:val="auto"/>
          <w:kern w:val="2"/>
          <w:sz w:val="24"/>
          <w:szCs w:val="24"/>
          <w:highlight w:val="none"/>
          <w:lang w:val="en-US" w:eastAsia="zh-CN"/>
        </w:rPr>
        <w:t>故障响应</w:t>
      </w:r>
      <w:r>
        <w:rPr>
          <w:rFonts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kern w:val="2"/>
          <w:sz w:val="24"/>
          <w:szCs w:val="24"/>
          <w:highlight w:val="none"/>
          <w:lang w:val="en-US" w:eastAsia="zh-CN"/>
        </w:rPr>
        <w:t>36</w:t>
      </w:r>
      <w:r>
        <w:rPr>
          <w:rFonts w:ascii="Times New Roman" w:hAnsi="Times New Roman" w:eastAsia="宋体" w:cs="Times New Roman"/>
          <w:color w:val="auto"/>
          <w:kern w:val="2"/>
          <w:sz w:val="24"/>
          <w:szCs w:val="24"/>
          <w:highlight w:val="none"/>
        </w:rPr>
        <w:t>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07"/>
        <w:gridCol w:w="2166"/>
        <w:gridCol w:w="2107"/>
        <w:gridCol w:w="2166"/>
      </w:tblGrid>
      <w:tr w14:paraId="15BDA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0D2F7B52">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166" w:type="dxa"/>
            <w:noWrap w:val="0"/>
            <w:tcMar>
              <w:top w:w="60" w:type="dxa"/>
              <w:left w:w="120" w:type="dxa"/>
              <w:bottom w:w="30" w:type="dxa"/>
              <w:right w:w="120" w:type="dxa"/>
            </w:tcMar>
            <w:vAlign w:val="center"/>
          </w:tcPr>
          <w:p w14:paraId="7D5DE390">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107" w:type="dxa"/>
            <w:noWrap w:val="0"/>
            <w:tcMar>
              <w:top w:w="60" w:type="dxa"/>
              <w:left w:w="120" w:type="dxa"/>
              <w:bottom w:w="30" w:type="dxa"/>
              <w:right w:w="120" w:type="dxa"/>
            </w:tcMar>
            <w:vAlign w:val="center"/>
          </w:tcPr>
          <w:p w14:paraId="044110B7">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66" w:type="dxa"/>
            <w:noWrap w:val="0"/>
            <w:tcMar>
              <w:top w:w="60" w:type="dxa"/>
              <w:left w:w="120" w:type="dxa"/>
              <w:bottom w:w="30" w:type="dxa"/>
              <w:right w:w="120" w:type="dxa"/>
            </w:tcMar>
            <w:vAlign w:val="center"/>
          </w:tcPr>
          <w:p w14:paraId="41D6FD0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71BE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460EC23C">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应急处理</w:t>
            </w:r>
          </w:p>
        </w:tc>
        <w:tc>
          <w:tcPr>
            <w:tcW w:w="2166" w:type="dxa"/>
            <w:noWrap w:val="0"/>
            <w:tcMar>
              <w:top w:w="60" w:type="dxa"/>
              <w:left w:w="120" w:type="dxa"/>
              <w:bottom w:w="30" w:type="dxa"/>
              <w:right w:w="120" w:type="dxa"/>
            </w:tcMar>
            <w:vAlign w:val="center"/>
          </w:tcPr>
          <w:p w14:paraId="65907FD6">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每次故障以甲方报障时间开始计算，1小时内解决不扣分；1-3小时解决提交书面故障报告，并扣1分；3-6小时解决扣5分；6小时以上解决扣10分</w:t>
            </w:r>
          </w:p>
        </w:tc>
        <w:tc>
          <w:tcPr>
            <w:tcW w:w="2107" w:type="dxa"/>
            <w:noWrap w:val="0"/>
            <w:tcMar>
              <w:top w:w="60" w:type="dxa"/>
              <w:left w:w="120" w:type="dxa"/>
              <w:bottom w:w="30" w:type="dxa"/>
              <w:right w:w="120" w:type="dxa"/>
            </w:tcMar>
            <w:vAlign w:val="center"/>
          </w:tcPr>
          <w:p w14:paraId="065435E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36 分</w:t>
            </w:r>
          </w:p>
        </w:tc>
        <w:tc>
          <w:tcPr>
            <w:tcW w:w="2166" w:type="dxa"/>
            <w:noWrap w:val="0"/>
            <w:tcMar>
              <w:top w:w="60" w:type="dxa"/>
              <w:left w:w="120" w:type="dxa"/>
              <w:bottom w:w="30" w:type="dxa"/>
              <w:right w:w="120" w:type="dxa"/>
            </w:tcMar>
            <w:vAlign w:val="center"/>
          </w:tcPr>
          <w:p w14:paraId="4384DA8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ascii="Times New Roman" w:hAnsi="Times New Roman" w:eastAsia="宋体" w:cs="Times New Roman"/>
                <w:color w:val="auto"/>
                <w:kern w:val="2"/>
                <w:sz w:val="24"/>
                <w:szCs w:val="24"/>
                <w:highlight w:val="none"/>
              </w:rPr>
              <w:t>服务工单记录、甲方监测系统日志</w:t>
            </w:r>
          </w:p>
        </w:tc>
      </w:tr>
    </w:tbl>
    <w:p w14:paraId="589499F5">
      <w:pPr>
        <w:pStyle w:val="18"/>
        <w:keepNext w:val="0"/>
        <w:keepLines w:val="0"/>
        <w:pageBreakBefore w:val="0"/>
        <w:kinsoku/>
        <w:wordWrap/>
        <w:overflowPunct/>
        <w:topLinePunct w:val="0"/>
        <w:autoSpaceDE/>
        <w:autoSpaceDN/>
        <w:bidi w:val="0"/>
        <w:adjustRightInd/>
        <w:snapToGrid/>
        <w:spacing w:after="0" w:line="500" w:lineRule="exact"/>
        <w:ind w:left="0"/>
        <w:textAlignment w:val="auto"/>
        <w:rPr>
          <w:rFonts w:hint="eastAsia"/>
          <w:sz w:val="24"/>
          <w:szCs w:val="24"/>
          <w:highlight w:val="none"/>
          <w:lang w:val="en-US" w:eastAsia="zh-CN"/>
        </w:rPr>
      </w:pPr>
    </w:p>
    <w:p w14:paraId="0B1BB89A">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firstLine="480" w:firstLineChars="200"/>
        <w:jc w:val="left"/>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en-US" w:bidi="ar-SA"/>
        </w:rPr>
        <w:t>（三）</w:t>
      </w:r>
      <w:r>
        <w:rPr>
          <w:rFonts w:hint="eastAsia" w:ascii="Times New Roman" w:hAnsi="Times New Roman" w:eastAsia="宋体" w:cs="Times New Roman"/>
          <w:color w:val="auto"/>
          <w:kern w:val="2"/>
          <w:sz w:val="24"/>
          <w:szCs w:val="24"/>
          <w:highlight w:val="none"/>
          <w:lang w:val="en-US" w:eastAsia="zh-CN"/>
        </w:rPr>
        <w:t>运行质量</w:t>
      </w:r>
      <w:r>
        <w:rPr>
          <w:rFonts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kern w:val="2"/>
          <w:sz w:val="24"/>
          <w:szCs w:val="24"/>
          <w:highlight w:val="none"/>
          <w:lang w:val="en-US" w:eastAsia="zh-CN"/>
        </w:rPr>
        <w:t>30</w:t>
      </w:r>
      <w:r>
        <w:rPr>
          <w:rFonts w:ascii="Times New Roman" w:hAnsi="Times New Roman" w:eastAsia="宋体" w:cs="Times New Roman"/>
          <w:color w:val="auto"/>
          <w:kern w:val="2"/>
          <w:sz w:val="24"/>
          <w:szCs w:val="24"/>
          <w:highlight w:val="none"/>
        </w:rPr>
        <w:t>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07"/>
        <w:gridCol w:w="2166"/>
        <w:gridCol w:w="2107"/>
        <w:gridCol w:w="2166"/>
      </w:tblGrid>
      <w:tr w14:paraId="4F1B5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3B1960B3">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166" w:type="dxa"/>
            <w:noWrap w:val="0"/>
            <w:tcMar>
              <w:top w:w="60" w:type="dxa"/>
              <w:left w:w="120" w:type="dxa"/>
              <w:bottom w:w="30" w:type="dxa"/>
              <w:right w:w="120" w:type="dxa"/>
            </w:tcMar>
            <w:vAlign w:val="center"/>
          </w:tcPr>
          <w:p w14:paraId="1856EA2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107" w:type="dxa"/>
            <w:noWrap w:val="0"/>
            <w:tcMar>
              <w:top w:w="60" w:type="dxa"/>
              <w:left w:w="120" w:type="dxa"/>
              <w:bottom w:w="30" w:type="dxa"/>
              <w:right w:w="120" w:type="dxa"/>
            </w:tcMar>
            <w:vAlign w:val="center"/>
          </w:tcPr>
          <w:p w14:paraId="6C644F86">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66" w:type="dxa"/>
            <w:noWrap w:val="0"/>
            <w:tcMar>
              <w:top w:w="60" w:type="dxa"/>
              <w:left w:w="120" w:type="dxa"/>
              <w:bottom w:w="30" w:type="dxa"/>
              <w:right w:w="120" w:type="dxa"/>
            </w:tcMar>
            <w:vAlign w:val="center"/>
          </w:tcPr>
          <w:p w14:paraId="6B68DA6B">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7C27B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45939A8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线路故障</w:t>
            </w:r>
          </w:p>
        </w:tc>
        <w:tc>
          <w:tcPr>
            <w:tcW w:w="2166" w:type="dxa"/>
            <w:noWrap w:val="0"/>
            <w:tcMar>
              <w:top w:w="60" w:type="dxa"/>
              <w:left w:w="120" w:type="dxa"/>
              <w:bottom w:w="30" w:type="dxa"/>
              <w:right w:w="120" w:type="dxa"/>
            </w:tcMar>
            <w:vAlign w:val="center"/>
          </w:tcPr>
          <w:p w14:paraId="3BD8DF4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每出现一次线路故障导致业务影响扣1分，扣完本项分值为止</w:t>
            </w:r>
          </w:p>
        </w:tc>
        <w:tc>
          <w:tcPr>
            <w:tcW w:w="2107" w:type="dxa"/>
            <w:noWrap w:val="0"/>
            <w:tcMar>
              <w:top w:w="60" w:type="dxa"/>
              <w:left w:w="120" w:type="dxa"/>
              <w:bottom w:w="30" w:type="dxa"/>
              <w:right w:w="120" w:type="dxa"/>
            </w:tcMar>
            <w:vAlign w:val="center"/>
          </w:tcPr>
          <w:p w14:paraId="72A8FA4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 分</w:t>
            </w:r>
          </w:p>
        </w:tc>
        <w:tc>
          <w:tcPr>
            <w:tcW w:w="2166" w:type="dxa"/>
            <w:noWrap w:val="0"/>
            <w:tcMar>
              <w:top w:w="60" w:type="dxa"/>
              <w:left w:w="120" w:type="dxa"/>
              <w:bottom w:w="30" w:type="dxa"/>
              <w:right w:w="120" w:type="dxa"/>
            </w:tcMar>
            <w:vAlign w:val="center"/>
          </w:tcPr>
          <w:p w14:paraId="5DA65614">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ascii="Times New Roman" w:hAnsi="Times New Roman" w:eastAsia="宋体" w:cs="Times New Roman"/>
                <w:color w:val="auto"/>
                <w:kern w:val="2"/>
                <w:sz w:val="24"/>
                <w:szCs w:val="24"/>
                <w:highlight w:val="none"/>
              </w:rPr>
              <w:t>服务工单记录、甲方监测系统日志</w:t>
            </w:r>
          </w:p>
        </w:tc>
      </w:tr>
      <w:tr w14:paraId="36EF1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6514E1EB">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线路时延</w:t>
            </w:r>
          </w:p>
        </w:tc>
        <w:tc>
          <w:tcPr>
            <w:tcW w:w="2166" w:type="dxa"/>
            <w:noWrap w:val="0"/>
            <w:tcMar>
              <w:top w:w="60" w:type="dxa"/>
              <w:left w:w="120" w:type="dxa"/>
              <w:bottom w:w="30" w:type="dxa"/>
              <w:right w:w="120" w:type="dxa"/>
            </w:tcMar>
            <w:vAlign w:val="center"/>
          </w:tcPr>
          <w:p w14:paraId="66A6D43B">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两端时延大于100ms，每持续1天扣1分，扣完本项分值为止</w:t>
            </w:r>
          </w:p>
        </w:tc>
        <w:tc>
          <w:tcPr>
            <w:tcW w:w="2107" w:type="dxa"/>
            <w:noWrap w:val="0"/>
            <w:tcMar>
              <w:top w:w="60" w:type="dxa"/>
              <w:left w:w="120" w:type="dxa"/>
              <w:bottom w:w="30" w:type="dxa"/>
              <w:right w:w="120" w:type="dxa"/>
            </w:tcMar>
            <w:vAlign w:val="center"/>
          </w:tcPr>
          <w:p w14:paraId="1F6B74F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10分</w:t>
            </w:r>
          </w:p>
        </w:tc>
        <w:tc>
          <w:tcPr>
            <w:tcW w:w="2166" w:type="dxa"/>
            <w:noWrap w:val="0"/>
            <w:tcMar>
              <w:top w:w="60" w:type="dxa"/>
              <w:left w:w="120" w:type="dxa"/>
              <w:bottom w:w="30" w:type="dxa"/>
              <w:right w:w="120" w:type="dxa"/>
            </w:tcMar>
            <w:vAlign w:val="center"/>
          </w:tcPr>
          <w:p w14:paraId="359B3495">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ascii="Times New Roman" w:hAnsi="Times New Roman" w:eastAsia="宋体" w:cs="Times New Roman"/>
                <w:color w:val="auto"/>
                <w:kern w:val="2"/>
                <w:sz w:val="24"/>
                <w:szCs w:val="24"/>
                <w:highlight w:val="none"/>
              </w:rPr>
            </w:pPr>
            <w:r>
              <w:rPr>
                <w:rFonts w:ascii="Times New Roman" w:hAnsi="Times New Roman" w:eastAsia="宋体" w:cs="Times New Roman"/>
                <w:color w:val="auto"/>
                <w:kern w:val="2"/>
                <w:sz w:val="24"/>
                <w:szCs w:val="24"/>
                <w:highlight w:val="none"/>
              </w:rPr>
              <w:t>服务工单记录、甲方监测系统日志</w:t>
            </w:r>
          </w:p>
        </w:tc>
      </w:tr>
      <w:tr w14:paraId="7190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72E19CC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线路丢包</w:t>
            </w:r>
          </w:p>
        </w:tc>
        <w:tc>
          <w:tcPr>
            <w:tcW w:w="2166" w:type="dxa"/>
            <w:noWrap w:val="0"/>
            <w:tcMar>
              <w:top w:w="60" w:type="dxa"/>
              <w:left w:w="120" w:type="dxa"/>
              <w:bottom w:w="30" w:type="dxa"/>
              <w:right w:w="120" w:type="dxa"/>
            </w:tcMar>
            <w:vAlign w:val="center"/>
          </w:tcPr>
          <w:p w14:paraId="03BAE3A4">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1000个包中丢包率大于0.5%，每持续1天扣1分，扣完本项分值为止</w:t>
            </w:r>
          </w:p>
        </w:tc>
        <w:tc>
          <w:tcPr>
            <w:tcW w:w="2107" w:type="dxa"/>
            <w:noWrap w:val="0"/>
            <w:tcMar>
              <w:top w:w="60" w:type="dxa"/>
              <w:left w:w="120" w:type="dxa"/>
              <w:bottom w:w="30" w:type="dxa"/>
              <w:right w:w="120" w:type="dxa"/>
            </w:tcMar>
            <w:vAlign w:val="center"/>
          </w:tcPr>
          <w:p w14:paraId="65510178">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10分</w:t>
            </w:r>
          </w:p>
        </w:tc>
        <w:tc>
          <w:tcPr>
            <w:tcW w:w="2166" w:type="dxa"/>
            <w:noWrap w:val="0"/>
            <w:tcMar>
              <w:top w:w="60" w:type="dxa"/>
              <w:left w:w="120" w:type="dxa"/>
              <w:bottom w:w="30" w:type="dxa"/>
              <w:right w:w="120" w:type="dxa"/>
            </w:tcMar>
            <w:vAlign w:val="center"/>
          </w:tcPr>
          <w:p w14:paraId="0C9A381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ascii="Times New Roman" w:hAnsi="Times New Roman" w:eastAsia="宋体" w:cs="Times New Roman"/>
                <w:color w:val="auto"/>
                <w:kern w:val="2"/>
                <w:sz w:val="24"/>
                <w:szCs w:val="24"/>
                <w:highlight w:val="none"/>
              </w:rPr>
            </w:pPr>
            <w:r>
              <w:rPr>
                <w:rFonts w:ascii="Times New Roman" w:hAnsi="Times New Roman" w:eastAsia="宋体" w:cs="Times New Roman"/>
                <w:color w:val="auto"/>
                <w:kern w:val="2"/>
                <w:sz w:val="24"/>
                <w:szCs w:val="24"/>
                <w:highlight w:val="none"/>
              </w:rPr>
              <w:t>服务工单记录、甲方监测系统日志</w:t>
            </w:r>
          </w:p>
        </w:tc>
      </w:tr>
    </w:tbl>
    <w:p w14:paraId="13526953">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jc w:val="left"/>
        <w:textAlignment w:val="auto"/>
        <w:rPr>
          <w:rFonts w:ascii="Times New Roman" w:hAnsi="Times New Roman" w:eastAsia="宋体" w:cs="Times New Roman"/>
          <w:color w:val="auto"/>
          <w:kern w:val="2"/>
          <w:sz w:val="24"/>
          <w:szCs w:val="24"/>
          <w:highlight w:val="none"/>
        </w:rPr>
      </w:pPr>
    </w:p>
    <w:p w14:paraId="162C8366">
      <w:pPr>
        <w:keepNext w:val="0"/>
        <w:keepLines w:val="0"/>
        <w:pageBreakBefore w:val="0"/>
        <w:widowControl/>
        <w:numPr>
          <w:ilvl w:val="0"/>
          <w:numId w:val="3"/>
        </w:numPr>
        <w:kinsoku/>
        <w:wordWrap/>
        <w:overflowPunct/>
        <w:topLinePunct w:val="0"/>
        <w:autoSpaceDE/>
        <w:autoSpaceDN/>
        <w:bidi w:val="0"/>
        <w:adjustRightInd/>
        <w:snapToGrid/>
        <w:spacing w:after="0" w:line="500" w:lineRule="exact"/>
        <w:ind w:left="0" w:firstLine="480" w:firstLineChars="200"/>
        <w:jc w:val="left"/>
        <w:textAlignment w:val="auto"/>
        <w:rPr>
          <w:rFonts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安全规范</w:t>
      </w:r>
      <w:r>
        <w:rPr>
          <w:rFonts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kern w:val="2"/>
          <w:sz w:val="24"/>
          <w:szCs w:val="24"/>
          <w:highlight w:val="none"/>
          <w:lang w:val="en-US" w:eastAsia="zh-CN"/>
        </w:rPr>
        <w:t>10</w:t>
      </w:r>
      <w:r>
        <w:rPr>
          <w:rFonts w:ascii="Times New Roman" w:hAnsi="Times New Roman" w:eastAsia="宋体" w:cs="Times New Roman"/>
          <w:color w:val="auto"/>
          <w:kern w:val="2"/>
          <w:sz w:val="24"/>
          <w:szCs w:val="24"/>
          <w:highlight w:val="none"/>
        </w:rPr>
        <w:t>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107"/>
        <w:gridCol w:w="2166"/>
        <w:gridCol w:w="2107"/>
        <w:gridCol w:w="2166"/>
      </w:tblGrid>
      <w:tr w14:paraId="6382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18829B3D">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考核指标</w:t>
            </w:r>
          </w:p>
        </w:tc>
        <w:tc>
          <w:tcPr>
            <w:tcW w:w="2166" w:type="dxa"/>
            <w:noWrap w:val="0"/>
            <w:tcMar>
              <w:top w:w="60" w:type="dxa"/>
              <w:left w:w="120" w:type="dxa"/>
              <w:bottom w:w="30" w:type="dxa"/>
              <w:right w:w="120" w:type="dxa"/>
            </w:tcMar>
            <w:vAlign w:val="center"/>
          </w:tcPr>
          <w:p w14:paraId="265F1A3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评分标准</w:t>
            </w:r>
          </w:p>
        </w:tc>
        <w:tc>
          <w:tcPr>
            <w:tcW w:w="2107" w:type="dxa"/>
            <w:noWrap w:val="0"/>
            <w:tcMar>
              <w:top w:w="60" w:type="dxa"/>
              <w:left w:w="120" w:type="dxa"/>
              <w:bottom w:w="30" w:type="dxa"/>
              <w:right w:w="120" w:type="dxa"/>
            </w:tcMar>
            <w:vAlign w:val="center"/>
          </w:tcPr>
          <w:p w14:paraId="582AA3DF">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分值</w:t>
            </w:r>
          </w:p>
        </w:tc>
        <w:tc>
          <w:tcPr>
            <w:tcW w:w="2166" w:type="dxa"/>
            <w:noWrap w:val="0"/>
            <w:tcMar>
              <w:top w:w="60" w:type="dxa"/>
              <w:left w:w="120" w:type="dxa"/>
              <w:bottom w:w="30" w:type="dxa"/>
              <w:right w:w="120" w:type="dxa"/>
            </w:tcMar>
            <w:vAlign w:val="center"/>
          </w:tcPr>
          <w:p w14:paraId="3A865032">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数据来源</w:t>
            </w:r>
          </w:p>
        </w:tc>
      </w:tr>
      <w:tr w14:paraId="245D3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07" w:type="dxa"/>
            <w:noWrap w:val="0"/>
            <w:tcMar>
              <w:top w:w="60" w:type="dxa"/>
              <w:left w:w="120" w:type="dxa"/>
              <w:bottom w:w="30" w:type="dxa"/>
              <w:right w:w="120" w:type="dxa"/>
            </w:tcMar>
            <w:vAlign w:val="center"/>
          </w:tcPr>
          <w:p w14:paraId="043042CE">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服务合规</w:t>
            </w:r>
          </w:p>
        </w:tc>
        <w:tc>
          <w:tcPr>
            <w:tcW w:w="2166" w:type="dxa"/>
            <w:noWrap w:val="0"/>
            <w:tcMar>
              <w:top w:w="60" w:type="dxa"/>
              <w:left w:w="120" w:type="dxa"/>
              <w:bottom w:w="30" w:type="dxa"/>
              <w:right w:w="120" w:type="dxa"/>
            </w:tcMar>
            <w:vAlign w:val="center"/>
          </w:tcPr>
          <w:p w14:paraId="620F2E19">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按照甲方的管理要求进行操作和运维，每出现一次违规行为扣1分，扣完本项分值为止</w:t>
            </w:r>
          </w:p>
        </w:tc>
        <w:tc>
          <w:tcPr>
            <w:tcW w:w="2107" w:type="dxa"/>
            <w:noWrap w:val="0"/>
            <w:tcMar>
              <w:top w:w="60" w:type="dxa"/>
              <w:left w:w="120" w:type="dxa"/>
              <w:bottom w:w="30" w:type="dxa"/>
              <w:right w:w="120" w:type="dxa"/>
            </w:tcMar>
            <w:vAlign w:val="center"/>
          </w:tcPr>
          <w:p w14:paraId="69616C4A">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10 分</w:t>
            </w:r>
          </w:p>
        </w:tc>
        <w:tc>
          <w:tcPr>
            <w:tcW w:w="2166" w:type="dxa"/>
            <w:noWrap w:val="0"/>
            <w:tcMar>
              <w:top w:w="60" w:type="dxa"/>
              <w:left w:w="120" w:type="dxa"/>
              <w:bottom w:w="30" w:type="dxa"/>
              <w:right w:w="120" w:type="dxa"/>
            </w:tcMar>
            <w:vAlign w:val="center"/>
          </w:tcPr>
          <w:p w14:paraId="77DA2FC9">
            <w:pPr>
              <w:keepNext w:val="0"/>
              <w:keepLines w:val="0"/>
              <w:pageBreakBefore w:val="0"/>
              <w:widowControl w:val="0"/>
              <w:kinsoku/>
              <w:wordWrap/>
              <w:overflowPunct/>
              <w:topLinePunct w:val="0"/>
              <w:autoSpaceDE/>
              <w:autoSpaceDN/>
              <w:bidi w:val="0"/>
              <w:adjustRightInd/>
              <w:snapToGrid/>
              <w:spacing w:after="0" w:line="500" w:lineRule="exact"/>
              <w:ind w:left="0"/>
              <w:jc w:val="center"/>
              <w:textAlignment w:val="auto"/>
              <w:rPr>
                <w:rFonts w:hint="default" w:ascii="Times New Roman" w:hAnsi="Times New Roman" w:eastAsia="宋体" w:cs="Times New Roman"/>
                <w:color w:val="auto"/>
                <w:kern w:val="2"/>
                <w:sz w:val="24"/>
                <w:szCs w:val="24"/>
                <w:highlight w:val="none"/>
                <w:lang w:val="en-US" w:eastAsia="zh-CN"/>
              </w:rPr>
            </w:pPr>
            <w:r>
              <w:rPr>
                <w:rFonts w:ascii="Times New Roman" w:hAnsi="Times New Roman" w:eastAsia="宋体" w:cs="Times New Roman"/>
                <w:color w:val="auto"/>
                <w:kern w:val="2"/>
                <w:sz w:val="24"/>
                <w:szCs w:val="24"/>
                <w:highlight w:val="none"/>
              </w:rPr>
              <w:t>服务工单记录</w:t>
            </w:r>
            <w:r>
              <w:rPr>
                <w:rFonts w:hint="eastAsia" w:ascii="Times New Roman" w:hAnsi="Times New Roman" w:eastAsia="宋体" w:cs="Times New Roman"/>
                <w:color w:val="auto"/>
                <w:kern w:val="2"/>
                <w:sz w:val="24"/>
                <w:szCs w:val="24"/>
                <w:highlight w:val="none"/>
                <w:lang w:eastAsia="zh-CN"/>
              </w:rPr>
              <w:t>、</w:t>
            </w:r>
            <w:r>
              <w:rPr>
                <w:rFonts w:ascii="Times New Roman" w:hAnsi="Times New Roman" w:eastAsia="宋体" w:cs="Times New Roman"/>
                <w:color w:val="auto"/>
                <w:kern w:val="2"/>
                <w:sz w:val="24"/>
                <w:szCs w:val="24"/>
                <w:highlight w:val="none"/>
              </w:rPr>
              <w:t>甲方</w:t>
            </w:r>
            <w:r>
              <w:rPr>
                <w:rFonts w:hint="eastAsia" w:ascii="Times New Roman" w:hAnsi="Times New Roman" w:eastAsia="宋体" w:cs="Times New Roman"/>
                <w:color w:val="auto"/>
                <w:kern w:val="2"/>
                <w:sz w:val="24"/>
                <w:szCs w:val="24"/>
                <w:highlight w:val="none"/>
                <w:lang w:val="en-US" w:eastAsia="zh-CN"/>
              </w:rPr>
              <w:t>备注记录</w:t>
            </w:r>
          </w:p>
        </w:tc>
      </w:tr>
    </w:tbl>
    <w:p w14:paraId="063E610A">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jc w:val="left"/>
        <w:textAlignment w:val="auto"/>
        <w:rPr>
          <w:rFonts w:ascii="Times New Roman" w:hAnsi="Times New Roman" w:eastAsia="宋体" w:cs="Times New Roman"/>
          <w:color w:val="auto"/>
          <w:kern w:val="2"/>
          <w:sz w:val="24"/>
          <w:szCs w:val="24"/>
          <w:highlight w:val="none"/>
        </w:rPr>
      </w:pPr>
    </w:p>
    <w:p w14:paraId="5B48353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三、考核实施流程</w:t>
      </w:r>
    </w:p>
    <w:p w14:paraId="7669A91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（一）数据收集</w:t>
      </w:r>
    </w:p>
    <w:p w14:paraId="4758398F">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服务期结束前，甲方网络安全管理部门牵头，收集服务工单、事件处置记录、核查报告等相关数据，确保数据真实可追溯。</w:t>
      </w:r>
    </w:p>
    <w:p w14:paraId="6E5ED9C7">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（二）初步评分</w:t>
      </w:r>
    </w:p>
    <w:p w14:paraId="6743488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甲方考核小组依据本办法评分标准，对各项指标进行量化打分，形成初步考核结果，并附评分依据说明。</w:t>
      </w:r>
    </w:p>
    <w:p w14:paraId="37F4CC11">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四、考核结果应用</w:t>
      </w:r>
    </w:p>
    <w:p w14:paraId="3F8358E3">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（一）考核等级划分</w:t>
      </w:r>
    </w:p>
    <w:p w14:paraId="220721D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1、等级</w:t>
      </w:r>
    </w:p>
    <w:p w14:paraId="4478E4FB">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优秀：90分及以上；</w:t>
      </w:r>
    </w:p>
    <w:p w14:paraId="2EA93AF6">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良好：80-89分（含）；</w:t>
      </w:r>
    </w:p>
    <w:p w14:paraId="0C618979">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合格：60-79分（含）；</w:t>
      </w:r>
    </w:p>
    <w:p w14:paraId="34E23F1A">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不合格：60分以下。</w:t>
      </w:r>
    </w:p>
    <w:p w14:paraId="599103BD">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2、每次支付比例</w:t>
      </w:r>
    </w:p>
    <w:p w14:paraId="083128F8">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（1）良好及以上等级：</w:t>
      </w:r>
      <w:bookmarkStart w:id="11" w:name="_GoBack"/>
      <w:r>
        <w:rPr>
          <w:rFonts w:hint="eastAsia" w:ascii="宋体" w:hAnsi="宋体" w:eastAsia="宋体" w:cs="宋体"/>
          <w:bCs/>
          <w:color w:val="auto"/>
          <w:kern w:val="2"/>
          <w:sz w:val="24"/>
          <w:szCs w:val="24"/>
          <w:highlight w:val="none"/>
          <w:lang w:val="en-US" w:eastAsia="zh-CN" w:bidi="ar-SA"/>
        </w:rPr>
        <w:t>甲方全额支付该次合同金额</w:t>
      </w:r>
      <w:r>
        <w:rPr>
          <w:rFonts w:hint="eastAsia" w:ascii="宋体" w:hAnsi="宋体" w:eastAsia="宋体" w:cs="宋体"/>
          <w:bCs/>
          <w:color w:val="auto"/>
          <w:kern w:val="2"/>
          <w:sz w:val="24"/>
          <w:szCs w:val="24"/>
          <w:highlight w:val="none"/>
          <w:lang w:val="en-US" w:eastAsia="zh-CN" w:bidi="ar-SA"/>
        </w:rPr>
        <w:t>；</w:t>
      </w:r>
    </w:p>
    <w:p w14:paraId="74A9A014">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（2）合格等级：甲方支付该次合同金额</w:t>
      </w:r>
      <w:r>
        <w:rPr>
          <w:rFonts w:hint="eastAsia" w:ascii="宋体" w:hAnsi="宋体" w:eastAsia="宋体" w:cs="宋体"/>
          <w:bCs/>
          <w:color w:val="auto"/>
          <w:kern w:val="2"/>
          <w:sz w:val="24"/>
          <w:szCs w:val="24"/>
          <w:highlight w:val="none"/>
          <w:lang w:val="en-US" w:eastAsia="zh-CN" w:bidi="ar-SA"/>
        </w:rPr>
        <w:t>的90%，乙方需在30日内提交整改方案，甲方跟踪整改效果；整改未达标的，甲方有权解除合同；</w:t>
      </w:r>
    </w:p>
    <w:p w14:paraId="0FC5003C">
      <w:pPr>
        <w:keepNext w:val="0"/>
        <w:keepLines w:val="0"/>
        <w:pageBreakBefore w:val="0"/>
        <w:widowControl w:val="0"/>
        <w:kinsoku/>
        <w:wordWrap/>
        <w:overflowPunct/>
        <w:topLinePunct w:val="0"/>
        <w:autoSpaceDE/>
        <w:autoSpaceDN/>
        <w:bidi w:val="0"/>
        <w:adjustRightInd/>
        <w:snapToGrid/>
        <w:spacing w:after="0" w:line="500" w:lineRule="exact"/>
        <w:ind w:left="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（3）不合格等级：甲方支付该次合同金额</w:t>
      </w:r>
      <w:r>
        <w:rPr>
          <w:rFonts w:hint="eastAsia" w:ascii="宋体" w:hAnsi="宋体" w:eastAsia="宋体" w:cs="宋体"/>
          <w:bCs/>
          <w:color w:val="auto"/>
          <w:kern w:val="2"/>
          <w:sz w:val="24"/>
          <w:szCs w:val="24"/>
          <w:highlight w:val="none"/>
          <w:lang w:val="en-US" w:eastAsia="zh-CN" w:bidi="ar-SA"/>
        </w:rPr>
        <w:t>的50%。</w:t>
      </w:r>
    </w:p>
    <w:bookmarkEnd w:id="11"/>
    <w:p w14:paraId="69203FEC">
      <w:pPr>
        <w:keepNext w:val="0"/>
        <w:keepLines w:val="0"/>
        <w:pageBreakBefore w:val="0"/>
        <w:widowControl/>
        <w:kinsoku/>
        <w:wordWrap/>
        <w:overflowPunct/>
        <w:topLinePunct w:val="0"/>
        <w:autoSpaceDE/>
        <w:autoSpaceDN/>
        <w:bidi w:val="0"/>
        <w:adjustRightInd/>
        <w:snapToGrid/>
        <w:spacing w:after="0" w:line="500" w:lineRule="exact"/>
        <w:ind w:left="0" w:firstLine="480" w:firstLineChars="200"/>
        <w:jc w:val="left"/>
        <w:textAlignment w:val="auto"/>
        <w:rPr>
          <w:rFonts w:hint="eastAsia" w:ascii="宋体" w:hAnsi="宋体" w:eastAsia="宋体" w:cs="宋体"/>
          <w:bCs/>
          <w:color w:val="auto"/>
          <w:kern w:val="2"/>
          <w:sz w:val="24"/>
          <w:szCs w:val="24"/>
          <w:highlight w:val="none"/>
          <w:lang w:val="en-US" w:eastAsia="zh-CN" w:bidi="ar-SA"/>
        </w:rPr>
      </w:pPr>
    </w:p>
    <w:p w14:paraId="0B1CABCD">
      <w:pPr>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jc w:val="left"/>
        <w:textAlignment w:val="auto"/>
        <w:rPr>
          <w:rFonts w:ascii="Times New Roman" w:hAnsi="Times New Roman" w:eastAsia="宋体" w:cs="Times New Roman"/>
          <w:color w:val="auto"/>
          <w:kern w:val="2"/>
          <w:sz w:val="24"/>
          <w:szCs w:val="24"/>
          <w:highlight w:val="none"/>
        </w:rPr>
      </w:pPr>
    </w:p>
    <w:p w14:paraId="102BDD6A">
      <w:pPr>
        <w:pStyle w:val="14"/>
        <w:rPr>
          <w:rFonts w:hint="eastAsia"/>
          <w:highlight w:val="none"/>
          <w:lang w:val="en-US" w:eastAsia="zh-CN"/>
        </w:rPr>
      </w:pPr>
    </w:p>
    <w:p w14:paraId="0DA50E19">
      <w:pPr>
        <w:pStyle w:val="14"/>
        <w:rPr>
          <w:rFonts w:hint="eastAsia"/>
          <w:highlight w:val="none"/>
          <w:lang w:val="en-US" w:eastAsia="zh-CN"/>
        </w:rPr>
      </w:pPr>
    </w:p>
    <w:p w14:paraId="03935E6F">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p>
    <w:p w14:paraId="3B7FB297">
      <w:pPr>
        <w:pBdr>
          <w:top w:val="none" w:color="000000" w:sz="0" w:space="0"/>
          <w:left w:val="none" w:color="000000" w:sz="0" w:space="0"/>
          <w:bottom w:val="none" w:color="000000" w:sz="0" w:space="0"/>
          <w:right w:val="none" w:color="000000" w:sz="0" w:space="0"/>
        </w:pBdr>
        <w:spacing w:after="0" w:line="312" w:lineRule="atLeast"/>
        <w:jc w:val="both"/>
        <w:rPr>
          <w:rFonts w:hint="eastAsia" w:ascii="宋体" w:hAnsi="宋体" w:eastAsia="宋体" w:cs="宋体"/>
          <w:highlight w:val="none"/>
          <w:lang w:eastAsia="zh-CN"/>
        </w:rPr>
      </w:pPr>
      <w:r>
        <w:rPr>
          <w:rFonts w:hint="eastAsia" w:ascii="宋体" w:hAnsi="宋体" w:eastAsia="宋体" w:cs="宋体"/>
          <w:color w:val="000000"/>
          <w:sz w:val="28"/>
          <w:highlight w:val="none"/>
          <w:lang w:eastAsia="zh-CN"/>
        </w:rPr>
        <w:t> </w:t>
      </w:r>
    </w:p>
    <w:p w14:paraId="6F8CFE4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AF8237B">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A347C55">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xml:space="preserve"> </w:t>
      </w:r>
    </w:p>
    <w:p w14:paraId="780AF813">
      <w:pPr>
        <w:pBdr>
          <w:top w:val="none" w:color="000000" w:sz="0" w:space="0"/>
          <w:left w:val="none" w:color="000000" w:sz="0" w:space="0"/>
          <w:bottom w:val="none" w:color="000000" w:sz="0" w:space="0"/>
          <w:right w:val="none" w:color="000000" w:sz="0" w:space="0"/>
        </w:pBdr>
        <w:spacing w:after="0" w:line="439" w:lineRule="atLeast"/>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E6CB6C3">
      <w:pPr>
        <w:pBdr>
          <w:top w:val="none" w:color="000000" w:sz="0" w:space="0"/>
          <w:left w:val="none" w:color="000000" w:sz="0" w:space="0"/>
          <w:bottom w:val="none" w:color="000000" w:sz="0" w:space="0"/>
          <w:right w:val="none" w:color="000000" w:sz="0" w:space="0"/>
        </w:pBdr>
        <w:spacing w:after="0" w:line="439" w:lineRule="atLeast"/>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A05DC1C">
      <w:pPr>
        <w:pBdr>
          <w:top w:val="none" w:color="000000" w:sz="0" w:space="0"/>
          <w:left w:val="none" w:color="000000" w:sz="0" w:space="0"/>
          <w:bottom w:val="none" w:color="000000" w:sz="0" w:space="0"/>
          <w:right w:val="none" w:color="000000" w:sz="0" w:space="0"/>
        </w:pBdr>
        <w:spacing w:after="0" w:line="439" w:lineRule="atLeast"/>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（全文完）</w:t>
      </w:r>
    </w:p>
    <w:p w14:paraId="5C7CDFE4">
      <w:pPr>
        <w:rPr>
          <w:rFonts w:hint="eastAsia" w:ascii="宋体" w:hAnsi="宋体" w:eastAsia="宋体" w:cs="宋体"/>
          <w:highlight w:val="none"/>
          <w:lang w:eastAsia="zh-CN"/>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1ACCA489-BD7A-4B5E-9116-17A9E1D2694F}"/>
  </w:font>
  <w:font w:name="MiSans">
    <w:altName w:val="等线"/>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2" w:fontKey="{53B6F283-43D1-4ACE-B618-BA699F0F2AFF}"/>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3" w:fontKey="{6B1BA217-E5DA-47CD-85AA-3E4B0A93A9E5}"/>
  </w:font>
  <w:font w:name="仿宋_GB2312">
    <w:altName w:val="仿宋"/>
    <w:panose1 w:val="02010609030101010101"/>
    <w:charset w:val="86"/>
    <w:family w:val="modern"/>
    <w:pitch w:val="default"/>
    <w:sig w:usb0="00000000" w:usb1="00000000" w:usb2="00000000" w:usb3="00000000" w:csb0="00040000" w:csb1="00000000"/>
  </w:font>
  <w:font w:name="MS Gothic">
    <w:panose1 w:val="020B0609070205080204"/>
    <w:charset w:val="80"/>
    <w:family w:val="modern"/>
    <w:pitch w:val="default"/>
    <w:sig w:usb0="E00002FF" w:usb1="6AC7FDFB" w:usb2="08000012" w:usb3="00000000" w:csb0="4002009F" w:csb1="DFD70000"/>
    <w:embedRegular r:id="rId4" w:fontKey="{F91D795E-194E-4540-ABE6-BE777341DB84}"/>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6D413898"/>
    <w:multiLevelType w:val="singleLevel"/>
    <w:tmpl w:val="6D413898"/>
    <w:lvl w:ilvl="0" w:tentative="0">
      <w:start w:val="4"/>
      <w:numFmt w:val="chineseCounting"/>
      <w:suff w:val="nothing"/>
      <w:lvlText w:val="（%1）"/>
      <w:lvlJc w:val="left"/>
      <w:rPr>
        <w:rFonts w:hint="eastAsia"/>
      </w:rPr>
    </w:lvl>
  </w:abstractNum>
  <w:abstractNum w:abstractNumId="2">
    <w:nsid w:val="700F940D"/>
    <w:multiLevelType w:val="singleLevel"/>
    <w:tmpl w:val="700F940D"/>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wMjE2NTg3NmQ5OGFlNmI5NjU3MmMzODI4MTg5NGYifQ=="/>
  </w:docVars>
  <w:rsids>
    <w:rsidRoot w:val="007F0DE6"/>
    <w:rsid w:val="00010B6B"/>
    <w:rsid w:val="00036C66"/>
    <w:rsid w:val="00041FC6"/>
    <w:rsid w:val="0004479D"/>
    <w:rsid w:val="0007014C"/>
    <w:rsid w:val="000729B7"/>
    <w:rsid w:val="00075F06"/>
    <w:rsid w:val="00083134"/>
    <w:rsid w:val="00083CEF"/>
    <w:rsid w:val="00091A06"/>
    <w:rsid w:val="000B2774"/>
    <w:rsid w:val="000D53C5"/>
    <w:rsid w:val="000E11FC"/>
    <w:rsid w:val="000E2B67"/>
    <w:rsid w:val="0010056D"/>
    <w:rsid w:val="00115263"/>
    <w:rsid w:val="00142C8E"/>
    <w:rsid w:val="00155E38"/>
    <w:rsid w:val="00157EAC"/>
    <w:rsid w:val="0016197C"/>
    <w:rsid w:val="00162CCC"/>
    <w:rsid w:val="00174989"/>
    <w:rsid w:val="001818D4"/>
    <w:rsid w:val="001B07CF"/>
    <w:rsid w:val="001B3E8E"/>
    <w:rsid w:val="001E2034"/>
    <w:rsid w:val="001E232E"/>
    <w:rsid w:val="00210BBC"/>
    <w:rsid w:val="00214F01"/>
    <w:rsid w:val="00223343"/>
    <w:rsid w:val="00236AAA"/>
    <w:rsid w:val="00252087"/>
    <w:rsid w:val="00255EDA"/>
    <w:rsid w:val="00266D48"/>
    <w:rsid w:val="00273F62"/>
    <w:rsid w:val="00285A4E"/>
    <w:rsid w:val="0028764F"/>
    <w:rsid w:val="00294C0A"/>
    <w:rsid w:val="002B77CB"/>
    <w:rsid w:val="002C4198"/>
    <w:rsid w:val="002C4AD5"/>
    <w:rsid w:val="0030724E"/>
    <w:rsid w:val="003257DC"/>
    <w:rsid w:val="003301EA"/>
    <w:rsid w:val="00333A07"/>
    <w:rsid w:val="003606C2"/>
    <w:rsid w:val="0038564D"/>
    <w:rsid w:val="0038756E"/>
    <w:rsid w:val="00394D7E"/>
    <w:rsid w:val="0039535E"/>
    <w:rsid w:val="003A3F86"/>
    <w:rsid w:val="003C7CE9"/>
    <w:rsid w:val="003F2D59"/>
    <w:rsid w:val="00434066"/>
    <w:rsid w:val="00445CE4"/>
    <w:rsid w:val="00446EFD"/>
    <w:rsid w:val="00464508"/>
    <w:rsid w:val="004716E5"/>
    <w:rsid w:val="004746F4"/>
    <w:rsid w:val="004A60E4"/>
    <w:rsid w:val="004F0272"/>
    <w:rsid w:val="005105A1"/>
    <w:rsid w:val="00516C43"/>
    <w:rsid w:val="00517E59"/>
    <w:rsid w:val="005669B5"/>
    <w:rsid w:val="00573A8F"/>
    <w:rsid w:val="00586530"/>
    <w:rsid w:val="005B374D"/>
    <w:rsid w:val="005B5AD8"/>
    <w:rsid w:val="005B655F"/>
    <w:rsid w:val="005C6EC5"/>
    <w:rsid w:val="005E5A6C"/>
    <w:rsid w:val="005F70DF"/>
    <w:rsid w:val="0061491B"/>
    <w:rsid w:val="006431FF"/>
    <w:rsid w:val="00657435"/>
    <w:rsid w:val="006723B2"/>
    <w:rsid w:val="00676780"/>
    <w:rsid w:val="0068271F"/>
    <w:rsid w:val="006B5ED2"/>
    <w:rsid w:val="006B790A"/>
    <w:rsid w:val="006D2CEE"/>
    <w:rsid w:val="006D54EE"/>
    <w:rsid w:val="006E0068"/>
    <w:rsid w:val="006F50E8"/>
    <w:rsid w:val="00704F2B"/>
    <w:rsid w:val="00710B80"/>
    <w:rsid w:val="00714B0F"/>
    <w:rsid w:val="00730946"/>
    <w:rsid w:val="00735C13"/>
    <w:rsid w:val="007451F9"/>
    <w:rsid w:val="00753620"/>
    <w:rsid w:val="007538D2"/>
    <w:rsid w:val="00761877"/>
    <w:rsid w:val="0077294B"/>
    <w:rsid w:val="00776716"/>
    <w:rsid w:val="00784319"/>
    <w:rsid w:val="00786FD7"/>
    <w:rsid w:val="007B4D8B"/>
    <w:rsid w:val="007B7EC5"/>
    <w:rsid w:val="007C11A7"/>
    <w:rsid w:val="007D5EBD"/>
    <w:rsid w:val="007E1BF7"/>
    <w:rsid w:val="007E5911"/>
    <w:rsid w:val="007F0DE6"/>
    <w:rsid w:val="00814CA2"/>
    <w:rsid w:val="0082769A"/>
    <w:rsid w:val="00845D80"/>
    <w:rsid w:val="0087086C"/>
    <w:rsid w:val="008A37EA"/>
    <w:rsid w:val="008C1DA5"/>
    <w:rsid w:val="008D2F90"/>
    <w:rsid w:val="008E50B7"/>
    <w:rsid w:val="008F2AD1"/>
    <w:rsid w:val="008F4677"/>
    <w:rsid w:val="008F4D1E"/>
    <w:rsid w:val="00905DA5"/>
    <w:rsid w:val="009154D1"/>
    <w:rsid w:val="0092301D"/>
    <w:rsid w:val="009310ED"/>
    <w:rsid w:val="0093550D"/>
    <w:rsid w:val="00937BE4"/>
    <w:rsid w:val="00944CF3"/>
    <w:rsid w:val="00954F53"/>
    <w:rsid w:val="00955A38"/>
    <w:rsid w:val="00964CE0"/>
    <w:rsid w:val="00970D4F"/>
    <w:rsid w:val="0097284A"/>
    <w:rsid w:val="00972AB0"/>
    <w:rsid w:val="009836E2"/>
    <w:rsid w:val="00994646"/>
    <w:rsid w:val="009A3B6C"/>
    <w:rsid w:val="009B3FDF"/>
    <w:rsid w:val="009D5F79"/>
    <w:rsid w:val="00A03019"/>
    <w:rsid w:val="00A15ABA"/>
    <w:rsid w:val="00A17D9C"/>
    <w:rsid w:val="00A26497"/>
    <w:rsid w:val="00A26A71"/>
    <w:rsid w:val="00A36FB2"/>
    <w:rsid w:val="00A437C8"/>
    <w:rsid w:val="00A5470E"/>
    <w:rsid w:val="00A6462C"/>
    <w:rsid w:val="00A67FB4"/>
    <w:rsid w:val="00AC4642"/>
    <w:rsid w:val="00AC4F98"/>
    <w:rsid w:val="00AD27E1"/>
    <w:rsid w:val="00AF2E16"/>
    <w:rsid w:val="00AF3487"/>
    <w:rsid w:val="00B241AA"/>
    <w:rsid w:val="00B33CCF"/>
    <w:rsid w:val="00B37F16"/>
    <w:rsid w:val="00B475D8"/>
    <w:rsid w:val="00B72DC6"/>
    <w:rsid w:val="00B77710"/>
    <w:rsid w:val="00B878A3"/>
    <w:rsid w:val="00B93981"/>
    <w:rsid w:val="00B96740"/>
    <w:rsid w:val="00BB2ABD"/>
    <w:rsid w:val="00BC1F45"/>
    <w:rsid w:val="00BF0525"/>
    <w:rsid w:val="00C04AF5"/>
    <w:rsid w:val="00C17033"/>
    <w:rsid w:val="00C30EF1"/>
    <w:rsid w:val="00C3330E"/>
    <w:rsid w:val="00C416AE"/>
    <w:rsid w:val="00C45F8E"/>
    <w:rsid w:val="00CB2D12"/>
    <w:rsid w:val="00CB79AF"/>
    <w:rsid w:val="00CC26BF"/>
    <w:rsid w:val="00CC658F"/>
    <w:rsid w:val="00CD5937"/>
    <w:rsid w:val="00CE2B25"/>
    <w:rsid w:val="00CF5237"/>
    <w:rsid w:val="00D05536"/>
    <w:rsid w:val="00D0587C"/>
    <w:rsid w:val="00D2649C"/>
    <w:rsid w:val="00D43AA6"/>
    <w:rsid w:val="00D45B2D"/>
    <w:rsid w:val="00D46B3E"/>
    <w:rsid w:val="00D517D5"/>
    <w:rsid w:val="00D52C59"/>
    <w:rsid w:val="00D81227"/>
    <w:rsid w:val="00DA25D4"/>
    <w:rsid w:val="00DD4534"/>
    <w:rsid w:val="00DD465E"/>
    <w:rsid w:val="00DE2BD4"/>
    <w:rsid w:val="00DE387B"/>
    <w:rsid w:val="00DF4F6A"/>
    <w:rsid w:val="00E01B1C"/>
    <w:rsid w:val="00E217B4"/>
    <w:rsid w:val="00E35A81"/>
    <w:rsid w:val="00E567D4"/>
    <w:rsid w:val="00E66CB5"/>
    <w:rsid w:val="00E80838"/>
    <w:rsid w:val="00E8090E"/>
    <w:rsid w:val="00EA0414"/>
    <w:rsid w:val="00F038D7"/>
    <w:rsid w:val="00F37CD1"/>
    <w:rsid w:val="00F75474"/>
    <w:rsid w:val="00FD243C"/>
    <w:rsid w:val="00FD69BC"/>
    <w:rsid w:val="0108045C"/>
    <w:rsid w:val="01352A75"/>
    <w:rsid w:val="0143023E"/>
    <w:rsid w:val="01594127"/>
    <w:rsid w:val="015A37EA"/>
    <w:rsid w:val="01607B27"/>
    <w:rsid w:val="016B5866"/>
    <w:rsid w:val="017E6F26"/>
    <w:rsid w:val="01816CCD"/>
    <w:rsid w:val="01850A77"/>
    <w:rsid w:val="018A439F"/>
    <w:rsid w:val="018C3C07"/>
    <w:rsid w:val="01902A68"/>
    <w:rsid w:val="019A16C2"/>
    <w:rsid w:val="01B05289"/>
    <w:rsid w:val="01BD6FEA"/>
    <w:rsid w:val="01BE5EE2"/>
    <w:rsid w:val="01D362E5"/>
    <w:rsid w:val="01EF7A4A"/>
    <w:rsid w:val="01F95D80"/>
    <w:rsid w:val="01FB0577"/>
    <w:rsid w:val="020656B2"/>
    <w:rsid w:val="022C3D13"/>
    <w:rsid w:val="023849B2"/>
    <w:rsid w:val="023F0464"/>
    <w:rsid w:val="02685C0C"/>
    <w:rsid w:val="028401BC"/>
    <w:rsid w:val="028D7194"/>
    <w:rsid w:val="02902EC5"/>
    <w:rsid w:val="02AD379B"/>
    <w:rsid w:val="02D346D0"/>
    <w:rsid w:val="02DC29E0"/>
    <w:rsid w:val="02F246D9"/>
    <w:rsid w:val="02F81F47"/>
    <w:rsid w:val="03047538"/>
    <w:rsid w:val="03233E3F"/>
    <w:rsid w:val="032D1344"/>
    <w:rsid w:val="032F65C6"/>
    <w:rsid w:val="03363C91"/>
    <w:rsid w:val="0341020B"/>
    <w:rsid w:val="03506E80"/>
    <w:rsid w:val="035F0913"/>
    <w:rsid w:val="03682B63"/>
    <w:rsid w:val="037F533E"/>
    <w:rsid w:val="038C4E6B"/>
    <w:rsid w:val="0398305C"/>
    <w:rsid w:val="039D4518"/>
    <w:rsid w:val="03DD7476"/>
    <w:rsid w:val="03E2554B"/>
    <w:rsid w:val="03FF5FEC"/>
    <w:rsid w:val="04022533"/>
    <w:rsid w:val="040352F1"/>
    <w:rsid w:val="0409246F"/>
    <w:rsid w:val="042518DB"/>
    <w:rsid w:val="042625A3"/>
    <w:rsid w:val="042942EB"/>
    <w:rsid w:val="04312BCD"/>
    <w:rsid w:val="04386104"/>
    <w:rsid w:val="043B4BCF"/>
    <w:rsid w:val="043D53C4"/>
    <w:rsid w:val="044F7A70"/>
    <w:rsid w:val="04885A51"/>
    <w:rsid w:val="04953B87"/>
    <w:rsid w:val="0495752E"/>
    <w:rsid w:val="049A4F9F"/>
    <w:rsid w:val="049F59C7"/>
    <w:rsid w:val="04A5420D"/>
    <w:rsid w:val="04B675AB"/>
    <w:rsid w:val="04B847F1"/>
    <w:rsid w:val="04C63673"/>
    <w:rsid w:val="052D0A47"/>
    <w:rsid w:val="053E7B62"/>
    <w:rsid w:val="054860FE"/>
    <w:rsid w:val="05574109"/>
    <w:rsid w:val="05584545"/>
    <w:rsid w:val="05706B86"/>
    <w:rsid w:val="059B2032"/>
    <w:rsid w:val="05CA1591"/>
    <w:rsid w:val="05CD2772"/>
    <w:rsid w:val="05D57D4F"/>
    <w:rsid w:val="05DF1E68"/>
    <w:rsid w:val="05E473C0"/>
    <w:rsid w:val="05E67E04"/>
    <w:rsid w:val="05EE39D5"/>
    <w:rsid w:val="05F41246"/>
    <w:rsid w:val="06136339"/>
    <w:rsid w:val="063369E2"/>
    <w:rsid w:val="063929D2"/>
    <w:rsid w:val="06583220"/>
    <w:rsid w:val="06671455"/>
    <w:rsid w:val="068E389E"/>
    <w:rsid w:val="06B76715"/>
    <w:rsid w:val="06B97252"/>
    <w:rsid w:val="06C214AB"/>
    <w:rsid w:val="06D5408A"/>
    <w:rsid w:val="06D56BBC"/>
    <w:rsid w:val="06E40CFB"/>
    <w:rsid w:val="06E7071E"/>
    <w:rsid w:val="0708351A"/>
    <w:rsid w:val="07130AA2"/>
    <w:rsid w:val="0726165F"/>
    <w:rsid w:val="072A4378"/>
    <w:rsid w:val="07411695"/>
    <w:rsid w:val="07413D40"/>
    <w:rsid w:val="07485C35"/>
    <w:rsid w:val="075616D4"/>
    <w:rsid w:val="07572F4B"/>
    <w:rsid w:val="0763471D"/>
    <w:rsid w:val="07723F20"/>
    <w:rsid w:val="07850796"/>
    <w:rsid w:val="07902912"/>
    <w:rsid w:val="07B938EB"/>
    <w:rsid w:val="07BE784C"/>
    <w:rsid w:val="07DA0F85"/>
    <w:rsid w:val="07F58830"/>
    <w:rsid w:val="07FE5F67"/>
    <w:rsid w:val="08063F32"/>
    <w:rsid w:val="08070DBA"/>
    <w:rsid w:val="080A371B"/>
    <w:rsid w:val="08206DC6"/>
    <w:rsid w:val="08360F6E"/>
    <w:rsid w:val="08414B1F"/>
    <w:rsid w:val="088071AD"/>
    <w:rsid w:val="088E20A6"/>
    <w:rsid w:val="088F4F0F"/>
    <w:rsid w:val="08AB2262"/>
    <w:rsid w:val="08BC2723"/>
    <w:rsid w:val="08C01BD2"/>
    <w:rsid w:val="08DF3C56"/>
    <w:rsid w:val="08E020A1"/>
    <w:rsid w:val="091619D4"/>
    <w:rsid w:val="09280184"/>
    <w:rsid w:val="09283B1E"/>
    <w:rsid w:val="093553CD"/>
    <w:rsid w:val="093735E0"/>
    <w:rsid w:val="095C5111"/>
    <w:rsid w:val="0967158D"/>
    <w:rsid w:val="09716B74"/>
    <w:rsid w:val="09AB2883"/>
    <w:rsid w:val="09AD1FC1"/>
    <w:rsid w:val="09B6385B"/>
    <w:rsid w:val="09BB0699"/>
    <w:rsid w:val="09D44C87"/>
    <w:rsid w:val="09FF081E"/>
    <w:rsid w:val="0A1479AA"/>
    <w:rsid w:val="0A235265"/>
    <w:rsid w:val="0A385297"/>
    <w:rsid w:val="0A68783C"/>
    <w:rsid w:val="0A897917"/>
    <w:rsid w:val="0ABE2077"/>
    <w:rsid w:val="0AC83D78"/>
    <w:rsid w:val="0AD007F3"/>
    <w:rsid w:val="0ADB2E37"/>
    <w:rsid w:val="0AE73BFA"/>
    <w:rsid w:val="0AEB75F3"/>
    <w:rsid w:val="0AF67721"/>
    <w:rsid w:val="0B0E6CE7"/>
    <w:rsid w:val="0B14133A"/>
    <w:rsid w:val="0B3D6F23"/>
    <w:rsid w:val="0B5168CC"/>
    <w:rsid w:val="0B5944A0"/>
    <w:rsid w:val="0B79797A"/>
    <w:rsid w:val="0B8209C4"/>
    <w:rsid w:val="0B8B27F2"/>
    <w:rsid w:val="0BA164E4"/>
    <w:rsid w:val="0BA34338"/>
    <w:rsid w:val="0BA91206"/>
    <w:rsid w:val="0BBE20FB"/>
    <w:rsid w:val="0BCF4FF5"/>
    <w:rsid w:val="0BD95485"/>
    <w:rsid w:val="0BE5451F"/>
    <w:rsid w:val="0BF65812"/>
    <w:rsid w:val="0BF815F9"/>
    <w:rsid w:val="0C013567"/>
    <w:rsid w:val="0C187AD8"/>
    <w:rsid w:val="0C3454F2"/>
    <w:rsid w:val="0C3639BD"/>
    <w:rsid w:val="0C50326D"/>
    <w:rsid w:val="0C585ACF"/>
    <w:rsid w:val="0C704BA0"/>
    <w:rsid w:val="0C75510F"/>
    <w:rsid w:val="0C77725A"/>
    <w:rsid w:val="0C7F1F92"/>
    <w:rsid w:val="0C967A0F"/>
    <w:rsid w:val="0C99484A"/>
    <w:rsid w:val="0CB5172B"/>
    <w:rsid w:val="0CB851D1"/>
    <w:rsid w:val="0CC14427"/>
    <w:rsid w:val="0CD42055"/>
    <w:rsid w:val="0CE12497"/>
    <w:rsid w:val="0CF719AC"/>
    <w:rsid w:val="0D2C3290"/>
    <w:rsid w:val="0D47180A"/>
    <w:rsid w:val="0D481FE1"/>
    <w:rsid w:val="0D4D288D"/>
    <w:rsid w:val="0D655436"/>
    <w:rsid w:val="0D8B0691"/>
    <w:rsid w:val="0DA91FA5"/>
    <w:rsid w:val="0DCE43DC"/>
    <w:rsid w:val="0DD34156"/>
    <w:rsid w:val="0DDA49A4"/>
    <w:rsid w:val="0DDE1683"/>
    <w:rsid w:val="0DEF6B59"/>
    <w:rsid w:val="0DF207C8"/>
    <w:rsid w:val="0E0C6F4D"/>
    <w:rsid w:val="0E0F135C"/>
    <w:rsid w:val="0E1636C8"/>
    <w:rsid w:val="0E16687D"/>
    <w:rsid w:val="0E320F7E"/>
    <w:rsid w:val="0E3E1F96"/>
    <w:rsid w:val="0E430CAE"/>
    <w:rsid w:val="0E8C7A87"/>
    <w:rsid w:val="0E974001"/>
    <w:rsid w:val="0E9C7E08"/>
    <w:rsid w:val="0E9E0861"/>
    <w:rsid w:val="0EC463B8"/>
    <w:rsid w:val="0EDF093D"/>
    <w:rsid w:val="0EEF6789"/>
    <w:rsid w:val="0F0A5113"/>
    <w:rsid w:val="0F0C11A0"/>
    <w:rsid w:val="0F4200B5"/>
    <w:rsid w:val="0F5D0E70"/>
    <w:rsid w:val="0F627A6F"/>
    <w:rsid w:val="0F674F99"/>
    <w:rsid w:val="0F6E0A41"/>
    <w:rsid w:val="0F6F14C5"/>
    <w:rsid w:val="0F903819"/>
    <w:rsid w:val="0F917D0E"/>
    <w:rsid w:val="0F9964C0"/>
    <w:rsid w:val="0F9D08A1"/>
    <w:rsid w:val="0FB7217C"/>
    <w:rsid w:val="0FBB2C2E"/>
    <w:rsid w:val="0FCB598A"/>
    <w:rsid w:val="0FE47D6F"/>
    <w:rsid w:val="0FE633CA"/>
    <w:rsid w:val="10056E5C"/>
    <w:rsid w:val="100E2CD2"/>
    <w:rsid w:val="101C1378"/>
    <w:rsid w:val="101E40A6"/>
    <w:rsid w:val="102462FF"/>
    <w:rsid w:val="103F0E1E"/>
    <w:rsid w:val="104657FA"/>
    <w:rsid w:val="1056672C"/>
    <w:rsid w:val="10615C9F"/>
    <w:rsid w:val="108E13AA"/>
    <w:rsid w:val="10A3244C"/>
    <w:rsid w:val="10A52ACF"/>
    <w:rsid w:val="10B60D4A"/>
    <w:rsid w:val="10B8469B"/>
    <w:rsid w:val="10C06C1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2085E44"/>
    <w:rsid w:val="121305AE"/>
    <w:rsid w:val="121E1571"/>
    <w:rsid w:val="122E5FCD"/>
    <w:rsid w:val="123A2749"/>
    <w:rsid w:val="1241385E"/>
    <w:rsid w:val="125308C6"/>
    <w:rsid w:val="125D2A83"/>
    <w:rsid w:val="1265240A"/>
    <w:rsid w:val="1269663E"/>
    <w:rsid w:val="127748BA"/>
    <w:rsid w:val="127B0070"/>
    <w:rsid w:val="12872B83"/>
    <w:rsid w:val="12B446BB"/>
    <w:rsid w:val="12BF6EC2"/>
    <w:rsid w:val="12EC63AE"/>
    <w:rsid w:val="12F232D0"/>
    <w:rsid w:val="12F26C28"/>
    <w:rsid w:val="13161EAC"/>
    <w:rsid w:val="131B5031"/>
    <w:rsid w:val="131E7C21"/>
    <w:rsid w:val="1348744A"/>
    <w:rsid w:val="1369446C"/>
    <w:rsid w:val="1395739F"/>
    <w:rsid w:val="13985350"/>
    <w:rsid w:val="13A36513"/>
    <w:rsid w:val="13CA09F7"/>
    <w:rsid w:val="13CA6201"/>
    <w:rsid w:val="13EE1CEA"/>
    <w:rsid w:val="14146680"/>
    <w:rsid w:val="14200360"/>
    <w:rsid w:val="14284B77"/>
    <w:rsid w:val="14587163"/>
    <w:rsid w:val="14595607"/>
    <w:rsid w:val="145E6E6F"/>
    <w:rsid w:val="148C1AFD"/>
    <w:rsid w:val="14B42A8B"/>
    <w:rsid w:val="14CE77A6"/>
    <w:rsid w:val="14E3117E"/>
    <w:rsid w:val="14F00757"/>
    <w:rsid w:val="14F745AC"/>
    <w:rsid w:val="15131D1F"/>
    <w:rsid w:val="151E4E3D"/>
    <w:rsid w:val="152809B3"/>
    <w:rsid w:val="152D1B5C"/>
    <w:rsid w:val="152E179B"/>
    <w:rsid w:val="1534628B"/>
    <w:rsid w:val="15646B25"/>
    <w:rsid w:val="157478D0"/>
    <w:rsid w:val="15942D1C"/>
    <w:rsid w:val="15A13247"/>
    <w:rsid w:val="15AA2780"/>
    <w:rsid w:val="15B37E5A"/>
    <w:rsid w:val="15CA55A0"/>
    <w:rsid w:val="15D3492B"/>
    <w:rsid w:val="15DA0777"/>
    <w:rsid w:val="15DA5BCF"/>
    <w:rsid w:val="15DF4EF3"/>
    <w:rsid w:val="15E85D79"/>
    <w:rsid w:val="15ED6CEF"/>
    <w:rsid w:val="1609570C"/>
    <w:rsid w:val="160A072D"/>
    <w:rsid w:val="163D3ECB"/>
    <w:rsid w:val="163F30A5"/>
    <w:rsid w:val="16543968"/>
    <w:rsid w:val="16651371"/>
    <w:rsid w:val="167A1196"/>
    <w:rsid w:val="167B6ABD"/>
    <w:rsid w:val="167B7165"/>
    <w:rsid w:val="16AD232F"/>
    <w:rsid w:val="16B54F2B"/>
    <w:rsid w:val="16BA3B60"/>
    <w:rsid w:val="16CE6389"/>
    <w:rsid w:val="16E15B36"/>
    <w:rsid w:val="16E96798"/>
    <w:rsid w:val="16ED0036"/>
    <w:rsid w:val="170F7137"/>
    <w:rsid w:val="171B69ED"/>
    <w:rsid w:val="17364111"/>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11DA8"/>
    <w:rsid w:val="17F92A70"/>
    <w:rsid w:val="17FD0AB3"/>
    <w:rsid w:val="180D5BB3"/>
    <w:rsid w:val="180F1083"/>
    <w:rsid w:val="181A6957"/>
    <w:rsid w:val="1826172F"/>
    <w:rsid w:val="182D1DAB"/>
    <w:rsid w:val="183B76C1"/>
    <w:rsid w:val="18534811"/>
    <w:rsid w:val="18610453"/>
    <w:rsid w:val="186F2E51"/>
    <w:rsid w:val="187666DE"/>
    <w:rsid w:val="187D2C11"/>
    <w:rsid w:val="189B710E"/>
    <w:rsid w:val="189D1976"/>
    <w:rsid w:val="18C16049"/>
    <w:rsid w:val="18C17C9F"/>
    <w:rsid w:val="18C474BD"/>
    <w:rsid w:val="18C7725A"/>
    <w:rsid w:val="19097208"/>
    <w:rsid w:val="19121EB7"/>
    <w:rsid w:val="19131A6C"/>
    <w:rsid w:val="19411E32"/>
    <w:rsid w:val="195E352F"/>
    <w:rsid w:val="1986426C"/>
    <w:rsid w:val="199F5D7D"/>
    <w:rsid w:val="19A41797"/>
    <w:rsid w:val="19B03E18"/>
    <w:rsid w:val="19BA54DF"/>
    <w:rsid w:val="19E31C94"/>
    <w:rsid w:val="19E45FFF"/>
    <w:rsid w:val="19E60C62"/>
    <w:rsid w:val="19ED69C8"/>
    <w:rsid w:val="1A295B46"/>
    <w:rsid w:val="1A412A41"/>
    <w:rsid w:val="1A6127ED"/>
    <w:rsid w:val="1A663A40"/>
    <w:rsid w:val="1A7E3DF2"/>
    <w:rsid w:val="1A907657"/>
    <w:rsid w:val="1AA72884"/>
    <w:rsid w:val="1AA94BBC"/>
    <w:rsid w:val="1AD2534F"/>
    <w:rsid w:val="1AD322CA"/>
    <w:rsid w:val="1AEF5429"/>
    <w:rsid w:val="1AF244DC"/>
    <w:rsid w:val="1AF26ABB"/>
    <w:rsid w:val="1B0F0870"/>
    <w:rsid w:val="1B1F2A60"/>
    <w:rsid w:val="1B266CCF"/>
    <w:rsid w:val="1B2D3BD8"/>
    <w:rsid w:val="1B3967A2"/>
    <w:rsid w:val="1B4B60AB"/>
    <w:rsid w:val="1B4E1A56"/>
    <w:rsid w:val="1B5740D5"/>
    <w:rsid w:val="1B600016"/>
    <w:rsid w:val="1B6228FE"/>
    <w:rsid w:val="1B6D6CE7"/>
    <w:rsid w:val="1B7309A0"/>
    <w:rsid w:val="1B835140"/>
    <w:rsid w:val="1B862808"/>
    <w:rsid w:val="1B931E27"/>
    <w:rsid w:val="1BA3021E"/>
    <w:rsid w:val="1BD9657D"/>
    <w:rsid w:val="1BDB6ED7"/>
    <w:rsid w:val="1BDE43F2"/>
    <w:rsid w:val="1BE151AB"/>
    <w:rsid w:val="1BEF4FC5"/>
    <w:rsid w:val="1BEF6F05"/>
    <w:rsid w:val="1C057B1D"/>
    <w:rsid w:val="1C180642"/>
    <w:rsid w:val="1C24274C"/>
    <w:rsid w:val="1C3A2374"/>
    <w:rsid w:val="1C506F2C"/>
    <w:rsid w:val="1C570813"/>
    <w:rsid w:val="1CA078F9"/>
    <w:rsid w:val="1CAB6228"/>
    <w:rsid w:val="1CB570DB"/>
    <w:rsid w:val="1CC23D13"/>
    <w:rsid w:val="1CCE2310"/>
    <w:rsid w:val="1CD122BF"/>
    <w:rsid w:val="1CD35F20"/>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D4321"/>
    <w:rsid w:val="1D8F11DA"/>
    <w:rsid w:val="1D9A4113"/>
    <w:rsid w:val="1DB7314C"/>
    <w:rsid w:val="1DBA6CF9"/>
    <w:rsid w:val="1DC21E0D"/>
    <w:rsid w:val="1DD978F7"/>
    <w:rsid w:val="1DFF5131"/>
    <w:rsid w:val="1E050847"/>
    <w:rsid w:val="1E150E82"/>
    <w:rsid w:val="1E1C21DC"/>
    <w:rsid w:val="1E264020"/>
    <w:rsid w:val="1E2E3A04"/>
    <w:rsid w:val="1E696F4E"/>
    <w:rsid w:val="1E6D4E62"/>
    <w:rsid w:val="1E84542F"/>
    <w:rsid w:val="1E8C61B7"/>
    <w:rsid w:val="1E8D1673"/>
    <w:rsid w:val="1E9F7E8B"/>
    <w:rsid w:val="1EB7011B"/>
    <w:rsid w:val="1EB8717C"/>
    <w:rsid w:val="1EB94157"/>
    <w:rsid w:val="1EDC65DA"/>
    <w:rsid w:val="1EE5554D"/>
    <w:rsid w:val="1EEC32CA"/>
    <w:rsid w:val="1EF07AD2"/>
    <w:rsid w:val="1F023B78"/>
    <w:rsid w:val="1F513E7C"/>
    <w:rsid w:val="1F5E2AD1"/>
    <w:rsid w:val="1F614B27"/>
    <w:rsid w:val="1F817EB6"/>
    <w:rsid w:val="1F822566"/>
    <w:rsid w:val="1F8C246B"/>
    <w:rsid w:val="1F8F2F11"/>
    <w:rsid w:val="1F962F0F"/>
    <w:rsid w:val="1FC14A30"/>
    <w:rsid w:val="1FD92BF8"/>
    <w:rsid w:val="1FED023F"/>
    <w:rsid w:val="200E17F4"/>
    <w:rsid w:val="20233781"/>
    <w:rsid w:val="202A4B20"/>
    <w:rsid w:val="20341435"/>
    <w:rsid w:val="20491C70"/>
    <w:rsid w:val="204E5186"/>
    <w:rsid w:val="2057109A"/>
    <w:rsid w:val="206B64E3"/>
    <w:rsid w:val="207F3F62"/>
    <w:rsid w:val="207F48C4"/>
    <w:rsid w:val="209764D5"/>
    <w:rsid w:val="209B47E6"/>
    <w:rsid w:val="209E4EDF"/>
    <w:rsid w:val="20AB20EA"/>
    <w:rsid w:val="20B509DC"/>
    <w:rsid w:val="20C5736E"/>
    <w:rsid w:val="20C665F5"/>
    <w:rsid w:val="20D17711"/>
    <w:rsid w:val="211B34D7"/>
    <w:rsid w:val="211E78C3"/>
    <w:rsid w:val="21247AE2"/>
    <w:rsid w:val="213502B5"/>
    <w:rsid w:val="213E633D"/>
    <w:rsid w:val="2141032E"/>
    <w:rsid w:val="214C1638"/>
    <w:rsid w:val="21765713"/>
    <w:rsid w:val="21974A71"/>
    <w:rsid w:val="219C3471"/>
    <w:rsid w:val="21AD786B"/>
    <w:rsid w:val="21BE0A80"/>
    <w:rsid w:val="21C21E4F"/>
    <w:rsid w:val="21DA2D2D"/>
    <w:rsid w:val="21DC7A2C"/>
    <w:rsid w:val="21E604A4"/>
    <w:rsid w:val="21E90A15"/>
    <w:rsid w:val="222018DF"/>
    <w:rsid w:val="22285AC3"/>
    <w:rsid w:val="222C0A77"/>
    <w:rsid w:val="223E60B1"/>
    <w:rsid w:val="22584856"/>
    <w:rsid w:val="226838C5"/>
    <w:rsid w:val="227504D7"/>
    <w:rsid w:val="2279312F"/>
    <w:rsid w:val="227A269D"/>
    <w:rsid w:val="22857651"/>
    <w:rsid w:val="2288155B"/>
    <w:rsid w:val="2295149B"/>
    <w:rsid w:val="22EB547C"/>
    <w:rsid w:val="22FB7F7F"/>
    <w:rsid w:val="23031EF6"/>
    <w:rsid w:val="23150F4C"/>
    <w:rsid w:val="2344433B"/>
    <w:rsid w:val="234A61BC"/>
    <w:rsid w:val="2359307A"/>
    <w:rsid w:val="235A165B"/>
    <w:rsid w:val="236C5BC2"/>
    <w:rsid w:val="23750563"/>
    <w:rsid w:val="2384113B"/>
    <w:rsid w:val="23AE4698"/>
    <w:rsid w:val="23C84743"/>
    <w:rsid w:val="23C924EF"/>
    <w:rsid w:val="23D11896"/>
    <w:rsid w:val="23D43437"/>
    <w:rsid w:val="23E15DC6"/>
    <w:rsid w:val="23F34004"/>
    <w:rsid w:val="23F84282"/>
    <w:rsid w:val="24170D14"/>
    <w:rsid w:val="241A26A8"/>
    <w:rsid w:val="24250560"/>
    <w:rsid w:val="24261C56"/>
    <w:rsid w:val="242A4935"/>
    <w:rsid w:val="243A4B0E"/>
    <w:rsid w:val="24486677"/>
    <w:rsid w:val="245174FF"/>
    <w:rsid w:val="24675FCD"/>
    <w:rsid w:val="249266BC"/>
    <w:rsid w:val="24B35575"/>
    <w:rsid w:val="24B52566"/>
    <w:rsid w:val="24BC7A84"/>
    <w:rsid w:val="24DC53BA"/>
    <w:rsid w:val="24F72BE5"/>
    <w:rsid w:val="250172C4"/>
    <w:rsid w:val="250A44A9"/>
    <w:rsid w:val="25186BC6"/>
    <w:rsid w:val="251F0FA4"/>
    <w:rsid w:val="25333EDC"/>
    <w:rsid w:val="253D662D"/>
    <w:rsid w:val="25402452"/>
    <w:rsid w:val="2548687D"/>
    <w:rsid w:val="25610B70"/>
    <w:rsid w:val="256242E5"/>
    <w:rsid w:val="25712922"/>
    <w:rsid w:val="258C10A9"/>
    <w:rsid w:val="258C61DC"/>
    <w:rsid w:val="25953661"/>
    <w:rsid w:val="25990692"/>
    <w:rsid w:val="25A25AF3"/>
    <w:rsid w:val="25AE72F7"/>
    <w:rsid w:val="25B50131"/>
    <w:rsid w:val="25C81AD7"/>
    <w:rsid w:val="25D15F3A"/>
    <w:rsid w:val="25DF3269"/>
    <w:rsid w:val="25EA1E95"/>
    <w:rsid w:val="25EB6089"/>
    <w:rsid w:val="25F01153"/>
    <w:rsid w:val="25F43BD8"/>
    <w:rsid w:val="26057907"/>
    <w:rsid w:val="26391E74"/>
    <w:rsid w:val="2644443D"/>
    <w:rsid w:val="26574EA4"/>
    <w:rsid w:val="26671C07"/>
    <w:rsid w:val="26960C7A"/>
    <w:rsid w:val="26A83F7A"/>
    <w:rsid w:val="26A91BA1"/>
    <w:rsid w:val="26AB7124"/>
    <w:rsid w:val="26AF11EF"/>
    <w:rsid w:val="26DE174A"/>
    <w:rsid w:val="26F92AA3"/>
    <w:rsid w:val="27064F08"/>
    <w:rsid w:val="27104A8F"/>
    <w:rsid w:val="271733B6"/>
    <w:rsid w:val="271F432B"/>
    <w:rsid w:val="273744E1"/>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95660"/>
    <w:rsid w:val="2813684C"/>
    <w:rsid w:val="282E6701"/>
    <w:rsid w:val="284157D3"/>
    <w:rsid w:val="284E1E85"/>
    <w:rsid w:val="284E4D34"/>
    <w:rsid w:val="2860696E"/>
    <w:rsid w:val="286D7033"/>
    <w:rsid w:val="28763096"/>
    <w:rsid w:val="287727C3"/>
    <w:rsid w:val="28924D94"/>
    <w:rsid w:val="289D2D0E"/>
    <w:rsid w:val="289E5635"/>
    <w:rsid w:val="28B77DA5"/>
    <w:rsid w:val="28CC13F6"/>
    <w:rsid w:val="28D252DE"/>
    <w:rsid w:val="28E01B29"/>
    <w:rsid w:val="28FC212B"/>
    <w:rsid w:val="290066D8"/>
    <w:rsid w:val="296138D0"/>
    <w:rsid w:val="29820B83"/>
    <w:rsid w:val="29920799"/>
    <w:rsid w:val="29974552"/>
    <w:rsid w:val="29A547A1"/>
    <w:rsid w:val="29A95E08"/>
    <w:rsid w:val="29AF6880"/>
    <w:rsid w:val="29C61EF4"/>
    <w:rsid w:val="29D33005"/>
    <w:rsid w:val="2A085306"/>
    <w:rsid w:val="2A115A11"/>
    <w:rsid w:val="2A2E29E8"/>
    <w:rsid w:val="2A4558DD"/>
    <w:rsid w:val="2A5B2A6E"/>
    <w:rsid w:val="2A6A2869"/>
    <w:rsid w:val="2A930FD0"/>
    <w:rsid w:val="2A993FBF"/>
    <w:rsid w:val="2AA66977"/>
    <w:rsid w:val="2AAF553D"/>
    <w:rsid w:val="2AFA2AC3"/>
    <w:rsid w:val="2B0014CC"/>
    <w:rsid w:val="2B077644"/>
    <w:rsid w:val="2B182B8B"/>
    <w:rsid w:val="2B182F87"/>
    <w:rsid w:val="2B280AAA"/>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B123E"/>
    <w:rsid w:val="2C1E7B76"/>
    <w:rsid w:val="2C4E35B4"/>
    <w:rsid w:val="2C5A3F68"/>
    <w:rsid w:val="2C662511"/>
    <w:rsid w:val="2C6B3A80"/>
    <w:rsid w:val="2C6D5CA7"/>
    <w:rsid w:val="2C7C5FF8"/>
    <w:rsid w:val="2C8421F8"/>
    <w:rsid w:val="2C8F50CC"/>
    <w:rsid w:val="2C9372C3"/>
    <w:rsid w:val="2C990D4C"/>
    <w:rsid w:val="2C99144E"/>
    <w:rsid w:val="2CA033FE"/>
    <w:rsid w:val="2CB7174F"/>
    <w:rsid w:val="2CC34636"/>
    <w:rsid w:val="2CCF0BEF"/>
    <w:rsid w:val="2CDE49A3"/>
    <w:rsid w:val="2CEA7B60"/>
    <w:rsid w:val="2CFE6975"/>
    <w:rsid w:val="2D006EBF"/>
    <w:rsid w:val="2D0B6241"/>
    <w:rsid w:val="2D182DED"/>
    <w:rsid w:val="2D2F3858"/>
    <w:rsid w:val="2D3111D5"/>
    <w:rsid w:val="2D314CC9"/>
    <w:rsid w:val="2D3C541C"/>
    <w:rsid w:val="2D454ECA"/>
    <w:rsid w:val="2D470CFE"/>
    <w:rsid w:val="2D5D46E4"/>
    <w:rsid w:val="2D626010"/>
    <w:rsid w:val="2D6A64F5"/>
    <w:rsid w:val="2D753CFA"/>
    <w:rsid w:val="2D833E1B"/>
    <w:rsid w:val="2DA0726B"/>
    <w:rsid w:val="2DB229EA"/>
    <w:rsid w:val="2DB32C12"/>
    <w:rsid w:val="2DC109C9"/>
    <w:rsid w:val="2DC873F9"/>
    <w:rsid w:val="2DDE4C78"/>
    <w:rsid w:val="2DF40C52"/>
    <w:rsid w:val="2DF56325"/>
    <w:rsid w:val="2E24482E"/>
    <w:rsid w:val="2E2B150B"/>
    <w:rsid w:val="2E2E540B"/>
    <w:rsid w:val="2E414930"/>
    <w:rsid w:val="2E44260C"/>
    <w:rsid w:val="2E456552"/>
    <w:rsid w:val="2E5528C9"/>
    <w:rsid w:val="2E57460D"/>
    <w:rsid w:val="2E5E510B"/>
    <w:rsid w:val="2E641567"/>
    <w:rsid w:val="2E6B5CE4"/>
    <w:rsid w:val="2E756E38"/>
    <w:rsid w:val="2E7E37CB"/>
    <w:rsid w:val="2EA3017F"/>
    <w:rsid w:val="2EA85428"/>
    <w:rsid w:val="2EBA17F3"/>
    <w:rsid w:val="2EBF5196"/>
    <w:rsid w:val="2EC92CDF"/>
    <w:rsid w:val="2ED27DE6"/>
    <w:rsid w:val="2F032695"/>
    <w:rsid w:val="2F243B16"/>
    <w:rsid w:val="2F37573D"/>
    <w:rsid w:val="2F540BF7"/>
    <w:rsid w:val="2F592EEF"/>
    <w:rsid w:val="2F652A42"/>
    <w:rsid w:val="2F7556D3"/>
    <w:rsid w:val="2F826C7E"/>
    <w:rsid w:val="2F8E0352"/>
    <w:rsid w:val="2F982F1C"/>
    <w:rsid w:val="2F9E7B1A"/>
    <w:rsid w:val="2FAA5090"/>
    <w:rsid w:val="2FF32805"/>
    <w:rsid w:val="3002278F"/>
    <w:rsid w:val="3013151E"/>
    <w:rsid w:val="301D177E"/>
    <w:rsid w:val="303C3A3A"/>
    <w:rsid w:val="303E057F"/>
    <w:rsid w:val="30672449"/>
    <w:rsid w:val="306B4469"/>
    <w:rsid w:val="306B61B1"/>
    <w:rsid w:val="306E51E0"/>
    <w:rsid w:val="30757574"/>
    <w:rsid w:val="307A5F4C"/>
    <w:rsid w:val="308068EE"/>
    <w:rsid w:val="308322C9"/>
    <w:rsid w:val="308961B9"/>
    <w:rsid w:val="30B23C05"/>
    <w:rsid w:val="30BF62D4"/>
    <w:rsid w:val="30C056D0"/>
    <w:rsid w:val="30DB7DA5"/>
    <w:rsid w:val="30E07F4C"/>
    <w:rsid w:val="31131BA9"/>
    <w:rsid w:val="311C44E5"/>
    <w:rsid w:val="31264419"/>
    <w:rsid w:val="312B3E8C"/>
    <w:rsid w:val="313A5D95"/>
    <w:rsid w:val="314827FE"/>
    <w:rsid w:val="31505DB0"/>
    <w:rsid w:val="31540D79"/>
    <w:rsid w:val="31551D13"/>
    <w:rsid w:val="31563118"/>
    <w:rsid w:val="31717246"/>
    <w:rsid w:val="3174012A"/>
    <w:rsid w:val="3197003B"/>
    <w:rsid w:val="31A0481E"/>
    <w:rsid w:val="31B7039B"/>
    <w:rsid w:val="31B7111A"/>
    <w:rsid w:val="31B71515"/>
    <w:rsid w:val="31BD078C"/>
    <w:rsid w:val="31CA6854"/>
    <w:rsid w:val="31D44B61"/>
    <w:rsid w:val="31D85471"/>
    <w:rsid w:val="31DE2B4D"/>
    <w:rsid w:val="31E83708"/>
    <w:rsid w:val="31E87A66"/>
    <w:rsid w:val="31EE3C79"/>
    <w:rsid w:val="320E382B"/>
    <w:rsid w:val="3213758F"/>
    <w:rsid w:val="321B1AA4"/>
    <w:rsid w:val="321C1D19"/>
    <w:rsid w:val="3235176B"/>
    <w:rsid w:val="32400C87"/>
    <w:rsid w:val="325918CF"/>
    <w:rsid w:val="325D6B2E"/>
    <w:rsid w:val="32896101"/>
    <w:rsid w:val="32C52C47"/>
    <w:rsid w:val="32C94C9E"/>
    <w:rsid w:val="32DE330D"/>
    <w:rsid w:val="32E05A08"/>
    <w:rsid w:val="32E57833"/>
    <w:rsid w:val="32F26CA9"/>
    <w:rsid w:val="32FB5E03"/>
    <w:rsid w:val="330D60DF"/>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32A95"/>
    <w:rsid w:val="33E74A98"/>
    <w:rsid w:val="33EF143A"/>
    <w:rsid w:val="33F3440D"/>
    <w:rsid w:val="33FA021C"/>
    <w:rsid w:val="340115C5"/>
    <w:rsid w:val="340A4636"/>
    <w:rsid w:val="343165C7"/>
    <w:rsid w:val="34517138"/>
    <w:rsid w:val="34607C42"/>
    <w:rsid w:val="34682F8F"/>
    <w:rsid w:val="346B5EFB"/>
    <w:rsid w:val="34895E96"/>
    <w:rsid w:val="348B44B6"/>
    <w:rsid w:val="34970E33"/>
    <w:rsid w:val="34995170"/>
    <w:rsid w:val="349F38B6"/>
    <w:rsid w:val="34A776C4"/>
    <w:rsid w:val="34B169C9"/>
    <w:rsid w:val="34DE60C9"/>
    <w:rsid w:val="34EA59CF"/>
    <w:rsid w:val="34EE5D24"/>
    <w:rsid w:val="34F11E28"/>
    <w:rsid w:val="34F27E01"/>
    <w:rsid w:val="351630D6"/>
    <w:rsid w:val="35243365"/>
    <w:rsid w:val="356E5F25"/>
    <w:rsid w:val="35A32465"/>
    <w:rsid w:val="35A61A02"/>
    <w:rsid w:val="35AB2023"/>
    <w:rsid w:val="35B5088A"/>
    <w:rsid w:val="35C32630"/>
    <w:rsid w:val="35D159BB"/>
    <w:rsid w:val="35D37A1A"/>
    <w:rsid w:val="35D505D5"/>
    <w:rsid w:val="35F66AB0"/>
    <w:rsid w:val="35F70337"/>
    <w:rsid w:val="35FA386B"/>
    <w:rsid w:val="36005014"/>
    <w:rsid w:val="36116644"/>
    <w:rsid w:val="362B3C79"/>
    <w:rsid w:val="365329C9"/>
    <w:rsid w:val="366D1C32"/>
    <w:rsid w:val="36BE3E5D"/>
    <w:rsid w:val="36C24BE4"/>
    <w:rsid w:val="36C5697A"/>
    <w:rsid w:val="3702081D"/>
    <w:rsid w:val="37033A44"/>
    <w:rsid w:val="371E359A"/>
    <w:rsid w:val="37225306"/>
    <w:rsid w:val="37227933"/>
    <w:rsid w:val="3725736F"/>
    <w:rsid w:val="377238F0"/>
    <w:rsid w:val="37735DD8"/>
    <w:rsid w:val="37B87E84"/>
    <w:rsid w:val="37BF2ED1"/>
    <w:rsid w:val="37DA0B41"/>
    <w:rsid w:val="37DD191E"/>
    <w:rsid w:val="37E515AE"/>
    <w:rsid w:val="380C7912"/>
    <w:rsid w:val="381846B4"/>
    <w:rsid w:val="38236F89"/>
    <w:rsid w:val="382D21BA"/>
    <w:rsid w:val="38383D3E"/>
    <w:rsid w:val="38385EF5"/>
    <w:rsid w:val="385C2123"/>
    <w:rsid w:val="38637074"/>
    <w:rsid w:val="38697A82"/>
    <w:rsid w:val="387E180D"/>
    <w:rsid w:val="38B1249D"/>
    <w:rsid w:val="38B43A06"/>
    <w:rsid w:val="38BF212A"/>
    <w:rsid w:val="38DC599E"/>
    <w:rsid w:val="38F10CF9"/>
    <w:rsid w:val="38F664F4"/>
    <w:rsid w:val="38FF481D"/>
    <w:rsid w:val="39185737"/>
    <w:rsid w:val="39233807"/>
    <w:rsid w:val="39334BF1"/>
    <w:rsid w:val="393F72EF"/>
    <w:rsid w:val="39432FF0"/>
    <w:rsid w:val="394F5B57"/>
    <w:rsid w:val="396B5856"/>
    <w:rsid w:val="396E021D"/>
    <w:rsid w:val="39756F5A"/>
    <w:rsid w:val="39957901"/>
    <w:rsid w:val="39A9494A"/>
    <w:rsid w:val="39CB4426"/>
    <w:rsid w:val="39E6217A"/>
    <w:rsid w:val="39E972FE"/>
    <w:rsid w:val="39F3426D"/>
    <w:rsid w:val="3A027683"/>
    <w:rsid w:val="3A1120C1"/>
    <w:rsid w:val="3A1A4D37"/>
    <w:rsid w:val="3A1F06C9"/>
    <w:rsid w:val="3A46610D"/>
    <w:rsid w:val="3A5C534F"/>
    <w:rsid w:val="3A86181E"/>
    <w:rsid w:val="3A91205A"/>
    <w:rsid w:val="3A9C0F91"/>
    <w:rsid w:val="3AB619A2"/>
    <w:rsid w:val="3AD0284A"/>
    <w:rsid w:val="3AF1513B"/>
    <w:rsid w:val="3AF90273"/>
    <w:rsid w:val="3B0A5A56"/>
    <w:rsid w:val="3B183E87"/>
    <w:rsid w:val="3B1F6858"/>
    <w:rsid w:val="3B312E76"/>
    <w:rsid w:val="3B530501"/>
    <w:rsid w:val="3B603E1F"/>
    <w:rsid w:val="3B8B1C67"/>
    <w:rsid w:val="3B954FF7"/>
    <w:rsid w:val="3BC40F71"/>
    <w:rsid w:val="3BEC425C"/>
    <w:rsid w:val="3C0A03A8"/>
    <w:rsid w:val="3C0E3C43"/>
    <w:rsid w:val="3C207376"/>
    <w:rsid w:val="3C26487D"/>
    <w:rsid w:val="3C2F7D87"/>
    <w:rsid w:val="3C377CDA"/>
    <w:rsid w:val="3C3B0276"/>
    <w:rsid w:val="3C485B8B"/>
    <w:rsid w:val="3C580D2F"/>
    <w:rsid w:val="3C6009E1"/>
    <w:rsid w:val="3C601127"/>
    <w:rsid w:val="3C662C8F"/>
    <w:rsid w:val="3C727FFF"/>
    <w:rsid w:val="3C7544A7"/>
    <w:rsid w:val="3C805325"/>
    <w:rsid w:val="3CB216F4"/>
    <w:rsid w:val="3CBD684B"/>
    <w:rsid w:val="3CF3591C"/>
    <w:rsid w:val="3CF63160"/>
    <w:rsid w:val="3CFE6938"/>
    <w:rsid w:val="3D010F7C"/>
    <w:rsid w:val="3D3D7634"/>
    <w:rsid w:val="3D401C1C"/>
    <w:rsid w:val="3D473543"/>
    <w:rsid w:val="3D6F3A0F"/>
    <w:rsid w:val="3D6F7EA4"/>
    <w:rsid w:val="3D7A4060"/>
    <w:rsid w:val="3D7A4B49"/>
    <w:rsid w:val="3D923A0C"/>
    <w:rsid w:val="3D9537E3"/>
    <w:rsid w:val="3DAE590C"/>
    <w:rsid w:val="3DC7569D"/>
    <w:rsid w:val="3DD903F7"/>
    <w:rsid w:val="3DDC249D"/>
    <w:rsid w:val="3DF40654"/>
    <w:rsid w:val="3DF83775"/>
    <w:rsid w:val="3E065C4A"/>
    <w:rsid w:val="3E2B306F"/>
    <w:rsid w:val="3E394CB4"/>
    <w:rsid w:val="3E476558"/>
    <w:rsid w:val="3E4C5014"/>
    <w:rsid w:val="3E512E53"/>
    <w:rsid w:val="3E520883"/>
    <w:rsid w:val="3E652396"/>
    <w:rsid w:val="3E7A2248"/>
    <w:rsid w:val="3E906C09"/>
    <w:rsid w:val="3EA370A9"/>
    <w:rsid w:val="3EB2415C"/>
    <w:rsid w:val="3EC568C6"/>
    <w:rsid w:val="3ECD587E"/>
    <w:rsid w:val="3EF063A7"/>
    <w:rsid w:val="3EF85B60"/>
    <w:rsid w:val="3EFF66C6"/>
    <w:rsid w:val="3F07087A"/>
    <w:rsid w:val="3F0763D8"/>
    <w:rsid w:val="3F164A3D"/>
    <w:rsid w:val="3F1B30E3"/>
    <w:rsid w:val="3F1E5052"/>
    <w:rsid w:val="3F21580C"/>
    <w:rsid w:val="3F2808C8"/>
    <w:rsid w:val="3F291D8B"/>
    <w:rsid w:val="3F3270CF"/>
    <w:rsid w:val="3F45436B"/>
    <w:rsid w:val="3F626D3A"/>
    <w:rsid w:val="3F6D2C48"/>
    <w:rsid w:val="3F956391"/>
    <w:rsid w:val="3F9A3D5F"/>
    <w:rsid w:val="3FBC1912"/>
    <w:rsid w:val="3FBC26A0"/>
    <w:rsid w:val="3FD50AE3"/>
    <w:rsid w:val="3FE5711C"/>
    <w:rsid w:val="3FF525F2"/>
    <w:rsid w:val="401B7EF1"/>
    <w:rsid w:val="40296D17"/>
    <w:rsid w:val="402B0F4A"/>
    <w:rsid w:val="404412B1"/>
    <w:rsid w:val="4049475E"/>
    <w:rsid w:val="404C14EF"/>
    <w:rsid w:val="405859EA"/>
    <w:rsid w:val="408D78A0"/>
    <w:rsid w:val="4099647C"/>
    <w:rsid w:val="40A05660"/>
    <w:rsid w:val="40C03776"/>
    <w:rsid w:val="40C36BE9"/>
    <w:rsid w:val="40DC2D46"/>
    <w:rsid w:val="40EF29B0"/>
    <w:rsid w:val="40F36F47"/>
    <w:rsid w:val="41181BEA"/>
    <w:rsid w:val="41231E08"/>
    <w:rsid w:val="413B58D0"/>
    <w:rsid w:val="414C0395"/>
    <w:rsid w:val="414E7502"/>
    <w:rsid w:val="41606318"/>
    <w:rsid w:val="41630D72"/>
    <w:rsid w:val="41683285"/>
    <w:rsid w:val="419F0609"/>
    <w:rsid w:val="41A67CE3"/>
    <w:rsid w:val="41C55060"/>
    <w:rsid w:val="41DA68BA"/>
    <w:rsid w:val="41DC3706"/>
    <w:rsid w:val="41DF1BFB"/>
    <w:rsid w:val="41EC1C89"/>
    <w:rsid w:val="41F87F1F"/>
    <w:rsid w:val="41FA3722"/>
    <w:rsid w:val="420966BB"/>
    <w:rsid w:val="424C6C0A"/>
    <w:rsid w:val="42557E28"/>
    <w:rsid w:val="425767DC"/>
    <w:rsid w:val="425E43CE"/>
    <w:rsid w:val="42645240"/>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C15FD"/>
    <w:rsid w:val="437F6C93"/>
    <w:rsid w:val="438416AD"/>
    <w:rsid w:val="43A55671"/>
    <w:rsid w:val="43AC46EF"/>
    <w:rsid w:val="43CE4BD3"/>
    <w:rsid w:val="43F138B1"/>
    <w:rsid w:val="43F33102"/>
    <w:rsid w:val="440C3942"/>
    <w:rsid w:val="443459F8"/>
    <w:rsid w:val="445C0661"/>
    <w:rsid w:val="44683560"/>
    <w:rsid w:val="447A08AC"/>
    <w:rsid w:val="44B87F40"/>
    <w:rsid w:val="44BC4E35"/>
    <w:rsid w:val="44C86176"/>
    <w:rsid w:val="44DF2E05"/>
    <w:rsid w:val="44F90386"/>
    <w:rsid w:val="44FC5765"/>
    <w:rsid w:val="45041A1C"/>
    <w:rsid w:val="451707F1"/>
    <w:rsid w:val="452366F3"/>
    <w:rsid w:val="4534316D"/>
    <w:rsid w:val="45371EF3"/>
    <w:rsid w:val="45392618"/>
    <w:rsid w:val="45402545"/>
    <w:rsid w:val="4555414A"/>
    <w:rsid w:val="4560294A"/>
    <w:rsid w:val="45637592"/>
    <w:rsid w:val="45833FED"/>
    <w:rsid w:val="45A373E2"/>
    <w:rsid w:val="45B60AD7"/>
    <w:rsid w:val="45BE0849"/>
    <w:rsid w:val="45C225FA"/>
    <w:rsid w:val="45C239A0"/>
    <w:rsid w:val="45E76A91"/>
    <w:rsid w:val="45F730E2"/>
    <w:rsid w:val="45F804FD"/>
    <w:rsid w:val="46100BB2"/>
    <w:rsid w:val="464D66FD"/>
    <w:rsid w:val="4668065B"/>
    <w:rsid w:val="46687D40"/>
    <w:rsid w:val="46714440"/>
    <w:rsid w:val="467153EA"/>
    <w:rsid w:val="468F3F55"/>
    <w:rsid w:val="469311A1"/>
    <w:rsid w:val="46972481"/>
    <w:rsid w:val="46B0631F"/>
    <w:rsid w:val="46B92938"/>
    <w:rsid w:val="46DF10ED"/>
    <w:rsid w:val="46E60531"/>
    <w:rsid w:val="46F54466"/>
    <w:rsid w:val="46F5747F"/>
    <w:rsid w:val="470D5947"/>
    <w:rsid w:val="471C502F"/>
    <w:rsid w:val="472A1C2F"/>
    <w:rsid w:val="473A7B31"/>
    <w:rsid w:val="473F2A28"/>
    <w:rsid w:val="47461C71"/>
    <w:rsid w:val="47490241"/>
    <w:rsid w:val="47522510"/>
    <w:rsid w:val="475226B7"/>
    <w:rsid w:val="477B7BF9"/>
    <w:rsid w:val="478C7274"/>
    <w:rsid w:val="47975C19"/>
    <w:rsid w:val="47A17504"/>
    <w:rsid w:val="47A72000"/>
    <w:rsid w:val="47AD6995"/>
    <w:rsid w:val="47EC65DD"/>
    <w:rsid w:val="47F912B4"/>
    <w:rsid w:val="480870D6"/>
    <w:rsid w:val="48124CD0"/>
    <w:rsid w:val="4813365D"/>
    <w:rsid w:val="481C1C7A"/>
    <w:rsid w:val="48544C5D"/>
    <w:rsid w:val="485B2DD8"/>
    <w:rsid w:val="48824E96"/>
    <w:rsid w:val="488841DB"/>
    <w:rsid w:val="488E4926"/>
    <w:rsid w:val="488F751A"/>
    <w:rsid w:val="48A97BAE"/>
    <w:rsid w:val="48B94799"/>
    <w:rsid w:val="48D2052D"/>
    <w:rsid w:val="48DE105D"/>
    <w:rsid w:val="48E05F8B"/>
    <w:rsid w:val="49075F93"/>
    <w:rsid w:val="4907721A"/>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9F2339B"/>
    <w:rsid w:val="4A1B6B46"/>
    <w:rsid w:val="4A201680"/>
    <w:rsid w:val="4A3B4335"/>
    <w:rsid w:val="4A445061"/>
    <w:rsid w:val="4A544A27"/>
    <w:rsid w:val="4A7315C2"/>
    <w:rsid w:val="4A7D2570"/>
    <w:rsid w:val="4A86077A"/>
    <w:rsid w:val="4A9F092F"/>
    <w:rsid w:val="4AB34ACD"/>
    <w:rsid w:val="4AD40242"/>
    <w:rsid w:val="4ADA5F2B"/>
    <w:rsid w:val="4AE64A75"/>
    <w:rsid w:val="4B185C3F"/>
    <w:rsid w:val="4B2A6428"/>
    <w:rsid w:val="4B603761"/>
    <w:rsid w:val="4B747171"/>
    <w:rsid w:val="4B767E95"/>
    <w:rsid w:val="4B8450D0"/>
    <w:rsid w:val="4B871B00"/>
    <w:rsid w:val="4B964F6D"/>
    <w:rsid w:val="4B9D78B2"/>
    <w:rsid w:val="4BA00395"/>
    <w:rsid w:val="4BA16EFA"/>
    <w:rsid w:val="4BBB6E8D"/>
    <w:rsid w:val="4BC474BD"/>
    <w:rsid w:val="4BCD3735"/>
    <w:rsid w:val="4BD11AEB"/>
    <w:rsid w:val="4BD35B9A"/>
    <w:rsid w:val="4BE14B27"/>
    <w:rsid w:val="4BE20065"/>
    <w:rsid w:val="4C0112BA"/>
    <w:rsid w:val="4C0B480F"/>
    <w:rsid w:val="4C1D1C48"/>
    <w:rsid w:val="4C2B42CE"/>
    <w:rsid w:val="4C3127BF"/>
    <w:rsid w:val="4C590416"/>
    <w:rsid w:val="4C5D37B5"/>
    <w:rsid w:val="4C682EEE"/>
    <w:rsid w:val="4C783DA9"/>
    <w:rsid w:val="4C9B7CF9"/>
    <w:rsid w:val="4CA00282"/>
    <w:rsid w:val="4CA54071"/>
    <w:rsid w:val="4CAC7F8B"/>
    <w:rsid w:val="4CAE37E9"/>
    <w:rsid w:val="4CBA1290"/>
    <w:rsid w:val="4CBB5905"/>
    <w:rsid w:val="4CC346AC"/>
    <w:rsid w:val="4CDC11BF"/>
    <w:rsid w:val="4CE44275"/>
    <w:rsid w:val="4CED0D52"/>
    <w:rsid w:val="4D336BF4"/>
    <w:rsid w:val="4D4203D5"/>
    <w:rsid w:val="4D4E1D6A"/>
    <w:rsid w:val="4D5919D7"/>
    <w:rsid w:val="4D5B161B"/>
    <w:rsid w:val="4D676599"/>
    <w:rsid w:val="4D6F3665"/>
    <w:rsid w:val="4D737DF8"/>
    <w:rsid w:val="4DA24324"/>
    <w:rsid w:val="4DAD3044"/>
    <w:rsid w:val="4DBB41D6"/>
    <w:rsid w:val="4DED1250"/>
    <w:rsid w:val="4DED5C61"/>
    <w:rsid w:val="4DF07B9B"/>
    <w:rsid w:val="4DF21B45"/>
    <w:rsid w:val="4DF41387"/>
    <w:rsid w:val="4E056021"/>
    <w:rsid w:val="4E083C63"/>
    <w:rsid w:val="4E305E8F"/>
    <w:rsid w:val="4E3E6654"/>
    <w:rsid w:val="4E44189E"/>
    <w:rsid w:val="4E5616EC"/>
    <w:rsid w:val="4E5976A9"/>
    <w:rsid w:val="4E8F351A"/>
    <w:rsid w:val="4EA002DA"/>
    <w:rsid w:val="4EA12ED9"/>
    <w:rsid w:val="4EA4544E"/>
    <w:rsid w:val="4EA81D39"/>
    <w:rsid w:val="4EB642D5"/>
    <w:rsid w:val="4EC21913"/>
    <w:rsid w:val="4EE103BD"/>
    <w:rsid w:val="4F124412"/>
    <w:rsid w:val="4F141422"/>
    <w:rsid w:val="4F312180"/>
    <w:rsid w:val="4F32668A"/>
    <w:rsid w:val="4F443F90"/>
    <w:rsid w:val="4F53261D"/>
    <w:rsid w:val="4F6C1DA7"/>
    <w:rsid w:val="4F72007F"/>
    <w:rsid w:val="4F74161A"/>
    <w:rsid w:val="4F793519"/>
    <w:rsid w:val="4F7A15B8"/>
    <w:rsid w:val="4F7B14BC"/>
    <w:rsid w:val="4F924F20"/>
    <w:rsid w:val="4F9325A6"/>
    <w:rsid w:val="4FE54CF8"/>
    <w:rsid w:val="4FEC6F37"/>
    <w:rsid w:val="50045E65"/>
    <w:rsid w:val="5013205A"/>
    <w:rsid w:val="50376A42"/>
    <w:rsid w:val="50504BEF"/>
    <w:rsid w:val="505D2EAC"/>
    <w:rsid w:val="506928E4"/>
    <w:rsid w:val="507956C4"/>
    <w:rsid w:val="507B1B23"/>
    <w:rsid w:val="5094661F"/>
    <w:rsid w:val="50987566"/>
    <w:rsid w:val="509A45D8"/>
    <w:rsid w:val="509D3DAA"/>
    <w:rsid w:val="50A24C75"/>
    <w:rsid w:val="50B40124"/>
    <w:rsid w:val="50BF6984"/>
    <w:rsid w:val="50C80BE8"/>
    <w:rsid w:val="50D74521"/>
    <w:rsid w:val="50DB17A5"/>
    <w:rsid w:val="50E35A2B"/>
    <w:rsid w:val="50E74AF8"/>
    <w:rsid w:val="510E2C37"/>
    <w:rsid w:val="511A2EB4"/>
    <w:rsid w:val="51260B39"/>
    <w:rsid w:val="5144471C"/>
    <w:rsid w:val="514914C0"/>
    <w:rsid w:val="514F1ACC"/>
    <w:rsid w:val="51660DAD"/>
    <w:rsid w:val="51826465"/>
    <w:rsid w:val="51D07209"/>
    <w:rsid w:val="51ED28DB"/>
    <w:rsid w:val="51EF337D"/>
    <w:rsid w:val="51FA5962"/>
    <w:rsid w:val="52017789"/>
    <w:rsid w:val="52056DEF"/>
    <w:rsid w:val="520E3099"/>
    <w:rsid w:val="52234FCD"/>
    <w:rsid w:val="52274682"/>
    <w:rsid w:val="522E2CD6"/>
    <w:rsid w:val="52304CA0"/>
    <w:rsid w:val="52485DB3"/>
    <w:rsid w:val="52775D30"/>
    <w:rsid w:val="527F119D"/>
    <w:rsid w:val="52944F27"/>
    <w:rsid w:val="529A179A"/>
    <w:rsid w:val="52F83C37"/>
    <w:rsid w:val="53505617"/>
    <w:rsid w:val="535F2EBB"/>
    <w:rsid w:val="53610DA9"/>
    <w:rsid w:val="53796226"/>
    <w:rsid w:val="539406C4"/>
    <w:rsid w:val="539F3A83"/>
    <w:rsid w:val="539F6178"/>
    <w:rsid w:val="53B67728"/>
    <w:rsid w:val="53B92BED"/>
    <w:rsid w:val="53C03E02"/>
    <w:rsid w:val="53CD67D4"/>
    <w:rsid w:val="53DC1DC4"/>
    <w:rsid w:val="53DF065D"/>
    <w:rsid w:val="53E26D38"/>
    <w:rsid w:val="53EE12F5"/>
    <w:rsid w:val="53EF7165"/>
    <w:rsid w:val="53F4497D"/>
    <w:rsid w:val="541F5701"/>
    <w:rsid w:val="54232489"/>
    <w:rsid w:val="543C3113"/>
    <w:rsid w:val="545B74F3"/>
    <w:rsid w:val="54620F12"/>
    <w:rsid w:val="546B4F37"/>
    <w:rsid w:val="547005D8"/>
    <w:rsid w:val="54711D95"/>
    <w:rsid w:val="54785A5E"/>
    <w:rsid w:val="54897774"/>
    <w:rsid w:val="549160F4"/>
    <w:rsid w:val="549C7AAA"/>
    <w:rsid w:val="549F7EBB"/>
    <w:rsid w:val="54C969A0"/>
    <w:rsid w:val="54E16D76"/>
    <w:rsid w:val="54F3439D"/>
    <w:rsid w:val="55083CB2"/>
    <w:rsid w:val="550E5E99"/>
    <w:rsid w:val="551E59F9"/>
    <w:rsid w:val="552407A3"/>
    <w:rsid w:val="552433F4"/>
    <w:rsid w:val="55256E5C"/>
    <w:rsid w:val="552E30A9"/>
    <w:rsid w:val="553050B0"/>
    <w:rsid w:val="554274DF"/>
    <w:rsid w:val="554E0741"/>
    <w:rsid w:val="555472DE"/>
    <w:rsid w:val="555B3055"/>
    <w:rsid w:val="555D3D8A"/>
    <w:rsid w:val="558D41B7"/>
    <w:rsid w:val="559612BE"/>
    <w:rsid w:val="559A3AFF"/>
    <w:rsid w:val="55A5242C"/>
    <w:rsid w:val="55B82B9F"/>
    <w:rsid w:val="55D63B38"/>
    <w:rsid w:val="55DD1092"/>
    <w:rsid w:val="55DD5DA9"/>
    <w:rsid w:val="55E41B6A"/>
    <w:rsid w:val="55F263E2"/>
    <w:rsid w:val="55F50805"/>
    <w:rsid w:val="561F0C3E"/>
    <w:rsid w:val="562F597A"/>
    <w:rsid w:val="56383DC9"/>
    <w:rsid w:val="563927A9"/>
    <w:rsid w:val="564E1B99"/>
    <w:rsid w:val="56575D4A"/>
    <w:rsid w:val="56676AEF"/>
    <w:rsid w:val="567710EF"/>
    <w:rsid w:val="56863171"/>
    <w:rsid w:val="56916559"/>
    <w:rsid w:val="56952EFD"/>
    <w:rsid w:val="569B61BE"/>
    <w:rsid w:val="56A81A8F"/>
    <w:rsid w:val="56C30FD1"/>
    <w:rsid w:val="56C337D5"/>
    <w:rsid w:val="56CF6FE9"/>
    <w:rsid w:val="56DF1078"/>
    <w:rsid w:val="56F86DD6"/>
    <w:rsid w:val="56FD166E"/>
    <w:rsid w:val="56FD3863"/>
    <w:rsid w:val="5703501E"/>
    <w:rsid w:val="570A3D11"/>
    <w:rsid w:val="573F71E7"/>
    <w:rsid w:val="57487D48"/>
    <w:rsid w:val="57593E38"/>
    <w:rsid w:val="575B7AEE"/>
    <w:rsid w:val="5760193C"/>
    <w:rsid w:val="57625063"/>
    <w:rsid w:val="57723665"/>
    <w:rsid w:val="577E64AD"/>
    <w:rsid w:val="57812E00"/>
    <w:rsid w:val="57902273"/>
    <w:rsid w:val="579A2606"/>
    <w:rsid w:val="57A66A82"/>
    <w:rsid w:val="57BE4AFC"/>
    <w:rsid w:val="57C04E19"/>
    <w:rsid w:val="57D51C25"/>
    <w:rsid w:val="57DD0A64"/>
    <w:rsid w:val="585B6D7A"/>
    <w:rsid w:val="58617D01"/>
    <w:rsid w:val="58743E37"/>
    <w:rsid w:val="58923EA6"/>
    <w:rsid w:val="589715D5"/>
    <w:rsid w:val="589B7F70"/>
    <w:rsid w:val="58A77395"/>
    <w:rsid w:val="58AC3D5C"/>
    <w:rsid w:val="58D83DD1"/>
    <w:rsid w:val="58DB2FF0"/>
    <w:rsid w:val="58DF0893"/>
    <w:rsid w:val="58E85C6B"/>
    <w:rsid w:val="58EA6137"/>
    <w:rsid w:val="58F23C38"/>
    <w:rsid w:val="58F56DA5"/>
    <w:rsid w:val="590D718C"/>
    <w:rsid w:val="591C7D2C"/>
    <w:rsid w:val="592340EB"/>
    <w:rsid w:val="593311DC"/>
    <w:rsid w:val="5975259B"/>
    <w:rsid w:val="599B4D8A"/>
    <w:rsid w:val="59AF0C8F"/>
    <w:rsid w:val="59EA4ACE"/>
    <w:rsid w:val="5A0E2BFB"/>
    <w:rsid w:val="5A142D37"/>
    <w:rsid w:val="5A144EA7"/>
    <w:rsid w:val="5A304D8C"/>
    <w:rsid w:val="5A34799E"/>
    <w:rsid w:val="5A5334FD"/>
    <w:rsid w:val="5AAC3830"/>
    <w:rsid w:val="5AAE2000"/>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25514A"/>
    <w:rsid w:val="5C2E6FD7"/>
    <w:rsid w:val="5C376A17"/>
    <w:rsid w:val="5C3D5B2D"/>
    <w:rsid w:val="5C446E76"/>
    <w:rsid w:val="5C5C5A87"/>
    <w:rsid w:val="5C5F05F6"/>
    <w:rsid w:val="5C610D7B"/>
    <w:rsid w:val="5C845CB7"/>
    <w:rsid w:val="5C924BA4"/>
    <w:rsid w:val="5C9D0FF5"/>
    <w:rsid w:val="5CBA47AC"/>
    <w:rsid w:val="5CBE6030"/>
    <w:rsid w:val="5CDF7904"/>
    <w:rsid w:val="5CEB35C0"/>
    <w:rsid w:val="5CFE5D52"/>
    <w:rsid w:val="5D0601B9"/>
    <w:rsid w:val="5D0B4F44"/>
    <w:rsid w:val="5D1F7DEB"/>
    <w:rsid w:val="5D221657"/>
    <w:rsid w:val="5D313C24"/>
    <w:rsid w:val="5D402CB9"/>
    <w:rsid w:val="5D48660D"/>
    <w:rsid w:val="5D6469BA"/>
    <w:rsid w:val="5D816133"/>
    <w:rsid w:val="5D96002C"/>
    <w:rsid w:val="5D9E3B68"/>
    <w:rsid w:val="5DB74FEB"/>
    <w:rsid w:val="5E02773A"/>
    <w:rsid w:val="5E047C0D"/>
    <w:rsid w:val="5E09467A"/>
    <w:rsid w:val="5E12148A"/>
    <w:rsid w:val="5E157D79"/>
    <w:rsid w:val="5E227B93"/>
    <w:rsid w:val="5E54045B"/>
    <w:rsid w:val="5E551FA8"/>
    <w:rsid w:val="5E5A5D2E"/>
    <w:rsid w:val="5E7D0099"/>
    <w:rsid w:val="5E84255C"/>
    <w:rsid w:val="5E987E55"/>
    <w:rsid w:val="5EAB4FEB"/>
    <w:rsid w:val="5EB717A4"/>
    <w:rsid w:val="5EBB38E1"/>
    <w:rsid w:val="5EC62EAD"/>
    <w:rsid w:val="5EF863A1"/>
    <w:rsid w:val="5F1F3836"/>
    <w:rsid w:val="5F23206C"/>
    <w:rsid w:val="5F3F5C59"/>
    <w:rsid w:val="5F42611B"/>
    <w:rsid w:val="5FAE34B2"/>
    <w:rsid w:val="5FB56B9A"/>
    <w:rsid w:val="5FC53EA4"/>
    <w:rsid w:val="5FC80274"/>
    <w:rsid w:val="5FEB2087"/>
    <w:rsid w:val="5FFE35E1"/>
    <w:rsid w:val="601E6760"/>
    <w:rsid w:val="6047069C"/>
    <w:rsid w:val="6049667C"/>
    <w:rsid w:val="60577B63"/>
    <w:rsid w:val="605D6288"/>
    <w:rsid w:val="608E7761"/>
    <w:rsid w:val="60927FE6"/>
    <w:rsid w:val="609F1058"/>
    <w:rsid w:val="60AE49C0"/>
    <w:rsid w:val="60B007A2"/>
    <w:rsid w:val="60BC7E32"/>
    <w:rsid w:val="60CF0BDA"/>
    <w:rsid w:val="60D51BC6"/>
    <w:rsid w:val="60EC6C65"/>
    <w:rsid w:val="60EF129E"/>
    <w:rsid w:val="610703E7"/>
    <w:rsid w:val="610942A3"/>
    <w:rsid w:val="611A36A1"/>
    <w:rsid w:val="6126627C"/>
    <w:rsid w:val="613D18B9"/>
    <w:rsid w:val="614C6677"/>
    <w:rsid w:val="61944392"/>
    <w:rsid w:val="619F62BB"/>
    <w:rsid w:val="61AF4F12"/>
    <w:rsid w:val="61B139E9"/>
    <w:rsid w:val="61B30D6E"/>
    <w:rsid w:val="61E626B5"/>
    <w:rsid w:val="61F6319D"/>
    <w:rsid w:val="61FB346D"/>
    <w:rsid w:val="6201768D"/>
    <w:rsid w:val="62046588"/>
    <w:rsid w:val="62152DE0"/>
    <w:rsid w:val="621A60BA"/>
    <w:rsid w:val="622758AC"/>
    <w:rsid w:val="624F1172"/>
    <w:rsid w:val="625135B1"/>
    <w:rsid w:val="62747A3D"/>
    <w:rsid w:val="628B4387"/>
    <w:rsid w:val="629E3798"/>
    <w:rsid w:val="62A7041D"/>
    <w:rsid w:val="62C23A3B"/>
    <w:rsid w:val="62E1204D"/>
    <w:rsid w:val="62ED7301"/>
    <w:rsid w:val="630730C7"/>
    <w:rsid w:val="6310387B"/>
    <w:rsid w:val="63121ACA"/>
    <w:rsid w:val="63247994"/>
    <w:rsid w:val="63691809"/>
    <w:rsid w:val="637B0CEA"/>
    <w:rsid w:val="638E648F"/>
    <w:rsid w:val="63A7460D"/>
    <w:rsid w:val="63D11E16"/>
    <w:rsid w:val="63D12A9E"/>
    <w:rsid w:val="63D14A1D"/>
    <w:rsid w:val="63E654CA"/>
    <w:rsid w:val="63E928BD"/>
    <w:rsid w:val="63F012B1"/>
    <w:rsid w:val="63F8696A"/>
    <w:rsid w:val="641E24E4"/>
    <w:rsid w:val="64316908"/>
    <w:rsid w:val="644274C5"/>
    <w:rsid w:val="645341FF"/>
    <w:rsid w:val="6456713A"/>
    <w:rsid w:val="646D6694"/>
    <w:rsid w:val="64872E45"/>
    <w:rsid w:val="64884E90"/>
    <w:rsid w:val="64960F65"/>
    <w:rsid w:val="64962E6A"/>
    <w:rsid w:val="64B522CA"/>
    <w:rsid w:val="64C71FC9"/>
    <w:rsid w:val="64CD65E2"/>
    <w:rsid w:val="64D023BB"/>
    <w:rsid w:val="64D30232"/>
    <w:rsid w:val="64E62A09"/>
    <w:rsid w:val="64FD16B5"/>
    <w:rsid w:val="650107A5"/>
    <w:rsid w:val="65021802"/>
    <w:rsid w:val="65240694"/>
    <w:rsid w:val="652960ED"/>
    <w:rsid w:val="65542320"/>
    <w:rsid w:val="65586590"/>
    <w:rsid w:val="65586FEA"/>
    <w:rsid w:val="656F677D"/>
    <w:rsid w:val="65813C49"/>
    <w:rsid w:val="658B4366"/>
    <w:rsid w:val="658E00B5"/>
    <w:rsid w:val="65904F5A"/>
    <w:rsid w:val="65920347"/>
    <w:rsid w:val="65EA5E34"/>
    <w:rsid w:val="65FC4B34"/>
    <w:rsid w:val="66000869"/>
    <w:rsid w:val="66092EF7"/>
    <w:rsid w:val="6616520B"/>
    <w:rsid w:val="66274345"/>
    <w:rsid w:val="664621FE"/>
    <w:rsid w:val="665F7929"/>
    <w:rsid w:val="66640801"/>
    <w:rsid w:val="667878EE"/>
    <w:rsid w:val="66815672"/>
    <w:rsid w:val="668876B0"/>
    <w:rsid w:val="668926A2"/>
    <w:rsid w:val="66930427"/>
    <w:rsid w:val="669E782C"/>
    <w:rsid w:val="66A73B58"/>
    <w:rsid w:val="66B41026"/>
    <w:rsid w:val="66C1556A"/>
    <w:rsid w:val="66F308D8"/>
    <w:rsid w:val="67024DD6"/>
    <w:rsid w:val="6715113E"/>
    <w:rsid w:val="67301B85"/>
    <w:rsid w:val="673E5311"/>
    <w:rsid w:val="675D72E6"/>
    <w:rsid w:val="67673F42"/>
    <w:rsid w:val="6783612B"/>
    <w:rsid w:val="67A57AA1"/>
    <w:rsid w:val="67AC2808"/>
    <w:rsid w:val="67AD37C1"/>
    <w:rsid w:val="67FA56DC"/>
    <w:rsid w:val="67FA5D06"/>
    <w:rsid w:val="68130719"/>
    <w:rsid w:val="68194362"/>
    <w:rsid w:val="682C1A00"/>
    <w:rsid w:val="6832133F"/>
    <w:rsid w:val="683902C1"/>
    <w:rsid w:val="68393CDE"/>
    <w:rsid w:val="68530FFC"/>
    <w:rsid w:val="68950B21"/>
    <w:rsid w:val="689E282D"/>
    <w:rsid w:val="68AC630D"/>
    <w:rsid w:val="68BB1472"/>
    <w:rsid w:val="68BC0BE4"/>
    <w:rsid w:val="68BC740F"/>
    <w:rsid w:val="68D458E5"/>
    <w:rsid w:val="68F0485E"/>
    <w:rsid w:val="68F33FA2"/>
    <w:rsid w:val="68F81F90"/>
    <w:rsid w:val="68F91E38"/>
    <w:rsid w:val="68FA2A14"/>
    <w:rsid w:val="68FFB27C"/>
    <w:rsid w:val="691F6928"/>
    <w:rsid w:val="69217A0B"/>
    <w:rsid w:val="6928655F"/>
    <w:rsid w:val="693370F8"/>
    <w:rsid w:val="693910C9"/>
    <w:rsid w:val="693B6262"/>
    <w:rsid w:val="6949721C"/>
    <w:rsid w:val="69580538"/>
    <w:rsid w:val="695B09A3"/>
    <w:rsid w:val="697B45FB"/>
    <w:rsid w:val="69873CB7"/>
    <w:rsid w:val="69970F50"/>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C7C71"/>
    <w:rsid w:val="6A861A5C"/>
    <w:rsid w:val="6A9C494F"/>
    <w:rsid w:val="6AC94753"/>
    <w:rsid w:val="6ACE0F8A"/>
    <w:rsid w:val="6AD863F4"/>
    <w:rsid w:val="6ADF1F02"/>
    <w:rsid w:val="6AE01F43"/>
    <w:rsid w:val="6AE663EC"/>
    <w:rsid w:val="6AEA61BC"/>
    <w:rsid w:val="6AEB77F4"/>
    <w:rsid w:val="6AF2325E"/>
    <w:rsid w:val="6AF8446A"/>
    <w:rsid w:val="6B2F472F"/>
    <w:rsid w:val="6B547D9C"/>
    <w:rsid w:val="6B7D3886"/>
    <w:rsid w:val="6B804E6F"/>
    <w:rsid w:val="6B884D1B"/>
    <w:rsid w:val="6B9B71D6"/>
    <w:rsid w:val="6B9F218D"/>
    <w:rsid w:val="6BCD255C"/>
    <w:rsid w:val="6BD35BB1"/>
    <w:rsid w:val="6BE1394E"/>
    <w:rsid w:val="6C387E59"/>
    <w:rsid w:val="6C5B5A67"/>
    <w:rsid w:val="6C705245"/>
    <w:rsid w:val="6C7B1437"/>
    <w:rsid w:val="6C8625DB"/>
    <w:rsid w:val="6C866B30"/>
    <w:rsid w:val="6C9A12DE"/>
    <w:rsid w:val="6C9C4351"/>
    <w:rsid w:val="6C9E7C0C"/>
    <w:rsid w:val="6CED3D9E"/>
    <w:rsid w:val="6D2428B6"/>
    <w:rsid w:val="6D4838E0"/>
    <w:rsid w:val="6D643EB4"/>
    <w:rsid w:val="6D6D347A"/>
    <w:rsid w:val="6D6E5977"/>
    <w:rsid w:val="6D703943"/>
    <w:rsid w:val="6D7A3069"/>
    <w:rsid w:val="6D8930FC"/>
    <w:rsid w:val="6DA06E95"/>
    <w:rsid w:val="6DAC0E0C"/>
    <w:rsid w:val="6DBB0CF3"/>
    <w:rsid w:val="6DC8568C"/>
    <w:rsid w:val="6DCB42E2"/>
    <w:rsid w:val="6DDB511C"/>
    <w:rsid w:val="6DE557E6"/>
    <w:rsid w:val="6E150C6D"/>
    <w:rsid w:val="6E222F10"/>
    <w:rsid w:val="6E2C5DEA"/>
    <w:rsid w:val="6E46167B"/>
    <w:rsid w:val="6E480461"/>
    <w:rsid w:val="6E48193B"/>
    <w:rsid w:val="6E5579FD"/>
    <w:rsid w:val="6E5C30E1"/>
    <w:rsid w:val="6E6B5A3C"/>
    <w:rsid w:val="6E731AD6"/>
    <w:rsid w:val="6E944B83"/>
    <w:rsid w:val="6E9C37E3"/>
    <w:rsid w:val="6E9F4D96"/>
    <w:rsid w:val="6EDA4C28"/>
    <w:rsid w:val="6EF07839"/>
    <w:rsid w:val="6EFB3413"/>
    <w:rsid w:val="6EFD0845"/>
    <w:rsid w:val="6F022D1A"/>
    <w:rsid w:val="6F132C1E"/>
    <w:rsid w:val="6F14706F"/>
    <w:rsid w:val="6F18019A"/>
    <w:rsid w:val="6F421372"/>
    <w:rsid w:val="6F565098"/>
    <w:rsid w:val="6F573DFF"/>
    <w:rsid w:val="6F58044D"/>
    <w:rsid w:val="6F6477A9"/>
    <w:rsid w:val="6F66668B"/>
    <w:rsid w:val="6F750D54"/>
    <w:rsid w:val="6F8073E4"/>
    <w:rsid w:val="6F93B1CA"/>
    <w:rsid w:val="6F9D4EAA"/>
    <w:rsid w:val="6FBC36FE"/>
    <w:rsid w:val="6FC0545D"/>
    <w:rsid w:val="6FF628E9"/>
    <w:rsid w:val="700D1198"/>
    <w:rsid w:val="70161AAC"/>
    <w:rsid w:val="701B21DD"/>
    <w:rsid w:val="701F1FF4"/>
    <w:rsid w:val="70346D04"/>
    <w:rsid w:val="70432E4B"/>
    <w:rsid w:val="705545FE"/>
    <w:rsid w:val="70586F9C"/>
    <w:rsid w:val="708159DE"/>
    <w:rsid w:val="708D23D2"/>
    <w:rsid w:val="70AA67F9"/>
    <w:rsid w:val="70BB2D6B"/>
    <w:rsid w:val="70E433CD"/>
    <w:rsid w:val="70F25AEA"/>
    <w:rsid w:val="710260FA"/>
    <w:rsid w:val="710B293A"/>
    <w:rsid w:val="71124B74"/>
    <w:rsid w:val="713069E7"/>
    <w:rsid w:val="71431EA2"/>
    <w:rsid w:val="71476952"/>
    <w:rsid w:val="716112E1"/>
    <w:rsid w:val="71856D0C"/>
    <w:rsid w:val="71881FAB"/>
    <w:rsid w:val="71900427"/>
    <w:rsid w:val="7197797C"/>
    <w:rsid w:val="71990363"/>
    <w:rsid w:val="71B30207"/>
    <w:rsid w:val="71B30FF0"/>
    <w:rsid w:val="71CA611F"/>
    <w:rsid w:val="71D075FE"/>
    <w:rsid w:val="71EC4AFB"/>
    <w:rsid w:val="71EF3819"/>
    <w:rsid w:val="71FF35FA"/>
    <w:rsid w:val="720154B6"/>
    <w:rsid w:val="72020261"/>
    <w:rsid w:val="72064B2D"/>
    <w:rsid w:val="721F4D5E"/>
    <w:rsid w:val="72284EAE"/>
    <w:rsid w:val="723B1E5C"/>
    <w:rsid w:val="723B5E0C"/>
    <w:rsid w:val="72404382"/>
    <w:rsid w:val="72471037"/>
    <w:rsid w:val="72507D09"/>
    <w:rsid w:val="725D42D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C54E87"/>
    <w:rsid w:val="73C642E9"/>
    <w:rsid w:val="73C7367A"/>
    <w:rsid w:val="73CE0BB5"/>
    <w:rsid w:val="73D55378"/>
    <w:rsid w:val="740C18F7"/>
    <w:rsid w:val="74136DC0"/>
    <w:rsid w:val="74353534"/>
    <w:rsid w:val="74577C79"/>
    <w:rsid w:val="745B748A"/>
    <w:rsid w:val="746A5CE0"/>
    <w:rsid w:val="748C4463"/>
    <w:rsid w:val="748F4A0F"/>
    <w:rsid w:val="74A80B8B"/>
    <w:rsid w:val="74AB224A"/>
    <w:rsid w:val="74AC3AD6"/>
    <w:rsid w:val="74AD4E9D"/>
    <w:rsid w:val="74CB7EBC"/>
    <w:rsid w:val="74D61079"/>
    <w:rsid w:val="74E77CF2"/>
    <w:rsid w:val="74EA07C2"/>
    <w:rsid w:val="74F73C70"/>
    <w:rsid w:val="751A0B78"/>
    <w:rsid w:val="75537292"/>
    <w:rsid w:val="75590FD1"/>
    <w:rsid w:val="75595A2C"/>
    <w:rsid w:val="756E47F6"/>
    <w:rsid w:val="7573EA39"/>
    <w:rsid w:val="7577498F"/>
    <w:rsid w:val="75802848"/>
    <w:rsid w:val="758D09DB"/>
    <w:rsid w:val="75AD2553"/>
    <w:rsid w:val="75B143AB"/>
    <w:rsid w:val="75E96D9A"/>
    <w:rsid w:val="75FB6DC0"/>
    <w:rsid w:val="75FC57C0"/>
    <w:rsid w:val="761E6A3A"/>
    <w:rsid w:val="764667C5"/>
    <w:rsid w:val="76486300"/>
    <w:rsid w:val="76612E69"/>
    <w:rsid w:val="766457E1"/>
    <w:rsid w:val="76646708"/>
    <w:rsid w:val="76654879"/>
    <w:rsid w:val="76822D80"/>
    <w:rsid w:val="76884062"/>
    <w:rsid w:val="76A9541B"/>
    <w:rsid w:val="76B727A1"/>
    <w:rsid w:val="76BF6794"/>
    <w:rsid w:val="76D572EE"/>
    <w:rsid w:val="76D72C36"/>
    <w:rsid w:val="76E530E0"/>
    <w:rsid w:val="771C0673"/>
    <w:rsid w:val="7737735C"/>
    <w:rsid w:val="773C09D1"/>
    <w:rsid w:val="774424D0"/>
    <w:rsid w:val="7758241F"/>
    <w:rsid w:val="77641BAA"/>
    <w:rsid w:val="77993045"/>
    <w:rsid w:val="77A80638"/>
    <w:rsid w:val="77C465EB"/>
    <w:rsid w:val="77C47BFC"/>
    <w:rsid w:val="77D5581E"/>
    <w:rsid w:val="77F51A1C"/>
    <w:rsid w:val="78085BF3"/>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2047B4"/>
    <w:rsid w:val="79454CB6"/>
    <w:rsid w:val="795C61F7"/>
    <w:rsid w:val="795F466D"/>
    <w:rsid w:val="79634262"/>
    <w:rsid w:val="797414BE"/>
    <w:rsid w:val="79970A37"/>
    <w:rsid w:val="79A869D1"/>
    <w:rsid w:val="79AE45E4"/>
    <w:rsid w:val="79AE5B25"/>
    <w:rsid w:val="79B547E6"/>
    <w:rsid w:val="79C169DE"/>
    <w:rsid w:val="79E27FCF"/>
    <w:rsid w:val="7A000CE6"/>
    <w:rsid w:val="7A0A7936"/>
    <w:rsid w:val="7A135964"/>
    <w:rsid w:val="7A1A3230"/>
    <w:rsid w:val="7A3270EA"/>
    <w:rsid w:val="7A484C7B"/>
    <w:rsid w:val="7A5D7C7C"/>
    <w:rsid w:val="7A664E79"/>
    <w:rsid w:val="7A6A2D6F"/>
    <w:rsid w:val="7A76196C"/>
    <w:rsid w:val="7A907EB4"/>
    <w:rsid w:val="7A925C48"/>
    <w:rsid w:val="7AAC0E92"/>
    <w:rsid w:val="7AB04670"/>
    <w:rsid w:val="7AB2517C"/>
    <w:rsid w:val="7AC64CC7"/>
    <w:rsid w:val="7AD03E18"/>
    <w:rsid w:val="7AD832B8"/>
    <w:rsid w:val="7AFF4DAE"/>
    <w:rsid w:val="7B04158A"/>
    <w:rsid w:val="7B051B2F"/>
    <w:rsid w:val="7B0F352B"/>
    <w:rsid w:val="7B1A0118"/>
    <w:rsid w:val="7B220E2F"/>
    <w:rsid w:val="7B274114"/>
    <w:rsid w:val="7B340A01"/>
    <w:rsid w:val="7B36744F"/>
    <w:rsid w:val="7B4F5C3D"/>
    <w:rsid w:val="7B754522"/>
    <w:rsid w:val="7B79358D"/>
    <w:rsid w:val="7B9513BF"/>
    <w:rsid w:val="7BA137EB"/>
    <w:rsid w:val="7BA778D5"/>
    <w:rsid w:val="7BC8224F"/>
    <w:rsid w:val="7BCC4096"/>
    <w:rsid w:val="7BD8593A"/>
    <w:rsid w:val="7C041B40"/>
    <w:rsid w:val="7C042B76"/>
    <w:rsid w:val="7C044E19"/>
    <w:rsid w:val="7C092D60"/>
    <w:rsid w:val="7C0A5FBE"/>
    <w:rsid w:val="7C0F7F8B"/>
    <w:rsid w:val="7C3D07C3"/>
    <w:rsid w:val="7C512703"/>
    <w:rsid w:val="7C5151E9"/>
    <w:rsid w:val="7C5F6A31"/>
    <w:rsid w:val="7C701FB9"/>
    <w:rsid w:val="7C741461"/>
    <w:rsid w:val="7C8617DD"/>
    <w:rsid w:val="7C924CC6"/>
    <w:rsid w:val="7C9F70CD"/>
    <w:rsid w:val="7CE51EBE"/>
    <w:rsid w:val="7CE85FF3"/>
    <w:rsid w:val="7D003EF5"/>
    <w:rsid w:val="7D1F55E6"/>
    <w:rsid w:val="7D2237C4"/>
    <w:rsid w:val="7D3B060D"/>
    <w:rsid w:val="7D5E4EA5"/>
    <w:rsid w:val="7D6304C0"/>
    <w:rsid w:val="7D711B45"/>
    <w:rsid w:val="7D734A9C"/>
    <w:rsid w:val="7D7B252F"/>
    <w:rsid w:val="7D8121D3"/>
    <w:rsid w:val="7D9F78FE"/>
    <w:rsid w:val="7DB41072"/>
    <w:rsid w:val="7DB44500"/>
    <w:rsid w:val="7DC44934"/>
    <w:rsid w:val="7DC9331A"/>
    <w:rsid w:val="7DDA0B16"/>
    <w:rsid w:val="7DE60785"/>
    <w:rsid w:val="7DF17F93"/>
    <w:rsid w:val="7E001458"/>
    <w:rsid w:val="7E0C5A4C"/>
    <w:rsid w:val="7E125388"/>
    <w:rsid w:val="7E16039D"/>
    <w:rsid w:val="7E1709EC"/>
    <w:rsid w:val="7E315B57"/>
    <w:rsid w:val="7E3415D4"/>
    <w:rsid w:val="7E3851BC"/>
    <w:rsid w:val="7E394D59"/>
    <w:rsid w:val="7E4A2AAE"/>
    <w:rsid w:val="7E512016"/>
    <w:rsid w:val="7E5240FA"/>
    <w:rsid w:val="7E6D459F"/>
    <w:rsid w:val="7E7C433A"/>
    <w:rsid w:val="7E9F5329"/>
    <w:rsid w:val="7EA72D63"/>
    <w:rsid w:val="7EA91D51"/>
    <w:rsid w:val="7EAA0693"/>
    <w:rsid w:val="7EAA33E0"/>
    <w:rsid w:val="7EB02EB2"/>
    <w:rsid w:val="7EBA74F2"/>
    <w:rsid w:val="7EC7148B"/>
    <w:rsid w:val="7EC96572"/>
    <w:rsid w:val="7ED76320"/>
    <w:rsid w:val="7EF426FE"/>
    <w:rsid w:val="7EF71AC3"/>
    <w:rsid w:val="7F2430A7"/>
    <w:rsid w:val="7F334B56"/>
    <w:rsid w:val="7F335D39"/>
    <w:rsid w:val="7F3A7638"/>
    <w:rsid w:val="7F41056D"/>
    <w:rsid w:val="7F6D1B1B"/>
    <w:rsid w:val="7F883B53"/>
    <w:rsid w:val="7F8C5FCC"/>
    <w:rsid w:val="7F9B4AC3"/>
    <w:rsid w:val="7FA455ED"/>
    <w:rsid w:val="7FBB6D75"/>
    <w:rsid w:val="7FBF1BCD"/>
    <w:rsid w:val="7FC339DC"/>
    <w:rsid w:val="7FCE09C9"/>
    <w:rsid w:val="7FF84060"/>
    <w:rsid w:val="8FEDB9A7"/>
    <w:rsid w:val="9EBB360D"/>
    <w:rsid w:val="D5D9E5C7"/>
    <w:rsid w:val="D725A8FE"/>
    <w:rsid w:val="DAFB3086"/>
    <w:rsid w:val="E74FCAD3"/>
    <w:rsid w:val="F5AFDB36"/>
    <w:rsid w:val="FBE380C0"/>
    <w:rsid w:val="FE7FB314"/>
    <w:rsid w:val="FF5FF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5"/>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6"/>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7"/>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8"/>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9"/>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60"/>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61"/>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62"/>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3"/>
    <w:unhideWhenUsed/>
    <w:qFormat/>
    <w:uiPriority w:val="9"/>
    <w:pPr>
      <w:keepNext/>
      <w:keepLines/>
      <w:spacing w:before="32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macro"/>
    <w:link w:val="213"/>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next w:val="14"/>
    <w:qFormat/>
    <w:uiPriority w:val="0"/>
    <w:rPr>
      <w:rFonts w:ascii="楷体_GB2312" w:hAnsi="Arial" w:eastAsia="楷体_GB2312"/>
      <w:sz w:val="28"/>
    </w:rPr>
  </w:style>
  <w:style w:type="paragraph" w:styleId="19">
    <w:name w:val="annotation text"/>
    <w:basedOn w:val="1"/>
    <w:link w:val="228"/>
    <w:qFormat/>
    <w:uiPriority w:val="99"/>
    <w:rPr>
      <w:rFonts w:ascii="Calibri" w:hAnsi="Calibri"/>
    </w:rPr>
  </w:style>
  <w:style w:type="paragraph" w:styleId="20">
    <w:name w:val="Body Text Indent"/>
    <w:basedOn w:val="1"/>
    <w:next w:val="18"/>
    <w:link w:val="209"/>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9"/>
    <w:semiHidden/>
    <w:unhideWhenUsed/>
    <w:qFormat/>
    <w:uiPriority w:val="99"/>
    <w:pPr>
      <w:spacing w:after="0" w:line="240" w:lineRule="auto"/>
    </w:pPr>
    <w:rPr>
      <w:sz w:val="20"/>
    </w:rPr>
  </w:style>
  <w:style w:type="paragraph" w:styleId="27">
    <w:name w:val="Balloon Text"/>
    <w:basedOn w:val="1"/>
    <w:link w:val="212"/>
    <w:semiHidden/>
    <w:unhideWhenUsed/>
    <w:qFormat/>
    <w:uiPriority w:val="99"/>
    <w:pPr>
      <w:spacing w:after="0" w:line="240" w:lineRule="auto"/>
    </w:pPr>
    <w:rPr>
      <w:sz w:val="18"/>
      <w:szCs w:val="18"/>
    </w:rPr>
  </w:style>
  <w:style w:type="paragraph" w:styleId="28">
    <w:name w:val="footer"/>
    <w:basedOn w:val="1"/>
    <w:link w:val="72"/>
    <w:unhideWhenUsed/>
    <w:qFormat/>
    <w:uiPriority w:val="99"/>
    <w:pPr>
      <w:tabs>
        <w:tab w:val="center" w:pos="7143"/>
        <w:tab w:val="right" w:pos="14287"/>
      </w:tabs>
      <w:spacing w:after="0" w:line="240" w:lineRule="auto"/>
    </w:pPr>
  </w:style>
  <w:style w:type="paragraph" w:styleId="29">
    <w:name w:val="envelope return"/>
    <w:basedOn w:val="1"/>
    <w:qFormat/>
    <w:uiPriority w:val="0"/>
    <w:pPr>
      <w:snapToGrid w:val="0"/>
    </w:pPr>
    <w:rPr>
      <w:rFonts w:ascii="Arial" w:hAnsi="Arial" w:cs="Arial"/>
      <w:szCs w:val="20"/>
    </w:rPr>
  </w:style>
  <w:style w:type="paragraph" w:styleId="30">
    <w:name w:val="header"/>
    <w:basedOn w:val="1"/>
    <w:link w:val="70"/>
    <w:unhideWhenUsed/>
    <w:qFormat/>
    <w:uiPriority w:val="99"/>
    <w:pPr>
      <w:tabs>
        <w:tab w:val="center" w:pos="7143"/>
        <w:tab w:val="right" w:pos="14287"/>
      </w:tabs>
      <w:spacing w:after="0" w:line="240" w:lineRule="auto"/>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5"/>
    <w:qFormat/>
    <w:uiPriority w:val="11"/>
    <w:pPr>
      <w:spacing w:before="200"/>
    </w:pPr>
    <w:rPr>
      <w:sz w:val="24"/>
      <w:szCs w:val="24"/>
    </w:rPr>
  </w:style>
  <w:style w:type="paragraph" w:styleId="34">
    <w:name w:val="footnote text"/>
    <w:basedOn w:val="1"/>
    <w:link w:val="198"/>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pPr>
      <w:spacing w:after="0"/>
    </w:pPr>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40">
    <w:name w:val="Normal (Web)"/>
    <w:basedOn w:val="1"/>
    <w:qFormat/>
    <w:uiPriority w:val="0"/>
    <w:rPr>
      <w:szCs w:val="20"/>
    </w:rPr>
  </w:style>
  <w:style w:type="paragraph" w:styleId="41">
    <w:name w:val="Title"/>
    <w:basedOn w:val="1"/>
    <w:next w:val="1"/>
    <w:link w:val="64"/>
    <w:qFormat/>
    <w:uiPriority w:val="10"/>
    <w:pPr>
      <w:spacing w:before="300"/>
      <w:contextualSpacing/>
    </w:pPr>
    <w:rPr>
      <w:sz w:val="48"/>
      <w:szCs w:val="48"/>
    </w:rPr>
  </w:style>
  <w:style w:type="paragraph" w:styleId="42">
    <w:name w:val="annotation subject"/>
    <w:basedOn w:val="19"/>
    <w:next w:val="19"/>
    <w:link w:val="229"/>
    <w:semiHidden/>
    <w:unhideWhenUsed/>
    <w:qFormat/>
    <w:uiPriority w:val="99"/>
    <w:rPr>
      <w:rFonts w:asciiTheme="minorHAnsi" w:hAnsiTheme="minorHAnsi"/>
      <w:b/>
      <w:bCs/>
    </w:rPr>
  </w:style>
  <w:style w:type="paragraph" w:styleId="43">
    <w:name w:val="Body Text First Indent"/>
    <w:basedOn w:val="1"/>
    <w:next w:val="1"/>
    <w:qFormat/>
    <w:uiPriority w:val="0"/>
    <w:pPr>
      <w:spacing w:after="120"/>
      <w:ind w:firstLine="420"/>
    </w:pPr>
    <w:rPr>
      <w:rFonts w:ascii="Tahoma" w:hAnsi="Tahoma" w:eastAsia="Times New Roman"/>
    </w:rPr>
  </w:style>
  <w:style w:type="paragraph" w:styleId="44">
    <w:name w:val="Body Text First Indent 2"/>
    <w:basedOn w:val="20"/>
    <w:unhideWhenUsed/>
    <w:qFormat/>
    <w:uiPriority w:val="0"/>
    <w:pPr>
      <w:ind w:firstLine="420"/>
    </w:pPr>
    <w:rPr>
      <w:rFonts w:ascii="Times New Roman"/>
      <w:sz w:val="24"/>
      <w:szCs w:val="24"/>
    </w:rPr>
  </w:style>
  <w:style w:type="table" w:styleId="46">
    <w:name w:val="Table Grid"/>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basedOn w:val="47"/>
    <w:qFormat/>
    <w:uiPriority w:val="22"/>
    <w:rPr>
      <w:b/>
    </w:rPr>
  </w:style>
  <w:style w:type="character" w:styleId="49">
    <w:name w:val="endnote reference"/>
    <w:semiHidden/>
    <w:unhideWhenUsed/>
    <w:qFormat/>
    <w:uiPriority w:val="99"/>
    <w:rPr>
      <w:vertAlign w:val="superscript"/>
    </w:rPr>
  </w:style>
  <w:style w:type="character" w:styleId="50">
    <w:name w:val="Emphasis"/>
    <w:basedOn w:val="47"/>
    <w:qFormat/>
    <w:uiPriority w:val="0"/>
    <w:rPr>
      <w:i/>
    </w:rPr>
  </w:style>
  <w:style w:type="character" w:styleId="51">
    <w:name w:val="Hyperlink"/>
    <w:unhideWhenUsed/>
    <w:qFormat/>
    <w:uiPriority w:val="99"/>
    <w:rPr>
      <w:color w:val="0563C1" w:themeColor="hyperlink"/>
      <w:u w:val="single"/>
      <w14:textFill>
        <w14:solidFill>
          <w14:schemeClr w14:val="hlink"/>
        </w14:solidFill>
      </w14:textFill>
    </w:rPr>
  </w:style>
  <w:style w:type="character" w:styleId="52">
    <w:name w:val="annotation reference"/>
    <w:basedOn w:val="47"/>
    <w:semiHidden/>
    <w:unhideWhenUsed/>
    <w:qFormat/>
    <w:uiPriority w:val="99"/>
    <w:rPr>
      <w:sz w:val="21"/>
      <w:szCs w:val="21"/>
    </w:rPr>
  </w:style>
  <w:style w:type="character" w:styleId="53">
    <w:name w:val="footnote reference"/>
    <w:unhideWhenUsed/>
    <w:qFormat/>
    <w:uiPriority w:val="99"/>
    <w:rPr>
      <w:vertAlign w:val="superscript"/>
    </w:rPr>
  </w:style>
  <w:style w:type="paragraph" w:customStyle="1" w:styleId="54">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5">
    <w:name w:val="标题 1 字符"/>
    <w:link w:val="3"/>
    <w:qFormat/>
    <w:uiPriority w:val="9"/>
    <w:rPr>
      <w:rFonts w:ascii="Arial" w:hAnsi="Arial" w:eastAsia="Arial" w:cs="Arial"/>
      <w:sz w:val="40"/>
      <w:szCs w:val="40"/>
    </w:rPr>
  </w:style>
  <w:style w:type="character" w:customStyle="1" w:styleId="56">
    <w:name w:val="标题 2 字符"/>
    <w:link w:val="4"/>
    <w:qFormat/>
    <w:uiPriority w:val="9"/>
    <w:rPr>
      <w:rFonts w:ascii="Arial" w:hAnsi="Arial" w:eastAsia="Arial" w:cs="Arial"/>
      <w:sz w:val="34"/>
    </w:rPr>
  </w:style>
  <w:style w:type="character" w:customStyle="1" w:styleId="57">
    <w:name w:val="标题 3 字符"/>
    <w:link w:val="5"/>
    <w:qFormat/>
    <w:uiPriority w:val="9"/>
    <w:rPr>
      <w:rFonts w:ascii="Arial" w:hAnsi="Arial" w:eastAsia="Arial" w:cs="Arial"/>
      <w:sz w:val="30"/>
      <w:szCs w:val="30"/>
    </w:rPr>
  </w:style>
  <w:style w:type="character" w:customStyle="1" w:styleId="58">
    <w:name w:val="标题 4 字符"/>
    <w:link w:val="6"/>
    <w:qFormat/>
    <w:uiPriority w:val="9"/>
    <w:rPr>
      <w:rFonts w:ascii="Arial" w:hAnsi="Arial" w:eastAsia="Arial" w:cs="Arial"/>
      <w:b/>
      <w:bCs/>
      <w:sz w:val="26"/>
      <w:szCs w:val="26"/>
    </w:rPr>
  </w:style>
  <w:style w:type="character" w:customStyle="1" w:styleId="59">
    <w:name w:val="标题 5 字符"/>
    <w:link w:val="7"/>
    <w:qFormat/>
    <w:uiPriority w:val="9"/>
    <w:rPr>
      <w:rFonts w:ascii="Arial" w:hAnsi="Arial" w:eastAsia="Arial" w:cs="Arial"/>
      <w:b/>
      <w:bCs/>
      <w:sz w:val="24"/>
      <w:szCs w:val="24"/>
    </w:rPr>
  </w:style>
  <w:style w:type="character" w:customStyle="1" w:styleId="60">
    <w:name w:val="标题 6 字符"/>
    <w:link w:val="8"/>
    <w:qFormat/>
    <w:uiPriority w:val="9"/>
    <w:rPr>
      <w:rFonts w:ascii="Arial" w:hAnsi="Arial" w:eastAsia="Arial" w:cs="Arial"/>
      <w:b/>
      <w:bCs/>
      <w:sz w:val="22"/>
      <w:szCs w:val="22"/>
    </w:rPr>
  </w:style>
  <w:style w:type="character" w:customStyle="1" w:styleId="61">
    <w:name w:val="标题 7 字符"/>
    <w:link w:val="9"/>
    <w:qFormat/>
    <w:uiPriority w:val="9"/>
    <w:rPr>
      <w:rFonts w:ascii="Arial" w:hAnsi="Arial" w:eastAsia="Arial" w:cs="Arial"/>
      <w:b/>
      <w:bCs/>
      <w:i/>
      <w:iCs/>
      <w:sz w:val="22"/>
      <w:szCs w:val="22"/>
    </w:rPr>
  </w:style>
  <w:style w:type="character" w:customStyle="1" w:styleId="62">
    <w:name w:val="标题 8 字符"/>
    <w:link w:val="10"/>
    <w:qFormat/>
    <w:uiPriority w:val="9"/>
    <w:rPr>
      <w:rFonts w:ascii="Arial" w:hAnsi="Arial" w:eastAsia="Arial" w:cs="Arial"/>
      <w:i/>
      <w:iCs/>
      <w:sz w:val="22"/>
      <w:szCs w:val="22"/>
    </w:rPr>
  </w:style>
  <w:style w:type="character" w:customStyle="1" w:styleId="63">
    <w:name w:val="标题 9 字符"/>
    <w:link w:val="11"/>
    <w:qFormat/>
    <w:uiPriority w:val="9"/>
    <w:rPr>
      <w:rFonts w:ascii="Arial" w:hAnsi="Arial" w:eastAsia="Arial" w:cs="Arial"/>
      <w:i/>
      <w:iCs/>
      <w:sz w:val="21"/>
      <w:szCs w:val="21"/>
    </w:rPr>
  </w:style>
  <w:style w:type="character" w:customStyle="1" w:styleId="64">
    <w:name w:val="标题 字符"/>
    <w:link w:val="41"/>
    <w:qFormat/>
    <w:uiPriority w:val="10"/>
    <w:rPr>
      <w:sz w:val="48"/>
      <w:szCs w:val="48"/>
    </w:rPr>
  </w:style>
  <w:style w:type="character" w:customStyle="1" w:styleId="65">
    <w:name w:val="副标题 字符"/>
    <w:link w:val="33"/>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字符"/>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字符"/>
    <w:link w:val="68"/>
    <w:qFormat/>
    <w:uiPriority w:val="30"/>
    <w:rPr>
      <w:i/>
    </w:rPr>
  </w:style>
  <w:style w:type="character" w:customStyle="1" w:styleId="70">
    <w:name w:val="页眉 字符"/>
    <w:link w:val="30"/>
    <w:qFormat/>
    <w:uiPriority w:val="99"/>
  </w:style>
  <w:style w:type="character" w:customStyle="1" w:styleId="71">
    <w:name w:val="Footer Char"/>
    <w:qFormat/>
    <w:uiPriority w:val="99"/>
  </w:style>
  <w:style w:type="character" w:customStyle="1" w:styleId="72">
    <w:name w:val="页脚 字符"/>
    <w:link w:val="28"/>
    <w:qFormat/>
    <w:uiPriority w:val="99"/>
  </w:style>
  <w:style w:type="table" w:customStyle="1" w:styleId="73">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4">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1">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2">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3">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4">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5">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6">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5">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2">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6">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9">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0">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1">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2">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3">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4">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8">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1">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5">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7">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8">
    <w:name w:val="清单表 1 浅色1"/>
    <w:basedOn w:val="4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5"/>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0">
    <w:name w:val="List Table 1 Light - Accent 2"/>
    <w:basedOn w:val="45"/>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1">
    <w:name w:val="List Table 1 Light - Accent 3"/>
    <w:basedOn w:val="45"/>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2">
    <w:name w:val="List Table 1 Light - Accent 4"/>
    <w:basedOn w:val="45"/>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3">
    <w:name w:val="List Table 1 Light - Accent 5"/>
    <w:basedOn w:val="45"/>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4">
    <w:name w:val="List Table 1 Light - Accent 6"/>
    <w:basedOn w:val="45"/>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5">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4">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5">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6">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7">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8">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9">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1">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2">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3">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4">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5">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6">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8">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9">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0">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1">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2">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3">
    <w:name w:val="清单表 6 彩色1"/>
    <w:basedOn w:val="4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5"/>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6 Colorful - Accent 2"/>
    <w:basedOn w:val="45"/>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5"/>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5"/>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5"/>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5"/>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清单表 7 彩色1"/>
    <w:basedOn w:val="4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5"/>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2">
    <w:name w:val="List Table 7 Colorful - Accent 2"/>
    <w:basedOn w:val="45"/>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5"/>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5"/>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5"/>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5"/>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5"/>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Lined - Accent 2"/>
    <w:basedOn w:val="45"/>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Lined - Accent 3"/>
    <w:basedOn w:val="45"/>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Lined - Accent 4"/>
    <w:basedOn w:val="45"/>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Lined - Accent 5"/>
    <w:basedOn w:val="45"/>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Lined - Accent 6"/>
    <w:basedOn w:val="45"/>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6">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0">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3">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4">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5">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6">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7">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8">
    <w:name w:val="脚注文本 字符"/>
    <w:link w:val="34"/>
    <w:qFormat/>
    <w:uiPriority w:val="99"/>
    <w:rPr>
      <w:sz w:val="18"/>
    </w:rPr>
  </w:style>
  <w:style w:type="character" w:customStyle="1" w:styleId="199">
    <w:name w:val="尾注文本 字符"/>
    <w:link w:val="26"/>
    <w:qFormat/>
    <w:uiPriority w:val="99"/>
    <w:rPr>
      <w:sz w:val="20"/>
    </w:rPr>
  </w:style>
  <w:style w:type="paragraph" w:customStyle="1" w:styleId="200">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201">
    <w:name w:val="No Spacing"/>
    <w:basedOn w:val="1"/>
    <w:qFormat/>
    <w:uiPriority w:val="99"/>
    <w:pPr>
      <w:spacing w:after="0" w:line="240" w:lineRule="auto"/>
    </w:pPr>
  </w:style>
  <w:style w:type="paragraph" w:styleId="202">
    <w:name w:val="List Paragraph"/>
    <w:basedOn w:val="1"/>
    <w:qFormat/>
    <w:uiPriority w:val="34"/>
    <w:pPr>
      <w:ind w:left="720"/>
      <w:contextualSpacing/>
    </w:pPr>
  </w:style>
  <w:style w:type="paragraph" w:customStyle="1" w:styleId="203">
    <w:name w:val="Plain Text2"/>
    <w:basedOn w:val="1"/>
    <w:qFormat/>
    <w:uiPriority w:val="99"/>
    <w:pPr>
      <w:adjustRightInd w:val="0"/>
    </w:pPr>
    <w:rPr>
      <w:rFonts w:ascii="宋体" w:hAnsi="Courier New" w:eastAsia="楷体_GB2312"/>
      <w:sz w:val="28"/>
    </w:rPr>
  </w:style>
  <w:style w:type="paragraph" w:customStyle="1" w:styleId="204">
    <w:name w:val="纯文本6"/>
    <w:basedOn w:val="1"/>
    <w:qFormat/>
    <w:uiPriority w:val="0"/>
    <w:pPr>
      <w:adjustRightInd w:val="0"/>
      <w:textAlignment w:val="baseline"/>
    </w:pPr>
    <w:rPr>
      <w:rFonts w:ascii="宋体" w:hAnsi="Courier New" w:eastAsia="楷体_GB2312"/>
      <w:sz w:val="26"/>
    </w:rPr>
  </w:style>
  <w:style w:type="paragraph" w:customStyle="1" w:styleId="205">
    <w:name w:val="_正文"/>
    <w:basedOn w:val="1"/>
    <w:qFormat/>
    <w:uiPriority w:val="0"/>
    <w:pPr>
      <w:spacing w:line="360" w:lineRule="auto"/>
      <w:ind w:firstLine="200" w:firstLineChars="200"/>
    </w:pPr>
    <w:rPr>
      <w:sz w:val="24"/>
      <w:szCs w:val="24"/>
    </w:rPr>
  </w:style>
  <w:style w:type="paragraph" w:customStyle="1" w:styleId="206">
    <w:name w:val="纯文本1"/>
    <w:basedOn w:val="1"/>
    <w:qFormat/>
    <w:uiPriority w:val="0"/>
    <w:pPr>
      <w:adjustRightInd w:val="0"/>
      <w:textAlignment w:val="baseline"/>
    </w:pPr>
    <w:rPr>
      <w:rFonts w:ascii="宋体" w:hAnsi="Courier New" w:eastAsia="楷体_GB2312"/>
      <w:sz w:val="26"/>
    </w:rPr>
  </w:style>
  <w:style w:type="paragraph" w:customStyle="1" w:styleId="207">
    <w:name w:val="段"/>
    <w:next w:val="1"/>
    <w:qFormat/>
    <w:uiPriority w:val="0"/>
    <w:pPr>
      <w:ind w:firstLine="200"/>
      <w:jc w:val="both"/>
    </w:pPr>
    <w:rPr>
      <w:rFonts w:ascii="宋体" w:hAnsi="Times New Roman" w:eastAsia="宋体" w:cs="Times New Roman"/>
      <w:lang w:val="en-US" w:eastAsia="zh-CN" w:bidi="ar-SA"/>
    </w:rPr>
  </w:style>
  <w:style w:type="paragraph" w:customStyle="1" w:styleId="208">
    <w:name w:val="纯文本2"/>
    <w:basedOn w:val="1"/>
    <w:qFormat/>
    <w:uiPriority w:val="0"/>
    <w:rPr>
      <w:rFonts w:ascii="宋体" w:hAnsi="Courier New" w:eastAsia="楷体_GB2312" w:cs="Times New Roman"/>
      <w:sz w:val="26"/>
      <w:szCs w:val="20"/>
    </w:rPr>
  </w:style>
  <w:style w:type="character" w:customStyle="1" w:styleId="209">
    <w:name w:val="正文文本缩进 字符"/>
    <w:basedOn w:val="47"/>
    <w:link w:val="20"/>
    <w:qFormat/>
    <w:uiPriority w:val="0"/>
    <w:rPr>
      <w:rFonts w:hint="default" w:ascii="Arial" w:hAnsi="Arial" w:eastAsia="Arial" w:cs="Times New Roman"/>
      <w:sz w:val="22"/>
      <w:szCs w:val="22"/>
      <w:lang w:eastAsia="en-US"/>
    </w:rPr>
  </w:style>
  <w:style w:type="paragraph" w:customStyle="1" w:styleId="210">
    <w:name w:val="纯文本11"/>
    <w:basedOn w:val="1"/>
    <w:next w:val="211"/>
    <w:qFormat/>
    <w:uiPriority w:val="0"/>
    <w:pPr>
      <w:widowControl w:val="0"/>
      <w:adjustRightInd w:val="0"/>
      <w:jc w:val="both"/>
      <w:textAlignment w:val="baseline"/>
    </w:pPr>
    <w:rPr>
      <w:rFonts w:ascii="宋体" w:hAnsi="Courier New" w:eastAsia="楷体_GB2312"/>
      <w:kern w:val="2"/>
      <w:sz w:val="28"/>
      <w:szCs w:val="20"/>
    </w:rPr>
  </w:style>
  <w:style w:type="paragraph" w:customStyle="1" w:styleId="211">
    <w:name w:val="页眉1"/>
    <w:basedOn w:val="1"/>
    <w:next w:val="1"/>
    <w:qFormat/>
    <w:uiPriority w:val="0"/>
    <w:pPr>
      <w:pBdr>
        <w:bottom w:val="single" w:color="000000" w:sz="6" w:space="1"/>
      </w:pBdr>
      <w:tabs>
        <w:tab w:val="center" w:pos="4153"/>
        <w:tab w:val="right" w:pos="8306"/>
      </w:tabs>
      <w:jc w:val="center"/>
    </w:pPr>
    <w:rPr>
      <w:sz w:val="18"/>
      <w:szCs w:val="18"/>
    </w:rPr>
  </w:style>
  <w:style w:type="character" w:customStyle="1" w:styleId="212">
    <w:name w:val="批注框文本 字符"/>
    <w:basedOn w:val="47"/>
    <w:link w:val="27"/>
    <w:semiHidden/>
    <w:qFormat/>
    <w:uiPriority w:val="99"/>
    <w:rPr>
      <w:rFonts w:asciiTheme="minorHAnsi" w:hAnsiTheme="minorHAnsi" w:eastAsiaTheme="minorHAnsi" w:cstheme="minorBidi"/>
      <w:sz w:val="18"/>
      <w:szCs w:val="18"/>
      <w:lang w:eastAsia="en-US"/>
    </w:rPr>
  </w:style>
  <w:style w:type="character" w:customStyle="1" w:styleId="213">
    <w:name w:val="宏文本 字符"/>
    <w:basedOn w:val="47"/>
    <w:link w:val="2"/>
    <w:qFormat/>
    <w:uiPriority w:val="0"/>
    <w:rPr>
      <w:rFonts w:ascii="Courier New" w:hAnsi="Courier New" w:cs="Courier New"/>
      <w:sz w:val="24"/>
      <w:szCs w:val="24"/>
    </w:rPr>
  </w:style>
  <w:style w:type="paragraph" w:customStyle="1" w:styleId="214">
    <w:name w:val="纯文本3"/>
    <w:basedOn w:val="1"/>
    <w:qFormat/>
    <w:uiPriority w:val="0"/>
    <w:rPr>
      <w:rFonts w:ascii="仿宋" w:hAnsi="Cambria Math" w:eastAsia="Wingdings" w:cs="华文楷体"/>
      <w:sz w:val="26"/>
      <w:szCs w:val="20"/>
    </w:rPr>
  </w:style>
  <w:style w:type="paragraph" w:customStyle="1" w:styleId="215">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6">
    <w:name w:val="NormalCharacter"/>
    <w:link w:val="217"/>
    <w:semiHidden/>
    <w:qFormat/>
    <w:uiPriority w:val="0"/>
    <w:rPr>
      <w:rFonts w:asciiTheme="minorHAnsi" w:hAnsiTheme="minorHAnsi" w:eastAsiaTheme="minorEastAsia" w:cstheme="minorBidi"/>
      <w:szCs w:val="22"/>
    </w:rPr>
  </w:style>
  <w:style w:type="paragraph" w:customStyle="1" w:styleId="217">
    <w:name w:val="UserStyle_3"/>
    <w:basedOn w:val="1"/>
    <w:link w:val="216"/>
    <w:autoRedefine/>
    <w:qFormat/>
    <w:uiPriority w:val="0"/>
    <w:pPr>
      <w:spacing w:after="160" w:line="240" w:lineRule="exact"/>
    </w:pPr>
    <w:rPr>
      <w:rFonts w:eastAsiaTheme="minorEastAsia"/>
    </w:rPr>
  </w:style>
  <w:style w:type="character" w:customStyle="1" w:styleId="218">
    <w:name w:val="font11"/>
    <w:basedOn w:val="47"/>
    <w:qFormat/>
    <w:uiPriority w:val="0"/>
    <w:rPr>
      <w:rFonts w:hint="eastAsia" w:ascii="宋体" w:hAnsi="宋体" w:eastAsia="宋体" w:cs="宋体"/>
      <w:color w:val="000000"/>
      <w:sz w:val="21"/>
      <w:szCs w:val="21"/>
      <w:u w:val="none"/>
    </w:rPr>
  </w:style>
  <w:style w:type="character" w:customStyle="1" w:styleId="219">
    <w:name w:val="font21"/>
    <w:basedOn w:val="47"/>
    <w:qFormat/>
    <w:uiPriority w:val="0"/>
    <w:rPr>
      <w:rFonts w:ascii="Calibri" w:hAnsi="Calibri" w:cs="Calibri"/>
      <w:color w:val="000000"/>
      <w:sz w:val="21"/>
      <w:szCs w:val="21"/>
      <w:u w:val="none"/>
    </w:rPr>
  </w:style>
  <w:style w:type="character" w:customStyle="1" w:styleId="220">
    <w:name w:val="font31"/>
    <w:basedOn w:val="47"/>
    <w:qFormat/>
    <w:uiPriority w:val="0"/>
    <w:rPr>
      <w:rFonts w:ascii="Arial" w:hAnsi="Arial" w:cs="Arial"/>
      <w:color w:val="000000"/>
      <w:sz w:val="20"/>
      <w:szCs w:val="20"/>
      <w:u w:val="none"/>
    </w:rPr>
  </w:style>
  <w:style w:type="character" w:customStyle="1" w:styleId="221">
    <w:name w:val="font41"/>
    <w:basedOn w:val="47"/>
    <w:qFormat/>
    <w:uiPriority w:val="0"/>
    <w:rPr>
      <w:rFonts w:hint="eastAsia" w:ascii="微软雅黑" w:hAnsi="微软雅黑" w:eastAsia="微软雅黑" w:cs="微软雅黑"/>
      <w:color w:val="000000"/>
      <w:sz w:val="20"/>
      <w:szCs w:val="20"/>
      <w:u w:val="none"/>
      <w:vertAlign w:val="superscript"/>
    </w:rPr>
  </w:style>
  <w:style w:type="paragraph" w:customStyle="1" w:styleId="222">
    <w:name w:val="无间隔1"/>
    <w:basedOn w:val="1"/>
    <w:qFormat/>
    <w:uiPriority w:val="1"/>
    <w:pPr>
      <w:spacing w:after="0" w:line="240" w:lineRule="auto"/>
    </w:pPr>
    <w:rPr>
      <w:rFonts w:ascii="Times New Roman" w:hAnsi="Times New Roman" w:eastAsia="宋体" w:cs="Times New Roman"/>
    </w:rPr>
  </w:style>
  <w:style w:type="paragraph" w:customStyle="1" w:styleId="223">
    <w:name w:val="￥正文"/>
    <w:basedOn w:val="1"/>
    <w:link w:val="225"/>
    <w:qFormat/>
    <w:uiPriority w:val="0"/>
    <w:pPr>
      <w:spacing w:line="360" w:lineRule="auto"/>
      <w:ind w:firstLine="200" w:firstLineChars="200"/>
    </w:pPr>
    <w:rPr>
      <w:rFonts w:ascii="Calibri" w:hAnsi="Calibri"/>
      <w:sz w:val="24"/>
    </w:rPr>
  </w:style>
  <w:style w:type="paragraph" w:customStyle="1" w:styleId="224">
    <w:name w:val="首行缩进"/>
    <w:basedOn w:val="1"/>
    <w:qFormat/>
    <w:uiPriority w:val="0"/>
    <w:pPr>
      <w:spacing w:line="360" w:lineRule="auto"/>
      <w:ind w:firstLine="480" w:firstLineChars="200"/>
    </w:pPr>
    <w:rPr>
      <w:rFonts w:ascii="宋体" w:hAnsi="宋体"/>
      <w:sz w:val="24"/>
      <w:szCs w:val="24"/>
    </w:rPr>
  </w:style>
  <w:style w:type="character" w:customStyle="1" w:styleId="225">
    <w:name w:val="￥正文 Char"/>
    <w:link w:val="223"/>
    <w:qFormat/>
    <w:uiPriority w:val="0"/>
    <w:rPr>
      <w:rFonts w:ascii="Calibri" w:hAnsi="Calibri"/>
      <w:sz w:val="24"/>
      <w:szCs w:val="22"/>
    </w:rPr>
  </w:style>
  <w:style w:type="paragraph" w:customStyle="1" w:styleId="226">
    <w:name w:val="方案正文"/>
    <w:basedOn w:val="1"/>
    <w:qFormat/>
    <w:uiPriority w:val="0"/>
    <w:pPr>
      <w:snapToGrid w:val="0"/>
      <w:spacing w:line="440" w:lineRule="atLeast"/>
    </w:pPr>
    <w:rPr>
      <w:sz w:val="24"/>
    </w:rPr>
  </w:style>
  <w:style w:type="paragraph" w:customStyle="1" w:styleId="227">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8">
    <w:name w:val="批注文字 字符"/>
    <w:basedOn w:val="47"/>
    <w:link w:val="19"/>
    <w:qFormat/>
    <w:uiPriority w:val="99"/>
    <w:rPr>
      <w:rFonts w:ascii="Calibri" w:hAnsi="Calibri" w:eastAsiaTheme="minorHAnsi" w:cstheme="minorBidi"/>
      <w:sz w:val="22"/>
      <w:szCs w:val="22"/>
      <w:lang w:eastAsia="en-US"/>
    </w:rPr>
  </w:style>
  <w:style w:type="character" w:customStyle="1" w:styleId="229">
    <w:name w:val="批注主题 字符"/>
    <w:basedOn w:val="228"/>
    <w:link w:val="42"/>
    <w:semiHidden/>
    <w:qFormat/>
    <w:uiPriority w:val="99"/>
    <w:rPr>
      <w:rFonts w:asciiTheme="minorHAnsi" w:hAnsiTheme="minorHAnsi" w:eastAsiaTheme="minorHAnsi" w:cstheme="minorBidi"/>
      <w:b/>
      <w:bCs/>
      <w:sz w:val="22"/>
      <w:szCs w:val="22"/>
      <w:lang w:eastAsia="en-US"/>
    </w:rPr>
  </w:style>
  <w:style w:type="paragraph" w:customStyle="1" w:styleId="230">
    <w:name w:val="Heading3"/>
    <w:basedOn w:val="1"/>
    <w:next w:val="1"/>
    <w:autoRedefine/>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31">
    <w:name w:val="null3"/>
    <w:hidden/>
    <w:qFormat/>
    <w:uiPriority w:val="0"/>
    <w:rPr>
      <w:rFonts w:hint="eastAsia" w:asciiTheme="minorHAnsi" w:hAnsiTheme="minorHAnsi" w:eastAsiaTheme="minorEastAsia" w:cstheme="minorBidi"/>
      <w:lang w:val="en-US" w:eastAsia="zh-Hans" w:bidi="ar-SA"/>
    </w:rPr>
  </w:style>
  <w:style w:type="paragraph" w:customStyle="1" w:styleId="232">
    <w:name w:val="Table Text"/>
    <w:basedOn w:val="1"/>
    <w:semiHidden/>
    <w:qFormat/>
    <w:uiPriority w:val="0"/>
    <w:rPr>
      <w:rFonts w:ascii="黑体" w:hAnsi="黑体" w:eastAsia="黑体" w:cs="黑体"/>
      <w:sz w:val="18"/>
      <w:szCs w:val="18"/>
    </w:rPr>
  </w:style>
  <w:style w:type="table" w:customStyle="1" w:styleId="233">
    <w:name w:val="Table Normal"/>
    <w:semiHidden/>
    <w:unhideWhenUsed/>
    <w:qFormat/>
    <w:uiPriority w:val="0"/>
    <w:tblPr>
      <w:tblCellMar>
        <w:top w:w="0" w:type="dxa"/>
        <w:left w:w="0" w:type="dxa"/>
        <w:bottom w:w="0" w:type="dxa"/>
        <w:right w:w="0" w:type="dxa"/>
      </w:tblCellMar>
    </w:tblPr>
  </w:style>
  <w:style w:type="paragraph" w:customStyle="1" w:styleId="234">
    <w:name w:val="*正文"/>
    <w:basedOn w:val="1"/>
    <w:qFormat/>
    <w:uiPriority w:val="0"/>
    <w:pPr>
      <w:spacing w:line="360" w:lineRule="auto"/>
      <w:jc w:val="center"/>
    </w:pPr>
    <w:rPr>
      <w:rFonts w:ascii="宋体" w:hAnsi="宋体" w:eastAsia="宋体" w:cs="仿宋_GB2312"/>
      <w:sz w:val="24"/>
      <w:szCs w:val="24"/>
    </w:rPr>
  </w:style>
  <w:style w:type="paragraph" w:customStyle="1" w:styleId="235">
    <w:name w:val="正文首行缩进1"/>
    <w:basedOn w:val="18"/>
    <w:qFormat/>
    <w:uiPriority w:val="0"/>
    <w:pPr>
      <w:spacing w:after="120"/>
      <w:ind w:firstLine="420" w:firstLineChars="100"/>
      <w:jc w:val="both"/>
    </w:pPr>
    <w:rPr>
      <w:rFonts w:asciiTheme="minorHAnsi" w:hAnsiTheme="minorHAnsi" w:eastAsiaTheme="minorEastAsia"/>
      <w:sz w:val="21"/>
      <w:szCs w:val="24"/>
    </w:rPr>
  </w:style>
  <w:style w:type="paragraph" w:customStyle="1" w:styleId="236">
    <w:name w:val="无间隔2"/>
    <w:basedOn w:val="1"/>
    <w:qFormat/>
    <w:uiPriority w:val="99"/>
  </w:style>
  <w:style w:type="character" w:customStyle="1" w:styleId="237">
    <w:name w:val="NormalCharacter1"/>
    <w:qFormat/>
    <w:uiPriority w:val="0"/>
    <w:rPr>
      <w:rFonts w:ascii="Calibri" w:hAnsi="Calibri" w:eastAsia="宋体" w:cs="Times New Roman"/>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HP</Company>
  <Pages>77</Pages>
  <Words>15176</Words>
  <Characters>16528</Characters>
  <Lines>533</Lines>
  <Paragraphs>150</Paragraphs>
  <TotalTime>0</TotalTime>
  <ScaleCrop>false</ScaleCrop>
  <LinksUpToDate>false</LinksUpToDate>
  <CharactersWithSpaces>16665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2025-05-14T18:46:00Z</dcterms:created>
  <dc:creator>周萌</dc:creator>
  <cp:lastModifiedBy>Only Q</cp:lastModifiedBy>
  <cp:lastPrinted>2025-02-26T23:12:00Z</cp:lastPrinted>
  <dcterms:modified xsi:type="dcterms:W3CDTF">2026-07-08T01:29:52Z</dcterms:modified>
  <cp:revision>118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A83C1FF4418E4024B73590FEE1417BF9_13</vt:lpwstr>
  </property>
  <property fmtid="{D5CDD505-2E9C-101B-9397-08002B2CF9AE}" pid="4" name="KSOTemplateDocerSaveRecord">
    <vt:lpwstr>eyJoZGlkIjoiYzBmMTFkM2YzY2FiNTQ0MmZmMjliOTA5MjdiNmI1NDUiLCJ1c2VySWQiOiI0NTU4MjY1MzAifQ==</vt:lpwstr>
  </property>
</Properties>
</file>