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before="156" w:beforeAutospacing="0" w:after="156" w:afterAutospacing="0" w:line="360" w:lineRule="auto"/>
      </w:pPr>
      <w:r>
        <w:t xml:space="preserve"> </w:t>
      </w:r>
      <w:r/>
    </w:p>
    <w:p>
      <w:pPr>
        <w:pStyle w:val="886"/>
        <w:ind w:firstLine="1687"/>
        <w:jc w:val="center"/>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r>
      <w:r/>
    </w:p>
    <w:p>
      <w:pPr>
        <w:pStyle w:val="886"/>
        <w:ind w:firstLine="1687"/>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86"/>
        <w:ind w:firstLine="1687"/>
        <w:jc w:val="center"/>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r>
      <w:r/>
    </w:p>
    <w:p>
      <w:pPr>
        <w:pStyle w:val="886"/>
        <w:jc w:val="center"/>
        <w:spacing w:before="156" w:beforeAutospacing="0" w:after="156" w:afterAutospacing="0" w:line="360" w:lineRule="auto"/>
      </w:pPr>
      <w:r/>
      <w:r/>
    </w:p>
    <w:p>
      <w:pPr>
        <w:pStyle w:val="886"/>
        <w:ind w:firstLine="643"/>
        <w:spacing w:before="156" w:beforeAutospacing="0" w:after="156" w:afterAutospacing="0" w:line="360" w:lineRule="auto"/>
      </w:pPr>
      <w:r>
        <w:rPr>
          <w:rFonts w:ascii="Arial" w:hAnsi="Arial" w:cs="Arial"/>
          <w:b/>
          <w:color w:val="000000"/>
          <w:sz w:val="32"/>
          <w:szCs w:val="32"/>
        </w:rPr>
        <w:t xml:space="preserve">项目名称：</w:t>
      </w:r>
      <w:bookmarkStart w:id="0" w:name="OLE_LINK23"/>
      <w:r/>
      <w:bookmarkStart w:id="1" w:name="OLE_LINK24"/>
      <w:r>
        <w:rPr>
          <w:rFonts w:hint="eastAsia" w:ascii="Arial" w:hAnsi="Arial" w:cs="Arial"/>
          <w:b/>
          <w:color w:val="000000"/>
          <w:sz w:val="32"/>
          <w:szCs w:val="32"/>
        </w:rPr>
        <w:t xml:space="preserve">滨海县中小学（幼儿园）食堂净水设备采购及安装项目 </w:t>
      </w:r>
      <w:bookmarkEnd w:id="0"/>
      <w:r/>
      <w:bookmarkEnd w:id="1"/>
      <w:r/>
      <w:r/>
    </w:p>
    <w:p>
      <w:pPr>
        <w:pStyle w:val="886"/>
        <w:ind w:firstLine="643"/>
        <w:jc w:val="both"/>
        <w:spacing w:before="156" w:beforeAutospacing="0" w:after="156"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JSZC-320922-YCGX-G2026-0008</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spacing w:beforeAutospacing="0" w:afterAutospacing="0" w:line="360" w:lineRule="auto"/>
      </w:pPr>
      <w:r>
        <w:t xml:space="preserve"> </w:t>
      </w:r>
      <w:r/>
    </w:p>
    <w:p>
      <w:pPr>
        <w:pStyle w:val="886"/>
        <w:ind w:firstLine="643"/>
        <w:jc w:val="center"/>
        <w:spacing w:before="156" w:beforeAutospacing="0" w:after="156"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采购单位：滨海县教育局</w:t>
      </w:r>
      <w:r/>
    </w:p>
    <w:p>
      <w:pPr>
        <w:pStyle w:val="886"/>
        <w:ind w:firstLine="643"/>
        <w:jc w:val="center"/>
        <w:spacing w:before="156" w:beforeAutospacing="0" w:after="156"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6</w:t>
      </w:r>
      <w:r>
        <w:rPr>
          <w:rFonts w:ascii="Arial" w:hAnsi="Arial" w:cs="Arial"/>
          <w:b/>
          <w:color w:val="000000"/>
          <w:sz w:val="32"/>
          <w:szCs w:val="32"/>
        </w:rPr>
        <w:t xml:space="preserve">月</w:t>
      </w:r>
      <w:r/>
    </w:p>
    <w:p>
      <w:pPr>
        <w:pStyle w:val="886"/>
        <w:spacing w:before="156" w:beforeAutospacing="0" w:after="156" w:afterAutospacing="0" w:line="360" w:lineRule="auto"/>
      </w:pPr>
      <w:r>
        <w:rPr>
          <w:rFonts w:ascii="Arial" w:hAnsi="Arial" w:cs="Arial"/>
          <w:color w:val="000000"/>
        </w:rPr>
        <w:t xml:space="preserve">                        </w:t>
      </w:r>
      <w:r/>
    </w:p>
    <w:p>
      <w:pPr>
        <w:pStyle w:val="886"/>
        <w:jc w:val="center"/>
        <w:spacing w:before="156" w:beforeAutospacing="0" w:after="156" w:afterAutospacing="0" w:line="360" w:lineRule="auto"/>
      </w:pPr>
      <w:r>
        <w:t xml:space="preserve"> </w:t>
      </w:r>
      <w:r>
        <w:rPr>
          <w:rFonts w:ascii="Times New Roman" w:hAnsi="Times New Roman"/>
          <w:color w:val="000000"/>
          <w:sz w:val="21"/>
          <w:szCs w:val="21"/>
        </w:rPr>
        <w:t xml:space="preserve"> </w:t>
      </w:r>
      <w:bookmarkStart w:id="2" w:name="_Toc120614210"/>
      <w:r/>
      <w:bookmarkStart w:id="3" w:name="_Toc20823272"/>
      <w:r/>
      <w:bookmarkStart w:id="4" w:name="_Toc523127445"/>
      <w:r/>
      <w:bookmarkStart w:id="5" w:name="_Toc16938516"/>
      <w:r/>
      <w:bookmarkStart w:id="6" w:name="_Toc479757206"/>
      <w:r/>
      <w:bookmarkStart w:id="7"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886"/>
        <w:jc w:val="both"/>
        <w:spacing w:beforeAutospacing="0" w:afterAutospacing="0" w:line="480" w:lineRule="auto"/>
      </w:pPr>
      <w:r>
        <w:t xml:space="preserve"> </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 </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24</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30</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43</w:t>
      </w:r>
      <w:r/>
    </w:p>
    <w:p>
      <w:pPr>
        <w:pStyle w:val="886"/>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47</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jc w:val="both"/>
        <w:spacing w:beforeAutospacing="0" w:afterAutospacing="0"/>
      </w:pPr>
      <w:r>
        <w:t xml:space="preserve"> </w:t>
      </w:r>
      <w:r/>
    </w:p>
    <w:p>
      <w:pPr>
        <w:pStyle w:val="886"/>
        <w:ind w:firstLine="880"/>
        <w:jc w:val="center"/>
        <w:keepNext/>
        <w:spacing w:beforeAutospacing="0" w:afterAutospacing="0"/>
        <w:rPr>
          <w:rFonts w:eastAsia="黑体"/>
        </w:rPr>
      </w:pPr>
      <w:r/>
      <w:bookmarkStart w:id="8"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86"/>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86"/>
        <w:ind w:firstLine="482"/>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滨海县中小学（幼儿园）食堂净水设备采购及安装项目</w:t>
      </w:r>
      <w:r>
        <w:rPr>
          <w:rFonts w:ascii="宋体" w:hAnsi="宋体" w:eastAsia="宋体" w:cs="宋体"/>
          <w:color w:val="000000"/>
        </w:rPr>
        <w:t xml:space="preserve">JSZC-320922-YCGX-G2026-0008</w:t>
      </w:r>
      <w:r>
        <w:rPr>
          <w:rFonts w:hint="eastAsia" w:ascii="宋体" w:hAnsi="宋体" w:eastAsia="宋体" w:cs="宋体"/>
          <w:color w:val="000000"/>
        </w:rPr>
        <w:t xml:space="preserve"> 招标项目的潜在投标人应在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rPr>
        <w:t xml:space="preserve">2026</w:t>
      </w:r>
      <w:r>
        <w:rPr>
          <w:rFonts w:hint="eastAsia" w:ascii="宋体" w:hAnsi="宋体" w:eastAsia="宋体" w:cs="宋体"/>
          <w:color w:val="000000"/>
        </w:rPr>
        <w:t xml:space="preserve">-7-</w:t>
      </w:r>
      <w:r>
        <w:rPr>
          <w:rFonts w:hint="eastAsia" w:ascii="宋体" w:hAnsi="宋体" w:eastAsia="宋体" w:cs="宋体"/>
          <w:color w:val="000000"/>
        </w:rPr>
        <w:t xml:space="preserve">1</w:t>
      </w:r>
      <w:r>
        <w:rPr>
          <w:rFonts w:hint="eastAsia" w:ascii="宋体" w:hAnsi="宋体" w:eastAsia="宋体" w:cs="宋体"/>
          <w:color w:val="000000"/>
        </w:rPr>
        <w:t xml:space="preserve">3 15:00（北京时间）前递交投标文件。</w:t>
      </w:r>
      <w:r/>
    </w:p>
    <w:p>
      <w:pPr>
        <w:pStyle w:val="886"/>
        <w:ind w:firstLine="482"/>
        <w:jc w:val="both"/>
        <w:keepLines/>
        <w:keepNext/>
        <w:spacing w:before="156" w:beforeAutospacing="0" w:after="156" w:afterAutospacing="0" w:line="360" w:lineRule="auto"/>
        <w:rPr>
          <w:rFonts w:ascii="宋体" w:hAnsi="宋体" w:eastAsia="宋体" w:cs="宋体"/>
        </w:rPr>
      </w:pPr>
      <w:r/>
      <w:bookmarkStart w:id="9" w:name="_Toc38985263"/>
      <w:r/>
      <w:bookmarkStart w:id="10" w:name="_Toc35393790"/>
      <w:r/>
      <w:bookmarkStart w:id="11" w:name="_Hlk24379207"/>
      <w:r/>
      <w:bookmarkStart w:id="12" w:name="_Toc28359002"/>
      <w:r/>
      <w:bookmarkStart w:id="13" w:name="_Toc28359079"/>
      <w:r/>
      <w:bookmarkStart w:id="14" w:name="_Toc35393621"/>
      <w:r>
        <w:rPr>
          <w:rFonts w:hint="eastAsia" w:ascii="宋体" w:hAnsi="宋体" w:eastAsia="宋体" w:cs="宋体"/>
          <w:b/>
          <w:color w:val="000000"/>
        </w:rPr>
        <w:t xml:space="preserve">一、项目基本情况</w:t>
      </w:r>
      <w:bookmarkEnd w:id="9"/>
      <w:r/>
      <w:bookmarkEnd w:id="10"/>
      <w:r/>
      <w:bookmarkEnd w:id="11"/>
      <w:r/>
      <w:bookmarkEnd w:id="12"/>
      <w:r/>
      <w:bookmarkEnd w:id="13"/>
      <w:r/>
      <w:bookmarkEnd w:id="14"/>
      <w:r/>
      <w:r/>
    </w:p>
    <w:p>
      <w:pPr>
        <w:pStyle w:val="886"/>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JSZC-320922-YCGX-G2026-0008</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w:t>
      </w:r>
      <w:bookmarkStart w:id="15" w:name="OLE_LINK27"/>
      <w:r/>
      <w:bookmarkStart w:id="16" w:name="OLE_LINK28"/>
      <w:r>
        <w:rPr>
          <w:rFonts w:hint="eastAsia" w:ascii="宋体" w:hAnsi="宋体" w:eastAsia="宋体" w:cs="宋体"/>
          <w:color w:val="000000"/>
        </w:rPr>
        <w:t xml:space="preserve">滨海县中小学（幼儿园）食堂净水设备采购及安装项目</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320</w:t>
      </w:r>
      <w:r>
        <w:rPr>
          <w:rFonts w:hint="eastAsia" w:ascii="宋体" w:hAnsi="宋体" w:eastAsia="宋体" w:cs="宋体"/>
          <w:color w:val="000000"/>
        </w:rPr>
        <w:t xml:space="preserve">万元</w:t>
      </w:r>
      <w:r/>
    </w:p>
    <w:p>
      <w:pPr>
        <w:pStyle w:val="886"/>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5.最高限价（如有）：200万元</w:t>
      </w:r>
      <w:bookmarkEnd w:id="15"/>
      <w:r/>
      <w:bookmarkEnd w:id="16"/>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w:t>
      </w:r>
      <w:bookmarkStart w:id="17" w:name="OLE_LINK29"/>
      <w:r/>
      <w:bookmarkStart w:id="18" w:name="OLE_LINK30"/>
      <w:r>
        <w:rPr>
          <w:rFonts w:hint="eastAsia" w:ascii="宋体" w:hAnsi="宋体" w:eastAsia="宋体" w:cs="宋体"/>
          <w:color w:val="000000"/>
        </w:rPr>
        <w:t xml:space="preserve">滨海县中小学（幼儿园）食堂安装净水设备（详细内容见本招标文件第四章）</w:t>
      </w:r>
      <w:bookmarkEnd w:id="17"/>
      <w:r/>
      <w:bookmarkEnd w:id="18"/>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7.合同履行期限：签订合同后60天内完成供货、安装调试完毕并通过设备验收和水质检测，交付学校正常使用。</w:t>
      </w:r>
      <w:r/>
    </w:p>
    <w:p>
      <w:pPr>
        <w:pStyle w:val="886"/>
        <w:ind w:firstLine="48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8.本项目（是/否）接受联合体：</w:t>
      </w:r>
      <w:r>
        <w:rPr>
          <w:rFonts w:hint="eastAsia" w:ascii="宋体" w:hAnsi="宋体" w:eastAsia="宋体" w:cs="宋体"/>
          <w:color w:val="333333"/>
          <w:shd w:val="clear" w:color="auto" w:fill="ffffff"/>
        </w:rPr>
        <w:t xml:space="preserve">否</w:t>
      </w:r>
      <w:r/>
    </w:p>
    <w:p>
      <w:pPr>
        <w:pStyle w:val="886"/>
        <w:ind w:firstLine="482"/>
        <w:jc w:val="both"/>
        <w:keepLines/>
        <w:keepNext/>
        <w:spacing w:before="156" w:beforeAutospacing="0" w:after="156" w:afterAutospacing="0" w:line="360" w:lineRule="auto"/>
        <w:rPr>
          <w:rFonts w:ascii="宋体" w:hAnsi="宋体" w:eastAsia="宋体" w:cs="宋体"/>
        </w:rPr>
      </w:pPr>
      <w:r/>
      <w:bookmarkStart w:id="19" w:name="_Toc28359003"/>
      <w:r/>
      <w:bookmarkStart w:id="20" w:name="_Toc38985264"/>
      <w:r/>
      <w:bookmarkStart w:id="21" w:name="_Toc28359080"/>
      <w:r/>
      <w:bookmarkStart w:id="22" w:name="_Toc35393791"/>
      <w:r/>
      <w:bookmarkStart w:id="23" w:name="_Toc35393622"/>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bookmarkStart w:id="24" w:name="OLE_LINK41"/>
      <w:r/>
      <w:bookmarkStart w:id="25" w:name="OLE_LINK42"/>
      <w:r>
        <w:rPr>
          <w:rFonts w:hint="eastAsia" w:ascii="宋体" w:hAnsi="宋体" w:eastAsia="宋体" w:cs="宋体"/>
          <w:color w:val="000000"/>
        </w:rPr>
        <w:t xml:space="preserve">法人或者其他组织的营业执照等证明文件，自然人的身份证明；</w:t>
      </w:r>
      <w:bookmarkEnd w:id="24"/>
      <w:r/>
      <w:bookmarkEnd w:id="25"/>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6" w:name="OLE_LINK43"/>
      <w:r/>
      <w:bookmarkStart w:id="27" w:name="OLE_LINK44"/>
      <w:r>
        <w:rPr>
          <w:rFonts w:hint="eastAsia" w:ascii="宋体" w:hAnsi="宋体" w:eastAsia="宋体" w:cs="宋体"/>
          <w:color w:val="000000"/>
        </w:rPr>
        <w:t xml:space="preserve">上一年度的财务状况报告（成立不满一年无需提供）；</w:t>
      </w:r>
      <w:bookmarkEnd w:id="26"/>
      <w:r/>
      <w:bookmarkEnd w:id="27"/>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8" w:name="OLE_LINK45"/>
      <w:r/>
      <w:bookmarkStart w:id="29" w:name="OLE_LINK46"/>
      <w:r>
        <w:rPr>
          <w:rFonts w:hint="eastAsia" w:ascii="宋体" w:hAnsi="宋体" w:eastAsia="宋体" w:cs="宋体"/>
          <w:color w:val="000000"/>
        </w:rPr>
        <w:t xml:space="preserve">具备履行合同所必需的设备和专业技术能力的书面声明；</w:t>
      </w:r>
      <w:bookmarkEnd w:id="28"/>
      <w:r/>
      <w:bookmarkEnd w:id="29"/>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30" w:name="OLE_LINK47"/>
      <w:r/>
      <w:bookmarkStart w:id="31" w:name="OLE_LINK48"/>
      <w:r>
        <w:rPr>
          <w:rFonts w:hint="eastAsia" w:ascii="宋体" w:hAnsi="宋体" w:eastAsia="宋体" w:cs="宋体"/>
          <w:color w:val="000000"/>
        </w:rPr>
        <w:t xml:space="preserve">参加政府采购活动前3年内在经营活动中没有重大违法记录的书面声明。</w:t>
      </w:r>
      <w:bookmarkEnd w:id="30"/>
      <w:r/>
      <w:bookmarkEnd w:id="31"/>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2" w:name="OLE_LINK49"/>
      <w:r/>
      <w:bookmarkStart w:id="33" w:name="OLE_LINK50"/>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2"/>
      <w:r/>
      <w:bookmarkEnd w:id="33"/>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4" w:name="OLE_LINK51"/>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4"/>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5" w:name="OLE_LINK52"/>
      <w:r/>
      <w:bookmarkStart w:id="36" w:name="OLE_LINK53"/>
      <w:r>
        <w:rPr>
          <w:rFonts w:hint="eastAsia" w:ascii="宋体" w:hAnsi="宋体" w:eastAsia="宋体" w:cs="宋体"/>
          <w:color w:val="000000"/>
        </w:rPr>
        <w:t xml:space="preserve">法律、行政法规规定的其他条件。</w:t>
      </w:r>
      <w:bookmarkEnd w:id="35"/>
      <w:r/>
      <w:bookmarkEnd w:id="36"/>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bookmarkStart w:id="37" w:name="OLE_LINK54"/>
      <w:r/>
      <w:bookmarkStart w:id="38" w:name="OLE_LINK55"/>
      <w:r>
        <w:rPr>
          <w:rFonts w:hint="eastAsia" w:ascii="宋体" w:hAnsi="宋体" w:eastAsia="宋体" w:cs="宋体"/>
          <w:color w:val="000000"/>
        </w:rPr>
        <w:t xml:space="preserve">本项目为非专门面向中小企业采购的项目,所属行业为工业，本项目落实小微型企业、残疾人福利性单位及监狱企业扶持等相关政府采购政策。对符合（财库[2020]46号）规定的小</w:t>
      </w:r>
      <w:r>
        <w:rPr>
          <w:rFonts w:hint="eastAsia" w:ascii="宋体" w:hAnsi="宋体" w:eastAsia="宋体" w:cs="宋体"/>
          <w:color w:val="000000"/>
        </w:rPr>
        <w:t xml:space="preserve">微企业</w:t>
      </w:r>
      <w:r>
        <w:rPr>
          <w:rFonts w:hint="eastAsia" w:ascii="宋体" w:hAnsi="宋体" w:eastAsia="宋体" w:cs="宋体"/>
          <w:color w:val="000000"/>
        </w:rPr>
        <w:t xml:space="preserve">报价给予20%的价格扣除，用扣除后的价格参与评审。</w:t>
      </w:r>
      <w:bookmarkEnd w:id="37"/>
      <w:r/>
      <w:bookmarkEnd w:id="38"/>
      <w:r/>
      <w:r/>
    </w:p>
    <w:p>
      <w:pPr>
        <w:pStyle w:val="886"/>
        <w:ind w:firstLine="480"/>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3.1</w:t>
      </w:r>
      <w:bookmarkStart w:id="39" w:name="OLE_LINK58"/>
      <w:r/>
      <w:bookmarkStart w:id="40" w:name="OLE_LINK59"/>
      <w:r/>
      <w:bookmarkStart w:id="41" w:name="OLE_LINK60"/>
      <w:r/>
      <w:bookmarkStart w:id="42" w:name="OLE_LINK56"/>
      <w:r/>
      <w:bookmarkStart w:id="43" w:name="OLE_LINK57"/>
      <w:r>
        <w:rPr>
          <w:rFonts w:hint="eastAsia" w:ascii="宋体" w:hAnsi="宋体" w:eastAsia="宋体" w:cs="宋体"/>
          <w:color w:val="000000"/>
        </w:rPr>
        <w:t xml:space="preserve">供应商须提供所投净水设备整机的《涉及饮用水卫生安全产品卫生许可批件》</w:t>
      </w:r>
      <w:bookmarkEnd w:id="39"/>
      <w:r/>
      <w:bookmarkEnd w:id="40"/>
      <w:r>
        <w:rPr>
          <w:rFonts w:hint="eastAsia" w:ascii="宋体" w:hAnsi="宋体" w:eastAsia="宋体" w:cs="宋体"/>
          <w:color w:val="000000"/>
        </w:rPr>
        <w:t xml:space="preserve">。</w:t>
      </w:r>
      <w:bookmarkEnd w:id="41"/>
      <w:r/>
      <w:bookmarkEnd w:id="42"/>
      <w:r/>
      <w:bookmarkEnd w:id="43"/>
      <w:r/>
      <w:r/>
    </w:p>
    <w:p>
      <w:pPr>
        <w:pStyle w:val="886"/>
        <w:ind w:firstLine="482"/>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b/>
          <w:color w:val="000000"/>
        </w:rPr>
        <w:t xml:space="preserve">三、获取招标文件</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bookmarkStart w:id="44" w:name="_Toc35393624"/>
      <w:r/>
      <w:bookmarkStart w:id="45" w:name="_Toc28359005"/>
      <w:r/>
      <w:bookmarkStart w:id="46" w:name="_Toc38985266"/>
      <w:r/>
      <w:bookmarkStart w:id="47" w:name="_Toc35393793"/>
      <w:r/>
      <w:bookmarkStart w:id="48" w:name="_Toc28359082"/>
      <w:r>
        <w:rPr>
          <w:rFonts w:hint="eastAsia" w:ascii="宋体" w:hAnsi="宋体" w:eastAsia="宋体" w:cs="宋体"/>
          <w:color w:val="000000"/>
        </w:rPr>
        <w:t xml:space="preserve">1.时间：</w:t>
      </w:r>
      <w:bookmarkEnd w:id="44"/>
      <w:r/>
      <w:bookmarkEnd w:id="45"/>
      <w:r/>
      <w:bookmarkEnd w:id="46"/>
      <w:r/>
      <w:bookmarkEnd w:id="47"/>
      <w:r/>
      <w:bookmarkEnd w:id="48"/>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86"/>
        <w:ind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86"/>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2026</w:t>
      </w:r>
      <w:r>
        <w:rPr>
          <w:rFonts w:hint="eastAsia" w:ascii="宋体" w:hAnsi="宋体" w:eastAsia="宋体" w:cs="宋体"/>
          <w:color w:val="333333"/>
          <w:u w:val="single"/>
        </w:rPr>
        <w:t xml:space="preserve">年7月</w:t>
      </w:r>
      <w:r>
        <w:rPr>
          <w:rFonts w:hint="eastAsia" w:ascii="宋体" w:hAnsi="宋体" w:eastAsia="宋体" w:cs="宋体"/>
          <w:color w:val="333333"/>
          <w:u w:val="single"/>
        </w:rPr>
        <w:t xml:space="preserve">1</w:t>
      </w:r>
      <w:r>
        <w:rPr>
          <w:rFonts w:hint="eastAsia" w:ascii="宋体" w:hAnsi="宋体" w:eastAsia="宋体" w:cs="宋体"/>
          <w:color w:val="333333"/>
          <w:u w:val="single"/>
        </w:rPr>
        <w:t xml:space="preserve">3日 </w:t>
      </w:r>
      <w:r>
        <w:rPr>
          <w:rFonts w:hint="eastAsia" w:ascii="宋体" w:hAnsi="宋体" w:eastAsia="宋体" w:cs="宋体"/>
          <w:color w:val="333333"/>
        </w:rPr>
        <w:t xml:space="preserve">15:00</w:t>
      </w:r>
      <w:r>
        <w:rPr>
          <w:rFonts w:hint="eastAsia" w:ascii="宋体" w:hAnsi="宋体" w:eastAsia="宋体" w:cs="宋体"/>
          <w:color w:val="000000"/>
        </w:rPr>
        <w:t xml:space="preserve">（北京时间）</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886"/>
        <w:ind w:firstLine="482"/>
        <w:jc w:val="both"/>
        <w:keepLines/>
        <w:keepNext/>
        <w:spacing w:before="156" w:beforeAutospacing="0" w:after="156" w:afterAutospacing="0" w:line="360" w:lineRule="auto"/>
        <w:rPr>
          <w:rFonts w:ascii="宋体" w:hAnsi="宋体" w:eastAsia="宋体" w:cs="宋体"/>
        </w:rPr>
      </w:pPr>
      <w:r/>
      <w:bookmarkStart w:id="49" w:name="_Toc28359007"/>
      <w:r/>
      <w:bookmarkStart w:id="50" w:name="_Toc28359084"/>
      <w:r/>
      <w:bookmarkStart w:id="51" w:name="_Toc35393625"/>
      <w:r/>
      <w:bookmarkStart w:id="52" w:name="_Toc35393794"/>
      <w:r/>
      <w:bookmarkStart w:id="53" w:name="_Toc38985267"/>
      <w:r>
        <w:rPr>
          <w:rFonts w:hint="eastAsia" w:ascii="宋体" w:hAnsi="宋体" w:eastAsia="宋体" w:cs="宋体"/>
          <w:b/>
          <w:color w:val="000000"/>
        </w:rPr>
        <w:t xml:space="preserve">五、公告期限</w:t>
      </w:r>
      <w:bookmarkEnd w:id="49"/>
      <w:r/>
      <w:bookmarkEnd w:id="50"/>
      <w:r/>
      <w:bookmarkEnd w:id="51"/>
      <w:r/>
      <w:bookmarkEnd w:id="52"/>
      <w:r/>
      <w:bookmarkEnd w:id="53"/>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4" w:name="_Toc38985268"/>
      <w:r/>
      <w:bookmarkStart w:id="55" w:name="_Toc35393626"/>
      <w:r/>
      <w:bookmarkStart w:id="56" w:name="_Toc35393795"/>
      <w:r>
        <w:rPr>
          <w:rFonts w:hint="eastAsia" w:ascii="宋体" w:hAnsi="宋体" w:eastAsia="宋体" w:cs="宋体"/>
          <w:color w:val="333333"/>
          <w:shd w:val="clear" w:color="auto" w:fill="ffffff"/>
        </w:rPr>
        <w:t xml:space="preserve">自本公告发布之日起5个工作日。</w:t>
      </w:r>
      <w:bookmarkEnd w:id="54"/>
      <w:r/>
      <w:bookmarkEnd w:id="55"/>
      <w:r/>
      <w:bookmarkEnd w:id="56"/>
      <w:r/>
      <w:r/>
    </w:p>
    <w:p>
      <w:pPr>
        <w:pStyle w:val="886"/>
        <w:ind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7"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盐城市盐都区府西路1号盐城市政务服务中心4楼盐城市公共资源交易中心10号、11号窗口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705"/>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57"/>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bookmarkStart w:id="58" w:name="OLE_LINK37"/>
      <w:r>
        <w:rPr>
          <w:rFonts w:hint="eastAsia" w:ascii="宋体" w:hAnsi="宋体" w:eastAsia="宋体" w:cs="宋体"/>
          <w:color w:val="333333"/>
          <w:shd w:val="clear" w:color="auto" w:fill="ffffff"/>
        </w:rPr>
        <w:t xml:space="preserve">滨海县教育局</w:t>
      </w:r>
      <w:bookmarkEnd w:id="58"/>
      <w:r>
        <w:rPr>
          <w:rFonts w:hint="eastAsia" w:ascii="宋体" w:hAnsi="宋体" w:eastAsia="宋体" w:cs="宋体"/>
          <w:color w:val="333333"/>
          <w:shd w:val="clear" w:color="auto" w:fill="ffffff"/>
        </w:rPr>
        <w:t xml:space="preserve">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地址：滨海县中市路355号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9" w:name="OLE_LINK31"/>
      <w:r/>
      <w:bookmarkStart w:id="60" w:name="OLE_LINK32"/>
      <w:r>
        <w:rPr>
          <w:rFonts w:hint="eastAsia" w:ascii="宋体" w:hAnsi="宋体" w:eastAsia="宋体" w:cs="宋体"/>
          <w:color w:val="333333"/>
          <w:shd w:val="clear" w:color="auto" w:fill="ffffff"/>
        </w:rPr>
        <w:t xml:space="preserve">徐先生</w:t>
      </w:r>
      <w:bookmarkEnd w:id="59"/>
      <w:r/>
      <w:bookmarkEnd w:id="60"/>
      <w:r>
        <w:rPr>
          <w:rFonts w:hint="eastAsia" w:ascii="宋体" w:hAnsi="宋体" w:eastAsia="宋体" w:cs="宋体"/>
          <w:color w:val="333333"/>
          <w:shd w:val="clear" w:color="auto" w:fill="ffffff"/>
        </w:rPr>
        <w:t xml:space="preserve">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1" w:name="OLE_LINK33"/>
      <w:r/>
      <w:bookmarkStart w:id="62" w:name="OLE_LINK34"/>
      <w:r>
        <w:rPr>
          <w:rFonts w:hint="eastAsia" w:ascii="宋体" w:hAnsi="宋体" w:eastAsia="宋体" w:cs="宋体"/>
          <w:color w:val="333333"/>
          <w:shd w:val="clear" w:color="auto" w:fill="ffffff"/>
        </w:rPr>
        <w:t xml:space="preserve">13851199969</w:t>
      </w:r>
      <w:bookmarkEnd w:id="61"/>
      <w:r/>
      <w:bookmarkEnd w:id="62"/>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bookmarkStart w:id="63" w:name="OLE_LINK35"/>
      <w:r/>
      <w:bookmarkStart w:id="64" w:name="OLE_LINK36"/>
      <w:r>
        <w:rPr>
          <w:rFonts w:hint="eastAsia" w:ascii="宋体" w:hAnsi="宋体" w:eastAsia="宋体" w:cs="宋体"/>
          <w:color w:val="333333"/>
          <w:shd w:val="clear" w:color="auto" w:fill="ffffff"/>
        </w:rPr>
        <w:t xml:space="preserve">射阳县五洲国际B7号楼502室</w:t>
      </w:r>
      <w:bookmarkEnd w:id="63"/>
      <w:r/>
      <w:bookmarkEnd w:id="64"/>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65" w:name="OLE_LINK38"/>
      <w:r>
        <w:rPr>
          <w:rFonts w:hint="eastAsia" w:ascii="宋体" w:hAnsi="宋体" w:eastAsia="宋体" w:cs="宋体"/>
          <w:color w:val="333333"/>
          <w:shd w:val="clear" w:color="auto" w:fill="ffffff"/>
        </w:rPr>
        <w:t xml:space="preserve">薛金凤</w:t>
      </w:r>
      <w:bookmarkEnd w:id="65"/>
      <w:r>
        <w:rPr>
          <w:rFonts w:hint="eastAsia" w:ascii="宋体" w:hAnsi="宋体" w:eastAsia="宋体" w:cs="宋体"/>
          <w:color w:val="333333"/>
          <w:shd w:val="clear" w:color="auto" w:fill="ffffff"/>
        </w:rPr>
        <w:t xml:space="preserve">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6" w:name="OLE_LINK39"/>
      <w:r/>
      <w:bookmarkStart w:id="67" w:name="OLE_LINK40"/>
      <w:r/>
      <w:bookmarkStart w:id="68" w:name="_Toc28359010"/>
      <w:r/>
      <w:bookmarkStart w:id="69" w:name="_Toc28359087"/>
      <w:r>
        <w:rPr>
          <w:rFonts w:ascii="宋体" w:hAnsi="宋体" w:eastAsia="宋体" w:cs="宋体"/>
          <w:color w:val="333333"/>
          <w:shd w:val="clear" w:color="auto" w:fill="ffffff"/>
        </w:rPr>
        <w:t xml:space="preserve">18921860026</w:t>
      </w:r>
      <w:bookmarkEnd w:id="66"/>
      <w:r/>
      <w:bookmarkEnd w:id="67"/>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bookmarkEnd w:id="68"/>
      <w:r/>
      <w:bookmarkEnd w:id="69"/>
      <w:r>
        <w:rPr>
          <w:rFonts w:hint="eastAsia" w:ascii="宋体" w:hAnsi="宋体" w:eastAsia="宋体" w:cs="宋体"/>
          <w:color w:val="333333"/>
          <w:shd w:val="clear" w:color="auto" w:fill="ffffff"/>
        </w:rPr>
        <w:t xml:space="preserve">            </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70" w:name="_Toc28359021"/>
      <w:r>
        <w:rPr>
          <w:rFonts w:hint="eastAsia" w:ascii="宋体" w:hAnsi="宋体" w:eastAsia="宋体" w:cs="宋体"/>
          <w:color w:val="333333"/>
          <w:shd w:val="clear" w:color="auto" w:fill="ffffff"/>
        </w:rPr>
        <w:t xml:space="preserve">3.</w:t>
      </w:r>
      <w:bookmarkEnd w:id="70"/>
      <w:r>
        <w:rPr>
          <w:rFonts w:hint="eastAsia" w:ascii="宋体" w:hAnsi="宋体" w:eastAsia="宋体" w:cs="宋体"/>
          <w:color w:val="333333"/>
          <w:shd w:val="clear" w:color="auto" w:fill="ffffff"/>
        </w:rPr>
        <w:t xml:space="preserve">项目联系方式</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项目联系人：薛金凤</w:t>
      </w:r>
      <w:r/>
    </w:p>
    <w:p>
      <w:pPr>
        <w:pStyle w:val="886"/>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71" w:name="_Toc120614211"/>
      <w:r/>
      <w:r/>
    </w:p>
    <w:p>
      <w:pPr>
        <w:pStyle w:val="886"/>
        <w:ind w:firstLine="1767"/>
        <w:jc w:val="both"/>
        <w:keepLines/>
        <w:keepNext/>
        <w:spacing w:before="156" w:beforeAutospacing="0" w:after="156"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72" w:name="_Toc120614213"/>
      <w:r/>
      <w:bookmarkStart w:id="73" w:name="_Toc513029202"/>
      <w:r/>
      <w:bookmarkStart w:id="74" w:name="_Toc16938518"/>
      <w:r/>
      <w:bookmarkStart w:id="75" w:name="_Toc20823274"/>
      <w:r/>
      <w:bookmarkEnd w:id="71"/>
      <w:r>
        <w:rPr>
          <w:rFonts w:hint="eastAsia" w:ascii="黑体" w:hAnsi="宋体" w:eastAsia="黑体" w:cs="黑体"/>
          <w:b/>
          <w:color w:val="000000"/>
          <w:sz w:val="44"/>
          <w:szCs w:val="44"/>
        </w:rPr>
        <w:t xml:space="preserve">投标人须知</w:t>
      </w:r>
      <w:bookmarkEnd w:id="72"/>
      <w:r/>
      <w:bookmarkEnd w:id="73"/>
      <w:r/>
      <w:bookmarkEnd w:id="74"/>
      <w:r/>
      <w:bookmarkEnd w:id="75"/>
      <w:r/>
      <w:r/>
    </w:p>
    <w:p>
      <w:pPr>
        <w:pStyle w:val="886"/>
        <w:ind w:firstLine="482"/>
        <w:jc w:val="both"/>
        <w:keepLines/>
        <w:keepNext/>
        <w:spacing w:before="156" w:beforeAutospacing="0" w:after="156" w:afterAutospacing="0" w:line="360" w:lineRule="auto"/>
        <w:rPr>
          <w:rFonts w:ascii="宋体" w:hAnsi="宋体" w:eastAsia="宋体" w:cs="宋体"/>
        </w:rPr>
      </w:pPr>
      <w:r/>
      <w:bookmarkStart w:id="76" w:name="_Toc16938519"/>
      <w:r/>
      <w:bookmarkStart w:id="77" w:name="_Toc20823275"/>
      <w:r/>
      <w:bookmarkStart w:id="78" w:name="_Toc513029203"/>
      <w:r/>
      <w:bookmarkStart w:id="79" w:name="_Toc120614214"/>
      <w:r>
        <w:rPr>
          <w:rFonts w:hint="eastAsia" w:ascii="宋体" w:hAnsi="宋体" w:eastAsia="宋体" w:cs="宋体"/>
          <w:b/>
          <w:color w:val="000000"/>
        </w:rPr>
        <w:t xml:space="preserve">一、总则</w:t>
      </w:r>
      <w:bookmarkEnd w:id="76"/>
      <w:r/>
      <w:bookmarkEnd w:id="77"/>
      <w:r/>
      <w:bookmarkEnd w:id="78"/>
      <w:r/>
      <w:bookmarkEnd w:id="79"/>
      <w:r/>
      <w:r/>
    </w:p>
    <w:p>
      <w:pPr>
        <w:pStyle w:val="886"/>
        <w:ind w:firstLine="480"/>
        <w:jc w:val="both"/>
        <w:keepLines/>
        <w:keepNext/>
        <w:spacing w:beforeAutospacing="0" w:afterAutospacing="0" w:line="360" w:lineRule="auto"/>
        <w:rPr>
          <w:rFonts w:ascii="宋体" w:hAnsi="宋体" w:eastAsia="宋体" w:cs="宋体"/>
        </w:rPr>
      </w:pPr>
      <w:r/>
      <w:bookmarkStart w:id="80" w:name="_Toc20823276"/>
      <w:r/>
      <w:bookmarkStart w:id="81" w:name="_Toc513029204"/>
      <w:r/>
      <w:bookmarkStart w:id="82" w:name="_Toc458694821"/>
      <w:r/>
      <w:bookmarkStart w:id="83" w:name="_Toc16938520"/>
      <w:r/>
      <w:bookmarkStart w:id="84" w:name="_Hlt16619475"/>
      <w:r>
        <w:rPr>
          <w:rFonts w:hint="eastAsia" w:ascii="宋体" w:hAnsi="宋体" w:eastAsia="宋体" w:cs="宋体"/>
          <w:color w:val="000000"/>
        </w:rPr>
        <w:t xml:space="preserve">1</w:t>
      </w:r>
      <w:bookmarkEnd w:id="80"/>
      <w:r>
        <w:rPr>
          <w:rFonts w:hint="eastAsia" w:ascii="宋体" w:hAnsi="宋体" w:eastAsia="宋体" w:cs="宋体"/>
          <w:color w:val="000000"/>
        </w:rPr>
        <w:t xml:space="preserve">、招标方式</w:t>
      </w:r>
      <w:bookmarkEnd w:id="81"/>
      <w:r/>
      <w:bookmarkEnd w:id="82"/>
      <w:r/>
      <w:bookmarkEnd w:id="83"/>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86"/>
        <w:ind w:firstLine="480"/>
        <w:jc w:val="both"/>
        <w:keepLines/>
        <w:keepNext/>
        <w:spacing w:beforeAutospacing="0" w:afterAutospacing="0" w:line="360" w:lineRule="auto"/>
        <w:rPr>
          <w:rFonts w:ascii="宋体" w:hAnsi="宋体" w:eastAsia="宋体" w:cs="宋体"/>
        </w:rPr>
      </w:pPr>
      <w:r/>
      <w:bookmarkStart w:id="85" w:name="_Toc513029205"/>
      <w:r/>
      <w:bookmarkStart w:id="86" w:name="_Toc16938521"/>
      <w:r/>
      <w:bookmarkStart w:id="87" w:name="_Toc20823277"/>
      <w:r>
        <w:rPr>
          <w:rFonts w:hint="eastAsia" w:ascii="宋体" w:hAnsi="宋体" w:eastAsia="宋体" w:cs="宋体"/>
          <w:color w:val="000000"/>
        </w:rPr>
        <w:t xml:space="preserve">2、合格的投标人</w:t>
      </w:r>
      <w:bookmarkEnd w:id="85"/>
      <w:r/>
      <w:bookmarkEnd w:id="86"/>
      <w:r/>
      <w:bookmarkEnd w:id="87"/>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8" w:name="_Toc16938522"/>
      <w:r/>
      <w:bookmarkStart w:id="89" w:name="_Toc20823278"/>
      <w:r/>
      <w:bookmarkStart w:id="90" w:name="_Toc513029206"/>
      <w:r>
        <w:rPr>
          <w:rFonts w:hint="eastAsia" w:ascii="方正魏碑_GBK" w:hAnsi="方正魏碑_GBK" w:eastAsia="方正魏碑_GBK" w:cs="方正魏碑_GBK"/>
          <w:sz w:val="24"/>
          <w:szCs w:val="21"/>
        </w:rPr>
        <w:t xml:space="preserve">3、适用法律</w:t>
      </w:r>
      <w:bookmarkEnd w:id="88"/>
      <w:r/>
      <w:bookmarkEnd w:id="89"/>
      <w:r/>
      <w:bookmarkEnd w:id="90"/>
      <w:r>
        <w:rPr>
          <w:rFonts w:hint="eastAsia" w:ascii="方正魏碑_GBK" w:hAnsi="方正魏碑_GBK" w:eastAsia="方正魏碑_GBK" w:cs="方正魏碑_GBK"/>
          <w:sz w:val="24"/>
          <w:szCs w:val="21"/>
        </w:rPr>
        <w:t xml:space="preserve">和标准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3.2在本项目政府采购活动过程中，如果所执行的标准有更新的，按照最新标准执行。</w:t>
      </w:r>
      <w:r/>
    </w:p>
    <w:p>
      <w:pPr>
        <w:pStyle w:val="886"/>
        <w:ind w:firstLine="480"/>
        <w:jc w:val="both"/>
        <w:keepLines/>
        <w:keepNext/>
        <w:spacing w:beforeAutospacing="0" w:afterAutospacing="0" w:line="360" w:lineRule="auto"/>
        <w:rPr>
          <w:rFonts w:ascii="宋体" w:hAnsi="宋体" w:eastAsia="宋体" w:cs="宋体"/>
        </w:rPr>
      </w:pPr>
      <w:r/>
      <w:bookmarkStart w:id="91" w:name="_Toc20823279"/>
      <w:r/>
      <w:bookmarkStart w:id="92" w:name="_Toc462564067"/>
      <w:r/>
      <w:bookmarkStart w:id="93" w:name="_Toc16938523"/>
      <w:r/>
      <w:bookmarkStart w:id="94" w:name="_Toc513029207"/>
      <w:r>
        <w:rPr>
          <w:rFonts w:hint="eastAsia" w:ascii="宋体" w:hAnsi="宋体" w:eastAsia="宋体" w:cs="宋体"/>
          <w:color w:val="000000"/>
        </w:rPr>
        <w:t xml:space="preserve">4、投标费用</w:t>
      </w:r>
      <w:bookmarkEnd w:id="91"/>
      <w:r/>
      <w:bookmarkEnd w:id="92"/>
      <w:r/>
      <w:bookmarkEnd w:id="93"/>
      <w:r/>
      <w:bookmarkEnd w:id="94"/>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4.2本次招标代理机构和采购人不收取标书工本费。</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代理服务费：本项目代理服务费8</w:t>
      </w:r>
      <w:r>
        <w:rPr>
          <w:rFonts w:ascii="宋体" w:hAnsi="宋体" w:eastAsia="宋体" w:cs="宋体"/>
          <w:color w:val="000000"/>
        </w:rPr>
        <w:t xml:space="preserve">995.00</w:t>
      </w:r>
      <w:r>
        <w:rPr>
          <w:rFonts w:hint="eastAsia" w:ascii="宋体" w:hAnsi="宋体" w:eastAsia="宋体" w:cs="宋体"/>
          <w:color w:val="000000"/>
        </w:rPr>
        <w:t xml:space="preserve">元，并由中标单位承担，不在投标文件中单独列出，中标单位应在领取中标通知书前缴纳。</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收款账户开户名：</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信招标代理有限公司，开户行：中国银行股份有限公司盐城迎宾支行，账号：522268601500。</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4.4.中标单位如果未按规定缴纳成交服务费，按商业银行同期贷款利率上浮20%后的利率支付资金占用费（损害赔偿）。超过三个月的，采购代理机构有权保留诉讼的权利。</w:t>
      </w:r>
      <w:r/>
    </w:p>
    <w:p>
      <w:pPr>
        <w:pStyle w:val="886"/>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86"/>
        <w:ind w:firstLine="482"/>
        <w:jc w:val="both"/>
        <w:keepLines/>
        <w:keepNext/>
        <w:spacing w:before="156" w:beforeAutospacing="0" w:after="156" w:afterAutospacing="0" w:line="360" w:lineRule="auto"/>
        <w:rPr>
          <w:rFonts w:ascii="宋体" w:hAnsi="宋体" w:eastAsia="宋体" w:cs="宋体"/>
        </w:rPr>
      </w:pPr>
      <w:r/>
      <w:bookmarkStart w:id="95" w:name="_Toc513029209"/>
      <w:r/>
      <w:bookmarkStart w:id="96" w:name="_Toc16938525"/>
      <w:r/>
      <w:bookmarkStart w:id="97" w:name="_Toc120614215"/>
      <w:r/>
      <w:bookmarkStart w:id="98" w:name="_Toc20823281"/>
      <w:r>
        <w:rPr>
          <w:rFonts w:hint="eastAsia" w:ascii="宋体" w:hAnsi="宋体" w:eastAsia="宋体" w:cs="宋体"/>
          <w:b/>
          <w:color w:val="000000"/>
        </w:rPr>
        <w:t xml:space="preserve">二、招标文件</w:t>
      </w:r>
      <w:bookmarkEnd w:id="95"/>
      <w:r/>
      <w:bookmarkEnd w:id="96"/>
      <w:r/>
      <w:bookmarkEnd w:id="97"/>
      <w:r/>
      <w:bookmarkEnd w:id="98"/>
      <w:r/>
      <w:r/>
    </w:p>
    <w:p>
      <w:pPr>
        <w:pStyle w:val="886"/>
        <w:ind w:firstLine="480"/>
        <w:jc w:val="both"/>
        <w:keepLines/>
        <w:keepNext/>
        <w:spacing w:beforeAutospacing="0" w:afterAutospacing="0" w:line="360" w:lineRule="auto"/>
        <w:rPr>
          <w:rFonts w:ascii="宋体" w:hAnsi="宋体" w:eastAsia="宋体" w:cs="宋体"/>
        </w:rPr>
      </w:pPr>
      <w:r/>
      <w:bookmarkStart w:id="99" w:name="_Toc16938526"/>
      <w:r/>
      <w:bookmarkStart w:id="100" w:name="_Toc20823282"/>
      <w:r/>
      <w:bookmarkStart w:id="101" w:name="_Toc513029210"/>
      <w:r>
        <w:rPr>
          <w:rFonts w:hint="eastAsia" w:ascii="宋体" w:hAnsi="宋体" w:eastAsia="宋体" w:cs="宋体"/>
          <w:color w:val="000000"/>
        </w:rPr>
        <w:t xml:space="preserve">6、招标文件构成</w:t>
      </w:r>
      <w:bookmarkEnd w:id="99"/>
      <w:r/>
      <w:bookmarkEnd w:id="100"/>
      <w:r/>
      <w:bookmarkEnd w:id="101"/>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86"/>
        <w:ind w:firstLine="480"/>
        <w:jc w:val="both"/>
        <w:keepLines/>
        <w:keepNext/>
        <w:spacing w:beforeAutospacing="0" w:afterAutospacing="0" w:line="360" w:lineRule="auto"/>
        <w:rPr>
          <w:rFonts w:ascii="宋体" w:hAnsi="宋体" w:eastAsia="宋体" w:cs="宋体"/>
        </w:rPr>
      </w:pPr>
      <w:r/>
      <w:bookmarkStart w:id="102" w:name="_Toc513029211"/>
      <w:r/>
      <w:bookmarkStart w:id="103" w:name="_Toc16938527"/>
      <w:r/>
      <w:bookmarkStart w:id="104" w:name="_Toc462564070"/>
      <w:r/>
      <w:bookmarkStart w:id="105" w:name="_Toc20823283"/>
      <w:r>
        <w:rPr>
          <w:rFonts w:hint="eastAsia" w:ascii="宋体" w:hAnsi="宋体" w:eastAsia="宋体" w:cs="宋体"/>
          <w:color w:val="000000"/>
        </w:rPr>
        <w:t xml:space="preserve">7、招标文件的澄清</w:t>
      </w:r>
      <w:bookmarkEnd w:id="102"/>
      <w:r/>
      <w:bookmarkEnd w:id="103"/>
      <w:r/>
      <w:bookmarkEnd w:id="104"/>
      <w:r/>
      <w:bookmarkEnd w:id="105"/>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86"/>
        <w:ind w:firstLine="480"/>
        <w:jc w:val="both"/>
        <w:keepLines/>
        <w:keepNext/>
        <w:spacing w:beforeAutospacing="0" w:afterAutospacing="0" w:line="360" w:lineRule="auto"/>
        <w:rPr>
          <w:rFonts w:ascii="宋体" w:hAnsi="宋体" w:eastAsia="宋体" w:cs="宋体"/>
        </w:rPr>
      </w:pPr>
      <w:r/>
      <w:bookmarkStart w:id="106" w:name="_Toc462564071"/>
      <w:r/>
      <w:bookmarkStart w:id="107" w:name="_Toc513029212"/>
      <w:r/>
      <w:bookmarkStart w:id="108" w:name="_Toc16938528"/>
      <w:r/>
      <w:bookmarkStart w:id="109" w:name="_Toc20823284"/>
      <w:r>
        <w:rPr>
          <w:rFonts w:hint="eastAsia" w:ascii="宋体" w:hAnsi="宋体" w:eastAsia="宋体" w:cs="宋体"/>
          <w:color w:val="000000"/>
        </w:rPr>
        <w:t xml:space="preserve">8、招标文件的修改</w:t>
      </w:r>
      <w:bookmarkEnd w:id="106"/>
      <w:r/>
      <w:bookmarkEnd w:id="107"/>
      <w:r/>
      <w:bookmarkEnd w:id="108"/>
      <w:r/>
      <w:bookmarkEnd w:id="109"/>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在投标截止时间前，代理机构可以对招标文件进行修改。</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代理机构有权按照法定的要求推迟投标截止日期和开标日期。</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86"/>
        <w:ind w:firstLine="482"/>
        <w:jc w:val="both"/>
        <w:keepLines/>
        <w:keepNext/>
        <w:spacing w:before="156" w:beforeAutospacing="0" w:after="156" w:afterAutospacing="0" w:line="360" w:lineRule="auto"/>
        <w:rPr>
          <w:rFonts w:ascii="宋体" w:hAnsi="宋体" w:eastAsia="宋体" w:cs="宋体"/>
        </w:rPr>
      </w:pPr>
      <w:r/>
      <w:bookmarkStart w:id="110" w:name="_Toc120614216"/>
      <w:r/>
      <w:bookmarkStart w:id="111" w:name="_Toc16938529"/>
      <w:r/>
      <w:bookmarkStart w:id="112" w:name="_Toc513029213"/>
      <w:r/>
      <w:bookmarkStart w:id="113" w:name="_Toc20823285"/>
      <w:r/>
      <w:bookmarkStart w:id="114" w:name="_Toc462564072"/>
      <w:r>
        <w:rPr>
          <w:rFonts w:hint="eastAsia" w:ascii="宋体" w:hAnsi="宋体" w:eastAsia="宋体" w:cs="宋体"/>
          <w:b/>
          <w:color w:val="000000"/>
        </w:rPr>
        <w:t xml:space="preserve">三、投标文件的编制</w:t>
      </w:r>
      <w:bookmarkEnd w:id="110"/>
      <w:r/>
      <w:bookmarkEnd w:id="111"/>
      <w:r/>
      <w:bookmarkEnd w:id="112"/>
      <w:r/>
      <w:bookmarkEnd w:id="113"/>
      <w:r/>
      <w:bookmarkEnd w:id="114"/>
      <w:r/>
      <w:r/>
    </w:p>
    <w:p>
      <w:pPr>
        <w:pStyle w:val="886"/>
        <w:ind w:firstLine="480"/>
        <w:jc w:val="both"/>
        <w:keepLines/>
        <w:keepNext/>
        <w:spacing w:beforeAutospacing="0" w:afterAutospacing="0" w:line="360" w:lineRule="auto"/>
        <w:rPr>
          <w:rFonts w:ascii="宋体" w:hAnsi="宋体" w:eastAsia="宋体" w:cs="宋体"/>
        </w:rPr>
      </w:pPr>
      <w:r/>
      <w:bookmarkStart w:id="115" w:name="_Toc16938530"/>
      <w:r/>
      <w:bookmarkStart w:id="116" w:name="_Toc513029214"/>
      <w:r/>
      <w:bookmarkStart w:id="117" w:name="_Toc462564073"/>
      <w:r/>
      <w:bookmarkStart w:id="118" w:name="_Toc20823286"/>
      <w:r>
        <w:rPr>
          <w:rFonts w:hint="eastAsia" w:ascii="宋体" w:hAnsi="宋体" w:eastAsia="宋体" w:cs="宋体"/>
          <w:color w:val="000000"/>
        </w:rPr>
        <w:t xml:space="preserve">9、投标文件的语言及度量衡单位</w:t>
      </w:r>
      <w:bookmarkEnd w:id="115"/>
      <w:r/>
      <w:bookmarkEnd w:id="116"/>
      <w:r/>
      <w:bookmarkEnd w:id="117"/>
      <w:r/>
      <w:bookmarkEnd w:id="118"/>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86"/>
        <w:ind w:firstLine="480"/>
        <w:jc w:val="both"/>
        <w:keepLines/>
        <w:keepNext/>
        <w:spacing w:beforeAutospacing="0" w:afterAutospacing="0" w:line="360" w:lineRule="auto"/>
        <w:rPr>
          <w:rFonts w:ascii="宋体" w:hAnsi="宋体" w:eastAsia="宋体" w:cs="宋体"/>
        </w:rPr>
      </w:pPr>
      <w:r/>
      <w:bookmarkStart w:id="119" w:name="_Toc513029215"/>
      <w:r/>
      <w:bookmarkStart w:id="120" w:name="_Toc16938531"/>
      <w:r/>
      <w:bookmarkStart w:id="121" w:name="_Toc462564074"/>
      <w:r/>
      <w:bookmarkStart w:id="122" w:name="_Toc20823287"/>
      <w:r>
        <w:rPr>
          <w:rFonts w:hint="eastAsia" w:ascii="宋体" w:hAnsi="宋体" w:eastAsia="宋体" w:cs="宋体"/>
          <w:color w:val="000000"/>
        </w:rPr>
        <w:t xml:space="preserve">10、投标文件构成</w:t>
      </w:r>
      <w:bookmarkEnd w:id="119"/>
      <w:r/>
      <w:bookmarkEnd w:id="120"/>
      <w:r/>
      <w:bookmarkEnd w:id="121"/>
      <w:r/>
      <w:bookmarkEnd w:id="122"/>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86"/>
        <w:ind w:firstLine="480"/>
        <w:jc w:val="both"/>
        <w:keepLines/>
        <w:keepNext/>
        <w:spacing w:beforeAutospacing="0" w:afterAutospacing="0" w:line="360" w:lineRule="auto"/>
        <w:rPr>
          <w:rFonts w:ascii="宋体" w:hAnsi="宋体" w:eastAsia="宋体" w:cs="宋体"/>
        </w:rPr>
      </w:pPr>
      <w:r/>
      <w:bookmarkStart w:id="123" w:name="_Toc49090508"/>
      <w:r/>
      <w:bookmarkStart w:id="124" w:name="_Toc513029219"/>
      <w:r/>
      <w:bookmarkStart w:id="125" w:name="_Toc49090507"/>
      <w:r/>
      <w:bookmarkStart w:id="126" w:name="_Toc14577357"/>
      <w:r/>
      <w:bookmarkStart w:id="127" w:name="_Toc14577355"/>
      <w:r/>
      <w:bookmarkStart w:id="128" w:name="_Toc49090509"/>
      <w:r/>
      <w:bookmarkStart w:id="129" w:name="_Toc513029216"/>
      <w:r/>
      <w:bookmarkStart w:id="130" w:name="_Toc14577354"/>
      <w:r/>
      <w:bookmarkStart w:id="131" w:name="_Hlt26668975"/>
      <w:r/>
      <w:bookmarkStart w:id="132" w:name="_Hlt26670360"/>
      <w:r/>
      <w:bookmarkStart w:id="133" w:name="_Hlt26954838"/>
      <w:r>
        <w:rPr>
          <w:rFonts w:hint="eastAsia" w:ascii="宋体" w:hAnsi="宋体" w:eastAsia="宋体" w:cs="宋体"/>
          <w:color w:val="000000"/>
        </w:rPr>
        <w:t xml:space="preserve">11、证明投标人及投标标的符合招标文件规定的文件</w:t>
      </w:r>
      <w:bookmarkEnd w:id="123"/>
      <w:r/>
      <w:bookmarkEnd w:id="124"/>
      <w:r/>
      <w:bookmarkEnd w:id="125"/>
      <w:r/>
      <w:bookmarkEnd w:id="126"/>
      <w:r/>
      <w:bookmarkEnd w:id="127"/>
      <w:r/>
      <w:bookmarkEnd w:id="128"/>
      <w:r/>
      <w:bookmarkEnd w:id="129"/>
      <w:r/>
      <w:bookmarkEnd w:id="130"/>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86"/>
        <w:ind w:firstLine="480"/>
        <w:jc w:val="both"/>
        <w:keepLines/>
        <w:keepNext/>
        <w:spacing w:beforeAutospacing="0" w:afterAutospacing="0" w:line="360" w:lineRule="auto"/>
        <w:rPr>
          <w:rFonts w:ascii="宋体" w:hAnsi="宋体" w:eastAsia="宋体" w:cs="宋体"/>
        </w:rPr>
      </w:pPr>
      <w:r/>
      <w:bookmarkStart w:id="134" w:name="_Hlt26954848"/>
      <w:r/>
      <w:bookmarkStart w:id="135" w:name="_Hlt26670486"/>
      <w:r/>
      <w:bookmarkStart w:id="136" w:name="_Hlt26954731"/>
      <w:r/>
      <w:bookmarkStart w:id="137" w:name="_Hlt26670482"/>
      <w:r/>
      <w:bookmarkStart w:id="138" w:name="_Hlt26954846"/>
      <w:r>
        <w:rPr>
          <w:rFonts w:hint="eastAsia" w:ascii="宋体" w:hAnsi="宋体" w:eastAsia="宋体" w:cs="宋体"/>
          <w:color w:val="000000"/>
        </w:rPr>
        <w:t xml:space="preserve">13、技术要求响应及偏离表、商务要求响应及偏离表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886"/>
        <w:ind w:firstLine="480"/>
        <w:jc w:val="both"/>
        <w:keepLines/>
        <w:keepNext/>
        <w:spacing w:beforeAutospacing="0" w:afterAutospacing="0" w:line="360" w:lineRule="auto"/>
        <w:rPr>
          <w:rFonts w:ascii="宋体" w:hAnsi="宋体" w:eastAsia="宋体" w:cs="宋体"/>
        </w:rPr>
      </w:pPr>
      <w:r/>
      <w:bookmarkStart w:id="139" w:name="_Toc14577359"/>
      <w:r/>
      <w:bookmarkStart w:id="140" w:name="_Toc49090510"/>
      <w:r>
        <w:rPr>
          <w:rFonts w:hint="eastAsia" w:ascii="宋体" w:hAnsi="宋体" w:eastAsia="宋体" w:cs="宋体"/>
          <w:color w:val="000000"/>
        </w:rPr>
        <w:t xml:space="preserve">15、投标函和开标一览表</w:t>
      </w:r>
      <w:bookmarkEnd w:id="139"/>
      <w:r/>
      <w:bookmarkEnd w:id="140"/>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86"/>
        <w:ind w:firstLine="480"/>
        <w:jc w:val="both"/>
        <w:keepLines/>
        <w:keepNext/>
        <w:spacing w:beforeAutospacing="0" w:afterAutospacing="0" w:line="360" w:lineRule="auto"/>
        <w:rPr>
          <w:rFonts w:ascii="宋体" w:hAnsi="宋体" w:eastAsia="宋体" w:cs="宋体"/>
        </w:rPr>
      </w:pPr>
      <w:r/>
      <w:bookmarkStart w:id="141" w:name="_Toc14577360"/>
      <w:r/>
      <w:bookmarkStart w:id="142" w:name="_Toc49090511"/>
      <w:r>
        <w:rPr>
          <w:rFonts w:hint="eastAsia" w:ascii="宋体" w:hAnsi="宋体" w:eastAsia="宋体" w:cs="宋体"/>
          <w:color w:val="000000"/>
        </w:rPr>
        <w:t xml:space="preserve">16、投标有效期</w:t>
      </w:r>
      <w:bookmarkEnd w:id="141"/>
      <w:r/>
      <w:bookmarkEnd w:id="142"/>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w:t>
      </w:r>
      <w:bookmarkStart w:id="143" w:name="OLE_LINK83"/>
      <w:r/>
      <w:bookmarkStart w:id="144" w:name="OLE_LINK84"/>
      <w:r>
        <w:rPr>
          <w:rFonts w:hint="eastAsia" w:ascii="宋体" w:hAnsi="宋体" w:eastAsia="宋体" w:cs="宋体"/>
          <w:color w:val="000000"/>
        </w:rPr>
        <w:t xml:space="preserve">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w:t>
      </w:r>
      <w:bookmarkEnd w:id="143"/>
      <w:r/>
      <w:bookmarkEnd w:id="144"/>
      <w:r>
        <w:rPr>
          <w:rFonts w:hint="eastAsia" w:ascii="宋体" w:hAnsi="宋体" w:eastAsia="宋体" w:cs="宋体"/>
          <w:color w:val="000000"/>
        </w:rPr>
        <w:t xml:space="preserve">投标有效期比规定短的将被视为未实质性响应招标文件而予以拒绝。</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6"/>
        <w:ind w:firstLine="482"/>
        <w:jc w:val="both"/>
        <w:keepLines/>
        <w:keepNext/>
        <w:spacing w:before="156" w:beforeAutospacing="0" w:after="156" w:afterAutospacing="0" w:line="360" w:lineRule="auto"/>
        <w:rPr>
          <w:rFonts w:ascii="宋体" w:hAnsi="宋体" w:eastAsia="宋体" w:cs="宋体"/>
        </w:rPr>
      </w:pPr>
      <w:r/>
      <w:bookmarkStart w:id="145" w:name="_Toc513029224"/>
      <w:r/>
      <w:bookmarkStart w:id="146" w:name="_Toc120614217"/>
      <w:r/>
      <w:bookmarkStart w:id="147" w:name="_Toc20823296"/>
      <w:r/>
      <w:bookmarkStart w:id="148" w:name="_Toc16938540"/>
      <w:r/>
      <w:bookmarkStart w:id="149" w:name="_Hlt26954852"/>
      <w:r/>
      <w:bookmarkStart w:id="150" w:name="_Hlt26954739"/>
      <w:r>
        <w:rPr>
          <w:rFonts w:hint="eastAsia" w:ascii="宋体" w:hAnsi="宋体" w:eastAsia="宋体" w:cs="宋体"/>
          <w:b/>
          <w:color w:val="000000"/>
        </w:rPr>
        <w:t xml:space="preserve">四、投标文件的递交</w:t>
      </w:r>
      <w:bookmarkEnd w:id="145"/>
      <w:r/>
      <w:bookmarkEnd w:id="146"/>
      <w:r/>
      <w:bookmarkEnd w:id="147"/>
      <w:r/>
      <w:bookmarkEnd w:id="148"/>
      <w:r/>
      <w:r/>
    </w:p>
    <w:p>
      <w:pPr>
        <w:pStyle w:val="886"/>
        <w:ind w:firstLine="480"/>
        <w:jc w:val="both"/>
        <w:keepLines/>
        <w:keepNext/>
        <w:spacing w:beforeAutospacing="0" w:afterAutospacing="0" w:line="360" w:lineRule="auto"/>
        <w:rPr>
          <w:rFonts w:ascii="宋体" w:hAnsi="宋体" w:eastAsia="宋体" w:cs="宋体"/>
        </w:rPr>
      </w:pPr>
      <w:r/>
      <w:bookmarkStart w:id="151" w:name="_Toc16938541"/>
      <w:r/>
      <w:bookmarkStart w:id="152" w:name="_Toc20823297"/>
      <w:r/>
      <w:bookmarkStart w:id="153" w:name="_Toc462564084"/>
      <w:r/>
      <w:bookmarkStart w:id="154" w:name="_Toc513029225"/>
      <w:r>
        <w:rPr>
          <w:rFonts w:hint="eastAsia" w:ascii="宋体" w:hAnsi="宋体" w:eastAsia="宋体" w:cs="宋体"/>
          <w:color w:val="000000"/>
        </w:rPr>
        <w:t xml:space="preserve">18、电子投标文件</w:t>
      </w:r>
      <w:bookmarkEnd w:id="151"/>
      <w:r/>
      <w:bookmarkEnd w:id="152"/>
      <w:r/>
      <w:bookmarkEnd w:id="153"/>
      <w:r/>
      <w:bookmarkEnd w:id="154"/>
      <w:r>
        <w:rPr>
          <w:rFonts w:hint="eastAsia" w:ascii="宋体" w:hAnsi="宋体" w:eastAsia="宋体" w:cs="宋体"/>
          <w:color w:val="000000"/>
        </w:rPr>
        <w:t xml:space="preserve">的递交</w:t>
      </w:r>
      <w:r/>
    </w:p>
    <w:p>
      <w:pPr>
        <w:pStyle w:val="88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55" w:name="_Toc16938542"/>
      <w:r/>
      <w:bookmarkStart w:id="156" w:name="_Toc20823298"/>
      <w:r/>
      <w:bookmarkStart w:id="157" w:name="_Toc513029226"/>
      <w:r/>
      <w:bookmarkEnd w:id="155"/>
      <w:r/>
      <w:bookmarkEnd w:id="156"/>
      <w:r/>
      <w:r/>
    </w:p>
    <w:p>
      <w:pPr>
        <w:pStyle w:val="886"/>
        <w:ind w:firstLine="480"/>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代理机构可以按照规定，通过修改招标文件酌情延长投标截止日期，在此情况下，投标人的所有权利和义务以及投标人受制的截止日期均应以延长后新的截止日期为准。</w:t>
      </w:r>
      <w:r/>
    </w:p>
    <w:p>
      <w:pPr>
        <w:pStyle w:val="886"/>
        <w:ind w:firstLine="480"/>
        <w:jc w:val="both"/>
        <w:keepLines/>
        <w:keepNext/>
        <w:spacing w:beforeAutospacing="0" w:afterAutospacing="0" w:line="360" w:lineRule="auto"/>
        <w:rPr>
          <w:rFonts w:ascii="宋体" w:hAnsi="宋体" w:eastAsia="宋体" w:cs="宋体"/>
        </w:rPr>
      </w:pPr>
      <w:r/>
      <w:bookmarkStart w:id="158" w:name="_Toc16938543"/>
      <w:r/>
      <w:bookmarkStart w:id="159" w:name="_Toc20823299"/>
      <w:r/>
      <w:bookmarkStart w:id="160" w:name="_Toc513029227"/>
      <w:r>
        <w:rPr>
          <w:rFonts w:hint="eastAsia" w:ascii="宋体" w:hAnsi="宋体" w:eastAsia="宋体" w:cs="宋体"/>
          <w:color w:val="000000"/>
        </w:rPr>
        <w:t xml:space="preserve">20、投标文件</w:t>
      </w:r>
      <w:bookmarkEnd w:id="158"/>
      <w:r/>
      <w:bookmarkEnd w:id="159"/>
      <w:r/>
      <w:bookmarkEnd w:id="160"/>
      <w:r>
        <w:rPr>
          <w:rFonts w:hint="eastAsia" w:ascii="宋体" w:hAnsi="宋体" w:eastAsia="宋体" w:cs="宋体"/>
          <w:color w:val="000000"/>
        </w:rPr>
        <w:t xml:space="preserve">的拒收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代理机构拒绝接收在其规定的投标截止时间后上传的任何投标文件。</w:t>
      </w:r>
      <w:r/>
    </w:p>
    <w:p>
      <w:pPr>
        <w:pStyle w:val="886"/>
        <w:ind w:firstLine="480"/>
        <w:jc w:val="both"/>
        <w:keepLines/>
        <w:keepNext/>
        <w:spacing w:beforeAutospacing="0" w:afterAutospacing="0" w:line="360" w:lineRule="auto"/>
        <w:rPr>
          <w:rFonts w:ascii="宋体" w:hAnsi="宋体" w:eastAsia="宋体" w:cs="宋体"/>
        </w:rPr>
      </w:pPr>
      <w:r/>
      <w:bookmarkStart w:id="161" w:name="_Toc20823300"/>
      <w:r/>
      <w:bookmarkStart w:id="162" w:name="_Toc16938544"/>
      <w:r/>
      <w:bookmarkStart w:id="163" w:name="_Toc513029228"/>
      <w:r>
        <w:rPr>
          <w:rFonts w:hint="eastAsia" w:ascii="宋体" w:hAnsi="宋体" w:eastAsia="宋体" w:cs="宋体"/>
          <w:color w:val="000000"/>
        </w:rPr>
        <w:t xml:space="preserve">21、投标文件的撤回和修改</w:t>
      </w:r>
      <w:bookmarkEnd w:id="161"/>
      <w:r/>
      <w:bookmarkEnd w:id="162"/>
      <w:r/>
      <w:bookmarkEnd w:id="163"/>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86"/>
        <w:ind w:firstLine="482"/>
        <w:jc w:val="both"/>
        <w:keepLines/>
        <w:keepNext/>
        <w:spacing w:before="156" w:beforeAutospacing="0" w:after="156" w:afterAutospacing="0" w:line="360" w:lineRule="auto"/>
        <w:rPr>
          <w:rFonts w:ascii="宋体" w:hAnsi="宋体" w:eastAsia="宋体" w:cs="宋体"/>
        </w:rPr>
      </w:pPr>
      <w:r/>
      <w:bookmarkStart w:id="164" w:name="_Toc16938545"/>
      <w:r/>
      <w:bookmarkStart w:id="165" w:name="_Toc20823301"/>
      <w:r/>
      <w:bookmarkStart w:id="166" w:name="_Toc120614218"/>
      <w:r/>
      <w:bookmarkStart w:id="167" w:name="_Toc513029229"/>
      <w:r>
        <w:rPr>
          <w:rFonts w:hint="eastAsia" w:ascii="宋体" w:hAnsi="宋体" w:eastAsia="宋体" w:cs="宋体"/>
          <w:b/>
          <w:color w:val="000000"/>
        </w:rPr>
        <w:t xml:space="preserve">五、开标与评标</w:t>
      </w:r>
      <w:bookmarkEnd w:id="164"/>
      <w:r/>
      <w:bookmarkEnd w:id="165"/>
      <w:r/>
      <w:bookmarkEnd w:id="166"/>
      <w:r/>
      <w:bookmarkEnd w:id="167"/>
      <w:r/>
      <w:r/>
    </w:p>
    <w:p>
      <w:pPr>
        <w:pStyle w:val="886"/>
        <w:ind w:firstLine="480"/>
        <w:jc w:val="both"/>
        <w:keepLines/>
        <w:keepNext/>
        <w:spacing w:beforeAutospacing="0" w:afterAutospacing="0" w:line="360" w:lineRule="auto"/>
        <w:rPr>
          <w:rFonts w:ascii="宋体" w:hAnsi="宋体" w:eastAsia="宋体" w:cs="宋体"/>
        </w:rPr>
      </w:pPr>
      <w:r/>
      <w:bookmarkStart w:id="168" w:name="_Toc16938546"/>
      <w:r/>
      <w:bookmarkStart w:id="169" w:name="_Toc513029230"/>
      <w:r/>
      <w:bookmarkStart w:id="170" w:name="_Toc20823302"/>
      <w:r>
        <w:rPr>
          <w:rFonts w:hint="eastAsia" w:ascii="宋体" w:hAnsi="宋体" w:eastAsia="宋体" w:cs="宋体"/>
          <w:color w:val="000000"/>
        </w:rPr>
        <w:t xml:space="preserve">22、开标</w:t>
      </w:r>
      <w:bookmarkEnd w:id="168"/>
      <w:r/>
      <w:bookmarkEnd w:id="169"/>
      <w:r/>
      <w:bookmarkEnd w:id="170"/>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代理机构将在招标公告中规定的时间和地点组织公开开标。投标人应当按照《操作手册》规定，参加开标活动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886"/>
        <w:ind w:firstLine="480"/>
        <w:jc w:val="both"/>
        <w:keepLines/>
        <w:keepNext/>
        <w:spacing w:beforeAutospacing="0" w:afterAutospacing="0" w:line="360" w:lineRule="auto"/>
        <w:rPr>
          <w:rFonts w:ascii="宋体" w:hAnsi="宋体" w:eastAsia="宋体" w:cs="宋体"/>
        </w:rPr>
      </w:pPr>
      <w:r/>
      <w:bookmarkStart w:id="171" w:name="_Toc513029231"/>
      <w:r/>
      <w:bookmarkStart w:id="172" w:name="_Toc16938547"/>
      <w:r/>
      <w:bookmarkStart w:id="173" w:name="_Toc20823303"/>
      <w:r>
        <w:rPr>
          <w:rFonts w:hint="eastAsia" w:ascii="宋体" w:hAnsi="宋体" w:eastAsia="宋体" w:cs="宋体"/>
          <w:color w:val="000000"/>
        </w:rPr>
        <w:t xml:space="preserve">23、评标委员会</w:t>
      </w:r>
      <w:bookmarkEnd w:id="171"/>
      <w:r/>
      <w:bookmarkEnd w:id="172"/>
      <w:r/>
      <w:bookmarkEnd w:id="173"/>
      <w:r/>
      <w:r/>
    </w:p>
    <w:p>
      <w:pPr>
        <w:pStyle w:val="886"/>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开标后，代理机构将立即组织评标委员会（以下简称评委会）进行评标。</w:t>
      </w:r>
      <w:r/>
    </w:p>
    <w:p>
      <w:pPr>
        <w:pStyle w:val="886"/>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86"/>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24.1凡是与审查、澄清、评价和比较投标的有关资料以及授标建议等，采购人、评委、代理机构均不得向投标人或与评标无关的其他人员透露。</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代理机构和评标委员会不向未中标的投标人解释未中标原因，也不公布评标过程中的相关</w:t>
      </w:r>
      <w:r>
        <w:rPr>
          <w:rFonts w:hint="eastAsia" w:ascii="宋体" w:hAnsi="宋体" w:eastAsia="宋体" w:cs="宋体"/>
        </w:rPr>
        <w:t xml:space="preserve">细节。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886"/>
        <w:ind w:firstLine="480"/>
        <w:jc w:val="both"/>
        <w:keepLines/>
        <w:keepNext/>
        <w:spacing w:beforeAutospacing="0" w:afterAutospacing="0" w:line="360" w:lineRule="auto"/>
        <w:rPr>
          <w:rFonts w:ascii="宋体" w:hAnsi="宋体" w:eastAsia="宋体" w:cs="宋体"/>
        </w:rPr>
      </w:pPr>
      <w:r/>
      <w:bookmarkStart w:id="174" w:name="_Toc16938548"/>
      <w:r/>
      <w:bookmarkStart w:id="175" w:name="_Toc513029232"/>
      <w:r/>
      <w:bookmarkStart w:id="176" w:name="_Toc20823304"/>
      <w:r>
        <w:rPr>
          <w:rFonts w:hint="eastAsia" w:ascii="宋体" w:hAnsi="宋体" w:eastAsia="宋体" w:cs="宋体"/>
          <w:color w:val="000000"/>
        </w:rPr>
        <w:t xml:space="preserve">25．投标文件的澄清</w:t>
      </w:r>
      <w:bookmarkEnd w:id="174"/>
      <w:r/>
      <w:bookmarkEnd w:id="175"/>
      <w:r/>
      <w:bookmarkEnd w:id="176"/>
      <w:r/>
      <w:r/>
    </w:p>
    <w:p>
      <w:pPr>
        <w:pStyle w:val="886"/>
        <w:ind w:firstLine="480"/>
        <w:jc w:val="both"/>
        <w:spacing w:beforeAutospacing="0" w:afterAutospacing="0" w:line="360" w:lineRule="auto"/>
        <w:rPr>
          <w:rFonts w:ascii="宋体" w:hAnsi="宋体" w:eastAsia="宋体" w:cs="宋体"/>
        </w:rPr>
      </w:pPr>
      <w:r/>
      <w:bookmarkStart w:id="177" w:name="_Toc513029233"/>
      <w:r/>
      <w:bookmarkStart w:id="178" w:name="_Toc20823305"/>
      <w:r/>
      <w:bookmarkStart w:id="179"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77"/>
      <w:r/>
      <w:bookmarkEnd w:id="178"/>
      <w:r/>
      <w:bookmarkEnd w:id="179"/>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w:t>
      </w:r>
      <w:bookmarkStart w:id="180" w:name="_GoBack"/>
      <w:r>
        <w:rPr>
          <w:rFonts w:hint="eastAsia" w:ascii="宋体" w:hAnsi="宋体" w:eastAsia="宋体" w:cs="宋体"/>
          <w:color w:val="000000"/>
        </w:rPr>
        <w:t xml:space="preserve">结论</w:t>
      </w:r>
      <w:bookmarkEnd w:id="180"/>
      <w:r>
        <w:rPr>
          <w:rFonts w:hint="eastAsia" w:ascii="宋体" w:hAnsi="宋体" w:eastAsia="宋体" w:cs="宋体"/>
          <w:color w:val="000000"/>
        </w:rPr>
        <w:t xml:space="preserve">，采购人以书面形式向评委会进行反馈。</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未通过资格审查或符合性审查的投标人，代理机构将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系统中告知未通过资格审查或符合性审查的原因，评审结束后，代理机构将不再告知未通过资格审查或符合性审查的原因。</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86"/>
        <w:ind w:firstLine="480"/>
        <w:jc w:val="both"/>
        <w:spacing w:beforeAutospacing="0" w:afterAutospacing="0" w:line="360" w:lineRule="auto"/>
        <w:rPr>
          <w:rFonts w:ascii="宋体" w:hAnsi="宋体" w:eastAsia="宋体" w:cs="宋体"/>
        </w:rPr>
      </w:pPr>
      <w:r/>
      <w:bookmarkStart w:id="181" w:name="_Toc513029234"/>
      <w:r/>
      <w:bookmarkStart w:id="182" w:name="_Toc20823306"/>
      <w:r/>
      <w:bookmarkStart w:id="183"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81"/>
      <w:r/>
      <w:bookmarkEnd w:id="182"/>
      <w:r/>
      <w:bookmarkEnd w:id="183"/>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86"/>
        <w:ind w:left="479"/>
        <w:jc w:val="both"/>
        <w:spacing w:beforeAutospacing="0" w:afterAutospacing="0" w:line="360" w:lineRule="auto"/>
        <w:rPr>
          <w:rFonts w:ascii="宋体" w:hAnsi="宋体" w:eastAsia="宋体" w:cs="宋体"/>
        </w:rPr>
      </w:pPr>
      <w:r/>
      <w:bookmarkStart w:id="184" w:name="_Toc513029235"/>
      <w:r/>
      <w:bookmarkStart w:id="185" w:name="_Toc16938551"/>
      <w:r/>
      <w:bookmarkStart w:id="186" w:name="_Toc20823307"/>
      <w:r>
        <w:rPr>
          <w:rFonts w:hint="eastAsia" w:ascii="宋体" w:hAnsi="宋体" w:eastAsia="宋体" w:cs="宋体"/>
        </w:rPr>
        <w:t xml:space="preserve">27.1无效投标条款</w:t>
      </w:r>
      <w:bookmarkEnd w:id="184"/>
      <w:r/>
      <w:bookmarkEnd w:id="185"/>
      <w:r/>
      <w:bookmarkEnd w:id="186"/>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86"/>
        <w:ind w:firstLine="482"/>
        <w:jc w:val="both"/>
        <w:spacing w:beforeAutospacing="0" w:afterAutospacing="0" w:line="360" w:lineRule="auto"/>
        <w:rPr>
          <w:rFonts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6"/>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27.2.2出现影响采购公正的违法、违规行为的。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86"/>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86"/>
        <w:ind w:firstLine="482"/>
        <w:jc w:val="both"/>
        <w:keepLines/>
        <w:keepNext/>
        <w:spacing w:before="156" w:beforeAutospacing="0" w:after="156" w:afterAutospacing="0" w:line="360" w:lineRule="auto"/>
        <w:rPr>
          <w:rFonts w:ascii="宋体" w:hAnsi="宋体" w:eastAsia="宋体" w:cs="宋体"/>
        </w:rPr>
      </w:pPr>
      <w:r/>
      <w:bookmarkStart w:id="187" w:name="_Toc120614219"/>
      <w:r>
        <w:rPr>
          <w:rFonts w:hint="eastAsia" w:ascii="宋体" w:hAnsi="宋体" w:eastAsia="宋体" w:cs="宋体"/>
          <w:b/>
          <w:color w:val="000000"/>
        </w:rPr>
        <w:t xml:space="preserve">六、定标</w:t>
      </w:r>
      <w:bookmarkEnd w:id="187"/>
      <w:r/>
      <w:r/>
    </w:p>
    <w:p>
      <w:pPr>
        <w:pStyle w:val="886"/>
        <w:ind w:firstLine="480"/>
        <w:jc w:val="both"/>
        <w:keepLines/>
        <w:keepNext/>
        <w:spacing w:beforeAutospacing="0" w:afterAutospacing="0" w:line="360" w:lineRule="auto"/>
        <w:rPr>
          <w:rFonts w:ascii="宋体" w:hAnsi="宋体" w:eastAsia="宋体" w:cs="宋体"/>
        </w:rPr>
      </w:pPr>
      <w:r/>
      <w:bookmarkStart w:id="188" w:name="_Toc20823310"/>
      <w:r/>
      <w:bookmarkStart w:id="189" w:name="_Toc16938554"/>
      <w:r/>
      <w:bookmarkStart w:id="190" w:name="_Toc513029238"/>
      <w:r>
        <w:rPr>
          <w:rFonts w:hint="eastAsia" w:ascii="宋体" w:hAnsi="宋体" w:eastAsia="宋体" w:cs="宋体"/>
          <w:color w:val="000000"/>
        </w:rPr>
        <w:t xml:space="preserve">28、</w:t>
      </w:r>
      <w:bookmarkEnd w:id="188"/>
      <w:r>
        <w:rPr>
          <w:rFonts w:hint="eastAsia" w:ascii="宋体" w:hAnsi="宋体" w:eastAsia="宋体" w:cs="宋体"/>
          <w:color w:val="000000"/>
        </w:rPr>
        <w:t xml:space="preserve">确定</w:t>
      </w:r>
      <w:bookmarkEnd w:id="189"/>
      <w:r/>
      <w:bookmarkEnd w:id="190"/>
      <w:r>
        <w:rPr>
          <w:rFonts w:hint="eastAsia" w:ascii="宋体" w:hAnsi="宋体" w:eastAsia="宋体" w:cs="宋体"/>
          <w:color w:val="000000"/>
        </w:rPr>
        <w:t xml:space="preserve">中标单位</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代理机构将在中国政府采购网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28.4.2向采购人、代理机构行贿或者提供其他不正当利益的。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886"/>
        <w:ind w:firstLine="480"/>
        <w:jc w:val="both"/>
        <w:spacing w:beforeAutospacing="0" w:afterAutospacing="0" w:line="360" w:lineRule="auto"/>
        <w:rPr>
          <w:rFonts w:ascii="宋体" w:hAnsi="宋体" w:eastAsia="宋体" w:cs="宋体"/>
        </w:rPr>
      </w:pPr>
      <w:r/>
      <w:bookmarkStart w:id="191" w:name="_Toc200451960"/>
      <w:r>
        <w:rPr>
          <w:rFonts w:hint="eastAsia" w:ascii="宋体" w:hAnsi="宋体" w:eastAsia="宋体" w:cs="宋体"/>
          <w:color w:val="000000"/>
        </w:rPr>
        <w:t xml:space="preserve">28.5. 有下列情形之一的，视为投标人串通投标，投标无效：</w:t>
      </w:r>
      <w:bookmarkEnd w:id="191"/>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28.5.3不同投标人的投标文件载明的项目管理成员或者联系人员为同一人；</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采购人及代理机构只接收以纸质原件形式送达的质疑,采购人和代理机构不接受未填写快递运单的快件。代理机构质疑接收人及联系方式见招标文件第一章。</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30.l中标结果确定后，代理机构将向中标人发出中标通知书。请中标人在中标结果公告届满之日起30日内,使用CA数字证书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6"/>
        <w:ind w:firstLine="482"/>
        <w:jc w:val="both"/>
        <w:keepLines/>
        <w:keepNext/>
        <w:spacing w:before="156" w:beforeAutospacing="0" w:after="156" w:afterAutospacing="0" w:line="360" w:lineRule="auto"/>
        <w:rPr>
          <w:rFonts w:ascii="宋体" w:hAnsi="宋体" w:eastAsia="宋体" w:cs="宋体"/>
        </w:rPr>
      </w:pPr>
      <w:r/>
      <w:bookmarkStart w:id="192" w:name="_Toc513029236"/>
      <w:r/>
      <w:bookmarkStart w:id="193" w:name="_Toc120614220"/>
      <w:r/>
      <w:bookmarkStart w:id="194" w:name="_Toc20823308"/>
      <w:r/>
      <w:bookmarkStart w:id="195" w:name="_Toc16938552"/>
      <w:r>
        <w:rPr>
          <w:rFonts w:hint="eastAsia" w:ascii="宋体" w:hAnsi="宋体" w:eastAsia="宋体" w:cs="宋体"/>
          <w:b/>
          <w:color w:val="000000"/>
        </w:rPr>
        <w:t xml:space="preserve">七、授予合同</w:t>
      </w:r>
      <w:bookmarkEnd w:id="192"/>
      <w:r/>
      <w:bookmarkEnd w:id="193"/>
      <w:r/>
      <w:bookmarkEnd w:id="194"/>
      <w:r/>
      <w:bookmarkEnd w:id="195"/>
      <w:r/>
      <w:r/>
    </w:p>
    <w:p>
      <w:pPr>
        <w:pStyle w:val="886"/>
        <w:ind w:firstLine="480"/>
        <w:jc w:val="both"/>
        <w:keepLines/>
        <w:keepNext/>
        <w:spacing w:beforeAutospacing="0" w:afterAutospacing="0" w:line="360" w:lineRule="auto"/>
        <w:rPr>
          <w:rFonts w:ascii="宋体" w:hAnsi="宋体" w:eastAsia="宋体" w:cs="宋体"/>
        </w:rPr>
      </w:pPr>
      <w:r/>
      <w:bookmarkStart w:id="196" w:name="_Toc16938553"/>
      <w:r/>
      <w:bookmarkStart w:id="197" w:name="_Toc513029237"/>
      <w:r/>
      <w:bookmarkStart w:id="198" w:name="_Toc20823309"/>
      <w:r>
        <w:rPr>
          <w:rFonts w:hint="eastAsia" w:ascii="宋体" w:hAnsi="宋体" w:eastAsia="宋体" w:cs="宋体"/>
          <w:color w:val="000000"/>
        </w:rPr>
        <w:t xml:space="preserve">31. 签订合同</w:t>
      </w:r>
      <w:bookmarkEnd w:id="196"/>
      <w:r/>
      <w:bookmarkEnd w:id="197"/>
      <w:r/>
      <w:bookmarkEnd w:id="198"/>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886"/>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94"/>
        <w:ind w:left="0" w:firstLine="48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r/>
    </w:p>
    <w:p>
      <w:pPr>
        <w:pStyle w:val="894"/>
        <w:ind w:left="0" w:firstLine="480"/>
        <w:spacing w:after="0" w:line="520" w:lineRule="exact"/>
        <w:rPr>
          <w:rFonts w:ascii="宋体" w:hAnsi="宋体" w:eastAsia="宋体" w:cs="宋体"/>
          <w:sz w:val="24"/>
        </w:rPr>
      </w:pPr>
      <w:r>
        <w:rPr>
          <w:rFonts w:ascii="宋体" w:hAnsi="宋体" w:eastAsia="宋体" w:cs="宋体"/>
          <w:sz w:val="24"/>
        </w:rPr>
      </w:r>
      <w:r/>
    </w:p>
    <w:p>
      <w:pPr>
        <w:pStyle w:val="886"/>
        <w:jc w:val="both"/>
        <w:spacing w:beforeAutospacing="0" w:afterAutospacing="0"/>
        <w:rPr>
          <w:rFonts w:ascii="宋体" w:hAnsi="宋体" w:eastAsia="宋体" w:cs="宋体"/>
        </w:rPr>
      </w:pPr>
      <w:r>
        <w:rPr>
          <w:rFonts w:hint="eastAsia" w:ascii="宋体" w:hAnsi="宋体" w:eastAsia="宋体" w:cs="宋体"/>
        </w:rPr>
        <w:t xml:space="preserve"> </w:t>
      </w:r>
      <w:r/>
    </w:p>
    <w:p>
      <w:pPr>
        <w:pStyle w:val="886"/>
        <w:jc w:val="both"/>
        <w:spacing w:beforeAutospacing="0" w:afterAutospacing="0"/>
        <w:rPr>
          <w:rFonts w:ascii="宋体" w:hAnsi="宋体" w:eastAsia="宋体" w:cs="宋体"/>
        </w:rPr>
      </w:pPr>
      <w:r>
        <w:rPr>
          <w:rFonts w:hint="eastAsia" w:ascii="宋体" w:hAnsi="宋体" w:eastAsia="宋体" w:cs="宋体"/>
        </w:rPr>
        <w:t xml:space="preserve"> </w:t>
      </w:r>
      <w:r/>
    </w:p>
    <w:p>
      <w:pPr>
        <w:pStyle w:val="886"/>
        <w:jc w:val="both"/>
        <w:spacing w:beforeAutospacing="0" w:afterAutospacing="0"/>
        <w:rPr>
          <w:rFonts w:ascii="宋体" w:hAnsi="宋体" w:eastAsia="宋体" w:cs="宋体"/>
        </w:rPr>
      </w:pPr>
      <w:r>
        <w:rPr>
          <w:rFonts w:hint="eastAsia" w:ascii="宋体" w:hAnsi="宋体" w:eastAsia="宋体" w:cs="宋体"/>
        </w:rPr>
        <w:t xml:space="preserve"> </w:t>
      </w:r>
      <w:r/>
    </w:p>
    <w:p>
      <w:pPr>
        <w:pStyle w:val="886"/>
        <w:jc w:val="both"/>
        <w:spacing w:beforeAutospacing="0" w:afterAutospacing="0"/>
        <w:rPr>
          <w:rFonts w:ascii="宋体" w:hAnsi="宋体" w:eastAsia="宋体" w:cs="宋体"/>
        </w:rPr>
      </w:pPr>
      <w:r>
        <w:rPr>
          <w:rFonts w:ascii="宋体" w:hAnsi="宋体" w:eastAsia="宋体" w:cs="宋体"/>
        </w:rPr>
      </w:r>
      <w:r/>
    </w:p>
    <w:p>
      <w:pPr>
        <w:ind w:firstLine="720"/>
        <w:jc w:val="center"/>
        <w:spacing w:line="360" w:lineRule="auto"/>
        <w:widowControl/>
        <w:rPr>
          <w:sz w:val="36"/>
          <w:szCs w:val="44"/>
        </w:rPr>
      </w:pPr>
      <w:r>
        <w:rPr>
          <w:sz w:val="36"/>
          <w:szCs w:val="44"/>
        </w:rPr>
        <w:t xml:space="preserve"> </w:t>
      </w:r>
      <w:bookmarkStart w:id="199" w:name="_Toc479757211"/>
      <w:r/>
      <w:bookmarkStart w:id="200" w:name="_Toc20823346"/>
      <w:r/>
      <w:bookmarkStart w:id="201" w:name="_Toc462564139"/>
      <w:r/>
      <w:bookmarkStart w:id="202" w:name="_Hlt16619350"/>
      <w:r/>
      <w:bookmarkStart w:id="203" w:name="_Toc16938590"/>
      <w:r/>
      <w:bookmarkStart w:id="204" w:name="_Toc120614244"/>
      <w:r/>
      <w:bookmarkStart w:id="205" w:name="_Hlt16619369"/>
      <w:r/>
      <w:r/>
    </w:p>
    <w:p>
      <w:pPr>
        <w:ind w:firstLine="720"/>
        <w:rPr>
          <w:sz w:val="36"/>
          <w:szCs w:val="44"/>
        </w:rPr>
      </w:pPr>
      <w:r>
        <w:rPr>
          <w:sz w:val="36"/>
          <w:szCs w:val="44"/>
        </w:rPr>
        <w:br w:type="page" w:clear="all"/>
      </w:r>
      <w:r/>
    </w:p>
    <w:p>
      <w:pPr>
        <w:ind w:firstLine="964"/>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pStyle w:val="886"/>
        <w:ind w:firstLine="480"/>
        <w:jc w:val="both"/>
        <w:spacing w:beforeAutospacing="0" w:afterAutospacing="0" w:line="360" w:lineRule="auto"/>
        <w:rPr>
          <w:rFonts w:ascii="宋体" w:hAnsi="宋体"/>
        </w:rPr>
      </w:pPr>
      <w:r/>
      <w:bookmarkStart w:id="206" w:name="_Toc513029243"/>
      <w:r/>
      <w:bookmarkStart w:id="207" w:name="_Toc20823315"/>
      <w:r/>
      <w:bookmarkStart w:id="208" w:name="_Toc16938559"/>
      <w:r>
        <w:rPr>
          <w:rFonts w:hint="eastAsia" w:ascii="宋体" w:hAnsi="宋体" w:cs="宋体"/>
          <w:color w:val="000000"/>
        </w:rPr>
        <w:t xml:space="preserve">以</w:t>
      </w:r>
      <w:bookmarkEnd w:id="206"/>
      <w:r/>
      <w:bookmarkEnd w:id="207"/>
      <w:r/>
      <w:bookmarkEnd w:id="208"/>
      <w:r>
        <w:rPr>
          <w:rFonts w:hint="eastAsia" w:ascii="宋体" w:hAnsi="宋体" w:cs="宋体"/>
          <w:color w:val="000000"/>
        </w:rPr>
        <w:t xml:space="preserve">下为中标后签订本项目合同的通用条款，中标供应商不得提出实质性的修改，关于专用条款将由采购人与中标供应商结合本项目具体情况协商后签订。 </w:t>
      </w:r>
      <w:r/>
    </w:p>
    <w:p>
      <w:pPr>
        <w:pStyle w:val="886"/>
        <w:ind w:firstLine="602"/>
        <w:jc w:val="center"/>
        <w:spacing w:beforeAutospacing="0" w:afterAutospacing="0" w:line="360" w:lineRule="auto"/>
      </w:pPr>
      <w:r>
        <w:rPr>
          <w:rFonts w:hint="eastAsia" w:ascii="宋体" w:hAnsi="宋体" w:cs="宋体"/>
          <w:b/>
          <w:color w:val="000000"/>
          <w:sz w:val="30"/>
          <w:szCs w:val="30"/>
        </w:rPr>
        <w:t xml:space="preserve">政府采购合同（货物）</w:t>
      </w:r>
      <w:r/>
    </w:p>
    <w:p>
      <w:pPr>
        <w:pStyle w:val="886"/>
        <w:ind w:firstLine="480"/>
        <w:spacing w:beforeAutospacing="0" w:afterAutospacing="0" w:line="360" w:lineRule="auto"/>
        <w:rPr>
          <w:rFonts w:ascii="宋体" w:hAnsi="宋体" w:cs="宋体"/>
          <w:color w:val="000000"/>
        </w:rPr>
      </w:pPr>
      <w:r>
        <w:rPr>
          <w:rFonts w:hint="eastAsia" w:ascii="宋体" w:hAnsi="宋体" w:cs="宋体"/>
          <w:color w:val="000000"/>
        </w:rPr>
        <w:t xml:space="preserve">项目名称：滨海县中小学（幼儿园）食堂净水设备采购及安装项目</w:t>
      </w:r>
      <w:r/>
    </w:p>
    <w:p>
      <w:pPr>
        <w:pStyle w:val="886"/>
        <w:ind w:firstLine="480"/>
        <w:spacing w:beforeAutospacing="0" w:afterAutospacing="0" w:line="360" w:lineRule="auto"/>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t xml:space="preserve">JSZC-320922-YCGX-G2026-0008</w:t>
      </w:r>
      <w:r>
        <w:rPr>
          <w:rFonts w:hint="eastAsia" w:ascii="宋体" w:hAnsi="宋体" w:cs="宋体"/>
          <w:color w:val="000000"/>
        </w:rPr>
        <w:t xml:space="preserve"> </w:t>
      </w:r>
      <w:r/>
    </w:p>
    <w:p>
      <w:pPr>
        <w:pStyle w:val="886"/>
        <w:ind w:firstLine="480"/>
        <w:jc w:val="both"/>
        <w:spacing w:beforeAutospacing="0" w:afterAutospacing="0" w:line="360" w:lineRule="auto"/>
      </w:pPr>
      <w:r>
        <w:rPr>
          <w:rFonts w:hint="eastAsia" w:ascii="宋体" w:hAnsi="宋体" w:cs="宋体"/>
          <w:color w:val="000000"/>
        </w:rPr>
        <w:t xml:space="preserve">甲方：（买方）滨海县教育局</w:t>
      </w:r>
      <w:r/>
    </w:p>
    <w:p>
      <w:pPr>
        <w:pStyle w:val="886"/>
        <w:ind w:firstLine="480"/>
        <w:jc w:val="both"/>
        <w:spacing w:beforeAutospacing="0" w:afterAutospacing="0" w:line="360" w:lineRule="auto"/>
      </w:pPr>
      <w:r>
        <w:rPr>
          <w:rFonts w:hint="eastAsia" w:ascii="宋体" w:hAnsi="宋体" w:cs="宋体"/>
          <w:color w:val="000000"/>
        </w:rPr>
        <w:t xml:space="preserve">乙方：（卖方）_________</w:t>
      </w:r>
      <w:r/>
    </w:p>
    <w:p>
      <w:pPr>
        <w:pStyle w:val="886"/>
        <w:ind w:firstLine="482"/>
        <w:jc w:val="both"/>
        <w:spacing w:beforeAutospacing="0" w:afterAutospacing="0" w:line="360" w:lineRule="auto"/>
      </w:pPr>
      <w:r>
        <w:rPr>
          <w:rFonts w:hint="eastAsia" w:ascii="宋体" w:hAnsi="宋体" w:cs="宋体"/>
          <w:b/>
          <w:color w:val="000000"/>
        </w:rPr>
        <w:t xml:space="preserve"> </w:t>
      </w:r>
      <w:r>
        <w:rPr>
          <w:rFonts w:hint="eastAsia" w:ascii="宋体" w:hAnsi="宋体" w:cs="宋体"/>
          <w:color w:val="000000"/>
        </w:rPr>
        <w:t xml:space="preserve">甲、乙双方根据</w:t>
      </w:r>
      <w:r>
        <w:rPr>
          <w:rFonts w:hint="eastAsia" w:ascii="宋体" w:hAnsi="宋体" w:cs="宋体"/>
          <w:color w:val="000000"/>
          <w:u w:val="single"/>
        </w:rPr>
        <w:t xml:space="preserve">滨海县中小学（幼儿园）食堂净水设备采购及安装项目</w:t>
      </w:r>
      <w:r>
        <w:rPr>
          <w:rFonts w:hint="eastAsia" w:ascii="宋体" w:hAnsi="宋体" w:cs="宋体"/>
          <w:color w:val="000000"/>
        </w:rPr>
        <w:t xml:space="preserve">公开招标的结果，签署本合同。</w:t>
      </w:r>
      <w:r/>
    </w:p>
    <w:p>
      <w:pPr>
        <w:pStyle w:val="886"/>
        <w:ind w:firstLine="482"/>
        <w:jc w:val="both"/>
        <w:spacing w:beforeAutospacing="0" w:afterAutospacing="0" w:line="360" w:lineRule="auto"/>
      </w:pPr>
      <w:r>
        <w:rPr>
          <w:rFonts w:hint="eastAsia" w:ascii="宋体" w:hAnsi="宋体" w:cs="宋体"/>
          <w:b/>
          <w:color w:val="000000"/>
        </w:rPr>
        <w:t xml:space="preserve">一、合同内容</w:t>
      </w:r>
      <w:r/>
    </w:p>
    <w:p>
      <w:pPr>
        <w:pStyle w:val="886"/>
        <w:ind w:firstLine="480"/>
        <w:jc w:val="both"/>
        <w:spacing w:beforeAutospacing="0" w:afterAutospacing="0" w:line="360" w:lineRule="auto"/>
      </w:pPr>
      <w:r>
        <w:rPr>
          <w:rFonts w:hint="eastAsia" w:ascii="宋体" w:hAnsi="宋体" w:cs="宋体"/>
          <w:color w:val="000000"/>
        </w:rPr>
        <w:t xml:space="preserve">1.1 标的名称：</w:t>
      </w:r>
      <w:r/>
    </w:p>
    <w:p>
      <w:pPr>
        <w:pStyle w:val="886"/>
        <w:ind w:firstLine="480"/>
        <w:jc w:val="both"/>
        <w:spacing w:beforeAutospacing="0" w:afterAutospacing="0" w:line="360" w:lineRule="auto"/>
      </w:pPr>
      <w:r>
        <w:rPr>
          <w:rFonts w:hint="eastAsia" w:ascii="宋体" w:hAnsi="宋体" w:cs="宋体"/>
          <w:color w:val="000000"/>
        </w:rPr>
        <w:t xml:space="preserve">1.2 标的质量：</w:t>
      </w:r>
      <w:r/>
    </w:p>
    <w:p>
      <w:pPr>
        <w:pStyle w:val="886"/>
        <w:ind w:firstLine="480"/>
        <w:jc w:val="both"/>
        <w:spacing w:beforeAutospacing="0" w:afterAutospacing="0" w:line="360" w:lineRule="auto"/>
      </w:pPr>
      <w:r>
        <w:rPr>
          <w:rFonts w:hint="eastAsia" w:ascii="宋体" w:hAnsi="宋体" w:cs="宋体"/>
          <w:color w:val="000000"/>
        </w:rPr>
        <w:t xml:space="preserve">1.3 标的数量（规模）：</w:t>
      </w:r>
      <w:r/>
    </w:p>
    <w:p>
      <w:pPr>
        <w:pStyle w:val="886"/>
        <w:ind w:firstLine="480"/>
        <w:jc w:val="both"/>
        <w:spacing w:beforeAutospacing="0" w:afterAutospacing="0" w:line="360" w:lineRule="auto"/>
      </w:pPr>
      <w:r>
        <w:rPr>
          <w:rFonts w:hint="eastAsia" w:ascii="宋体" w:hAnsi="宋体" w:cs="宋体"/>
          <w:color w:val="000000"/>
        </w:rPr>
        <w:t xml:space="preserve">1.4 履行时间（期限）：</w:t>
      </w:r>
      <w:r/>
    </w:p>
    <w:p>
      <w:pPr>
        <w:pStyle w:val="886"/>
        <w:ind w:firstLine="480"/>
        <w:jc w:val="both"/>
        <w:spacing w:beforeAutospacing="0" w:afterAutospacing="0" w:line="360" w:lineRule="auto"/>
      </w:pPr>
      <w:r>
        <w:rPr>
          <w:rFonts w:hint="eastAsia" w:ascii="宋体" w:hAnsi="宋体" w:cs="宋体"/>
          <w:color w:val="000000"/>
        </w:rPr>
        <w:t xml:space="preserve">1.5 履行地点：</w:t>
      </w:r>
      <w:r/>
    </w:p>
    <w:p>
      <w:pPr>
        <w:pStyle w:val="886"/>
        <w:ind w:firstLine="480"/>
        <w:jc w:val="both"/>
        <w:spacing w:beforeAutospacing="0" w:afterAutospacing="0" w:line="360" w:lineRule="auto"/>
      </w:pPr>
      <w:r>
        <w:rPr>
          <w:rFonts w:hint="eastAsia" w:ascii="宋体" w:hAnsi="宋体" w:cs="宋体"/>
          <w:color w:val="000000"/>
        </w:rPr>
        <w:t xml:space="preserve">1.6 履行方式：</w:t>
      </w:r>
      <w:r/>
    </w:p>
    <w:p>
      <w:pPr>
        <w:pStyle w:val="886"/>
        <w:ind w:firstLine="480"/>
        <w:jc w:val="both"/>
        <w:spacing w:beforeAutospacing="0" w:afterAutospacing="0" w:line="360" w:lineRule="auto"/>
      </w:pPr>
      <w:r>
        <w:rPr>
          <w:rFonts w:hint="eastAsia" w:ascii="宋体" w:hAnsi="宋体" w:cs="宋体"/>
          <w:color w:val="000000"/>
        </w:rPr>
        <w:t xml:space="preserve">1.7 包装方式：</w:t>
      </w:r>
      <w:r/>
    </w:p>
    <w:p>
      <w:pPr>
        <w:pStyle w:val="886"/>
        <w:ind w:firstLine="482"/>
        <w:jc w:val="both"/>
        <w:spacing w:beforeAutospacing="0" w:afterAutospacing="0" w:line="360" w:lineRule="auto"/>
      </w:pPr>
      <w:r>
        <w:rPr>
          <w:rFonts w:hint="eastAsia" w:ascii="宋体" w:hAnsi="宋体" w:cs="宋体"/>
          <w:b/>
          <w:color w:val="000000"/>
        </w:rPr>
        <w:t xml:space="preserve">二、合同金额</w:t>
      </w:r>
      <w:r/>
    </w:p>
    <w:p>
      <w:pPr>
        <w:pStyle w:val="886"/>
        <w:ind w:firstLine="480"/>
        <w:spacing w:beforeAutospacing="0" w:afterAutospacing="0" w:line="360" w:lineRule="auto"/>
        <w:rPr>
          <w:rFonts w:ascii="宋体" w:hAnsi="宋体" w:cs="宋体"/>
          <w:color w:val="000000"/>
        </w:rPr>
      </w:pPr>
      <w:r>
        <w:rPr>
          <w:rFonts w:hint="eastAsia" w:ascii="宋体" w:hAnsi="宋体" w:cs="宋体"/>
          <w:color w:val="000000"/>
        </w:rPr>
        <w:t xml:space="preserve">2.1 本合同总金额为人民币（大写）：（¥___________元）。</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2.2合同总金额包括所投产品（</w:t>
      </w:r>
      <w:r>
        <w:rPr>
          <w:rFonts w:hint="eastAsia" w:ascii="宋体" w:hAnsi="宋体" w:cs="宋体"/>
          <w:color w:val="000000"/>
        </w:rPr>
        <w:t xml:space="preserve">含相关</w:t>
      </w:r>
      <w:r>
        <w:rPr>
          <w:rFonts w:hint="eastAsia" w:ascii="宋体" w:hAnsi="宋体" w:cs="宋体"/>
          <w:color w:val="000000"/>
        </w:rPr>
        <w:t xml:space="preserve">配件、耗材）费用、备品备件费、专用工具费、包装费、运输费、装卸费、安装调试费、测试费、验收费、质量保修期内维保费、售后服务费、水质检测费、投标费用、招标代理服务费、税金、各类风险费、管理费、利润等及其他有关的为完成本项目发生的所有费用。</w:t>
      </w:r>
      <w:r/>
    </w:p>
    <w:p>
      <w:pPr>
        <w:pStyle w:val="886"/>
        <w:ind w:firstLine="482"/>
        <w:jc w:val="both"/>
        <w:spacing w:beforeAutospacing="0" w:afterAutospacing="0" w:line="360" w:lineRule="auto"/>
      </w:pPr>
      <w:r>
        <w:rPr>
          <w:rFonts w:hint="eastAsia" w:ascii="宋体" w:hAnsi="宋体" w:cs="宋体"/>
          <w:b/>
          <w:color w:val="000000"/>
        </w:rPr>
        <w:t xml:space="preserve">三、技术资料</w:t>
      </w:r>
      <w:r/>
    </w:p>
    <w:p>
      <w:pPr>
        <w:pStyle w:val="886"/>
        <w:ind w:firstLine="480"/>
        <w:spacing w:beforeAutospacing="0" w:afterAutospacing="0" w:line="360" w:lineRule="auto"/>
      </w:pPr>
      <w:r>
        <w:rPr>
          <w:rFonts w:hint="eastAsia" w:ascii="宋体" w:hAnsi="宋体" w:cs="宋体"/>
          <w:color w:val="000000"/>
        </w:rPr>
        <w:t xml:space="preserve">3.1乙方应按招标文件规定的时间向甲方提供使用货物(包含与货物相关的服务)的有关技术资料。</w:t>
      </w:r>
      <w:r/>
    </w:p>
    <w:p>
      <w:pPr>
        <w:pStyle w:val="886"/>
        <w:ind w:firstLine="480"/>
        <w:spacing w:beforeAutospacing="0" w:afterAutospacing="0" w:line="360" w:lineRule="auto"/>
      </w:pPr>
      <w:r>
        <w:rPr>
          <w:rFonts w:hint="eastAsia" w:ascii="宋体" w:hAnsi="宋体" w:cs="宋体"/>
          <w:color w:val="000000"/>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color w:val="000000"/>
        </w:rPr>
        <w:t xml:space="preserve">向履行</w:t>
      </w:r>
      <w:r>
        <w:rPr>
          <w:rFonts w:hint="eastAsia" w:ascii="宋体" w:hAnsi="宋体" w:cs="宋体"/>
          <w:color w:val="000000"/>
        </w:rPr>
        <w:t xml:space="preserve">本合同有关的人员提供，也应注意保密并限于履行合同的必需范围。</w:t>
      </w:r>
      <w:r/>
    </w:p>
    <w:p>
      <w:pPr>
        <w:pStyle w:val="886"/>
        <w:ind w:firstLine="482"/>
        <w:jc w:val="both"/>
        <w:spacing w:beforeAutospacing="0" w:afterAutospacing="0" w:line="360" w:lineRule="auto"/>
        <w:rPr>
          <w:rFonts w:ascii="宋体" w:hAnsi="宋体" w:cs="宋体"/>
          <w:b/>
          <w:color w:val="000000"/>
        </w:rPr>
      </w:pPr>
      <w:r>
        <w:rPr>
          <w:rFonts w:hint="eastAsia" w:ascii="宋体" w:hAnsi="宋体" w:cs="宋体"/>
          <w:b/>
          <w:color w:val="000000"/>
        </w:rPr>
        <w:t xml:space="preserve">四、知识产权</w:t>
      </w:r>
      <w:r/>
    </w:p>
    <w:p>
      <w:pPr>
        <w:pStyle w:val="886"/>
        <w:ind w:left="414" w:firstLine="480"/>
        <w:spacing w:beforeAutospacing="0" w:afterAutospacing="0" w:line="360" w:lineRule="auto"/>
        <w:rPr>
          <w:rFonts w:ascii="宋体" w:hAnsi="宋体" w:cs="宋体"/>
          <w:color w:val="000000"/>
        </w:rPr>
      </w:pPr>
      <w:r>
        <w:rPr>
          <w:rFonts w:ascii="宋体" w:hAnsi="宋体" w:cs="宋体"/>
          <w:color w:val="000000"/>
        </w:rPr>
        <w:t xml:space="preserve">4.1乙</w:t>
      </w:r>
      <w:r>
        <w:rPr>
          <w:rFonts w:hint="eastAsia" w:ascii="宋体" w:hAnsi="宋体" w:cs="宋体"/>
          <w:color w:val="000000"/>
        </w:rPr>
        <w:t xml:space="preserve">方应保证甲方在使用、接受本合同货物</w:t>
      </w:r>
      <w:r>
        <w:rPr>
          <w:rFonts w:ascii="宋体" w:hAnsi="宋体" w:cs="宋体"/>
          <w:color w:val="000000"/>
        </w:rPr>
        <w:t xml:space="preserve">（包含与货物相关的服务）</w:t>
      </w:r>
      <w:r>
        <w:rPr>
          <w:rFonts w:hint="eastAsia" w:ascii="宋体" w:hAnsi="宋体" w:cs="宋体"/>
          <w:color w:val="000000"/>
        </w:rPr>
        <w:t xml:space="preserve">或其任何一部分时不受第三方提出侵犯其专利权、版权、商标权和工业设计权等知识产权的起诉。一旦出现侵权，由乙方负全部责任。</w:t>
      </w:r>
      <w:r/>
    </w:p>
    <w:p>
      <w:pPr>
        <w:pStyle w:val="886"/>
        <w:ind w:firstLine="482"/>
        <w:jc w:val="both"/>
        <w:spacing w:beforeAutospacing="0" w:afterAutospacing="0" w:line="360" w:lineRule="auto"/>
      </w:pPr>
      <w:r>
        <w:rPr>
          <w:rFonts w:hint="eastAsia" w:ascii="宋体" w:hAnsi="宋体" w:cs="宋体"/>
          <w:b/>
          <w:color w:val="000000"/>
        </w:rPr>
        <w:t xml:space="preserve">五、产权担保</w:t>
      </w:r>
      <w:r/>
    </w:p>
    <w:p>
      <w:pPr>
        <w:pStyle w:val="886"/>
        <w:ind w:left="414" w:firstLine="480"/>
        <w:spacing w:beforeAutospacing="0" w:afterAutospacing="0" w:line="360" w:lineRule="auto"/>
        <w:rPr>
          <w:rFonts w:ascii="宋体" w:hAnsi="宋体" w:cs="宋体"/>
          <w:color w:val="000000"/>
        </w:rPr>
      </w:pPr>
      <w:r>
        <w:rPr>
          <w:rFonts w:hint="eastAsia" w:ascii="宋体" w:hAnsi="宋体" w:cs="宋体"/>
          <w:color w:val="000000"/>
        </w:rPr>
        <w:t xml:space="preserve">5.1 乙方保证所交付的货物（包含与货物相关的服务）的所有权完全属于</w:t>
      </w:r>
      <w:r>
        <w:rPr>
          <w:rFonts w:hint="eastAsia" w:ascii="宋体" w:hAnsi="宋体" w:cs="宋体"/>
          <w:color w:val="000000"/>
        </w:rPr>
        <w:t xml:space="preserve">乙方且</w:t>
      </w:r>
      <w:r>
        <w:rPr>
          <w:rFonts w:hint="eastAsia" w:ascii="宋体" w:hAnsi="宋体" w:cs="宋体"/>
          <w:color w:val="000000"/>
        </w:rPr>
        <w:t xml:space="preserve">无任何抵押、查封等产权瑕疵。</w:t>
      </w:r>
      <w:r/>
    </w:p>
    <w:p>
      <w:pPr>
        <w:pStyle w:val="886"/>
        <w:ind w:firstLine="482"/>
        <w:jc w:val="both"/>
        <w:spacing w:beforeAutospacing="0" w:afterAutospacing="0" w:line="360" w:lineRule="auto"/>
        <w:rPr>
          <w:rFonts w:ascii="宋体" w:hAnsi="宋体" w:cs="宋体"/>
          <w:b/>
          <w:color w:val="000000"/>
        </w:rPr>
      </w:pPr>
      <w:r>
        <w:rPr>
          <w:rFonts w:hint="eastAsia" w:ascii="宋体" w:hAnsi="宋体" w:cs="宋体"/>
          <w:b/>
          <w:color w:val="000000"/>
        </w:rPr>
        <w:t xml:space="preserve">六、履约保证金</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6.1 乙方交纳</w:t>
      </w:r>
      <w:r>
        <w:rPr>
          <w:rFonts w:hint="eastAsia" w:ascii="宋体" w:hAnsi="宋体" w:cs="宋体"/>
          <w:color w:val="7030a0"/>
        </w:rPr>
        <w:t xml:space="preserve">合同金额的</w:t>
      </w:r>
      <w:r>
        <w:rPr>
          <w:rFonts w:ascii="宋体" w:hAnsi="宋体" w:cs="宋体"/>
          <w:color w:val="7030a0"/>
        </w:rPr>
        <w:t xml:space="preserve">10</w:t>
      </w:r>
      <w:r>
        <w:rPr>
          <w:rFonts w:hint="eastAsia" w:ascii="宋体" w:hAnsi="宋体" w:cs="宋体"/>
          <w:color w:val="7030a0"/>
        </w:rPr>
        <w:t xml:space="preserve">%</w:t>
      </w:r>
      <w:r>
        <w:rPr>
          <w:rFonts w:hint="eastAsia" w:ascii="宋体" w:hAnsi="宋体" w:cs="宋体"/>
          <w:color w:val="000000"/>
        </w:rPr>
        <w:t xml:space="preserve">作为本合同的履约保证金。</w:t>
      </w:r>
      <w:r/>
    </w:p>
    <w:p>
      <w:pPr>
        <w:pStyle w:val="886"/>
        <w:ind w:firstLine="480"/>
        <w:jc w:val="both"/>
        <w:spacing w:beforeAutospacing="0" w:afterAutospacing="0" w:line="360" w:lineRule="auto"/>
        <w:rPr>
          <w:rFonts w:ascii="宋体" w:hAnsi="宋体" w:cs="宋体"/>
          <w:color w:val="7030a0"/>
        </w:rPr>
      </w:pPr>
      <w:r>
        <w:rPr>
          <w:rFonts w:hint="eastAsia" w:ascii="宋体" w:hAnsi="宋体" w:cs="宋体"/>
          <w:color w:val="7030a0"/>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6.2确需收取履约保证金的，履约保证金的缴纳形式：</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6.2.2 如以履约保函（保险）形式缴纳履约保证金，供应商可通过政府采购电子履约保函（保险）平台（www.jsdzbh.com）在线申请履约保函（保险）。</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6.3合同履行结束后，甲方应及时退还交纳的履约保证金。</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6.4履约保证金的退还：</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6.4.1方式：无息退还至投标人缴纳履约保证金的账户。如为保函，在到期时自行失效。</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6.4.2时间：验收合格且招标人收到发票后15日内。</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6.4.3条件：按合同要求全部履约完成并经招标人验收合格，且招标人收到中标人出具的发票。</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6.4.4不予退还情形：</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除不可抗力情况外，投标人出现下列情形之一的，其履约保证金，招标人将视情节决定不予退还或部分不予退还。</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（1）中标人无正当理由拒绝签订合同的，或者在签订合同时向招标人提出附加条件或者更改合同实质性内容要求的；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（2）中标人不履行与招标人订立的合同的；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（3）中标人所供货物或服务不符合招标文件规定要求的；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（4）中标人采取欺骗、弄虚作假方式投标的或与其它投标人串通投标的；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（5）中标人将合同内容转包、违法分包的；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（6）中标人故意捏造事实或伪造证明材料，进行虚假恶意投诉或反映的。</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6.4.5逾期退还的违约责任：招标人逾期无故未退还履约保证金的，按中国人民银行同期贷款基准利率上浮20%后的利率支付超期资金占用费，但因供应商自身原因导致无法及时退还的除外。</w:t>
      </w:r>
      <w:r/>
    </w:p>
    <w:p>
      <w:pPr>
        <w:pStyle w:val="886"/>
        <w:ind w:firstLine="482"/>
        <w:jc w:val="both"/>
        <w:spacing w:beforeAutospacing="0" w:afterAutospacing="0" w:line="360" w:lineRule="auto"/>
      </w:pPr>
      <w:r>
        <w:rPr>
          <w:rFonts w:hint="eastAsia" w:ascii="宋体" w:hAnsi="宋体" w:cs="宋体"/>
          <w:b/>
          <w:color w:val="000000"/>
        </w:rPr>
        <w:t xml:space="preserve">七、合同转包或分包</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7.1乙方不得将合同标的转包给他人履行。</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7.2乙方不得将合同标的分包给他人履行。</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7.3乙方如有转包或未经甲方同意的分包行为，甲方有权给予终止合同。</w:t>
      </w:r>
      <w:r/>
    </w:p>
    <w:p>
      <w:pPr>
        <w:pStyle w:val="886"/>
        <w:ind w:firstLine="482"/>
        <w:jc w:val="both"/>
        <w:spacing w:beforeAutospacing="0" w:afterAutospacing="0" w:line="360" w:lineRule="auto"/>
      </w:pPr>
      <w:r>
        <w:rPr>
          <w:rFonts w:hint="eastAsia" w:ascii="宋体" w:hAnsi="宋体" w:cs="宋体"/>
          <w:b/>
          <w:color w:val="000000"/>
        </w:rPr>
        <w:t xml:space="preserve">八、合同款项支付</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8.1本项目落实预付款制度，预付款比例为30%，合同签订后，甲方在收到发票后10个工作日内将预付款支付到合同约定的供应商账户（供应商须提供合同总价30%的即兑即付预付款银行保函）。在签订合同时，供应商书面明确表示无需预付款或者主动要求降低预付款比例的，甲方可不适用前述规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8.2按甲方要求将货物送到指定地点并完成安装、调试，经甲方验收合格后凭发票付至合同金额的50%，验收合格满一年后付至合同金额的60%，满二年后付至合同金额的70%，满三年后付至合同金额的80%，余款在验收合格满五年后付清剩余费用。</w:t>
      </w:r>
      <w:r/>
    </w:p>
    <w:p>
      <w:pPr>
        <w:pStyle w:val="886"/>
        <w:ind w:firstLine="482"/>
        <w:spacing w:beforeAutospacing="0" w:afterAutospacing="0" w:line="360" w:lineRule="auto"/>
        <w:rPr>
          <w:rFonts w:ascii="宋体" w:hAnsi="宋体" w:cs="宋体"/>
          <w:b/>
          <w:color w:val="000000"/>
        </w:rPr>
      </w:pPr>
      <w:r>
        <w:rPr>
          <w:rFonts w:hint="eastAsia" w:ascii="宋体" w:hAnsi="宋体" w:cs="宋体"/>
          <w:b/>
          <w:color w:val="000000"/>
        </w:rPr>
        <w:t xml:space="preserve">九、税费</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9.1</w:t>
      </w:r>
      <w:bookmarkStart w:id="209" w:name="_Hlk187243352"/>
      <w:r>
        <w:rPr>
          <w:rFonts w:hint="eastAsia" w:ascii="宋体" w:hAnsi="宋体" w:cs="宋体"/>
          <w:color w:val="000000"/>
        </w:rPr>
        <w:t xml:space="preserve">本合同执行中相关的一切税费均由乙方负担。</w:t>
      </w:r>
      <w:bookmarkEnd w:id="209"/>
      <w:r/>
      <w:r/>
    </w:p>
    <w:p>
      <w:pPr>
        <w:pStyle w:val="886"/>
        <w:ind w:firstLine="482"/>
        <w:jc w:val="both"/>
        <w:spacing w:beforeAutospacing="0" w:afterAutospacing="0" w:line="360" w:lineRule="auto"/>
      </w:pPr>
      <w:r>
        <w:rPr>
          <w:rFonts w:hint="eastAsia" w:ascii="宋体" w:hAnsi="宋体" w:cs="宋体"/>
          <w:b/>
          <w:color w:val="000000"/>
        </w:rPr>
        <w:t xml:space="preserve">十、质量保修范围和保修期及售后服务</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10.1 乙方应按招标文件规定的货物性能、技术要求、质量标准向甲方提供未经使用的全新产品。</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⑴更换：由乙方承担所发生的全部费用。</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⑵贬值处理：由甲乙双方合议定价。</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⑶退货处理：乙方应退还甲方支付的合同款，同时</w:t>
      </w:r>
      <w:r>
        <w:rPr>
          <w:rFonts w:hint="eastAsia" w:ascii="宋体" w:hAnsi="宋体" w:cs="宋体"/>
          <w:color w:val="000000"/>
        </w:rPr>
        <w:t xml:space="preserve">应承担该货物</w:t>
      </w:r>
      <w:r>
        <w:rPr>
          <w:rFonts w:hint="eastAsia" w:ascii="宋体" w:hAnsi="宋体" w:cs="宋体"/>
          <w:color w:val="000000"/>
        </w:rPr>
        <w:t xml:space="preserve">的直接费用（运输、保险、检验、货款利息及银行手续费等）。</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10.3 如在使用过程中发生质量问题，乙方在接到甲方通知后在_________小时内响应，_________小时内到达甲方现场。</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10.4 在质保期内，乙方应对货物出现的质量及安全问题负责处理解决并承担一切费用。</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0.5</w:t>
      </w:r>
      <w:r>
        <w:rPr>
          <w:rFonts w:hint="eastAsia" w:ascii="宋体" w:hAnsi="宋体" w:cs="宋体"/>
          <w:color w:val="000000"/>
        </w:rPr>
        <w:t xml:space="preserve">在质保期内，乙方应对货物进行维护保养（</w:t>
      </w:r>
      <w:r>
        <w:rPr>
          <w:rFonts w:hint="eastAsia" w:ascii="宋体" w:hAnsi="宋体" w:eastAsia="宋体" w:cs="宋体"/>
        </w:rPr>
        <w:t xml:space="preserve">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rPr>
          <w:rFonts w:hint="eastAsia" w:ascii="宋体" w:hAnsi="宋体" w:cs="宋体"/>
          <w:color w:val="000000"/>
        </w:rPr>
        <w:t xml:space="preserve">），费用包含在合同价中。</w:t>
      </w:r>
      <w:r/>
    </w:p>
    <w:p>
      <w:pPr>
        <w:pStyle w:val="886"/>
        <w:ind w:firstLine="480"/>
        <w:jc w:val="both"/>
        <w:spacing w:beforeAutospacing="0" w:afterAutospacing="0" w:line="360" w:lineRule="auto"/>
      </w:pPr>
      <w:r>
        <w:rPr>
          <w:rFonts w:hint="eastAsia" w:ascii="宋体" w:hAnsi="宋体" w:cs="宋体"/>
          <w:color w:val="000000"/>
        </w:rPr>
        <w:t xml:space="preserve">10.</w:t>
      </w:r>
      <w:r>
        <w:rPr>
          <w:rFonts w:ascii="宋体" w:hAnsi="宋体" w:cs="宋体"/>
          <w:color w:val="000000"/>
        </w:rPr>
        <w:t xml:space="preserve">6</w:t>
      </w:r>
      <w:r>
        <w:rPr>
          <w:rFonts w:hint="eastAsia" w:ascii="宋体" w:hAnsi="宋体" w:cs="宋体"/>
          <w:color w:val="000000"/>
        </w:rPr>
        <w:t xml:space="preserve">上述的货物免费保修期为</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rPr>
        <w:t xml:space="preserve">自全部</w:t>
      </w:r>
      <w:r>
        <w:rPr>
          <w:rFonts w:hint="eastAsia" w:ascii="宋体" w:hAnsi="宋体" w:cs="宋体"/>
          <w:color w:val="000000"/>
        </w:rPr>
        <w:t xml:space="preserve">交货验收合格之日起计），因人为因素出现的故障不在免费保修范围内。超过保修期的机器设备，终生维修，维修时只收部件成本费。</w:t>
      </w:r>
      <w:r/>
    </w:p>
    <w:p>
      <w:pPr>
        <w:pStyle w:val="886"/>
        <w:ind w:firstLine="482"/>
        <w:jc w:val="both"/>
        <w:spacing w:beforeAutospacing="0" w:afterAutospacing="0" w:line="360" w:lineRule="auto"/>
      </w:pPr>
      <w:r>
        <w:rPr>
          <w:rFonts w:hint="eastAsia" w:ascii="宋体" w:hAnsi="宋体" w:cs="宋体"/>
          <w:b/>
          <w:color w:val="000000"/>
        </w:rPr>
        <w:t xml:space="preserve">十一、项目验收</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11.1 甲方依法组织履约验收工作。</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11.3 对于实际使用人和甲方分离的项目，甲方邀请实际使用人参与验收。</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11.4 如有必要，甲方邀请参加本项目的其他供应商或第三</w:t>
      </w:r>
      <w:r>
        <w:rPr>
          <w:rFonts w:hint="eastAsia" w:ascii="宋体" w:hAnsi="宋体" w:cs="宋体"/>
          <w:color w:val="000000"/>
        </w:rPr>
        <w:t xml:space="preserve">方专业</w:t>
      </w:r>
      <w:r>
        <w:rPr>
          <w:rFonts w:hint="eastAsia" w:ascii="宋体" w:hAnsi="宋体" w:cs="宋体"/>
          <w:color w:val="000000"/>
        </w:rPr>
        <w:t xml:space="preserve">机构及专家参与验收，相关意见将作为</w:t>
      </w:r>
      <w:r>
        <w:rPr>
          <w:rFonts w:hint="eastAsia" w:ascii="宋体" w:hAnsi="宋体" w:cs="宋体"/>
          <w:color w:val="000000"/>
        </w:rPr>
        <w:t xml:space="preserve">验收书</w:t>
      </w:r>
      <w:r>
        <w:rPr>
          <w:rFonts w:hint="eastAsia" w:ascii="宋体" w:hAnsi="宋体" w:cs="宋体"/>
          <w:color w:val="000000"/>
        </w:rPr>
        <w:t xml:space="preserve">的参考资料。</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cs="宋体"/>
          <w:color w:val="000000"/>
        </w:rPr>
        <w:t xml:space="preserve">验收书</w:t>
      </w:r>
      <w:r>
        <w:rPr>
          <w:rFonts w:hint="eastAsia" w:ascii="宋体" w:hAnsi="宋体" w:cs="宋体"/>
          <w:color w:val="000000"/>
        </w:rPr>
        <w:t xml:space="preserve">,列明各项标准的验收情况及项目总体评价,由验收双方共同签署。验收结果与采购合同约定的资金支付及履约保证金返还条件挂钩。履约验收的各项资料存档备查。</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6"/>
        <w:ind w:firstLine="482"/>
        <w:jc w:val="both"/>
        <w:spacing w:beforeAutospacing="0" w:afterAutospacing="0" w:line="360" w:lineRule="auto"/>
      </w:pPr>
      <w:r>
        <w:rPr>
          <w:rFonts w:hint="eastAsia" w:ascii="宋体" w:hAnsi="宋体" w:cs="宋体"/>
          <w:b/>
          <w:color w:val="000000"/>
        </w:rPr>
        <w:t xml:space="preserve">十二、货物的包装、发运及运输</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12.2 使用说明书、质量检验证明书、随配附件和工具以及清单一并附于货物内。</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12.3 乙方在货物发运手续办理完毕后24小时内或货到甲方48小时前通知甲方。</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12.4 货物在交付甲方前发生的风险均由乙方负责。</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12.5 货物在规定的交付期限内由乙方送达甲方指定的地点视为交付，乙方同时需通知甲方货物已送达。</w:t>
      </w:r>
      <w:r/>
    </w:p>
    <w:p>
      <w:pPr>
        <w:pStyle w:val="886"/>
        <w:ind w:firstLine="482"/>
        <w:jc w:val="both"/>
        <w:spacing w:beforeAutospacing="0" w:afterAutospacing="0" w:line="360" w:lineRule="auto"/>
      </w:pPr>
      <w:r>
        <w:rPr>
          <w:rFonts w:hint="eastAsia" w:ascii="宋体" w:hAnsi="宋体" w:cs="宋体"/>
          <w:b/>
          <w:color w:val="000000"/>
        </w:rPr>
        <w:t xml:space="preserve">十三、违约责任</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13.1 甲方无正当理由拒收货物的，甲方向乙方偿付拒收货款总值 5 %的违约金。</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13.2 乙方逾期交付货物的，乙方应按逾期交货总额每日千分之 六 向甲方支付违约金，由甲方从待付货款中扣除。逾期超过约定日期10个工作日不能交货的，甲方可解除本合同。乙方因逾期交货或因其他违约行为导致甲方解除合同的，乙方应向甲方支付合同总值5 %的违约金，如造成甲方损失超过违约金的，超出部分由乙方继续承担赔偿责任。 </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13.4 乙方所交的货物品种、型号、规格、技术参数、质量不符合合同规定及竞争性谈判文件规定标准的，甲方有权拒收该货物，乙方愿意更换货物但逾期交货的，按乙方逾期交货处理。乙方拒绝更换货物的，甲方可单方面解除合同。</w:t>
      </w:r>
      <w:r/>
    </w:p>
    <w:p>
      <w:pPr>
        <w:pStyle w:val="886"/>
        <w:ind w:firstLine="482"/>
        <w:jc w:val="both"/>
        <w:spacing w:beforeAutospacing="0" w:afterAutospacing="0" w:line="360" w:lineRule="auto"/>
      </w:pPr>
      <w:r>
        <w:rPr>
          <w:rFonts w:hint="eastAsia" w:ascii="宋体" w:hAnsi="宋体" w:cs="宋体"/>
          <w:b/>
          <w:color w:val="000000"/>
        </w:rPr>
        <w:t xml:space="preserve">十四、不可抗力事件处理</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14.1 在合同有效期内，任何一方因不可抗力事件导致不能履行合同，则合同履行期可延长，其延长期与不可抗力影响期相同。</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14.2 不可抗力事件发生后，应立即通知对方，并寄送有关权威机构出具的证明。</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14.3 不可抗力事件延续120天以上，双方应通过友好协商，确定是否继续履行合同。</w:t>
      </w:r>
      <w:r/>
    </w:p>
    <w:p>
      <w:pPr>
        <w:pStyle w:val="886"/>
        <w:ind w:firstLine="482"/>
        <w:jc w:val="both"/>
        <w:spacing w:beforeAutospacing="0" w:afterAutospacing="0" w:line="360" w:lineRule="auto"/>
      </w:pPr>
      <w:r>
        <w:rPr>
          <w:rFonts w:hint="eastAsia" w:ascii="宋体" w:hAnsi="宋体" w:cs="宋体"/>
          <w:b/>
          <w:color w:val="000000"/>
        </w:rPr>
        <w:t xml:space="preserve">十五、解决争议的方法</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15.1甲乙双方因合同签订、履行而发生的一切争议，应通过友好协商解决。如协商不成由甲方所在地人民法院管辖。</w:t>
      </w:r>
      <w:r/>
    </w:p>
    <w:p>
      <w:pPr>
        <w:pStyle w:val="886"/>
        <w:ind w:firstLine="482"/>
        <w:jc w:val="both"/>
        <w:spacing w:beforeAutospacing="0" w:afterAutospacing="0" w:line="360" w:lineRule="auto"/>
      </w:pPr>
      <w:r>
        <w:rPr>
          <w:rFonts w:hint="eastAsia" w:ascii="宋体" w:hAnsi="宋体" w:cs="宋体"/>
          <w:b/>
          <w:color w:val="000000"/>
        </w:rPr>
        <w:t xml:space="preserve">十六、合同生效及其它</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16.1 合同经双方法定代表人或授权委托代表人签字并加盖单位公章后生效。</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16.2本合同未尽事宜，遵照《中华人民共和国民法典》、《中华人民共和国政府采购法》有关条文执行。</w:t>
      </w:r>
      <w:r/>
    </w:p>
    <w:p>
      <w:pPr>
        <w:pStyle w:val="886"/>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16.3 本合同正本一式肆份，具有同等法律效力，甲方二份，乙方、代理机构各执一份。</w:t>
      </w:r>
      <w:r/>
    </w:p>
    <w:p>
      <w:pPr>
        <w:pStyle w:val="886"/>
        <w:ind w:firstLine="482"/>
        <w:jc w:val="both"/>
        <w:spacing w:before="156" w:beforeAutospacing="0" w:after="156" w:afterAutospacing="0"/>
      </w:pPr>
      <w:r>
        <w:rPr>
          <w:rFonts w:hint="eastAsia" w:ascii="宋体" w:hAnsi="宋体" w:cs="宋体"/>
          <w:color w:val="000000"/>
        </w:rPr>
        <w:t xml:space="preserve">甲方：                        </w:t>
      </w:r>
      <w:r/>
    </w:p>
    <w:p>
      <w:pPr>
        <w:pStyle w:val="886"/>
        <w:ind w:firstLine="482"/>
        <w:jc w:val="both"/>
        <w:spacing w:before="156" w:beforeAutospacing="0" w:after="156" w:afterAutospacing="0"/>
      </w:pPr>
      <w:r>
        <w:rPr>
          <w:rFonts w:hint="eastAsia" w:ascii="宋体" w:hAnsi="宋体" w:cs="宋体"/>
          <w:color w:val="000000"/>
        </w:rPr>
        <w:t xml:space="preserve">地址：                         </w:t>
      </w:r>
      <w:r/>
    </w:p>
    <w:p>
      <w:pPr>
        <w:pStyle w:val="886"/>
        <w:ind w:firstLine="482"/>
        <w:jc w:val="both"/>
        <w:spacing w:before="156" w:beforeAutospacing="0" w:after="156" w:afterAutospacing="0"/>
      </w:pPr>
      <w:r>
        <w:rPr>
          <w:rFonts w:hint="eastAsia" w:ascii="宋体" w:hAnsi="宋体" w:cs="宋体"/>
          <w:color w:val="000000"/>
        </w:rPr>
        <w:t xml:space="preserve">法定代表人或授权代表：       </w:t>
      </w:r>
      <w:r/>
    </w:p>
    <w:p>
      <w:pPr>
        <w:pStyle w:val="886"/>
        <w:ind w:firstLine="482"/>
        <w:jc w:val="both"/>
        <w:spacing w:before="156" w:beforeAutospacing="0" w:after="156" w:afterAutospacing="0"/>
        <w:rPr>
          <w:rFonts w:ascii="宋体" w:hAnsi="宋体" w:cs="宋体"/>
          <w:color w:val="000000"/>
        </w:rPr>
      </w:pPr>
      <w:r>
        <w:rPr>
          <w:rFonts w:hint="eastAsia" w:ascii="宋体" w:hAnsi="宋体" w:cs="宋体"/>
          <w:color w:val="000000"/>
        </w:rPr>
        <w:t xml:space="preserve">联系电话：</w:t>
      </w:r>
      <w:r/>
    </w:p>
    <w:p>
      <w:pPr>
        <w:pStyle w:val="886"/>
        <w:ind w:firstLine="482"/>
        <w:jc w:val="both"/>
        <w:spacing w:before="156" w:beforeAutospacing="0" w:after="156" w:afterAutospacing="0"/>
        <w:rPr>
          <w:rFonts w:ascii="宋体" w:hAnsi="宋体" w:cs="宋体"/>
          <w:color w:val="000000"/>
        </w:rPr>
      </w:pPr>
      <w:r>
        <w:rPr>
          <w:rFonts w:hint="eastAsia" w:ascii="宋体" w:hAnsi="宋体" w:cs="宋体"/>
          <w:color w:val="000000"/>
        </w:rPr>
        <w:t xml:space="preserve">乙方：</w:t>
      </w:r>
      <w:r/>
    </w:p>
    <w:p>
      <w:pPr>
        <w:pStyle w:val="886"/>
        <w:ind w:firstLine="482"/>
        <w:jc w:val="both"/>
        <w:spacing w:before="156" w:beforeAutospacing="0" w:after="156" w:afterAutospacing="0"/>
        <w:rPr>
          <w:rFonts w:ascii="宋体" w:hAnsi="宋体" w:cs="宋体"/>
          <w:color w:val="000000"/>
        </w:rPr>
      </w:pPr>
      <w:r>
        <w:rPr>
          <w:rFonts w:hint="eastAsia" w:ascii="宋体" w:hAnsi="宋体" w:cs="宋体"/>
          <w:color w:val="000000"/>
        </w:rPr>
        <w:t xml:space="preserve">地址：</w:t>
      </w:r>
      <w:r/>
    </w:p>
    <w:p>
      <w:pPr>
        <w:pStyle w:val="886"/>
        <w:ind w:firstLine="482"/>
        <w:jc w:val="both"/>
        <w:spacing w:before="156" w:beforeAutospacing="0" w:after="156" w:afterAutospacing="0"/>
        <w:rPr>
          <w:rFonts w:ascii="宋体" w:hAnsi="宋体" w:cs="宋体"/>
          <w:color w:val="000000"/>
        </w:rPr>
      </w:pPr>
      <w:r>
        <w:rPr>
          <w:rFonts w:hint="eastAsia" w:ascii="宋体" w:hAnsi="宋体" w:cs="宋体"/>
          <w:color w:val="000000"/>
        </w:rPr>
        <w:t xml:space="preserve">法定代表人或授权代表：      </w:t>
      </w:r>
      <w:r/>
    </w:p>
    <w:p>
      <w:pPr>
        <w:pStyle w:val="886"/>
        <w:ind w:firstLine="482"/>
        <w:jc w:val="both"/>
        <w:spacing w:before="156" w:beforeAutospacing="0" w:after="156" w:afterAutospacing="0"/>
      </w:pPr>
      <w:r>
        <w:rPr>
          <w:rFonts w:hint="eastAsia" w:ascii="宋体" w:hAnsi="宋体" w:cs="宋体"/>
          <w:color w:val="000000"/>
        </w:rPr>
        <w:t xml:space="preserve">联系电话：  </w:t>
      </w:r>
      <w:r/>
    </w:p>
    <w:p>
      <w:pPr>
        <w:pStyle w:val="886"/>
        <w:jc w:val="center"/>
        <w:spacing w:before="156" w:beforeAutospacing="0" w:after="156" w:afterAutospacing="0" w:line="0" w:lineRule="atLeast"/>
        <w:rPr>
          <w:rFonts w:ascii="宋体" w:hAnsi="宋体" w:cs="宋体"/>
          <w:color w:val="000000"/>
        </w:rPr>
      </w:pPr>
      <w:r>
        <w:rPr>
          <w:rFonts w:hint="eastAsia" w:ascii="宋体" w:hAnsi="宋体" w:cs="宋体"/>
          <w:color w:val="000000"/>
        </w:rPr>
        <w:t xml:space="preserve">              签订日期：      年    月   日</w:t>
      </w:r>
      <w:r/>
    </w:p>
    <w:p>
      <w:pPr>
        <w:pStyle w:val="886"/>
        <w:jc w:val="center"/>
        <w:spacing w:before="156" w:beforeAutospacing="0" w:after="156" w:afterAutospacing="0" w:line="0" w:lineRule="atLeast"/>
        <w:rPr>
          <w:rFonts w:ascii="宋体" w:hAnsi="宋体" w:cs="宋体"/>
          <w:color w:val="000000"/>
        </w:rPr>
      </w:pPr>
      <w:r>
        <w:rPr>
          <w:rFonts w:ascii="宋体" w:hAnsi="宋体" w:cs="宋体"/>
          <w:color w:val="000000"/>
        </w:rPr>
      </w:r>
      <w:r/>
    </w:p>
    <w:p>
      <w:pPr>
        <w:pStyle w:val="886"/>
        <w:ind w:firstLine="880"/>
        <w:jc w:val="center"/>
        <w:spacing w:before="156" w:beforeAutospacing="0" w:after="156"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99"/>
      <w:r>
        <w:rPr>
          <w:rFonts w:hint="eastAsia" w:ascii="黑体" w:hAnsi="宋体" w:eastAsia="黑体" w:cs="黑体"/>
          <w:color w:val="000000"/>
          <w:sz w:val="44"/>
          <w:szCs w:val="44"/>
        </w:rPr>
        <w:t xml:space="preserve">四章 </w:t>
      </w:r>
      <w:bookmarkStart w:id="210" w:name="_Hlk232002624"/>
      <w:r/>
      <w:bookmarkStart w:id="211" w:name="OLE_LINK25"/>
      <w:r/>
      <w:bookmarkStart w:id="212" w:name="OLE_LINK26"/>
      <w:r>
        <w:rPr>
          <w:rFonts w:hint="eastAsia" w:ascii="黑体" w:hAnsi="宋体" w:eastAsia="黑体" w:cs="黑体"/>
          <w:color w:val="000000"/>
          <w:sz w:val="44"/>
          <w:szCs w:val="44"/>
        </w:rPr>
        <w:t xml:space="preserve">采购需求</w:t>
      </w:r>
      <w:bookmarkEnd w:id="200"/>
      <w:r/>
      <w:bookmarkEnd w:id="201"/>
      <w:r/>
      <w:bookmarkEnd w:id="202"/>
      <w:r/>
      <w:bookmarkEnd w:id="203"/>
      <w:r/>
      <w:bookmarkEnd w:id="204"/>
      <w:r/>
      <w:r/>
    </w:p>
    <w:p>
      <w:pPr>
        <w:pStyle w:val="886"/>
        <w:jc w:val="both"/>
        <w:spacing w:beforeAutospacing="0" w:afterAutospacing="0" w:line="0" w:lineRule="atLeast"/>
        <w:rPr>
          <w:rFonts w:ascii="宋体" w:hAnsi="宋体" w:eastAsia="宋体" w:cs="宋体"/>
        </w:rPr>
      </w:pPr>
      <w:r/>
      <w:bookmarkStart w:id="213" w:name="_Toc49090575"/>
      <w:r/>
      <w:bookmarkStart w:id="214" w:name="_Toc26554093"/>
      <w:r>
        <w:rPr>
          <w:rFonts w:hint="eastAsia" w:ascii="宋体" w:hAnsi="宋体" w:eastAsia="宋体" w:cs="宋体"/>
          <w:color w:val="000000"/>
        </w:rPr>
        <w:t xml:space="preserve">项目属性:货物类项目。</w:t>
      </w:r>
      <w:bookmarkEnd w:id="213"/>
      <w:r/>
      <w:bookmarkEnd w:id="214"/>
      <w:r/>
      <w:r/>
    </w:p>
    <w:p>
      <w:pPr>
        <w:pStyle w:val="886"/>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86"/>
        <w:ind w:firstLine="562"/>
        <w:jc w:val="both"/>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一、项目概述</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1、本项目为滨海县中小学（幼儿园）食堂净水设备采购及安装项目，主要内容包括不限于：设备(</w:t>
      </w:r>
      <w:r>
        <w:rPr>
          <w:rFonts w:hint="eastAsia" w:ascii="宋体" w:hAnsi="宋体" w:eastAsia="宋体" w:cs="宋体"/>
        </w:rPr>
        <w:t xml:space="preserve">含附配件</w:t>
      </w:r>
      <w:r>
        <w:rPr>
          <w:rFonts w:hint="eastAsia" w:ascii="宋体" w:hAnsi="宋体" w:eastAsia="宋体" w:cs="宋体"/>
        </w:rPr>
        <w:t xml:space="preserve">)的采购、包装、运输、上下力资、安装、调试、验收、质保期内维保、售前、售后等相关伴随服务。</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2、各学校安装场地水和电的改造、摄像头安装电源线与网线管材等交付使用前的所有费用全部考虑到投标文件中，中标后不再增加费用。</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3、投标人能实现监控与滨海县教育局安防管理平台无缝对接。</w:t>
      </w:r>
      <w:r>
        <w:rPr>
          <w:rFonts w:hint="eastAsia" w:ascii="宋体" w:hAnsi="宋体" w:eastAsia="宋体" w:cs="宋体"/>
        </w:rPr>
        <w:t xml:space="preserve">【平台协议：国标2016协议(GB/T28181-2016)】</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4、项目实施方案：投标人根据本项目特点制定本项目实施进度计划、供货方案、安装调试方案、验收方案等。</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5、安全保证措施：投标人针对本项目特点，结合采购人的需求，制定的安全管理体系、安全技术措施、水电作业安全措施等。</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6、售后服务方案：售后团队设立、</w:t>
      </w:r>
      <w:r>
        <w:rPr>
          <w:rFonts w:hint="eastAsia" w:ascii="宋体" w:hAnsi="宋体" w:eastAsia="宋体" w:cs="宋体"/>
        </w:rPr>
        <w:t xml:space="preserve">维保方案</w:t>
      </w:r>
      <w:r>
        <w:rPr>
          <w:rFonts w:hint="eastAsia" w:ascii="宋体" w:hAnsi="宋体" w:eastAsia="宋体" w:cs="宋体"/>
        </w:rPr>
        <w:t xml:space="preserve">、故障应急预案、备品备件的供应方案等。</w:t>
      </w:r>
      <w:r/>
    </w:p>
    <w:p>
      <w:pPr>
        <w:pStyle w:val="902"/>
        <w:ind w:firstLine="495"/>
        <w:spacing w:line="360" w:lineRule="auto"/>
        <w:rPr>
          <w:rFonts w:ascii="宋体" w:hAnsi="宋体"/>
          <w:b/>
          <w:sz w:val="28"/>
          <w:szCs w:val="28"/>
        </w:rPr>
        <w:outlineLvl w:val="1"/>
      </w:pPr>
      <w:r>
        <w:rPr>
          <w:rFonts w:hint="eastAsia" w:ascii="宋体" w:hAnsi="宋体"/>
          <w:b/>
          <w:sz w:val="28"/>
          <w:szCs w:val="28"/>
        </w:rPr>
        <w:t xml:space="preserve">二、拟采购设备数量与规格</w:t>
      </w:r>
      <w:r/>
    </w:p>
    <w:tbl>
      <w:tblPr>
        <w:tblStyle w:val="897"/>
        <w:tblW w:w="4837" w:type="pct"/>
        <w:jc w:val="center"/>
        <w:tblInd w:w="0" w:type="dxa"/>
        <w:tblLayout w:type="fixed"/>
        <w:tblLook w:val="04A0" w:firstRow="1" w:lastRow="0" w:firstColumn="1" w:lastColumn="0" w:noHBand="0" w:noVBand="1"/>
      </w:tblPr>
      <w:tblGrid>
        <w:gridCol w:w="730"/>
        <w:gridCol w:w="2356"/>
        <w:gridCol w:w="1031"/>
        <w:gridCol w:w="1915"/>
        <w:gridCol w:w="2504"/>
      </w:tblGrid>
      <w:tr>
        <w:trPr>
          <w:jc w:val="center"/>
          <w:trHeight w:val="612"/>
        </w:trPr>
        <w:tc>
          <w:tcPr>
            <w:tcW w:w="704" w:type="dxa"/>
            <w:textDirection w:val="lrTb"/>
            <w:noWrap w:val="false"/>
          </w:tcPr>
          <w:p>
            <w:pPr>
              <w:pStyle w:val="896"/>
              <w:jc w:val="center"/>
              <w:spacing w:line="320" w:lineRule="exact"/>
              <w:rPr>
                <w:b/>
                <w:bCs/>
              </w:rPr>
            </w:pPr>
            <w:r>
              <w:rPr>
                <w:rFonts w:hint="eastAsia"/>
                <w:b/>
                <w:bCs/>
              </w:rPr>
              <w:t xml:space="preserve">序号</w:t>
            </w:r>
            <w:r/>
          </w:p>
        </w:tc>
        <w:tc>
          <w:tcPr>
            <w:tcW w:w="2268" w:type="dxa"/>
            <w:vAlign w:val="center"/>
            <w:textDirection w:val="lrTb"/>
            <w:noWrap w:val="false"/>
          </w:tcPr>
          <w:p>
            <w:pPr>
              <w:pStyle w:val="896"/>
              <w:jc w:val="center"/>
              <w:spacing w:line="320" w:lineRule="exact"/>
            </w:pPr>
            <w:r>
              <w:rPr>
                <w:rFonts w:hint="eastAsia"/>
                <w:b/>
                <w:bCs/>
              </w:rPr>
              <w:t xml:space="preserve">设备名称</w:t>
            </w:r>
            <w:r/>
          </w:p>
        </w:tc>
        <w:tc>
          <w:tcPr>
            <w:tcW w:w="992" w:type="dxa"/>
            <w:vAlign w:val="center"/>
            <w:textDirection w:val="lrTb"/>
            <w:noWrap w:val="false"/>
          </w:tcPr>
          <w:p>
            <w:pPr>
              <w:pStyle w:val="896"/>
              <w:jc w:val="center"/>
              <w:spacing w:line="320" w:lineRule="exact"/>
            </w:pPr>
            <w:r>
              <w:rPr>
                <w:rFonts w:hint="eastAsia"/>
                <w:b/>
                <w:bCs/>
              </w:rPr>
              <w:t xml:space="preserve">数量</w:t>
            </w:r>
            <w:r/>
          </w:p>
        </w:tc>
        <w:tc>
          <w:tcPr>
            <w:tcW w:w="1843" w:type="dxa"/>
            <w:vAlign w:val="center"/>
            <w:textDirection w:val="lrTb"/>
            <w:noWrap w:val="false"/>
          </w:tcPr>
          <w:p>
            <w:pPr>
              <w:pStyle w:val="896"/>
              <w:jc w:val="center"/>
              <w:spacing w:line="320" w:lineRule="exact"/>
            </w:pPr>
            <w:r>
              <w:rPr>
                <w:rFonts w:hint="eastAsia"/>
                <w:b/>
                <w:bCs/>
              </w:rPr>
              <w:t xml:space="preserve">净水箱配置</w:t>
            </w:r>
            <w:r/>
          </w:p>
        </w:tc>
        <w:tc>
          <w:tcPr>
            <w:tcW w:w="2410" w:type="dxa"/>
            <w:vAlign w:val="center"/>
            <w:textDirection w:val="lrTb"/>
            <w:noWrap w:val="false"/>
          </w:tcPr>
          <w:p>
            <w:pPr>
              <w:pStyle w:val="896"/>
              <w:jc w:val="center"/>
              <w:spacing w:line="320" w:lineRule="exact"/>
              <w:rPr>
                <w:b/>
                <w:bCs/>
              </w:rPr>
            </w:pPr>
            <w:r>
              <w:rPr>
                <w:rFonts w:hint="eastAsia"/>
                <w:b/>
                <w:bCs/>
              </w:rPr>
              <w:t xml:space="preserve">备注</w:t>
            </w:r>
            <w:r/>
          </w:p>
        </w:tc>
      </w:tr>
      <w:tr>
        <w:trPr>
          <w:jc w:val="center"/>
          <w:trHeight w:val="600"/>
        </w:trPr>
        <w:tc>
          <w:tcPr>
            <w:tcW w:w="704" w:type="dxa"/>
            <w:vAlign w:val="center"/>
            <w:textDirection w:val="lrTb"/>
            <w:noWrap w:val="false"/>
          </w:tcPr>
          <w:p>
            <w:pPr>
              <w:pStyle w:val="896"/>
              <w:jc w:val="center"/>
              <w:spacing w:line="320" w:lineRule="exact"/>
              <w:rPr>
                <w:b/>
                <w:bCs/>
              </w:rPr>
            </w:pPr>
            <w:r>
              <w:rPr>
                <w:rFonts w:hint="eastAsia" w:ascii="宋体" w:hAnsi="宋体" w:cs="宋体"/>
              </w:rPr>
              <w:t xml:space="preserve">1</w:t>
            </w:r>
            <w:r/>
          </w:p>
        </w:tc>
        <w:tc>
          <w:tcPr>
            <w:tcW w:w="2268" w:type="dxa"/>
            <w:vAlign w:val="center"/>
            <w:textDirection w:val="lrTb"/>
            <w:noWrap w:val="false"/>
          </w:tcPr>
          <w:p>
            <w:pPr>
              <w:pStyle w:val="896"/>
              <w:jc w:val="center"/>
              <w:spacing w:line="320" w:lineRule="exact"/>
              <w:rPr>
                <w:b/>
                <w:bCs/>
              </w:rPr>
            </w:pPr>
            <w:r>
              <w:rPr>
                <w:rFonts w:hint="eastAsia" w:ascii="宋体" w:hAnsi="宋体" w:cs="宋体"/>
              </w:rPr>
              <w:t xml:space="preserve">0.5T/H净水设备</w:t>
            </w:r>
            <w:r/>
          </w:p>
        </w:tc>
        <w:tc>
          <w:tcPr>
            <w:tcW w:w="992" w:type="dxa"/>
            <w:vAlign w:val="center"/>
            <w:textDirection w:val="lrTb"/>
            <w:noWrap w:val="false"/>
          </w:tcPr>
          <w:p>
            <w:pPr>
              <w:pStyle w:val="896"/>
              <w:jc w:val="center"/>
              <w:spacing w:line="320" w:lineRule="exact"/>
              <w:rPr>
                <w:b/>
                <w:bCs/>
              </w:rPr>
            </w:pPr>
            <w:r>
              <w:rPr>
                <w:rFonts w:hint="eastAsia" w:ascii="宋体" w:hAnsi="宋体" w:cs="宋体"/>
              </w:rPr>
              <w:t xml:space="preserve">4套</w:t>
            </w:r>
            <w:r/>
          </w:p>
        </w:tc>
        <w:tc>
          <w:tcPr>
            <w:tcW w:w="1843" w:type="dxa"/>
            <w:vAlign w:val="center"/>
            <w:textDirection w:val="lrTb"/>
            <w:noWrap w:val="false"/>
          </w:tcPr>
          <w:p>
            <w:pPr>
              <w:pStyle w:val="896"/>
              <w:jc w:val="center"/>
              <w:spacing w:line="320" w:lineRule="exact"/>
              <w:rPr>
                <w:b/>
                <w:bCs/>
              </w:rPr>
            </w:pPr>
            <w:r>
              <w:rPr>
                <w:rFonts w:hint="eastAsia" w:ascii="宋体" w:hAnsi="宋体" w:cs="宋体"/>
              </w:rPr>
              <w:t xml:space="preserve">内置水箱≥500L</w:t>
            </w:r>
            <w:r/>
          </w:p>
        </w:tc>
        <w:tc>
          <w:tcPr>
            <w:tcW w:w="2410" w:type="dxa"/>
            <w:vAlign w:val="center"/>
            <w:textDirection w:val="lrTb"/>
            <w:noWrap w:val="false"/>
          </w:tcPr>
          <w:p>
            <w:pPr>
              <w:pStyle w:val="896"/>
              <w:jc w:val="center"/>
              <w:spacing w:line="320" w:lineRule="exact"/>
              <w:rPr>
                <w:b/>
                <w:bCs/>
              </w:rPr>
            </w:pPr>
            <w:r>
              <w:rPr>
                <w:b/>
                <w:bCs/>
              </w:rPr>
            </w:r>
            <w:r/>
          </w:p>
        </w:tc>
      </w:tr>
      <w:tr>
        <w:trPr>
          <w:jc w:val="center"/>
          <w:trHeight w:val="514"/>
        </w:trPr>
        <w:tc>
          <w:tcPr>
            <w:tcW w:w="704" w:type="dxa"/>
            <w:vAlign w:val="center"/>
            <w:textDirection w:val="lrTb"/>
            <w:noWrap w:val="false"/>
          </w:tcPr>
          <w:p>
            <w:pPr>
              <w:pStyle w:val="896"/>
              <w:jc w:val="center"/>
              <w:spacing w:line="320" w:lineRule="exact"/>
            </w:pPr>
            <w:r>
              <w:rPr>
                <w:rFonts w:hint="eastAsia"/>
              </w:rPr>
              <w:t xml:space="preserve">2</w:t>
            </w:r>
            <w:r/>
          </w:p>
        </w:tc>
        <w:tc>
          <w:tcPr>
            <w:tcW w:w="2268" w:type="dxa"/>
            <w:vAlign w:val="center"/>
            <w:textDirection w:val="lrTb"/>
            <w:noWrap w:val="false"/>
          </w:tcPr>
          <w:p>
            <w:pPr>
              <w:pStyle w:val="896"/>
              <w:jc w:val="center"/>
              <w:spacing w:line="320" w:lineRule="exact"/>
            </w:pPr>
            <w:r>
              <w:t xml:space="preserve">0.25T/H</w:t>
            </w:r>
            <w:r>
              <w:rPr>
                <w:rFonts w:hint="eastAsia"/>
              </w:rPr>
              <w:t xml:space="preserve">净水设备</w:t>
            </w:r>
            <w:r/>
          </w:p>
        </w:tc>
        <w:tc>
          <w:tcPr>
            <w:tcW w:w="992" w:type="dxa"/>
            <w:vAlign w:val="center"/>
            <w:textDirection w:val="lrTb"/>
            <w:noWrap w:val="false"/>
          </w:tcPr>
          <w:p>
            <w:pPr>
              <w:pStyle w:val="896"/>
              <w:jc w:val="center"/>
              <w:spacing w:line="320" w:lineRule="exact"/>
            </w:pPr>
            <w:r>
              <w:rPr>
                <w:rFonts w:hint="eastAsia"/>
              </w:rPr>
              <w:t xml:space="preserve">22</w:t>
            </w:r>
            <w:r>
              <w:rPr>
                <w:rFonts w:hint="eastAsia"/>
              </w:rPr>
              <w:t xml:space="preserve">套</w:t>
            </w:r>
            <w:r/>
          </w:p>
        </w:tc>
        <w:tc>
          <w:tcPr>
            <w:tcW w:w="1843" w:type="dxa"/>
            <w:vAlign w:val="center"/>
            <w:textDirection w:val="lrTb"/>
            <w:noWrap w:val="false"/>
          </w:tcPr>
          <w:p>
            <w:pPr>
              <w:pStyle w:val="896"/>
              <w:jc w:val="center"/>
              <w:spacing w:line="320" w:lineRule="exact"/>
            </w:pPr>
            <w:r>
              <w:rPr>
                <w:rFonts w:hint="eastAsia"/>
              </w:rPr>
              <w:t xml:space="preserve">内置水箱≥</w:t>
            </w:r>
            <w:r>
              <w:rPr>
                <w:rFonts w:hint="eastAsia"/>
              </w:rPr>
              <w:t xml:space="preserve">350L</w:t>
            </w:r>
            <w:r/>
          </w:p>
        </w:tc>
        <w:tc>
          <w:tcPr>
            <w:tcW w:w="2410" w:type="dxa"/>
            <w:textDirection w:val="lrTb"/>
            <w:noWrap w:val="false"/>
          </w:tcPr>
          <w:p>
            <w:pPr>
              <w:pStyle w:val="896"/>
              <w:jc w:val="center"/>
              <w:spacing w:line="320" w:lineRule="exact"/>
            </w:pPr>
            <w:r/>
            <w:r/>
          </w:p>
        </w:tc>
      </w:tr>
      <w:tr>
        <w:trPr>
          <w:jc w:val="center"/>
          <w:trHeight w:val="130"/>
        </w:trPr>
        <w:tc>
          <w:tcPr>
            <w:tcW w:w="704" w:type="dxa"/>
            <w:vAlign w:val="center"/>
            <w:textDirection w:val="lrTb"/>
            <w:noWrap w:val="false"/>
          </w:tcPr>
          <w:p>
            <w:pPr>
              <w:pStyle w:val="896"/>
              <w:jc w:val="center"/>
              <w:spacing w:line="320" w:lineRule="exact"/>
            </w:pPr>
            <w:r>
              <w:rPr>
                <w:rFonts w:hint="eastAsia"/>
              </w:rPr>
              <w:t xml:space="preserve">3</w:t>
            </w:r>
            <w:r/>
          </w:p>
        </w:tc>
        <w:tc>
          <w:tcPr>
            <w:tcW w:w="2268" w:type="dxa"/>
            <w:vAlign w:val="center"/>
            <w:textDirection w:val="lrTb"/>
            <w:noWrap w:val="false"/>
          </w:tcPr>
          <w:p>
            <w:pPr>
              <w:pStyle w:val="896"/>
              <w:jc w:val="center"/>
              <w:spacing w:line="320" w:lineRule="exact"/>
            </w:pPr>
            <w:r>
              <w:rPr>
                <w:rFonts w:hint="eastAsia"/>
              </w:rPr>
              <w:t xml:space="preserve">180</w:t>
            </w:r>
            <w:r>
              <w:t xml:space="preserve">L/H</w:t>
            </w:r>
            <w:r>
              <w:rPr>
                <w:rFonts w:hint="eastAsia"/>
              </w:rPr>
              <w:t xml:space="preserve">净水设备</w:t>
            </w:r>
            <w:r>
              <w:rPr>
                <w:rFonts w:hint="eastAsia"/>
                <w:b/>
                <w:color w:val="ee0000"/>
              </w:rPr>
              <w:t xml:space="preserve">（核心产品）</w:t>
            </w:r>
            <w:r/>
          </w:p>
        </w:tc>
        <w:tc>
          <w:tcPr>
            <w:tcW w:w="992" w:type="dxa"/>
            <w:vAlign w:val="center"/>
            <w:textDirection w:val="lrTb"/>
            <w:noWrap w:val="false"/>
          </w:tcPr>
          <w:p>
            <w:pPr>
              <w:pStyle w:val="896"/>
              <w:jc w:val="center"/>
              <w:spacing w:line="320" w:lineRule="exact"/>
            </w:pPr>
            <w:r>
              <w:rPr>
                <w:rFonts w:hint="eastAsia"/>
              </w:rPr>
              <w:t xml:space="preserve">28</w:t>
            </w:r>
            <w:r>
              <w:rPr>
                <w:rFonts w:hint="eastAsia"/>
              </w:rPr>
              <w:t xml:space="preserve">套</w:t>
            </w:r>
            <w:r/>
          </w:p>
        </w:tc>
        <w:tc>
          <w:tcPr>
            <w:tcW w:w="1843" w:type="dxa"/>
            <w:vAlign w:val="center"/>
            <w:textDirection w:val="lrTb"/>
            <w:noWrap w:val="false"/>
          </w:tcPr>
          <w:p>
            <w:pPr>
              <w:pStyle w:val="896"/>
              <w:jc w:val="center"/>
              <w:spacing w:line="320" w:lineRule="exact"/>
            </w:pPr>
            <w:r>
              <w:rPr>
                <w:rFonts w:hint="eastAsia"/>
              </w:rPr>
              <w:t xml:space="preserve">内置水箱≥</w:t>
            </w:r>
            <w:r>
              <w:rPr>
                <w:rFonts w:hint="eastAsia"/>
              </w:rPr>
              <w:t xml:space="preserve">350L</w:t>
            </w:r>
            <w:r/>
          </w:p>
        </w:tc>
        <w:tc>
          <w:tcPr>
            <w:tcW w:w="2410" w:type="dxa"/>
            <w:textDirection w:val="lrTb"/>
            <w:noWrap w:val="false"/>
          </w:tcPr>
          <w:p>
            <w:pPr>
              <w:pStyle w:val="896"/>
              <w:jc w:val="center"/>
              <w:spacing w:line="320" w:lineRule="exact"/>
            </w:pPr>
            <w:r/>
            <w:r/>
          </w:p>
        </w:tc>
      </w:tr>
      <w:tr>
        <w:trPr>
          <w:jc w:val="center"/>
          <w:trHeight w:val="294"/>
        </w:trPr>
        <w:tc>
          <w:tcPr>
            <w:tcW w:w="704" w:type="dxa"/>
            <w:vAlign w:val="center"/>
            <w:textDirection w:val="lrTb"/>
            <w:noWrap w:val="false"/>
          </w:tcPr>
          <w:p>
            <w:pPr>
              <w:pStyle w:val="896"/>
              <w:jc w:val="center"/>
              <w:spacing w:line="320" w:lineRule="exact"/>
            </w:pPr>
            <w:r>
              <w:rPr>
                <w:rFonts w:hint="eastAsia"/>
              </w:rPr>
              <w:t xml:space="preserve">4</w:t>
            </w:r>
            <w:r/>
          </w:p>
        </w:tc>
        <w:tc>
          <w:tcPr>
            <w:tcW w:w="2268" w:type="dxa"/>
            <w:vAlign w:val="center"/>
            <w:textDirection w:val="lrTb"/>
            <w:noWrap w:val="false"/>
          </w:tcPr>
          <w:p>
            <w:pPr>
              <w:pStyle w:val="896"/>
              <w:jc w:val="center"/>
              <w:spacing w:line="320" w:lineRule="exact"/>
            </w:pPr>
            <w:r>
              <w:rPr>
                <w:rFonts w:hint="eastAsia"/>
              </w:rPr>
              <w:t xml:space="preserve">监控设备</w:t>
            </w:r>
            <w:r/>
          </w:p>
        </w:tc>
        <w:tc>
          <w:tcPr>
            <w:tcW w:w="992" w:type="dxa"/>
            <w:vAlign w:val="center"/>
            <w:textDirection w:val="lrTb"/>
            <w:noWrap w:val="false"/>
          </w:tcPr>
          <w:p>
            <w:pPr>
              <w:pStyle w:val="896"/>
              <w:jc w:val="center"/>
              <w:spacing w:line="320" w:lineRule="exact"/>
            </w:pPr>
            <w:r>
              <w:rPr>
                <w:rFonts w:hint="eastAsia"/>
              </w:rPr>
              <w:t xml:space="preserve">54</w:t>
            </w:r>
            <w:r>
              <w:rPr>
                <w:rFonts w:hint="eastAsia"/>
              </w:rPr>
              <w:t xml:space="preserve">套</w:t>
            </w:r>
            <w:r/>
          </w:p>
        </w:tc>
        <w:tc>
          <w:tcPr>
            <w:tcW w:w="1843" w:type="dxa"/>
            <w:vAlign w:val="center"/>
            <w:textDirection w:val="lrTb"/>
            <w:noWrap w:val="false"/>
          </w:tcPr>
          <w:p>
            <w:pPr>
              <w:pStyle w:val="896"/>
              <w:jc w:val="center"/>
              <w:spacing w:line="320" w:lineRule="exact"/>
            </w:pPr>
            <w:r>
              <w:rPr>
                <w:rFonts w:hint="eastAsia"/>
              </w:rPr>
              <w:t xml:space="preserve">/</w:t>
            </w:r>
            <w:r/>
          </w:p>
        </w:tc>
        <w:tc>
          <w:tcPr>
            <w:tcW w:w="2410" w:type="dxa"/>
            <w:textDirection w:val="lrTb"/>
            <w:noWrap w:val="false"/>
          </w:tcPr>
          <w:p>
            <w:pPr>
              <w:pStyle w:val="896"/>
              <w:jc w:val="center"/>
              <w:spacing w:line="320" w:lineRule="exact"/>
            </w:pPr>
            <w:r>
              <w:rPr>
                <w:rFonts w:hint="eastAsia"/>
              </w:rPr>
              <w:t xml:space="preserve">电源线约</w:t>
            </w:r>
            <w:r>
              <w:rPr>
                <w:rFonts w:hint="eastAsia"/>
              </w:rPr>
              <w:t xml:space="preserve">855</w:t>
            </w:r>
            <w:r>
              <w:rPr>
                <w:rFonts w:hint="eastAsia"/>
              </w:rPr>
              <w:t xml:space="preserve">米，</w:t>
            </w:r>
            <w:r>
              <w:rPr>
                <w:rFonts w:hint="eastAsia"/>
              </w:rPr>
              <w:t xml:space="preserve">POE</w:t>
            </w:r>
            <w:r>
              <w:rPr>
                <w:rFonts w:hint="eastAsia"/>
              </w:rPr>
              <w:t xml:space="preserve">交换机</w:t>
            </w:r>
            <w:r>
              <w:rPr>
                <w:rFonts w:hint="eastAsia"/>
              </w:rPr>
              <w:t xml:space="preserve">54</w:t>
            </w:r>
            <w:r>
              <w:rPr>
                <w:rFonts w:hint="eastAsia"/>
              </w:rPr>
              <w:t xml:space="preserve">台，管材约</w:t>
            </w:r>
            <w:r>
              <w:rPr>
                <w:rFonts w:hint="eastAsia"/>
              </w:rPr>
              <w:t xml:space="preserve">1780</w:t>
            </w:r>
            <w:r>
              <w:rPr>
                <w:rFonts w:hint="eastAsia"/>
              </w:rPr>
              <w:t xml:space="preserve">米，网线约</w:t>
            </w:r>
            <w:r>
              <w:rPr>
                <w:rFonts w:hint="eastAsia"/>
              </w:rPr>
              <w:t xml:space="preserve">1780</w:t>
            </w:r>
            <w:r>
              <w:rPr>
                <w:rFonts w:hint="eastAsia"/>
              </w:rPr>
              <w:t xml:space="preserve">米</w:t>
            </w:r>
            <w:r/>
          </w:p>
        </w:tc>
      </w:tr>
    </w:tbl>
    <w:p>
      <w:pPr>
        <w:pStyle w:val="886"/>
        <w:ind w:firstLine="562"/>
        <w:jc w:val="both"/>
        <w:spacing w:beforeAutospacing="0" w:afterAutospacing="0" w:line="360" w:lineRule="auto"/>
        <w:rPr>
          <w:rFonts w:ascii="宋体" w:hAnsi="宋体" w:eastAsia="宋体" w:cs="宋体"/>
          <w:b/>
          <w:sz w:val="28"/>
          <w:szCs w:val="28"/>
        </w:rPr>
      </w:pPr>
      <w:r/>
      <w:bookmarkStart w:id="215" w:name="_Hlk231917001"/>
      <w:r>
        <w:rPr>
          <w:rFonts w:hint="eastAsia" w:ascii="宋体" w:hAnsi="宋体" w:eastAsia="宋体" w:cs="宋体"/>
          <w:b/>
          <w:sz w:val="28"/>
          <w:szCs w:val="28"/>
        </w:rPr>
        <w:t xml:space="preserve">三、技术要求（</w:t>
      </w:r>
      <w:r>
        <w:rPr>
          <w:rFonts w:hint="eastAsia" w:ascii="宋体" w:hAnsi="宋体" w:eastAsia="宋体" w:cs="宋体"/>
          <w:b/>
          <w:color w:val="ee0000"/>
          <w:sz w:val="28"/>
          <w:szCs w:val="28"/>
        </w:rPr>
        <w:t xml:space="preserve">以下是一台套产品的基本技术要求，投标产品可以等于或高于技术要求，低于以下技术要求则视为负偏离。</w:t>
      </w:r>
      <w:r>
        <w:rPr>
          <w:rFonts w:hint="eastAsia" w:ascii="宋体" w:hAnsi="宋体" w:eastAsia="宋体" w:cs="宋体"/>
          <w:b/>
          <w:sz w:val="28"/>
          <w:szCs w:val="28"/>
        </w:rPr>
        <w:t xml:space="preserve">）</w:t>
      </w:r>
      <w:r/>
    </w:p>
    <w:p>
      <w:pPr>
        <w:pStyle w:val="886"/>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1、总体要求</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1.1出水水质标准：《生活饮用水卫生标准》（GB 5749-2022）及《生活饮用水水质处理器卫生安全与功能评价规范-反渗透处理装置》（2001）</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1.2采用物理过滤工艺（RO膜+紫外线杀菌），禁止添加任何化学消毒药剂。臭氧仅限水箱消毒，不得残留至出水端。</w:t>
      </w:r>
      <w:r/>
    </w:p>
    <w:p>
      <w:pPr>
        <w:pStyle w:val="886"/>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2、净水主机技术要求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.1</w:t>
      </w:r>
      <w:r>
        <w:rPr>
          <w:rFonts w:hint="eastAsia" w:ascii="宋体" w:hAnsi="宋体" w:eastAsia="宋体" w:cs="宋体"/>
        </w:rPr>
        <w:t xml:space="preserve">技术参数</w:t>
      </w:r>
      <w:r/>
    </w:p>
    <w:p>
      <w:pPr>
        <w:pStyle w:val="886"/>
        <w:ind w:firstLine="480"/>
        <w:spacing w:beforeAutospacing="0" w:afterAutospacing="0" w:line="360" w:lineRule="auto"/>
        <w:rPr>
          <w:rFonts w:ascii="宋体" w:hAnsi="宋体" w:eastAsia="宋体" w:cs="宋体"/>
        </w:rPr>
      </w:pPr>
      <w:r/>
      <w:bookmarkStart w:id="216" w:name="_Hlk231803779"/>
      <w:r>
        <w:rPr>
          <w:rFonts w:hint="eastAsia" w:ascii="宋体" w:hAnsi="宋体" w:eastAsia="宋体" w:cs="宋体"/>
        </w:rPr>
        <w:t xml:space="preserve">（1）电压：AC220V 50Hz</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（2）工作压力：0.8～1.0MPa</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（3）回收率：≥</w:t>
      </w:r>
      <w:r>
        <w:rPr>
          <w:rFonts w:ascii="宋体" w:hAnsi="宋体" w:eastAsia="宋体" w:cs="宋体"/>
        </w:rPr>
        <w:t xml:space="preserve">60%</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（4）工艺流程：工艺流程：自来水→预处理过滤（含多介质/活性炭/精密过滤）→高压泵→RO膜→纯水箱→紫外线杀菌→变频供水泵→出水点</w:t>
      </w:r>
      <w:bookmarkEnd w:id="216"/>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.2</w:t>
      </w:r>
      <w:r>
        <w:rPr>
          <w:rFonts w:hint="eastAsia" w:ascii="宋体" w:hAnsi="宋体" w:eastAsia="宋体" w:cs="宋体"/>
        </w:rPr>
        <w:t xml:space="preserve">设备配置</w:t>
      </w:r>
      <w:r/>
    </w:p>
    <w:p>
      <w:pPr>
        <w:pStyle w:val="886"/>
        <w:ind w:firstLine="480"/>
        <w:spacing w:beforeAutospacing="0" w:afterAutospacing="0" w:line="360" w:lineRule="auto"/>
        <w:rPr>
          <w:rFonts w:asciiTheme="minorEastAsia" w:hAnsiTheme="minorEastAsia"/>
        </w:rPr>
      </w:pPr>
      <w:r>
        <w:rPr>
          <w:rFonts w:hint="eastAsia"/>
        </w:rPr>
        <w:t xml:space="preserve">★（</w:t>
      </w:r>
      <w:r>
        <w:rPr>
          <w:rFonts w:hint="eastAsia"/>
        </w:rPr>
        <w:t xml:space="preserve">1</w:t>
      </w:r>
      <w:r>
        <w:rPr>
          <w:rFonts w:hint="eastAsia"/>
        </w:rPr>
        <w:t xml:space="preserve">）</w:t>
      </w:r>
      <w:r>
        <w:rPr>
          <w:rFonts w:hint="eastAsia"/>
        </w:rPr>
        <w:t xml:space="preserve">0.5T</w:t>
      </w:r>
      <w:r>
        <w:rPr>
          <w:rFonts w:hint="eastAsia"/>
        </w:rPr>
        <w:t xml:space="preserve">净水设备：净水流</w:t>
      </w:r>
      <w:r>
        <w:rPr>
          <w:rFonts w:hint="eastAsia" w:asciiTheme="minorEastAsia" w:hAnsiTheme="minorEastAsia"/>
        </w:rPr>
        <w:t xml:space="preserve">量≥8L/min（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886"/>
        <w:ind w:firstLine="480"/>
        <w:spacing w:beforeAutospacing="0" w:afterAutospacing="0" w:line="360" w:lineRule="auto"/>
        <w:rPr>
          <w:rFonts w:asciiTheme="minorEastAsia" w:hAnsiTheme="minorEastAsia"/>
        </w:rPr>
      </w:pPr>
      <w:r>
        <w:rPr>
          <w:rFonts w:hint="eastAsia" w:asciiTheme="minorEastAsia" w:hAnsiTheme="minorEastAsia"/>
        </w:rPr>
        <w:t xml:space="preserve">★</w:t>
      </w:r>
      <w:r>
        <w:rPr>
          <w:rFonts w:hint="eastAsia" w:cs="宋体" w:asciiTheme="minorEastAsia" w:hAnsiTheme="minorEastAsia"/>
        </w:rPr>
        <w:t xml:space="preserve">（2）</w:t>
      </w:r>
      <w:r>
        <w:rPr>
          <w:rFonts w:hint="eastAsia" w:asciiTheme="minorEastAsia" w:hAnsiTheme="minorEastAsia"/>
        </w:rPr>
        <w:t xml:space="preserve">0.25T净水设备：净水流量≥4L/min（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886"/>
        <w:ind w:firstLine="480"/>
        <w:spacing w:beforeAutospacing="0" w:afterAutospacing="0" w:line="360" w:lineRule="auto"/>
        <w:rPr>
          <w:rFonts w:asciiTheme="minorEastAsia" w:hAnsiTheme="minorEastAsia"/>
        </w:rPr>
      </w:pPr>
      <w:r>
        <w:rPr>
          <w:rFonts w:hint="eastAsia" w:asciiTheme="minorEastAsia" w:hAnsiTheme="minorEastAsia"/>
        </w:rPr>
        <w:t xml:space="preserve">★</w:t>
      </w:r>
      <w:r>
        <w:rPr>
          <w:rFonts w:hint="eastAsia" w:cs="宋体" w:asciiTheme="minorEastAsia" w:hAnsiTheme="minorEastAsia"/>
        </w:rPr>
        <w:t xml:space="preserve">（3）</w:t>
      </w:r>
      <w:r>
        <w:rPr>
          <w:rFonts w:hint="eastAsia" w:asciiTheme="minorEastAsia" w:hAnsiTheme="minorEastAsia"/>
        </w:rPr>
        <w:t xml:space="preserve">180L净水设备：净水流量≥3L/min（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886"/>
        <w:ind w:firstLine="480"/>
        <w:spacing w:beforeAutospacing="0" w:afterAutospacing="0" w:line="360" w:lineRule="auto"/>
        <w:rPr>
          <w:rFonts w:asciiTheme="minorEastAsia" w:hAnsiTheme="minorEastAsia"/>
        </w:rPr>
      </w:pPr>
      <w:r>
        <w:rPr>
          <w:rFonts w:hint="eastAsia" w:asciiTheme="minorEastAsia" w:hAnsiTheme="minorEastAsia"/>
        </w:rPr>
        <w:t xml:space="preserve">★（4）0.5T净水设备：额定净水总量≥1200</w:t>
      </w:r>
      <w:r>
        <w:rPr>
          <w:rFonts w:asciiTheme="minorEastAsia" w:hAnsiTheme="minorEastAsia"/>
        </w:rPr>
        <w:t xml:space="preserve">m³</w:t>
      </w:r>
      <w:r>
        <w:rPr>
          <w:rFonts w:hint="eastAsia" w:asciiTheme="minorEastAsia" w:hAnsiTheme="minorEastAsia"/>
        </w:rPr>
        <w:t xml:space="preserve">（</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886"/>
        <w:ind w:firstLine="480"/>
        <w:spacing w:beforeAutospacing="0" w:afterAutospacing="0" w:line="360" w:lineRule="auto"/>
        <w:rPr>
          <w:rFonts w:ascii="宋体" w:hAnsi="宋体" w:cs="宋体"/>
        </w:rPr>
      </w:pPr>
      <w:r>
        <w:rPr>
          <w:rFonts w:hint="eastAsia" w:asciiTheme="minorEastAsia" w:hAnsiTheme="minorEastAsia"/>
        </w:rPr>
        <w:t xml:space="preserve">★</w:t>
      </w:r>
      <w:r>
        <w:rPr>
          <w:rFonts w:hint="eastAsia" w:cs="宋体" w:asciiTheme="minorEastAsia" w:hAnsiTheme="minorEastAsia"/>
        </w:rPr>
        <w:t xml:space="preserve">（5）</w:t>
      </w:r>
      <w:r>
        <w:rPr>
          <w:rFonts w:hint="eastAsia" w:asciiTheme="minorEastAsia" w:hAnsiTheme="minorEastAsia"/>
        </w:rPr>
        <w:t xml:space="preserve">0.25T净水设备：额定净水总量</w:t>
      </w:r>
      <w:r>
        <w:rPr>
          <w:rFonts w:hint="eastAsia" w:cs="宋体" w:asciiTheme="minorEastAsia" w:hAnsiTheme="minorEastAsia"/>
        </w:rPr>
        <w:t xml:space="preserve">≥600</w:t>
      </w:r>
      <w:r>
        <w:rPr>
          <w:rFonts w:cs="宋体" w:asciiTheme="minorEastAsia" w:hAnsiTheme="minorEastAsia"/>
        </w:rPr>
        <w:t xml:space="preserve">m³</w:t>
      </w:r>
      <w:r>
        <w:rPr>
          <w:rFonts w:hint="eastAsia" w:cs="宋体" w:asciiTheme="minorEastAsia" w:hAnsiTheme="minorEastAsia"/>
        </w:rPr>
        <w:t xml:space="preserve">（</w:t>
      </w:r>
      <w:r>
        <w:rPr>
          <w:rFonts w:hint="eastAsia"/>
          <w:b/>
          <w:color w:val="ff0000"/>
        </w:rPr>
        <w:t xml:space="preserve">与整机涉水批件一致，投标时提供涉及饮用水卫生安全产品卫生许可批件</w:t>
      </w:r>
      <w:r>
        <w:rPr>
          <w:rFonts w:hint="eastAsia" w:ascii="宋体" w:hAnsi="宋体" w:cs="宋体"/>
        </w:rPr>
        <w:t xml:space="preserve">）</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eastAsia="宋体" w:cs="宋体"/>
        </w:rPr>
        <w:t xml:space="preserve">（6）</w:t>
      </w:r>
      <w:r>
        <w:rPr>
          <w:rFonts w:hint="eastAsia" w:asciiTheme="minorEastAsia" w:hAnsiTheme="minorEastAsia"/>
        </w:rPr>
        <w:t xml:space="preserve">180L净水</w:t>
      </w:r>
      <w:r>
        <w:rPr>
          <w:rFonts w:hint="eastAsia"/>
        </w:rPr>
        <w:t xml:space="preserve">设备：额定净水总量</w:t>
      </w:r>
      <w:r>
        <w:rPr>
          <w:rFonts w:hint="eastAsia" w:ascii="宋体" w:hAnsi="宋体" w:cs="宋体"/>
        </w:rPr>
        <w:t xml:space="preserve">≥300</w:t>
      </w:r>
      <w:r>
        <w:t xml:space="preserve"> </w:t>
      </w:r>
      <w:r>
        <w:rPr>
          <w:rFonts w:ascii="宋体" w:hAnsi="宋体" w:cs="宋体"/>
        </w:rPr>
        <w:t xml:space="preserve">m³</w:t>
      </w:r>
      <w:r>
        <w:rPr>
          <w:rFonts w:hint="eastAsia" w:ascii="宋体" w:hAnsi="宋体" w:cs="宋体"/>
        </w:rPr>
        <w:t xml:space="preserve">（</w:t>
      </w:r>
      <w:r>
        <w:rPr>
          <w:rFonts w:hint="eastAsia"/>
          <w:b/>
          <w:color w:val="ff0000"/>
        </w:rPr>
        <w:t xml:space="preserve">与整机涉水批件一致，投标时提供涉及饮用水卫生安全产品卫生许可批件</w:t>
      </w:r>
      <w:r>
        <w:rPr>
          <w:rFonts w:hint="eastAsia" w:ascii="宋体" w:hAnsi="宋体" w:cs="宋体"/>
        </w:rPr>
        <w:t xml:space="preserve">）</w:t>
      </w:r>
      <w:r/>
    </w:p>
    <w:p>
      <w:pPr>
        <w:pStyle w:val="886"/>
        <w:ind w:firstLine="480"/>
        <w:spacing w:beforeAutospacing="0" w:afterAutospacing="0" w:line="360" w:lineRule="auto"/>
        <w:rPr>
          <w:rFonts w:cs="宋体" w:asciiTheme="minorEastAsia" w:hAnsiTheme="minorEastAsia"/>
        </w:rPr>
      </w:pPr>
      <w:r>
        <w:rPr>
          <w:rFonts w:hint="eastAsia" w:ascii="宋体" w:hAnsi="宋体" w:cs="宋体"/>
        </w:rPr>
        <w:t xml:space="preserve">（7）</w:t>
      </w:r>
      <w:r>
        <w:rPr>
          <w:rFonts w:hint="eastAsia" w:cs="宋体" w:asciiTheme="minorEastAsia" w:hAnsiTheme="minorEastAsia"/>
        </w:rPr>
        <w:t xml:space="preserve">0.5T净水设备主机尺寸（mm）：1000×700×1900mm（±150）</w:t>
      </w:r>
      <w:r/>
    </w:p>
    <w:p>
      <w:pPr>
        <w:pStyle w:val="886"/>
        <w:ind w:firstLine="480"/>
        <w:spacing w:beforeAutospacing="0" w:afterAutospacing="0" w:line="360" w:lineRule="auto"/>
        <w:rPr>
          <w:rFonts w:cs="宋体" w:asciiTheme="minorEastAsia" w:hAnsiTheme="minorEastAsia"/>
        </w:rPr>
      </w:pPr>
      <w:r>
        <w:rPr>
          <w:rFonts w:hint="eastAsia" w:cs="宋体" w:asciiTheme="minorEastAsia" w:hAnsiTheme="minorEastAsia"/>
        </w:rPr>
        <w:t xml:space="preserve">（8）</w:t>
      </w:r>
      <w:r>
        <w:rPr>
          <w:rFonts w:hint="eastAsia" w:asciiTheme="minorEastAsia" w:hAnsiTheme="minorEastAsia"/>
        </w:rPr>
        <w:t xml:space="preserve">0.25T净水设备主机尺寸（mm）：</w:t>
      </w:r>
      <w:r>
        <w:rPr>
          <w:rFonts w:hint="eastAsia" w:cs="宋体" w:asciiTheme="minorEastAsia" w:hAnsiTheme="minorEastAsia"/>
        </w:rPr>
        <w:t xml:space="preserve">1000×700×1900mm（±150）</w:t>
      </w:r>
      <w:r/>
    </w:p>
    <w:p>
      <w:pPr>
        <w:pStyle w:val="886"/>
        <w:ind w:firstLine="480"/>
        <w:spacing w:beforeAutospacing="0" w:afterAutospacing="0" w:line="360" w:lineRule="auto"/>
        <w:rPr>
          <w:rFonts w:cs="宋体" w:asciiTheme="minorEastAsia" w:hAnsiTheme="minorEastAsia"/>
        </w:rPr>
      </w:pPr>
      <w:r>
        <w:rPr>
          <w:rFonts w:hint="eastAsia" w:cs="宋体" w:asciiTheme="minorEastAsia" w:hAnsiTheme="minorEastAsia"/>
        </w:rPr>
        <w:t xml:space="preserve">（9）</w:t>
      </w:r>
      <w:r>
        <w:rPr>
          <w:rFonts w:hint="eastAsia" w:asciiTheme="minorEastAsia" w:hAnsiTheme="minorEastAsia"/>
        </w:rPr>
        <w:t xml:space="preserve">180L净水设备主机尺寸（mm）：</w:t>
      </w:r>
      <w:r>
        <w:rPr>
          <w:rFonts w:hint="eastAsia" w:cs="宋体" w:asciiTheme="minorEastAsia" w:hAnsiTheme="minorEastAsia"/>
        </w:rPr>
        <w:t xml:space="preserve">700×700×</w:t>
      </w:r>
      <w:r>
        <w:rPr>
          <w:rFonts w:hint="eastAsia" w:cs="宋体" w:asciiTheme="minorEastAsia" w:hAnsiTheme="minorEastAsia"/>
        </w:rPr>
        <w:t xml:space="preserve">1900mm（±150）</w:t>
      </w:r>
      <w:r/>
    </w:p>
    <w:p>
      <w:pPr>
        <w:pStyle w:val="886"/>
        <w:ind w:firstLine="480"/>
        <w:spacing w:beforeAutospacing="0" w:afterAutospacing="0" w:line="360" w:lineRule="auto"/>
        <w:rPr>
          <w:rFonts w:cs="宋体" w:asciiTheme="minorEastAsia" w:hAnsiTheme="minorEastAsia"/>
          <w:color w:val="ee0000"/>
        </w:rPr>
      </w:pPr>
      <w:r>
        <w:rPr>
          <w:rFonts w:hint="eastAsia" w:cs="宋体" w:asciiTheme="minorEastAsia" w:hAnsiTheme="minorEastAsia"/>
        </w:rPr>
        <w:t xml:space="preserve">（10）进水稳压阀：1套，</w:t>
      </w:r>
      <w:r>
        <w:rPr>
          <w:rFonts w:asciiTheme="minorEastAsia" w:hAnsiTheme="minorEastAsia"/>
        </w:rPr>
        <w:t xml:space="preserve">≥</w:t>
      </w:r>
      <w:r>
        <w:rPr>
          <w:rFonts w:hint="eastAsia" w:cs="宋体" w:asciiTheme="minorEastAsia" w:hAnsiTheme="minorEastAsia"/>
        </w:rPr>
        <w:t xml:space="preserve">SUS304不锈钢，厚度≥1.0mm</w:t>
      </w:r>
      <w:r>
        <w:rPr>
          <w:rFonts w:cs="宋体" w:asciiTheme="minorEastAsia" w:hAnsiTheme="minorEastAsia"/>
          <w:color w:val="ee0000"/>
        </w:rPr>
        <w:t xml:space="preserve"> </w:t>
      </w:r>
      <w:r/>
    </w:p>
    <w:p>
      <w:pPr>
        <w:pStyle w:val="886"/>
        <w:ind w:firstLine="480"/>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（11）电磁阀：1套</w:t>
      </w:r>
      <w:r/>
    </w:p>
    <w:p>
      <w:pPr>
        <w:pStyle w:val="886"/>
        <w:ind w:firstLine="480"/>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（12）过滤单元配置：0.5T/H净水设备配置844多介质过滤器+2级滤瓶，0.25T/H及180L/H净水设备各配置3套滤瓶</w:t>
      </w:r>
      <w:r/>
    </w:p>
    <w:p>
      <w:pPr>
        <w:pStyle w:val="886"/>
        <w:ind w:firstLine="480"/>
        <w:spacing w:beforeAutospacing="0" w:afterAutospacing="0" w:line="360" w:lineRule="auto"/>
        <w:rPr>
          <w:rFonts w:ascii="宋体" w:hAnsi="宋体" w:cs="宋体"/>
        </w:rPr>
      </w:pPr>
      <w:r>
        <w:rPr>
          <w:rFonts w:hint="eastAsia" w:ascii="宋体" w:hAnsi="宋体" w:cs="宋体"/>
        </w:rPr>
        <w:t xml:space="preserve">（13）高压泵1套</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（14）膜组件：0.5T净水设备RO膜2套、0.25T净水设备RO膜2套、180L净水设备RO膜1套</w:t>
      </w:r>
      <w:r>
        <w:rPr>
          <w:rFonts w:hint="eastAsia" w:ascii="宋体" w:hAnsi="宋体" w:cs="宋体"/>
        </w:rPr>
        <w:t xml:space="preserve">。</w:t>
      </w:r>
      <w:r>
        <w:rPr>
          <w:rFonts w:hint="eastAsia" w:ascii="宋体" w:hAnsi="宋体" w:cs="宋体"/>
        </w:rPr>
        <w:t xml:space="preserve">（</w:t>
      </w:r>
      <w:r>
        <w:rPr>
          <w:rFonts w:hint="eastAsia"/>
          <w:b/>
          <w:color w:val="ff0000"/>
        </w:rPr>
        <w:t xml:space="preserve">与整机涉水批件</w:t>
      </w:r>
      <w:r>
        <w:rPr>
          <w:rFonts w:hint="eastAsia"/>
          <w:b/>
          <w:color w:val="ff0000"/>
        </w:rPr>
        <w:t xml:space="preserve">/</w:t>
      </w:r>
      <w:r>
        <w:rPr>
          <w:rFonts w:hint="eastAsia"/>
          <w:b/>
          <w:color w:val="ff0000"/>
        </w:rPr>
        <w:t xml:space="preserve">产品说明书一致，投标时提供涉及饮用水卫生安全产品卫生许可批件或产品说明书</w:t>
      </w:r>
      <w:r>
        <w:rPr>
          <w:rFonts w:hint="eastAsia" w:ascii="宋体" w:hAnsi="宋体" w:cs="宋体"/>
        </w:rPr>
        <w:t xml:space="preserve">）</w:t>
      </w:r>
      <w:r/>
    </w:p>
    <w:p>
      <w:pPr>
        <w:pStyle w:val="886"/>
        <w:ind w:firstLine="480"/>
        <w:spacing w:beforeAutospacing="0" w:afterAutospacing="0" w:line="360" w:lineRule="auto"/>
        <w:rPr>
          <w:rFonts w:ascii="宋体" w:hAnsi="宋体" w:cs="宋体"/>
        </w:rPr>
      </w:pPr>
      <w:r>
        <w:rPr>
          <w:rFonts w:hint="eastAsia" w:ascii="宋体" w:hAnsi="宋体" w:cs="宋体"/>
        </w:rPr>
        <w:t xml:space="preserve">（15）主机配件：电磁阀（≥304不锈钢，厚度≥1.5mm）、高低压保护、流量计、电导率仪 1套</w:t>
      </w:r>
      <w:r/>
    </w:p>
    <w:p>
      <w:pPr>
        <w:pStyle w:val="886"/>
        <w:ind w:firstLine="480"/>
        <w:spacing w:beforeAutospacing="0" w:afterAutospacing="0" w:line="360" w:lineRule="auto"/>
        <w:rPr>
          <w:rFonts w:ascii="宋体" w:hAnsi="宋体" w:cs="宋体"/>
        </w:rPr>
      </w:pPr>
      <w:r>
        <w:rPr>
          <w:rFonts w:hint="eastAsia" w:ascii="宋体" w:hAnsi="宋体" w:cs="宋体"/>
        </w:rPr>
        <w:t xml:space="preserve">（16）系统连接管件：UPVC管件1套，承压≥16公斤</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（17）纯水箱：0.5T净水设备内置≥500L、0.25T净水设备内置≥350L、180L净水设备内置≥350L</w:t>
      </w:r>
      <w:r>
        <w:rPr>
          <w:rFonts w:hint="eastAsia" w:ascii="宋体" w:hAnsi="宋体" w:cs="宋体"/>
        </w:rPr>
        <w:t xml:space="preserve">、材质</w:t>
      </w:r>
      <w:r>
        <w:rPr>
          <w:rFonts w:hint="eastAsia" w:ascii="宋体" w:hAnsi="宋体" w:cs="宋体"/>
        </w:rPr>
        <w:t xml:space="preserve">≥304不锈钢</w:t>
      </w:r>
      <w:r>
        <w:rPr>
          <w:rFonts w:hint="eastAsia" w:ascii="宋体" w:hAnsi="宋体" w:cs="宋体"/>
        </w:rPr>
        <w:t xml:space="preserve">；</w:t>
      </w:r>
      <w:r>
        <w:rPr>
          <w:rFonts w:hint="eastAsia" w:ascii="宋体" w:hAnsi="宋体" w:cs="宋体"/>
        </w:rPr>
        <w:t xml:space="preserve">（</w:t>
      </w:r>
      <w:r>
        <w:rPr>
          <w:rFonts w:hint="eastAsia"/>
          <w:b/>
          <w:color w:val="ff0000"/>
        </w:rPr>
        <w:t xml:space="preserve">与涉水批件一致，投标时提供涉及饮用水卫生安全产品卫生许可批件</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厚度≥1.5mm</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（18）供水泵组：</w:t>
      </w:r>
      <w:r>
        <w:rPr>
          <w:rFonts w:hint="eastAsia" w:ascii="宋体" w:hAnsi="宋体" w:eastAsia="宋体" w:cs="宋体"/>
        </w:rPr>
        <w:t xml:space="preserve">变频恒压，流量≥3</w:t>
      </w:r>
      <w:r>
        <w:t xml:space="preserve"> </w:t>
      </w:r>
      <w:r>
        <w:rPr>
          <w:rFonts w:ascii="宋体" w:hAnsi="宋体" w:eastAsia="宋体" w:cs="宋体"/>
        </w:rPr>
        <w:t xml:space="preserve">m³</w:t>
      </w:r>
      <w:r>
        <w:rPr>
          <w:rFonts w:hint="eastAsia" w:ascii="宋体" w:hAnsi="宋体" w:eastAsia="宋体" w:cs="宋体"/>
        </w:rPr>
        <w:t xml:space="preserve">/h，扬程≥42米，1套</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（19）紫外杀菌器：</w:t>
      </w:r>
      <w:r>
        <w:rPr>
          <w:rFonts w:hint="eastAsia" w:ascii="宋体" w:hAnsi="宋体" w:eastAsia="宋体" w:cs="宋体"/>
        </w:rPr>
        <w:t xml:space="preserve">1套，过</w:t>
      </w:r>
      <w:r>
        <w:rPr>
          <w:rFonts w:hint="eastAsia" w:ascii="宋体" w:hAnsi="宋体" w:eastAsia="宋体" w:cs="宋体"/>
        </w:rPr>
        <w:t xml:space="preserve">流部分</w:t>
      </w:r>
      <w:r>
        <w:t xml:space="preserve">≥</w:t>
      </w:r>
      <w:r>
        <w:rPr>
          <w:rFonts w:hint="eastAsia" w:ascii="宋体" w:hAnsi="宋体" w:eastAsia="宋体" w:cs="宋体"/>
        </w:rPr>
        <w:t xml:space="preserve">304不锈钢材质，</w:t>
      </w:r>
      <w:r>
        <w:rPr>
          <w:rFonts w:hint="eastAsia" w:ascii="宋体" w:hAnsi="宋体" w:cs="宋体"/>
        </w:rPr>
        <w:t xml:space="preserve">厚度≥1.0mm</w:t>
      </w:r>
      <w:r>
        <w:rPr>
          <w:rFonts w:hint="eastAsia" w:ascii="宋体" w:hAnsi="宋体" w:cs="宋体"/>
        </w:rPr>
        <w:t xml:space="preserve">。</w:t>
      </w:r>
      <w:r>
        <w:rPr>
          <w:rFonts w:hint="eastAsia" w:ascii="宋体" w:hAnsi="宋体" w:eastAsia="宋体" w:cs="宋体"/>
        </w:rPr>
        <w:t xml:space="preserve">（</w:t>
      </w:r>
      <w:r>
        <w:rPr>
          <w:rFonts w:hint="eastAsia"/>
          <w:b/>
          <w:color w:val="ff0000"/>
        </w:rPr>
        <w:t xml:space="preserve">投标时提供过流式紫外线杀菌第三方检测报告</w:t>
      </w:r>
      <w:r>
        <w:rPr>
          <w:rFonts w:hint="eastAsia" w:ascii="宋体" w:hAnsi="宋体" w:eastAsia="宋体" w:cs="宋体"/>
        </w:rPr>
        <w:t xml:space="preserve">）</w:t>
      </w:r>
      <w:r/>
    </w:p>
    <w:p>
      <w:pPr>
        <w:pStyle w:val="886"/>
        <w:ind w:firstLine="480"/>
        <w:spacing w:beforeAutospacing="0" w:afterAutospacing="0" w:line="360" w:lineRule="auto"/>
        <w:rPr>
          <w:rFonts w:ascii="宋体" w:hAnsi="宋体" w:cs="宋体"/>
        </w:rPr>
      </w:pPr>
      <w:r>
        <w:rPr>
          <w:rFonts w:hint="eastAsia" w:ascii="宋体" w:hAnsi="宋体" w:cs="宋体"/>
        </w:rPr>
        <w:t xml:space="preserve">（20）回水电动阀：</w:t>
      </w:r>
      <w:r>
        <w:rPr>
          <w:rFonts w:hint="eastAsia" w:ascii="宋体" w:hAnsi="宋体" w:eastAsia="宋体" w:cs="宋体"/>
        </w:rPr>
        <w:t xml:space="preserve">DN15 220V 1套，</w:t>
      </w:r>
      <w:r>
        <w:rPr>
          <w:rFonts w:hint="eastAsia" w:ascii="宋体" w:hAnsi="宋体" w:cs="宋体"/>
        </w:rPr>
        <w:t xml:space="preserve">≥</w:t>
      </w:r>
      <w:r>
        <w:rPr>
          <w:rFonts w:hint="eastAsia" w:ascii="宋体" w:hAnsi="宋体" w:eastAsia="宋体" w:cs="宋体"/>
        </w:rPr>
        <w:t xml:space="preserve">304不锈钢材质，</w:t>
      </w:r>
      <w:r>
        <w:rPr>
          <w:rFonts w:hint="eastAsia" w:ascii="宋体" w:hAnsi="宋体" w:cs="宋体"/>
        </w:rPr>
        <w:t xml:space="preserve">厚度≥1.0mm</w:t>
      </w:r>
      <w:r/>
    </w:p>
    <w:p>
      <w:pPr>
        <w:pStyle w:val="886"/>
        <w:ind w:firstLine="480"/>
        <w:spacing w:beforeAutospacing="0" w:afterAutospacing="0" w:line="360" w:lineRule="auto"/>
        <w:rPr>
          <w:rFonts w:ascii="宋体" w:hAnsi="宋体" w:cs="宋体"/>
        </w:rPr>
      </w:pPr>
      <w:r>
        <w:rPr>
          <w:rFonts w:hint="eastAsia" w:ascii="宋体" w:hAnsi="宋体" w:cs="宋体"/>
        </w:rPr>
        <w:t xml:space="preserve">（21）系统电控箱</w:t>
      </w:r>
      <w:r>
        <w:rPr>
          <w:rFonts w:hint="eastAsia" w:ascii="宋体" w:hAnsi="宋体" w:eastAsia="宋体" w:cs="宋体"/>
        </w:rPr>
        <w:t xml:space="preserve">1套</w:t>
      </w:r>
      <w:r/>
    </w:p>
    <w:p>
      <w:pPr>
        <w:pStyle w:val="886"/>
        <w:ind w:firstLine="480"/>
        <w:spacing w:beforeAutospacing="0" w:afterAutospacing="0" w:line="360" w:lineRule="auto"/>
      </w:pPr>
      <w:r>
        <w:rPr>
          <w:rFonts w:hint="eastAsia"/>
        </w:rPr>
        <w:t xml:space="preserve">▲</w:t>
      </w:r>
      <w:r>
        <w:rPr>
          <w:rFonts w:hint="eastAsia" w:ascii="宋体" w:hAnsi="宋体" w:cs="宋体"/>
        </w:rPr>
        <w:t xml:space="preserve">（22）主机箱体：</w:t>
      </w:r>
      <w:r>
        <w:rPr>
          <w:rFonts w:hint="eastAsia"/>
        </w:rPr>
        <w:t xml:space="preserve">全封闭，镀锌</w:t>
      </w:r>
      <w:r>
        <w:rPr>
          <w:rFonts w:hint="eastAsia"/>
        </w:rPr>
        <w:t xml:space="preserve">+</w:t>
      </w:r>
      <w:r>
        <w:rPr>
          <w:rFonts w:hint="eastAsia"/>
        </w:rPr>
        <w:t xml:space="preserve">烤漆</w:t>
      </w:r>
      <w:r>
        <w:rPr>
          <w:rFonts w:hint="eastAsia"/>
        </w:rPr>
        <w:t xml:space="preserve">。</w:t>
      </w:r>
      <w:r>
        <w:rPr>
          <w:rFonts w:hint="eastAsia"/>
        </w:rPr>
        <w:t xml:space="preserve">（</w:t>
      </w:r>
      <w:r>
        <w:rPr>
          <w:rFonts w:hint="eastAsia"/>
          <w:b/>
          <w:color w:val="ff0000"/>
        </w:rPr>
        <w:t xml:space="preserve">投标时提供整机图片</w:t>
      </w:r>
      <w:r>
        <w:rPr>
          <w:rFonts w:hint="eastAsia"/>
        </w:rPr>
        <w:t xml:space="preserve">）</w:t>
      </w:r>
      <w:r/>
    </w:p>
    <w:p>
      <w:pPr>
        <w:pStyle w:val="886"/>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（23）取水龙头：≥304不锈钢，厚度≥1.0mm的净水设备出水龙头2个，龙头</w:t>
      </w:r>
      <w:r>
        <w:rPr>
          <w:rFonts w:hint="eastAsia" w:ascii="宋体" w:hAnsi="宋体" w:cs="宋体"/>
        </w:rPr>
        <w:t xml:space="preserve">须固定</w:t>
      </w:r>
      <w:r>
        <w:rPr>
          <w:rFonts w:hint="eastAsia" w:ascii="宋体" w:hAnsi="宋体" w:cs="宋体"/>
        </w:rPr>
        <w:t xml:space="preserve">集成于主机本体，取水口离地面垂直高度为100-120cm，便于常规容器接水操作，具体安装位置须根据学校取水方便设置。（</w:t>
      </w:r>
      <w:r>
        <w:rPr>
          <w:rFonts w:hint="eastAsia"/>
          <w:b/>
          <w:color w:val="ff0000"/>
        </w:rPr>
        <w:t xml:space="preserve">投标时需提供设备外观效果图并在图上标注取水口高度</w:t>
      </w:r>
      <w:r>
        <w:rPr>
          <w:rFonts w:hint="eastAsia" w:ascii="宋体" w:hAnsi="宋体" w:cs="宋体"/>
        </w:rPr>
        <w:t xml:space="preserve">）</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.3</w:t>
      </w:r>
      <w:r>
        <w:rPr>
          <w:rFonts w:hint="eastAsia" w:ascii="宋体" w:hAnsi="宋体" w:eastAsia="宋体" w:cs="宋体"/>
        </w:rPr>
        <w:t xml:space="preserve">控制要求</w:t>
      </w:r>
      <w:r/>
    </w:p>
    <w:p>
      <w:pPr>
        <w:pStyle w:val="886"/>
        <w:ind w:firstLine="480"/>
        <w:spacing w:beforeAutospacing="0" w:afterAutospacing="0" w:line="360" w:lineRule="auto"/>
        <w:rPr>
          <w:rFonts w:ascii="宋体" w:hAnsi="宋体" w:eastAsia="宋体" w:cs="宋体"/>
        </w:rPr>
      </w:pPr>
      <w:r/>
      <w:bookmarkStart w:id="217" w:name="_Hlk231803947"/>
      <w:r>
        <w:rPr>
          <w:rFonts w:hint="eastAsia" w:ascii="宋体" w:hAnsi="宋体" w:eastAsia="宋体" w:cs="宋体"/>
        </w:rPr>
        <w:t xml:space="preserve">▲（1）支持4G远程监控，在线监测硬件状态、滤芯寿命、冲洗参数远程设置；</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▲（2）预处理、反渗透、水箱、杀菌、供回水集成在一个机柜内，系统开机自动反冲洗、检测压力；</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▲（3）内置纯水箱为</w:t>
      </w:r>
      <w:r>
        <w:rPr>
          <w:rFonts w:hint="eastAsia" w:ascii="宋体" w:hAnsi="宋体" w:cs="宋体"/>
        </w:rPr>
        <w:t xml:space="preserve">≥</w:t>
      </w:r>
      <w:r>
        <w:rPr>
          <w:rFonts w:hint="eastAsia" w:ascii="宋体" w:hAnsi="宋体" w:eastAsia="宋体" w:cs="宋体"/>
        </w:rPr>
        <w:t xml:space="preserve">SUS304不锈钢材质，</w:t>
      </w:r>
      <w:r>
        <w:rPr>
          <w:rFonts w:hint="eastAsia" w:ascii="宋体" w:hAnsi="宋体" w:cs="宋体"/>
        </w:rPr>
        <w:t xml:space="preserve">厚度≥1.0mm</w:t>
      </w:r>
      <w:r>
        <w:rPr>
          <w:rFonts w:hint="eastAsia" w:ascii="宋体" w:hAnsi="宋体" w:eastAsia="宋体" w:cs="宋体"/>
        </w:rPr>
        <w:t xml:space="preserve">；</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▲（4）消毒方式为紫外线杀菌；</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▲（5）供水泵变频恒压供水，流量压力满足需求；</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▲（6）具备循环供水功能，确保管网水质新鲜；</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▲（7）系统全自动运行，具备低压/高压保护、相序保护、过载保护、故障报警等功能；</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▲（8）具备停水、过压、过载、设备故障、漏水报警等断电保护功能。</w:t>
      </w:r>
      <w:r/>
    </w:p>
    <w:p>
      <w:pPr>
        <w:pStyle w:val="886"/>
        <w:ind w:firstLine="480"/>
        <w:jc w:val="both"/>
        <w:spacing w:beforeAutospacing="0" w:afterAutospacing="0" w:line="360" w:lineRule="auto"/>
        <w:rPr>
          <w:rFonts w:ascii="宋体" w:hAnsi="宋体" w:eastAsia="宋体" w:cs="宋体"/>
          <w:color w:val="ee0000"/>
        </w:rPr>
      </w:pPr>
      <w:r>
        <w:rPr>
          <w:rFonts w:hint="eastAsia" w:ascii="宋体" w:hAnsi="宋体" w:eastAsia="宋体" w:cs="宋体"/>
        </w:rPr>
        <w:t xml:space="preserve">注：</w:t>
      </w:r>
      <w:r>
        <w:rPr>
          <w:rFonts w:hint="eastAsia"/>
          <w:b/>
          <w:color w:val="ff0000"/>
        </w:rPr>
        <w:t xml:space="preserve">以上（</w:t>
      </w:r>
      <w:r>
        <w:rPr>
          <w:rFonts w:hint="eastAsia"/>
          <w:b/>
          <w:color w:val="ff0000"/>
        </w:rPr>
        <w:t xml:space="preserve">1</w:t>
      </w:r>
      <w:r>
        <w:rPr>
          <w:rFonts w:hint="eastAsia"/>
          <w:b/>
          <w:color w:val="ff0000"/>
        </w:rPr>
        <w:t xml:space="preserve">）</w:t>
      </w:r>
      <w:r>
        <w:rPr>
          <w:rFonts w:hint="eastAsia"/>
          <w:b/>
          <w:color w:val="ff0000"/>
        </w:rPr>
        <w:t xml:space="preserve">-</w:t>
      </w:r>
      <w:r>
        <w:rPr>
          <w:rFonts w:hint="eastAsia"/>
          <w:b/>
          <w:color w:val="ff0000"/>
        </w:rPr>
        <w:t xml:space="preserve">（</w:t>
      </w:r>
      <w:r>
        <w:rPr>
          <w:rFonts w:hint="eastAsia"/>
          <w:b/>
          <w:color w:val="ff0000"/>
        </w:rPr>
        <w:t xml:space="preserve">8</w:t>
      </w:r>
      <w:r>
        <w:rPr>
          <w:rFonts w:hint="eastAsia"/>
          <w:b/>
          <w:color w:val="ff0000"/>
        </w:rPr>
        <w:t xml:space="preserve">）项要求投标时需提供相关具备资质的第三方检测报告或产品说明书</w:t>
      </w:r>
      <w:bookmarkEnd w:id="217"/>
      <w:r>
        <w:rPr>
          <w:rFonts w:hint="eastAsia"/>
          <w:b/>
          <w:color w:val="ff0000"/>
        </w:rPr>
        <w:t xml:space="preserve">。</w:t>
      </w:r>
      <w:r/>
    </w:p>
    <w:p>
      <w:pPr>
        <w:pStyle w:val="886"/>
        <w:ind w:firstLine="482"/>
        <w:spacing w:beforeAutospacing="0" w:afterAutospacing="0" w:line="360" w:lineRule="auto"/>
        <w:rPr>
          <w:rFonts w:ascii="宋体" w:hAnsi="宋体" w:eastAsia="宋体" w:cs="宋体"/>
          <w:b/>
        </w:rPr>
      </w:pPr>
      <w:r>
        <w:rPr>
          <w:rFonts w:hint="eastAsia" w:ascii="宋体" w:hAnsi="宋体" w:eastAsia="宋体" w:cs="宋体"/>
          <w:b/>
        </w:rPr>
        <w:t xml:space="preserve">3、物联网要求</w:t>
      </w:r>
      <w:r/>
    </w:p>
    <w:p>
      <w:pPr>
        <w:pStyle w:val="886"/>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（1）支持4G远程监控；</w:t>
      </w:r>
      <w:r/>
    </w:p>
    <w:p>
      <w:pPr>
        <w:pStyle w:val="886"/>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（2）在线监测水质、压力、流量；</w:t>
      </w:r>
      <w:r/>
    </w:p>
    <w:p>
      <w:pPr>
        <w:pStyle w:val="886"/>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（3）在线监测硬件状态、滤芯寿命、冲洗参数远程设置；</w:t>
      </w:r>
      <w:r/>
    </w:p>
    <w:p>
      <w:pPr>
        <w:pStyle w:val="886"/>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（4）支持远程开关机、定时设置；</w:t>
      </w:r>
      <w:r/>
    </w:p>
    <w:p>
      <w:pPr>
        <w:pStyle w:val="886"/>
        <w:ind w:firstLine="480"/>
        <w:jc w:val="both"/>
        <w:spacing w:beforeAutospacing="0" w:afterAutospacing="0" w:line="360" w:lineRule="auto"/>
        <w:rPr>
          <w:rFonts w:ascii="宋体" w:hAnsi="宋体" w:eastAsia="宋体" w:cs="宋体"/>
          <w:color w:val="ee0000"/>
        </w:rPr>
      </w:pPr>
      <w:r>
        <w:rPr>
          <w:rFonts w:hint="eastAsia" w:ascii="宋体" w:hAnsi="宋体" w:eastAsia="宋体" w:cs="宋体"/>
        </w:rPr>
        <w:t xml:space="preserve">注：</w:t>
      </w:r>
      <w:r>
        <w:rPr>
          <w:rFonts w:hint="eastAsia"/>
          <w:b/>
          <w:color w:val="ff0000"/>
        </w:rPr>
        <w:t xml:space="preserve">以上（</w:t>
      </w:r>
      <w:r>
        <w:rPr>
          <w:rFonts w:hint="eastAsia"/>
          <w:b/>
          <w:color w:val="ff0000"/>
        </w:rPr>
        <w:t xml:space="preserve">1</w:t>
      </w:r>
      <w:r>
        <w:rPr>
          <w:rFonts w:hint="eastAsia"/>
          <w:b/>
          <w:color w:val="ff0000"/>
        </w:rPr>
        <w:t xml:space="preserve">）</w:t>
      </w:r>
      <w:r>
        <w:rPr>
          <w:rFonts w:hint="eastAsia"/>
          <w:b/>
          <w:color w:val="ff0000"/>
        </w:rPr>
        <w:t xml:space="preserve">-</w:t>
      </w:r>
      <w:r>
        <w:rPr>
          <w:rFonts w:hint="eastAsia"/>
          <w:b/>
          <w:color w:val="ff0000"/>
        </w:rPr>
        <w:t xml:space="preserve">（</w:t>
      </w:r>
      <w:r>
        <w:rPr>
          <w:rFonts w:hint="eastAsia"/>
          <w:b/>
          <w:color w:val="ff0000"/>
        </w:rPr>
        <w:t xml:space="preserve">4</w:t>
      </w:r>
      <w:r>
        <w:rPr>
          <w:rFonts w:hint="eastAsia"/>
          <w:b/>
          <w:color w:val="ff0000"/>
        </w:rPr>
        <w:t xml:space="preserve">）项要求投标时需提供物联网平台截图、软件著作权、第三方检测报告任意一项。</w:t>
      </w:r>
      <w:r/>
    </w:p>
    <w:p>
      <w:pPr>
        <w:pStyle w:val="886"/>
        <w:ind w:firstLine="562"/>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4、监控设备</w:t>
      </w:r>
      <w:r/>
    </w:p>
    <w:p>
      <w:pPr>
        <w:pStyle w:val="886"/>
        <w:ind w:firstLine="480"/>
        <w:jc w:val="both"/>
        <w:spacing w:beforeAutospacing="0" w:afterAutospacing="0" w:line="360" w:lineRule="auto"/>
      </w:pPr>
      <w:r>
        <w:rPr>
          <w:rFonts w:hint="eastAsia"/>
        </w:rPr>
        <w:t xml:space="preserve">（</w:t>
      </w:r>
      <w:r>
        <w:rPr>
          <w:rFonts w:hint="eastAsia"/>
        </w:rPr>
        <w:t xml:space="preserve">1</w:t>
      </w:r>
      <w:r>
        <w:rPr>
          <w:rFonts w:hint="eastAsia"/>
        </w:rPr>
        <w:t xml:space="preserve">）最大图像尺寸：</w:t>
      </w:r>
      <w:r>
        <w:rPr>
          <w:rFonts w:hint="eastAsia"/>
        </w:rPr>
        <w:t xml:space="preserve">2560</w:t>
      </w:r>
      <w:r>
        <w:rPr>
          <w:rFonts w:hint="eastAsia"/>
        </w:rPr>
        <w:t xml:space="preserve">×</w:t>
      </w:r>
      <w:r>
        <w:rPr>
          <w:rFonts w:hint="eastAsia"/>
        </w:rPr>
        <w:t xml:space="preserve">1440</w:t>
      </w:r>
      <w:r/>
    </w:p>
    <w:p>
      <w:pPr>
        <w:pStyle w:val="886"/>
        <w:ind w:firstLine="480"/>
        <w:jc w:val="both"/>
        <w:spacing w:beforeAutospacing="0" w:afterAutospacing="0" w:line="360" w:lineRule="auto"/>
      </w:pPr>
      <w:r>
        <w:rPr>
          <w:rFonts w:hint="eastAsia"/>
        </w:rPr>
        <w:t xml:space="preserve">（</w:t>
      </w:r>
      <w:r>
        <w:rPr>
          <w:rFonts w:hint="eastAsia"/>
        </w:rPr>
        <w:t xml:space="preserve">2</w:t>
      </w:r>
      <w:r>
        <w:rPr>
          <w:rFonts w:hint="eastAsia"/>
        </w:rPr>
        <w:t xml:space="preserve">）传感器类型：</w:t>
      </w:r>
      <w:r>
        <w:rPr>
          <w:rFonts w:hint="eastAsia"/>
        </w:rPr>
        <w:t xml:space="preserve">1/2.7" Progressive Scan CMOS</w:t>
      </w:r>
      <w:r/>
    </w:p>
    <w:p>
      <w:pPr>
        <w:pStyle w:val="886"/>
        <w:ind w:firstLine="480"/>
        <w:jc w:val="both"/>
        <w:spacing w:beforeAutospacing="0" w:afterAutospacing="0" w:line="360" w:lineRule="auto"/>
      </w:pPr>
      <w:r>
        <w:rPr>
          <w:rFonts w:hint="eastAsia"/>
        </w:rPr>
        <w:t xml:space="preserve">（</w:t>
      </w:r>
      <w:r>
        <w:rPr>
          <w:rFonts w:hint="eastAsia"/>
        </w:rPr>
        <w:t xml:space="preserve">3</w:t>
      </w:r>
      <w:r>
        <w:rPr>
          <w:rFonts w:hint="eastAsia"/>
        </w:rPr>
        <w:t xml:space="preserve">）最远补光距离：红外补光</w:t>
      </w:r>
      <w:r>
        <w:rPr>
          <w:rFonts w:hint="eastAsia"/>
        </w:rPr>
        <w:t xml:space="preserve">30m/</w:t>
      </w:r>
      <w:r>
        <w:rPr>
          <w:rFonts w:hint="eastAsia"/>
        </w:rPr>
        <w:t xml:space="preserve">白光补光≥</w:t>
      </w:r>
      <w:r>
        <w:rPr>
          <w:rFonts w:hint="eastAsia"/>
        </w:rPr>
        <w:t xml:space="preserve">10m</w:t>
      </w:r>
      <w:r/>
    </w:p>
    <w:p>
      <w:pPr>
        <w:pStyle w:val="886"/>
        <w:ind w:firstLine="480"/>
        <w:jc w:val="both"/>
        <w:spacing w:beforeAutospacing="0" w:afterAutospacing="0" w:line="360" w:lineRule="auto"/>
      </w:pPr>
      <w:r>
        <w:rPr>
          <w:rFonts w:hint="eastAsia"/>
        </w:rPr>
        <w:t xml:space="preserve">（</w:t>
      </w:r>
      <w:r>
        <w:rPr>
          <w:rFonts w:hint="eastAsia"/>
        </w:rPr>
        <w:t xml:space="preserve">4</w:t>
      </w:r>
      <w:r>
        <w:rPr>
          <w:rFonts w:hint="eastAsia"/>
        </w:rPr>
        <w:t xml:space="preserve">）支持离开岗位报警、呼救识别</w:t>
      </w:r>
      <w:r/>
    </w:p>
    <w:p>
      <w:pPr>
        <w:pStyle w:val="886"/>
        <w:ind w:firstLine="480"/>
        <w:jc w:val="both"/>
        <w:spacing w:beforeAutospacing="0" w:afterAutospacing="0" w:line="360" w:lineRule="auto"/>
      </w:pPr>
      <w:r>
        <w:rPr>
          <w:rFonts w:hint="eastAsia"/>
        </w:rPr>
        <w:t xml:space="preserve">（</w:t>
      </w:r>
      <w:r>
        <w:rPr>
          <w:rFonts w:hint="eastAsia"/>
        </w:rPr>
        <w:t xml:space="preserve">5</w:t>
      </w:r>
      <w:r>
        <w:rPr>
          <w:rFonts w:hint="eastAsia"/>
        </w:rPr>
        <w:t xml:space="preserve">）感温方式：热敏电阻</w:t>
      </w:r>
      <w:r/>
    </w:p>
    <w:p>
      <w:pPr>
        <w:pStyle w:val="886"/>
        <w:ind w:firstLine="480"/>
        <w:jc w:val="both"/>
        <w:spacing w:beforeAutospacing="0" w:afterAutospacing="0" w:line="360" w:lineRule="auto"/>
      </w:pPr>
      <w:r>
        <w:rPr>
          <w:rFonts w:hint="eastAsia"/>
        </w:rPr>
        <w:t xml:space="preserve">（</w:t>
      </w:r>
      <w:r>
        <w:rPr>
          <w:rFonts w:hint="eastAsia"/>
        </w:rPr>
        <w:t xml:space="preserve">6</w:t>
      </w:r>
      <w:r>
        <w:rPr>
          <w:rFonts w:hint="eastAsia"/>
        </w:rPr>
        <w:t xml:space="preserve">）高温报警：支持</w:t>
      </w:r>
      <w:r/>
    </w:p>
    <w:p>
      <w:pPr>
        <w:pStyle w:val="886"/>
        <w:ind w:firstLine="480"/>
        <w:jc w:val="both"/>
        <w:spacing w:beforeAutospacing="0" w:afterAutospacing="0" w:line="360" w:lineRule="auto"/>
      </w:pPr>
      <w:r>
        <w:rPr>
          <w:rFonts w:hint="eastAsia"/>
        </w:rPr>
        <w:t xml:space="preserve">（</w:t>
      </w:r>
      <w:r>
        <w:rPr>
          <w:rFonts w:hint="eastAsia"/>
        </w:rPr>
        <w:t xml:space="preserve">7</w:t>
      </w:r>
      <w:r>
        <w:rPr>
          <w:rFonts w:hint="eastAsia"/>
        </w:rPr>
        <w:t xml:space="preserve">）报警指示灯：四色指示灯</w:t>
      </w:r>
      <w:r/>
    </w:p>
    <w:p>
      <w:pPr>
        <w:pStyle w:val="886"/>
        <w:ind w:firstLine="480"/>
        <w:jc w:val="both"/>
        <w:spacing w:beforeAutospacing="0" w:afterAutospacing="0" w:line="360" w:lineRule="auto"/>
      </w:pPr>
      <w:r>
        <w:rPr>
          <w:rFonts w:hint="eastAsia"/>
        </w:rPr>
        <w:t xml:space="preserve">（</w:t>
      </w:r>
      <w:r>
        <w:rPr>
          <w:rFonts w:hint="eastAsia"/>
        </w:rPr>
        <w:t xml:space="preserve">8</w:t>
      </w:r>
      <w:r>
        <w:rPr>
          <w:rFonts w:hint="eastAsia"/>
        </w:rPr>
        <w:t xml:space="preserve">）红</w:t>
      </w:r>
      <w:r>
        <w:rPr>
          <w:rFonts w:hint="eastAsia"/>
        </w:rPr>
        <w:t xml:space="preserve">/</w:t>
      </w:r>
      <w:r>
        <w:rPr>
          <w:rFonts w:hint="eastAsia"/>
        </w:rPr>
        <w:t xml:space="preserve">蓝色：报警（红</w:t>
      </w:r>
      <w:r>
        <w:rPr>
          <w:rFonts w:hint="eastAsia"/>
        </w:rPr>
        <w:t xml:space="preserve">/</w:t>
      </w:r>
      <w:r>
        <w:rPr>
          <w:rFonts w:hint="eastAsia"/>
        </w:rPr>
        <w:t xml:space="preserve">蓝光模式可选）</w:t>
      </w:r>
      <w:r/>
    </w:p>
    <w:p>
      <w:pPr>
        <w:pStyle w:val="886"/>
        <w:ind w:firstLine="480"/>
        <w:jc w:val="both"/>
        <w:spacing w:beforeAutospacing="0" w:afterAutospacing="0" w:line="360" w:lineRule="auto"/>
      </w:pPr>
      <w:r>
        <w:rPr>
          <w:rFonts w:hint="eastAsia"/>
        </w:rPr>
        <w:t xml:space="preserve">（</w:t>
      </w:r>
      <w:r>
        <w:rPr>
          <w:rFonts w:hint="eastAsia"/>
        </w:rPr>
        <w:t xml:space="preserve">9</w:t>
      </w:r>
      <w:r>
        <w:rPr>
          <w:rFonts w:hint="eastAsia"/>
        </w:rPr>
        <w:t xml:space="preserve">）绿色：正常运行</w:t>
      </w:r>
      <w:r/>
    </w:p>
    <w:p>
      <w:pPr>
        <w:pStyle w:val="886"/>
        <w:ind w:firstLine="480"/>
        <w:jc w:val="both"/>
        <w:spacing w:beforeAutospacing="0" w:afterAutospacing="0" w:line="360" w:lineRule="auto"/>
      </w:pPr>
      <w:r>
        <w:rPr>
          <w:rFonts w:hint="eastAsia"/>
        </w:rPr>
        <w:t xml:space="preserve">（</w:t>
      </w:r>
      <w:r>
        <w:rPr>
          <w:rFonts w:hint="eastAsia"/>
        </w:rPr>
        <w:t xml:space="preserve">10</w:t>
      </w:r>
      <w:r>
        <w:rPr>
          <w:rFonts w:hint="eastAsia"/>
        </w:rPr>
        <w:t xml:space="preserve">）黄色：故障</w:t>
      </w:r>
      <w:r/>
    </w:p>
    <w:p>
      <w:pPr>
        <w:pStyle w:val="886"/>
        <w:ind w:firstLine="480"/>
        <w:jc w:val="both"/>
        <w:spacing w:beforeAutospacing="0" w:afterAutospacing="0" w:line="360" w:lineRule="auto"/>
      </w:pPr>
      <w:r>
        <w:rPr>
          <w:rFonts w:hint="eastAsia"/>
        </w:rPr>
        <w:t xml:space="preserve">（</w:t>
      </w:r>
      <w:r>
        <w:rPr>
          <w:rFonts w:hint="eastAsia"/>
        </w:rPr>
        <w:t xml:space="preserve">11</w:t>
      </w:r>
      <w:r>
        <w:rPr>
          <w:rFonts w:hint="eastAsia"/>
        </w:rPr>
        <w:t xml:space="preserve">）测温精度：±</w:t>
      </w:r>
      <w:r>
        <w:rPr>
          <w:rFonts w:hint="eastAsia"/>
        </w:rPr>
        <w:t xml:space="preserve">3</w:t>
      </w:r>
      <w:r>
        <w:rPr>
          <w:rFonts w:hint="eastAsia"/>
        </w:rPr>
        <w:t xml:space="preserve">°（在无风恒温环境，上电</w:t>
      </w:r>
      <w:r>
        <w:rPr>
          <w:rFonts w:hint="eastAsia"/>
        </w:rPr>
        <w:t xml:space="preserve">1</w:t>
      </w:r>
      <w:r>
        <w:rPr>
          <w:rFonts w:hint="eastAsia"/>
        </w:rPr>
        <w:t xml:space="preserve">小时）</w:t>
      </w:r>
      <w:r>
        <w:rPr>
          <w:rFonts w:hint="eastAsia"/>
        </w:rPr>
        <w:t xml:space="preserve"> </w:t>
      </w:r>
      <w:r/>
    </w:p>
    <w:p>
      <w:pPr>
        <w:pStyle w:val="886"/>
        <w:ind w:firstLine="480"/>
        <w:jc w:val="both"/>
        <w:spacing w:beforeAutospacing="0" w:afterAutospacing="0" w:line="360" w:lineRule="auto"/>
      </w:pPr>
      <w:r>
        <w:rPr>
          <w:rFonts w:hint="eastAsia"/>
        </w:rPr>
        <w:t xml:space="preserve">（</w:t>
      </w:r>
      <w:r>
        <w:rPr>
          <w:rFonts w:hint="eastAsia"/>
        </w:rPr>
        <w:t xml:space="preserve">12</w:t>
      </w:r>
      <w:r>
        <w:rPr>
          <w:rFonts w:hint="eastAsia"/>
        </w:rPr>
        <w:t xml:space="preserve">）远程消音：支持</w:t>
      </w:r>
      <w:r>
        <w:rPr>
          <w:rFonts w:hint="eastAsia"/>
        </w:rPr>
        <w:t xml:space="preserve"> </w:t>
      </w:r>
      <w:r/>
    </w:p>
    <w:p>
      <w:pPr>
        <w:pStyle w:val="886"/>
        <w:ind w:firstLine="480"/>
        <w:jc w:val="both"/>
        <w:spacing w:beforeAutospacing="0" w:afterAutospacing="0" w:line="360" w:lineRule="auto"/>
      </w:pPr>
      <w:r>
        <w:rPr>
          <w:rFonts w:hint="eastAsia"/>
        </w:rPr>
        <w:t xml:space="preserve">（</w:t>
      </w:r>
      <w:r>
        <w:rPr>
          <w:rFonts w:hint="eastAsia"/>
        </w:rPr>
        <w:t xml:space="preserve">13</w:t>
      </w:r>
      <w:r>
        <w:rPr>
          <w:rFonts w:hint="eastAsia"/>
        </w:rPr>
        <w:t xml:space="preserve">）音频接口：</w:t>
      </w:r>
      <w:r>
        <w:rPr>
          <w:rFonts w:hint="eastAsia"/>
        </w:rPr>
        <w:t xml:space="preserve">1</w:t>
      </w:r>
      <w:r>
        <w:rPr>
          <w:rFonts w:hint="eastAsia"/>
        </w:rPr>
        <w:t xml:space="preserve">个内置麦克风，</w:t>
      </w:r>
      <w:r>
        <w:rPr>
          <w:rFonts w:hint="eastAsia"/>
        </w:rPr>
        <w:t xml:space="preserve">1</w:t>
      </w:r>
      <w:r>
        <w:rPr>
          <w:rFonts w:hint="eastAsia"/>
        </w:rPr>
        <w:t xml:space="preserve">个内置扬声器。</w:t>
      </w:r>
      <w:r/>
    </w:p>
    <w:p>
      <w:pPr>
        <w:pStyle w:val="886"/>
        <w:ind w:firstLine="480"/>
        <w:jc w:val="both"/>
        <w:spacing w:beforeAutospacing="0" w:afterAutospacing="0" w:line="360" w:lineRule="auto"/>
      </w:pPr>
      <w:r>
        <w:rPr>
          <w:rFonts w:hint="eastAsia"/>
        </w:rPr>
        <w:t xml:space="preserve">（</w:t>
      </w:r>
      <w:r>
        <w:rPr>
          <w:rFonts w:hint="eastAsia"/>
        </w:rPr>
        <w:t xml:space="preserve">14</w:t>
      </w:r>
      <w:r>
        <w:rPr>
          <w:rFonts w:hint="eastAsia"/>
        </w:rPr>
        <w:t xml:space="preserve">）支持语音对讲。</w:t>
      </w:r>
      <w:r/>
    </w:p>
    <w:p>
      <w:pPr>
        <w:pStyle w:val="886"/>
        <w:ind w:firstLine="480"/>
        <w:jc w:val="both"/>
        <w:spacing w:beforeAutospacing="0" w:afterAutospacing="0" w:line="360" w:lineRule="auto"/>
      </w:pPr>
      <w:r>
        <w:rPr>
          <w:rFonts w:hint="eastAsia"/>
        </w:rPr>
        <w:t xml:space="preserve">★（</w:t>
      </w:r>
      <w:r>
        <w:rPr>
          <w:rFonts w:hint="eastAsia"/>
        </w:rPr>
        <w:t xml:space="preserve">15</w:t>
      </w:r>
      <w:r>
        <w:rPr>
          <w:rFonts w:hint="eastAsia"/>
        </w:rPr>
        <w:t xml:space="preserve">）内置不少于</w:t>
      </w:r>
      <w:r>
        <w:rPr>
          <w:rFonts w:hint="eastAsia"/>
        </w:rPr>
        <w:t xml:space="preserve">1</w:t>
      </w:r>
      <w:r>
        <w:rPr>
          <w:rFonts w:hint="eastAsia"/>
        </w:rPr>
        <w:t xml:space="preserve">个温度传感器、不少于</w:t>
      </w:r>
      <w:r>
        <w:rPr>
          <w:rFonts w:hint="eastAsia"/>
        </w:rPr>
        <w:t xml:space="preserve">1</w:t>
      </w:r>
      <w:r>
        <w:rPr>
          <w:rFonts w:hint="eastAsia"/>
        </w:rPr>
        <w:t xml:space="preserve">个麦克风，具有</w:t>
      </w:r>
      <w:r>
        <w:rPr>
          <w:rFonts w:hint="eastAsia"/>
        </w:rPr>
        <w:t xml:space="preserve">1</w:t>
      </w:r>
      <w:r>
        <w:rPr>
          <w:rFonts w:hint="eastAsia"/>
        </w:rPr>
        <w:t xml:space="preserve">个</w:t>
      </w:r>
      <w:r>
        <w:rPr>
          <w:rFonts w:hint="eastAsia"/>
        </w:rPr>
        <w:t xml:space="preserve">RJ45</w:t>
      </w:r>
      <w:r>
        <w:rPr>
          <w:rFonts w:hint="eastAsia"/>
        </w:rPr>
        <w:t xml:space="preserve">网络接口、</w:t>
      </w:r>
      <w:r>
        <w:rPr>
          <w:rFonts w:hint="eastAsia"/>
        </w:rPr>
        <w:t xml:space="preserve">1</w:t>
      </w:r>
      <w:r>
        <w:rPr>
          <w:rFonts w:hint="eastAsia"/>
        </w:rPr>
        <w:t xml:space="preserve">个电源接口、不少于</w:t>
      </w:r>
      <w:r>
        <w:rPr>
          <w:rFonts w:hint="eastAsia"/>
        </w:rPr>
        <w:t xml:space="preserve">3</w:t>
      </w:r>
      <w:r>
        <w:rPr>
          <w:rFonts w:hint="eastAsia"/>
        </w:rPr>
        <w:t xml:space="preserve">个状态指示灯。（</w:t>
      </w:r>
      <w:r>
        <w:rPr>
          <w:rFonts w:hint="eastAsia"/>
          <w:b/>
          <w:color w:val="ff0000"/>
        </w:rPr>
        <w:t xml:space="preserve">投标时提供第三方出具的检测报告并加盖投标人公章</w:t>
      </w:r>
      <w:r>
        <w:rPr>
          <w:rFonts w:hint="eastAsia"/>
        </w:rPr>
        <w:t xml:space="preserve">）</w:t>
      </w:r>
      <w:r/>
    </w:p>
    <w:p>
      <w:pPr>
        <w:pStyle w:val="886"/>
        <w:ind w:firstLine="480"/>
        <w:jc w:val="both"/>
        <w:spacing w:beforeAutospacing="0" w:afterAutospacing="0" w:line="360" w:lineRule="auto"/>
      </w:pPr>
      <w:r>
        <w:rPr>
          <w:rFonts w:hint="eastAsia"/>
        </w:rPr>
        <w:t xml:space="preserve">（</w:t>
      </w:r>
      <w:r>
        <w:rPr>
          <w:rFonts w:hint="eastAsia"/>
        </w:rPr>
        <w:t xml:space="preserve">16</w:t>
      </w:r>
      <w:r>
        <w:rPr>
          <w:rFonts w:hint="eastAsia"/>
        </w:rPr>
        <w:t xml:space="preserve">）摄像机宜支持交直流两种供电方式，供电方式支持</w:t>
      </w:r>
      <w:r>
        <w:rPr>
          <w:rFonts w:hint="eastAsia"/>
        </w:rPr>
        <w:t xml:space="preserve">POE</w:t>
      </w:r>
      <w:r>
        <w:rPr>
          <w:rFonts w:hint="eastAsia"/>
        </w:rPr>
        <w:t xml:space="preserve">；在不带适用适配器情况下，电源电压在</w:t>
      </w:r>
      <w:r>
        <w:rPr>
          <w:rFonts w:hint="eastAsia"/>
        </w:rPr>
        <w:t xml:space="preserve">DC</w:t>
      </w:r>
      <w:r>
        <w:rPr>
          <w:rFonts w:hint="eastAsia"/>
        </w:rPr>
        <w:t xml:space="preserve">（</w:t>
      </w:r>
      <w:r>
        <w:rPr>
          <w:rFonts w:hint="eastAsia"/>
        </w:rPr>
        <w:t xml:space="preserve">12</w:t>
      </w:r>
      <w:r>
        <w:rPr>
          <w:rFonts w:hint="eastAsia"/>
        </w:rPr>
        <w:t xml:space="preserve">±</w:t>
      </w:r>
      <w:r>
        <w:rPr>
          <w:rFonts w:hint="eastAsia"/>
        </w:rPr>
        <w:t xml:space="preserve">25%</w:t>
      </w:r>
      <w:r>
        <w:rPr>
          <w:rFonts w:hint="eastAsia"/>
        </w:rPr>
        <w:t xml:space="preserve">）</w:t>
      </w:r>
      <w:r>
        <w:rPr>
          <w:rFonts w:hint="eastAsia"/>
        </w:rPr>
        <w:t xml:space="preserve">V</w:t>
      </w:r>
      <w:r>
        <w:rPr>
          <w:rFonts w:hint="eastAsia"/>
        </w:rPr>
        <w:t xml:space="preserve">范围内变化正常工作不带辅助光源的球机输出图像的分辨力下降到标称亮度条件下分辨力的</w:t>
      </w:r>
      <w:r>
        <w:rPr>
          <w:rFonts w:hint="eastAsia"/>
        </w:rPr>
        <w:t xml:space="preserve">70%</w:t>
      </w:r>
      <w:r>
        <w:rPr>
          <w:rFonts w:hint="eastAsia"/>
        </w:rPr>
        <w:t xml:space="preserve">时目标景物上的照度应满足：彩色：小于等于</w:t>
      </w:r>
      <w:r>
        <w:rPr>
          <w:rFonts w:hint="eastAsia"/>
        </w:rPr>
        <w:t xml:space="preserve">0.05lx</w:t>
      </w:r>
      <w:r>
        <w:rPr>
          <w:rFonts w:hint="eastAsia"/>
        </w:rPr>
        <w:t xml:space="preserve">；黑白：小于等于</w:t>
      </w:r>
      <w:r>
        <w:rPr>
          <w:rFonts w:hint="eastAsia"/>
        </w:rPr>
        <w:t xml:space="preserve">0.01lx</w:t>
      </w:r>
      <w:r>
        <w:rPr>
          <w:rFonts w:hint="eastAsia"/>
        </w:rPr>
        <w:t xml:space="preserve">开启红外夜视功能，可识别</w:t>
      </w:r>
      <w:r>
        <w:rPr>
          <w:rFonts w:hint="eastAsia"/>
        </w:rPr>
        <w:t xml:space="preserve">距设备</w:t>
      </w:r>
      <w:r>
        <w:rPr>
          <w:rFonts w:hint="eastAsia"/>
        </w:rPr>
        <w:t xml:space="preserve">30m</w:t>
      </w:r>
      <w:r>
        <w:rPr>
          <w:rFonts w:hint="eastAsia"/>
        </w:rPr>
        <w:t xml:space="preserve">处的人体（</w:t>
      </w:r>
      <w:r>
        <w:rPr>
          <w:rFonts w:hint="eastAsia"/>
        </w:rPr>
        <w:t xml:space="preserve">1.7m</w:t>
      </w:r>
      <w:r>
        <w:rPr>
          <w:rFonts w:hint="eastAsia"/>
        </w:rPr>
        <w:t xml:space="preserve">×</w:t>
      </w:r>
      <w:r>
        <w:rPr>
          <w:rFonts w:hint="eastAsia"/>
        </w:rPr>
        <w:t xml:space="preserve">0.5m</w:t>
      </w:r>
      <w:r>
        <w:rPr>
          <w:rFonts w:hint="eastAsia"/>
        </w:rPr>
        <w:t xml:space="preserve">）轮廓。</w:t>
      </w:r>
      <w:r/>
    </w:p>
    <w:p>
      <w:pPr>
        <w:pStyle w:val="886"/>
        <w:ind w:firstLine="480"/>
        <w:jc w:val="both"/>
        <w:spacing w:beforeAutospacing="0" w:afterAutospacing="0" w:line="360" w:lineRule="auto"/>
      </w:pPr>
      <w:r>
        <w:rPr>
          <w:rFonts w:hint="eastAsia"/>
        </w:rPr>
        <w:t xml:space="preserve">（</w:t>
      </w:r>
      <w:r>
        <w:rPr>
          <w:rFonts w:hint="eastAsia"/>
        </w:rPr>
        <w:t xml:space="preserve">17</w:t>
      </w:r>
      <w:r>
        <w:rPr>
          <w:rFonts w:hint="eastAsia"/>
        </w:rPr>
        <w:t xml:space="preserve">）设备具有实时温度数据叠加开关，支持调整</w:t>
      </w:r>
      <w:r>
        <w:rPr>
          <w:rFonts w:hint="eastAsia"/>
        </w:rPr>
        <w:t xml:space="preserve">OSD</w:t>
      </w:r>
      <w:r>
        <w:rPr>
          <w:rFonts w:hint="eastAsia"/>
        </w:rPr>
        <w:t xml:space="preserve">叠加位置，支持实时温度曲线叠加在可视化画面中，触发报警后温度曲线自动变为红色。</w:t>
      </w:r>
      <w:r/>
    </w:p>
    <w:p>
      <w:pPr>
        <w:pStyle w:val="886"/>
        <w:ind w:firstLine="480"/>
        <w:jc w:val="both"/>
        <w:spacing w:beforeAutospacing="0" w:afterAutospacing="0" w:line="360" w:lineRule="auto"/>
      </w:pPr>
      <w:r>
        <w:rPr>
          <w:rFonts w:hint="eastAsia"/>
        </w:rPr>
        <w:t xml:space="preserve">（</w:t>
      </w:r>
      <w:r>
        <w:rPr>
          <w:rFonts w:hint="eastAsia"/>
        </w:rPr>
        <w:t xml:space="preserve">18</w:t>
      </w:r>
      <w:r>
        <w:rPr>
          <w:rFonts w:hint="eastAsia"/>
        </w:rPr>
        <w:t xml:space="preserve">）设备应具备高温报警功能，支持设定</w:t>
      </w:r>
      <w:r>
        <w:rPr>
          <w:rFonts w:hint="eastAsia"/>
        </w:rPr>
        <w:t xml:space="preserve">0</w:t>
      </w:r>
      <w:r>
        <w:rPr>
          <w:rFonts w:hint="eastAsia"/>
        </w:rPr>
        <w:t xml:space="preserve">℃～</w:t>
      </w:r>
      <w:r>
        <w:rPr>
          <w:rFonts w:hint="eastAsia"/>
        </w:rPr>
        <w:t xml:space="preserve">120</w:t>
      </w:r>
      <w:r>
        <w:rPr>
          <w:rFonts w:hint="eastAsia"/>
        </w:rPr>
        <w:t xml:space="preserve">℃</w:t>
      </w:r>
      <w:r>
        <w:rPr>
          <w:rFonts w:hint="eastAsia"/>
        </w:rPr>
        <w:t xml:space="preserve"> </w:t>
      </w:r>
      <w:r>
        <w:rPr>
          <w:rFonts w:hint="eastAsia"/>
        </w:rPr>
        <w:t xml:space="preserve">高温报警阈值，</w:t>
      </w:r>
      <w:r>
        <w:rPr>
          <w:rFonts w:hint="eastAsia"/>
        </w:rPr>
        <w:t xml:space="preserve">1</w:t>
      </w:r>
      <w:r>
        <w:rPr>
          <w:rFonts w:hint="eastAsia"/>
        </w:rPr>
        <w:t xml:space="preserve">～</w:t>
      </w:r>
      <w:r>
        <w:rPr>
          <w:rFonts w:hint="eastAsia"/>
        </w:rPr>
        <w:t xml:space="preserve"> 600</w:t>
      </w:r>
      <w:r>
        <w:rPr>
          <w:rFonts w:hint="eastAsia"/>
        </w:rPr>
        <w:t xml:space="preserve">秒温度报警时间阈值，当环境温度超过设定高温报警阈值和时间阈值时，触发设备高温报警，视频画面叠加高温报警信息，同时录像及上传抓拍图片，报警指示灯自动点亮。</w:t>
      </w:r>
      <w:r/>
    </w:p>
    <w:p>
      <w:pPr>
        <w:pStyle w:val="886"/>
        <w:ind w:firstLine="480"/>
        <w:jc w:val="both"/>
        <w:spacing w:beforeAutospacing="0" w:afterAutospacing="0" w:line="360" w:lineRule="auto"/>
      </w:pPr>
      <w:r>
        <w:rPr>
          <w:rFonts w:hint="eastAsia"/>
        </w:rPr>
        <w:t xml:space="preserve">（</w:t>
      </w:r>
      <w:r>
        <w:rPr>
          <w:rFonts w:hint="eastAsia"/>
        </w:rPr>
        <w:t xml:space="preserve">19</w:t>
      </w:r>
      <w:r>
        <w:rPr>
          <w:rFonts w:hint="eastAsia"/>
        </w:rPr>
        <w:t xml:space="preserve">）设备应具备温度突升、突降</w:t>
      </w:r>
      <w:r>
        <w:rPr>
          <w:rFonts w:hint="eastAsia"/>
        </w:rPr>
        <w:t xml:space="preserve">的差温报警</w:t>
      </w:r>
      <w:r>
        <w:rPr>
          <w:rFonts w:hint="eastAsia"/>
        </w:rPr>
        <w:t xml:space="preserve">功能，支持设定</w:t>
      </w:r>
      <w:r>
        <w:rPr>
          <w:rFonts w:hint="eastAsia"/>
        </w:rPr>
        <w:t xml:space="preserve">1</w:t>
      </w:r>
      <w:r>
        <w:rPr>
          <w:rFonts w:hint="eastAsia"/>
        </w:rPr>
        <w:t xml:space="preserve">℃～</w:t>
      </w:r>
      <w:r>
        <w:rPr>
          <w:rFonts w:hint="eastAsia"/>
        </w:rPr>
        <w:t xml:space="preserve">120</w:t>
      </w:r>
      <w:r>
        <w:rPr>
          <w:rFonts w:hint="eastAsia"/>
        </w:rPr>
        <w:t xml:space="preserve">℃温度突升或突降</w:t>
      </w:r>
      <w:r>
        <w:rPr>
          <w:rFonts w:hint="eastAsia"/>
        </w:rPr>
        <w:t xml:space="preserve">的差温报警</w:t>
      </w:r>
      <w:r>
        <w:rPr>
          <w:rFonts w:hint="eastAsia"/>
        </w:rPr>
        <w:t xml:space="preserve">阈值，</w:t>
      </w:r>
      <w:r>
        <w:rPr>
          <w:rFonts w:hint="eastAsia"/>
        </w:rPr>
        <w:t xml:space="preserve">1</w:t>
      </w:r>
      <w:r>
        <w:rPr>
          <w:rFonts w:hint="eastAsia"/>
        </w:rPr>
        <w:t xml:space="preserve">～</w:t>
      </w:r>
      <w:r>
        <w:rPr>
          <w:rFonts w:hint="eastAsia"/>
        </w:rPr>
        <w:t xml:space="preserve">30</w:t>
      </w:r>
      <w:r>
        <w:rPr>
          <w:rFonts w:hint="eastAsia"/>
        </w:rPr>
        <w:t xml:space="preserve">秒温度突</w:t>
      </w:r>
      <w:r>
        <w:rPr>
          <w:rFonts w:hint="eastAsia"/>
        </w:rPr>
        <w:t xml:space="preserve">升或者</w:t>
      </w:r>
      <w:r>
        <w:rPr>
          <w:rFonts w:hint="eastAsia"/>
        </w:rPr>
        <w:t xml:space="preserve">突降报警时间阈值，当环境温度满足设定高温报警阈值和时间阈值时，触发设备温度突升或</w:t>
      </w:r>
      <w:r>
        <w:rPr>
          <w:rFonts w:hint="eastAsia"/>
        </w:rPr>
        <w:t xml:space="preserve">突降差温报警</w:t>
      </w:r>
      <w:r>
        <w:rPr>
          <w:rFonts w:hint="eastAsia"/>
        </w:rPr>
        <w:t xml:space="preserve">，视频画面叠加温度突升</w:t>
      </w:r>
      <w:r>
        <w:rPr>
          <w:rFonts w:hint="eastAsia"/>
        </w:rPr>
        <w:t xml:space="preserve">/</w:t>
      </w:r>
      <w:r>
        <w:rPr>
          <w:rFonts w:hint="eastAsia"/>
        </w:rPr>
        <w:t xml:space="preserve">突降报警信息，同时录像及上传抓拍图片，报警指示灯自动点亮。</w:t>
      </w:r>
      <w:r/>
    </w:p>
    <w:p>
      <w:pPr>
        <w:pStyle w:val="886"/>
        <w:ind w:firstLine="480"/>
        <w:jc w:val="both"/>
        <w:spacing w:beforeAutospacing="0" w:afterAutospacing="0" w:line="360" w:lineRule="auto"/>
      </w:pPr>
      <w:r>
        <w:rPr>
          <w:rFonts w:hint="eastAsia"/>
        </w:rPr>
        <w:t xml:space="preserve">★（</w:t>
      </w:r>
      <w:r>
        <w:rPr>
          <w:rFonts w:hint="eastAsia"/>
        </w:rPr>
        <w:t xml:space="preserve">20</w:t>
      </w:r>
      <w:r>
        <w:rPr>
          <w:rFonts w:hint="eastAsia"/>
        </w:rPr>
        <w:t xml:space="preserve">）设备应符合</w:t>
      </w:r>
      <w:r>
        <w:rPr>
          <w:rFonts w:hint="eastAsia"/>
        </w:rPr>
        <w:t xml:space="preserve">GB/T 4208-2017</w:t>
      </w:r>
      <w:r>
        <w:rPr>
          <w:rFonts w:hint="eastAsia"/>
        </w:rPr>
        <w:t xml:space="preserve">中</w:t>
      </w:r>
      <w:r>
        <w:rPr>
          <w:rFonts w:hint="eastAsia"/>
        </w:rPr>
        <w:t xml:space="preserve">IP67</w:t>
      </w:r>
      <w:r>
        <w:rPr>
          <w:rFonts w:hint="eastAsia"/>
        </w:rPr>
        <w:t xml:space="preserve">等级的要求</w:t>
      </w:r>
      <w:r>
        <w:rPr>
          <w:rFonts w:hint="eastAsia"/>
        </w:rPr>
        <w:t xml:space="preserve">。</w:t>
      </w:r>
      <w:r>
        <w:rPr>
          <w:rFonts w:hint="eastAsia"/>
        </w:rPr>
        <w:t xml:space="preserve">（</w:t>
      </w:r>
      <w:r>
        <w:rPr>
          <w:rFonts w:hint="eastAsia"/>
          <w:b/>
          <w:color w:val="ff0000"/>
        </w:rPr>
        <w:t xml:space="preserve">投标时提供第三方出具的检测报告并加盖投标人公章</w:t>
      </w:r>
      <w:r>
        <w:rPr>
          <w:rFonts w:hint="eastAsia"/>
        </w:rPr>
        <w:t xml:space="preserve">）</w:t>
      </w:r>
      <w:r/>
    </w:p>
    <w:p>
      <w:pPr>
        <w:pStyle w:val="886"/>
        <w:ind w:firstLine="480"/>
        <w:jc w:val="both"/>
        <w:spacing w:beforeAutospacing="0" w:afterAutospacing="0" w:line="360" w:lineRule="auto"/>
      </w:pPr>
      <w:r>
        <w:rPr>
          <w:rFonts w:hint="eastAsia"/>
        </w:rPr>
        <w:t xml:space="preserve">（</w:t>
      </w:r>
      <w:r>
        <w:rPr>
          <w:rFonts w:hint="eastAsia"/>
        </w:rPr>
        <w:t xml:space="preserve">21</w:t>
      </w:r>
      <w:r>
        <w:rPr>
          <w:rFonts w:hint="eastAsia"/>
        </w:rPr>
        <w:t xml:space="preserve">）温度</w:t>
      </w:r>
      <w:r>
        <w:rPr>
          <w:rFonts w:hint="eastAsia"/>
        </w:rPr>
        <w:t xml:space="preserve">65</w:t>
      </w:r>
      <w:r>
        <w:rPr>
          <w:rFonts w:hint="eastAsia"/>
        </w:rPr>
        <w:t xml:space="preserve">±</w:t>
      </w:r>
      <w:r>
        <w:rPr>
          <w:rFonts w:hint="eastAsia"/>
        </w:rPr>
        <w:t xml:space="preserve">2</w:t>
      </w:r>
      <w:r>
        <w:rPr>
          <w:rFonts w:hint="eastAsia"/>
        </w:rPr>
        <w:t xml:space="preserve">℃</w:t>
      </w:r>
      <w:r>
        <w:rPr>
          <w:rFonts w:hint="eastAsia"/>
        </w:rPr>
        <w:t xml:space="preserve"> </w:t>
      </w:r>
      <w:r>
        <w:rPr>
          <w:rFonts w:hint="eastAsia"/>
        </w:rPr>
        <w:t xml:space="preserve">、持续时间</w:t>
      </w:r>
      <w:r>
        <w:rPr>
          <w:rFonts w:hint="eastAsia"/>
        </w:rPr>
        <w:t xml:space="preserve">24h</w:t>
      </w:r>
      <w:r>
        <w:rPr>
          <w:rFonts w:hint="eastAsia"/>
        </w:rPr>
        <w:t xml:space="preserve">，设备处于工作状态，过程中进行</w:t>
      </w:r>
      <w:r>
        <w:rPr>
          <w:rFonts w:hint="eastAsia"/>
        </w:rPr>
        <w:t xml:space="preserve">5</w:t>
      </w:r>
      <w:r>
        <w:rPr>
          <w:rFonts w:hint="eastAsia"/>
        </w:rPr>
        <w:t xml:space="preserve">次的上下电，设备应能正常启动</w:t>
      </w:r>
      <w:r>
        <w:rPr>
          <w:rFonts w:hint="eastAsia"/>
        </w:rPr>
        <w:t xml:space="preserve">,</w:t>
      </w:r>
      <w:r>
        <w:rPr>
          <w:rFonts w:hint="eastAsia"/>
        </w:rPr>
        <w:t xml:space="preserve">试验后设备应能正常工作。</w:t>
      </w:r>
      <w:r/>
    </w:p>
    <w:p>
      <w:pPr>
        <w:pStyle w:val="886"/>
        <w:ind w:firstLine="480"/>
        <w:jc w:val="both"/>
        <w:spacing w:beforeAutospacing="0" w:afterAutospacing="0" w:line="360" w:lineRule="auto"/>
      </w:pPr>
      <w:r>
        <w:rPr>
          <w:rFonts w:hint="eastAsia"/>
        </w:rPr>
        <w:t xml:space="preserve">（</w:t>
      </w:r>
      <w:r>
        <w:rPr>
          <w:rFonts w:hint="eastAsia"/>
        </w:rPr>
        <w:t xml:space="preserve">22</w:t>
      </w:r>
      <w:r>
        <w:rPr>
          <w:rFonts w:hint="eastAsia"/>
        </w:rPr>
        <w:t xml:space="preserve">）其他辅材：电源线</w:t>
      </w:r>
      <w:r>
        <w:rPr>
          <w:rFonts w:hint="eastAsia"/>
        </w:rPr>
        <w:t xml:space="preserve"> </w:t>
      </w:r>
      <w:r>
        <w:rPr>
          <w:rFonts w:hint="eastAsia"/>
        </w:rPr>
        <w:t xml:space="preserve">国标</w:t>
      </w:r>
      <w:r>
        <w:rPr>
          <w:rFonts w:hint="eastAsia"/>
        </w:rPr>
        <w:t xml:space="preserve">2*1.5</w:t>
      </w:r>
      <w:r>
        <w:rPr>
          <w:rFonts w:hint="eastAsia"/>
        </w:rPr>
        <w:t xml:space="preserve">；</w:t>
      </w:r>
      <w:r>
        <w:rPr>
          <w:rFonts w:hint="eastAsia"/>
        </w:rPr>
        <w:t xml:space="preserve">POE</w:t>
      </w:r>
      <w:r>
        <w:rPr>
          <w:rFonts w:hint="eastAsia"/>
        </w:rPr>
        <w:t xml:space="preserve">交换机</w:t>
      </w:r>
      <w:r>
        <w:rPr>
          <w:rFonts w:hint="eastAsia"/>
        </w:rPr>
        <w:t xml:space="preserve">8</w:t>
      </w:r>
      <w:r>
        <w:rPr>
          <w:rFonts w:hint="eastAsia"/>
        </w:rPr>
        <w:t xml:space="preserve">口，支持摄像头供电；管材</w:t>
      </w:r>
      <w:r>
        <w:rPr>
          <w:rFonts w:hint="eastAsia"/>
        </w:rPr>
        <w:t xml:space="preserve">20mm</w:t>
      </w:r>
      <w:r>
        <w:rPr>
          <w:rFonts w:hint="eastAsia"/>
        </w:rPr>
        <w:t xml:space="preserve">轻型线管；网线超六类网线。</w:t>
      </w:r>
      <w:bookmarkEnd w:id="215"/>
      <w:r/>
      <w:r/>
    </w:p>
    <w:p>
      <w:pPr>
        <w:pStyle w:val="886"/>
        <w:ind w:firstLine="562"/>
        <w:spacing w:beforeAutospacing="0" w:afterAutospacing="0" w:line="360" w:lineRule="auto"/>
        <w:rPr>
          <w:rFonts w:ascii="宋体" w:hAnsi="宋体" w:eastAsia="宋体" w:cs="宋体"/>
          <w:b/>
          <w:i/>
          <w:iCs/>
          <w:sz w:val="28"/>
          <w:szCs w:val="28"/>
          <w:u w:val="single"/>
        </w:rPr>
      </w:pPr>
      <w:r>
        <w:rPr>
          <w:rFonts w:hint="eastAsia" w:ascii="宋体" w:hAnsi="宋体" w:eastAsia="宋体" w:cs="宋体"/>
          <w:b/>
          <w:i/>
          <w:iCs/>
          <w:sz w:val="28"/>
          <w:szCs w:val="28"/>
          <w:u w:val="single"/>
        </w:rPr>
        <w:t xml:space="preserve">四、其它要求</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（1）质保期：设备免费质保期不少于5年，</w:t>
      </w:r>
      <w:r>
        <w:rPr>
          <w:rFonts w:hint="eastAsia" w:ascii="宋体" w:hAnsi="宋体" w:eastAsia="宋体" w:cs="宋体"/>
        </w:rPr>
        <w:t xml:space="preserve">自设备</w:t>
      </w:r>
      <w:r>
        <w:rPr>
          <w:rFonts w:hint="eastAsia" w:ascii="宋体" w:hAnsi="宋体" w:eastAsia="宋体" w:cs="宋体"/>
        </w:rPr>
        <w:t xml:space="preserve">安装调试完成并验收合格之日起计算。</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（2）质保范围：包含设备所有零部件、控制系统、泵阀、膜元件等。</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（3）质保期内服务：免费维修、免费更换故障部件，免收人工费、差旅费、配件费等一切费用。</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（4）质保期内须对整机进行维护保养，含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w:t>
      </w:r>
      <w:r>
        <w:rPr>
          <w:rFonts w:hint="eastAsia" w:ascii="宋体" w:hAnsi="宋体"/>
          <w:color w:val="000000" w:themeColor="text1"/>
        </w:rPr>
        <w:t xml:space="preserve">质保</w:t>
      </w:r>
      <w:r>
        <w:rPr>
          <w:rFonts w:hint="eastAsia" w:ascii="宋体" w:hAnsi="宋体"/>
        </w:rPr>
        <w:t xml:space="preserve">期外：对所售产品提供终身</w:t>
      </w:r>
      <w:r>
        <w:rPr>
          <w:rFonts w:hint="eastAsia" w:ascii="宋体" w:hAnsi="宋体"/>
        </w:rPr>
        <w:t xml:space="preserve">上门维保服务</w:t>
      </w:r>
      <w:r>
        <w:rPr>
          <w:rFonts w:hint="eastAsia" w:ascii="宋体" w:hAnsi="宋体"/>
        </w:rPr>
        <w:t xml:space="preserve">，且人工费是免费的，只收取配件成本费。</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2、运维期</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（1）本项目运维期：不少于5年；</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（2）具备7×24小时400电话技术支持服务体系；</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（3）承诺中标后三个月内在距滨海县教育局</w:t>
      </w:r>
      <w:r>
        <w:rPr>
          <w:rFonts w:hint="eastAsia" w:ascii="宋体" w:hAnsi="宋体" w:eastAsia="宋体" w:cs="宋体"/>
          <w:color w:val="000000" w:themeColor="text1"/>
        </w:rPr>
        <w:t xml:space="preserve">100公里范围内</w:t>
      </w:r>
      <w:r>
        <w:rPr>
          <w:rFonts w:hint="eastAsia" w:ascii="宋体" w:hAnsi="宋体" w:eastAsia="宋体" w:cs="宋体"/>
        </w:rPr>
        <w:t xml:space="preserve">设服务网点或常驻全职售后人员； </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（4）建立设备档案，一校一档，记录每次巡检、维修、换芯、水质检测等情况；</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提供扫码报修</w:t>
      </w:r>
      <w:r>
        <w:rPr>
          <w:rFonts w:hint="eastAsia" w:ascii="宋体" w:hAnsi="宋体" w:eastAsia="宋体" w:cs="宋体"/>
        </w:rPr>
        <w:t xml:space="preserve">服务、远程维护支持，做到</w:t>
      </w:r>
      <w:r>
        <w:rPr>
          <w:rFonts w:hint="eastAsia" w:ascii="宋体" w:hAnsi="宋体" w:eastAsia="宋体" w:cs="宋体"/>
        </w:rPr>
        <w:t xml:space="preserve">一</w:t>
      </w:r>
      <w:r>
        <w:rPr>
          <w:rFonts w:hint="eastAsia" w:ascii="宋体" w:hAnsi="宋体" w:eastAsia="宋体" w:cs="宋体"/>
        </w:rPr>
        <w:t xml:space="preserve">机一码；</w:t>
      </w:r>
      <w:r/>
    </w:p>
    <w:p>
      <w:pPr>
        <w:pStyle w:val="886"/>
        <w:ind w:firstLine="480"/>
        <w:spacing w:beforeAutospacing="0" w:afterAutospacing="0" w:line="360" w:lineRule="auto"/>
        <w:rPr>
          <w:rFonts w:ascii="宋体" w:hAnsi="宋体" w:eastAsia="宋体" w:cs="宋体"/>
          <w:strike/>
        </w:rPr>
      </w:pPr>
      <w:r>
        <w:rPr>
          <w:rFonts w:hint="eastAsia" w:ascii="宋体" w:hAnsi="宋体" w:eastAsia="宋体" w:cs="宋体"/>
        </w:rPr>
        <w:t xml:space="preserve">（6）校方及教育局每学期对供应</w:t>
      </w:r>
      <w:r>
        <w:rPr>
          <w:rFonts w:hint="eastAsia" w:ascii="宋体" w:hAnsi="宋体" w:eastAsia="宋体" w:cs="宋体"/>
        </w:rPr>
        <w:t xml:space="preserve">商服务</w:t>
      </w:r>
      <w:r>
        <w:rPr>
          <w:rFonts w:hint="eastAsia" w:ascii="宋体" w:hAnsi="宋体" w:eastAsia="宋体" w:cs="宋体"/>
        </w:rPr>
        <w:t xml:space="preserve">进行满意度评价。若连续两次评价为“不满意”，采购人有权要求供应商限期整改；整改后仍不达标的，可扣除服务费用或终止合同，并报请财政监管部门处理。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3、维修响应</w:t>
      </w:r>
      <w:r/>
    </w:p>
    <w:tbl>
      <w:tblPr>
        <w:tblStyle w:val="897"/>
        <w:tblW w:w="4921" w:type="pct"/>
        <w:jc w:val="center"/>
        <w:tblInd w:w="0" w:type="dxa"/>
        <w:tblLook w:val="04A0" w:firstRow="1" w:lastRow="0" w:firstColumn="1" w:lastColumn="0" w:noHBand="0" w:noVBand="1"/>
      </w:tblPr>
      <w:tblGrid>
        <w:gridCol w:w="2447"/>
        <w:gridCol w:w="6238"/>
      </w:tblGrid>
      <w:tr>
        <w:trPr>
          <w:jc w:val="center"/>
        </w:trPr>
        <w:tc>
          <w:tcPr>
            <w:tcW w:w="0" w:type="auto"/>
            <w:vAlign w:val="center"/>
            <w:textDirection w:val="lrTb"/>
            <w:noWrap w:val="false"/>
          </w:tcPr>
          <w:p>
            <w:pPr>
              <w:pStyle w:val="896"/>
              <w:ind w:firstLine="482"/>
              <w:jc w:val="center"/>
              <w:spacing w:line="240" w:lineRule="auto"/>
            </w:pPr>
            <w:r>
              <w:rPr>
                <w:rFonts w:hint="eastAsia"/>
                <w:b/>
                <w:bCs/>
              </w:rPr>
              <w:t xml:space="preserve">项目</w:t>
            </w:r>
            <w:r/>
          </w:p>
        </w:tc>
        <w:tc>
          <w:tcPr>
            <w:tcW w:w="3591" w:type="pct"/>
            <w:vAlign w:val="center"/>
            <w:textDirection w:val="lrTb"/>
            <w:noWrap w:val="false"/>
          </w:tcPr>
          <w:p>
            <w:pPr>
              <w:pStyle w:val="896"/>
              <w:ind w:firstLine="482"/>
              <w:jc w:val="center"/>
              <w:spacing w:line="240" w:lineRule="auto"/>
            </w:pPr>
            <w:r>
              <w:rPr>
                <w:rFonts w:hint="eastAsia"/>
                <w:b/>
                <w:bCs/>
              </w:rPr>
              <w:t xml:space="preserve">要求</w:t>
            </w:r>
            <w:r/>
          </w:p>
        </w:tc>
      </w:tr>
      <w:tr>
        <w:trPr>
          <w:jc w:val="center"/>
        </w:trPr>
        <w:tc>
          <w:tcPr>
            <w:tcW w:w="0" w:type="auto"/>
            <w:vAlign w:val="center"/>
            <w:textDirection w:val="lrTb"/>
            <w:noWrap w:val="false"/>
          </w:tcPr>
          <w:p>
            <w:pPr>
              <w:pStyle w:val="896"/>
              <w:jc w:val="center"/>
              <w:spacing w:line="240" w:lineRule="auto"/>
            </w:pPr>
            <w:r>
              <w:rPr>
                <w:rFonts w:hint="eastAsia"/>
              </w:rPr>
              <w:t xml:space="preserve">响应时间</w:t>
            </w:r>
            <w:r/>
          </w:p>
        </w:tc>
        <w:tc>
          <w:tcPr>
            <w:tcW w:w="3591" w:type="pct"/>
            <w:vAlign w:val="center"/>
            <w:textDirection w:val="lrTb"/>
            <w:noWrap w:val="false"/>
          </w:tcPr>
          <w:p>
            <w:pPr>
              <w:pStyle w:val="896"/>
              <w:jc w:val="center"/>
              <w:spacing w:line="240" w:lineRule="auto"/>
            </w:pPr>
            <w:r>
              <w:rPr>
                <w:rFonts w:hint="eastAsia"/>
              </w:rPr>
              <w:t xml:space="preserve">接到报修后</w:t>
            </w:r>
            <w:r>
              <w:rPr>
                <w:rFonts w:hint="eastAsia"/>
              </w:rPr>
              <w:t xml:space="preserve">30</w:t>
            </w:r>
            <w:r>
              <w:rPr>
                <w:rFonts w:hint="eastAsia"/>
              </w:rPr>
              <w:t xml:space="preserve">分钟内响应</w:t>
            </w:r>
            <w:r/>
          </w:p>
        </w:tc>
      </w:tr>
      <w:tr>
        <w:trPr>
          <w:jc w:val="center"/>
        </w:trPr>
        <w:tc>
          <w:tcPr>
            <w:tcW w:w="0" w:type="auto"/>
            <w:vAlign w:val="center"/>
            <w:textDirection w:val="lrTb"/>
            <w:noWrap w:val="false"/>
          </w:tcPr>
          <w:p>
            <w:pPr>
              <w:pStyle w:val="896"/>
              <w:jc w:val="center"/>
              <w:spacing w:line="240" w:lineRule="auto"/>
            </w:pPr>
            <w:r>
              <w:rPr>
                <w:rFonts w:hint="eastAsia"/>
              </w:rPr>
              <w:t xml:space="preserve">到达现场时间</w:t>
            </w:r>
            <w:r/>
          </w:p>
        </w:tc>
        <w:tc>
          <w:tcPr>
            <w:tcW w:w="3591" w:type="pct"/>
            <w:vAlign w:val="center"/>
            <w:textDirection w:val="lrTb"/>
            <w:noWrap w:val="false"/>
          </w:tcPr>
          <w:p>
            <w:pPr>
              <w:pStyle w:val="896"/>
              <w:jc w:val="center"/>
              <w:spacing w:line="240" w:lineRule="auto"/>
            </w:pPr>
            <w:r>
              <w:rPr>
                <w:rFonts w:hint="eastAsia"/>
              </w:rPr>
              <w:t xml:space="preserve">1</w:t>
            </w:r>
            <w:r>
              <w:rPr>
                <w:rFonts w:hint="eastAsia"/>
              </w:rPr>
              <w:t xml:space="preserve">小时内到达现场</w:t>
            </w:r>
            <w:r/>
          </w:p>
        </w:tc>
      </w:tr>
      <w:tr>
        <w:trPr>
          <w:jc w:val="center"/>
        </w:trPr>
        <w:tc>
          <w:tcPr>
            <w:tcW w:w="0" w:type="auto"/>
            <w:vAlign w:val="center"/>
            <w:textDirection w:val="lrTb"/>
            <w:noWrap w:val="false"/>
          </w:tcPr>
          <w:p>
            <w:pPr>
              <w:pStyle w:val="896"/>
              <w:jc w:val="center"/>
              <w:spacing w:line="240" w:lineRule="auto"/>
            </w:pPr>
            <w:r>
              <w:rPr>
                <w:rFonts w:hint="eastAsia"/>
              </w:rPr>
              <w:t xml:space="preserve">一般故障修复时间</w:t>
            </w:r>
            <w:r/>
          </w:p>
        </w:tc>
        <w:tc>
          <w:tcPr>
            <w:tcW w:w="3591" w:type="pct"/>
            <w:vAlign w:val="center"/>
            <w:textDirection w:val="lrTb"/>
            <w:noWrap w:val="false"/>
          </w:tcPr>
          <w:p>
            <w:pPr>
              <w:pStyle w:val="896"/>
              <w:jc w:val="center"/>
              <w:spacing w:line="240" w:lineRule="auto"/>
            </w:pPr>
            <w:r>
              <w:rPr>
                <w:rFonts w:hint="eastAsia"/>
              </w:rPr>
              <w:t xml:space="preserve">4</w:t>
            </w:r>
            <w:r>
              <w:rPr>
                <w:rFonts w:hint="eastAsia"/>
              </w:rPr>
              <w:t xml:space="preserve">小时内修复</w:t>
            </w:r>
            <w:r/>
          </w:p>
        </w:tc>
      </w:tr>
      <w:tr>
        <w:trPr>
          <w:jc w:val="center"/>
        </w:trPr>
        <w:tc>
          <w:tcPr>
            <w:tcW w:w="0" w:type="auto"/>
            <w:vAlign w:val="center"/>
            <w:textDirection w:val="lrTb"/>
            <w:noWrap w:val="false"/>
          </w:tcPr>
          <w:p>
            <w:pPr>
              <w:pStyle w:val="896"/>
              <w:jc w:val="center"/>
              <w:spacing w:line="240" w:lineRule="auto"/>
            </w:pPr>
            <w:r>
              <w:rPr>
                <w:rFonts w:hint="eastAsia"/>
              </w:rPr>
              <w:t xml:space="preserve">重大故障修复时间</w:t>
            </w:r>
            <w:r/>
          </w:p>
        </w:tc>
        <w:tc>
          <w:tcPr>
            <w:tcW w:w="3591" w:type="pct"/>
            <w:vAlign w:val="center"/>
            <w:textDirection w:val="lrTb"/>
            <w:noWrap w:val="false"/>
          </w:tcPr>
          <w:p>
            <w:pPr>
              <w:pStyle w:val="896"/>
              <w:jc w:val="center"/>
              <w:spacing w:line="240" w:lineRule="auto"/>
            </w:pPr>
            <w:r>
              <w:rPr>
                <w:rFonts w:hint="eastAsia"/>
              </w:rPr>
              <w:t xml:space="preserve">24</w:t>
            </w:r>
            <w:r>
              <w:rPr>
                <w:rFonts w:hint="eastAsia"/>
              </w:rPr>
              <w:t xml:space="preserve">小时内修复</w:t>
            </w:r>
            <w:r/>
          </w:p>
        </w:tc>
      </w:tr>
      <w:tr>
        <w:trPr>
          <w:jc w:val="center"/>
        </w:trPr>
        <w:tc>
          <w:tcPr>
            <w:tcW w:w="0" w:type="auto"/>
            <w:vAlign w:val="center"/>
            <w:textDirection w:val="lrTb"/>
            <w:noWrap w:val="false"/>
          </w:tcPr>
          <w:p>
            <w:pPr>
              <w:pStyle w:val="896"/>
              <w:jc w:val="center"/>
              <w:spacing w:line="240" w:lineRule="auto"/>
            </w:pPr>
            <w:r>
              <w:rPr>
                <w:rFonts w:hint="eastAsia"/>
              </w:rPr>
              <w:t xml:space="preserve">备用机提供</w:t>
            </w:r>
            <w:r/>
          </w:p>
        </w:tc>
        <w:tc>
          <w:tcPr>
            <w:tcW w:w="3591" w:type="pct"/>
            <w:vAlign w:val="center"/>
            <w:textDirection w:val="lrTb"/>
            <w:noWrap w:val="false"/>
          </w:tcPr>
          <w:p>
            <w:pPr>
              <w:pStyle w:val="896"/>
              <w:jc w:val="center"/>
              <w:spacing w:line="240" w:lineRule="auto"/>
            </w:pPr>
            <w:r>
              <w:rPr>
                <w:rFonts w:hint="eastAsia"/>
              </w:rPr>
              <w:t xml:space="preserve">若超过修复时限，须提供备用机，确保校方正常用水</w:t>
            </w:r>
            <w:r/>
          </w:p>
        </w:tc>
      </w:tr>
    </w:tbl>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4、巡检与保养</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（1）巡检频率：质保期内每月至少巡检一次；</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（2）巡检内容：设备运行状态、控制系统、物联网功能、水箱、杀菌设备等；</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（3）巡检记录：填写《设备巡检记录单》，由校方签字确认；</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（4）清洁消毒：每学期开展不少于一次净水设备系统清洗消毒服务。</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（5）巡检过程中水质出现异常，供应商须立即更换耗材。</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5、滤芯与耗材更换</w:t>
      </w:r>
      <w:r/>
    </w:p>
    <w:tbl>
      <w:tblPr>
        <w:tblStyle w:val="897"/>
        <w:tblW w:w="5000" w:type="pct"/>
        <w:jc w:val="center"/>
        <w:tblInd w:w="0" w:type="dxa"/>
        <w:tblLook w:val="04A0" w:firstRow="1" w:lastRow="0" w:firstColumn="1" w:lastColumn="0" w:noHBand="0" w:noVBand="1"/>
      </w:tblPr>
      <w:tblGrid>
        <w:gridCol w:w="2503"/>
        <w:gridCol w:w="2882"/>
        <w:gridCol w:w="3439"/>
      </w:tblGrid>
      <w:tr>
        <w:trPr>
          <w:jc w:val="center"/>
        </w:trPr>
        <w:tc>
          <w:tcPr>
            <w:tcW w:w="0" w:type="auto"/>
            <w:vAlign w:val="center"/>
            <w:textDirection w:val="lrTb"/>
            <w:noWrap w:val="false"/>
          </w:tcPr>
          <w:p>
            <w:pPr>
              <w:pStyle w:val="896"/>
              <w:ind w:firstLine="482"/>
              <w:jc w:val="center"/>
              <w:spacing w:line="240" w:lineRule="auto"/>
            </w:pPr>
            <w:r>
              <w:rPr>
                <w:rFonts w:hint="eastAsia"/>
                <w:b/>
                <w:bCs/>
              </w:rPr>
              <w:t xml:space="preserve">耗材类型</w:t>
            </w:r>
            <w:r/>
          </w:p>
        </w:tc>
        <w:tc>
          <w:tcPr>
            <w:tcW w:w="0" w:type="auto"/>
            <w:vAlign w:val="center"/>
            <w:textDirection w:val="lrTb"/>
            <w:noWrap w:val="false"/>
          </w:tcPr>
          <w:p>
            <w:pPr>
              <w:pStyle w:val="896"/>
              <w:ind w:firstLine="482"/>
              <w:jc w:val="center"/>
              <w:spacing w:line="240" w:lineRule="auto"/>
            </w:pPr>
            <w:r>
              <w:rPr>
                <w:rFonts w:hint="eastAsia"/>
                <w:b/>
                <w:bCs/>
              </w:rPr>
              <w:t xml:space="preserve">更换频率</w:t>
            </w:r>
            <w:r/>
          </w:p>
        </w:tc>
        <w:tc>
          <w:tcPr>
            <w:tcW w:w="0" w:type="auto"/>
            <w:vAlign w:val="center"/>
            <w:textDirection w:val="lrTb"/>
            <w:noWrap w:val="false"/>
          </w:tcPr>
          <w:p>
            <w:pPr>
              <w:pStyle w:val="896"/>
              <w:ind w:firstLine="482"/>
              <w:jc w:val="center"/>
              <w:spacing w:line="240" w:lineRule="auto"/>
            </w:pPr>
            <w:r>
              <w:rPr>
                <w:rFonts w:hint="eastAsia"/>
                <w:b/>
                <w:bCs/>
              </w:rPr>
              <w:t xml:space="preserve">备注</w:t>
            </w:r>
            <w:r/>
          </w:p>
        </w:tc>
      </w:tr>
      <w:tr>
        <w:trPr>
          <w:jc w:val="center"/>
        </w:trPr>
        <w:tc>
          <w:tcPr>
            <w:tcW w:w="0" w:type="auto"/>
            <w:vAlign w:val="center"/>
            <w:textDirection w:val="lrTb"/>
            <w:noWrap w:val="false"/>
          </w:tcPr>
          <w:p>
            <w:pPr>
              <w:pStyle w:val="896"/>
              <w:jc w:val="center"/>
              <w:spacing w:line="240" w:lineRule="auto"/>
            </w:pPr>
            <w:r>
              <w:rPr>
                <w:rFonts w:hint="eastAsia"/>
              </w:rPr>
              <w:t xml:space="preserve">PP</w:t>
            </w:r>
            <w:r>
              <w:rPr>
                <w:rFonts w:hint="eastAsia"/>
              </w:rPr>
              <w:t xml:space="preserve">棉滤芯</w:t>
            </w:r>
            <w:r/>
          </w:p>
        </w:tc>
        <w:tc>
          <w:tcPr>
            <w:tcW w:w="0" w:type="auto"/>
            <w:vAlign w:val="center"/>
            <w:textDirection w:val="lrTb"/>
            <w:noWrap w:val="false"/>
          </w:tcPr>
          <w:p>
            <w:pPr>
              <w:pStyle w:val="896"/>
              <w:jc w:val="center"/>
              <w:spacing w:line="240" w:lineRule="auto"/>
            </w:pPr>
            <w:r>
              <w:rPr>
                <w:rFonts w:hint="eastAsia"/>
              </w:rPr>
              <w:t xml:space="preserve">每</w:t>
            </w:r>
            <w:bookmarkStart w:id="218" w:name="OLE_LINK4"/>
            <w:r/>
            <w:bookmarkStart w:id="219" w:name="OLE_LINK5"/>
            <w:r>
              <w:rPr>
                <w:rFonts w:hint="eastAsia"/>
              </w:rPr>
              <w:t xml:space="preserve">3</w:t>
            </w:r>
            <w:r>
              <w:rPr>
                <w:rFonts w:hint="eastAsia"/>
              </w:rPr>
              <w:t xml:space="preserve">个月</w:t>
            </w:r>
            <w:bookmarkEnd w:id="218"/>
            <w:r/>
            <w:bookmarkEnd w:id="219"/>
            <w:r>
              <w:rPr>
                <w:rFonts w:hint="eastAsia"/>
              </w:rPr>
              <w:t xml:space="preserve">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活性炭滤芯</w:t>
            </w:r>
            <w:r/>
          </w:p>
        </w:tc>
        <w:tc>
          <w:tcPr>
            <w:tcW w:w="0" w:type="auto"/>
            <w:vAlign w:val="center"/>
            <w:textDirection w:val="lrTb"/>
            <w:noWrap w:val="false"/>
          </w:tcPr>
          <w:p>
            <w:pPr>
              <w:pStyle w:val="896"/>
              <w:jc w:val="center"/>
              <w:spacing w:line="240" w:lineRule="auto"/>
            </w:pPr>
            <w:r>
              <w:rPr>
                <w:rFonts w:hint="eastAsia"/>
              </w:rPr>
              <w:t xml:space="preserve">每</w:t>
            </w:r>
            <w:r>
              <w:t xml:space="preserve">3</w:t>
            </w:r>
            <w:r>
              <w:rPr>
                <w:rFonts w:hint="eastAsia"/>
              </w:rPr>
              <w:t xml:space="preserve">个月更换一次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RO</w:t>
            </w:r>
            <w:r>
              <w:rPr>
                <w:rFonts w:hint="eastAsia"/>
              </w:rPr>
              <w:t xml:space="preserve">反渗透膜滤芯</w:t>
            </w:r>
            <w:r/>
          </w:p>
        </w:tc>
        <w:tc>
          <w:tcPr>
            <w:tcW w:w="0" w:type="auto"/>
            <w:vAlign w:val="center"/>
            <w:textDirection w:val="lrTb"/>
            <w:noWrap w:val="false"/>
          </w:tcPr>
          <w:p>
            <w:pPr>
              <w:pStyle w:val="896"/>
              <w:jc w:val="center"/>
              <w:spacing w:line="240" w:lineRule="auto"/>
            </w:pPr>
            <w:r>
              <w:rPr>
                <w:rFonts w:hint="eastAsia"/>
              </w:rPr>
              <w:t xml:space="preserve">每年更换一次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紫外线杀菌器</w:t>
            </w:r>
            <w:r/>
          </w:p>
        </w:tc>
        <w:tc>
          <w:tcPr>
            <w:tcW w:w="0" w:type="auto"/>
            <w:vAlign w:val="center"/>
            <w:textDirection w:val="lrTb"/>
            <w:noWrap w:val="false"/>
          </w:tcPr>
          <w:p>
            <w:pPr>
              <w:pStyle w:val="896"/>
              <w:jc w:val="center"/>
              <w:spacing w:line="240" w:lineRule="auto"/>
            </w:pPr>
            <w:r>
              <w:rPr>
                <w:rFonts w:hint="eastAsia"/>
              </w:rPr>
              <w:t xml:space="preserve">按实际使用寿命更换</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bl>
    <w:p>
      <w:pPr>
        <w:pStyle w:val="886"/>
        <w:ind w:firstLine="480"/>
        <w:spacing w:beforeAutospacing="0" w:afterAutospacing="0" w:line="360" w:lineRule="auto"/>
        <w:rPr>
          <w:rFonts w:ascii="宋体" w:hAnsi="宋体" w:eastAsia="宋体" w:cs="宋体"/>
        </w:rPr>
      </w:pPr>
      <w:r/>
      <w:bookmarkStart w:id="220" w:name="OLE_LINK14"/>
      <w:r/>
      <w:bookmarkStart w:id="221" w:name="OLE_LINK15"/>
      <w:r>
        <w:rPr>
          <w:rFonts w:hint="eastAsia" w:ascii="宋体" w:hAnsi="宋体" w:eastAsia="宋体" w:cs="宋体"/>
        </w:rPr>
        <w:t xml:space="preserve">（1）当第三方检测报告中任一项指标不合格，或在线监测的溶解性总固体（TDS）值持续高于50mg/L并经验证确认后，供应商须无条件排查原因并更换相关滤芯/耗材；</w:t>
      </w:r>
      <w:r>
        <w:rPr>
          <w:rFonts w:ascii="宋体" w:hAnsi="宋体" w:eastAsia="宋体" w:cs="宋体"/>
        </w:rPr>
        <w:t xml:space="preserve"> </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（2）滤芯与耗材更换前须向学校提供更换产品中活性炭、PP棉、反渗透膜等涉水部件的《涉及饮用水卫生安全产品卫生许可批件》；</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bookmarkStart w:id="222" w:name="OLE_LINK21"/>
      <w:r/>
      <w:bookmarkStart w:id="223" w:name="OLE_LINK22"/>
      <w:r>
        <w:rPr>
          <w:rFonts w:hint="eastAsia" w:ascii="宋体" w:hAnsi="宋体" w:eastAsia="宋体" w:cs="宋体"/>
        </w:rPr>
        <w:t xml:space="preserve">滤芯更换前后须填写《</w:t>
      </w:r>
      <w:bookmarkStart w:id="224" w:name="OLE_LINK12"/>
      <w:r/>
      <w:bookmarkStart w:id="225" w:name="OLE_LINK13"/>
      <w:r>
        <w:rPr>
          <w:rFonts w:hint="eastAsia" w:ascii="宋体" w:hAnsi="宋体" w:eastAsia="宋体" w:cs="宋体"/>
        </w:rPr>
        <w:t xml:space="preserve">维保服务</w:t>
      </w:r>
      <w:bookmarkStart w:id="226" w:name="OLE_LINK7"/>
      <w:r/>
      <w:bookmarkStart w:id="227" w:name="OLE_LINK8"/>
      <w:r>
        <w:rPr>
          <w:rFonts w:hint="eastAsia" w:ascii="宋体" w:hAnsi="宋体" w:eastAsia="宋体" w:cs="宋体"/>
        </w:rPr>
        <w:t xml:space="preserve">记录卡</w:t>
      </w:r>
      <w:bookmarkEnd w:id="224"/>
      <w:r/>
      <w:bookmarkEnd w:id="225"/>
      <w:r/>
      <w:bookmarkEnd w:id="226"/>
      <w:r/>
      <w:bookmarkEnd w:id="227"/>
      <w:r>
        <w:rPr>
          <w:rFonts w:hint="eastAsia" w:ascii="宋体" w:hAnsi="宋体" w:eastAsia="宋体" w:cs="宋体"/>
        </w:rPr>
        <w:t xml:space="preserve">》，</w:t>
      </w:r>
      <w:r>
        <w:rPr>
          <w:rFonts w:hint="eastAsia" w:ascii="宋体" w:hAnsi="宋体" w:eastAsia="宋体" w:cs="宋体"/>
        </w:rPr>
        <w:t xml:space="preserve">维保服务</w:t>
      </w:r>
      <w:r>
        <w:rPr>
          <w:rFonts w:hint="eastAsia" w:ascii="宋体" w:hAnsi="宋体" w:eastAsia="宋体" w:cs="宋体"/>
        </w:rPr>
        <w:t xml:space="preserve">记录卡上须</w:t>
      </w:r>
      <w:r>
        <w:rPr>
          <w:rFonts w:hint="eastAsia" w:ascii="宋体" w:hAnsi="宋体" w:eastAsia="宋体" w:cs="宋体"/>
        </w:rPr>
        <w:t xml:space="preserve">标注维保日期</w:t>
      </w:r>
      <w:r>
        <w:rPr>
          <w:rFonts w:hint="eastAsia" w:ascii="宋体" w:hAnsi="宋体" w:eastAsia="宋体" w:cs="宋体"/>
        </w:rPr>
        <w:t xml:space="preserve">、</w:t>
      </w:r>
      <w:r>
        <w:rPr>
          <w:rFonts w:hint="eastAsia" w:ascii="宋体" w:hAnsi="宋体" w:eastAsia="宋体" w:cs="宋体"/>
        </w:rPr>
        <w:t xml:space="preserve">维保内容</w:t>
      </w:r>
      <w:r>
        <w:rPr>
          <w:rFonts w:hint="eastAsia" w:ascii="宋体" w:hAnsi="宋体" w:eastAsia="宋体" w:cs="宋体"/>
        </w:rPr>
        <w:t xml:space="preserve">、TDS检测值、更换滤芯类型、维保人员、学校确认签字等</w:t>
      </w:r>
      <w:bookmarkEnd w:id="220"/>
      <w:r/>
      <w:bookmarkEnd w:id="221"/>
      <w:r/>
      <w:bookmarkEnd w:id="222"/>
      <w:r/>
      <w:bookmarkEnd w:id="223"/>
      <w:r>
        <w:rPr>
          <w:rFonts w:hint="eastAsia" w:ascii="宋体" w:hAnsi="宋体" w:eastAsia="宋体" w:cs="宋体"/>
        </w:rPr>
        <w:t xml:space="preserve">。</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w:t>
      </w:r>
      <w:r>
        <w:rPr>
          <w:rFonts w:hint="eastAsia"/>
        </w:rPr>
        <w:t xml:space="preserve">从业人员要求</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（1）维修维保人员须持水处理或净水工程服务相关资质证上岗；</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（2）固定安排1名项目负责人负责本项目全面管理，供应商不得随意更换，如需更换须得到采购方认可。</w:t>
      </w:r>
      <w:r/>
    </w:p>
    <w:p>
      <w:pPr>
        <w:pStyle w:val="886"/>
        <w:ind w:firstLine="480"/>
        <w:jc w:val="both"/>
        <w:spacing w:beforeAutospacing="0" w:afterAutospacing="0" w:line="360" w:lineRule="auto"/>
      </w:pPr>
      <w:r>
        <w:rPr>
          <w:rFonts w:hint="eastAsia" w:ascii="宋体" w:hAnsi="宋体" w:eastAsia="宋体" w:cs="宋体"/>
        </w:rPr>
        <w:t xml:space="preserve">7、</w:t>
      </w:r>
      <w:r>
        <w:rPr>
          <w:rFonts w:hint="eastAsia"/>
        </w:rPr>
        <w:t xml:space="preserve">水质检测</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（1）检测标准：依据《生活饮用水卫生标准》（GB 5749-2022）进行判定，检测方法采用现行有效的《生活饮用水标准检验方法》（GB/T 5750-2023）系列标准；</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（2）检测频率：每学期开学前提供</w:t>
      </w:r>
      <w:r>
        <w:rPr>
          <w:rFonts w:hint="eastAsia" w:ascii="宋体" w:hAnsi="宋体" w:eastAsia="宋体" w:cs="宋体"/>
        </w:rPr>
        <w:t xml:space="preserve">一</w:t>
      </w:r>
      <w:r>
        <w:rPr>
          <w:rFonts w:hint="eastAsia" w:ascii="宋体" w:hAnsi="宋体" w:eastAsia="宋体" w:cs="宋体"/>
        </w:rPr>
        <w:t xml:space="preserve">次第三方水质检测报告，检测费由供应商承担；</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（3）检测项目：总大肠菌群、菌落总数、色度、浑浊度、</w:t>
      </w:r>
      <w:bookmarkStart w:id="228" w:name="OLE_LINK6"/>
      <w:r>
        <w:rPr>
          <w:rFonts w:hint="eastAsia" w:ascii="宋体" w:hAnsi="宋体" w:eastAsia="宋体" w:cs="宋体"/>
        </w:rPr>
        <w:t xml:space="preserve">臭和</w:t>
      </w:r>
      <w:r>
        <w:rPr>
          <w:rFonts w:hint="eastAsia" w:ascii="宋体" w:hAnsi="宋体" w:eastAsia="宋体" w:cs="宋体"/>
        </w:rPr>
        <w:t xml:space="preserve">味</w:t>
      </w:r>
      <w:bookmarkEnd w:id="228"/>
      <w:r>
        <w:rPr>
          <w:rFonts w:hint="eastAsia" w:ascii="宋体" w:hAnsi="宋体" w:eastAsia="宋体" w:cs="宋体"/>
        </w:rPr>
        <w:t xml:space="preserve">、</w:t>
      </w:r>
      <w:r>
        <w:rPr>
          <w:rFonts w:hint="eastAsia" w:ascii="宋体" w:hAnsi="宋体" w:eastAsia="宋体" w:cs="宋体"/>
        </w:rPr>
        <w:t xml:space="preserve">肉眼可见物、pH值、锰、铜、锌、高锰酸盐指数（以O₂计）、氯化物、硫酸盐；</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（4）不合格处理：立即停用，24小时内修复，复检合格后方可使用，复检费用由供应商</w:t>
      </w:r>
      <w:bookmarkStart w:id="229" w:name="OLE_LINK2"/>
      <w:r/>
      <w:bookmarkStart w:id="230" w:name="OLE_LINK3"/>
      <w:r>
        <w:rPr>
          <w:rFonts w:hint="eastAsia" w:ascii="宋体" w:hAnsi="宋体" w:eastAsia="宋体" w:cs="宋体"/>
        </w:rPr>
        <w:t xml:space="preserve">承担</w:t>
      </w:r>
      <w:bookmarkEnd w:id="229"/>
      <w:r/>
      <w:bookmarkEnd w:id="230"/>
      <w:r>
        <w:rPr>
          <w:rFonts w:hint="eastAsia" w:ascii="宋体" w:hAnsi="宋体" w:eastAsia="宋体" w:cs="宋体"/>
        </w:rPr>
        <w:t xml:space="preserve">。</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 </w:t>
      </w:r>
      <w:r>
        <w:rPr>
          <w:rFonts w:hint="eastAsia" w:ascii="宋体" w:hAnsi="宋体" w:eastAsia="宋体" w:cs="宋体"/>
        </w:rPr>
        <w:t xml:space="preserve">违约与处罚</w:t>
      </w:r>
      <w:r/>
    </w:p>
    <w:tbl>
      <w:tblPr>
        <w:tblStyle w:val="897"/>
        <w:tblW w:w="5000" w:type="pct"/>
        <w:jc w:val="center"/>
        <w:tblInd w:w="0" w:type="dxa"/>
        <w:tblLook w:val="04A0" w:firstRow="1" w:lastRow="0" w:firstColumn="1" w:lastColumn="0" w:noHBand="0" w:noVBand="1"/>
      </w:tblPr>
      <w:tblGrid>
        <w:gridCol w:w="3988"/>
        <w:gridCol w:w="4836"/>
      </w:tblGrid>
      <w:tr>
        <w:trPr>
          <w:jc w:val="center"/>
        </w:trPr>
        <w:tc>
          <w:tcPr>
            <w:tcW w:w="2260" w:type="pct"/>
            <w:vAlign w:val="center"/>
            <w:textDirection w:val="lrTb"/>
            <w:noWrap w:val="false"/>
          </w:tcPr>
          <w:p>
            <w:pPr>
              <w:pStyle w:val="896"/>
              <w:ind w:firstLine="482"/>
              <w:jc w:val="center"/>
              <w:spacing w:line="240" w:lineRule="auto"/>
            </w:pPr>
            <w:r>
              <w:rPr>
                <w:rFonts w:hint="eastAsia"/>
                <w:b/>
                <w:bCs/>
              </w:rPr>
              <w:t xml:space="preserve">违约情形</w:t>
            </w:r>
            <w:r/>
          </w:p>
        </w:tc>
        <w:tc>
          <w:tcPr>
            <w:tcW w:w="2740" w:type="pct"/>
            <w:vAlign w:val="center"/>
            <w:textDirection w:val="lrTb"/>
            <w:noWrap w:val="false"/>
          </w:tcPr>
          <w:p>
            <w:pPr>
              <w:pStyle w:val="896"/>
              <w:ind w:firstLine="482"/>
              <w:jc w:val="center"/>
              <w:spacing w:line="240" w:lineRule="auto"/>
            </w:pPr>
            <w:r>
              <w:rPr>
                <w:rFonts w:hint="eastAsia"/>
                <w:b/>
                <w:bCs/>
              </w:rPr>
              <w:t xml:space="preserve">处罚措施</w:t>
            </w:r>
            <w:r/>
          </w:p>
        </w:tc>
      </w:tr>
      <w:tr>
        <w:trPr>
          <w:jc w:val="center"/>
        </w:trPr>
        <w:tc>
          <w:tcPr>
            <w:tcW w:w="2260" w:type="pct"/>
            <w:vAlign w:val="center"/>
            <w:textDirection w:val="lrTb"/>
            <w:noWrap w:val="false"/>
          </w:tcPr>
          <w:p>
            <w:pPr>
              <w:pStyle w:val="896"/>
              <w:jc w:val="center"/>
              <w:spacing w:line="240" w:lineRule="auto"/>
            </w:pPr>
            <w:r>
              <w:rPr>
                <w:rFonts w:hint="eastAsia"/>
              </w:rPr>
              <w:t xml:space="preserve">响应超时（</w:t>
            </w:r>
            <w:r>
              <w:rPr>
                <w:rFonts w:hint="eastAsia"/>
              </w:rPr>
              <w:t xml:space="preserve">30</w:t>
            </w:r>
            <w:r>
              <w:rPr>
                <w:rFonts w:hint="eastAsia"/>
              </w:rPr>
              <w:t xml:space="preserve">分钟）</w:t>
            </w:r>
            <w:r/>
          </w:p>
        </w:tc>
        <w:tc>
          <w:tcPr>
            <w:tcW w:w="274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500</w:t>
            </w:r>
            <w:r>
              <w:rPr>
                <w:rFonts w:hint="eastAsia"/>
              </w:rPr>
              <w:t xml:space="preserve">元</w:t>
            </w:r>
            <w:r/>
          </w:p>
        </w:tc>
      </w:tr>
      <w:tr>
        <w:trPr>
          <w:jc w:val="center"/>
        </w:trPr>
        <w:tc>
          <w:tcPr>
            <w:tcW w:w="2260" w:type="pct"/>
            <w:vAlign w:val="center"/>
            <w:textDirection w:val="lrTb"/>
            <w:noWrap w:val="false"/>
          </w:tcPr>
          <w:p>
            <w:pPr>
              <w:pStyle w:val="896"/>
              <w:jc w:val="center"/>
              <w:spacing w:line="240" w:lineRule="auto"/>
            </w:pPr>
            <w:r>
              <w:rPr>
                <w:rFonts w:hint="eastAsia"/>
              </w:rPr>
              <w:t xml:space="preserve">到达现场超时（</w:t>
            </w:r>
            <w:r>
              <w:rPr>
                <w:rFonts w:hint="eastAsia"/>
              </w:rPr>
              <w:t xml:space="preserve">1</w:t>
            </w:r>
            <w:r>
              <w:rPr>
                <w:rFonts w:hint="eastAsia"/>
              </w:rPr>
              <w:t xml:space="preserve">小时）</w:t>
            </w:r>
            <w:r/>
          </w:p>
        </w:tc>
        <w:tc>
          <w:tcPr>
            <w:tcW w:w="274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1000</w:t>
            </w:r>
            <w:r>
              <w:rPr>
                <w:rFonts w:hint="eastAsia"/>
              </w:rPr>
              <w:t xml:space="preserve">元</w:t>
            </w:r>
            <w:r/>
          </w:p>
        </w:tc>
      </w:tr>
      <w:tr>
        <w:trPr>
          <w:jc w:val="center"/>
        </w:trPr>
        <w:tc>
          <w:tcPr>
            <w:tcW w:w="2260" w:type="pct"/>
            <w:vAlign w:val="center"/>
            <w:textDirection w:val="lrTb"/>
            <w:noWrap w:val="false"/>
          </w:tcPr>
          <w:p>
            <w:pPr>
              <w:pStyle w:val="896"/>
              <w:jc w:val="center"/>
              <w:spacing w:line="240" w:lineRule="auto"/>
            </w:pPr>
            <w:r>
              <w:rPr>
                <w:rFonts w:hint="eastAsia"/>
              </w:rPr>
              <w:t xml:space="preserve">修复超时（一般故障</w:t>
            </w:r>
            <w:r>
              <w:rPr>
                <w:rFonts w:hint="eastAsia"/>
              </w:rPr>
              <w:t xml:space="preserve">4</w:t>
            </w:r>
            <w:r>
              <w:rPr>
                <w:rFonts w:hint="eastAsia"/>
              </w:rPr>
              <w:t xml:space="preserve">小时</w:t>
            </w:r>
            <w:r>
              <w:rPr>
                <w:rFonts w:hint="eastAsia"/>
              </w:rPr>
              <w:t xml:space="preserve">/</w:t>
            </w:r>
            <w:r>
              <w:rPr>
                <w:rFonts w:hint="eastAsia"/>
              </w:rPr>
              <w:t xml:space="preserve">重大故障</w:t>
            </w:r>
            <w:r>
              <w:rPr>
                <w:rFonts w:hint="eastAsia"/>
              </w:rPr>
              <w:t xml:space="preserve">24</w:t>
            </w:r>
            <w:r>
              <w:rPr>
                <w:rFonts w:hint="eastAsia"/>
              </w:rPr>
              <w:t xml:space="preserve">小时）</w:t>
            </w:r>
            <w:r/>
          </w:p>
        </w:tc>
        <w:tc>
          <w:tcPr>
            <w:tcW w:w="274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2000</w:t>
            </w:r>
            <w:r>
              <w:rPr>
                <w:rFonts w:hint="eastAsia"/>
              </w:rPr>
              <w:t xml:space="preserve">元，并免费提供备用机</w:t>
            </w:r>
            <w:r/>
          </w:p>
        </w:tc>
      </w:tr>
      <w:tr>
        <w:trPr>
          <w:jc w:val="center"/>
        </w:trPr>
        <w:tc>
          <w:tcPr>
            <w:tcW w:w="2260" w:type="pct"/>
            <w:vAlign w:val="center"/>
            <w:textDirection w:val="lrTb"/>
            <w:noWrap w:val="false"/>
          </w:tcPr>
          <w:p>
            <w:pPr>
              <w:pStyle w:val="896"/>
              <w:jc w:val="center"/>
              <w:spacing w:line="240" w:lineRule="auto"/>
            </w:pPr>
            <w:r>
              <w:rPr>
                <w:rFonts w:hint="eastAsia"/>
              </w:rPr>
              <w:t xml:space="preserve">未按时巡检或更换滤芯</w:t>
            </w:r>
            <w:r/>
          </w:p>
        </w:tc>
        <w:tc>
          <w:tcPr>
            <w:tcW w:w="274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2000</w:t>
            </w:r>
            <w:r>
              <w:rPr>
                <w:rFonts w:hint="eastAsia"/>
              </w:rPr>
              <w:t xml:space="preserve">元</w:t>
            </w:r>
            <w:r/>
          </w:p>
        </w:tc>
      </w:tr>
      <w:tr>
        <w:trPr>
          <w:jc w:val="center"/>
        </w:trPr>
        <w:tc>
          <w:tcPr>
            <w:tcW w:w="2260" w:type="pct"/>
            <w:vAlign w:val="center"/>
            <w:textDirection w:val="lrTb"/>
            <w:noWrap w:val="false"/>
          </w:tcPr>
          <w:p>
            <w:pPr>
              <w:pStyle w:val="896"/>
              <w:jc w:val="center"/>
              <w:spacing w:line="240" w:lineRule="auto"/>
            </w:pPr>
            <w:r>
              <w:rPr>
                <w:rFonts w:hint="eastAsia"/>
              </w:rPr>
              <w:t xml:space="preserve">水质检测不合格未及时处理</w:t>
            </w:r>
            <w:r/>
          </w:p>
        </w:tc>
        <w:tc>
          <w:tcPr>
            <w:tcW w:w="274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5000</w:t>
            </w:r>
            <w:r>
              <w:rPr>
                <w:rFonts w:hint="eastAsia"/>
              </w:rPr>
              <w:t xml:space="preserve">元，并承担相应责任</w:t>
            </w:r>
            <w:r/>
          </w:p>
        </w:tc>
      </w:tr>
      <w:tr>
        <w:trPr>
          <w:jc w:val="center"/>
        </w:trPr>
        <w:tc>
          <w:tcPr>
            <w:tcW w:w="2260" w:type="pct"/>
            <w:vAlign w:val="center"/>
            <w:textDirection w:val="lrTb"/>
            <w:noWrap w:val="false"/>
          </w:tcPr>
          <w:p>
            <w:pPr>
              <w:pStyle w:val="896"/>
              <w:jc w:val="center"/>
              <w:spacing w:line="240" w:lineRule="auto"/>
            </w:pPr>
            <w:r>
              <w:rPr>
                <w:rFonts w:hint="eastAsia"/>
              </w:rPr>
              <w:t xml:space="preserve">提供虚假报告或记录</w:t>
            </w:r>
            <w:r/>
          </w:p>
        </w:tc>
        <w:tc>
          <w:tcPr>
            <w:tcW w:w="2740" w:type="pct"/>
            <w:vAlign w:val="center"/>
            <w:textDirection w:val="lrTb"/>
            <w:noWrap w:val="false"/>
          </w:tcPr>
          <w:p>
            <w:pPr>
              <w:pStyle w:val="896"/>
              <w:jc w:val="center"/>
              <w:spacing w:line="240" w:lineRule="auto"/>
            </w:pPr>
            <w:r>
              <w:rPr>
                <w:rFonts w:hint="eastAsia"/>
              </w:rPr>
              <w:t xml:space="preserve">终止合同并追究法律责任</w:t>
            </w:r>
            <w:r/>
          </w:p>
        </w:tc>
      </w:tr>
    </w:tbl>
    <w:p>
      <w:pPr>
        <w:pStyle w:val="886"/>
        <w:ind w:firstLine="562"/>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五、</w:t>
      </w:r>
      <w:r>
        <w:rPr>
          <w:rFonts w:hint="eastAsia" w:ascii="宋体" w:hAnsi="宋体" w:eastAsia="宋体" w:cs="宋体"/>
          <w:b/>
          <w:sz w:val="28"/>
          <w:szCs w:val="28"/>
        </w:rPr>
        <w:t xml:space="preserve">设备</w:t>
      </w:r>
      <w:r>
        <w:rPr>
          <w:rFonts w:hint="eastAsia" w:ascii="宋体" w:hAnsi="宋体" w:eastAsia="宋体" w:cs="宋体"/>
          <w:b/>
          <w:sz w:val="28"/>
          <w:szCs w:val="28"/>
        </w:rPr>
        <w:t xml:space="preserve">验收要求</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1、验收程序：供应商自检→采购人/校方初验→第三方水质检测→最终验收</w:t>
      </w:r>
      <w:r/>
    </w:p>
    <w:p>
      <w:pPr>
        <w:pStyle w:val="886"/>
        <w:ind w:firstLine="480"/>
        <w:jc w:val="both"/>
        <w:spacing w:beforeAutospacing="0" w:afterAutospacing="0" w:line="360" w:lineRule="auto"/>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、验收时须提供具备资质的第三方检测机构出具的水质检测合格报告。</w:t>
      </w:r>
      <w:r/>
    </w:p>
    <w:p>
      <w:pPr>
        <w:pStyle w:val="886"/>
        <w:ind w:firstLine="480"/>
        <w:jc w:val="both"/>
        <w:spacing w:beforeAutospacing="0" w:afterAutospacing="0"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竣工资料成册：包含施工方案、设备材料进场验收记录、设备安装调试记录、设备使用说明书、合格证、卫生许可批件等。</w:t>
      </w:r>
      <w:r/>
    </w:p>
    <w:p>
      <w:pPr>
        <w:pStyle w:val="886"/>
        <w:ind w:firstLine="562"/>
        <w:jc w:val="both"/>
        <w:spacing w:beforeAutospacing="0" w:afterAutospacing="0"/>
        <w:rPr>
          <w:rFonts w:ascii="宋体" w:hAnsi="宋体" w:cs="宋体"/>
          <w:b/>
          <w:color w:val="000000"/>
          <w:sz w:val="28"/>
          <w:szCs w:val="28"/>
        </w:rPr>
      </w:pPr>
      <w:r>
        <w:rPr>
          <w:rFonts w:hint="eastAsia" w:ascii="宋体" w:hAnsi="宋体" w:eastAsia="宋体" w:cs="宋体"/>
          <w:b/>
          <w:sz w:val="28"/>
          <w:szCs w:val="28"/>
        </w:rPr>
        <w:t xml:space="preserve">六、</w:t>
      </w:r>
      <w:bookmarkStart w:id="231" w:name="_Hlk215578329"/>
      <w:r>
        <w:rPr>
          <w:rFonts w:hint="eastAsia" w:ascii="宋体" w:hAnsi="宋体" w:cs="宋体"/>
          <w:b/>
          <w:color w:val="000000"/>
          <w:sz w:val="28"/>
          <w:szCs w:val="28"/>
        </w:rPr>
        <w:t xml:space="preserve">合同履约期限</w:t>
      </w:r>
      <w:bookmarkEnd w:id="231"/>
      <w:r>
        <w:rPr>
          <w:rFonts w:hint="eastAsia" w:ascii="宋体" w:hAnsi="宋体" w:cs="宋体"/>
          <w:b/>
          <w:color w:val="000000"/>
          <w:sz w:val="28"/>
          <w:szCs w:val="28"/>
        </w:rPr>
        <w:t xml:space="preserve">和地点：</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bookmarkStart w:id="232" w:name="OLE_LINK85"/>
      <w:r/>
      <w:bookmarkStart w:id="233" w:name="OLE_LINK86"/>
      <w:r>
        <w:rPr>
          <w:rFonts w:hint="eastAsia" w:ascii="宋体" w:hAnsi="宋体" w:eastAsia="宋体" w:cs="宋体"/>
        </w:rPr>
        <w:t xml:space="preserve">合同履约期限：签订合同后60天内完成供货、安装调试完毕并通过设备验收和水质检测，交付学校正常使用。</w:t>
      </w:r>
      <w:bookmarkEnd w:id="232"/>
      <w:r/>
      <w:bookmarkEnd w:id="233"/>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2、地点：各学校指定适合安装场地。</w:t>
      </w:r>
      <w:bookmarkEnd w:id="210"/>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七、</w:t>
      </w:r>
      <w:bookmarkStart w:id="234" w:name="OLE_LINK87"/>
      <w:r/>
      <w:bookmarkStart w:id="235" w:name="OLE_LINK88"/>
      <w:r>
        <w:rPr>
          <w:rFonts w:hint="eastAsia" w:ascii="宋体" w:hAnsi="宋体" w:eastAsia="宋体" w:cs="宋体"/>
          <w:b/>
          <w:sz w:val="28"/>
          <w:szCs w:val="28"/>
        </w:rPr>
        <w:t xml:space="preserve">付款方式</w:t>
      </w:r>
      <w:r/>
    </w:p>
    <w:p>
      <w:pPr>
        <w:ind w:firstLine="480"/>
        <w:jc w:val="left"/>
        <w:spacing w:line="360" w:lineRule="auto"/>
        <w:rPr>
          <w:rFonts w:ascii="宋体" w:hAnsi="宋体" w:cs="宋体"/>
          <w:bCs/>
          <w:color w:val="000000"/>
          <w:sz w:val="24"/>
        </w:rPr>
      </w:pPr>
      <w:r/>
      <w:bookmarkStart w:id="236" w:name="OLE_LINK9"/>
      <w:r/>
      <w:bookmarkStart w:id="237" w:name="OLE_LINK11"/>
      <w:r>
        <w:rPr>
          <w:rFonts w:hint="eastAsia" w:ascii="宋体" w:hAnsi="宋体" w:cs="宋体"/>
          <w:bCs/>
          <w:color w:val="000000"/>
          <w:sz w:val="24"/>
        </w:rPr>
        <w:t xml:space="preserve">1、本项目落实预付款制度，预付款比例为30%，合同签订后，采购人在收到发票后10个工作日内将预付款支付到合同约定的</w:t>
      </w:r>
      <w:bookmarkStart w:id="238" w:name="OLE_LINK16"/>
      <w:r>
        <w:rPr>
          <w:rFonts w:hint="eastAsia" w:ascii="宋体" w:hAnsi="宋体" w:cs="宋体"/>
          <w:bCs/>
          <w:color w:val="000000"/>
          <w:sz w:val="24"/>
        </w:rPr>
        <w:t xml:space="preserve">供应商</w:t>
      </w:r>
      <w:bookmarkEnd w:id="238"/>
      <w:r>
        <w:rPr>
          <w:rFonts w:hint="eastAsia" w:ascii="宋体" w:hAnsi="宋体" w:cs="宋体"/>
          <w:bCs/>
          <w:color w:val="000000"/>
          <w:sz w:val="24"/>
        </w:rPr>
        <w:t xml:space="preserve">账户（供应商须提供合同总价30%的即兑即付预付款银行保函）。在签订合同时，供应商书面明确表示无需预付款或者主动要求降低预付款比例的，采购人可不适用前述规定。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2、按采购人要求将货物送到指定地点并完成安装、调试，经采购人验收合格后凭发票付至</w:t>
      </w:r>
      <w:bookmarkStart w:id="239" w:name="_Hlk229321311"/>
      <w:r>
        <w:rPr>
          <w:rFonts w:hint="eastAsia" w:ascii="宋体" w:hAnsi="宋体" w:cs="宋体"/>
          <w:bCs/>
          <w:color w:val="000000"/>
          <w:sz w:val="24"/>
        </w:rPr>
        <w:t xml:space="preserve">合同金额的</w:t>
      </w:r>
      <w:bookmarkEnd w:id="239"/>
      <w:r>
        <w:rPr>
          <w:rFonts w:hint="eastAsia" w:ascii="宋体" w:hAnsi="宋体" w:cs="宋体"/>
          <w:bCs/>
          <w:color w:val="000000"/>
          <w:sz w:val="24"/>
        </w:rPr>
        <w:t xml:space="preserve">50%，验收合格满一年后付至合同金额的60%，满二年后付至合同金额的70%，满三年后付至合同金额的80%，余款在验收合格满五年后付清剩余费用。</w:t>
      </w:r>
      <w:bookmarkEnd w:id="211"/>
      <w:r/>
      <w:bookmarkEnd w:id="212"/>
      <w:r/>
      <w:bookmarkEnd w:id="234"/>
      <w:r/>
      <w:bookmarkEnd w:id="235"/>
      <w:r/>
      <w:bookmarkEnd w:id="236"/>
      <w:r/>
      <w:bookmarkEnd w:id="237"/>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八、质量保证</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1、供应商须明确所投设备的生产厂家、品牌、型号或规格等。</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、供应商应保证货物是全新、未使用过的原厂合格产品，并实质性响应谈判文件的要求。验收过程中发现产品不符合上述要求的，将视作不合格产品，采购人有权终止合同，造成的一切损失由中标人承担。 </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、供应商应保证提供的产品不得侵犯第三方专利权、商标权和设计权、版权等。否则，供应商应负全部责任，并承担由此引起的一切后果。</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、供应商应保证其货物在正确安装、正常使用下，在其使用寿命期内应具有满意的性能。</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、供应商应采取必要的安全措施保证货物的运输及安装的安全，并承担货物的运输及安装过程中产生的风险。</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、所报价的产品的各项技术标准应当符合国家现行相关生产标准、规范及谈判文件的要求。</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、供货时必须随产品提供出厂材料，包括但不限于检验报告（复印件）、产品合格证（原件）以及设备的测试、运行、保养手册。</w:t>
      </w:r>
      <w:r/>
    </w:p>
    <w:p>
      <w:pPr>
        <w:pStyle w:val="886"/>
        <w:ind w:firstLine="480"/>
        <w:spacing w:beforeAutospacing="0" w:afterAutospacing="0" w:line="360" w:lineRule="auto"/>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、采购人将邀请专业人员，对设备进行全面检查，发现使用不符合要求的配件，无条件更换，并没收履约保证金或进行处罚。</w:t>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九、售后服务</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、供应商应充分保证售后服务点维修所需的备件供应。更换的备件的型号和规格应与被更换的完全一样或更优。</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供应商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十、技术方案</w:t>
      </w:r>
      <w:r/>
    </w:p>
    <w:p>
      <w:pPr>
        <w:ind w:firstLine="480"/>
        <w:spacing w:line="360" w:lineRule="auto"/>
        <w:rPr>
          <w:rFonts w:ascii="宋体" w:hAnsi="宋体"/>
          <w:sz w:val="24"/>
        </w:rPr>
      </w:pPr>
      <w:r>
        <w:rPr>
          <w:rFonts w:hint="eastAsia" w:ascii="宋体" w:hAnsi="宋体"/>
          <w:sz w:val="24"/>
        </w:rPr>
        <w:t xml:space="preserve">10.1项目实施方案：</w:t>
      </w:r>
      <w:r/>
    </w:p>
    <w:p>
      <w:pPr>
        <w:ind w:firstLine="480"/>
        <w:spacing w:line="360" w:lineRule="auto"/>
        <w:rPr>
          <w:rFonts w:ascii="宋体" w:hAnsi="宋体"/>
          <w:sz w:val="24"/>
        </w:rPr>
      </w:pPr>
      <w:r>
        <w:rPr>
          <w:rFonts w:hint="eastAsia" w:ascii="宋体" w:hAnsi="宋体" w:eastAsia="宋体" w:cs="宋体"/>
          <w:color w:val="000000" w:themeColor="text1"/>
          <w:szCs w:val="21"/>
          <w:lang w:val="zh-CN"/>
        </w:rPr>
        <w:t xml:space="preserve">①</w:t>
      </w:r>
      <w:r>
        <w:rPr>
          <w:rFonts w:hint="eastAsia" w:ascii="宋体" w:hAnsi="宋体"/>
          <w:sz w:val="24"/>
        </w:rPr>
        <w:t xml:space="preserve">实施进度计划：</w:t>
      </w:r>
      <w:r/>
    </w:p>
    <w:p>
      <w:pPr>
        <w:ind w:firstLine="420"/>
        <w:spacing w:line="336" w:lineRule="auto"/>
        <w:rPr>
          <w:rFonts w:ascii="宋体" w:hAnsi="宋体"/>
          <w:sz w:val="24"/>
        </w:rPr>
      </w:pPr>
      <w:r>
        <w:rPr>
          <w:rFonts w:hint="eastAsia" w:ascii="宋体" w:hAnsi="宋体"/>
          <w:sz w:val="24"/>
        </w:rPr>
        <w:t xml:space="preserve">投标单位需制定详细的项目实施时间表，明确各阶段工作内容及时间节点。项目整体周期不超过60天，从合同签订之日起计算。</w:t>
      </w:r>
      <w:r/>
    </w:p>
    <w:p>
      <w:pPr>
        <w:ind w:firstLine="480"/>
        <w:spacing w:line="360" w:lineRule="auto"/>
        <w:rPr>
          <w:rFonts w:ascii="宋体" w:hAnsi="宋体"/>
          <w:sz w:val="24"/>
        </w:rPr>
      </w:pPr>
      <w:r>
        <w:rPr>
          <w:rFonts w:hint="eastAsia" w:ascii="宋体" w:hAnsi="宋体"/>
          <w:sz w:val="24"/>
        </w:rPr>
        <w:t xml:space="preserve">②供货方案：</w:t>
      </w:r>
      <w:r/>
    </w:p>
    <w:p>
      <w:pPr>
        <w:ind w:firstLine="480"/>
        <w:spacing w:line="360" w:lineRule="auto"/>
        <w:rPr>
          <w:rFonts w:ascii="宋体" w:hAnsi="宋体"/>
          <w:sz w:val="24"/>
        </w:rPr>
      </w:pPr>
      <w:r>
        <w:rPr>
          <w:rFonts w:hint="eastAsia" w:ascii="宋体" w:hAnsi="宋体"/>
          <w:sz w:val="24"/>
        </w:rPr>
        <w:t xml:space="preserve">发货前准备：发货前3日，向采购人发送《发货通知书》，明确每批次货物的品牌、型号、数量、规格、预计到货时间（精确到小时）、运输车辆车牌号、司机姓名及联系电话、运输路线等信息；同步提供《交付核对清单》（含设备名称、规格型号、参考图片、数量、包装编号、对应生产批次等），便于采购人核对。</w:t>
      </w:r>
      <w:r/>
    </w:p>
    <w:p>
      <w:pPr>
        <w:ind w:firstLine="480"/>
        <w:spacing w:line="360" w:lineRule="auto"/>
        <w:rPr>
          <w:rFonts w:ascii="宋体" w:hAnsi="宋体"/>
          <w:sz w:val="24"/>
        </w:rPr>
      </w:pPr>
      <w:r>
        <w:rPr>
          <w:rFonts w:hint="eastAsia" w:ascii="宋体" w:hAnsi="宋体"/>
          <w:sz w:val="24"/>
        </w:rPr>
        <w:t xml:space="preserve">包装要求：所有货物采用防潮、防震、防刮擦包装，包装标识清晰（含产品名称、型号、数量、易碎标识、防潮标识等），</w:t>
      </w:r>
      <w:r>
        <w:rPr>
          <w:rFonts w:hint="eastAsia" w:ascii="宋体" w:hAnsi="宋体"/>
          <w:sz w:val="24"/>
        </w:rPr>
        <w:t xml:space="preserve">包装合格率</w:t>
      </w:r>
      <w:r>
        <w:rPr>
          <w:rFonts w:hint="eastAsia" w:ascii="宋体" w:hAnsi="宋体"/>
          <w:sz w:val="24"/>
        </w:rPr>
        <w:t xml:space="preserve">100%，确保运输过程中无损坏。</w:t>
      </w:r>
      <w:r/>
    </w:p>
    <w:p>
      <w:pPr>
        <w:ind w:firstLine="480"/>
        <w:spacing w:line="360" w:lineRule="auto"/>
        <w:rPr>
          <w:rFonts w:ascii="宋体" w:hAnsi="宋体"/>
          <w:sz w:val="24"/>
        </w:rPr>
      </w:pPr>
      <w:r>
        <w:rPr>
          <w:rFonts w:hint="eastAsia" w:ascii="宋体" w:hAnsi="宋体"/>
          <w:sz w:val="24"/>
        </w:rPr>
        <w:t xml:space="preserve">运输保障：货物运输</w:t>
      </w:r>
      <w:r>
        <w:rPr>
          <w:rFonts w:hint="eastAsia" w:ascii="宋体" w:hAnsi="宋体"/>
          <w:sz w:val="24"/>
        </w:rPr>
        <w:t xml:space="preserve">途中若</w:t>
      </w:r>
      <w:r>
        <w:rPr>
          <w:rFonts w:hint="eastAsia" w:ascii="宋体" w:hAnsi="宋体"/>
          <w:sz w:val="24"/>
        </w:rPr>
        <w:t xml:space="preserve">发生损坏、丢失，由投标人在48小时内补发或更换，相关费用由投标人承担，且不影响整体供货周期。</w:t>
      </w:r>
      <w:r/>
    </w:p>
    <w:p>
      <w:pPr>
        <w:ind w:firstLine="480"/>
        <w:spacing w:line="360" w:lineRule="auto"/>
        <w:rPr>
          <w:rFonts w:ascii="宋体" w:hAnsi="宋体"/>
          <w:sz w:val="24"/>
        </w:rPr>
      </w:pPr>
      <w:r>
        <w:rPr>
          <w:rFonts w:hint="eastAsia" w:ascii="宋体" w:hAnsi="宋体"/>
          <w:sz w:val="24"/>
        </w:rPr>
        <w:t xml:space="preserve">到货衔接：货物到货前2小时，司机提前与采购人联系；卸货时配备专业搬运人员（每组不少于2人），使用专业搬运工具（如叉车、手推车等），避免货物搬运过程中损坏。</w:t>
      </w:r>
      <w:r/>
    </w:p>
    <w:p>
      <w:pPr>
        <w:ind w:firstLine="480"/>
        <w:spacing w:line="360" w:lineRule="auto"/>
        <w:rPr>
          <w:rFonts w:ascii="宋体" w:hAnsi="宋体"/>
          <w:sz w:val="24"/>
        </w:rPr>
      </w:pPr>
      <w:r>
        <w:rPr>
          <w:rFonts w:hint="eastAsia" w:ascii="宋体" w:hAnsi="宋体" w:eastAsia="宋体" w:cs="宋体"/>
          <w:color w:val="000000" w:themeColor="text1"/>
          <w:szCs w:val="21"/>
          <w:lang w:val="zh-CN"/>
        </w:rPr>
        <w:t xml:space="preserve">③</w:t>
      </w:r>
      <w:r>
        <w:rPr>
          <w:rFonts w:hint="eastAsia" w:ascii="宋体" w:hAnsi="宋体"/>
          <w:sz w:val="24"/>
        </w:rPr>
        <w:t xml:space="preserve">安装调试方案：</w:t>
      </w:r>
      <w:r/>
    </w:p>
    <w:p>
      <w:pPr>
        <w:ind w:firstLine="420"/>
        <w:spacing w:line="336" w:lineRule="auto"/>
        <w:rPr>
          <w:rFonts w:ascii="宋体" w:hAnsi="宋体"/>
          <w:sz w:val="24"/>
        </w:rPr>
      </w:pPr>
      <w:r>
        <w:rPr>
          <w:rFonts w:hint="eastAsia" w:ascii="宋体" w:hAnsi="宋体"/>
          <w:sz w:val="24"/>
        </w:rPr>
        <w:t xml:space="preserve">投标单位需制定详细的安装前准备、安装实施步骤等，验收尺寸、明确各步骤起止时间；与后续调试环节衔接（安装完成后2天内移交调试团队），若遇延误（如部件适配问题），通过增派人手、加班作业调整进度。</w:t>
      </w:r>
      <w:r/>
    </w:p>
    <w:p>
      <w:pPr>
        <w:ind w:firstLine="420"/>
        <w:spacing w:line="336" w:lineRule="auto"/>
        <w:rPr>
          <w:rFonts w:ascii="宋体" w:hAnsi="宋体"/>
          <w:sz w:val="24"/>
        </w:rPr>
      </w:pPr>
      <w:r>
        <w:rPr>
          <w:rFonts w:hint="eastAsia" w:ascii="宋体" w:hAnsi="宋体"/>
          <w:sz w:val="24"/>
        </w:rPr>
        <w:fldChar w:fldCharType="begin"/>
      </w:r>
      <w:r>
        <w:rPr>
          <w:rFonts w:hint="eastAsia" w:ascii="宋体" w:hAnsi="宋体"/>
          <w:sz w:val="24"/>
        </w:rPr>
        <w:instrText xml:space="preserve"> = 4 \* GB3 </w:instrText>
      </w:r>
      <w:r>
        <w:rPr>
          <w:rFonts w:hint="eastAsia" w:ascii="宋体" w:hAnsi="宋体"/>
          <w:sz w:val="24"/>
        </w:rPr>
        <w:fldChar w:fldCharType="separate"/>
      </w:r>
      <w:r>
        <w:rPr>
          <w:rFonts w:hint="eastAsia" w:ascii="宋体" w:hAnsi="宋体"/>
          <w:sz w:val="24"/>
        </w:rPr>
        <w:t xml:space="preserve">④</w:t>
      </w:r>
      <w:r>
        <w:rPr>
          <w:rFonts w:hint="eastAsia" w:ascii="宋体" w:hAnsi="宋体"/>
          <w:sz w:val="24"/>
        </w:rPr>
        <w:fldChar w:fldCharType="end"/>
      </w:r>
      <w:r>
        <w:rPr>
          <w:rFonts w:hint="eastAsia" w:ascii="宋体" w:hAnsi="宋体"/>
          <w:sz w:val="24"/>
        </w:rPr>
        <w:t xml:space="preserve">验收方案：</w:t>
      </w:r>
      <w:r/>
    </w:p>
    <w:p>
      <w:pPr>
        <w:ind w:firstLine="420"/>
        <w:spacing w:line="336" w:lineRule="auto"/>
        <w:rPr>
          <w:rFonts w:ascii="宋体" w:hAnsi="宋体"/>
          <w:sz w:val="24"/>
        </w:rPr>
      </w:pPr>
      <w:r>
        <w:rPr>
          <w:rFonts w:hint="eastAsia" w:ascii="宋体" w:hAnsi="宋体"/>
          <w:sz w:val="24"/>
        </w:rPr>
        <w:t xml:space="preserve">验收资料准备：验收前向采购人提供完整的验收资料，包括但不限于《产品合格证》、产品使用手册、维护手册、维修卡、主要部件清单、第三方检测报告（如有）等，资料齐全率100%。</w:t>
      </w:r>
      <w:r/>
    </w:p>
    <w:p>
      <w:pPr>
        <w:ind w:firstLine="420"/>
        <w:spacing w:line="336" w:lineRule="auto"/>
        <w:rPr>
          <w:rFonts w:ascii="宋体" w:hAnsi="宋体"/>
          <w:sz w:val="24"/>
        </w:rPr>
      </w:pPr>
      <w:r>
        <w:rPr>
          <w:rFonts w:hint="eastAsia" w:ascii="宋体" w:hAnsi="宋体"/>
          <w:sz w:val="24"/>
        </w:rPr>
        <w:t xml:space="preserve">验收配合：指派专业技术人员配合采购人开展验收工作，验收内容包括产品品牌、型号、规格、数量、外观质量、安装质量、功能性能等，对采购人提出的疑问进行现场解答。</w:t>
      </w:r>
      <w:r/>
    </w:p>
    <w:p>
      <w:pPr>
        <w:ind w:firstLine="420"/>
        <w:spacing w:line="336" w:lineRule="auto"/>
        <w:rPr>
          <w:rFonts w:ascii="宋体" w:hAnsi="宋体"/>
          <w:sz w:val="24"/>
        </w:rPr>
      </w:pPr>
      <w:r>
        <w:rPr>
          <w:rFonts w:hint="eastAsia" w:ascii="宋体" w:hAnsi="宋体"/>
          <w:sz w:val="24"/>
        </w:rPr>
        <w:t xml:space="preserve">问题整改：验收过程中发现的不合格项，投标人需立即记录在《验收问题整改记录表》中，明确整改措施、整改责任人及整改期限（一般问题不超过2日，严重问题不超过3日）；整改完成后重新申请验收，直至验收合格。</w:t>
      </w:r>
      <w:r/>
    </w:p>
    <w:p>
      <w:pPr>
        <w:ind w:firstLine="420"/>
        <w:spacing w:line="336" w:lineRule="auto"/>
        <w:rPr>
          <w:rFonts w:ascii="宋体" w:hAnsi="宋体"/>
          <w:sz w:val="24"/>
        </w:rPr>
      </w:pPr>
      <w:r>
        <w:rPr>
          <w:rFonts w:hint="eastAsia" w:ascii="宋体" w:hAnsi="宋体"/>
          <w:sz w:val="24"/>
        </w:rPr>
        <w:t xml:space="preserve">验收确认：验收合格后，双方签署《验收合格确认单》，明确验收合格日期。</w:t>
      </w:r>
      <w:r/>
    </w:p>
    <w:p>
      <w:pPr>
        <w:ind w:firstLine="420"/>
        <w:spacing w:line="336" w:lineRule="auto"/>
        <w:rPr>
          <w:rFonts w:ascii="宋体" w:hAnsi="宋体"/>
          <w:sz w:val="24"/>
        </w:rPr>
      </w:pPr>
      <w:r>
        <w:rPr>
          <w:rFonts w:hint="eastAsia" w:ascii="宋体" w:hAnsi="宋体"/>
          <w:sz w:val="24"/>
        </w:rPr>
        <w:t xml:space="preserve">10.2安全保证措施：</w:t>
      </w:r>
      <w:r/>
    </w:p>
    <w:p>
      <w:pPr>
        <w:ind w:firstLine="420"/>
        <w:spacing w:line="336" w:lineRule="auto"/>
        <w:rPr>
          <w:rFonts w:ascii="宋体" w:hAnsi="宋体"/>
          <w:sz w:val="24"/>
        </w:rPr>
      </w:pPr>
      <w:r>
        <w:rPr>
          <w:rFonts w:hint="eastAsia" w:ascii="宋体" w:hAnsi="宋体"/>
          <w:sz w:val="24"/>
        </w:rPr>
        <w:t xml:space="preserve">①</w:t>
      </w:r>
      <w:r>
        <w:rPr>
          <w:rFonts w:hint="eastAsia" w:ascii="宋体" w:hAnsi="宋体"/>
          <w:sz w:val="24"/>
        </w:rPr>
        <w:t xml:space="preserve">安全管理体系</w:t>
      </w:r>
      <w:r/>
    </w:p>
    <w:p>
      <w:pPr>
        <w:ind w:firstLine="420"/>
        <w:spacing w:line="336" w:lineRule="auto"/>
        <w:rPr>
          <w:rFonts w:ascii="宋体" w:hAnsi="宋体"/>
          <w:sz w:val="24"/>
        </w:rPr>
      </w:pPr>
      <w:r>
        <w:rPr>
          <w:rFonts w:hint="eastAsia" w:ascii="宋体" w:hAnsi="宋体"/>
          <w:sz w:val="24"/>
        </w:rPr>
        <w:t xml:space="preserve">投标单位需根据项目特点制定安全管理体系，至少包含安全方针与目标、组织架构与职责、风险管理、安全制度与操作规程、培训与教育、检查与绩效考核、持续改进机制等。</w:t>
      </w:r>
      <w:r/>
    </w:p>
    <w:p>
      <w:pPr>
        <w:ind w:firstLine="420"/>
        <w:spacing w:line="336" w:lineRule="auto"/>
        <w:rPr>
          <w:rFonts w:ascii="宋体" w:hAnsi="宋体"/>
          <w:sz w:val="24"/>
        </w:rPr>
      </w:pPr>
      <w:r>
        <w:rPr>
          <w:rFonts w:hint="eastAsia" w:ascii="宋体" w:hAnsi="宋体"/>
          <w:sz w:val="24"/>
        </w:rPr>
        <w:t xml:space="preserve">②</w:t>
      </w:r>
      <w:r>
        <w:rPr>
          <w:rFonts w:hint="eastAsia" w:ascii="宋体" w:hAnsi="宋体"/>
          <w:sz w:val="24"/>
        </w:rPr>
        <w:t xml:space="preserve">安全技术措施</w:t>
      </w:r>
      <w:r/>
    </w:p>
    <w:p>
      <w:pPr>
        <w:ind w:firstLine="420"/>
        <w:spacing w:line="336" w:lineRule="auto"/>
        <w:rPr>
          <w:rFonts w:ascii="宋体" w:hAnsi="宋体"/>
          <w:sz w:val="24"/>
        </w:rPr>
      </w:pPr>
      <w:r>
        <w:rPr>
          <w:rFonts w:hint="eastAsia" w:ascii="宋体" w:hAnsi="宋体"/>
          <w:sz w:val="24"/>
        </w:rPr>
        <w:t xml:space="preserve">安全技术措施至少包含防止事故发生和减少事故损失。防止事故发生至少包括消除危险源、限制能量或危险物质、隔离、故障</w:t>
      </w:r>
      <w:r>
        <w:rPr>
          <w:rFonts w:hint="eastAsia" w:ascii="宋体" w:hAnsi="宋体"/>
          <w:sz w:val="24"/>
        </w:rPr>
        <w:t xml:space="preserve">—安全</w:t>
      </w:r>
      <w:r>
        <w:rPr>
          <w:rFonts w:hint="eastAsia" w:ascii="宋体" w:hAnsi="宋体"/>
          <w:sz w:val="24"/>
        </w:rPr>
        <w:t xml:space="preserve">设计、减少故障和失误等措施；减少事故损失</w:t>
      </w:r>
      <w:r>
        <w:rPr>
          <w:rFonts w:ascii="宋体" w:hAnsi="宋体"/>
          <w:sz w:val="24"/>
        </w:rPr>
        <w:t xml:space="preserve">包括隔离、设置薄弱环节、个体防护、避难与救援</w:t>
      </w:r>
      <w:r>
        <w:rPr>
          <w:rFonts w:hint="eastAsia" w:ascii="宋体" w:hAnsi="宋体"/>
          <w:sz w:val="24"/>
        </w:rPr>
        <w:t xml:space="preserve">等技术措施。</w:t>
      </w:r>
      <w:r/>
    </w:p>
    <w:p>
      <w:pPr>
        <w:ind w:firstLine="420"/>
        <w:spacing w:line="336" w:lineRule="auto"/>
        <w:rPr>
          <w:rFonts w:ascii="宋体" w:hAnsi="宋体"/>
          <w:sz w:val="24"/>
        </w:rPr>
      </w:pPr>
      <w:r>
        <w:rPr>
          <w:rFonts w:hint="eastAsia" w:ascii="宋体" w:hAnsi="宋体"/>
          <w:sz w:val="24"/>
        </w:rPr>
        <w:t xml:space="preserve">③</w:t>
      </w:r>
      <w:r>
        <w:rPr>
          <w:rFonts w:hint="eastAsia" w:ascii="宋体" w:hAnsi="宋体"/>
          <w:sz w:val="24"/>
        </w:rPr>
        <w:t xml:space="preserve">水电作业安全措施等内容</w:t>
      </w:r>
      <w:r/>
    </w:p>
    <w:p>
      <w:pPr>
        <w:ind w:firstLine="420"/>
        <w:spacing w:line="336" w:lineRule="auto"/>
        <w:rPr>
          <w:rFonts w:ascii="宋体" w:hAnsi="宋体"/>
          <w:sz w:val="24"/>
        </w:rPr>
      </w:pPr>
      <w:r>
        <w:rPr>
          <w:rFonts w:hint="eastAsia" w:ascii="宋体" w:hAnsi="宋体"/>
          <w:sz w:val="24"/>
        </w:rPr>
        <w:t xml:space="preserve">水电作业安全措施至少包含作业前必须</w:t>
      </w:r>
      <w:r>
        <w:rPr>
          <w:rFonts w:hint="eastAsia" w:ascii="宋体" w:hAnsi="宋体"/>
          <w:sz w:val="24"/>
        </w:rPr>
        <w:t xml:space="preserve">防护措施、作业前必须制定完善的作业手册、作业前对周边设备、人员的保护措施、作业中人员设备的防护措施、作业后安全保护措施。</w:t>
      </w:r>
      <w:r/>
    </w:p>
    <w:p>
      <w:pPr>
        <w:ind w:firstLine="420"/>
        <w:spacing w:line="336" w:lineRule="auto"/>
        <w:rPr>
          <w:rFonts w:ascii="宋体" w:hAnsi="宋体"/>
          <w:sz w:val="24"/>
        </w:rPr>
      </w:pPr>
      <w:r>
        <w:rPr>
          <w:rFonts w:hint="eastAsia" w:ascii="宋体" w:hAnsi="宋体"/>
          <w:sz w:val="24"/>
        </w:rPr>
        <w:t xml:space="preserve">10.3售后服务方案</w:t>
      </w:r>
      <w:r/>
    </w:p>
    <w:p>
      <w:pPr>
        <w:ind w:firstLine="420"/>
        <w:spacing w:line="336" w:lineRule="auto"/>
        <w:rPr>
          <w:rFonts w:ascii="宋体" w:hAnsi="宋体"/>
          <w:sz w:val="24"/>
        </w:rPr>
      </w:pP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售后团队设立</w:t>
      </w:r>
      <w:r/>
    </w:p>
    <w:p>
      <w:pPr>
        <w:ind w:firstLine="420"/>
        <w:spacing w:line="336" w:lineRule="auto"/>
        <w:rPr>
          <w:rFonts w:ascii="宋体" w:hAnsi="宋体"/>
          <w:sz w:val="24"/>
        </w:rPr>
      </w:pPr>
      <w:r>
        <w:rPr>
          <w:rFonts w:hint="eastAsia" w:ascii="宋体" w:hAnsi="宋体"/>
          <w:sz w:val="24"/>
        </w:rPr>
        <w:t xml:space="preserve">需明确售后服务的组织架构、人员配置及服务渠道，在设备出现故障或问题时，售后服务团队能够迅速行动，提供现场服务，确保采购人能快速对接、高效解决问题。</w:t>
      </w:r>
      <w:r/>
    </w:p>
    <w:p>
      <w:pPr>
        <w:ind w:firstLine="420"/>
        <w:spacing w:line="336" w:lineRule="auto"/>
        <w:rPr>
          <w:rFonts w:ascii="宋体" w:hAnsi="宋体"/>
          <w:sz w:val="24"/>
        </w:rPr>
      </w:pPr>
      <w:r>
        <w:rPr>
          <w:rFonts w:hint="eastAsia" w:ascii="宋体" w:hAnsi="宋体"/>
          <w:sz w:val="24"/>
        </w:rPr>
        <w:t xml:space="preserve">②</w:t>
      </w:r>
      <w:r>
        <w:rPr>
          <w:rFonts w:hint="eastAsia" w:ascii="宋体" w:hAnsi="宋体"/>
          <w:sz w:val="24"/>
        </w:rPr>
        <w:t xml:space="preserve">维保方案</w:t>
      </w:r>
      <w:r/>
    </w:p>
    <w:p>
      <w:pPr>
        <w:ind w:firstLine="420"/>
        <w:spacing w:line="336" w:lineRule="auto"/>
        <w:rPr>
          <w:rFonts w:ascii="宋体" w:hAnsi="宋体"/>
          <w:sz w:val="24"/>
        </w:rPr>
      </w:pPr>
      <w:r>
        <w:rPr>
          <w:rFonts w:hint="eastAsia" w:ascii="宋体" w:hAnsi="宋体"/>
          <w:sz w:val="24"/>
        </w:rPr>
        <w:t xml:space="preserve">需在设备</w:t>
      </w:r>
      <w:r>
        <w:rPr>
          <w:rFonts w:hint="eastAsia" w:ascii="宋体" w:hAnsi="宋体"/>
          <w:sz w:val="24"/>
        </w:rPr>
        <w:t xml:space="preserve">维保期间</w:t>
      </w:r>
      <w:r>
        <w:rPr>
          <w:rFonts w:hint="eastAsia" w:ascii="宋体" w:hAnsi="宋体"/>
          <w:sz w:val="24"/>
        </w:rPr>
        <w:t xml:space="preserve">制定详细的时间表，将计划分解到各阶段时间点，明确各阶段工作内容及时间节点，</w:t>
      </w:r>
      <w:r>
        <w:rPr>
          <w:rFonts w:hint="eastAsia" w:ascii="宋体" w:hAnsi="宋体"/>
          <w:sz w:val="24"/>
        </w:rPr>
        <w:t xml:space="preserve">确保维保服务</w:t>
      </w:r>
      <w:r>
        <w:rPr>
          <w:rFonts w:hint="eastAsia" w:ascii="宋体" w:hAnsi="宋体"/>
          <w:sz w:val="24"/>
        </w:rPr>
        <w:t xml:space="preserve">能达到招标文件要求。</w:t>
      </w:r>
      <w:r/>
    </w:p>
    <w:p>
      <w:pPr>
        <w:ind w:firstLine="420"/>
        <w:spacing w:line="336" w:lineRule="auto"/>
        <w:rPr>
          <w:rFonts w:ascii="宋体" w:hAnsi="宋体"/>
          <w:sz w:val="24"/>
        </w:rPr>
      </w:pPr>
      <w:r>
        <w:rPr>
          <w:rFonts w:hint="eastAsia" w:ascii="宋体" w:hAnsi="宋体"/>
          <w:sz w:val="24"/>
        </w:rPr>
        <w:t xml:space="preserve">③故障应急预案</w:t>
      </w:r>
      <w:r>
        <w:rPr>
          <w:rFonts w:hint="eastAsia" w:ascii="宋体" w:hAnsi="宋体"/>
          <w:sz w:val="24"/>
        </w:rPr>
        <w:t xml:space="preserve">：</w:t>
      </w:r>
      <w:r/>
    </w:p>
    <w:p>
      <w:pPr>
        <w:ind w:firstLine="420"/>
        <w:spacing w:line="336" w:lineRule="auto"/>
        <w:rPr>
          <w:rFonts w:ascii="宋体" w:hAnsi="宋体"/>
          <w:sz w:val="24"/>
        </w:rPr>
      </w:pPr>
      <w:r>
        <w:rPr>
          <w:rFonts w:hint="eastAsia" w:ascii="宋体" w:hAnsi="宋体"/>
          <w:sz w:val="24"/>
        </w:rPr>
        <w:t xml:space="preserve">明确在设备出现故障或问题后的服务优先级：如应急需求发生后，供应商需在1小时内启动应急预案</w:t>
      </w:r>
      <w:r>
        <w:rPr>
          <w:rFonts w:hint="eastAsia" w:ascii="宋体" w:hAnsi="宋体"/>
          <w:sz w:val="24"/>
        </w:rPr>
        <w:t xml:space="preserve">，调配技术人员、备件抵达现场，协助设备抢修。提供应急联络专线（7×24 小时畅通），确保紧急情况下能实时对接技术支持。</w:t>
      </w:r>
      <w:r/>
    </w:p>
    <w:p>
      <w:pPr>
        <w:ind w:firstLine="420"/>
        <w:spacing w:line="336" w:lineRule="auto"/>
        <w:rPr>
          <w:rFonts w:ascii="宋体" w:hAnsi="宋体"/>
          <w:sz w:val="24"/>
        </w:rPr>
      </w:pPr>
      <w:r>
        <w:rPr>
          <w:rFonts w:hint="eastAsia" w:ascii="宋体" w:hAnsi="宋体"/>
          <w:sz w:val="24"/>
        </w:rPr>
        <w:fldChar w:fldCharType="begin"/>
      </w:r>
      <w:r>
        <w:rPr>
          <w:rFonts w:hint="eastAsia" w:ascii="宋体" w:hAnsi="宋体"/>
          <w:sz w:val="24"/>
        </w:rPr>
        <w:instrText xml:space="preserve"> = 4 \* GB3 </w:instrText>
      </w:r>
      <w:r>
        <w:rPr>
          <w:rFonts w:hint="eastAsia" w:ascii="宋体" w:hAnsi="宋体"/>
          <w:sz w:val="24"/>
        </w:rPr>
        <w:fldChar w:fldCharType="separate"/>
      </w:r>
      <w:r>
        <w:rPr>
          <w:rFonts w:hint="eastAsia" w:ascii="宋体" w:hAnsi="宋体"/>
          <w:sz w:val="24"/>
        </w:rPr>
        <w:t xml:space="preserve">④</w:t>
      </w:r>
      <w:r>
        <w:rPr>
          <w:rFonts w:hint="eastAsia" w:ascii="宋体" w:hAnsi="宋体"/>
          <w:sz w:val="24"/>
        </w:rPr>
        <w:fldChar w:fldCharType="end"/>
      </w:r>
      <w:r>
        <w:rPr>
          <w:rFonts w:hint="eastAsia" w:ascii="宋体" w:hAnsi="宋体"/>
          <w:sz w:val="24"/>
        </w:rPr>
        <w:t xml:space="preserve">备品备件的供应：</w:t>
      </w:r>
      <w:r/>
    </w:p>
    <w:p>
      <w:pPr>
        <w:ind w:firstLine="420"/>
        <w:spacing w:line="336" w:lineRule="auto"/>
        <w:rPr>
          <w:rFonts w:ascii="宋体" w:hAnsi="宋体"/>
          <w:sz w:val="24"/>
        </w:rPr>
      </w:pPr>
      <w:r>
        <w:rPr>
          <w:rFonts w:hint="eastAsia" w:ascii="宋体" w:hAnsi="宋体"/>
          <w:sz w:val="24"/>
        </w:rPr>
        <w:t xml:space="preserve">建立本项目设备常用零配件的专属备件库，明确零配件的供应价格、供货周期，确保零配件供应及时。</w:t>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rPr>
        <w:t xml:space="preserve">一</w:t>
      </w:r>
      <w:r>
        <w:rPr>
          <w:rFonts w:hint="eastAsia" w:ascii="宋体" w:hAnsi="宋体" w:eastAsia="宋体" w:cs="宋体"/>
          <w:b/>
          <w:sz w:val="28"/>
          <w:szCs w:val="28"/>
        </w:rPr>
        <w:t xml:space="preserve">、特别说明</w:t>
      </w:r>
      <w:r/>
    </w:p>
    <w:p>
      <w:pPr>
        <w:ind w:firstLine="480"/>
        <w:spacing w:line="360" w:lineRule="auto"/>
        <w:rPr>
          <w:rFonts w:ascii="宋体" w:hAnsi="宋体"/>
          <w:sz w:val="24"/>
        </w:rPr>
      </w:pPr>
      <w:r>
        <w:rPr>
          <w:rFonts w:hint="eastAsia" w:ascii="宋体" w:hAnsi="宋体"/>
          <w:sz w:val="24"/>
        </w:rPr>
        <w:t xml:space="preserve">1、本项目报价</w:t>
      </w:r>
      <w:r>
        <w:rPr>
          <w:rFonts w:hint="eastAsia" w:ascii="宋体" w:hAnsi="宋体"/>
          <w:sz w:val="24"/>
        </w:rPr>
        <w:t xml:space="preserve">含完成</w:t>
      </w:r>
      <w:r>
        <w:rPr>
          <w:rFonts w:hint="eastAsia" w:ascii="宋体" w:hAnsi="宋体"/>
          <w:sz w:val="24"/>
        </w:rPr>
        <w:t xml:space="preserve">项目要求的一切费用，所投货物（包含与货物相关的服务）费用、安装调试费、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收费、培训费、运行维护费用、利润、税收、质保费、水质检测</w:t>
      </w:r>
      <w:r>
        <w:rPr>
          <w:rFonts w:ascii="宋体" w:hAnsi="宋体"/>
          <w:sz w:val="24"/>
        </w:rPr>
        <w:t xml:space="preserve">费</w:t>
      </w:r>
      <w:r>
        <w:rPr>
          <w:rFonts w:hint="eastAsia" w:ascii="宋体" w:hAnsi="宋体"/>
          <w:sz w:val="24"/>
        </w:rPr>
        <w:t xml:space="preserve">、代理服务费等及其他为完成本项目发生的所有费用，供应</w:t>
      </w:r>
      <w:r>
        <w:rPr>
          <w:rFonts w:hint="eastAsia" w:ascii="宋体" w:hAnsi="宋体"/>
          <w:sz w:val="24"/>
        </w:rPr>
        <w:t xml:space="preserve">商综合</w:t>
      </w:r>
      <w:r>
        <w:rPr>
          <w:rFonts w:hint="eastAsia" w:ascii="宋体" w:hAnsi="宋体"/>
          <w:sz w:val="24"/>
        </w:rPr>
        <w:t xml:space="preserve">考虑在投标报价中。</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供应商在报价时应充分考虑现场实际情况，如有需要，供应商可自行到项目现场进行踏勘。充分了解安装位置、情况、道路、空间、装卸限制等相关要求、任何其他足以影响响应文件的情况，并将可能发生的相关费用全部考虑到投标文件中，中标后不再增加费用，任何因忽视或误解现场情况而导致的一切问题，均由供应商自行承担。</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、供应商踏勘现场发生的费用自理，供应商自行负责在踏勘现场中所发生的人员伤亡和财产损失。</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、本次采购不接受选择性报价。</w:t>
      </w:r>
      <w:r/>
    </w:p>
    <w:p>
      <w:pPr>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、资格后审：在评审时，对响应文件中资格性、符合性进行审查，确定供应商是否具备投标资格以及是否具备成交资格。</w:t>
      </w:r>
      <w:r/>
    </w:p>
    <w:p>
      <w:pPr>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、供应商如未能在承诺时间内实施并完成，采购人有权扣除履约保证金或要求提供同等数额赔偿。</w:t>
      </w:r>
      <w:r/>
    </w:p>
    <w:p>
      <w:pPr>
        <w:pStyle w:val="886"/>
        <w:ind w:firstLine="480"/>
        <w:spacing w:beforeAutospacing="0" w:afterAutospacing="0" w:line="360" w:lineRule="auto"/>
        <w:rPr>
          <w:rFonts w:ascii="宋体" w:hAnsi="宋体"/>
        </w:rPr>
      </w:pPr>
      <w:r>
        <w:rPr>
          <w:rFonts w:ascii="宋体" w:hAnsi="宋体"/>
        </w:rPr>
        <w:t xml:space="preserve">7</w:t>
      </w:r>
      <w:r>
        <w:rPr>
          <w:rFonts w:hint="eastAsia" w:ascii="宋体" w:hAnsi="宋体"/>
        </w:rPr>
        <w:t xml:space="preserve">、对本项目供应商资格要求、项目需求等的质疑由采购单位负责答复；采购人具有项目的解释权。</w:t>
      </w:r>
      <w:r/>
    </w:p>
    <w:p>
      <w:pPr>
        <w:pStyle w:val="886"/>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rPr>
        <w:t xml:space="preserve">二</w:t>
      </w:r>
      <w:r>
        <w:rPr>
          <w:rFonts w:hint="eastAsia" w:ascii="宋体" w:hAnsi="宋体" w:eastAsia="宋体" w:cs="宋体"/>
          <w:b/>
          <w:sz w:val="28"/>
          <w:szCs w:val="28"/>
        </w:rPr>
        <w:t xml:space="preserve">、政府采购政策功能落实</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1、小微型企业价格扣除</w:t>
      </w:r>
      <w:r/>
    </w:p>
    <w:p>
      <w:pPr>
        <w:pStyle w:val="893"/>
        <w:rPr>
          <w:rFonts w:ascii="宋体" w:hAnsi="宋体" w:eastAsia="宋体" w:cs="宋体"/>
        </w:rPr>
      </w:pPr>
      <w:r>
        <w:rPr>
          <w:rFonts w:hint="eastAsia" w:ascii="宋体" w:hAnsi="宋体" w:eastAsia="宋体" w:cs="宋体"/>
        </w:rPr>
        <w:t xml:space="preserve">（1）本项目对符合规定的小型和微型企业报价给予20%的扣除价格，用扣除后的价格参与评审。</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（2）供应商需按照</w:t>
      </w:r>
      <w:r>
        <w:rPr>
          <w:rFonts w:hint="eastAsia" w:ascii="宋体" w:hAnsi="宋体" w:eastAsia="宋体" w:cs="宋体"/>
          <w:color w:val="333333"/>
          <w:shd w:val="clear" w:color="auto" w:fill="ffffff"/>
        </w:rPr>
        <w:t xml:space="preserve">谈判</w:t>
      </w:r>
      <w:r>
        <w:rPr>
          <w:rFonts w:hint="eastAsia" w:ascii="宋体" w:hAnsi="宋体" w:eastAsia="宋体" w:cs="宋体"/>
        </w:rPr>
        <w:t xml:space="preserve">文件的要求提供相应的《中小企业声明函》。</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2、残疾人福利单位价格扣除</w:t>
      </w:r>
      <w:r/>
    </w:p>
    <w:p>
      <w:pPr>
        <w:pStyle w:val="886"/>
        <w:ind w:firstLine="480"/>
        <w:spacing w:before="156" w:beforeAutospacing="0" w:after="156" w:afterAutospacing="0" w:line="0" w:lineRule="atLeas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（2）残疾人福利单位需按照</w:t>
      </w:r>
      <w:r>
        <w:rPr>
          <w:rFonts w:hint="eastAsia" w:ascii="宋体" w:hAnsi="宋体" w:eastAsia="宋体" w:cs="宋体"/>
          <w:color w:val="333333"/>
          <w:shd w:val="clear" w:color="auto" w:fill="ffffff"/>
        </w:rPr>
        <w:t xml:space="preserve">谈判</w:t>
      </w:r>
      <w:r>
        <w:rPr>
          <w:rFonts w:hint="eastAsia" w:ascii="宋体" w:hAnsi="宋体" w:eastAsia="宋体" w:cs="宋体"/>
        </w:rPr>
        <w:t xml:space="preserve">文件的要求提供《残疾人福利性单位声明函》。</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3、监狱和戒毒企业价格扣除</w:t>
      </w:r>
      <w:r/>
    </w:p>
    <w:p>
      <w:pPr>
        <w:pStyle w:val="886"/>
        <w:ind w:firstLine="480"/>
        <w:spacing w:before="156" w:beforeAutospacing="0" w:after="156" w:afterAutospacing="0" w:line="0" w:lineRule="atLeas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6"/>
        <w:ind w:firstLine="480"/>
        <w:spacing w:before="156" w:beforeAutospacing="0" w:after="156" w:afterAutospacing="0" w:line="400" w:lineRule="exact"/>
        <w:rPr>
          <w:rFonts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6"/>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供应商需按照谈判文件的要求提供《关于符合本国产品标准的声明函》（以下简称《声明函》），如不提供将不享受本国产品价格评审优惠。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sz w:val="24"/>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和谈判文件规定的，供应商提供的相关产品视为不符合本国产品标准。</w:t>
      </w:r>
      <w:r/>
    </w:p>
    <w:p>
      <w:pPr>
        <w:ind w:firstLine="480"/>
        <w:spacing w:line="400" w:lineRule="exact"/>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86"/>
        <w:ind w:firstLine="562"/>
        <w:spacing w:before="156" w:beforeAutospacing="0" w:after="156" w:afterAutospacing="0" w:line="360" w:lineRule="auto"/>
        <w:rPr>
          <w:rFonts w:ascii="宋体" w:hAnsi="宋体" w:eastAsia="宋体" w:cs="宋体"/>
          <w:b/>
          <w:sz w:val="28"/>
          <w:szCs w:val="28"/>
        </w:rPr>
      </w:pPr>
      <w:r>
        <w:rPr>
          <w:rFonts w:hint="eastAsia" w:ascii="宋体" w:hAnsi="宋体" w:eastAsia="宋体" w:cs="宋体"/>
          <w:b/>
          <w:sz w:val="28"/>
          <w:szCs w:val="28"/>
        </w:rPr>
        <w:t xml:space="preserve">十二、采购标的对应的中小企业划分标准所属行业一览表</w:t>
      </w:r>
      <w:r/>
    </w:p>
    <w:tbl>
      <w:tblPr>
        <w:tblW w:w="8276" w:type="dxa"/>
        <w:tblCellSpacing w:w="0" w:type="dxa"/>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4073"/>
        <w:gridCol w:w="3529"/>
      </w:tblGrid>
      <w:tr>
        <w:trPr>
          <w:tblCellSpacing w:w="0" w:type="dxa"/>
          <w:trHeight w:val="792"/>
        </w:trPr>
        <w:tc>
          <w:tcPr>
            <w:tcW w:w="674" w:type="dxa"/>
            <w:vAlign w:val="center"/>
            <w:textDirection w:val="lrTb"/>
            <w:noWrap w:val="false"/>
          </w:tcPr>
          <w:p>
            <w:pPr>
              <w:pStyle w:val="886"/>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tcW w:w="4073" w:type="dxa"/>
            <w:vAlign w:val="center"/>
            <w:textDirection w:val="lrTb"/>
            <w:noWrap w:val="false"/>
          </w:tcPr>
          <w:p>
            <w:pPr>
              <w:pStyle w:val="886"/>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tcW w:w="3529" w:type="dxa"/>
            <w:vAlign w:val="center"/>
            <w:textDirection w:val="lrTb"/>
            <w:noWrap w:val="false"/>
          </w:tcPr>
          <w:p>
            <w:pPr>
              <w:pStyle w:val="886"/>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tblCellSpacing w:w="0" w:type="dxa"/>
          <w:trHeight w:val="374"/>
        </w:trPr>
        <w:tc>
          <w:tcPr>
            <w:tcW w:w="674" w:type="dxa"/>
            <w:vAlign w:val="center"/>
            <w:textDirection w:val="lrTb"/>
            <w:noWrap w:val="false"/>
          </w:tcPr>
          <w:p>
            <w:pPr>
              <w:pStyle w:val="886"/>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tcW w:w="4073" w:type="dxa"/>
            <w:vAlign w:val="center"/>
            <w:textDirection w:val="lrTb"/>
            <w:noWrap w:val="false"/>
          </w:tcPr>
          <w:p>
            <w:pPr>
              <w:pStyle w:val="886"/>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0.5T/H净水设备</w:t>
            </w:r>
            <w:r/>
          </w:p>
        </w:tc>
        <w:tc>
          <w:tcPr>
            <w:tcW w:w="3529" w:type="dxa"/>
            <w:vAlign w:val="center"/>
            <w:textDirection w:val="lrTb"/>
            <w:noWrap w:val="false"/>
          </w:tcPr>
          <w:p>
            <w:pPr>
              <w:pStyle w:val="886"/>
              <w:ind w:firstLine="480"/>
              <w:jc w:val="center"/>
              <w:spacing w:beforeAutospacing="0" w:afterAutospacing="0" w:line="0" w:lineRule="atLeast"/>
              <w:rPr>
                <w:rFonts w:ascii="宋体" w:hAnsi="宋体" w:eastAsia="宋体" w:cs="宋体"/>
              </w:rPr>
            </w:pPr>
            <w:r>
              <w:rPr>
                <w:rFonts w:hint="eastAsia" w:ascii="宋体" w:hAnsi="宋体"/>
              </w:rPr>
              <w:t xml:space="preserve">工业</w:t>
            </w:r>
            <w:r/>
          </w:p>
        </w:tc>
      </w:tr>
      <w:tr>
        <w:trPr>
          <w:tblCellSpacing w:w="0" w:type="dxa"/>
          <w:trHeight w:val="374"/>
        </w:trPr>
        <w:tc>
          <w:tcPr>
            <w:tcW w:w="674" w:type="dxa"/>
            <w:vAlign w:val="center"/>
            <w:textDirection w:val="lrTb"/>
            <w:noWrap w:val="false"/>
          </w:tcPr>
          <w:p>
            <w:pPr>
              <w:pStyle w:val="886"/>
              <w:jc w:val="center"/>
              <w:spacing w:beforeAutospacing="0" w:afterAutospacing="0" w:line="0" w:lineRule="atLeast"/>
              <w:rPr>
                <w:rFonts w:ascii="宋体" w:hAnsi="宋体" w:eastAsia="宋体" w:cs="宋体"/>
              </w:rPr>
            </w:pPr>
            <w:r>
              <w:rPr>
                <w:rFonts w:hint="eastAsia" w:ascii="宋体" w:hAnsi="宋体" w:eastAsia="宋体" w:cs="宋体"/>
              </w:rPr>
              <w:t xml:space="preserve">2</w:t>
            </w:r>
            <w:r/>
          </w:p>
        </w:tc>
        <w:tc>
          <w:tcPr>
            <w:tcW w:w="4073" w:type="dxa"/>
            <w:vAlign w:val="center"/>
            <w:textDirection w:val="lrTb"/>
            <w:noWrap w:val="false"/>
          </w:tcPr>
          <w:p>
            <w:pPr>
              <w:pStyle w:val="886"/>
              <w:ind w:firstLine="480"/>
              <w:jc w:val="center"/>
              <w:spacing w:beforeAutospacing="0" w:afterAutospacing="0" w:line="0" w:lineRule="atLeast"/>
            </w:pPr>
            <w:r>
              <w:rPr>
                <w:rFonts w:hint="eastAsia" w:ascii="宋体" w:hAnsi="宋体" w:eastAsia="宋体" w:cs="宋体"/>
              </w:rPr>
              <w:t xml:space="preserve">0.25T/H净水设备</w:t>
            </w:r>
            <w:r/>
          </w:p>
        </w:tc>
        <w:tc>
          <w:tcPr>
            <w:tcW w:w="3529" w:type="dxa"/>
            <w:vAlign w:val="center"/>
            <w:textDirection w:val="lrTb"/>
            <w:noWrap w:val="false"/>
          </w:tcPr>
          <w:p>
            <w:pPr>
              <w:pStyle w:val="886"/>
              <w:ind w:firstLine="480"/>
              <w:jc w:val="center"/>
              <w:spacing w:beforeAutospacing="0" w:afterAutospacing="0" w:line="0" w:lineRule="atLeast"/>
              <w:rPr>
                <w:rFonts w:ascii="宋体" w:hAnsi="宋体"/>
              </w:rPr>
            </w:pPr>
            <w:r>
              <w:rPr>
                <w:rFonts w:hint="eastAsia" w:ascii="宋体" w:hAnsi="宋体"/>
              </w:rPr>
              <w:t xml:space="preserve">工业</w:t>
            </w:r>
            <w:r/>
          </w:p>
        </w:tc>
      </w:tr>
      <w:tr>
        <w:trPr>
          <w:tblCellSpacing w:w="0" w:type="dxa"/>
          <w:trHeight w:val="302"/>
        </w:trPr>
        <w:tc>
          <w:tcPr>
            <w:tcW w:w="674" w:type="dxa"/>
            <w:vAlign w:val="center"/>
            <w:textDirection w:val="lrTb"/>
            <w:noWrap w:val="false"/>
          </w:tcPr>
          <w:p>
            <w:pPr>
              <w:pStyle w:val="886"/>
              <w:jc w:val="center"/>
              <w:spacing w:beforeAutospacing="0" w:afterAutospacing="0" w:line="0" w:lineRule="atLeast"/>
              <w:rPr>
                <w:rFonts w:ascii="宋体" w:hAnsi="宋体" w:eastAsia="宋体" w:cs="宋体"/>
              </w:rPr>
            </w:pPr>
            <w:r>
              <w:rPr>
                <w:rFonts w:hint="eastAsia" w:ascii="宋体" w:hAnsi="宋体" w:eastAsia="宋体" w:cs="宋体"/>
              </w:rPr>
              <w:t xml:space="preserve">3</w:t>
            </w:r>
            <w:r/>
          </w:p>
        </w:tc>
        <w:tc>
          <w:tcPr>
            <w:tcW w:w="4073" w:type="dxa"/>
            <w:vAlign w:val="center"/>
            <w:textDirection w:val="lrTb"/>
            <w:noWrap w:val="false"/>
          </w:tcPr>
          <w:p>
            <w:pPr>
              <w:pStyle w:val="886"/>
              <w:ind w:firstLine="480"/>
              <w:jc w:val="center"/>
              <w:spacing w:beforeAutospacing="0" w:afterAutospacing="0" w:line="0" w:lineRule="atLeast"/>
              <w:rPr>
                <w:rFonts w:ascii="宋体" w:hAnsi="宋体" w:eastAsia="宋体" w:cs="宋体"/>
              </w:rPr>
            </w:pPr>
            <w:r>
              <w:t xml:space="preserve">1</w:t>
            </w:r>
            <w:r>
              <w:rPr>
                <w:rFonts w:hint="eastAsia"/>
              </w:rPr>
              <w:t xml:space="preserve">8</w:t>
            </w:r>
            <w:r>
              <w:t xml:space="preserve">0L/H</w:t>
            </w:r>
            <w:r>
              <w:rPr>
                <w:rFonts w:hint="eastAsia" w:ascii="宋体" w:hAnsi="宋体" w:eastAsia="宋体" w:cs="宋体"/>
              </w:rPr>
              <w:t xml:space="preserve">净水设备</w:t>
            </w:r>
            <w:r/>
          </w:p>
        </w:tc>
        <w:tc>
          <w:tcPr>
            <w:tcW w:w="3529" w:type="dxa"/>
            <w:textDirection w:val="lrTb"/>
            <w:noWrap w:val="false"/>
          </w:tcPr>
          <w:p>
            <w:pPr>
              <w:pStyle w:val="886"/>
              <w:ind w:firstLine="480"/>
              <w:jc w:val="center"/>
              <w:spacing w:beforeAutospacing="0" w:afterAutospacing="0" w:line="0" w:lineRule="atLeast"/>
              <w:rPr>
                <w:rFonts w:ascii="宋体" w:hAnsi="宋体" w:eastAsia="宋体" w:cs="宋体"/>
              </w:rPr>
            </w:pPr>
            <w:r>
              <w:rPr>
                <w:rFonts w:hint="eastAsia" w:ascii="宋体" w:hAnsi="宋体"/>
              </w:rPr>
              <w:t xml:space="preserve">工业</w:t>
            </w:r>
            <w:r/>
          </w:p>
        </w:tc>
      </w:tr>
      <w:tr>
        <w:trPr>
          <w:tblCellSpacing w:w="0" w:type="dxa"/>
          <w:trHeight w:val="285"/>
        </w:trPr>
        <w:tc>
          <w:tcPr>
            <w:tcW w:w="674" w:type="dxa"/>
            <w:vAlign w:val="center"/>
            <w:textDirection w:val="lrTb"/>
            <w:noWrap w:val="false"/>
          </w:tcPr>
          <w:p>
            <w:pPr>
              <w:pStyle w:val="886"/>
              <w:jc w:val="center"/>
              <w:spacing w:beforeAutospacing="0" w:afterAutospacing="0" w:line="0" w:lineRule="atLeast"/>
              <w:rPr>
                <w:rFonts w:ascii="宋体" w:hAnsi="宋体" w:eastAsia="宋体" w:cs="宋体"/>
              </w:rPr>
            </w:pPr>
            <w:r>
              <w:rPr>
                <w:rFonts w:hint="eastAsia" w:ascii="宋体" w:hAnsi="宋体" w:eastAsia="宋体" w:cs="宋体"/>
              </w:rPr>
              <w:t xml:space="preserve">4</w:t>
            </w:r>
            <w:r/>
          </w:p>
        </w:tc>
        <w:tc>
          <w:tcPr>
            <w:tcW w:w="4073" w:type="dxa"/>
            <w:vAlign w:val="center"/>
            <w:textDirection w:val="lrTb"/>
            <w:noWrap w:val="false"/>
          </w:tcPr>
          <w:p>
            <w:pPr>
              <w:pStyle w:val="886"/>
              <w:ind w:firstLine="480"/>
              <w:jc w:val="center"/>
              <w:spacing w:beforeAutospacing="0" w:afterAutospacing="0" w:line="0" w:lineRule="atLeast"/>
            </w:pPr>
            <w:r>
              <w:rPr>
                <w:rFonts w:hint="eastAsia"/>
              </w:rPr>
              <w:t xml:space="preserve">监控设备</w:t>
            </w:r>
            <w:r/>
          </w:p>
        </w:tc>
        <w:tc>
          <w:tcPr>
            <w:tcW w:w="3529" w:type="dxa"/>
            <w:textDirection w:val="lrTb"/>
            <w:noWrap w:val="false"/>
          </w:tcPr>
          <w:p>
            <w:pPr>
              <w:pStyle w:val="886"/>
              <w:ind w:firstLine="480"/>
              <w:jc w:val="center"/>
              <w:spacing w:beforeAutospacing="0" w:afterAutospacing="0" w:line="0" w:lineRule="atLeast"/>
              <w:rPr>
                <w:rFonts w:ascii="宋体" w:hAnsi="宋体"/>
              </w:rPr>
            </w:pPr>
            <w:r/>
            <w:bookmarkStart w:id="240" w:name="OLE_LINK10"/>
            <w:r>
              <w:rPr>
                <w:rFonts w:hint="eastAsia" w:ascii="宋体" w:hAnsi="宋体"/>
              </w:rPr>
              <w:t xml:space="preserve">工业</w:t>
            </w:r>
            <w:bookmarkEnd w:id="240"/>
            <w:r/>
            <w:r/>
          </w:p>
        </w:tc>
      </w:tr>
    </w:tbl>
    <w:p>
      <w:pPr>
        <w:pStyle w:val="886"/>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6"/>
        <w:ind w:firstLine="480"/>
        <w:jc w:val="both"/>
        <w:spacing w:beforeAutospacing="0" w:afterAutospacing="0" w:line="0" w:lineRule="atLeast"/>
      </w:pPr>
      <w:r>
        <w:rPr>
          <w:rFonts w:hint="eastAsia" w:ascii="宋体" w:hAnsi="宋体" w:eastAsia="宋体" w:cs="宋体"/>
        </w:rPr>
        <w:t xml:space="preserve"> </w:t>
      </w:r>
      <w:bookmarkStart w:id="241" w:name="_Toc120614281"/>
      <w:r>
        <w:rPr>
          <w:rFonts w:hint="eastAsia" w:ascii="黑体" w:hAnsi="宋体" w:eastAsia="黑体" w:cs="黑体"/>
          <w:color w:val="000000"/>
          <w:sz w:val="44"/>
          <w:szCs w:val="44"/>
        </w:rPr>
        <w:t xml:space="preserve">    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86"/>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886"/>
        <w:ind w:firstLine="482"/>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93"/>
        <w:ind w:firstLine="360"/>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 </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86"/>
        <w:ind w:left="120"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86"/>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86"/>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86"/>
        <w:ind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86"/>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86"/>
        <w:ind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86"/>
        <w:ind w:left="120"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w:t>
      </w:r>
      <w:r>
        <w:rPr>
          <w:rFonts w:hint="eastAsia" w:asciiTheme="minorEastAsia" w:hAnsiTheme="minorEastAsia" w:cstheme="minorEastAsia"/>
          <w:b/>
          <w:bCs/>
          <w:color w:val="ff0000"/>
          <w:sz w:val="24"/>
        </w:rPr>
        <w:t xml:space="preserve">横线划除的</w:t>
      </w:r>
      <w:r>
        <w:rPr>
          <w:rFonts w:hint="eastAsia" w:asciiTheme="minorEastAsia" w:hAnsiTheme="minorEastAsia" w:cstheme="minorEastAsia"/>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w:t>
      </w:r>
      <w:r>
        <w:rPr>
          <w:rFonts w:hint="eastAsia" w:asciiTheme="minorEastAsia" w:hAnsiTheme="minorEastAsia" w:cstheme="minorEastAsia"/>
          <w:b/>
          <w:bCs/>
          <w:color w:val="ff0000"/>
          <w:sz w:val="24"/>
        </w:rPr>
        <w:t xml:space="preserve">供应商</w:t>
      </w:r>
      <w:r>
        <w:rPr>
          <w:rFonts w:hint="eastAsia" w:asciiTheme="minorEastAsia" w:hAnsiTheme="minorEastAsia" w:cstheme="minorEastAsia"/>
          <w:b/>
          <w:bCs/>
          <w:color w:val="ff0000"/>
          <w:sz w:val="24"/>
        </w:rPr>
        <w:t xml:space="preserve">作出</w:t>
      </w:r>
      <w:r>
        <w:rPr>
          <w:rFonts w:hint="eastAsia" w:asciiTheme="minorEastAsia" w:hAnsiTheme="minorEastAsia" w:cstheme="minorEastAsia"/>
          <w:b/>
          <w:bCs/>
          <w:color w:val="ff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86"/>
        <w:ind w:firstLine="482"/>
        <w:spacing w:before="156" w:beforeAutospacing="0" w:after="156" w:afterAutospacing="0" w:line="0" w:lineRule="atLeast"/>
        <w:rPr>
          <w:rFonts w:ascii="宋体" w:hAnsi="宋体" w:eastAsia="宋体" w:cs="宋体"/>
          <w:color w:val="000000"/>
        </w:rPr>
      </w:pPr>
      <w:r>
        <w:rPr>
          <w:rFonts w:hint="eastAsia" w:ascii="宋体" w:hAnsi="宋体" w:eastAsia="宋体" w:cs="宋体"/>
          <w:b/>
        </w:rPr>
        <w:t xml:space="preserve">三、评标标准</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8"/>
        <w:gridCol w:w="1398"/>
        <w:gridCol w:w="851"/>
        <w:gridCol w:w="6022"/>
      </w:tblGrid>
      <w:tr>
        <w:trPr>
          <w:jc w:val="center"/>
          <w:trHeight w:val="402"/>
          <w:tblHeader/>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color w:val="000000"/>
                <w:sz w:val="24"/>
              </w:rPr>
              <w:t xml:space="preserve">序号</w:t>
            </w:r>
            <w:r/>
          </w:p>
        </w:tc>
        <w:tc>
          <w:tcPr>
            <w:tcW w:w="139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color w:val="000000"/>
                <w:sz w:val="24"/>
              </w:rPr>
              <w:t xml:space="preserve">评审因素</w:t>
            </w:r>
            <w:r/>
          </w:p>
        </w:tc>
        <w:tc>
          <w:tcPr>
            <w:tcW w:w="851"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color w:val="000000"/>
                <w:sz w:val="24"/>
              </w:rPr>
              <w:t xml:space="preserve">分值</w:t>
            </w:r>
            <w:r/>
          </w:p>
        </w:tc>
        <w:tc>
          <w:tcPr>
            <w:tcW w:w="6022"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color w:val="000000"/>
                <w:sz w:val="24"/>
              </w:rPr>
              <w:t xml:space="preserve">评分标准说明</w:t>
            </w:r>
            <w:r/>
          </w:p>
        </w:tc>
      </w:tr>
      <w:tr>
        <w:trPr>
          <w:jc w:val="center"/>
          <w:trHeight w:val="1032"/>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1</w:t>
            </w:r>
            <w:r/>
          </w:p>
        </w:tc>
        <w:tc>
          <w:tcPr>
            <w:tcW w:w="1398" w:type="dxa"/>
            <w:vAlign w:val="center"/>
            <w:textDirection w:val="lrTb"/>
            <w:noWrap w:val="false"/>
          </w:tcPr>
          <w:p>
            <w:pPr>
              <w:jc w:val="center"/>
              <w:spacing w:line="360" w:lineRule="auto"/>
              <w:rPr>
                <w:rFonts w:ascii="宋体" w:hAnsi="宋体" w:eastAsia="宋体"/>
                <w:sz w:val="24"/>
              </w:rPr>
            </w:pPr>
            <w:r/>
            <w:bookmarkStart w:id="242" w:name="OLE_LINK71"/>
            <w:r/>
            <w:bookmarkStart w:id="243" w:name="OLE_LINK72"/>
            <w:r>
              <w:rPr>
                <w:rFonts w:hint="eastAsia" w:ascii="宋体" w:hAnsi="宋体" w:eastAsia="宋体"/>
                <w:sz w:val="24"/>
              </w:rPr>
              <w:t xml:space="preserve">价格分</w:t>
            </w:r>
            <w:bookmarkEnd w:id="242"/>
            <w:r/>
            <w:bookmarkEnd w:id="243"/>
            <w:r/>
            <w:r/>
          </w:p>
        </w:tc>
        <w:tc>
          <w:tcPr>
            <w:tcW w:w="851"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0</w:t>
            </w:r>
            <w:r>
              <w:rPr>
                <w:rFonts w:hint="eastAsia" w:ascii="宋体" w:hAnsi="宋体" w:eastAsia="宋体"/>
                <w:sz w:val="24"/>
              </w:rPr>
              <w:t xml:space="preserve">分</w:t>
            </w:r>
            <w:r/>
          </w:p>
        </w:tc>
        <w:tc>
          <w:tcPr>
            <w:tcW w:w="6022" w:type="dxa"/>
            <w:vAlign w:val="center"/>
            <w:textDirection w:val="lrTb"/>
            <w:noWrap w:val="false"/>
          </w:tcPr>
          <w:p>
            <w:pPr>
              <w:jc w:val="left"/>
              <w:spacing w:line="360" w:lineRule="auto"/>
              <w:rPr>
                <w:rFonts w:ascii="宋体" w:hAnsi="宋体" w:eastAsia="宋体"/>
                <w:sz w:val="24"/>
              </w:rPr>
            </w:pPr>
            <w:r/>
            <w:bookmarkStart w:id="244" w:name="OLE_LINK73"/>
            <w:r/>
            <w:bookmarkStart w:id="245" w:name="OLE_LINK74"/>
            <w:r>
              <w:rPr>
                <w:rFonts w:hint="eastAsia" w:ascii="宋体" w:hAnsi="宋体" w:eastAsia="宋体"/>
                <w:sz w:val="24"/>
              </w:rPr>
              <w:t xml:space="preserve">本项目采用低价优先法计算，即满足招标文件要求且投标价格最低的投标报价为评标基准价，其价格分为满分：4</w:t>
            </w:r>
            <w:r>
              <w:rPr>
                <w:rFonts w:ascii="宋体" w:hAnsi="宋体" w:eastAsia="宋体"/>
                <w:sz w:val="24"/>
              </w:rPr>
              <w:t xml:space="preserve">0分。</w:t>
            </w:r>
            <w:r/>
          </w:p>
          <w:p>
            <w:pPr>
              <w:jc w:val="left"/>
              <w:spacing w:line="360" w:lineRule="auto"/>
              <w:rPr>
                <w:rFonts w:ascii="宋体" w:hAnsi="宋体" w:eastAsia="宋体"/>
                <w:sz w:val="24"/>
              </w:rPr>
            </w:pPr>
            <w:r>
              <w:rPr>
                <w:rFonts w:hint="eastAsia" w:ascii="宋体" w:hAnsi="宋体" w:eastAsia="宋体"/>
                <w:sz w:val="24"/>
              </w:rPr>
              <w:t xml:space="preserve">其他投标人的价格</w:t>
            </w:r>
            <w:r>
              <w:rPr>
                <w:rFonts w:hint="eastAsia" w:ascii="宋体" w:hAnsi="宋体" w:eastAsia="宋体"/>
                <w:sz w:val="24"/>
              </w:rPr>
              <w:t xml:space="preserve">分统一</w:t>
            </w:r>
            <w:r>
              <w:rPr>
                <w:rFonts w:hint="eastAsia" w:ascii="宋体" w:hAnsi="宋体" w:eastAsia="宋体"/>
                <w:sz w:val="24"/>
              </w:rPr>
              <w:t xml:space="preserve">按照下列公式计算：投标报价得分</w:t>
            </w:r>
            <w:r>
              <w:rPr>
                <w:rFonts w:ascii="宋体" w:hAnsi="宋体" w:eastAsia="宋体"/>
                <w:sz w:val="24"/>
              </w:rPr>
              <w:t xml:space="preserve">=(评标基准价／投标报价)×</w:t>
            </w:r>
            <w:r>
              <w:rPr>
                <w:rFonts w:hint="eastAsia" w:ascii="宋体" w:hAnsi="宋体" w:eastAsia="宋体"/>
                <w:sz w:val="24"/>
              </w:rPr>
              <w:t xml:space="preserve">4</w:t>
            </w:r>
            <w:r>
              <w:rPr>
                <w:rFonts w:ascii="宋体" w:hAnsi="宋体" w:eastAsia="宋体"/>
                <w:sz w:val="24"/>
              </w:rPr>
              <w:t xml:space="preserve">0（按四舍五入取至小数点后两位）。</w:t>
            </w:r>
            <w:r/>
          </w:p>
          <w:p>
            <w:pPr>
              <w:jc w:val="left"/>
              <w:spacing w:line="360" w:lineRule="auto"/>
              <w:rPr>
                <w:rFonts w:ascii="宋体" w:hAnsi="宋体" w:eastAsia="宋体"/>
                <w:sz w:val="24"/>
              </w:rPr>
            </w:pPr>
            <w:r>
              <w:rPr>
                <w:rFonts w:hint="eastAsia" w:ascii="宋体" w:hAnsi="宋体" w:eastAsia="宋体"/>
                <w:sz w:val="24"/>
              </w:rPr>
              <w:t xml:space="preserve">因落实政府采购政策进行价格调整的，以调整后的价格计算评标基准价和投标报价。</w:t>
            </w:r>
            <w:bookmarkEnd w:id="244"/>
            <w:r/>
            <w:bookmarkEnd w:id="245"/>
            <w:r/>
            <w:r/>
          </w:p>
        </w:tc>
      </w:tr>
      <w:tr>
        <w:trPr>
          <w:jc w:val="center"/>
          <w:trHeight w:val="1463"/>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2</w:t>
            </w:r>
            <w:r/>
          </w:p>
        </w:tc>
        <w:tc>
          <w:tcPr>
            <w:tcW w:w="1398" w:type="dxa"/>
            <w:vAlign w:val="center"/>
            <w:textDirection w:val="lrTb"/>
            <w:noWrap w:val="false"/>
          </w:tcPr>
          <w:p>
            <w:pPr>
              <w:jc w:val="center"/>
              <w:spacing w:line="360" w:lineRule="auto"/>
              <w:rPr>
                <w:rFonts w:ascii="宋体" w:hAnsi="宋体" w:eastAsia="宋体" w:cs="宋体"/>
                <w:sz w:val="24"/>
              </w:rPr>
            </w:pPr>
            <w:r/>
            <w:bookmarkStart w:id="246" w:name="OLE_LINK75"/>
            <w:r/>
            <w:bookmarkStart w:id="247" w:name="OLE_LINK76"/>
            <w:r>
              <w:rPr>
                <w:rFonts w:hint="eastAsia" w:ascii="宋体" w:hAnsi="宋体" w:eastAsia="宋体" w:cs="宋体"/>
                <w:sz w:val="24"/>
              </w:rPr>
              <w:t xml:space="preserve">技术参数响应</w:t>
            </w:r>
            <w:bookmarkEnd w:id="246"/>
            <w:r/>
            <w:bookmarkEnd w:id="247"/>
            <w:r/>
            <w:r/>
          </w:p>
        </w:tc>
        <w:tc>
          <w:tcPr>
            <w:tcW w:w="851"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olor w:val="000000"/>
                <w:sz w:val="24"/>
              </w:rPr>
              <w:t xml:space="preserve">26分</w:t>
            </w:r>
            <w:r/>
          </w:p>
        </w:tc>
        <w:tc>
          <w:tcPr>
            <w:tcW w:w="6022" w:type="dxa"/>
            <w:vAlign w:val="center"/>
            <w:textDirection w:val="lrTb"/>
            <w:noWrap w:val="false"/>
          </w:tcPr>
          <w:p>
            <w:pPr>
              <w:jc w:val="left"/>
              <w:spacing w:line="360" w:lineRule="auto"/>
              <w:rPr>
                <w:rFonts w:ascii="宋体" w:hAnsi="宋体" w:eastAsia="宋体"/>
                <w:sz w:val="24"/>
              </w:rPr>
            </w:pPr>
            <w:r/>
            <w:bookmarkStart w:id="248" w:name="OLE_LINK77"/>
            <w:r/>
            <w:bookmarkStart w:id="249" w:name="OLE_LINK78"/>
            <w:r>
              <w:rPr>
                <w:rFonts w:hint="eastAsia" w:ascii="宋体" w:hAnsi="宋体" w:eastAsia="宋体"/>
                <w:sz w:val="24"/>
              </w:rPr>
              <w:t xml:space="preserve">投标人所投设备</w:t>
            </w:r>
            <w:r>
              <w:rPr>
                <w:rFonts w:hint="eastAsia" w:ascii="宋体" w:hAnsi="宋体" w:eastAsia="宋体"/>
                <w:sz w:val="24"/>
              </w:rPr>
              <w:t xml:space="preserve">完全响应</w:t>
            </w:r>
            <w:r>
              <w:rPr>
                <w:rFonts w:hint="eastAsia" w:ascii="宋体" w:hAnsi="宋体" w:eastAsia="宋体"/>
                <w:sz w:val="24"/>
              </w:rPr>
              <w:t xml:space="preserve">招标文件“第四章 采购需求- 三、技术要求”的，得满分26分。技术要求中带“★”参数如出现负偏离每项扣2分；带“▲”参数如出现负偏离每项扣1分；其他参数如出现负偏离每项扣0.5分；正偏离不加分，扣完为止。</w:t>
            </w:r>
            <w:r/>
          </w:p>
          <w:p>
            <w:pPr>
              <w:jc w:val="left"/>
              <w:spacing w:line="360" w:lineRule="auto"/>
              <w:rPr>
                <w:rFonts w:ascii="宋体" w:hAnsi="宋体" w:eastAsia="宋体"/>
                <w:color w:val="ee0000"/>
                <w:sz w:val="24"/>
              </w:rPr>
            </w:pPr>
            <w:r>
              <w:rPr>
                <w:rFonts w:ascii="宋体" w:hAnsi="宋体" w:eastAsia="宋体"/>
                <w:color w:val="ee0000"/>
                <w:sz w:val="24"/>
              </w:rPr>
              <w:t xml:space="preserve">注：1.</w:t>
            </w:r>
            <w:r>
              <w:rPr>
                <w:rFonts w:hint="eastAsia" w:ascii="宋体" w:hAnsi="宋体" w:eastAsia="宋体" w:cs="宋体"/>
                <w:color w:val="ee0000"/>
                <w:sz w:val="24"/>
                <w:lang w:bidi="ar"/>
              </w:rPr>
              <w:t xml:space="preserve"> 各投标人需针对“招标文件”要求在投标文件《技术要求响应及偏离表》中逐条列出响应及偏差情况并予以说明。</w:t>
            </w:r>
            <w:r/>
          </w:p>
          <w:p>
            <w:pPr>
              <w:jc w:val="left"/>
              <w:spacing w:line="360" w:lineRule="auto"/>
              <w:rPr>
                <w:rFonts w:ascii="宋体" w:hAnsi="宋体" w:eastAsia="宋体"/>
                <w:sz w:val="24"/>
              </w:rPr>
            </w:pPr>
            <w:r>
              <w:rPr>
                <w:rFonts w:ascii="宋体" w:hAnsi="宋体" w:eastAsia="宋体"/>
                <w:color w:val="ee0000"/>
                <w:sz w:val="24"/>
              </w:rPr>
              <w:t xml:space="preserve">2.需提供证明材料的以提供的证明材料为准，否则不予认可。</w:t>
            </w:r>
            <w:bookmarkEnd w:id="248"/>
            <w:r/>
            <w:bookmarkEnd w:id="249"/>
            <w:r/>
            <w:r/>
          </w:p>
        </w:tc>
      </w:tr>
      <w:tr>
        <w:trPr>
          <w:jc w:val="center"/>
          <w:trHeight w:val="1032"/>
        </w:trPr>
        <w:tc>
          <w:tcPr>
            <w:tcW w:w="658" w:type="dxa"/>
            <w:vAlign w:val="center"/>
            <w:textDirection w:val="lrTb"/>
            <w:noWrap w:val="false"/>
          </w:tcPr>
          <w:p>
            <w:pPr>
              <w:jc w:val="center"/>
              <w:spacing w:line="360" w:lineRule="auto"/>
              <w:rPr>
                <w:rFonts w:ascii="宋体" w:hAnsi="宋体" w:eastAsia="宋体"/>
                <w:sz w:val="24"/>
              </w:rPr>
            </w:pPr>
            <w:r>
              <w:rPr>
                <w:rFonts w:ascii="宋体" w:hAnsi="宋体" w:eastAsia="宋体"/>
                <w:sz w:val="24"/>
              </w:rPr>
              <w:t xml:space="preserve">3</w:t>
            </w:r>
            <w:r/>
          </w:p>
        </w:tc>
        <w:tc>
          <w:tcPr>
            <w:tcW w:w="139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产品业绩</w:t>
            </w:r>
            <w:r/>
          </w:p>
        </w:tc>
        <w:tc>
          <w:tcPr>
            <w:tcW w:w="851" w:type="dxa"/>
            <w:vAlign w:val="center"/>
            <w:textDirection w:val="lrTb"/>
            <w:noWrap w:val="false"/>
          </w:tcPr>
          <w:p>
            <w:pPr>
              <w:jc w:val="center"/>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W w:w="6022" w:type="dxa"/>
            <w:vAlign w:val="center"/>
            <w:textDirection w:val="lrTb"/>
            <w:noWrap w:val="false"/>
          </w:tcPr>
          <w:p>
            <w:pPr>
              <w:jc w:val="left"/>
              <w:spacing w:line="360" w:lineRule="auto"/>
              <w:rPr>
                <w:rFonts w:ascii="宋体" w:hAnsi="宋体" w:eastAsia="宋体"/>
                <w:sz w:val="24"/>
              </w:rPr>
            </w:pPr>
            <w:r/>
            <w:bookmarkStart w:id="250" w:name="OLE_LINK1"/>
            <w:r/>
            <w:bookmarkStart w:id="251" w:name="_Hlk232083348"/>
            <w:r>
              <w:rPr>
                <w:rFonts w:hint="eastAsia" w:ascii="宋体" w:hAnsi="宋体" w:eastAsia="宋体"/>
                <w:sz w:val="24"/>
              </w:rPr>
              <w:t xml:space="preserve">自202</w:t>
            </w:r>
            <w:r>
              <w:rPr>
                <w:rFonts w:ascii="宋体" w:hAnsi="宋体" w:eastAsia="宋体"/>
                <w:sz w:val="24"/>
              </w:rPr>
              <w:t xml:space="preserve">3</w:t>
            </w:r>
            <w:r>
              <w:rPr>
                <w:rFonts w:hint="eastAsia" w:ascii="宋体" w:hAnsi="宋体" w:eastAsia="宋体"/>
                <w:sz w:val="24"/>
              </w:rPr>
              <w:t xml:space="preserve">年1月1日以来（以合同签订时间为准）类似本项目净水设备的产品业绩，需提供合同及验收材料证明</w:t>
            </w:r>
            <w:bookmarkEnd w:id="250"/>
            <w:r>
              <w:rPr>
                <w:rFonts w:hint="eastAsia" w:ascii="宋体" w:hAnsi="宋体" w:eastAsia="宋体"/>
                <w:sz w:val="24"/>
              </w:rPr>
              <w:t xml:space="preserve">；每个业绩得</w:t>
            </w:r>
            <w:r>
              <w:rPr>
                <w:rFonts w:ascii="宋体" w:hAnsi="宋体" w:eastAsia="宋体"/>
                <w:sz w:val="24"/>
              </w:rPr>
              <w:t xml:space="preserve">2</w:t>
            </w:r>
            <w:r>
              <w:rPr>
                <w:rFonts w:hint="eastAsia" w:ascii="宋体" w:hAnsi="宋体" w:eastAsia="宋体"/>
                <w:sz w:val="24"/>
              </w:rPr>
              <w:t xml:space="preserve">分，本项最高6分。（投标时提供合同及验收材料证明，不提供不得分。）</w:t>
            </w:r>
            <w:bookmarkEnd w:id="251"/>
            <w:r/>
            <w:r/>
          </w:p>
        </w:tc>
      </w:tr>
      <w:tr>
        <w:trPr>
          <w:jc w:val="center"/>
          <w:trHeight w:val="1032"/>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4</w:t>
            </w:r>
            <w:r/>
          </w:p>
        </w:tc>
        <w:tc>
          <w:tcPr>
            <w:tcW w:w="139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平台对接</w:t>
            </w:r>
            <w:r/>
          </w:p>
        </w:tc>
        <w:tc>
          <w:tcPr>
            <w:tcW w:w="851"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3分</w:t>
            </w:r>
            <w:r/>
          </w:p>
        </w:tc>
        <w:tc>
          <w:tcPr>
            <w:tcW w:w="6022" w:type="dxa"/>
            <w:vAlign w:val="center"/>
            <w:textDirection w:val="lrTb"/>
            <w:noWrap w:val="false"/>
          </w:tcPr>
          <w:p>
            <w:pPr>
              <w:jc w:val="left"/>
              <w:spacing w:line="360" w:lineRule="auto"/>
              <w:rPr>
                <w:rFonts w:ascii="宋体" w:hAnsi="宋体" w:eastAsia="宋体"/>
                <w:sz w:val="24"/>
              </w:rPr>
            </w:pPr>
            <w:r/>
            <w:bookmarkStart w:id="252" w:name="OLE_LINK93"/>
            <w:r/>
            <w:bookmarkStart w:id="253" w:name="OLE_LINK94"/>
            <w:r>
              <w:rPr>
                <w:rFonts w:hint="eastAsia" w:ascii="宋体" w:hAnsi="宋体" w:eastAsia="宋体"/>
                <w:sz w:val="24"/>
              </w:rPr>
              <w:t xml:space="preserve">投标人能实现监控与滨海县教育局安防管理平台无缝对接，提供加盖投标人公章的书面承诺函的得</w:t>
            </w:r>
            <w:r>
              <w:rPr>
                <w:rFonts w:ascii="宋体" w:hAnsi="宋体" w:eastAsia="宋体"/>
                <w:sz w:val="24"/>
              </w:rPr>
              <w:t xml:space="preserve">3</w:t>
            </w:r>
            <w:r>
              <w:rPr>
                <w:rFonts w:hint="eastAsia" w:ascii="宋体" w:hAnsi="宋体" w:eastAsia="宋体"/>
                <w:sz w:val="24"/>
              </w:rPr>
              <w:t xml:space="preserve">分，未提供承诺或承诺内容不符合要求不得分。</w:t>
            </w:r>
            <w:bookmarkEnd w:id="252"/>
            <w:r/>
            <w:bookmarkEnd w:id="253"/>
            <w:r/>
            <w:r/>
          </w:p>
        </w:tc>
      </w:tr>
      <w:tr>
        <w:trPr>
          <w:jc w:val="center"/>
          <w:trHeight w:val="779"/>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5</w:t>
            </w:r>
            <w:r/>
          </w:p>
        </w:tc>
        <w:tc>
          <w:tcPr>
            <w:tcW w:w="1398"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项目实施方案</w:t>
            </w:r>
            <w:r/>
          </w:p>
        </w:tc>
        <w:tc>
          <w:tcPr>
            <w:tcW w:w="851" w:type="dxa"/>
            <w:vAlign w:val="center"/>
            <w:textDirection w:val="lrTb"/>
            <w:noWrap w:val="false"/>
          </w:tcPr>
          <w:p>
            <w:pPr>
              <w:jc w:val="center"/>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分</w:t>
            </w:r>
            <w:r/>
          </w:p>
        </w:tc>
        <w:tc>
          <w:tcPr>
            <w:tcW w:w="6022" w:type="dxa"/>
            <w:vAlign w:val="center"/>
            <w:textDirection w:val="lrTb"/>
            <w:noWrap w:val="false"/>
          </w:tcPr>
          <w:p>
            <w:pPr>
              <w:jc w:val="left"/>
              <w:spacing w:line="360" w:lineRule="auto"/>
              <w:rPr>
                <w:rFonts w:ascii="宋体" w:hAnsi="宋体" w:eastAsia="宋体" w:cs="宋体"/>
                <w:sz w:val="24"/>
              </w:rPr>
            </w:pPr>
            <w:r/>
            <w:bookmarkStart w:id="254" w:name="OLE_LINK95"/>
            <w:r/>
            <w:bookmarkStart w:id="255" w:name="OLE_LINK96"/>
            <w:r>
              <w:rPr>
                <w:rFonts w:hint="eastAsia" w:ascii="宋体" w:hAnsi="宋体"/>
                <w:color w:val="000000" w:themeColor="text1"/>
                <w:sz w:val="24"/>
              </w:rPr>
              <w:t xml:space="preserve">投标人根据第四章采购需求中“项目实施方案” 要求，提供科学合理的项目实施方案，至少包含：</w:t>
            </w:r>
            <w:r>
              <w:rPr>
                <w:rFonts w:hint="eastAsia" w:ascii="宋体" w:hAnsi="宋体"/>
                <w:sz w:val="24"/>
              </w:rPr>
              <w:t xml:space="preserve">①</w:t>
            </w:r>
            <w:r>
              <w:rPr>
                <w:rFonts w:hint="eastAsia" w:ascii="宋体" w:hAnsi="宋体" w:eastAsia="宋体" w:cs="宋体"/>
                <w:sz w:val="24"/>
              </w:rPr>
              <w:t xml:space="preserve">项目实施进度计划、</w:t>
            </w:r>
            <w:r>
              <w:rPr>
                <w:rFonts w:hint="eastAsia" w:ascii="宋体" w:hAnsi="宋体"/>
                <w:sz w:val="24"/>
              </w:rPr>
              <w:t xml:space="preserve">②</w:t>
            </w:r>
            <w:r>
              <w:rPr>
                <w:rFonts w:hint="eastAsia" w:ascii="宋体" w:hAnsi="宋体" w:eastAsia="宋体" w:cs="宋体"/>
                <w:sz w:val="24"/>
              </w:rPr>
              <w:t xml:space="preserve">供货方案、</w:t>
            </w:r>
            <w:r>
              <w:rPr>
                <w:rFonts w:hint="eastAsia" w:ascii="宋体" w:hAnsi="宋体"/>
                <w:sz w:val="24"/>
              </w:rPr>
              <w:t xml:space="preserve">③</w:t>
            </w:r>
            <w:r>
              <w:rPr>
                <w:rFonts w:hint="eastAsia" w:ascii="宋体" w:hAnsi="宋体" w:eastAsia="宋体" w:cs="宋体"/>
                <w:sz w:val="24"/>
              </w:rPr>
              <w:t xml:space="preserve">安装调试方案、</w:t>
            </w:r>
            <w:r>
              <w:rPr>
                <w:rFonts w:hint="eastAsia" w:ascii="宋体" w:hAnsi="宋体"/>
                <w:sz w:val="24"/>
              </w:rPr>
              <w:t xml:space="preserve">④</w:t>
            </w:r>
            <w:r>
              <w:rPr>
                <w:rFonts w:hint="eastAsia" w:ascii="宋体" w:hAnsi="宋体" w:eastAsia="宋体" w:cs="宋体"/>
                <w:sz w:val="24"/>
              </w:rPr>
              <w:t xml:space="preserve">验收方案等内容：</w:t>
            </w:r>
            <w:r/>
          </w:p>
          <w:p>
            <w:pPr>
              <w:jc w:val="left"/>
              <w:spacing w:line="360" w:lineRule="auto"/>
              <w:rPr>
                <w:rFonts w:ascii="宋体" w:hAnsi="宋体" w:eastAsia="宋体" w:cs="宋体"/>
                <w:sz w:val="24"/>
              </w:rPr>
            </w:pPr>
            <w:r>
              <w:rPr>
                <w:rFonts w:hint="eastAsia" w:ascii="宋体" w:hAnsi="宋体" w:eastAsia="宋体" w:cs="宋体"/>
                <w:sz w:val="24"/>
              </w:rPr>
              <w:t xml:space="preserve">方案内容满足以上全部要求且符合本项目实际需求的，得8分；每有一项内容存在缺失的扣2分；每有一项内容存在不满足（与实际需求不符、有规范性或常识性错误、存在无关的事项等任意一种情形）的扣1分；每有一项内容存在缺陷（缺陷是指表述前后不一致或内容矛盾，仅有框架或标题、语句有歧义，套用其他项目内容等任意一种情形）的扣0.5分，扣完为止。</w:t>
            </w:r>
            <w:bookmarkEnd w:id="254"/>
            <w:r/>
            <w:bookmarkEnd w:id="255"/>
            <w:r/>
            <w:r/>
          </w:p>
        </w:tc>
      </w:tr>
      <w:tr>
        <w:trPr>
          <w:jc w:val="center"/>
          <w:trHeight w:val="861"/>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6</w:t>
            </w:r>
            <w:r/>
          </w:p>
        </w:tc>
        <w:tc>
          <w:tcPr>
            <w:tcW w:w="139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安全保证措施</w:t>
            </w:r>
            <w:r/>
          </w:p>
        </w:tc>
        <w:tc>
          <w:tcPr>
            <w:tcW w:w="851"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9</w:t>
            </w:r>
            <w:r/>
          </w:p>
        </w:tc>
        <w:tc>
          <w:tcPr>
            <w:tcW w:w="6022" w:type="dxa"/>
            <w:vAlign w:val="center"/>
            <w:textDirection w:val="lrTb"/>
            <w:noWrap w:val="false"/>
          </w:tcPr>
          <w:p>
            <w:pPr>
              <w:spacing w:line="360" w:lineRule="auto"/>
              <w:rPr>
                <w:rFonts w:ascii="宋体" w:hAnsi="宋体" w:eastAsia="宋体"/>
                <w:sz w:val="24"/>
              </w:rPr>
            </w:pPr>
            <w:r/>
            <w:bookmarkStart w:id="256" w:name="OLE_LINK97"/>
            <w:r>
              <w:rPr>
                <w:rFonts w:hint="eastAsia" w:ascii="宋体" w:hAnsi="宋体"/>
                <w:color w:val="000000" w:themeColor="text1"/>
                <w:sz w:val="24"/>
              </w:rPr>
              <w:t xml:space="preserve">投标人根据第四章采购需求中“安全保证措施”要求</w:t>
            </w:r>
            <w:r>
              <w:rPr>
                <w:rFonts w:hint="eastAsia" w:ascii="宋体" w:hAnsi="宋体" w:eastAsia="宋体"/>
                <w:sz w:val="24"/>
              </w:rPr>
              <w:t xml:space="preserve">，结合采购人的需求制定，</w:t>
            </w:r>
            <w:r>
              <w:rPr>
                <w:rFonts w:hint="eastAsia" w:ascii="宋体" w:hAnsi="宋体"/>
                <w:color w:val="000000" w:themeColor="text1"/>
                <w:sz w:val="24"/>
              </w:rPr>
              <w:t xml:space="preserve">至少包含：</w:t>
            </w:r>
            <w:r>
              <w:rPr>
                <w:rFonts w:hint="eastAsia" w:ascii="宋体" w:hAnsi="宋体"/>
                <w:sz w:val="24"/>
              </w:rPr>
              <w:t xml:space="preserve">①</w:t>
            </w:r>
            <w:r>
              <w:rPr>
                <w:rFonts w:hint="eastAsia" w:ascii="宋体" w:hAnsi="宋体" w:eastAsia="宋体"/>
                <w:sz w:val="24"/>
              </w:rPr>
              <w:t xml:space="preserve">安全管理体系、</w:t>
            </w:r>
            <w:r>
              <w:rPr>
                <w:rFonts w:hint="eastAsia" w:ascii="宋体" w:hAnsi="宋体"/>
                <w:sz w:val="24"/>
              </w:rPr>
              <w:t xml:space="preserve">②</w:t>
            </w:r>
            <w:r>
              <w:rPr>
                <w:rFonts w:ascii="宋体" w:hAnsi="宋体" w:eastAsia="宋体"/>
                <w:sz w:val="24"/>
              </w:rPr>
              <w:t xml:space="preserve">安全技术措施</w:t>
            </w:r>
            <w:r>
              <w:rPr>
                <w:rFonts w:hint="eastAsia" w:ascii="宋体" w:hAnsi="宋体" w:eastAsia="宋体"/>
                <w:sz w:val="24"/>
              </w:rPr>
              <w:t xml:space="preserve">、</w:t>
            </w:r>
            <w:r>
              <w:rPr>
                <w:rFonts w:hint="eastAsia" w:ascii="宋体" w:hAnsi="宋体"/>
                <w:sz w:val="24"/>
              </w:rPr>
              <w:t xml:space="preserve">③</w:t>
            </w:r>
            <w:r>
              <w:rPr>
                <w:rFonts w:hint="eastAsia" w:ascii="宋体" w:hAnsi="宋体" w:eastAsia="宋体"/>
                <w:sz w:val="24"/>
              </w:rPr>
              <w:t xml:space="preserve">水电</w:t>
            </w:r>
            <w:r>
              <w:rPr>
                <w:rFonts w:ascii="宋体" w:hAnsi="宋体" w:eastAsia="宋体"/>
                <w:sz w:val="24"/>
              </w:rPr>
              <w:t xml:space="preserve">作业</w:t>
            </w:r>
            <w:r>
              <w:rPr>
                <w:rFonts w:hint="eastAsia" w:ascii="宋体" w:hAnsi="宋体" w:eastAsia="宋体"/>
                <w:sz w:val="24"/>
              </w:rPr>
              <w:t xml:space="preserve">安全</w:t>
            </w:r>
            <w:r>
              <w:rPr>
                <w:rFonts w:ascii="宋体" w:hAnsi="宋体" w:eastAsia="宋体"/>
                <w:sz w:val="24"/>
              </w:rPr>
              <w:t xml:space="preserve">措施</w:t>
            </w:r>
            <w:r>
              <w:rPr>
                <w:rFonts w:hint="eastAsia" w:ascii="宋体" w:hAnsi="宋体" w:eastAsia="宋体"/>
                <w:sz w:val="24"/>
              </w:rPr>
              <w:t xml:space="preserve">等内容：</w:t>
            </w:r>
            <w:r/>
          </w:p>
          <w:p>
            <w:pPr>
              <w:spacing w:line="360" w:lineRule="auto"/>
              <w:rPr>
                <w:rFonts w:ascii="宋体" w:hAnsi="宋体" w:eastAsia="宋体"/>
                <w:color w:val="ff0000"/>
                <w:sz w:val="24"/>
              </w:rPr>
            </w:pPr>
            <w:r>
              <w:rPr>
                <w:rFonts w:hint="eastAsia" w:ascii="宋体" w:hAnsi="宋体" w:eastAsia="宋体" w:cs="宋体"/>
                <w:sz w:val="24"/>
              </w:rPr>
              <w:t xml:space="preserve">方案内容满足以上全部要求且符合本项目实际需求的，得6分；每有一项内容存在缺失的扣3分；每有一项内容存在不满足（与实际需求不符、有规范性或常识性错误、存在无关的事项等任意一种情形）的扣2分；每有一项内容存在缺陷（缺陷是指表述前后不一致或内容矛盾，仅有框架或标题、语句有歧义，套用其他项目内容等任意一种情形）的扣1分，扣完为止。</w:t>
            </w:r>
            <w:bookmarkEnd w:id="256"/>
            <w:r/>
            <w:r/>
          </w:p>
        </w:tc>
      </w:tr>
      <w:tr>
        <w:trPr>
          <w:jc w:val="center"/>
          <w:trHeight w:val="402"/>
        </w:trPr>
        <w:tc>
          <w:tcPr>
            <w:tcW w:w="658" w:type="dxa"/>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7</w:t>
            </w:r>
            <w:r/>
          </w:p>
        </w:tc>
        <w:tc>
          <w:tcPr>
            <w:tcW w:w="1398" w:type="dxa"/>
            <w:vAlign w:val="center"/>
            <w:textDirection w:val="lrTb"/>
            <w:noWrap w:val="false"/>
          </w:tcPr>
          <w:p>
            <w:pPr>
              <w:jc w:val="center"/>
              <w:spacing w:line="360" w:lineRule="auto"/>
              <w:rPr>
                <w:rFonts w:ascii="宋体" w:hAnsi="宋体" w:eastAsia="宋体" w:cs="宋体"/>
                <w:sz w:val="24"/>
              </w:rPr>
            </w:pPr>
            <w:r>
              <w:rPr>
                <w:rFonts w:ascii="宋体" w:hAnsi="宋体" w:eastAsia="宋体"/>
                <w:spacing w:val="-3"/>
                <w:sz w:val="24"/>
              </w:rPr>
              <w:t xml:space="preserve">售后服务</w:t>
            </w:r>
            <w:r>
              <w:rPr>
                <w:rFonts w:hint="eastAsia" w:ascii="宋体" w:hAnsi="宋体" w:eastAsia="宋体"/>
                <w:spacing w:val="-3"/>
                <w:sz w:val="24"/>
              </w:rPr>
              <w:t xml:space="preserve">方案</w:t>
            </w:r>
            <w:r/>
          </w:p>
        </w:tc>
        <w:tc>
          <w:tcPr>
            <w:tcW w:w="851"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olor w:val="000000"/>
                <w:sz w:val="24"/>
              </w:rPr>
              <w:t xml:space="preserve">6</w:t>
            </w:r>
            <w:r/>
          </w:p>
        </w:tc>
        <w:tc>
          <w:tcPr>
            <w:tcW w:w="6022" w:type="dxa"/>
            <w:vAlign w:val="center"/>
            <w:textDirection w:val="lrTb"/>
            <w:noWrap w:val="false"/>
          </w:tcPr>
          <w:p>
            <w:pPr>
              <w:jc w:val="left"/>
              <w:spacing w:line="360" w:lineRule="auto"/>
              <w:rPr>
                <w:rFonts w:ascii="宋体" w:hAnsi="宋体" w:eastAsia="宋体" w:cs="宋体"/>
                <w:sz w:val="24"/>
              </w:rPr>
            </w:pPr>
            <w:r/>
            <w:bookmarkStart w:id="257" w:name="OLE_LINK98"/>
            <w:r/>
            <w:bookmarkStart w:id="258" w:name="OLE_LINK99"/>
            <w:r>
              <w:rPr>
                <w:rFonts w:hint="eastAsia" w:ascii="宋体" w:hAnsi="宋体"/>
                <w:color w:val="000000" w:themeColor="text1"/>
                <w:sz w:val="24"/>
              </w:rPr>
              <w:t xml:space="preserve">投标人根据第四章采购需求中“售后服务方案”要求</w:t>
            </w:r>
            <w:r>
              <w:rPr>
                <w:rFonts w:hint="eastAsia" w:ascii="宋体" w:hAnsi="宋体"/>
                <w:color w:val="000000" w:themeColor="text1"/>
                <w:sz w:val="24"/>
              </w:rPr>
              <w:t xml:space="preserve">提供</w:t>
            </w:r>
            <w:r>
              <w:rPr>
                <w:rFonts w:hint="eastAsia" w:ascii="宋体" w:hAnsi="宋体" w:eastAsia="宋体" w:cs="宋体"/>
                <w:sz w:val="24"/>
              </w:rPr>
              <w:t xml:space="preserve">提供</w:t>
            </w:r>
            <w:r>
              <w:rPr>
                <w:rFonts w:hint="eastAsia" w:ascii="宋体" w:hAnsi="宋体" w:eastAsia="宋体" w:cs="宋体"/>
                <w:sz w:val="24"/>
              </w:rPr>
              <w:t xml:space="preserve">切实可行的售后服务方案，至少包含</w:t>
            </w:r>
            <w:r>
              <w:rPr>
                <w:rFonts w:hint="eastAsia" w:ascii="宋体" w:hAnsi="宋体"/>
                <w:sz w:val="24"/>
              </w:rPr>
              <w:t xml:space="preserve">①</w:t>
            </w:r>
            <w:r>
              <w:rPr>
                <w:rFonts w:hint="eastAsia" w:ascii="宋体" w:hAnsi="宋体" w:eastAsia="宋体" w:cs="宋体"/>
                <w:sz w:val="24"/>
              </w:rPr>
              <w:t xml:space="preserve">售后团队设立、</w:t>
            </w:r>
            <w:r>
              <w:rPr>
                <w:rFonts w:hint="eastAsia" w:ascii="宋体" w:hAnsi="宋体"/>
                <w:sz w:val="24"/>
              </w:rPr>
              <w:t xml:space="preserve">②</w:t>
            </w:r>
            <w:r>
              <w:rPr>
                <w:rFonts w:hint="eastAsia" w:ascii="宋体" w:hAnsi="宋体" w:eastAsia="宋体" w:cs="宋体"/>
                <w:sz w:val="24"/>
              </w:rPr>
              <w:t xml:space="preserve">维保方案</w:t>
            </w:r>
            <w:r>
              <w:rPr>
                <w:rFonts w:hint="eastAsia" w:ascii="宋体" w:hAnsi="宋体" w:eastAsia="宋体" w:cs="宋体"/>
                <w:sz w:val="24"/>
              </w:rPr>
              <w:t xml:space="preserve">、</w:t>
            </w:r>
            <w:r>
              <w:rPr>
                <w:rFonts w:hint="eastAsia" w:ascii="宋体" w:hAnsi="宋体"/>
                <w:sz w:val="24"/>
              </w:rPr>
              <w:t xml:space="preserve">③</w:t>
            </w:r>
            <w:r>
              <w:rPr>
                <w:rFonts w:hint="eastAsia" w:ascii="宋体" w:hAnsi="宋体" w:eastAsia="宋体" w:cs="宋体"/>
                <w:sz w:val="24"/>
              </w:rPr>
              <w:t xml:space="preserve">故障应急预案、</w:t>
            </w:r>
            <w:r>
              <w:rPr>
                <w:rFonts w:hint="eastAsia" w:ascii="宋体" w:hAnsi="宋体"/>
                <w:sz w:val="24"/>
              </w:rPr>
              <w:t xml:space="preserve">④</w:t>
            </w:r>
            <w:r>
              <w:rPr>
                <w:rFonts w:hint="eastAsia" w:ascii="宋体" w:hAnsi="宋体" w:eastAsia="宋体" w:cs="宋体"/>
                <w:sz w:val="24"/>
              </w:rPr>
              <w:t xml:space="preserve">备品备件的供应方案等内容：</w:t>
            </w:r>
            <w:r/>
          </w:p>
          <w:p>
            <w:pPr>
              <w:jc w:val="left"/>
              <w:spacing w:line="360" w:lineRule="auto"/>
              <w:rPr>
                <w:rFonts w:ascii="宋体" w:hAnsi="宋体" w:eastAsia="宋体" w:cs="宋体"/>
                <w:sz w:val="24"/>
              </w:rPr>
            </w:pPr>
            <w:r>
              <w:rPr>
                <w:rFonts w:hint="eastAsia" w:ascii="宋体" w:hAnsi="宋体" w:eastAsia="宋体" w:cs="宋体"/>
                <w:sz w:val="24"/>
              </w:rPr>
              <w:t xml:space="preserve">方案内容满足以上全部要求且符合本项目实际需求的，得6分；每有一项内容存在缺失的扣</w:t>
            </w:r>
            <w:r>
              <w:rPr>
                <w:rFonts w:hint="eastAsia" w:ascii="宋体" w:hAnsi="宋体" w:eastAsia="宋体" w:cs="宋体"/>
                <w:sz w:val="24"/>
              </w:rPr>
              <w:t xml:space="preserve">1.5</w:t>
            </w:r>
            <w:r>
              <w:rPr>
                <w:rFonts w:hint="eastAsia" w:ascii="宋体" w:hAnsi="宋体" w:eastAsia="宋体" w:cs="宋体"/>
                <w:sz w:val="24"/>
              </w:rPr>
              <w:t xml:space="preserve">分；每有一项内容存在不满足（与实际需求不符、有规范性或常识性错误、存在无关的事项等任意一种情形）的扣1分；每有一项内容存在缺陷（缺陷是指表述前后不一致或内容矛盾，仅有框架或标题、语句有歧义，套用其他项目内容等任意一种情形）的扣0.5分，扣完为止。</w:t>
            </w:r>
            <w:bookmarkEnd w:id="257"/>
            <w:r/>
            <w:bookmarkEnd w:id="258"/>
            <w:r/>
            <w:r/>
          </w:p>
        </w:tc>
      </w:tr>
      <w:tr>
        <w:trPr>
          <w:jc w:val="center"/>
          <w:trHeight w:val="1200"/>
        </w:trPr>
        <w:tc>
          <w:tcPr>
            <w:tcW w:w="658" w:type="dxa"/>
            <w:vAlign w:val="center"/>
            <w:vMerge w:val="restart"/>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8</w:t>
            </w:r>
            <w:r/>
          </w:p>
        </w:tc>
        <w:tc>
          <w:tcPr>
            <w:tcW w:w="1398" w:type="dxa"/>
            <w:vAlign w:val="center"/>
            <w:vMerge w:val="restart"/>
            <w:textDirection w:val="lrTb"/>
            <w:noWrap w:val="false"/>
          </w:tcPr>
          <w:p>
            <w:pPr>
              <w:pStyle w:val="893"/>
              <w:ind w:firstLine="0"/>
              <w:jc w:val="center"/>
              <w:widowControl/>
              <w:rPr>
                <w:rFonts w:ascii="宋体" w:hAnsi="宋体" w:eastAsia="宋体" w:cs="宋体"/>
              </w:rPr>
            </w:pPr>
            <w:r>
              <w:rPr>
                <w:rFonts w:hint="eastAsia" w:ascii="宋体" w:hAnsi="宋体" w:eastAsia="宋体" w:cs="宋体"/>
              </w:rPr>
              <w:t xml:space="preserve">节能环保</w:t>
            </w:r>
            <w:r/>
          </w:p>
        </w:tc>
        <w:tc>
          <w:tcPr>
            <w:tcW w:w="851" w:type="dxa"/>
            <w:vAlign w:val="center"/>
            <w:vMerge w:val="restart"/>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2</w:t>
            </w:r>
            <w:r/>
          </w:p>
        </w:tc>
        <w:tc>
          <w:tcPr>
            <w:tcW w:w="6022" w:type="dxa"/>
            <w:vAlign w:val="center"/>
            <w:textDirection w:val="lrTb"/>
            <w:noWrap w:val="false"/>
          </w:tcPr>
          <w:p>
            <w:pPr>
              <w:jc w:val="left"/>
              <w:spacing w:line="360" w:lineRule="auto"/>
              <w:rPr>
                <w:rFonts w:ascii="宋体" w:hAnsi="宋体" w:eastAsia="宋体"/>
                <w:sz w:val="24"/>
              </w:rPr>
            </w:pPr>
            <w:r>
              <w:rPr>
                <w:rFonts w:ascii="宋体" w:hAnsi="宋体" w:eastAsia="宋体"/>
                <w:sz w:val="24"/>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tc>
      </w:tr>
      <w:tr>
        <w:trPr>
          <w:jc w:val="center"/>
          <w:trHeight w:val="1200"/>
        </w:trPr>
        <w:tc>
          <w:tcPr>
            <w:tcW w:w="658" w:type="dxa"/>
            <w:vAlign w:val="center"/>
            <w:vMerge w:val="continue"/>
            <w:textDirection w:val="lrTb"/>
            <w:noWrap w:val="false"/>
          </w:tcPr>
          <w:p>
            <w:pPr>
              <w:jc w:val="center"/>
              <w:spacing w:line="360" w:lineRule="auto"/>
              <w:rPr>
                <w:rFonts w:ascii="宋体" w:hAnsi="宋体" w:eastAsia="宋体"/>
                <w:sz w:val="24"/>
              </w:rPr>
            </w:pPr>
            <w:r>
              <w:rPr>
                <w:rFonts w:ascii="宋体" w:hAnsi="宋体" w:eastAsia="宋体"/>
                <w:sz w:val="24"/>
              </w:rPr>
            </w:r>
            <w:r/>
          </w:p>
        </w:tc>
        <w:tc>
          <w:tcPr>
            <w:tcW w:w="1398" w:type="dxa"/>
            <w:vAlign w:val="center"/>
            <w:vMerge w:val="continue"/>
            <w:textDirection w:val="lrTb"/>
            <w:noWrap w:val="false"/>
          </w:tcPr>
          <w:p>
            <w:pPr>
              <w:jc w:val="center"/>
              <w:spacing w:line="360" w:lineRule="auto"/>
              <w:rPr>
                <w:rFonts w:ascii="宋体" w:hAnsi="宋体" w:eastAsia="宋体"/>
                <w:sz w:val="24"/>
              </w:rPr>
            </w:pPr>
            <w:r>
              <w:rPr>
                <w:rFonts w:ascii="宋体" w:hAnsi="宋体" w:eastAsia="宋体"/>
                <w:sz w:val="24"/>
              </w:rPr>
            </w:r>
            <w:r/>
          </w:p>
        </w:tc>
        <w:tc>
          <w:tcPr>
            <w:tcW w:w="851" w:type="dxa"/>
            <w:vAlign w:val="center"/>
            <w:vMerge w:val="continue"/>
            <w:textDirection w:val="lrTb"/>
            <w:noWrap w:val="false"/>
          </w:tcPr>
          <w:p>
            <w:pPr>
              <w:jc w:val="center"/>
              <w:spacing w:line="360" w:lineRule="auto"/>
              <w:rPr>
                <w:rFonts w:ascii="宋体" w:hAnsi="宋体" w:eastAsia="宋体"/>
                <w:sz w:val="24"/>
              </w:rPr>
            </w:pPr>
            <w:r>
              <w:rPr>
                <w:rFonts w:ascii="宋体" w:hAnsi="宋体" w:eastAsia="宋体"/>
                <w:sz w:val="24"/>
              </w:rPr>
            </w:r>
            <w:r/>
          </w:p>
        </w:tc>
        <w:tc>
          <w:tcPr>
            <w:tcW w:w="6022" w:type="dxa"/>
            <w:vAlign w:val="center"/>
            <w:textDirection w:val="lrTb"/>
            <w:noWrap w:val="false"/>
          </w:tcPr>
          <w:p>
            <w:pPr>
              <w:jc w:val="left"/>
              <w:spacing w:line="360" w:lineRule="auto"/>
              <w:rPr>
                <w:rFonts w:ascii="宋体" w:hAnsi="宋体" w:eastAsia="宋体"/>
                <w:sz w:val="24"/>
              </w:rPr>
            </w:pPr>
            <w:r>
              <w:rPr>
                <w:rFonts w:hint="eastAsia" w:ascii="宋体" w:hAnsi="宋体" w:eastAsia="宋体" w:cs="宋体"/>
                <w:sz w:val="24"/>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rPr>
          <w:rFonts w:ascii="宋体" w:hAnsi="宋体" w:eastAsia="宋体" w:cs="宋体"/>
          <w:color w:val="000000"/>
          <w:sz w:val="24"/>
        </w:rPr>
      </w:pPr>
      <w:r>
        <w:rPr>
          <w:rFonts w:ascii="宋体" w:hAnsi="宋体" w:eastAsia="宋体" w:cs="宋体"/>
          <w:color w:val="000000"/>
          <w:sz w:val="24"/>
        </w:rPr>
      </w:r>
      <w:r/>
    </w:p>
    <w:p>
      <w:pPr>
        <w:ind w:firstLine="880"/>
        <w:jc w:val="left"/>
        <w:widowControl/>
        <w:rPr>
          <w:rFonts w:ascii="黑体" w:hAnsi="宋体" w:eastAsia="黑体" w:cs="黑体"/>
          <w:color w:val="000000"/>
          <w:sz w:val="44"/>
          <w:szCs w:val="44"/>
        </w:rPr>
      </w:pPr>
      <w:r>
        <w:rPr>
          <w:rFonts w:ascii="黑体" w:hAnsi="宋体" w:eastAsia="黑体" w:cs="黑体"/>
          <w:color w:val="000000"/>
          <w:sz w:val="44"/>
          <w:szCs w:val="44"/>
        </w:rPr>
      </w:r>
      <w:r/>
    </w:p>
    <w:p>
      <w:pPr>
        <w:ind w:firstLine="880"/>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6"/>
        <w:ind w:firstLine="880"/>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86"/>
        <w:ind w:firstLine="1446"/>
        <w:jc w:val="center"/>
        <w:spacing w:beforeAutospacing="0" w:afterAutospacing="0"/>
      </w:pPr>
      <w:r/>
      <w:bookmarkStart w:id="259" w:name="_Toc49090576"/>
      <w:r/>
      <w:bookmarkStart w:id="260" w:name="_Toc120614282"/>
      <w:r/>
      <w:bookmarkStart w:id="261" w:name="_Hlt26955039"/>
      <w:r/>
      <w:bookmarkStart w:id="262" w:name="_Hlt26671244"/>
      <w:r/>
      <w:bookmarkStart w:id="263" w:name="_Toc26554094"/>
      <w:r/>
      <w:bookmarkEnd w:id="259"/>
      <w:r/>
      <w:bookmarkEnd w:id="260"/>
      <w:r>
        <w:rPr>
          <w:rFonts w:hint="eastAsia" w:ascii="宋体" w:hAnsi="宋体" w:eastAsia="宋体" w:cs="宋体"/>
          <w:b/>
          <w:color w:val="000000"/>
          <w:sz w:val="72"/>
          <w:szCs w:val="72"/>
        </w:rPr>
        <w:t xml:space="preserve">投  标  文  件</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jc w:val="center"/>
        <w:spacing w:beforeAutospacing="0" w:afterAutospacing="0"/>
      </w:pPr>
      <w:r>
        <w:t xml:space="preserve"> </w:t>
      </w:r>
      <w:r/>
    </w:p>
    <w:p>
      <w:pPr>
        <w:pStyle w:val="886"/>
        <w:ind w:firstLine="723"/>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86"/>
        <w:ind w:firstLine="723"/>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86"/>
        <w:ind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886"/>
        <w:ind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r/>
    </w:p>
    <w:p>
      <w:pPr>
        <w:pStyle w:val="886"/>
        <w:jc w:val="center"/>
        <w:spacing w:beforeAutospacing="0" w:afterAutospacing="0" w:line="0" w:lineRule="atLeast"/>
      </w:pPr>
      <w:r>
        <w:t xml:space="preserve"> </w:t>
      </w:r>
      <w:r/>
    </w:p>
    <w:p>
      <w:pPr>
        <w:pStyle w:val="886"/>
        <w:jc w:val="both"/>
        <w:spacing w:beforeAutospacing="0" w:afterAutospacing="0" w:line="0" w:lineRule="atLeast"/>
      </w:pPr>
      <w:r>
        <w:t xml:space="preserve"> </w:t>
      </w:r>
      <w:r/>
    </w:p>
    <w:p>
      <w:pPr>
        <w:pStyle w:val="886"/>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86"/>
        <w:jc w:val="center"/>
        <w:spacing w:beforeAutospacing="0" w:afterAutospacing="0" w:line="0" w:lineRule="atLeast"/>
      </w:pPr>
      <w:r>
        <w:t xml:space="preserve"> </w:t>
      </w:r>
      <w:r/>
    </w:p>
    <w:p>
      <w:pPr>
        <w:pStyle w:val="886"/>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二、上一年度的财务状况报告（至少提供资产负债表、利润表、现金流量表，投标人成立不满一年无需提供）</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七、单位负责人为同一人或者存在直接控股、管理关系的不同供应商，不得参加同一合同项下的政府采购活动。</w:t>
      </w:r>
      <w:r/>
    </w:p>
    <w:p>
      <w:pPr>
        <w:pStyle w:val="886"/>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八、特定资格要求的证明文件</w:t>
      </w:r>
      <w:r/>
    </w:p>
    <w:p>
      <w:pPr>
        <w:pStyle w:val="886"/>
        <w:ind w:firstLine="480"/>
        <w:jc w:val="both"/>
        <w:spacing w:beforeAutospacing="0" w:afterAutospacing="0" w:line="0" w:lineRule="atLeast"/>
        <w:rPr>
          <w:iCs/>
        </w:rPr>
      </w:pPr>
      <w:r>
        <w:rPr>
          <w:rFonts w:hint="eastAsia" w:ascii="宋体" w:hAnsi="宋体" w:eastAsia="宋体" w:cs="宋体"/>
          <w:iCs/>
          <w:color w:val="000000"/>
        </w:rPr>
        <w:t xml:space="preserve">九、法人授权书</w:t>
      </w:r>
      <w:r/>
    </w:p>
    <w:p>
      <w:pPr>
        <w:pStyle w:val="886"/>
        <w:ind w:firstLine="480"/>
        <w:jc w:val="both"/>
        <w:spacing w:beforeAutospacing="0" w:afterAutospacing="0" w:line="0" w:lineRule="atLeast"/>
        <w:rPr>
          <w:iCs/>
        </w:rPr>
      </w:pPr>
      <w:r>
        <w:rPr>
          <w:rFonts w:hint="eastAsia" w:ascii="宋体" w:hAnsi="宋体" w:eastAsia="宋体" w:cs="宋体"/>
          <w:iCs/>
          <w:color w:val="000000"/>
        </w:rPr>
        <w:t xml:space="preserve">十、投标函</w:t>
      </w:r>
      <w:r/>
    </w:p>
    <w:p>
      <w:pPr>
        <w:pStyle w:val="886"/>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86"/>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十二、残疾人福利性单位声明函</w:t>
      </w:r>
      <w:r/>
    </w:p>
    <w:p>
      <w:pPr>
        <w:pStyle w:val="886"/>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十三、 关于符合本国产品标准的声明函</w:t>
      </w:r>
      <w:r/>
    </w:p>
    <w:p>
      <w:pPr>
        <w:pStyle w:val="886"/>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十四、投标分项报价表</w:t>
      </w:r>
      <w:r/>
    </w:p>
    <w:p>
      <w:pPr>
        <w:pStyle w:val="886"/>
        <w:ind w:firstLine="480"/>
        <w:jc w:val="both"/>
        <w:spacing w:beforeAutospacing="0" w:afterAutospacing="0" w:line="0" w:lineRule="atLeast"/>
        <w:rPr>
          <w:iCs/>
        </w:rPr>
      </w:pPr>
      <w:r>
        <w:rPr>
          <w:rFonts w:hint="eastAsia" w:ascii="宋体" w:hAnsi="宋体" w:eastAsia="宋体" w:cs="宋体"/>
          <w:iCs/>
          <w:color w:val="000000"/>
        </w:rPr>
        <w:t xml:space="preserve">十五、技术要求响应及偏离表</w:t>
      </w:r>
      <w:r/>
    </w:p>
    <w:p>
      <w:pPr>
        <w:pStyle w:val="886"/>
        <w:ind w:firstLine="480"/>
        <w:jc w:val="both"/>
        <w:spacing w:beforeAutospacing="0" w:afterAutospacing="0" w:line="0" w:lineRule="atLeast"/>
        <w:rPr>
          <w:iCs/>
        </w:rPr>
      </w:pPr>
      <w:r>
        <w:rPr>
          <w:rFonts w:hint="eastAsia" w:ascii="宋体" w:hAnsi="宋体" w:eastAsia="宋体" w:cs="宋体"/>
          <w:iCs/>
          <w:color w:val="000000"/>
        </w:rPr>
        <w:t xml:space="preserve">十六、商务要求响应及偏离表</w:t>
      </w:r>
      <w:r/>
    </w:p>
    <w:p>
      <w:pPr>
        <w:pStyle w:val="886"/>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十七、开标一览表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十八、其他要求承诺函</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十九、技术方案、服务承诺、培训承诺等</w:t>
      </w:r>
      <w:r/>
    </w:p>
    <w:p>
      <w:pPr>
        <w:pStyle w:val="886"/>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二十、盐城市政府采购事前信用承诺书</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r/>
    </w:p>
    <w:p>
      <w:pPr>
        <w:pStyle w:val="886"/>
        <w:ind w:firstLine="480"/>
        <w:jc w:val="both"/>
        <w:spacing w:beforeAutospacing="0" w:afterAutospacing="0" w:line="0" w:lineRule="atLeast"/>
      </w:pPr>
      <w:r/>
      <w:r/>
    </w:p>
    <w:p>
      <w:pPr>
        <w:pStyle w:val="886"/>
        <w:ind w:firstLine="480"/>
        <w:jc w:val="both"/>
        <w:spacing w:beforeAutospacing="0" w:afterAutospacing="0" w:line="0" w:lineRule="atLeast"/>
      </w:pPr>
      <w:r/>
      <w:r/>
    </w:p>
    <w:p>
      <w:pPr>
        <w:pStyle w:val="886"/>
        <w:ind w:firstLine="480"/>
        <w:jc w:val="both"/>
        <w:spacing w:beforeAutospacing="0" w:afterAutospacing="0" w:line="0" w:lineRule="atLeast"/>
      </w:pPr>
      <w:r/>
      <w:r/>
    </w:p>
    <w:p>
      <w:pPr>
        <w:pStyle w:val="886"/>
        <w:ind w:firstLine="64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86"/>
        <w:ind w:firstLine="480"/>
        <w:jc w:val="both"/>
        <w:spacing w:beforeAutospacing="0" w:afterAutospacing="0" w:line="0" w:lineRule="atLeast"/>
      </w:pPr>
      <w:r>
        <w:t xml:space="preserve"> </w:t>
      </w:r>
      <w:r/>
    </w:p>
    <w:p>
      <w:pPr>
        <w:pStyle w:val="886"/>
        <w:ind w:firstLine="64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86"/>
        <w:jc w:val="both"/>
        <w:spacing w:beforeAutospacing="0" w:afterAutospacing="0"/>
      </w:pPr>
      <w:r>
        <w:t xml:space="preserve"> </w:t>
      </w:r>
      <w:r/>
    </w:p>
    <w:p>
      <w:pPr>
        <w:pStyle w:val="886"/>
        <w:ind w:firstLine="640"/>
        <w:jc w:val="both"/>
        <w:spacing w:beforeAutospacing="0" w:afterAutospacing="0"/>
      </w:pPr>
      <w:r>
        <w:rPr>
          <w:rFonts w:hint="eastAsia" w:ascii="黑体" w:hAnsi="宋体" w:eastAsia="黑体" w:cs="黑体"/>
          <w:i/>
          <w:color w:val="000000"/>
          <w:sz w:val="32"/>
          <w:szCs w:val="32"/>
          <w:u w:val="single"/>
        </w:rPr>
        <w:t xml:space="preserve">三、</w:t>
      </w:r>
      <w:bookmarkStart w:id="264" w:name="OLE_LINK79"/>
      <w:r>
        <w:rPr>
          <w:rFonts w:hint="eastAsia" w:ascii="黑体" w:hAnsi="宋体" w:eastAsia="黑体" w:cs="黑体"/>
          <w:i/>
          <w:color w:val="000000"/>
          <w:sz w:val="32"/>
          <w:szCs w:val="32"/>
          <w:u w:val="single"/>
        </w:rPr>
        <w:t xml:space="preserve">具备履行合同所必需的设备和专业技术能力的书面声明</w:t>
      </w:r>
      <w:r/>
    </w:p>
    <w:p>
      <w:pPr>
        <w:pStyle w:val="886"/>
        <w:ind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86"/>
        <w:ind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64"/>
      <w:r/>
      <w:r/>
    </w:p>
    <w:p>
      <w:pPr>
        <w:pStyle w:val="886"/>
        <w:ind w:firstLine="64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86"/>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86"/>
        <w:jc w:val="both"/>
        <w:spacing w:beforeAutospacing="0" w:afterAutospacing="0"/>
      </w:pPr>
      <w:r>
        <w:t xml:space="preserve"> </w:t>
      </w:r>
      <w:r/>
    </w:p>
    <w:p>
      <w:pPr>
        <w:pStyle w:val="886"/>
        <w:ind w:firstLine="640"/>
        <w:jc w:val="both"/>
        <w:spacing w:beforeAutospacing="0" w:afterAutospacing="0"/>
      </w:pPr>
      <w:r>
        <w:rPr>
          <w:rFonts w:hint="eastAsia" w:ascii="黑体" w:hAnsi="宋体" w:eastAsia="黑体" w:cs="黑体"/>
          <w:i/>
          <w:color w:val="000000"/>
          <w:sz w:val="32"/>
          <w:szCs w:val="32"/>
          <w:u w:val="single"/>
        </w:rPr>
        <w:t xml:space="preserve">五、</w:t>
      </w:r>
      <w:bookmarkStart w:id="265" w:name="OLE_LINK80"/>
      <w:r/>
      <w:bookmarkStart w:id="266" w:name="OLE_LINK81"/>
      <w:r>
        <w:rPr>
          <w:rFonts w:hint="eastAsia" w:ascii="黑体" w:hAnsi="宋体" w:eastAsia="黑体" w:cs="黑体"/>
          <w:i/>
          <w:color w:val="000000"/>
          <w:sz w:val="32"/>
          <w:szCs w:val="32"/>
          <w:u w:val="single"/>
        </w:rPr>
        <w:t xml:space="preserve">参加政府采购活动前 3 年内在经营活动中没有重大违法记录的书面声明</w:t>
      </w:r>
      <w:r/>
    </w:p>
    <w:p>
      <w:pPr>
        <w:pStyle w:val="886"/>
        <w:ind w:firstLine="883"/>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86"/>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86"/>
        <w:ind w:firstLine="482"/>
        <w:jc w:val="both"/>
        <w:spacing w:beforeAutospacing="0" w:afterAutospacing="0" w:line="0" w:lineRule="atLeast"/>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65"/>
      <w:r/>
      <w:bookmarkEnd w:id="266"/>
      <w:r/>
      <w:r/>
    </w:p>
    <w:p>
      <w:pPr>
        <w:pStyle w:val="886"/>
        <w:jc w:val="both"/>
        <w:spacing w:beforeAutospacing="0" w:afterAutospacing="0"/>
      </w:pPr>
      <w:r>
        <w:t xml:space="preserve"> </w:t>
      </w:r>
      <w:r/>
    </w:p>
    <w:p>
      <w:pPr>
        <w:pStyle w:val="886"/>
        <w:ind w:firstLine="640"/>
        <w:jc w:val="both"/>
        <w:spacing w:beforeAutospacing="0" w:afterAutospacing="0"/>
        <w:rPr>
          <w:rFonts w:ascii="黑体" w:hAnsi="宋体" w:eastAsia="黑体" w:cs="黑体"/>
          <w:i/>
          <w:color w:val="000000"/>
          <w:sz w:val="32"/>
          <w:szCs w:val="32"/>
          <w:u w:val="single"/>
        </w:rPr>
      </w:pPr>
      <w:r/>
      <w:bookmarkStart w:id="267" w:name="_Toc120614284"/>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86"/>
        <w:jc w:val="both"/>
        <w:spacing w:beforeAutospacing="0" w:afterAutospacing="0" w:line="0" w:lineRule="atLeast"/>
        <w:rPr>
          <w:rFonts w:ascii="宋体" w:hAnsi="宋体"/>
        </w:rPr>
      </w:pPr>
      <w:r>
        <w:rPr>
          <w:rFonts w:hint="eastAsia" w:ascii="宋体" w:hAnsi="宋体" w:cs="宋体"/>
          <w:color w:val="000000"/>
        </w:rPr>
        <w:t xml:space="preserve">   </w:t>
      </w:r>
      <w:r/>
    </w:p>
    <w:p>
      <w:pPr>
        <w:pStyle w:val="886"/>
        <w:ind w:firstLine="640"/>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w:t>
      </w:r>
      <w:bookmarkStart w:id="268" w:name="OLE_LINK82"/>
      <w:r>
        <w:rPr>
          <w:rFonts w:hint="eastAsia" w:ascii="黑体" w:hAnsi="宋体" w:eastAsia="黑体" w:cs="黑体"/>
          <w:i/>
          <w:color w:val="000000"/>
          <w:sz w:val="32"/>
          <w:szCs w:val="32"/>
          <w:u w:val="single"/>
        </w:rPr>
        <w:t xml:space="preserve">单位负责人为同一人或者存在直接控股、服务关系的不同供应商，不得参加同一合同项下的政府采购活动。</w:t>
      </w:r>
      <w:r/>
    </w:p>
    <w:p>
      <w:pPr>
        <w:pStyle w:val="886"/>
        <w:ind w:firstLine="3534"/>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86"/>
        <w:ind w:firstLine="480"/>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bookmarkEnd w:id="268"/>
      <w:r/>
      <w:r/>
    </w:p>
    <w:p>
      <w:pPr>
        <w:pStyle w:val="886"/>
        <w:jc w:val="both"/>
        <w:spacing w:beforeAutospacing="0" w:afterAutospacing="0"/>
      </w:pPr>
      <w:r/>
      <w:r/>
    </w:p>
    <w:p>
      <w:pPr>
        <w:pStyle w:val="886"/>
        <w:ind w:firstLine="640"/>
        <w:spacing w:beforeAutospacing="0" w:afterAutospacing="0"/>
        <w:rPr>
          <w:rFonts w:ascii="黑体" w:hAnsi="宋体" w:eastAsia="黑体" w:cs="黑体"/>
          <w:i/>
          <w:color w:val="000000"/>
          <w:sz w:val="32"/>
          <w:szCs w:val="32"/>
          <w:u w:val="single"/>
        </w:rPr>
      </w:pPr>
      <w:r>
        <w:rPr>
          <w:rFonts w:hint="eastAsia" w:ascii="黑体" w:hAnsi="宋体" w:eastAsia="黑体" w:cs="黑体"/>
          <w:i/>
          <w:sz w:val="32"/>
          <w:szCs w:val="32"/>
          <w:u w:val="single"/>
        </w:rPr>
        <w:t xml:space="preserve">八、特定资格要求的证明文件</w:t>
      </w:r>
      <w:r/>
    </w:p>
    <w:p>
      <w:pPr>
        <w:pStyle w:val="886"/>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供应商须提供所投净水设备整机的《涉及饮用水卫生安全产品卫生许可批件》。</w:t>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6"/>
        <w:ind w:firstLine="640"/>
        <w:jc w:val="center"/>
        <w:spacing w:beforeAutospacing="0" w:afterAutospacing="0"/>
        <w:rPr>
          <w:iCs/>
        </w:rPr>
      </w:pPr>
      <w:r>
        <w:rPr>
          <w:rFonts w:hint="eastAsia" w:ascii="黑体" w:hAnsi="宋体" w:eastAsia="黑体" w:cs="黑体"/>
          <w:iCs/>
          <w:color w:val="000000"/>
          <w:sz w:val="32"/>
          <w:szCs w:val="32"/>
        </w:rPr>
        <w:t xml:space="preserve">九、法人授权书</w:t>
      </w:r>
      <w:r/>
    </w:p>
    <w:p>
      <w:pPr>
        <w:pStyle w:val="886"/>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JSZC-320922-YCGX-G2026-0008</w:t>
      </w:r>
      <w:r>
        <w:rPr>
          <w:rFonts w:ascii="Times New Roman" w:hAnsi="Times New Roman"/>
          <w:color w:val="000000"/>
        </w:rPr>
        <w:t xml:space="preserve">号项目采购活动的合法代理人，以本单位名义全权处理一切与该项目采购有关的事务。</w:t>
      </w:r>
      <w:r/>
    </w:p>
    <w:p>
      <w:pPr>
        <w:pStyle w:val="886"/>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86"/>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86"/>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86"/>
        <w:ind w:firstLine="48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86"/>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86"/>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69" w:name="_格式3__银行出具的资信证明"/>
      <w:r/>
      <w:bookmarkStart w:id="270" w:name="_Hlt26955070"/>
      <w:r/>
      <w:bookmarkStart w:id="271" w:name="_Hlt26671380"/>
      <w:r>
        <w:rPr>
          <w:rFonts w:ascii="Times New Roman" w:hAnsi="Times New Roman"/>
          <w:color w:val="000000"/>
          <w:u w:val="single"/>
        </w:rPr>
        <w:t xml:space="preserve">                                         </w:t>
      </w:r>
      <w:r/>
    </w:p>
    <w:p>
      <w:pPr>
        <w:pStyle w:val="886"/>
        <w:ind w:firstLine="480"/>
        <w:jc w:val="both"/>
        <w:spacing w:beforeAutospacing="0" w:afterAutospacing="0"/>
      </w:pPr>
      <w:r>
        <w:t xml:space="preserve"> </w:t>
      </w:r>
      <w:r/>
    </w:p>
    <w:p>
      <w:pPr>
        <w:pStyle w:val="886"/>
        <w:jc w:val="both"/>
        <w:spacing w:beforeAutospacing="0" w:afterAutospacing="0"/>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86"/>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86"/>
        <w:jc w:val="both"/>
        <w:spacing w:beforeAutospacing="0" w:afterAutospacing="0"/>
      </w:pPr>
      <w:r/>
      <w:r/>
    </w:p>
    <w:p>
      <w:pPr>
        <w:pStyle w:val="886"/>
        <w:jc w:val="both"/>
        <w:spacing w:beforeAutospacing="0" w:afterAutospacing="0" w:line="0" w:lineRule="atLeast"/>
      </w:pPr>
      <w:r>
        <w:t xml:space="preserve"> </w:t>
      </w:r>
      <w:r/>
    </w:p>
    <w:p>
      <w:pPr>
        <w:pStyle w:val="886"/>
        <w:ind w:firstLine="482"/>
        <w:jc w:val="both"/>
        <w:keepLines/>
        <w:keepNext/>
        <w:spacing w:before="156" w:beforeAutospacing="0" w:after="156" w:afterAutospacing="0" w:line="415" w:lineRule="auto"/>
        <w:rPr>
          <w:iCs/>
        </w:rPr>
      </w:pPr>
      <w:r>
        <w:rPr>
          <w:rFonts w:hint="eastAsia" w:ascii="宋体" w:hAnsi="宋体" w:eastAsia="宋体" w:cs="宋体"/>
          <w:b/>
          <w:color w:val="000000"/>
        </w:rPr>
        <w:br w:type="page" w:clear="all"/>
        <w:t xml:space="preserve"> </w:t>
      </w:r>
      <w:r>
        <w:rPr>
          <w:rFonts w:ascii="宋体" w:hAnsi="宋体" w:eastAsia="宋体" w:cs="宋体"/>
          <w:b/>
          <w:color w:val="000000"/>
        </w:rPr>
        <w:t xml:space="preserve">                    </w:t>
      </w:r>
      <w:r>
        <w:rPr>
          <w:rFonts w:hint="eastAsia" w:ascii="黑体" w:hAnsi="宋体" w:eastAsia="黑体" w:cs="黑体"/>
          <w:b/>
          <w:iCs/>
          <w:color w:val="000000"/>
          <w:sz w:val="32"/>
          <w:szCs w:val="32"/>
        </w:rPr>
        <w:t xml:space="preserve">十、投标函</w:t>
      </w:r>
      <w:r/>
    </w:p>
    <w:p>
      <w:pPr>
        <w:pStyle w:val="886"/>
        <w:spacing w:beforeAutospacing="0" w:afterAutospacing="0" w:line="0" w:lineRule="atLeast"/>
      </w:pPr>
      <w:r>
        <w:rPr>
          <w:rFonts w:hint="eastAsia" w:ascii="宋体" w:hAnsi="宋体" w:eastAsia="宋体" w:cs="宋体"/>
          <w:color w:val="000000"/>
        </w:rPr>
        <w:t xml:space="preserve">致：滨海县教育局</w:t>
      </w:r>
      <w:r/>
    </w:p>
    <w:p>
      <w:pPr>
        <w:pStyle w:val="886"/>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JSZC-320922-YCGX-G2026-0008</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86"/>
        <w:ind w:firstLine="480"/>
        <w:spacing w:beforeAutospacing="0" w:afterAutospacing="0" w:line="0" w:lineRule="atLeast"/>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86"/>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86"/>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86"/>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86"/>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86"/>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86"/>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86"/>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86"/>
        <w:ind w:left="420" w:firstLine="480"/>
        <w:spacing w:beforeAutospacing="0" w:afterAutospacing="0" w:line="0" w:lineRule="atLeast"/>
      </w:pPr>
      <w:r>
        <w:rPr>
          <w:rFonts w:hint="eastAsia" w:ascii="宋体" w:hAnsi="宋体" w:eastAsia="宋体" w:cs="宋体"/>
          <w:color w:val="000000"/>
        </w:rPr>
        <w:t xml:space="preserve">地          址：</w:t>
      </w:r>
      <w:r/>
    </w:p>
    <w:p>
      <w:pPr>
        <w:pStyle w:val="886"/>
        <w:ind w:left="420" w:firstLine="480"/>
        <w:spacing w:beforeAutospacing="0" w:afterAutospacing="0" w:line="0" w:lineRule="atLeast"/>
      </w:pPr>
      <w:r>
        <w:rPr>
          <w:rFonts w:hint="eastAsia" w:ascii="宋体" w:hAnsi="宋体" w:eastAsia="宋体" w:cs="宋体"/>
          <w:color w:val="000000"/>
        </w:rPr>
        <w:t xml:space="preserve">邮          编：</w:t>
      </w:r>
      <w:r/>
    </w:p>
    <w:p>
      <w:pPr>
        <w:pStyle w:val="886"/>
        <w:ind w:left="420" w:firstLine="480"/>
        <w:spacing w:beforeAutospacing="0" w:afterAutospacing="0" w:line="0" w:lineRule="atLeast"/>
      </w:pPr>
      <w:r>
        <w:rPr>
          <w:rFonts w:hint="eastAsia" w:ascii="宋体" w:hAnsi="宋体" w:eastAsia="宋体" w:cs="宋体"/>
          <w:color w:val="000000"/>
        </w:rPr>
        <w:t xml:space="preserve">电          话：</w:t>
      </w:r>
      <w:r/>
    </w:p>
    <w:p>
      <w:pPr>
        <w:pStyle w:val="886"/>
        <w:ind w:left="420" w:firstLine="480"/>
        <w:spacing w:beforeAutospacing="0" w:afterAutospacing="0" w:line="0" w:lineRule="atLeast"/>
      </w:pPr>
      <w:r>
        <w:rPr>
          <w:rFonts w:hint="eastAsia" w:ascii="宋体" w:hAnsi="宋体" w:eastAsia="宋体" w:cs="宋体"/>
          <w:color w:val="000000"/>
        </w:rPr>
        <w:t xml:space="preserve">传          真：</w:t>
      </w:r>
      <w:r/>
    </w:p>
    <w:p>
      <w:pPr>
        <w:pStyle w:val="886"/>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86"/>
        <w:ind w:left="420" w:firstLine="480"/>
        <w:spacing w:beforeAutospacing="0" w:afterAutospacing="0" w:line="0" w:lineRule="atLeast"/>
      </w:pPr>
      <w:r>
        <w:rPr>
          <w:rFonts w:hint="eastAsia" w:ascii="宋体" w:hAnsi="宋体" w:eastAsia="宋体" w:cs="宋体"/>
          <w:color w:val="000000"/>
        </w:rPr>
        <w:t xml:space="preserve">账          号： </w:t>
      </w:r>
      <w:r/>
    </w:p>
    <w:p>
      <w:pPr>
        <w:pStyle w:val="886"/>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86"/>
        <w:ind w:firstLine="480"/>
        <w:jc w:val="center"/>
        <w:spacing w:beforeAutospacing="0" w:afterAutospacing="0" w:line="0" w:lineRule="atLeast"/>
      </w:pPr>
      <w:r>
        <w:t xml:space="preserve"> </w:t>
      </w:r>
      <w:r/>
    </w:p>
    <w:p>
      <w:pPr>
        <w:pStyle w:val="886"/>
        <w:ind w:firstLine="480"/>
        <w:jc w:val="center"/>
        <w:spacing w:beforeAutospacing="0" w:afterAutospacing="0" w:line="0" w:lineRule="atLeast"/>
      </w:pPr>
      <w:r>
        <w:t xml:space="preserve"> </w:t>
      </w:r>
      <w:r/>
    </w:p>
    <w:p>
      <w:pPr>
        <w:pStyle w:val="886"/>
        <w:ind w:firstLine="480"/>
        <w:jc w:val="center"/>
        <w:spacing w:beforeAutospacing="0" w:afterAutospacing="0" w:line="0" w:lineRule="atLeast"/>
      </w:pPr>
      <w:r>
        <w:t xml:space="preserve"> </w:t>
      </w:r>
      <w:r/>
    </w:p>
    <w:p>
      <w:pPr>
        <w:pStyle w:val="886"/>
        <w:ind w:firstLine="480"/>
        <w:jc w:val="center"/>
        <w:spacing w:beforeAutospacing="0" w:afterAutospacing="0" w:line="0" w:lineRule="atLeast"/>
      </w:pPr>
      <w:r>
        <w:t xml:space="preserve"> </w:t>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r/>
    </w:p>
    <w:p>
      <w:pPr>
        <w:pStyle w:val="886"/>
        <w:ind w:firstLine="480"/>
        <w:jc w:val="center"/>
        <w:spacing w:beforeAutospacing="0" w:afterAutospacing="0" w:line="0" w:lineRule="atLeast"/>
      </w:pPr>
      <w:r>
        <w:t xml:space="preserve"> </w:t>
      </w:r>
      <w:r/>
    </w:p>
    <w:p>
      <w:pPr>
        <w:pStyle w:val="886"/>
        <w:ind w:firstLine="643"/>
        <w:jc w:val="center"/>
        <w:spacing w:beforeAutospacing="0" w:afterAutospacing="0" w:line="0" w:lineRule="atLeast"/>
      </w:pPr>
      <w:r>
        <w:rPr>
          <w:rFonts w:hint="eastAsia" w:ascii="黑体" w:hAnsi="宋体" w:eastAsia="黑体" w:cs="黑体"/>
          <w:b/>
          <w:sz w:val="32"/>
          <w:szCs w:val="32"/>
        </w:rPr>
        <w:t xml:space="preserve">十一、中小企业声明函（货物）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w:t>
      </w:r>
      <w:r>
        <w:rPr>
          <w:rFonts w:hint="eastAsia"/>
          <w:sz w:val="24"/>
        </w:rPr>
        <w:t xml:space="preserve">信招标代理有限公司组织的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sz w:val="24"/>
          <w:u w:val="single"/>
        </w:rPr>
        <w:t xml:space="preserve">JSZC-320922-YCGX-G2026-0008</w:t>
      </w:r>
      <w:r>
        <w:rPr>
          <w:rFonts w:hint="eastAsia"/>
          <w:sz w:val="24"/>
          <w:u w:val="single"/>
        </w:rPr>
        <w:t xml:space="preserve"> </w:t>
      </w:r>
      <w:r>
        <w:rPr>
          <w:rFonts w:hint="eastAsia"/>
          <w:sz w:val="24"/>
        </w:rPr>
        <w:t xml:space="preserve">的</w:t>
      </w:r>
      <w:r>
        <w:rPr>
          <w:rFonts w:hint="eastAsia"/>
          <w:sz w:val="24"/>
          <w:u w:val="single"/>
        </w:rPr>
        <w:t xml:space="preserve">滨海县中小学（幼儿园）食堂净水设备采购及安装项目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86"/>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86"/>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86"/>
        <w:ind w:firstLine="480"/>
        <w:jc w:val="both"/>
        <w:spacing w:beforeAutospacing="0" w:afterAutospacing="0" w:line="360" w:lineRule="auto"/>
      </w:pPr>
      <w:r>
        <w:rPr>
          <w:rFonts w:hint="eastAsia"/>
        </w:rPr>
        <w:t xml:space="preserve">……</w:t>
      </w:r>
      <w:r/>
    </w:p>
    <w:p>
      <w:pPr>
        <w:pStyle w:val="886"/>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86"/>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886"/>
        <w:ind w:right="720"/>
        <w:jc w:val="both"/>
        <w:spacing w:beforeAutospacing="0" w:afterAutospacing="0" w:line="360" w:lineRule="auto"/>
      </w:pPr>
      <w:r>
        <w:t xml:space="preserve"> </w:t>
      </w:r>
      <w:r/>
    </w:p>
    <w:p>
      <w:pPr>
        <w:pStyle w:val="886"/>
        <w:ind w:right="1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86"/>
        <w:ind w:right="480" w:firstLine="48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86"/>
        <w:ind w:firstLine="480"/>
        <w:jc w:val="both"/>
        <w:spacing w:beforeAutospacing="0" w:afterAutospacing="0" w:line="360" w:lineRule="auto"/>
        <w:rPr>
          <w:color w:val="ff0000"/>
        </w:rPr>
      </w:pPr>
      <w:r>
        <w:rPr>
          <w:color w:val="ff0000"/>
        </w:rPr>
        <w:t xml:space="preserve"> </w:t>
      </w:r>
      <w:r/>
    </w:p>
    <w:p>
      <w:pPr>
        <w:pStyle w:val="886"/>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886"/>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w:t>
      </w:r>
      <w:r>
        <w:rPr>
          <w:rFonts w:hint="eastAsia"/>
          <w:color w:val="000000"/>
        </w:rPr>
        <w:t xml:space="preserve">则资格</w:t>
      </w:r>
      <w:r>
        <w:rPr>
          <w:rFonts w:hint="eastAsia"/>
          <w:color w:val="000000"/>
        </w:rPr>
        <w:t xml:space="preserve">审查不通过）。</w:t>
      </w:r>
      <w:r/>
    </w:p>
    <w:p>
      <w:pPr>
        <w:pStyle w:val="886"/>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86"/>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86"/>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86"/>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86"/>
        <w:ind w:firstLine="643"/>
        <w:jc w:val="center"/>
        <w:spacing w:beforeAutospacing="0" w:afterAutospacing="0" w:line="0" w:lineRule="atLeast"/>
      </w:pPr>
      <w:r>
        <w:rPr>
          <w:rFonts w:hint="eastAsia" w:ascii="黑体" w:hAnsi="宋体" w:eastAsia="黑体" w:cs="黑体"/>
          <w:b/>
          <w:color w:val="000000"/>
          <w:sz w:val="32"/>
          <w:szCs w:val="32"/>
        </w:rPr>
        <w:t xml:space="preserve">十二、残疾人福利性单位声明函</w:t>
      </w:r>
      <w:r/>
    </w:p>
    <w:p>
      <w:pPr>
        <w:pStyle w:val="886"/>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JSZC-320922-YCGX-G2026-0008</w:t>
      </w:r>
      <w:r>
        <w:rPr>
          <w:rFonts w:hint="eastAsia" w:ascii="宋体" w:hAnsi="宋体" w:eastAsia="宋体" w:cs="宋体"/>
          <w:color w:val="000000"/>
        </w:rPr>
        <w:t xml:space="preserve">的</w:t>
      </w:r>
      <w:r>
        <w:rPr>
          <w:rFonts w:hint="eastAsia" w:ascii="宋体" w:hAnsi="宋体" w:eastAsia="宋体" w:cs="宋体"/>
          <w:color w:val="000000"/>
          <w:u w:val="single"/>
        </w:rPr>
        <w:t xml:space="preserve">滨海县中小学（幼儿园）食堂净水设备采购及安装项目</w:t>
      </w:r>
      <w:r>
        <w:rPr>
          <w:rFonts w:hint="eastAsia" w:ascii="宋体" w:hAnsi="宋体" w:eastAsia="宋体" w:cs="宋体"/>
          <w:color w:val="000000"/>
        </w:rPr>
        <w:t xml:space="preserve">（分包号：**）采购活动提供本单位制造的货物，或者提供其他残疾人福利性单位制造的货物（不包括使用非残疾人福利性单位注册商标的货物）。</w:t>
      </w:r>
      <w:r/>
    </w:p>
    <w:p>
      <w:pPr>
        <w:pStyle w:val="886"/>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86"/>
        <w:ind w:firstLine="480"/>
        <w:jc w:val="both"/>
        <w:spacing w:beforeAutospacing="0" w:afterAutospacing="0" w:line="0" w:lineRule="atLeast"/>
      </w:pPr>
      <w:r>
        <w:t xml:space="preserve"> </w:t>
      </w:r>
      <w:r/>
    </w:p>
    <w:p>
      <w:pPr>
        <w:pStyle w:val="886"/>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86"/>
        <w:ind w:firstLine="480"/>
        <w:jc w:val="both"/>
        <w:spacing w:beforeAutospacing="0" w:afterAutospacing="0" w:line="0" w:lineRule="atLeast"/>
      </w:pPr>
      <w:r>
        <w:t xml:space="preserve"> </w:t>
      </w:r>
      <w:r/>
    </w:p>
    <w:p>
      <w:pPr>
        <w:pStyle w:val="886"/>
        <w:ind w:right="1560" w:firstLine="60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86"/>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pStyle w:val="886"/>
        <w:jc w:val="center"/>
        <w:spacing w:beforeAutospacing="0" w:afterAutospacing="0" w:line="0" w:lineRule="atLeast"/>
      </w:pPr>
      <w:r>
        <w:t xml:space="preserve"> </w:t>
      </w:r>
      <w:r/>
    </w:p>
    <w:p>
      <w:pPr>
        <w:ind w:firstLine="888"/>
        <w:rPr>
          <w:spacing w:val="27"/>
          <w:sz w:val="39"/>
          <w:szCs w:val="39"/>
        </w:rPr>
      </w:pPr>
      <w:r>
        <w:rPr>
          <w:spacing w:val="27"/>
          <w:sz w:val="39"/>
          <w:szCs w:val="39"/>
        </w:rPr>
        <w:br w:type="page" w:clear="all"/>
      </w:r>
      <w:r/>
    </w:p>
    <w:p>
      <w:pPr>
        <w:pStyle w:val="886"/>
        <w:ind w:firstLine="643"/>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86"/>
        <w:ind w:firstLine="482"/>
        <w:jc w:val="both"/>
        <w:spacing w:beforeAutospacing="0" w:afterAutospacing="0"/>
        <w:rPr>
          <w:b/>
          <w:bCs/>
        </w:rPr>
      </w:pPr>
      <w:r>
        <w:rPr>
          <w:rFonts w:ascii="Arial" w:hAnsi="Arial" w:cs="Arial"/>
          <w:b/>
          <w:bCs/>
          <w:color w:val="ff0000"/>
        </w:rPr>
        <w:t xml:space="preserve"> </w:t>
      </w:r>
      <w:r/>
    </w:p>
    <w:p>
      <w:pPr>
        <w:pStyle w:val="886"/>
        <w:ind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86"/>
        <w:ind w:firstLine="482"/>
        <w:jc w:val="both"/>
        <w:spacing w:before="156" w:beforeAutospacing="0" w:after="156" w:afterAutospacing="0"/>
        <w:rPr>
          <w:b/>
          <w:bCs/>
        </w:rPr>
      </w:pPr>
      <w:r>
        <w:rPr>
          <w:rFonts w:ascii="宋体" w:hAnsi="宋体" w:eastAsia="宋体" w:cs="宋体"/>
          <w:b/>
          <w:bCs/>
          <w:color w:val="ff0000"/>
        </w:rPr>
        <w:t xml:space="preserve"> </w:t>
      </w:r>
      <w:r/>
    </w:p>
    <w:p>
      <w:pPr>
        <w:pStyle w:val="886"/>
        <w:ind w:right="480" w:firstLine="482"/>
        <w:jc w:val="both"/>
        <w:spacing w:before="156" w:beforeAutospacing="0" w:after="156" w:afterAutospacing="0"/>
        <w:rPr>
          <w:b/>
          <w:bCs/>
        </w:rPr>
      </w:pPr>
      <w:r>
        <w:rPr>
          <w:rFonts w:ascii="宋体" w:hAnsi="宋体" w:eastAsia="宋体" w:cs="宋体"/>
          <w:b/>
          <w:bCs/>
          <w:color w:val="ff0000"/>
          <w:shd w:val="clear" w:color="auto" w:fill="ffffff"/>
        </w:rPr>
        <w:t xml:space="preserve">公司（单位）名称（盖章）：　</w:t>
      </w:r>
      <w:r/>
    </w:p>
    <w:p>
      <w:pPr>
        <w:pStyle w:val="886"/>
        <w:ind w:firstLine="482"/>
        <w:jc w:val="center"/>
        <w:spacing w:before="156" w:beforeAutospacing="0" w:after="156" w:afterAutospacing="0"/>
        <w:rPr>
          <w:b/>
          <w:bCs/>
        </w:rPr>
      </w:pPr>
      <w:r>
        <w:rPr>
          <w:rFonts w:ascii="宋体" w:hAnsi="宋体" w:eastAsia="宋体" w:cs="宋体"/>
          <w:b/>
          <w:bCs/>
          <w:color w:val="ff0000"/>
          <w:shd w:val="clear" w:color="auto" w:fill="ffffff"/>
        </w:rPr>
        <w:t xml:space="preserve">                 日期：　   年　  月　  日         </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__________________</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86"/>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886"/>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ind w:firstLine="482"/>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pStyle w:val="886"/>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pStyle w:val="886"/>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pStyle w:val="886"/>
        <w:ind w:firstLine="643"/>
        <w:jc w:val="center"/>
        <w:spacing w:beforeAutospacing="0" w:afterAutospacing="0"/>
      </w:pPr>
      <w:r>
        <w:rPr>
          <w:rFonts w:hint="eastAsia" w:ascii="黑体" w:hAnsi="宋体" w:eastAsia="黑体" w:cs="黑体"/>
          <w:b/>
          <w:color w:val="000000"/>
          <w:sz w:val="32"/>
          <w:szCs w:val="32"/>
        </w:rPr>
        <w:t xml:space="preserve">十四、投标分项报价表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1405"/>
        <w:gridCol w:w="851"/>
        <w:gridCol w:w="943"/>
        <w:gridCol w:w="746"/>
        <w:gridCol w:w="918"/>
        <w:gridCol w:w="696"/>
        <w:gridCol w:w="1261"/>
        <w:gridCol w:w="1151"/>
      </w:tblGrid>
      <w:tr>
        <w:trPr>
          <w:tblCellSpacing w:w="0" w:type="dxa"/>
          <w:trHeight w:val="544"/>
        </w:trPr>
        <w:tc>
          <w:tcPr>
            <w:tcW w:w="5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序号</w:t>
            </w:r>
            <w:r/>
          </w:p>
        </w:tc>
        <w:tc>
          <w:tcPr>
            <w:tcW w:w="1405"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1</w:t>
            </w:r>
            <w:r/>
          </w:p>
        </w:tc>
        <w:tc>
          <w:tcPr>
            <w:tcW w:w="85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2</w:t>
            </w:r>
            <w:r/>
          </w:p>
        </w:tc>
        <w:tc>
          <w:tcPr>
            <w:tcW w:w="943"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3</w:t>
            </w:r>
            <w:r/>
          </w:p>
        </w:tc>
        <w:tc>
          <w:tcPr>
            <w:tcW w:w="7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4</w:t>
            </w:r>
            <w:r/>
          </w:p>
        </w:tc>
        <w:tc>
          <w:tcPr>
            <w:tcW w:w="918"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5</w:t>
            </w:r>
            <w:r/>
          </w:p>
        </w:tc>
        <w:tc>
          <w:tcPr>
            <w:tcW w:w="69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6</w:t>
            </w:r>
            <w:r/>
          </w:p>
        </w:tc>
        <w:tc>
          <w:tcPr>
            <w:tcW w:w="126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7</w:t>
            </w:r>
            <w:r/>
          </w:p>
        </w:tc>
        <w:tc>
          <w:tcPr>
            <w:tcW w:w="115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8</w:t>
            </w:r>
            <w:r/>
          </w:p>
        </w:tc>
      </w:tr>
      <w:tr>
        <w:trPr>
          <w:tblCellSpacing w:w="0" w:type="dxa"/>
          <w:trHeight w:val="294"/>
        </w:trPr>
        <w:tc>
          <w:tcPr>
            <w:tcW w:w="5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1</w:t>
            </w:r>
            <w:r/>
          </w:p>
        </w:tc>
        <w:tc>
          <w:tcPr>
            <w:tcW w:w="1405"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产品</w:t>
            </w:r>
            <w:r/>
          </w:p>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名称</w:t>
            </w:r>
            <w:r/>
          </w:p>
        </w:tc>
        <w:tc>
          <w:tcPr>
            <w:tcW w:w="85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品牌</w:t>
            </w:r>
            <w:r/>
          </w:p>
        </w:tc>
        <w:tc>
          <w:tcPr>
            <w:tcW w:w="943"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规格</w:t>
            </w:r>
            <w:r/>
          </w:p>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型号</w:t>
            </w:r>
            <w:r/>
          </w:p>
        </w:tc>
        <w:tc>
          <w:tcPr>
            <w:tcW w:w="7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产地</w:t>
            </w:r>
            <w:r/>
          </w:p>
        </w:tc>
        <w:tc>
          <w:tcPr>
            <w:tcW w:w="918"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交付期</w:t>
            </w:r>
            <w:r/>
          </w:p>
        </w:tc>
        <w:tc>
          <w:tcPr>
            <w:tcW w:w="69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数量</w:t>
            </w:r>
            <w:r/>
          </w:p>
        </w:tc>
        <w:tc>
          <w:tcPr>
            <w:tcW w:w="126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分项单价</w:t>
            </w:r>
            <w:r/>
          </w:p>
        </w:tc>
        <w:tc>
          <w:tcPr>
            <w:tcW w:w="1151"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分项总价</w:t>
            </w:r>
            <w:r/>
          </w:p>
        </w:tc>
      </w:tr>
      <w:tr>
        <w:trPr>
          <w:tblCellSpacing w:w="0" w:type="dxa"/>
          <w:trHeight w:val="696"/>
        </w:trPr>
        <w:tc>
          <w:tcPr>
            <w:tcW w:w="5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2</w:t>
            </w:r>
            <w:r/>
          </w:p>
        </w:tc>
        <w:tc>
          <w:tcPr>
            <w:tcW w:w="1405"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0.5T/H</w:t>
            </w:r>
            <w:r>
              <w:rPr>
                <w:rFonts w:hint="eastAsia"/>
                <w:sz w:val="21"/>
                <w:szCs w:val="21"/>
              </w:rPr>
              <w:t xml:space="preserve">净水设备</w:t>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4</w:t>
            </w:r>
            <w:r>
              <w:rPr>
                <w:rFonts w:hint="eastAsia"/>
                <w:sz w:val="21"/>
                <w:szCs w:val="21"/>
              </w:rPr>
              <w:t xml:space="preserve">套</w:t>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r>
      <w:tr>
        <w:trPr>
          <w:tblCellSpacing w:w="0" w:type="dxa"/>
          <w:trHeight w:val="724"/>
        </w:trPr>
        <w:tc>
          <w:tcPr>
            <w:tcW w:w="5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3</w:t>
            </w:r>
            <w:r/>
          </w:p>
        </w:tc>
        <w:tc>
          <w:tcPr>
            <w:tcW w:w="1405"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0.25T</w:t>
            </w:r>
            <w:r>
              <w:rPr>
                <w:rFonts w:hint="eastAsia"/>
                <w:sz w:val="21"/>
                <w:szCs w:val="21"/>
              </w:rPr>
              <w:t xml:space="preserve">/H</w:t>
            </w:r>
            <w:r>
              <w:rPr>
                <w:rFonts w:hint="eastAsia"/>
                <w:sz w:val="21"/>
                <w:szCs w:val="21"/>
              </w:rPr>
              <w:t xml:space="preserve">净水设备</w:t>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22</w:t>
            </w:r>
            <w:r>
              <w:rPr>
                <w:rFonts w:hint="eastAsia"/>
                <w:sz w:val="21"/>
                <w:szCs w:val="21"/>
              </w:rPr>
              <w:t xml:space="preserve">套</w:t>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r>
      <w:tr>
        <w:trPr>
          <w:tblCellSpacing w:w="0" w:type="dxa"/>
          <w:trHeight w:val="640"/>
        </w:trPr>
        <w:tc>
          <w:tcPr>
            <w:tcW w:w="546" w:type="dxa"/>
            <w:vAlign w:val="center"/>
            <w:textDirection w:val="lrTb"/>
            <w:noWrap w:val="false"/>
          </w:tcPr>
          <w:p>
            <w:pPr>
              <w:pStyle w:val="886"/>
              <w:jc w:val="center"/>
              <w:spacing w:beforeAutospacing="0" w:afterAutospacing="0" w:line="0" w:lineRule="atLeast"/>
              <w:rPr>
                <w:sz w:val="21"/>
                <w:szCs w:val="21"/>
              </w:rPr>
            </w:pPr>
            <w:r>
              <w:rPr>
                <w:rFonts w:hint="eastAsia" w:ascii="宋体" w:hAnsi="宋体" w:eastAsia="宋体" w:cs="宋体"/>
                <w:color w:val="000000"/>
                <w:sz w:val="21"/>
                <w:szCs w:val="21"/>
              </w:rPr>
              <w:t xml:space="preserve">4</w:t>
            </w:r>
            <w:r/>
          </w:p>
        </w:tc>
        <w:tc>
          <w:tcPr>
            <w:tcW w:w="1405"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rPr>
                <w:rFonts w:hint="eastAsia"/>
                <w:sz w:val="21"/>
                <w:szCs w:val="21"/>
              </w:rPr>
              <w:t xml:space="preserve">18</w:t>
            </w:r>
            <w:r>
              <w:rPr>
                <w:sz w:val="21"/>
                <w:szCs w:val="21"/>
              </w:rPr>
              <w:t xml:space="preserve">0L</w:t>
            </w:r>
            <w:r>
              <w:rPr>
                <w:rFonts w:hint="eastAsia"/>
                <w:sz w:val="21"/>
                <w:szCs w:val="21"/>
              </w:rPr>
              <w:t xml:space="preserve">/H</w:t>
            </w:r>
            <w:r>
              <w:rPr>
                <w:rFonts w:hint="eastAsia"/>
                <w:sz w:val="21"/>
                <w:szCs w:val="21"/>
              </w:rPr>
              <w:t xml:space="preserve">净水设备</w:t>
            </w:r>
            <w:r>
              <w:rPr>
                <w:rFonts w:ascii="Times New Roman" w:hAnsi="Times New Roman"/>
                <w:b/>
                <w:bCs/>
                <w:color w:val="ee0000"/>
                <w:sz w:val="21"/>
                <w:szCs w:val="21"/>
              </w:rPr>
              <w:t xml:space="preserve">（核心产品）</w:t>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28</w:t>
            </w:r>
            <w:r>
              <w:rPr>
                <w:rFonts w:hint="eastAsia"/>
                <w:sz w:val="21"/>
                <w:szCs w:val="21"/>
              </w:rPr>
              <w:t xml:space="preserve">套</w:t>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r>
      <w:tr>
        <w:trPr>
          <w:tblCellSpacing w:w="0" w:type="dxa"/>
          <w:trHeight w:val="640"/>
        </w:trPr>
        <w:tc>
          <w:tcPr>
            <w:tcW w:w="546" w:type="dxa"/>
            <w:vAlign w:val="center"/>
            <w:textDirection w:val="lrTb"/>
            <w:noWrap w:val="false"/>
          </w:tcPr>
          <w:p>
            <w:pPr>
              <w:pStyle w:val="886"/>
              <w:jc w:val="center"/>
              <w:spacing w:beforeAutospacing="0" w:afterAutospacing="0" w:line="0"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405"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监控设备</w:t>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886"/>
              <w:jc w:val="both"/>
              <w:spacing w:beforeAutospacing="0" w:afterAutospacing="0" w:line="0" w:lineRule="atLeast"/>
              <w:rPr>
                <w:sz w:val="21"/>
                <w:szCs w:val="21"/>
              </w:rPr>
            </w:pPr>
            <w:r>
              <w:rPr>
                <w:rFonts w:hint="eastAsia"/>
                <w:sz w:val="21"/>
                <w:szCs w:val="21"/>
              </w:rPr>
              <w:t xml:space="preserve">54</w:t>
            </w:r>
            <w:r>
              <w:rPr>
                <w:rFonts w:hint="eastAsia"/>
                <w:sz w:val="21"/>
                <w:szCs w:val="21"/>
              </w:rPr>
              <w:t xml:space="preserve">套</w:t>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r>
            <w:r/>
          </w:p>
        </w:tc>
      </w:tr>
      <w:tr>
        <w:trPr>
          <w:tblCellSpacing w:w="0" w:type="dxa"/>
          <w:trHeight w:val="580"/>
        </w:trPr>
        <w:tc>
          <w:tcPr>
            <w:tcW w:w="546" w:type="dxa"/>
            <w:vAlign w:val="center"/>
            <w:textDirection w:val="lrTb"/>
            <w:noWrap w:val="false"/>
          </w:tcPr>
          <w:p>
            <w:pPr>
              <w:pStyle w:val="886"/>
              <w:jc w:val="center"/>
              <w:spacing w:beforeAutospacing="0" w:afterAutospacing="0" w:line="0" w:lineRule="atLeast"/>
              <w:rPr>
                <w:sz w:val="21"/>
                <w:szCs w:val="21"/>
              </w:rPr>
            </w:pPr>
            <w:r>
              <w:rPr>
                <w:sz w:val="21"/>
                <w:szCs w:val="21"/>
              </w:rPr>
            </w:r>
            <w:r/>
          </w:p>
        </w:tc>
        <w:tc>
          <w:tcPr>
            <w:tcW w:w="1405"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 </w:t>
            </w:r>
            <w:r/>
          </w:p>
        </w:tc>
      </w:tr>
      <w:tr>
        <w:trPr>
          <w:tblCellSpacing w:w="0" w:type="dxa"/>
          <w:trHeight w:val="580"/>
        </w:trPr>
        <w:tc>
          <w:tcPr>
            <w:tcW w:w="546" w:type="dxa"/>
            <w:vAlign w:val="center"/>
            <w:textDirection w:val="lrTb"/>
            <w:noWrap w:val="false"/>
          </w:tcPr>
          <w:p>
            <w:pPr>
              <w:pStyle w:val="886"/>
              <w:jc w:val="center"/>
              <w:spacing w:beforeAutospacing="0" w:afterAutospacing="0" w:line="0" w:lineRule="atLeast"/>
              <w:rPr>
                <w:rFonts w:ascii="宋体" w:hAnsi="宋体" w:eastAsia="宋体" w:cs="宋体"/>
                <w:color w:val="000000"/>
                <w:sz w:val="21"/>
                <w:szCs w:val="21"/>
              </w:rPr>
            </w:pPr>
            <w:r>
              <w:rPr>
                <w:rFonts w:ascii="宋体" w:hAnsi="宋体" w:eastAsia="宋体" w:cs="宋体"/>
                <w:color w:val="000000"/>
                <w:sz w:val="21"/>
                <w:szCs w:val="21"/>
              </w:rPr>
            </w:r>
            <w:r/>
          </w:p>
        </w:tc>
        <w:tc>
          <w:tcPr>
            <w:tcW w:w="1405"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r>
            <w:r/>
          </w:p>
        </w:tc>
      </w:tr>
      <w:tr>
        <w:trPr>
          <w:tblCellSpacing w:w="0" w:type="dxa"/>
          <w:trHeight w:val="580"/>
        </w:trPr>
        <w:tc>
          <w:tcPr>
            <w:tcW w:w="546" w:type="dxa"/>
            <w:vAlign w:val="center"/>
            <w:textDirection w:val="lrTb"/>
            <w:noWrap w:val="false"/>
          </w:tcPr>
          <w:p>
            <w:pPr>
              <w:pStyle w:val="886"/>
              <w:jc w:val="center"/>
              <w:spacing w:beforeAutospacing="0" w:afterAutospacing="0" w:line="0" w:lineRule="atLeast"/>
              <w:rPr>
                <w:rFonts w:ascii="宋体" w:hAnsi="宋体" w:eastAsia="宋体" w:cs="宋体"/>
                <w:color w:val="000000"/>
                <w:sz w:val="21"/>
                <w:szCs w:val="21"/>
              </w:rPr>
            </w:pPr>
            <w:r>
              <w:rPr>
                <w:rFonts w:ascii="宋体" w:hAnsi="宋体" w:eastAsia="宋体" w:cs="宋体"/>
                <w:color w:val="000000"/>
                <w:sz w:val="21"/>
                <w:szCs w:val="21"/>
              </w:rPr>
              <w:t xml:space="preserve">…</w:t>
            </w:r>
            <w:r/>
          </w:p>
        </w:tc>
        <w:tc>
          <w:tcPr>
            <w:tcW w:w="1405" w:type="dxa"/>
            <w:vAlign w:val="center"/>
            <w:textDirection w:val="lrTb"/>
            <w:noWrap w:val="false"/>
          </w:tcPr>
          <w:p>
            <w:pPr>
              <w:pStyle w:val="886"/>
              <w:jc w:val="both"/>
              <w:spacing w:beforeAutospacing="0" w:afterAutospacing="0" w:line="0" w:lineRule="atLeast"/>
              <w:rPr>
                <w:sz w:val="21"/>
                <w:szCs w:val="21"/>
              </w:rPr>
            </w:pPr>
            <w:r>
              <w:rPr>
                <w:sz w:val="21"/>
                <w:szCs w:val="21"/>
              </w:rPr>
              <w:t xml:space="preserve">……</w:t>
            </w:r>
            <w:r/>
          </w:p>
        </w:tc>
        <w:tc>
          <w:tcPr>
            <w:tcW w:w="85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886"/>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886"/>
              <w:jc w:val="both"/>
              <w:spacing w:beforeAutospacing="0" w:afterAutospacing="0" w:line="0" w:lineRule="atLeast"/>
              <w:rPr>
                <w:sz w:val="21"/>
                <w:szCs w:val="21"/>
              </w:rPr>
            </w:pPr>
            <w:r>
              <w:rPr>
                <w:sz w:val="21"/>
                <w:szCs w:val="21"/>
              </w:rPr>
            </w:r>
            <w:r/>
          </w:p>
        </w:tc>
      </w:tr>
      <w:tr>
        <w:trPr>
          <w:tblCellSpacing w:w="0" w:type="dxa"/>
          <w:trHeight w:val="434"/>
        </w:trPr>
        <w:tc>
          <w:tcPr>
            <w:gridSpan w:val="8"/>
            <w:tcW w:w="7366" w:type="dxa"/>
            <w:vAlign w:val="center"/>
            <w:textDirection w:val="lrTb"/>
            <w:noWrap w:val="false"/>
          </w:tcPr>
          <w:p>
            <w:pPr>
              <w:pStyle w:val="886"/>
              <w:jc w:val="center"/>
              <w:spacing w:beforeAutospacing="0" w:afterAutospacing="0"/>
              <w:rPr>
                <w:sz w:val="21"/>
                <w:szCs w:val="21"/>
              </w:rPr>
            </w:pPr>
            <w:r>
              <w:rPr>
                <w:rFonts w:hint="eastAsia" w:ascii="宋体" w:hAnsi="宋体" w:eastAsia="宋体" w:cs="宋体"/>
                <w:color w:val="000000"/>
                <w:sz w:val="21"/>
                <w:szCs w:val="21"/>
              </w:rPr>
              <w:t xml:space="preserve">投标总报价（人民币：元）</w:t>
            </w:r>
            <w:r/>
          </w:p>
        </w:tc>
        <w:tc>
          <w:tcPr>
            <w:tcW w:w="1151" w:type="dxa"/>
            <w:vAlign w:val="center"/>
            <w:textDirection w:val="lrTb"/>
            <w:noWrap w:val="false"/>
          </w:tcPr>
          <w:p>
            <w:pPr>
              <w:pStyle w:val="886"/>
              <w:jc w:val="both"/>
              <w:spacing w:beforeAutospacing="0" w:afterAutospacing="0"/>
              <w:rPr>
                <w:sz w:val="21"/>
                <w:szCs w:val="21"/>
              </w:rPr>
            </w:pPr>
            <w:r>
              <w:rPr>
                <w:sz w:val="21"/>
                <w:szCs w:val="21"/>
              </w:rPr>
              <w:t xml:space="preserve"> </w:t>
            </w:r>
            <w:r/>
          </w:p>
        </w:tc>
      </w:tr>
      <w:tr>
        <w:trPr>
          <w:tblCellSpacing w:w="0" w:type="dxa"/>
          <w:trHeight w:val="1030"/>
        </w:trPr>
        <w:tc>
          <w:tcPr>
            <w:gridSpan w:val="9"/>
            <w:tcW w:w="8517" w:type="dxa"/>
            <w:vAlign w:val="center"/>
            <w:textDirection w:val="lrTb"/>
            <w:noWrap w:val="false"/>
          </w:tcPr>
          <w:p>
            <w:pPr>
              <w:pStyle w:val="886"/>
              <w:jc w:val="both"/>
              <w:spacing w:beforeAutospacing="0" w:afterAutospacing="0"/>
              <w:rPr>
                <w:sz w:val="21"/>
                <w:szCs w:val="21"/>
              </w:rPr>
            </w:pPr>
            <w:r>
              <w:rPr>
                <w:rFonts w:hint="eastAsia" w:asciiTheme="minorEastAsia" w:hAnsiTheme="minorEastAsia" w:cstheme="minorEastAsia"/>
                <w:color w:val="ff0000"/>
                <w:sz w:val="21"/>
                <w:szCs w:val="21"/>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1"/>
                <w:szCs w:val="21"/>
                <w:u w:val="single"/>
              </w:rPr>
              <w:t xml:space="preserve">     </w:t>
            </w:r>
            <w:r>
              <w:rPr>
                <w:rFonts w:hint="eastAsia" w:asciiTheme="minorEastAsia" w:hAnsiTheme="minorEastAsia" w:cstheme="minorEastAsia"/>
                <w:color w:val="ff0000"/>
                <w:sz w:val="21"/>
                <w:szCs w:val="21"/>
              </w:rPr>
              <w:t xml:space="preserve">%。</w:t>
            </w:r>
            <w:r/>
          </w:p>
        </w:tc>
      </w:tr>
    </w:tbl>
    <w:p>
      <w:pPr>
        <w:pStyle w:val="88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86"/>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收费、培训费、运行维护费用、利润、税金、代理服务费及其他有关的为完成本项目发生的所有费用，招标文件中另有规定的除外。</w:t>
      </w:r>
      <w:r/>
    </w:p>
    <w:p>
      <w:pPr>
        <w:pStyle w:val="88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6"/>
        <w:jc w:val="both"/>
        <w:spacing w:beforeAutospacing="0" w:afterAutospacing="0"/>
      </w:pPr>
      <w:r/>
      <w:r/>
    </w:p>
    <w:p>
      <w:pPr>
        <w:pStyle w:val="886"/>
        <w:jc w:val="both"/>
        <w:spacing w:beforeAutospacing="0" w:afterAutospacing="0"/>
      </w:pPr>
      <w:r>
        <w:t xml:space="preserve"> </w:t>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center"/>
        <w:spacing w:beforeAutospacing="0" w:afterAutospacing="0"/>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pPr>
      <w:r/>
      <w:r/>
    </w:p>
    <w:p>
      <w:pPr>
        <w:pStyle w:val="886"/>
        <w:jc w:val="center"/>
        <w:spacing w:beforeAutospacing="0" w:afterAutospacing="0"/>
      </w:pPr>
      <w:r>
        <w:t xml:space="preserve"> </w:t>
      </w:r>
      <w:r>
        <w:rPr>
          <w:rFonts w:hint="eastAsia" w:ascii="黑体" w:hAnsi="宋体" w:eastAsia="黑体" w:cs="黑体"/>
          <w:b/>
          <w:color w:val="000000"/>
          <w:sz w:val="32"/>
          <w:szCs w:val="32"/>
        </w:rPr>
        <w:t xml:space="preserve">十五、</w:t>
      </w:r>
      <w:bookmarkStart w:id="272" w:name="OLE_LINK91"/>
      <w:r/>
      <w:bookmarkStart w:id="273" w:name="OLE_LINK92"/>
      <w:r>
        <w:rPr>
          <w:rFonts w:hint="eastAsia" w:ascii="黑体" w:hAnsi="宋体" w:eastAsia="黑体" w:cs="黑体"/>
          <w:b/>
          <w:color w:val="000000"/>
          <w:sz w:val="32"/>
          <w:szCs w:val="32"/>
        </w:rPr>
        <w:t xml:space="preserve">技术要求响应及偏离表</w:t>
      </w:r>
      <w:r/>
    </w:p>
    <w:tbl>
      <w:tblPr>
        <w:tblW w:w="8349" w:type="dxa"/>
        <w:tblCellSpacing w:w="0" w:type="dxa"/>
        <w:tblInd w:w="10" w:type="dxa"/>
        <w:tblLayout w:type="fixed"/>
        <w:tblLook w:val="04A0" w:firstRow="1" w:lastRow="0" w:firstColumn="1" w:lastColumn="0" w:noHBand="0" w:noVBand="1"/>
      </w:tblPr>
      <w:tblGrid>
        <w:gridCol w:w="538"/>
        <w:gridCol w:w="4267"/>
        <w:gridCol w:w="1134"/>
        <w:gridCol w:w="1276"/>
        <w:gridCol w:w="113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rFonts w:hint="eastAsia" w:ascii="宋体" w:hAnsi="宋体" w:eastAsia="宋体" w:cs="宋体"/>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jc w:val="center"/>
              <w:spacing w:beforeAutospacing="0" w:afterAutospacing="0"/>
              <w:rPr>
                <w:sz w:val="18"/>
                <w:szCs w:val="18"/>
              </w:rPr>
            </w:pPr>
            <w:r>
              <w:rPr>
                <w:rFonts w:hint="eastAsia" w:ascii="宋体" w:hAnsi="宋体" w:eastAsia="宋体" w:cs="宋体"/>
                <w:color w:val="000000"/>
                <w:sz w:val="18"/>
                <w:szCs w:val="18"/>
              </w:rPr>
              <w:t xml:space="preserve">招标文件要求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rFonts w:hint="eastAsia" w:ascii="宋体" w:hAnsi="宋体" w:eastAsia="宋体" w:cs="宋体"/>
                <w:color w:val="000000"/>
                <w:sz w:val="18"/>
                <w:szCs w:val="18"/>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rFonts w:hint="eastAsia" w:ascii="宋体" w:hAnsi="宋体" w:eastAsia="宋体" w:cs="宋体"/>
                <w:color w:val="000000"/>
                <w:sz w:val="18"/>
                <w:szCs w:val="18"/>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spacing w:beforeAutospacing="0" w:afterAutospacing="0"/>
              <w:rPr>
                <w:sz w:val="18"/>
                <w:szCs w:val="18"/>
              </w:rPr>
            </w:pPr>
            <w:r>
              <w:rPr>
                <w:rFonts w:hint="eastAsia" w:ascii="宋体" w:hAnsi="宋体" w:eastAsia="宋体" w:cs="宋体"/>
                <w:color w:val="000000"/>
                <w:sz w:val="18"/>
                <w:szCs w:val="18"/>
              </w:rPr>
              <w:t xml:space="preserve">证明材料（如有）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sz w:val="18"/>
                <w:szCs w:val="18"/>
              </w:rPr>
              <w:t xml:space="preserve"> </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1、总体要求</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1.1出水水质标准：《生活饮用水卫生标准》（GB 5749-2022）及《生活饮用水水质处理器卫生安全与功能评价规范-反渗透处理装置》（2001）</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1.2采用物理过滤工艺（RO膜+紫外线杀菌），禁止添加任何化学消毒药剂。臭氧仅限水箱消毒，不得残留至出水端。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sz w:val="18"/>
                <w:szCs w:val="18"/>
              </w:rPr>
              <w:t xml:space="preserve"> </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spacing w:beforeAutospacing="0" w:afterAutospacing="0" w:line="320" w:lineRule="exact"/>
              <w:rPr>
                <w:rFonts w:cs="宋体" w:asciiTheme="majorEastAsia" w:hAnsiTheme="majorEastAsia" w:eastAsiaTheme="majorEastAsia"/>
                <w:sz w:val="18"/>
                <w:szCs w:val="18"/>
              </w:rPr>
            </w:pPr>
            <w:r>
              <w:rPr>
                <w:rFonts w:asciiTheme="majorEastAsia" w:hAnsiTheme="majorEastAsia" w:eastAsiaTheme="majorEastAsia"/>
                <w:sz w:val="18"/>
                <w:szCs w:val="18"/>
              </w:rPr>
              <w:t xml:space="preserve"> </w:t>
            </w:r>
            <w:r>
              <w:rPr>
                <w:rFonts w:hint="eastAsia" w:cs="宋体" w:asciiTheme="majorEastAsia" w:hAnsiTheme="majorEastAsia" w:eastAsiaTheme="majorEastAsia"/>
                <w:sz w:val="18"/>
                <w:szCs w:val="18"/>
              </w:rPr>
              <w:t xml:space="preserve">2.1技术参数</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（1）电压：AC220V 50Hz</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（2）工作压力：0.8～1.0MPa</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（3）回收率：≥60%</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（4）工艺流程：工艺流程：自来水→预处理过滤（含多介质/活性炭/精密过滤）→高压泵→RO膜→纯水箱→紫外线杀菌→变频供水泵→出水点</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2.2设备配置</w:t>
            </w:r>
            <w:r/>
          </w:p>
          <w:p>
            <w:pPr>
              <w:pStyle w:val="886"/>
              <w:spacing w:beforeAutospacing="0" w:afterAutospacing="0" w:line="320" w:lineRule="exact"/>
              <w:rPr>
                <w:rFonts w:cs="宋体" w:asciiTheme="majorEastAsia" w:hAnsiTheme="majorEastAsia" w:eastAsiaTheme="majorEastAsia"/>
                <w:b/>
                <w:bCs/>
                <w:sz w:val="18"/>
                <w:szCs w:val="18"/>
              </w:rPr>
            </w:pPr>
            <w:r>
              <w:rPr>
                <w:rFonts w:hint="eastAsia" w:cs="宋体" w:asciiTheme="majorEastAsia" w:hAnsiTheme="majorEastAsia" w:eastAsiaTheme="majorEastAsia"/>
                <w:sz w:val="18"/>
                <w:szCs w:val="18"/>
              </w:rPr>
              <w:t xml:space="preserve">★（1）0.5T净水设备：净水流量≥8L/min</w:t>
            </w:r>
            <w:r>
              <w:rPr>
                <w:rFonts w:hint="eastAsia" w:cs="宋体" w:asciiTheme="majorEastAsia" w:hAnsiTheme="majorEastAsia" w:eastAsiaTheme="majorEastAsia"/>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b/>
                <w:bCs/>
                <w:sz w:val="18"/>
                <w:szCs w:val="18"/>
              </w:rPr>
            </w:pPr>
            <w:r>
              <w:rPr>
                <w:rFonts w:hint="eastAsia" w:cs="宋体" w:asciiTheme="majorEastAsia" w:hAnsiTheme="majorEastAsia" w:eastAsiaTheme="majorEastAsia"/>
                <w:sz w:val="18"/>
                <w:szCs w:val="18"/>
              </w:rPr>
              <w:t xml:space="preserve">★（2）0.25T净水设备：净水流量≥4L/min</w:t>
            </w:r>
            <w:r>
              <w:rPr>
                <w:rFonts w:hint="eastAsia" w:cs="宋体" w:asciiTheme="majorEastAsia" w:hAnsiTheme="majorEastAsia" w:eastAsiaTheme="majorEastAsia"/>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b/>
                <w:bCs/>
                <w:sz w:val="18"/>
                <w:szCs w:val="18"/>
              </w:rPr>
            </w:pPr>
            <w:r>
              <w:rPr>
                <w:rFonts w:hint="eastAsia" w:cs="宋体" w:asciiTheme="majorEastAsia" w:hAnsiTheme="majorEastAsia" w:eastAsiaTheme="majorEastAsia"/>
                <w:sz w:val="18"/>
                <w:szCs w:val="18"/>
              </w:rPr>
              <w:t xml:space="preserve">★（3）180L净水设备：净水流量≥3L/min</w:t>
            </w:r>
            <w:r>
              <w:rPr>
                <w:rFonts w:hint="eastAsia" w:cs="宋体" w:asciiTheme="majorEastAsia" w:hAnsiTheme="majorEastAsia" w:eastAsiaTheme="majorEastAsia"/>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★（4）0.5T净水设备：额定净水总量≥1200m</w:t>
            </w:r>
            <w:r>
              <w:rPr>
                <w:rFonts w:ascii="Calibri" w:hAnsi="Calibri" w:cs="Calibri" w:eastAsiaTheme="majorEastAsia"/>
                <w:sz w:val="18"/>
                <w:szCs w:val="18"/>
              </w:rPr>
              <w:t xml:space="preserve">³</w:t>
            </w:r>
            <w:r>
              <w:rPr>
                <w:rFonts w:hint="eastAsia" w:ascii="黑体" w:hAnsi="黑体" w:eastAsia="黑体" w:cs="黑体"/>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b/>
                <w:bCs/>
                <w:sz w:val="18"/>
                <w:szCs w:val="18"/>
              </w:rPr>
            </w:pPr>
            <w:r>
              <w:rPr>
                <w:rFonts w:hint="eastAsia" w:cs="宋体" w:asciiTheme="majorEastAsia" w:hAnsiTheme="majorEastAsia" w:eastAsiaTheme="majorEastAsia"/>
                <w:sz w:val="18"/>
                <w:szCs w:val="18"/>
              </w:rPr>
              <w:t xml:space="preserve">★（5）0.25T净水设备：额定净水总量≥600m</w:t>
            </w:r>
            <w:r>
              <w:rPr>
                <w:rFonts w:ascii="Calibri" w:hAnsi="Calibri" w:cs="Calibri" w:eastAsiaTheme="majorEastAsia"/>
                <w:sz w:val="18"/>
                <w:szCs w:val="18"/>
              </w:rPr>
              <w:t xml:space="preserve">³</w:t>
            </w:r>
            <w:r>
              <w:rPr>
                <w:rFonts w:hint="eastAsia" w:ascii="黑体" w:hAnsi="黑体" w:eastAsia="黑体" w:cs="黑体"/>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★（6）180L净水设备：额定净水总量≥300 m</w:t>
            </w:r>
            <w:r>
              <w:rPr>
                <w:rFonts w:ascii="Calibri" w:hAnsi="Calibri" w:cs="Calibri" w:eastAsiaTheme="majorEastAsia"/>
                <w:sz w:val="18"/>
                <w:szCs w:val="18"/>
              </w:rPr>
              <w:t xml:space="preserve">³</w:t>
            </w:r>
            <w:r>
              <w:rPr>
                <w:rFonts w:hint="eastAsia" w:ascii="黑体" w:hAnsi="黑体" w:eastAsia="黑体" w:cs="黑体"/>
                <w:b/>
                <w:bCs/>
                <w:color w:val="ee0000"/>
                <w:sz w:val="18"/>
                <w:szCs w:val="18"/>
              </w:rPr>
              <w:t xml:space="preserve">（与整机涉水批件一致，投标时提供涉及饮用水卫生安全产品卫生许可批件）</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（7）0.5T净水设备主机尺寸（mm）：1000×700×1900mm（±150）</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（8）0.25T净水设备主机尺寸（mm）：1000×700×1900mm（±150）</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（9）180L净水设备主机尺寸（mm）：</w:t>
            </w:r>
            <w:r>
              <w:rPr>
                <w:rFonts w:hint="eastAsia" w:cs="宋体" w:asciiTheme="majorEastAsia" w:hAnsiTheme="majorEastAsia" w:eastAsiaTheme="majorEastAsia"/>
                <w:sz w:val="18"/>
                <w:szCs w:val="18"/>
              </w:rPr>
              <w:t xml:space="preserve">700×700×</w:t>
            </w:r>
            <w:r>
              <w:rPr>
                <w:rFonts w:hint="eastAsia" w:cs="宋体" w:asciiTheme="majorEastAsia" w:hAnsiTheme="majorEastAsia" w:eastAsiaTheme="majorEastAsia"/>
                <w:sz w:val="18"/>
                <w:szCs w:val="18"/>
              </w:rPr>
              <w:t xml:space="preserve">1900mm（±150）</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（10）进水稳压阀：1套，≥SUS304不锈钢，厚度≥1.0mm </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（11）电磁阀：1套</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（12）过滤单元配置：0.5T/H净水设备配置844多介质过滤器+2级滤瓶，0.25T/H及180L/H净水设备各配置3套滤瓶</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（13）高压泵1套</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★（14）膜组件：0.5T净水设备RO膜2套、0.25T净水设备RO膜2套、180L净水设备RO膜1套</w:t>
            </w:r>
            <w:r>
              <w:rPr>
                <w:rFonts w:hint="eastAsia" w:cs="宋体" w:asciiTheme="majorEastAsia" w:hAnsiTheme="majorEastAsia" w:eastAsiaTheme="majorEastAsia"/>
                <w:sz w:val="18"/>
                <w:szCs w:val="18"/>
              </w:rPr>
              <w:t xml:space="preserve">。</w:t>
            </w:r>
            <w:r>
              <w:rPr>
                <w:rFonts w:hint="eastAsia" w:cs="宋体" w:asciiTheme="majorEastAsia" w:hAnsiTheme="majorEastAsia" w:eastAsiaTheme="majorEastAsia"/>
                <w:b/>
                <w:bCs/>
                <w:color w:val="ee0000"/>
                <w:sz w:val="18"/>
                <w:szCs w:val="18"/>
              </w:rPr>
              <w:t xml:space="preserve">（与整机涉水批件/产品说明书一致，投标时提供涉及饮用水卫生安全产品卫生许可批件或产品说明书）</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（15）主机配件：电磁阀（≥304不锈钢，厚度≥1.5mm）、高低压保护、流量计、电导率仪 1套</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（16）系统连接管件：UPVC管件1套，承压≥16公斤</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★（17）纯水箱：0.5T净水设备内置≥500L、0.25T净水设备内置≥350L、180L净水设备内置≥350L、材质≥304不锈钢</w:t>
            </w:r>
            <w:r>
              <w:rPr>
                <w:rFonts w:hint="eastAsia" w:cs="宋体" w:asciiTheme="majorEastAsia" w:hAnsiTheme="majorEastAsia" w:eastAsiaTheme="majorEastAsia"/>
                <w:sz w:val="18"/>
                <w:szCs w:val="18"/>
              </w:rPr>
              <w:t xml:space="preserve">；</w:t>
            </w:r>
            <w:r>
              <w:rPr>
                <w:rFonts w:hint="eastAsia" w:cs="宋体" w:asciiTheme="majorEastAsia" w:hAnsiTheme="majorEastAsia" w:eastAsiaTheme="majorEastAsia"/>
                <w:b/>
                <w:bCs/>
                <w:color w:val="ee0000"/>
                <w:sz w:val="18"/>
                <w:szCs w:val="18"/>
              </w:rPr>
              <w:t xml:space="preserve">（与涉水批件一致，投标时提供涉及饮用水卫生安全产品卫生许可批件）</w:t>
            </w:r>
            <w:r>
              <w:rPr>
                <w:rFonts w:hint="eastAsia" w:cs="宋体" w:asciiTheme="majorEastAsia" w:hAnsiTheme="majorEastAsia" w:eastAsiaTheme="majorEastAsia"/>
                <w:sz w:val="18"/>
                <w:szCs w:val="18"/>
              </w:rPr>
              <w:t xml:space="preserve">，厚度≥1.5mm</w:t>
            </w:r>
            <w:r>
              <w:rPr>
                <w:rFonts w:hint="eastAsia" w:cs="宋体" w:asciiTheme="majorEastAsia" w:hAnsiTheme="majorEastAsia" w:eastAsiaTheme="majorEastAsia"/>
                <w:sz w:val="18"/>
                <w:szCs w:val="18"/>
              </w:rPr>
              <w:t xml:space="preserve">。</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▲（18）供水泵组：变频恒压，流量≥3 m</w:t>
            </w:r>
            <w:r>
              <w:rPr>
                <w:rFonts w:ascii="Calibri" w:hAnsi="Calibri" w:cs="Calibri" w:eastAsiaTheme="majorEastAsia"/>
                <w:sz w:val="18"/>
                <w:szCs w:val="18"/>
              </w:rPr>
              <w:t xml:space="preserve">³</w:t>
            </w:r>
            <w:r>
              <w:rPr>
                <w:rFonts w:hint="eastAsia" w:cs="宋体" w:asciiTheme="majorEastAsia" w:hAnsiTheme="majorEastAsia" w:eastAsiaTheme="majorEastAsia"/>
                <w:sz w:val="18"/>
                <w:szCs w:val="18"/>
              </w:rPr>
              <w:t xml:space="preserve">/h，扬程≥42米，1套</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▲（19）紫外杀菌器：1套，过</w:t>
            </w:r>
            <w:r>
              <w:rPr>
                <w:rFonts w:hint="eastAsia" w:cs="宋体" w:asciiTheme="majorEastAsia" w:hAnsiTheme="majorEastAsia" w:eastAsiaTheme="majorEastAsia"/>
                <w:sz w:val="18"/>
                <w:szCs w:val="18"/>
              </w:rPr>
              <w:t xml:space="preserve">流部分</w:t>
            </w:r>
            <w:r>
              <w:rPr>
                <w:rFonts w:hint="eastAsia" w:cs="宋体" w:asciiTheme="majorEastAsia" w:hAnsiTheme="majorEastAsia" w:eastAsiaTheme="majorEastAsia"/>
                <w:sz w:val="18"/>
                <w:szCs w:val="18"/>
              </w:rPr>
              <w:t xml:space="preserve">≥304不锈钢材质，厚度≥1.0mm</w:t>
            </w:r>
            <w:r>
              <w:rPr>
                <w:rFonts w:hint="eastAsia" w:cs="宋体" w:asciiTheme="majorEastAsia" w:hAnsiTheme="majorEastAsia" w:eastAsiaTheme="majorEastAsia"/>
                <w:sz w:val="18"/>
                <w:szCs w:val="18"/>
              </w:rPr>
              <w:t xml:space="preserve">。</w:t>
            </w:r>
            <w:r>
              <w:rPr>
                <w:rFonts w:hint="eastAsia" w:cs="宋体" w:asciiTheme="majorEastAsia" w:hAnsiTheme="majorEastAsia" w:eastAsiaTheme="majorEastAsia"/>
                <w:b/>
                <w:bCs/>
                <w:color w:val="ee0000"/>
                <w:sz w:val="18"/>
                <w:szCs w:val="18"/>
              </w:rPr>
              <w:t xml:space="preserve">（投标时提供过流式紫外线杀菌第三方检测报告）</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（20）回水电动阀：DN15 220V 1套，≥304不锈钢材质，厚度≥1.0mm</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（21）系统电控箱1套</w:t>
            </w:r>
            <w:r/>
          </w:p>
          <w:p>
            <w:pPr>
              <w:pStyle w:val="886"/>
              <w:spacing w:beforeAutospacing="0" w:afterAutospacing="0" w:line="320" w:lineRule="exact"/>
              <w:rPr>
                <w:rFonts w:cs="宋体" w:asciiTheme="majorEastAsia" w:hAnsiTheme="majorEastAsia" w:eastAsiaTheme="majorEastAsia"/>
                <w:b/>
                <w:bCs/>
                <w:sz w:val="18"/>
                <w:szCs w:val="18"/>
              </w:rPr>
            </w:pPr>
            <w:r>
              <w:rPr>
                <w:rFonts w:hint="eastAsia" w:cs="宋体" w:asciiTheme="majorEastAsia" w:hAnsiTheme="majorEastAsia" w:eastAsiaTheme="majorEastAsia"/>
                <w:sz w:val="18"/>
                <w:szCs w:val="18"/>
              </w:rPr>
              <w:t xml:space="preserve">▲（22）主机箱体：全封闭，镀锌+烤漆</w:t>
            </w:r>
            <w:r>
              <w:rPr>
                <w:rFonts w:hint="eastAsia" w:cs="宋体" w:asciiTheme="majorEastAsia" w:hAnsiTheme="majorEastAsia" w:eastAsiaTheme="majorEastAsia"/>
                <w:sz w:val="18"/>
                <w:szCs w:val="18"/>
              </w:rPr>
              <w:t xml:space="preserve">。</w:t>
            </w:r>
            <w:r>
              <w:rPr>
                <w:rFonts w:hint="eastAsia" w:cs="宋体" w:asciiTheme="majorEastAsia" w:hAnsiTheme="majorEastAsia" w:eastAsiaTheme="majorEastAsia"/>
                <w:b/>
                <w:bCs/>
                <w:color w:val="ee0000"/>
                <w:sz w:val="18"/>
                <w:szCs w:val="18"/>
              </w:rPr>
              <w:t xml:space="preserve">（投标时提供整机图片）</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★（23）取水龙头：≥304不锈钢，厚度≥1.0mm的净水设备出水龙头2个，龙头</w:t>
            </w:r>
            <w:r>
              <w:rPr>
                <w:rFonts w:hint="eastAsia" w:cs="宋体" w:asciiTheme="majorEastAsia" w:hAnsiTheme="majorEastAsia" w:eastAsiaTheme="majorEastAsia"/>
                <w:sz w:val="18"/>
                <w:szCs w:val="18"/>
              </w:rPr>
              <w:t xml:space="preserve">须固定</w:t>
            </w:r>
            <w:r>
              <w:rPr>
                <w:rFonts w:hint="eastAsia" w:cs="宋体" w:asciiTheme="majorEastAsia" w:hAnsiTheme="majorEastAsia" w:eastAsiaTheme="majorEastAsia"/>
                <w:sz w:val="18"/>
                <w:szCs w:val="18"/>
              </w:rPr>
              <w:t xml:space="preserve">集成于主机本体，取水口离地面垂直高度为100-120cm，便于常规容器接水操作，具体安装位置须根据学校取水方便设置。</w:t>
            </w:r>
            <w:r>
              <w:rPr>
                <w:rFonts w:hint="eastAsia" w:cs="宋体" w:asciiTheme="majorEastAsia" w:hAnsiTheme="majorEastAsia" w:eastAsiaTheme="majorEastAsia"/>
                <w:b/>
                <w:bCs/>
                <w:color w:val="ee0000"/>
                <w:sz w:val="18"/>
                <w:szCs w:val="18"/>
              </w:rPr>
              <w:t xml:space="preserve">（投标时需提供设备外观效果图并在图上标注取水口高度）</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2.3控制要求</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▲（1）支持4G远程监控，在线监测硬件状态、滤芯寿命、冲洗参数远程设置；</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▲（2）预处理、反渗透、水箱、杀菌、供回水集成在一个机柜内，系统开机自动反冲洗、检测压力；</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▲（3）内置纯水箱为≥SUS304不锈钢材质，厚度≥1.0mm；</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▲（4）消毒方式为紫外线杀菌；</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▲（5）供水泵变频恒压供水，流量压力满足需求；</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▲（6）具备循环供水功能，确保管网水质新鲜；</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▲（7）系统全自动运行，具备低压/高压保护、相序保护、过载保护、故障报警等功能；</w:t>
            </w:r>
            <w:r/>
          </w:p>
          <w:p>
            <w:pPr>
              <w:pStyle w:val="886"/>
              <w:spacing w:beforeAutospacing="0" w:afterAutospacing="0" w:line="320" w:lineRule="exact"/>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▲（8）具备停水、过压、过载、设备故障、漏水报警等断电保护功能。</w:t>
            </w:r>
            <w:r/>
          </w:p>
          <w:p>
            <w:pPr>
              <w:pStyle w:val="886"/>
              <w:spacing w:beforeAutospacing="0" w:afterAutospacing="0" w:line="320" w:lineRule="exact"/>
              <w:rPr>
                <w:rFonts w:asciiTheme="majorEastAsia" w:hAnsiTheme="majorEastAsia" w:eastAsiaTheme="majorEastAsia"/>
                <w:sz w:val="18"/>
                <w:szCs w:val="18"/>
              </w:rPr>
            </w:pPr>
            <w:r>
              <w:rPr>
                <w:rFonts w:hint="eastAsia" w:cs="宋体" w:asciiTheme="majorEastAsia" w:hAnsiTheme="majorEastAsia" w:eastAsiaTheme="majorEastAsia"/>
                <w:sz w:val="18"/>
                <w:szCs w:val="18"/>
              </w:rPr>
              <w:t xml:space="preserve">注：</w:t>
            </w:r>
            <w:r>
              <w:rPr>
                <w:rFonts w:hint="eastAsia" w:cs="宋体" w:asciiTheme="majorEastAsia" w:hAnsiTheme="majorEastAsia" w:eastAsiaTheme="majorEastAsia"/>
                <w:b/>
                <w:bCs/>
                <w:color w:val="ee0000"/>
                <w:sz w:val="18"/>
                <w:szCs w:val="18"/>
              </w:rPr>
              <w:t xml:space="preserve">以上（1）-（8）项要求投标时需提供相关具备资质的第三方检测报告或产品说明书。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sz w:val="18"/>
                <w:szCs w:val="18"/>
              </w:rPr>
              <w:t xml:space="preserve"> </w:t>
            </w:r>
            <w:r>
              <w:rPr>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spacing w:beforeAutospacing="0" w:afterAutospacing="0"/>
              <w:rPr>
                <w:rFonts w:cs="宋体" w:asciiTheme="majorEastAsia" w:hAnsiTheme="majorEastAsia" w:eastAsiaTheme="majorEastAsia"/>
                <w:b/>
                <w:sz w:val="18"/>
                <w:szCs w:val="18"/>
              </w:rPr>
            </w:pPr>
            <w:r>
              <w:rPr>
                <w:rFonts w:hint="eastAsia" w:cs="宋体" w:asciiTheme="majorEastAsia" w:hAnsiTheme="majorEastAsia" w:eastAsiaTheme="majorEastAsia"/>
                <w:b/>
                <w:sz w:val="18"/>
                <w:szCs w:val="18"/>
              </w:rPr>
              <w:t xml:space="preserve">3、物联网要求</w:t>
            </w:r>
            <w:r/>
          </w:p>
          <w:p>
            <w:pPr>
              <w:pStyle w:val="886"/>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（1）支持4G远程监控；</w:t>
            </w:r>
            <w:r/>
          </w:p>
          <w:p>
            <w:pPr>
              <w:pStyle w:val="886"/>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（2）在线监测水质、压力、流量；</w:t>
            </w:r>
            <w:r/>
          </w:p>
          <w:p>
            <w:pPr>
              <w:pStyle w:val="886"/>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（3）在线监测硬件状态、滤芯寿命、冲洗参数远程设置；</w:t>
            </w:r>
            <w:r/>
          </w:p>
          <w:p>
            <w:pPr>
              <w:pStyle w:val="886"/>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（4）支持远程开关机、定时设置；</w:t>
            </w:r>
            <w:r/>
          </w:p>
          <w:p>
            <w:pPr>
              <w:pStyle w:val="886"/>
              <w:jc w:val="both"/>
              <w:spacing w:beforeAutospacing="0" w:afterAutospacing="0"/>
              <w:rPr>
                <w:rFonts w:cs="宋体" w:asciiTheme="majorEastAsia" w:hAnsiTheme="majorEastAsia" w:eastAsiaTheme="majorEastAsia"/>
                <w:color w:val="ee0000"/>
                <w:sz w:val="18"/>
                <w:szCs w:val="18"/>
              </w:rPr>
            </w:pPr>
            <w:r>
              <w:rPr>
                <w:rFonts w:hint="eastAsia" w:cs="宋体" w:asciiTheme="majorEastAsia" w:hAnsiTheme="majorEastAsia" w:eastAsiaTheme="majorEastAsia"/>
                <w:sz w:val="18"/>
                <w:szCs w:val="18"/>
              </w:rPr>
              <w:t xml:space="preserve">注：</w:t>
            </w:r>
            <w:r>
              <w:rPr>
                <w:rFonts w:hint="eastAsia" w:cs="宋体" w:asciiTheme="majorEastAsia" w:hAnsiTheme="majorEastAsia" w:eastAsiaTheme="majorEastAsia"/>
                <w:b/>
                <w:color w:val="ff0000"/>
                <w:sz w:val="18"/>
                <w:szCs w:val="18"/>
              </w:rPr>
              <w:t xml:space="preserve">以上（</w:t>
            </w:r>
            <w:r>
              <w:rPr>
                <w:rFonts w:cs="宋体" w:asciiTheme="majorEastAsia" w:hAnsiTheme="majorEastAsia" w:eastAsiaTheme="majorEastAsia"/>
                <w:b/>
                <w:color w:val="ff0000"/>
                <w:sz w:val="18"/>
                <w:szCs w:val="18"/>
              </w:rPr>
              <w:t xml:space="preserve">1</w:t>
            </w:r>
            <w:r>
              <w:rPr>
                <w:rFonts w:hint="eastAsia" w:cs="宋体" w:asciiTheme="majorEastAsia" w:hAnsiTheme="majorEastAsia" w:eastAsiaTheme="majorEastAsia"/>
                <w:b/>
                <w:color w:val="ff0000"/>
                <w:sz w:val="18"/>
                <w:szCs w:val="18"/>
              </w:rPr>
              <w:t xml:space="preserve">）</w:t>
            </w:r>
            <w:r>
              <w:rPr>
                <w:rFonts w:cs="宋体" w:asciiTheme="majorEastAsia" w:hAnsiTheme="majorEastAsia" w:eastAsiaTheme="majorEastAsia"/>
                <w:b/>
                <w:color w:val="ff0000"/>
                <w:sz w:val="18"/>
                <w:szCs w:val="18"/>
              </w:rPr>
              <w:t xml:space="preserve">-</w:t>
            </w:r>
            <w:r>
              <w:rPr>
                <w:rFonts w:hint="eastAsia" w:cs="宋体" w:asciiTheme="majorEastAsia" w:hAnsiTheme="majorEastAsia" w:eastAsiaTheme="majorEastAsia"/>
                <w:b/>
                <w:color w:val="ff0000"/>
                <w:sz w:val="18"/>
                <w:szCs w:val="18"/>
              </w:rPr>
              <w:t xml:space="preserve">（</w:t>
            </w:r>
            <w:r>
              <w:rPr>
                <w:rFonts w:cs="宋体" w:asciiTheme="majorEastAsia" w:hAnsiTheme="majorEastAsia" w:eastAsiaTheme="majorEastAsia"/>
                <w:b/>
                <w:color w:val="ff0000"/>
                <w:sz w:val="18"/>
                <w:szCs w:val="18"/>
              </w:rPr>
              <w:t xml:space="preserve">4</w:t>
            </w:r>
            <w:r>
              <w:rPr>
                <w:rFonts w:hint="eastAsia" w:cs="宋体" w:asciiTheme="majorEastAsia" w:hAnsiTheme="majorEastAsia" w:eastAsiaTheme="majorEastAsia"/>
                <w:b/>
                <w:color w:val="ff0000"/>
                <w:sz w:val="18"/>
                <w:szCs w:val="18"/>
              </w:rPr>
              <w:t xml:space="preserve">）项要求投标时需提供物联网平台截图、软件著作权、第三方检测报告任意一项。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rFonts w:hint="eastAsia"/>
                <w:sz w:val="18"/>
                <w:szCs w:val="18"/>
              </w:rPr>
              <w:t xml:space="preserve">4</w:t>
            </w: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4、监控设备</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（1）最大图像尺寸：2560×1440</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（2）传感器类型：1/2.7" Progressive Scan CMOS</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（3）最远补光距离：红外补光30m/白光补光≥10m</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（4）支持离开岗位报警、呼救识别</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（5）感温方式：热敏电阻</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（6）高温报警：支持</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（7）报警指示灯：四色指示灯</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（8）红/蓝色：报警（红/蓝光模式可选）</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（9）绿色：正常运行</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（10）黄色：故障</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（11）测温精度：±3°（在无风恒温环境，上电1小时） </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（12）远程消音：支持 </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（13）音频接口：1个内置麦克风，1个内置扬声器。</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（14）支持语音对讲。</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★（15）内置不少于1个温度传感器、不少于1个麦克风，具有1个RJ45网络接口、1个电源接口、不少于3个状态指示灯。（</w:t>
            </w:r>
            <w:r>
              <w:rPr>
                <w:rFonts w:hint="eastAsia" w:cs="宋体" w:asciiTheme="majorEastAsia" w:hAnsiTheme="majorEastAsia" w:eastAsiaTheme="majorEastAsia"/>
                <w:b/>
                <w:color w:val="ff0000"/>
                <w:sz w:val="18"/>
                <w:szCs w:val="18"/>
              </w:rPr>
              <w:t xml:space="preserve">投标时提供第三方出具的检测报告并加盖投标人公章</w:t>
            </w:r>
            <w:r>
              <w:rPr>
                <w:rFonts w:hint="eastAsia" w:asciiTheme="majorEastAsia" w:hAnsiTheme="majorEastAsia" w:eastAsiaTheme="majorEastAsia"/>
                <w:sz w:val="18"/>
                <w:szCs w:val="18"/>
              </w:rPr>
              <w:t xml:space="preserve">）</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16）摄像机宜支持交直流两种供电方式，供电方式支持POE；在不带适用适配器情况下，电源电压在DC（12±25%）V范围内变化正常工作不带辅助光源的球机输出图像的分辨力下降到标称亮度条件下分辨力的70%时目标景物上的照度应满足：彩色：小于等于0.05lx；黑白：小于等于0.01lx开启红外夜视功能，可识别</w:t>
            </w:r>
            <w:r>
              <w:rPr>
                <w:rFonts w:hint="eastAsia" w:asciiTheme="majorEastAsia" w:hAnsiTheme="majorEastAsia" w:eastAsiaTheme="majorEastAsia"/>
                <w:sz w:val="18"/>
                <w:szCs w:val="18"/>
              </w:rPr>
              <w:t xml:space="preserve">距设备</w:t>
            </w:r>
            <w:r>
              <w:rPr>
                <w:rFonts w:hint="eastAsia" w:asciiTheme="majorEastAsia" w:hAnsiTheme="majorEastAsia" w:eastAsiaTheme="majorEastAsia"/>
                <w:sz w:val="18"/>
                <w:szCs w:val="18"/>
              </w:rPr>
              <w:t xml:space="preserve">30m处的人体（1.7m×0.5m）轮廓。</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（17）设备具有实时温度数据叠加开关，支持调整OSD叠加位置，支持实时温度曲线叠加在可视化画面中，触发报警后温度曲线自动变为红色。</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（18）设备应具备高温报警功能，支持设定0℃～120℃ 高温报警阈值，1～ 600秒温度报警时间阈值，当环境温度超过设定高温报警阈值和时间阈值时，触发设备高温报警，视频画面叠加高温报警信息，同时录像及上传抓拍图片，报警指示灯自动点亮。</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（19）设备应具备温度突升、突降</w:t>
            </w:r>
            <w:r>
              <w:rPr>
                <w:rFonts w:hint="eastAsia" w:asciiTheme="majorEastAsia" w:hAnsiTheme="majorEastAsia" w:eastAsiaTheme="majorEastAsia"/>
                <w:sz w:val="18"/>
                <w:szCs w:val="18"/>
              </w:rPr>
              <w:t xml:space="preserve">的差温报警</w:t>
            </w:r>
            <w:r>
              <w:rPr>
                <w:rFonts w:hint="eastAsia" w:asciiTheme="majorEastAsia" w:hAnsiTheme="majorEastAsia" w:eastAsiaTheme="majorEastAsia"/>
                <w:sz w:val="18"/>
                <w:szCs w:val="18"/>
              </w:rPr>
              <w:t xml:space="preserve">功能，支持设定1℃～120℃温度突升或突降</w:t>
            </w:r>
            <w:r>
              <w:rPr>
                <w:rFonts w:hint="eastAsia" w:asciiTheme="majorEastAsia" w:hAnsiTheme="majorEastAsia" w:eastAsiaTheme="majorEastAsia"/>
                <w:sz w:val="18"/>
                <w:szCs w:val="18"/>
              </w:rPr>
              <w:t xml:space="preserve">的差温报警</w:t>
            </w:r>
            <w:r>
              <w:rPr>
                <w:rFonts w:hint="eastAsia" w:asciiTheme="majorEastAsia" w:hAnsiTheme="majorEastAsia" w:eastAsiaTheme="majorEastAsia"/>
                <w:sz w:val="18"/>
                <w:szCs w:val="18"/>
              </w:rPr>
              <w:t xml:space="preserve">阈值，1～30秒温度突</w:t>
            </w:r>
            <w:r>
              <w:rPr>
                <w:rFonts w:hint="eastAsia" w:asciiTheme="majorEastAsia" w:hAnsiTheme="majorEastAsia" w:eastAsiaTheme="majorEastAsia"/>
                <w:sz w:val="18"/>
                <w:szCs w:val="18"/>
              </w:rPr>
              <w:t xml:space="preserve">升或者</w:t>
            </w:r>
            <w:r>
              <w:rPr>
                <w:rFonts w:hint="eastAsia" w:asciiTheme="majorEastAsia" w:hAnsiTheme="majorEastAsia" w:eastAsiaTheme="majorEastAsia"/>
                <w:sz w:val="18"/>
                <w:szCs w:val="18"/>
              </w:rPr>
              <w:t xml:space="preserve">突降报警时间阈值，当环境温度满足设定高温报警阈值和时间阈值时，触发设备温度突升或</w:t>
            </w:r>
            <w:r>
              <w:rPr>
                <w:rFonts w:hint="eastAsia" w:asciiTheme="majorEastAsia" w:hAnsiTheme="majorEastAsia" w:eastAsiaTheme="majorEastAsia"/>
                <w:sz w:val="18"/>
                <w:szCs w:val="18"/>
              </w:rPr>
              <w:t xml:space="preserve">突降差温报警</w:t>
            </w:r>
            <w:r>
              <w:rPr>
                <w:rFonts w:hint="eastAsia" w:asciiTheme="majorEastAsia" w:hAnsiTheme="majorEastAsia" w:eastAsiaTheme="majorEastAsia"/>
                <w:sz w:val="18"/>
                <w:szCs w:val="18"/>
              </w:rPr>
              <w:t xml:space="preserve">，视频画面叠加温度突升/突降报警信息，同时录像及上传抓拍图片，报警指示灯自动点亮。</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★（20）设备应符合GB/T 4208-2017中IP67等级的要求（</w:t>
            </w:r>
            <w:r>
              <w:rPr>
                <w:rFonts w:hint="eastAsia" w:cs="宋体" w:asciiTheme="majorEastAsia" w:hAnsiTheme="majorEastAsia" w:eastAsiaTheme="majorEastAsia"/>
                <w:b/>
                <w:color w:val="ff0000"/>
                <w:sz w:val="18"/>
                <w:szCs w:val="18"/>
              </w:rPr>
              <w:t xml:space="preserve">投标时提供第三方出具的检测报告并加盖投标人公章</w:t>
            </w:r>
            <w:r>
              <w:rPr>
                <w:rFonts w:hint="eastAsia" w:asciiTheme="majorEastAsia" w:hAnsiTheme="majorEastAsia" w:eastAsiaTheme="majorEastAsia"/>
                <w:sz w:val="18"/>
                <w:szCs w:val="18"/>
              </w:rPr>
              <w:t xml:space="preserve">）</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（21）温度65±2℃ 、持续时间24h，设备处于工作状态，过程中进行5次的上下电，设备应能正常启动,试验后设备应能正常工作。</w:t>
            </w:r>
            <w:r/>
          </w:p>
          <w:p>
            <w:pPr>
              <w:pStyle w:val="886"/>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（22）其他辅材：电源线 国标2*1.5；POE交换机8口，支持摄像头供电；管材20mm轻型线管；网线超六类网线。</w:t>
            </w:r>
            <w:r>
              <w:rPr>
                <w:rFonts w:asciiTheme="majorEastAsia" w:hAnsiTheme="majorEastAsia" w:eastAsiaTheme="major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886"/>
              <w:jc w:val="center"/>
              <w:spacing w:beforeAutospacing="0" w:afterAutospacing="0"/>
              <w:rPr>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beforeAutospacing="0" w:afterAutospacing="0"/>
              <w:rPr>
                <w:sz w:val="18"/>
                <w:szCs w:val="18"/>
              </w:rPr>
            </w:pPr>
            <w:r>
              <w:rPr>
                <w:sz w:val="18"/>
                <w:szCs w:val="18"/>
              </w:rPr>
              <w:t xml:space="preserve"> </w:t>
            </w:r>
            <w:r/>
          </w:p>
        </w:tc>
      </w:tr>
    </w:tbl>
    <w:p>
      <w:pPr>
        <w:pStyle w:val="886"/>
        <w:jc w:val="both"/>
        <w:spacing w:beforeAutospacing="0" w:afterAutospacing="0"/>
        <w:rPr>
          <w:rFonts w:ascii="宋体" w:hAnsi="宋体" w:eastAsia="宋体" w:cs="宋体"/>
          <w:color w:val="000000"/>
        </w:rPr>
      </w:pPr>
      <w:r>
        <w:rPr>
          <w:rFonts w:ascii="宋体" w:hAnsi="宋体" w:eastAsia="宋体" w:cs="宋体"/>
          <w:color w:val="000000"/>
        </w:rPr>
      </w:r>
      <w:r/>
    </w:p>
    <w:p>
      <w:pPr>
        <w:ind w:left="-360" w:firstLine="480"/>
        <w:spacing w:line="360" w:lineRule="auto"/>
        <w:widowControl/>
        <w:rPr>
          <w:rFonts w:ascii="宋体" w:hAnsi="宋体" w:cs="宋体"/>
          <w:color w:val="ee0000"/>
          <w:sz w:val="24"/>
        </w:rPr>
      </w:pPr>
      <w:r>
        <w:rPr>
          <w:rFonts w:hint="eastAsia" w:ascii="宋体" w:hAnsi="宋体" w:eastAsia="宋体" w:cs="宋体"/>
          <w:color w:val="000000"/>
          <w:sz w:val="24"/>
        </w:rPr>
        <w:t xml:space="preserve">注：1.招标文件</w:t>
      </w:r>
      <w:r>
        <w:rPr>
          <w:rFonts w:hint="eastAsia" w:ascii="宋体" w:hAnsi="宋体" w:eastAsia="宋体" w:cs="宋体"/>
          <w:color w:val="ee0000"/>
          <w:sz w:val="24"/>
        </w:rPr>
        <w:t xml:space="preserve"> “第四章 采购需求- 三、技术要求”中要求投标时提供相关证明材料的须在投标文件中提供，如未按“第四章 采购需求- 三、技术要求”要求提供相关证明材料的视为负偏离。</w:t>
      </w:r>
      <w:r/>
    </w:p>
    <w:p>
      <w:pPr>
        <w:pStyle w:val="899"/>
        <w:numPr>
          <w:ilvl w:val="0"/>
          <w:numId w:val="10"/>
        </w:numPr>
        <w:ind w:firstLine="480"/>
        <w:spacing w:line="360" w:lineRule="auto"/>
      </w:pPr>
      <w:r>
        <w:rPr>
          <w:rFonts w:hint="eastAsia"/>
          <w:color w:val="000000"/>
          <w:szCs w:val="24"/>
        </w:rPr>
        <w:t xml:space="preserve">行数不够，可自行添加</w:t>
      </w:r>
      <w:r>
        <w:rPr>
          <w:rFonts w:hint="eastAsia"/>
        </w:rPr>
        <w:t xml:space="preserve">。</w:t>
      </w:r>
      <w:bookmarkEnd w:id="272"/>
      <w:r/>
      <w:bookmarkEnd w:id="273"/>
      <w:r>
        <w:t xml:space="preserve"> </w:t>
      </w:r>
      <w:r/>
    </w:p>
    <w:p>
      <w:pPr>
        <w:pStyle w:val="886"/>
        <w:ind w:firstLine="643"/>
        <w:jc w:val="center"/>
        <w:spacing w:beforeAutospacing="0" w:afterAutospacing="0"/>
        <w:rPr>
          <w:rFonts w:ascii="黑体" w:hAnsi="宋体" w:eastAsia="黑体" w:cs="黑体"/>
          <w:b/>
          <w:color w:val="000000"/>
          <w:sz w:val="32"/>
          <w:szCs w:val="32"/>
        </w:rPr>
        <w:sectPr>
          <w:footnotePr/>
          <w:endnotePr/>
          <w:type w:val="nextPage"/>
          <w:pgSz w:w="11906" w:h="16838" w:orient="portrait"/>
          <w:pgMar w:top="1440" w:right="1701" w:bottom="1440" w:left="1701" w:header="851" w:footer="992" w:gutter="0"/>
          <w:cols w:num="1" w:sep="0" w:space="425" w:equalWidth="1"/>
          <w:docGrid w:linePitch="360"/>
        </w:sectPr>
      </w:pPr>
      <w:r/>
      <w:bookmarkStart w:id="274" w:name="_Hlt26955054"/>
      <w:r/>
      <w:r/>
    </w:p>
    <w:p>
      <w:pPr>
        <w:pStyle w:val="886"/>
        <w:ind w:firstLine="643"/>
        <w:jc w:val="center"/>
        <w:spacing w:beforeAutospacing="0" w:afterAutospacing="0"/>
      </w:pPr>
      <w:r>
        <w:rPr>
          <w:rFonts w:hint="eastAsia" w:ascii="黑体" w:hAnsi="宋体" w:eastAsia="黑体" w:cs="黑体"/>
          <w:b/>
          <w:color w:val="000000"/>
          <w:sz w:val="32"/>
          <w:szCs w:val="32"/>
        </w:rPr>
        <w:t xml:space="preserve">十六、商务要求响应及偏离表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983"/>
        <w:gridCol w:w="1560"/>
        <w:gridCol w:w="1398"/>
        <w:gridCol w:w="1041"/>
      </w:tblGrid>
      <w:tr>
        <w:trPr>
          <w:tblCellSpacing w:w="0" w:type="dxa"/>
        </w:trPr>
        <w:tc>
          <w:tcPr>
            <w:tcW w:w="538" w:type="dxa"/>
            <w:vAlign w:val="center"/>
            <w:textDirection w:val="lrTb"/>
            <w:noWrap w:val="false"/>
          </w:tcPr>
          <w:p>
            <w:pPr>
              <w:pStyle w:val="886"/>
              <w:spacing w:beforeAutospacing="0" w:afterAutospacing="0"/>
              <w:rPr>
                <w:sz w:val="21"/>
                <w:szCs w:val="21"/>
              </w:rPr>
            </w:pPr>
            <w:r/>
            <w:bookmarkStart w:id="275" w:name="_Hlt24879081"/>
            <w:r/>
            <w:bookmarkStart w:id="276" w:name="_Hlt26955064"/>
            <w:r/>
            <w:bookmarkStart w:id="277" w:name="_Hlt26782999"/>
            <w:r/>
            <w:bookmarkStart w:id="278" w:name="_Hlt26580838"/>
            <w:r/>
            <w:bookmarkStart w:id="279" w:name="_Hlt26609391"/>
            <w:r/>
            <w:bookmarkStart w:id="280" w:name="_Hlt26955056"/>
            <w:r/>
            <w:bookmarkStart w:id="281" w:name="_Hlt26671343"/>
            <w:r/>
            <w:bookmarkStart w:id="282" w:name="_Hlt26671372"/>
            <w:r>
              <w:rPr>
                <w:rFonts w:hint="eastAsia" w:ascii="宋体" w:hAnsi="宋体" w:eastAsia="宋体" w:cs="宋体"/>
                <w:color w:val="000000"/>
                <w:sz w:val="21"/>
                <w:szCs w:val="21"/>
              </w:rPr>
              <w:t xml:space="preserve">序号</w:t>
            </w:r>
            <w:bookmarkEnd w:id="275"/>
            <w:r/>
            <w:bookmarkEnd w:id="276"/>
            <w:r/>
            <w:bookmarkEnd w:id="277"/>
            <w:r/>
            <w:bookmarkEnd w:id="278"/>
            <w:r/>
            <w:bookmarkEnd w:id="279"/>
            <w:r/>
            <w:bookmarkEnd w:id="280"/>
            <w:r/>
            <w:bookmarkEnd w:id="281"/>
            <w:r/>
            <w:bookmarkEnd w:id="282"/>
            <w:r/>
            <w:r/>
          </w:p>
        </w:tc>
        <w:tc>
          <w:tcPr>
            <w:tcW w:w="3983" w:type="dxa"/>
            <w:vAlign w:val="center"/>
            <w:textDirection w:val="lrTb"/>
            <w:noWrap w:val="false"/>
          </w:tcPr>
          <w:p>
            <w:pPr>
              <w:pStyle w:val="886"/>
              <w:jc w:val="center"/>
              <w:spacing w:beforeAutospacing="0" w:afterAutospacing="0"/>
              <w:rPr>
                <w:sz w:val="21"/>
                <w:szCs w:val="21"/>
              </w:rPr>
            </w:pPr>
            <w:r>
              <w:rPr>
                <w:rFonts w:hint="eastAsia" w:ascii="宋体" w:hAnsi="宋体" w:eastAsia="宋体" w:cs="宋体"/>
                <w:color w:val="000000"/>
                <w:sz w:val="21"/>
                <w:szCs w:val="21"/>
              </w:rPr>
              <w:t xml:space="preserve">招标文件要求</w:t>
            </w:r>
            <w:r/>
          </w:p>
        </w:tc>
        <w:tc>
          <w:tcPr>
            <w:tcW w:w="1560" w:type="dxa"/>
            <w:vAlign w:val="center"/>
            <w:textDirection w:val="lrTb"/>
            <w:noWrap w:val="false"/>
          </w:tcPr>
          <w:p>
            <w:pPr>
              <w:pStyle w:val="886"/>
              <w:jc w:val="center"/>
              <w:spacing w:beforeAutospacing="0" w:afterAutospacing="0"/>
              <w:rPr>
                <w:sz w:val="21"/>
                <w:szCs w:val="21"/>
              </w:rPr>
            </w:pPr>
            <w:r>
              <w:rPr>
                <w:rFonts w:hint="eastAsia" w:ascii="宋体" w:hAnsi="宋体" w:eastAsia="宋体" w:cs="宋体"/>
                <w:color w:val="000000"/>
                <w:sz w:val="21"/>
                <w:szCs w:val="21"/>
              </w:rPr>
              <w:t xml:space="preserve">投标响应情况</w:t>
            </w:r>
            <w:r/>
          </w:p>
        </w:tc>
        <w:tc>
          <w:tcPr>
            <w:tcW w:w="1398" w:type="dxa"/>
            <w:vAlign w:val="center"/>
            <w:textDirection w:val="lrTb"/>
            <w:noWrap w:val="false"/>
          </w:tcPr>
          <w:p>
            <w:pPr>
              <w:pStyle w:val="886"/>
              <w:jc w:val="center"/>
              <w:spacing w:beforeAutospacing="0" w:afterAutospacing="0"/>
              <w:rPr>
                <w:sz w:val="21"/>
                <w:szCs w:val="21"/>
              </w:rPr>
            </w:pPr>
            <w:r>
              <w:rPr>
                <w:rFonts w:hint="eastAsia" w:asciiTheme="minorEastAsia" w:hAnsiTheme="minorEastAsia" w:cstheme="minorEastAsia"/>
                <w:color w:val="000000"/>
                <w:sz w:val="21"/>
                <w:szCs w:val="21"/>
              </w:rPr>
              <w:t xml:space="preserve">正偏离、符合或负偏离</w:t>
            </w:r>
            <w:r/>
          </w:p>
        </w:tc>
        <w:tc>
          <w:tcPr>
            <w:tcW w:w="1041" w:type="dxa"/>
            <w:vAlign w:val="center"/>
            <w:textDirection w:val="lrTb"/>
            <w:noWrap w:val="false"/>
          </w:tcPr>
          <w:p>
            <w:pPr>
              <w:pStyle w:val="886"/>
              <w:spacing w:beforeAutospacing="0" w:afterAutospacing="0"/>
              <w:rPr>
                <w:sz w:val="21"/>
                <w:szCs w:val="21"/>
              </w:rPr>
            </w:pPr>
            <w:r>
              <w:rPr>
                <w:rFonts w:hint="eastAsia" w:ascii="宋体" w:hAnsi="宋体" w:eastAsia="宋体" w:cs="宋体"/>
                <w:color w:val="000000"/>
                <w:sz w:val="21"/>
                <w:szCs w:val="21"/>
              </w:rPr>
              <w:t xml:space="preserve">证明材料</w:t>
            </w:r>
            <w:r>
              <w:rPr>
                <w:rFonts w:hint="eastAsia" w:asciiTheme="minorEastAsia" w:hAnsiTheme="minorEastAsia" w:cstheme="minorEastAsia"/>
                <w:color w:val="000000"/>
                <w:sz w:val="21"/>
                <w:szCs w:val="21"/>
              </w:rPr>
              <w:t xml:space="preserve">（如有）</w:t>
            </w:r>
            <w:r/>
          </w:p>
        </w:tc>
      </w:tr>
      <w:tr>
        <w:trPr>
          <w:tblCellSpacing w:w="0" w:type="dxa"/>
          <w:trHeight w:val="640"/>
        </w:trPr>
        <w:tc>
          <w:tcPr>
            <w:tcW w:w="538" w:type="dxa"/>
            <w:vAlign w:val="center"/>
            <w:textDirection w:val="lrTb"/>
            <w:noWrap w:val="false"/>
          </w:tcPr>
          <w:p>
            <w:pPr>
              <w:pStyle w:val="886"/>
              <w:jc w:val="center"/>
              <w:spacing w:beforeAutospacing="0" w:afterAutospacing="0"/>
              <w:rPr>
                <w:sz w:val="21"/>
                <w:szCs w:val="21"/>
              </w:rPr>
            </w:pPr>
            <w:r>
              <w:rPr>
                <w:sz w:val="21"/>
                <w:szCs w:val="21"/>
              </w:rPr>
              <w:t xml:space="preserve"> 1</w:t>
            </w:r>
            <w:r/>
          </w:p>
        </w:tc>
        <w:tc>
          <w:tcPr>
            <w:tcW w:w="3983" w:type="dxa"/>
            <w:vAlign w:val="center"/>
            <w:textDirection w:val="lrTb"/>
            <w:noWrap w:val="false"/>
          </w:tcPr>
          <w:p>
            <w:pPr>
              <w:pStyle w:val="886"/>
              <w:spacing w:beforeAutospacing="0" w:afterAutospacing="0"/>
              <w:rPr>
                <w:sz w:val="21"/>
                <w:szCs w:val="21"/>
              </w:rPr>
            </w:pPr>
            <w:r/>
            <w:bookmarkStart w:id="283" w:name="OLE_LINK61"/>
            <w:r/>
            <w:bookmarkStart w:id="284" w:name="OLE_LINK62"/>
            <w:r>
              <w:rPr>
                <w:rFonts w:hint="eastAsia" w:asciiTheme="minorEastAsia" w:hAnsiTheme="minorEastAsia" w:cstheme="minorEastAsia"/>
                <w:sz w:val="21"/>
                <w:szCs w:val="21"/>
              </w:rPr>
              <w:t xml:space="preserve">投标报价不得高于最高限价200万元</w:t>
            </w:r>
            <w:bookmarkEnd w:id="283"/>
            <w:r/>
            <w:bookmarkEnd w:id="284"/>
            <w:r/>
            <w:r/>
          </w:p>
        </w:tc>
        <w:tc>
          <w:tcPr>
            <w:tcW w:w="1560"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886"/>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886"/>
              <w:jc w:val="center"/>
              <w:spacing w:beforeAutospacing="0" w:afterAutospacing="0"/>
              <w:rPr>
                <w:sz w:val="21"/>
                <w:szCs w:val="21"/>
              </w:rPr>
            </w:pPr>
            <w:r>
              <w:rPr>
                <w:sz w:val="21"/>
                <w:szCs w:val="21"/>
              </w:rPr>
              <w:t xml:space="preserve"> 2</w:t>
            </w:r>
            <w:r/>
          </w:p>
        </w:tc>
        <w:tc>
          <w:tcPr>
            <w:tcW w:w="3983" w:type="dxa"/>
            <w:vAlign w:val="center"/>
            <w:textDirection w:val="lrTb"/>
            <w:noWrap w:val="false"/>
          </w:tcPr>
          <w:p>
            <w:pPr>
              <w:pStyle w:val="886"/>
              <w:spacing w:beforeAutospacing="0" w:afterAutospacing="0"/>
              <w:rPr>
                <w:sz w:val="21"/>
                <w:szCs w:val="21"/>
              </w:rPr>
            </w:pPr>
            <w:r/>
            <w:bookmarkStart w:id="285" w:name="OLE_LINK63"/>
            <w:r/>
            <w:bookmarkStart w:id="286" w:name="OLE_LINK64"/>
            <w:r>
              <w:rPr>
                <w:rFonts w:hint="eastAsia"/>
                <w:sz w:val="21"/>
                <w:szCs w:val="21"/>
              </w:rPr>
              <w:t xml:space="preserve">投标有效期</w:t>
            </w:r>
            <w:r>
              <w:rPr>
                <w:rFonts w:hint="eastAsia"/>
                <w:sz w:val="21"/>
                <w:szCs w:val="21"/>
              </w:rPr>
              <w:t xml:space="preserve">90</w:t>
            </w:r>
            <w:r>
              <w:rPr>
                <w:rFonts w:hint="eastAsia"/>
                <w:sz w:val="21"/>
                <w:szCs w:val="21"/>
              </w:rPr>
              <w:t xml:space="preserve">日历天</w:t>
            </w:r>
            <w:bookmarkEnd w:id="285"/>
            <w:r/>
            <w:bookmarkEnd w:id="286"/>
            <w:r/>
            <w:r/>
          </w:p>
        </w:tc>
        <w:tc>
          <w:tcPr>
            <w:tcW w:w="1560"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886"/>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886"/>
              <w:jc w:val="center"/>
              <w:spacing w:beforeAutospacing="0" w:afterAutospacing="0"/>
              <w:rPr>
                <w:sz w:val="21"/>
                <w:szCs w:val="21"/>
              </w:rPr>
            </w:pPr>
            <w:r>
              <w:rPr>
                <w:sz w:val="21"/>
                <w:szCs w:val="21"/>
              </w:rPr>
              <w:t xml:space="preserve"> 3</w:t>
            </w:r>
            <w:r/>
          </w:p>
        </w:tc>
        <w:tc>
          <w:tcPr>
            <w:tcW w:w="3983" w:type="dxa"/>
            <w:vAlign w:val="center"/>
            <w:textDirection w:val="lrTb"/>
            <w:noWrap w:val="false"/>
          </w:tcPr>
          <w:p>
            <w:pPr>
              <w:pStyle w:val="886"/>
              <w:spacing w:beforeAutospacing="0" w:afterAutospacing="0"/>
              <w:rPr>
                <w:sz w:val="21"/>
                <w:szCs w:val="21"/>
              </w:rPr>
            </w:pPr>
            <w:r/>
            <w:bookmarkStart w:id="287" w:name="OLE_LINK65"/>
            <w:r/>
            <w:bookmarkStart w:id="288" w:name="OLE_LINK66"/>
            <w:r>
              <w:rPr>
                <w:rFonts w:hint="eastAsia"/>
                <w:sz w:val="21"/>
                <w:szCs w:val="21"/>
              </w:rPr>
              <w:t xml:space="preserve">合同履约期限：签订合同后</w:t>
            </w:r>
            <w:r>
              <w:rPr>
                <w:rFonts w:hint="eastAsia"/>
                <w:sz w:val="21"/>
                <w:szCs w:val="21"/>
              </w:rPr>
              <w:t xml:space="preserve">60</w:t>
            </w:r>
            <w:r>
              <w:rPr>
                <w:rFonts w:hint="eastAsia"/>
                <w:sz w:val="21"/>
                <w:szCs w:val="21"/>
              </w:rPr>
              <w:t xml:space="preserve">天内完成供货、安装调试完毕并通过设备验收和水质检测，交付学校正常使用。</w:t>
            </w:r>
            <w:bookmarkEnd w:id="287"/>
            <w:r/>
            <w:bookmarkEnd w:id="288"/>
            <w:r/>
            <w:r/>
          </w:p>
        </w:tc>
        <w:tc>
          <w:tcPr>
            <w:tcW w:w="1560"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886"/>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886"/>
              <w:jc w:val="center"/>
              <w:spacing w:beforeAutospacing="0" w:afterAutospacing="0"/>
              <w:rPr>
                <w:sz w:val="21"/>
                <w:szCs w:val="21"/>
              </w:rPr>
            </w:pPr>
            <w:r>
              <w:rPr>
                <w:sz w:val="21"/>
                <w:szCs w:val="21"/>
              </w:rPr>
              <w:t xml:space="preserve"> 4</w:t>
            </w:r>
            <w:r/>
          </w:p>
        </w:tc>
        <w:tc>
          <w:tcPr>
            <w:tcW w:w="3983" w:type="dxa"/>
            <w:vAlign w:val="center"/>
            <w:textDirection w:val="lrTb"/>
            <w:noWrap w:val="false"/>
          </w:tcPr>
          <w:p>
            <w:pPr>
              <w:pStyle w:val="886"/>
              <w:spacing w:beforeAutospacing="0" w:afterAutospacing="0"/>
              <w:rPr>
                <w:sz w:val="21"/>
                <w:szCs w:val="21"/>
              </w:rPr>
            </w:pPr>
            <w:r/>
            <w:bookmarkStart w:id="289" w:name="OLE_LINK67"/>
            <w:r/>
            <w:bookmarkStart w:id="290" w:name="OLE_LINK68"/>
            <w:r>
              <w:rPr>
                <w:rFonts w:hint="eastAsia"/>
                <w:sz w:val="21"/>
                <w:szCs w:val="21"/>
              </w:rPr>
              <w:t xml:space="preserve">付款方式：</w:t>
            </w:r>
            <w:r/>
          </w:p>
          <w:p>
            <w:pPr>
              <w:pStyle w:val="886"/>
              <w:spacing w:beforeAutospacing="0" w:afterAutospacing="0"/>
              <w:rPr>
                <w:sz w:val="21"/>
                <w:szCs w:val="21"/>
              </w:rPr>
            </w:pPr>
            <w:r>
              <w:rPr>
                <w:rFonts w:hint="eastAsia"/>
                <w:sz w:val="21"/>
                <w:szCs w:val="21"/>
              </w:rPr>
              <w:t xml:space="preserve">1</w:t>
            </w:r>
            <w:r>
              <w:rPr>
                <w:rFonts w:hint="eastAsia"/>
                <w:sz w:val="21"/>
                <w:szCs w:val="21"/>
              </w:rPr>
              <w:t xml:space="preserve">、本项目落实预付款制度，预付款比例为</w:t>
            </w:r>
            <w:r>
              <w:rPr>
                <w:rFonts w:hint="eastAsia"/>
                <w:sz w:val="21"/>
                <w:szCs w:val="21"/>
              </w:rPr>
              <w:t xml:space="preserve">30%</w:t>
            </w:r>
            <w:r>
              <w:rPr>
                <w:rFonts w:hint="eastAsia"/>
                <w:sz w:val="21"/>
                <w:szCs w:val="21"/>
              </w:rPr>
              <w:t xml:space="preserve">，合同签订后，采购人在收到发票后</w:t>
            </w:r>
            <w:r>
              <w:rPr>
                <w:rFonts w:hint="eastAsia"/>
                <w:sz w:val="21"/>
                <w:szCs w:val="21"/>
              </w:rPr>
              <w:t xml:space="preserve">10</w:t>
            </w:r>
            <w:r>
              <w:rPr>
                <w:rFonts w:hint="eastAsia"/>
                <w:sz w:val="21"/>
                <w:szCs w:val="21"/>
              </w:rPr>
              <w:t xml:space="preserve">个工作日内将预付款支付到合同约定的供应商账户（供应商须提供合同总价</w:t>
            </w:r>
            <w:r>
              <w:rPr>
                <w:rFonts w:hint="eastAsia"/>
                <w:sz w:val="21"/>
                <w:szCs w:val="21"/>
              </w:rPr>
              <w:t xml:space="preserve">30%</w:t>
            </w:r>
            <w:r>
              <w:rPr>
                <w:rFonts w:hint="eastAsia"/>
                <w:sz w:val="21"/>
                <w:szCs w:val="21"/>
              </w:rPr>
              <w:t xml:space="preserve">的即兑即付预付款银行保函）。在签订合同时，供应商书面明确表示无需预付款或者主动要求降低预付款比例的，采购人可不适用前述规定。</w:t>
            </w:r>
            <w:r/>
          </w:p>
          <w:p>
            <w:pPr>
              <w:pStyle w:val="886"/>
              <w:spacing w:beforeAutospacing="0" w:afterAutospacing="0"/>
              <w:rPr>
                <w:sz w:val="21"/>
                <w:szCs w:val="21"/>
              </w:rPr>
            </w:pPr>
            <w:r>
              <w:rPr>
                <w:rFonts w:hint="eastAsia"/>
                <w:sz w:val="21"/>
                <w:szCs w:val="21"/>
              </w:rPr>
              <w:t xml:space="preserve">2</w:t>
            </w:r>
            <w:r>
              <w:rPr>
                <w:rFonts w:hint="eastAsia"/>
                <w:sz w:val="21"/>
                <w:szCs w:val="21"/>
              </w:rPr>
              <w:t xml:space="preserve">、按采购人要求将货物送到指定地点并完成安装、调试，经采购人验收合格后凭发票付至合同金额的</w:t>
            </w:r>
            <w:r>
              <w:rPr>
                <w:rFonts w:hint="eastAsia"/>
                <w:sz w:val="21"/>
                <w:szCs w:val="21"/>
              </w:rPr>
              <w:t xml:space="preserve">50%</w:t>
            </w:r>
            <w:r>
              <w:rPr>
                <w:rFonts w:hint="eastAsia"/>
                <w:sz w:val="21"/>
                <w:szCs w:val="21"/>
              </w:rPr>
              <w:t xml:space="preserve">，验收合格满一年后付至合同金额的</w:t>
            </w:r>
            <w:r>
              <w:rPr>
                <w:rFonts w:hint="eastAsia"/>
                <w:sz w:val="21"/>
                <w:szCs w:val="21"/>
              </w:rPr>
              <w:t xml:space="preserve">60%</w:t>
            </w:r>
            <w:r>
              <w:rPr>
                <w:rFonts w:hint="eastAsia"/>
                <w:sz w:val="21"/>
                <w:szCs w:val="21"/>
              </w:rPr>
              <w:t xml:space="preserve">，满二年后付至合同金额的</w:t>
            </w:r>
            <w:r>
              <w:rPr>
                <w:rFonts w:hint="eastAsia"/>
                <w:sz w:val="21"/>
                <w:szCs w:val="21"/>
              </w:rPr>
              <w:t xml:space="preserve">70%</w:t>
            </w:r>
            <w:r>
              <w:rPr>
                <w:rFonts w:hint="eastAsia"/>
                <w:sz w:val="21"/>
                <w:szCs w:val="21"/>
              </w:rPr>
              <w:t xml:space="preserve">，满三年后付至合同金额的</w:t>
            </w:r>
            <w:r>
              <w:rPr>
                <w:rFonts w:hint="eastAsia"/>
                <w:sz w:val="21"/>
                <w:szCs w:val="21"/>
              </w:rPr>
              <w:t xml:space="preserve">80%</w:t>
            </w:r>
            <w:r>
              <w:rPr>
                <w:rFonts w:hint="eastAsia"/>
                <w:sz w:val="21"/>
                <w:szCs w:val="21"/>
              </w:rPr>
              <w:t xml:space="preserve">，余款在验收合格满五年后付清剩余费用。</w:t>
            </w:r>
            <w:bookmarkEnd w:id="289"/>
            <w:r/>
            <w:bookmarkEnd w:id="290"/>
            <w:r/>
            <w:r/>
          </w:p>
        </w:tc>
        <w:tc>
          <w:tcPr>
            <w:tcW w:w="1560"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886"/>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886"/>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886"/>
              <w:jc w:val="center"/>
              <w:spacing w:beforeAutospacing="0" w:afterAutospacing="0"/>
            </w:pPr>
            <w:r>
              <w:rPr>
                <w:rFonts w:hint="eastAsia"/>
              </w:rPr>
              <w:t xml:space="preserve">5</w:t>
            </w:r>
            <w:r>
              <w:t xml:space="preserve"> </w:t>
            </w:r>
            <w:r/>
          </w:p>
        </w:tc>
        <w:tc>
          <w:tcPr>
            <w:tcW w:w="3983" w:type="dxa"/>
            <w:vAlign w:val="center"/>
            <w:textDirection w:val="lrTb"/>
            <w:noWrap w:val="false"/>
          </w:tcPr>
          <w:p>
            <w:pPr>
              <w:pStyle w:val="886"/>
              <w:spacing w:beforeAutospacing="0" w:afterAutospacing="0"/>
            </w:pPr>
            <w:r/>
            <w:bookmarkStart w:id="291" w:name="OLE_LINK69"/>
            <w:r/>
            <w:bookmarkStart w:id="292" w:name="OLE_LINK70"/>
            <w:r>
              <w:rPr>
                <w:rFonts w:hint="eastAsia"/>
                <w:sz w:val="21"/>
                <w:szCs w:val="21"/>
              </w:rPr>
              <w:t xml:space="preserve">其他要求承诺函</w:t>
            </w:r>
            <w:bookmarkEnd w:id="291"/>
            <w:r/>
            <w:bookmarkEnd w:id="292"/>
            <w:r/>
            <w:r/>
          </w:p>
        </w:tc>
        <w:tc>
          <w:tcPr>
            <w:tcW w:w="1560" w:type="dxa"/>
            <w:vAlign w:val="center"/>
            <w:textDirection w:val="lrTb"/>
            <w:noWrap w:val="false"/>
          </w:tcPr>
          <w:p>
            <w:pPr>
              <w:pStyle w:val="886"/>
              <w:jc w:val="center"/>
              <w:spacing w:beforeAutospacing="0" w:afterAutospacing="0"/>
            </w:pPr>
            <w:r>
              <w:t xml:space="preserve"> </w:t>
            </w:r>
            <w:r/>
          </w:p>
        </w:tc>
        <w:tc>
          <w:tcPr>
            <w:tcW w:w="1398" w:type="dxa"/>
            <w:vAlign w:val="center"/>
            <w:textDirection w:val="lrTb"/>
            <w:noWrap w:val="false"/>
          </w:tcPr>
          <w:p>
            <w:pPr>
              <w:pStyle w:val="886"/>
              <w:jc w:val="center"/>
              <w:spacing w:beforeAutospacing="0" w:afterAutospacing="0"/>
            </w:pPr>
            <w:r>
              <w:t xml:space="preserve"> </w:t>
            </w:r>
            <w:r/>
          </w:p>
        </w:tc>
        <w:tc>
          <w:tcPr>
            <w:tcW w:w="1041" w:type="dxa"/>
            <w:vAlign w:val="center"/>
            <w:textDirection w:val="lrTb"/>
            <w:noWrap w:val="false"/>
          </w:tcPr>
          <w:p>
            <w:pPr>
              <w:pStyle w:val="886"/>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886"/>
              <w:jc w:val="center"/>
              <w:spacing w:beforeAutospacing="0" w:afterAutospacing="0"/>
            </w:pPr>
            <w:r/>
            <w:r/>
          </w:p>
        </w:tc>
        <w:tc>
          <w:tcPr>
            <w:tcW w:w="3983" w:type="dxa"/>
            <w:vAlign w:val="center"/>
            <w:textDirection w:val="lrTb"/>
            <w:noWrap w:val="false"/>
          </w:tcPr>
          <w:p>
            <w:pPr>
              <w:pStyle w:val="886"/>
              <w:jc w:val="center"/>
              <w:spacing w:beforeAutospacing="0" w:afterAutospacing="0"/>
              <w:rPr>
                <w:rFonts w:ascii="宋体" w:hAnsi="宋体" w:eastAsia="宋体" w:cs="宋体"/>
                <w:color w:val="000000"/>
              </w:rPr>
            </w:pPr>
            <w:r>
              <w:rPr>
                <w:rFonts w:ascii="宋体" w:hAnsi="宋体" w:eastAsia="宋体" w:cs="宋体"/>
                <w:color w:val="000000"/>
              </w:rPr>
            </w:r>
            <w:r/>
          </w:p>
        </w:tc>
        <w:tc>
          <w:tcPr>
            <w:tcW w:w="1560" w:type="dxa"/>
            <w:vAlign w:val="center"/>
            <w:textDirection w:val="lrTb"/>
            <w:noWrap w:val="false"/>
          </w:tcPr>
          <w:p>
            <w:pPr>
              <w:pStyle w:val="886"/>
              <w:jc w:val="center"/>
              <w:spacing w:beforeAutospacing="0" w:afterAutospacing="0"/>
            </w:pPr>
            <w:r/>
            <w:r/>
          </w:p>
        </w:tc>
        <w:tc>
          <w:tcPr>
            <w:tcW w:w="1398" w:type="dxa"/>
            <w:vAlign w:val="center"/>
            <w:textDirection w:val="lrTb"/>
            <w:noWrap w:val="false"/>
          </w:tcPr>
          <w:p>
            <w:pPr>
              <w:pStyle w:val="886"/>
              <w:jc w:val="center"/>
              <w:spacing w:beforeAutospacing="0" w:afterAutospacing="0"/>
            </w:pPr>
            <w:r/>
            <w:r/>
          </w:p>
        </w:tc>
        <w:tc>
          <w:tcPr>
            <w:tcW w:w="1041" w:type="dxa"/>
            <w:vAlign w:val="center"/>
            <w:textDirection w:val="lrTb"/>
            <w:noWrap w:val="false"/>
          </w:tcPr>
          <w:p>
            <w:pPr>
              <w:pStyle w:val="886"/>
              <w:jc w:val="center"/>
              <w:spacing w:beforeAutospacing="0" w:afterAutospacing="0"/>
            </w:pPr>
            <w:r/>
            <w:r/>
          </w:p>
        </w:tc>
      </w:tr>
    </w:tbl>
    <w:p>
      <w:pPr>
        <w:pStyle w:val="886"/>
        <w:jc w:val="both"/>
        <w:spacing w:beforeAutospacing="0" w:afterAutospacing="0"/>
      </w:pPr>
      <w:r>
        <w:rPr>
          <w:rFonts w:hint="eastAsia" w:ascii="宋体" w:hAnsi="宋体" w:eastAsia="宋体" w:cs="宋体"/>
          <w:color w:val="000000"/>
        </w:rPr>
        <w:t xml:space="preserve">注： 1、</w:t>
      </w:r>
      <w:r>
        <w:rPr>
          <w:rFonts w:hint="eastAsia"/>
        </w:rPr>
        <w:t xml:space="preserve">商务要求均为实质性条款，不允许负偏离，否则将作为无效投标处理。</w:t>
      </w:r>
      <w:r/>
    </w:p>
    <w:p>
      <w:pPr>
        <w:pStyle w:val="886"/>
        <w:ind w:firstLine="720"/>
        <w:jc w:val="both"/>
        <w:spacing w:beforeAutospacing="0" w:afterAutospacing="0" w:line="480" w:lineRule="auto"/>
      </w:pPr>
      <w:r>
        <w:t xml:space="preserve"> </w:t>
      </w:r>
      <w:r>
        <w:rPr>
          <w:rFonts w:hint="eastAsia"/>
        </w:rPr>
        <w:t xml:space="preserve">2</w:t>
      </w:r>
      <w:r>
        <w:rPr>
          <w:rFonts w:hint="eastAsia"/>
        </w:rPr>
        <w:t xml:space="preserve">、</w:t>
      </w:r>
      <w:r>
        <w:rPr>
          <w:rFonts w:hint="eastAsia" w:ascii="宋体" w:hAnsi="宋体" w:eastAsia="宋体" w:cs="宋体"/>
          <w:color w:val="000000"/>
        </w:rPr>
        <w:t xml:space="preserve">行数不够，可自行添加。</w:t>
      </w:r>
      <w:r/>
    </w:p>
    <w:p>
      <w:pPr>
        <w:pStyle w:val="886"/>
        <w:jc w:val="both"/>
        <w:spacing w:beforeAutospacing="0" w:afterAutospacing="0" w:line="480" w:lineRule="auto"/>
      </w:pPr>
      <w:r>
        <w:t xml:space="preserve"> </w:t>
      </w:r>
      <w:r/>
    </w:p>
    <w:p>
      <w:pPr>
        <w:pStyle w:val="886"/>
        <w:jc w:val="both"/>
        <w:spacing w:beforeAutospacing="0" w:afterAutospacing="0" w:line="480" w:lineRule="auto"/>
      </w:pPr>
      <w:r/>
      <w:r/>
    </w:p>
    <w:p>
      <w:pPr>
        <w:pStyle w:val="886"/>
        <w:jc w:val="both"/>
        <w:spacing w:beforeAutospacing="0" w:afterAutospacing="0" w:line="480" w:lineRule="auto"/>
      </w:pPr>
      <w:r/>
      <w:r/>
    </w:p>
    <w:p>
      <w:pPr>
        <w:pStyle w:val="886"/>
        <w:jc w:val="both"/>
        <w:spacing w:beforeAutospacing="0" w:afterAutospacing="0" w:line="480" w:lineRule="auto"/>
      </w:pPr>
      <w:r/>
      <w:r/>
    </w:p>
    <w:p>
      <w:pPr>
        <w:pStyle w:val="886"/>
        <w:jc w:val="both"/>
        <w:spacing w:beforeAutospacing="0" w:afterAutospacing="0" w:line="480" w:lineRule="auto"/>
      </w:pPr>
      <w:r/>
      <w:r/>
    </w:p>
    <w:p>
      <w:pPr>
        <w:pStyle w:val="886"/>
        <w:jc w:val="both"/>
        <w:spacing w:beforeAutospacing="0" w:afterAutospacing="0" w:line="480" w:lineRule="auto"/>
      </w:pPr>
      <w:r/>
      <w:r/>
    </w:p>
    <w:p>
      <w:pPr>
        <w:pStyle w:val="886"/>
        <w:jc w:val="both"/>
        <w:spacing w:beforeAutospacing="0" w:afterAutospacing="0" w:line="480" w:lineRule="auto"/>
      </w:pPr>
      <w:r/>
      <w:r/>
    </w:p>
    <w:p>
      <w:pPr>
        <w:pStyle w:val="886"/>
        <w:ind w:firstLine="480"/>
        <w:jc w:val="center"/>
        <w:spacing w:beforeAutospacing="0" w:afterAutospacing="0"/>
      </w:pPr>
      <w:r/>
      <w:bookmarkStart w:id="293" w:name="_Hlt26609389"/>
      <w:r/>
      <w:bookmarkStart w:id="294" w:name="_Hlt26671374"/>
      <w:r/>
      <w:bookmarkStart w:id="295" w:name="_Hlt26955066"/>
      <w:r/>
      <w:bookmarkStart w:id="296" w:name="_Toc462564146"/>
      <w:r/>
      <w:bookmarkStart w:id="297" w:name="_格式2__法定代表人授权书"/>
      <w:r>
        <w:t xml:space="preserve"> </w:t>
      </w:r>
      <w:r>
        <w:rPr>
          <w:rFonts w:hint="eastAsia" w:ascii="黑体" w:hAnsi="宋体" w:eastAsia="黑体" w:cs="黑体"/>
          <w:b/>
          <w:i/>
          <w:color w:val="000000"/>
          <w:sz w:val="32"/>
          <w:szCs w:val="32"/>
          <w:u w:val="single"/>
        </w:rPr>
        <w:t xml:space="preserve">十七、开标一览表</w:t>
      </w:r>
      <w:r/>
    </w:p>
    <w:p>
      <w:pPr>
        <w:pStyle w:val="886"/>
        <w:ind w:firstLine="480"/>
        <w:jc w:val="both"/>
        <w:spacing w:beforeAutospacing="0" w:afterAutospacing="0"/>
      </w:pPr>
      <w:r>
        <w:rPr>
          <w:rFonts w:hint="eastAsia" w:ascii="宋体" w:hAnsi="宋体" w:eastAsia="宋体" w:cs="宋体"/>
          <w:color w:val="000000"/>
        </w:rPr>
        <w:t xml:space="preserve">投标人全称（加盖CA电子签章）：</w:t>
      </w:r>
      <w:r/>
    </w:p>
    <w:p>
      <w:pPr>
        <w:pStyle w:val="886"/>
        <w:ind w:firstLine="480"/>
        <w:jc w:val="both"/>
        <w:spacing w:beforeAutospacing="0" w:afterAutospacing="0"/>
      </w:pPr>
      <w:r>
        <w:rPr>
          <w:rFonts w:hint="eastAsia" w:ascii="宋体" w:hAnsi="宋体" w:eastAsia="宋体" w:cs="宋体"/>
          <w:color w:val="000000"/>
        </w:rPr>
        <w:t xml:space="preserve">项目名称：滨海县中小学（幼儿园）食堂净水设备采购及安装项目</w:t>
      </w:r>
      <w:r/>
    </w:p>
    <w:p>
      <w:pPr>
        <w:pStyle w:val="886"/>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t xml:space="preserve">JSZC-320922-YCGX-G2026-0008</w:t>
      </w:r>
      <w:r/>
    </w:p>
    <w:p>
      <w:pPr>
        <w:pStyle w:val="886"/>
        <w:ind w:firstLine="480"/>
        <w:jc w:val="both"/>
        <w:spacing w:beforeAutospacing="0" w:afterAutospacing="0"/>
      </w:pPr>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6"/>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6"/>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6"/>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86"/>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86"/>
              <w:spacing w:beforeAutospacing="0" w:afterAutospacing="0" w:line="0" w:lineRule="atLeast"/>
            </w:pPr>
            <w:r>
              <w:t xml:space="preserve"> </w:t>
            </w:r>
            <w:r/>
          </w:p>
        </w:tc>
      </w:tr>
    </w:tbl>
    <w:p>
      <w:pPr>
        <w:pStyle w:val="886"/>
        <w:jc w:val="both"/>
        <w:spacing w:beforeAutospacing="0" w:afterAutospacing="0"/>
      </w:pPr>
      <w:r>
        <w:t xml:space="preserve"> </w:t>
      </w:r>
      <w:r/>
    </w:p>
    <w:p>
      <w:pPr>
        <w:pStyle w:val="886"/>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86"/>
        <w:jc w:val="both"/>
        <w:spacing w:beforeAutospacing="0" w:afterAutospacing="0"/>
      </w:pPr>
      <w:r>
        <w:t xml:space="preserve"> </w:t>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jc w:val="both"/>
        <w:spacing w:beforeAutospacing="0" w:afterAutospacing="0"/>
      </w:p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420"/>
        <w:jc w:val="center"/>
        <w:spacing w:before="50" w:after="50"/>
        <w:widowControl/>
        <w:rPr>
          <w:rFonts w:ascii="宋体" w:hAnsi="宋体" w:eastAsia="宋体" w:cs="宋体"/>
          <w:i/>
          <w:iCs/>
          <w:color w:val="000000"/>
          <w:sz w:val="32"/>
          <w:szCs w:val="32"/>
          <w:u w:val="single"/>
        </w:rPr>
      </w:pPr>
      <w:r>
        <w:rPr>
          <w:i/>
          <w:iCs/>
          <w:u w:val="single"/>
        </w:rPr>
        <w:tab/>
      </w:r>
      <w:r>
        <w:rPr>
          <w:rFonts w:hint="eastAsia" w:ascii="宋体" w:hAnsi="宋体" w:eastAsia="宋体" w:cs="宋体"/>
          <w:i/>
          <w:iCs/>
          <w:color w:val="000000"/>
          <w:sz w:val="32"/>
          <w:szCs w:val="32"/>
          <w:u w:val="single"/>
        </w:rPr>
        <w:t xml:space="preserve">十八、</w:t>
      </w:r>
      <w:bookmarkStart w:id="298" w:name="OLE_LINK89"/>
      <w:r/>
      <w:bookmarkStart w:id="299" w:name="OLE_LINK90"/>
      <w:r>
        <w:rPr>
          <w:rFonts w:hint="eastAsia" w:ascii="宋体" w:hAnsi="宋体" w:eastAsia="宋体" w:cs="宋体"/>
          <w:i/>
          <w:iCs/>
          <w:color w:val="000000"/>
          <w:sz w:val="32"/>
          <w:szCs w:val="32"/>
          <w:u w:val="single"/>
        </w:rPr>
        <w:t xml:space="preserve">其他要求承诺函</w:t>
      </w:r>
      <w:r/>
    </w:p>
    <w:p>
      <w:pPr>
        <w:pStyle w:val="886"/>
        <w:ind w:firstLine="560"/>
        <w:spacing w:beforeAutospacing="0" w:afterAutospacing="0"/>
        <w:rPr>
          <w:rFonts w:ascii="宋体" w:hAnsi="宋体" w:eastAsia="宋体" w:cs="宋体"/>
        </w:rPr>
      </w:pPr>
      <w:r>
        <w:rPr>
          <w:rFonts w:hint="eastAsia" w:ascii="宋体" w:hAnsi="宋体"/>
          <w:sz w:val="28"/>
          <w:szCs w:val="28"/>
        </w:rPr>
        <w:t xml:space="preserve">如果我公司中标，我公司承诺如下：</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（1）质保期：设备免费质保期不少于5年，</w:t>
      </w:r>
      <w:r>
        <w:rPr>
          <w:rFonts w:hint="eastAsia" w:ascii="宋体" w:hAnsi="宋体" w:eastAsia="宋体" w:cs="宋体"/>
        </w:rPr>
        <w:t xml:space="preserve">自设备</w:t>
      </w:r>
      <w:r>
        <w:rPr>
          <w:rFonts w:hint="eastAsia" w:ascii="宋体" w:hAnsi="宋体" w:eastAsia="宋体" w:cs="宋体"/>
        </w:rPr>
        <w:t xml:space="preserve">安装调试完成并验收合格之日起计算。</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（2）质保范围：包含设备所有零部件、控制系统、泵阀、膜元件等。</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（3）质保期内服务：免费维修、免费更换故障部件，免收人工费、差旅费、配件费等一切费用。</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（4）质保期内须对整机进行维护保养，含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w:t>
      </w:r>
      <w:r>
        <w:rPr>
          <w:rFonts w:hint="eastAsia" w:ascii="宋体" w:hAnsi="宋体"/>
          <w:color w:val="000000" w:themeColor="text1"/>
        </w:rPr>
        <w:t xml:space="preserve">质保</w:t>
      </w:r>
      <w:r>
        <w:rPr>
          <w:rFonts w:hint="eastAsia" w:ascii="宋体" w:hAnsi="宋体"/>
        </w:rPr>
        <w:t xml:space="preserve">期外：对所售产品提供终身</w:t>
      </w:r>
      <w:r>
        <w:rPr>
          <w:rFonts w:hint="eastAsia" w:ascii="宋体" w:hAnsi="宋体"/>
        </w:rPr>
        <w:t xml:space="preserve">上门维保服务</w:t>
      </w:r>
      <w:r>
        <w:rPr>
          <w:rFonts w:hint="eastAsia" w:ascii="宋体" w:hAnsi="宋体"/>
        </w:rPr>
        <w:t xml:space="preserve">，且人工费是免费的，只收取配件成本费。</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2、运维期</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（1）本项目运维期：不少于5年；</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（2）具备7×24小时400电话技术支持服务体系；</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（3）承诺中标后三个月内在距滨海县教育局</w:t>
      </w:r>
      <w:r>
        <w:rPr>
          <w:rFonts w:hint="eastAsia" w:ascii="宋体" w:hAnsi="宋体" w:eastAsia="宋体" w:cs="宋体"/>
          <w:color w:val="000000" w:themeColor="text1"/>
        </w:rPr>
        <w:t xml:space="preserve">100公里范围内</w:t>
      </w:r>
      <w:r>
        <w:rPr>
          <w:rFonts w:hint="eastAsia" w:ascii="宋体" w:hAnsi="宋体" w:eastAsia="宋体" w:cs="宋体"/>
        </w:rPr>
        <w:t xml:space="preserve">设服务网点或常驻全职售后人员； </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（4）建立设备档案，一校一档，记录每次巡检、维修、换芯、水质检测等情况；</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提供扫码报修</w:t>
      </w:r>
      <w:r>
        <w:rPr>
          <w:rFonts w:hint="eastAsia" w:ascii="宋体" w:hAnsi="宋体" w:eastAsia="宋体" w:cs="宋体"/>
        </w:rPr>
        <w:t xml:space="preserve">服务、远程维护支持，做到</w:t>
      </w:r>
      <w:r>
        <w:rPr>
          <w:rFonts w:hint="eastAsia" w:ascii="宋体" w:hAnsi="宋体" w:eastAsia="宋体" w:cs="宋体"/>
        </w:rPr>
        <w:t xml:space="preserve">一</w:t>
      </w:r>
      <w:r>
        <w:rPr>
          <w:rFonts w:hint="eastAsia" w:ascii="宋体" w:hAnsi="宋体" w:eastAsia="宋体" w:cs="宋体"/>
        </w:rPr>
        <w:t xml:space="preserve">机一码；</w:t>
      </w:r>
      <w:r/>
    </w:p>
    <w:p>
      <w:pPr>
        <w:pStyle w:val="886"/>
        <w:ind w:firstLine="480"/>
        <w:spacing w:beforeAutospacing="0" w:afterAutospacing="0" w:line="360" w:lineRule="auto"/>
        <w:rPr>
          <w:rFonts w:ascii="宋体" w:hAnsi="宋体" w:eastAsia="宋体" w:cs="宋体"/>
          <w:strike/>
        </w:rPr>
      </w:pPr>
      <w:r>
        <w:rPr>
          <w:rFonts w:hint="eastAsia" w:ascii="宋体" w:hAnsi="宋体" w:eastAsia="宋体" w:cs="宋体"/>
        </w:rPr>
        <w:t xml:space="preserve">（6）校方及教育局每学期对供应</w:t>
      </w:r>
      <w:r>
        <w:rPr>
          <w:rFonts w:hint="eastAsia" w:ascii="宋体" w:hAnsi="宋体" w:eastAsia="宋体" w:cs="宋体"/>
        </w:rPr>
        <w:t xml:space="preserve">商服务</w:t>
      </w:r>
      <w:r>
        <w:rPr>
          <w:rFonts w:hint="eastAsia" w:ascii="宋体" w:hAnsi="宋体" w:eastAsia="宋体" w:cs="宋体"/>
        </w:rPr>
        <w:t xml:space="preserve">进行满意度评价。若连续两次评价为“不满意”，采购人有权要求供应商限期整改；整改后仍不达标的，可扣除服务费用或终止合同，并报请财政监管部门处理。</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3、维修响应</w:t>
      </w:r>
      <w:r/>
    </w:p>
    <w:tbl>
      <w:tblPr>
        <w:tblStyle w:val="897"/>
        <w:tblW w:w="4921" w:type="pct"/>
        <w:jc w:val="center"/>
        <w:tblInd w:w="0" w:type="dxa"/>
        <w:tblLook w:val="04A0" w:firstRow="1" w:lastRow="0" w:firstColumn="1" w:lastColumn="0" w:noHBand="0" w:noVBand="1"/>
      </w:tblPr>
      <w:tblGrid>
        <w:gridCol w:w="2447"/>
        <w:gridCol w:w="6238"/>
      </w:tblGrid>
      <w:tr>
        <w:trPr>
          <w:jc w:val="center"/>
        </w:trPr>
        <w:tc>
          <w:tcPr>
            <w:tcW w:w="0" w:type="auto"/>
            <w:vAlign w:val="center"/>
            <w:textDirection w:val="lrTb"/>
            <w:noWrap w:val="false"/>
          </w:tcPr>
          <w:p>
            <w:pPr>
              <w:pStyle w:val="896"/>
              <w:ind w:firstLine="482"/>
              <w:jc w:val="center"/>
              <w:spacing w:line="240" w:lineRule="auto"/>
            </w:pPr>
            <w:r>
              <w:rPr>
                <w:rFonts w:hint="eastAsia"/>
                <w:b/>
                <w:bCs/>
              </w:rPr>
              <w:t xml:space="preserve">项目</w:t>
            </w:r>
            <w:r/>
          </w:p>
        </w:tc>
        <w:tc>
          <w:tcPr>
            <w:tcW w:w="3591" w:type="pct"/>
            <w:vAlign w:val="center"/>
            <w:textDirection w:val="lrTb"/>
            <w:noWrap w:val="false"/>
          </w:tcPr>
          <w:p>
            <w:pPr>
              <w:pStyle w:val="896"/>
              <w:ind w:firstLine="482"/>
              <w:jc w:val="center"/>
              <w:spacing w:line="240" w:lineRule="auto"/>
            </w:pPr>
            <w:r>
              <w:rPr>
                <w:rFonts w:hint="eastAsia"/>
                <w:b/>
                <w:bCs/>
              </w:rPr>
              <w:t xml:space="preserve">要求</w:t>
            </w:r>
            <w:r/>
          </w:p>
        </w:tc>
      </w:tr>
      <w:tr>
        <w:trPr>
          <w:jc w:val="center"/>
        </w:trPr>
        <w:tc>
          <w:tcPr>
            <w:tcW w:w="0" w:type="auto"/>
            <w:vAlign w:val="center"/>
            <w:textDirection w:val="lrTb"/>
            <w:noWrap w:val="false"/>
          </w:tcPr>
          <w:p>
            <w:pPr>
              <w:pStyle w:val="896"/>
              <w:jc w:val="center"/>
              <w:spacing w:line="240" w:lineRule="auto"/>
            </w:pPr>
            <w:r>
              <w:rPr>
                <w:rFonts w:hint="eastAsia"/>
              </w:rPr>
              <w:t xml:space="preserve">响应时间</w:t>
            </w:r>
            <w:r/>
          </w:p>
        </w:tc>
        <w:tc>
          <w:tcPr>
            <w:tcW w:w="3591" w:type="pct"/>
            <w:vAlign w:val="center"/>
            <w:textDirection w:val="lrTb"/>
            <w:noWrap w:val="false"/>
          </w:tcPr>
          <w:p>
            <w:pPr>
              <w:pStyle w:val="896"/>
              <w:jc w:val="center"/>
              <w:spacing w:line="240" w:lineRule="auto"/>
            </w:pPr>
            <w:r>
              <w:rPr>
                <w:rFonts w:hint="eastAsia"/>
              </w:rPr>
              <w:t xml:space="preserve">接到报修后</w:t>
            </w:r>
            <w:r>
              <w:rPr>
                <w:rFonts w:hint="eastAsia"/>
              </w:rPr>
              <w:t xml:space="preserve">30</w:t>
            </w:r>
            <w:r>
              <w:rPr>
                <w:rFonts w:hint="eastAsia"/>
              </w:rPr>
              <w:t xml:space="preserve">分钟内响应</w:t>
            </w:r>
            <w:r/>
          </w:p>
        </w:tc>
      </w:tr>
      <w:tr>
        <w:trPr>
          <w:jc w:val="center"/>
        </w:trPr>
        <w:tc>
          <w:tcPr>
            <w:tcW w:w="0" w:type="auto"/>
            <w:vAlign w:val="center"/>
            <w:textDirection w:val="lrTb"/>
            <w:noWrap w:val="false"/>
          </w:tcPr>
          <w:p>
            <w:pPr>
              <w:pStyle w:val="896"/>
              <w:jc w:val="center"/>
              <w:spacing w:line="240" w:lineRule="auto"/>
            </w:pPr>
            <w:r>
              <w:rPr>
                <w:rFonts w:hint="eastAsia"/>
              </w:rPr>
              <w:t xml:space="preserve">到达现场时间</w:t>
            </w:r>
            <w:r/>
          </w:p>
        </w:tc>
        <w:tc>
          <w:tcPr>
            <w:tcW w:w="3591" w:type="pct"/>
            <w:vAlign w:val="center"/>
            <w:textDirection w:val="lrTb"/>
            <w:noWrap w:val="false"/>
          </w:tcPr>
          <w:p>
            <w:pPr>
              <w:pStyle w:val="896"/>
              <w:jc w:val="center"/>
              <w:spacing w:line="240" w:lineRule="auto"/>
            </w:pPr>
            <w:r>
              <w:rPr>
                <w:rFonts w:hint="eastAsia"/>
              </w:rPr>
              <w:t xml:space="preserve">1</w:t>
            </w:r>
            <w:r>
              <w:rPr>
                <w:rFonts w:hint="eastAsia"/>
              </w:rPr>
              <w:t xml:space="preserve">小时内到达现场</w:t>
            </w:r>
            <w:r/>
          </w:p>
        </w:tc>
      </w:tr>
      <w:tr>
        <w:trPr>
          <w:jc w:val="center"/>
        </w:trPr>
        <w:tc>
          <w:tcPr>
            <w:tcW w:w="0" w:type="auto"/>
            <w:vAlign w:val="center"/>
            <w:textDirection w:val="lrTb"/>
            <w:noWrap w:val="false"/>
          </w:tcPr>
          <w:p>
            <w:pPr>
              <w:pStyle w:val="896"/>
              <w:jc w:val="center"/>
              <w:spacing w:line="240" w:lineRule="auto"/>
            </w:pPr>
            <w:r>
              <w:rPr>
                <w:rFonts w:hint="eastAsia"/>
              </w:rPr>
              <w:t xml:space="preserve">一般故障修复时间</w:t>
            </w:r>
            <w:r/>
          </w:p>
        </w:tc>
        <w:tc>
          <w:tcPr>
            <w:tcW w:w="3591" w:type="pct"/>
            <w:vAlign w:val="center"/>
            <w:textDirection w:val="lrTb"/>
            <w:noWrap w:val="false"/>
          </w:tcPr>
          <w:p>
            <w:pPr>
              <w:pStyle w:val="896"/>
              <w:jc w:val="center"/>
              <w:spacing w:line="240" w:lineRule="auto"/>
            </w:pPr>
            <w:r>
              <w:rPr>
                <w:rFonts w:hint="eastAsia"/>
              </w:rPr>
              <w:t xml:space="preserve">4</w:t>
            </w:r>
            <w:r>
              <w:rPr>
                <w:rFonts w:hint="eastAsia"/>
              </w:rPr>
              <w:t xml:space="preserve">小时内修复</w:t>
            </w:r>
            <w:r/>
          </w:p>
        </w:tc>
      </w:tr>
      <w:tr>
        <w:trPr>
          <w:jc w:val="center"/>
        </w:trPr>
        <w:tc>
          <w:tcPr>
            <w:tcW w:w="0" w:type="auto"/>
            <w:vAlign w:val="center"/>
            <w:textDirection w:val="lrTb"/>
            <w:noWrap w:val="false"/>
          </w:tcPr>
          <w:p>
            <w:pPr>
              <w:pStyle w:val="896"/>
              <w:jc w:val="center"/>
              <w:spacing w:line="240" w:lineRule="auto"/>
            </w:pPr>
            <w:r>
              <w:rPr>
                <w:rFonts w:hint="eastAsia"/>
              </w:rPr>
              <w:t xml:space="preserve">重大故障修复时间</w:t>
            </w:r>
            <w:r/>
          </w:p>
        </w:tc>
        <w:tc>
          <w:tcPr>
            <w:tcW w:w="3591" w:type="pct"/>
            <w:vAlign w:val="center"/>
            <w:textDirection w:val="lrTb"/>
            <w:noWrap w:val="false"/>
          </w:tcPr>
          <w:p>
            <w:pPr>
              <w:pStyle w:val="896"/>
              <w:jc w:val="center"/>
              <w:spacing w:line="240" w:lineRule="auto"/>
            </w:pPr>
            <w:r>
              <w:rPr>
                <w:rFonts w:hint="eastAsia"/>
              </w:rPr>
              <w:t xml:space="preserve">24</w:t>
            </w:r>
            <w:r>
              <w:rPr>
                <w:rFonts w:hint="eastAsia"/>
              </w:rPr>
              <w:t xml:space="preserve">小时内修复</w:t>
            </w:r>
            <w:r/>
          </w:p>
        </w:tc>
      </w:tr>
      <w:tr>
        <w:trPr>
          <w:jc w:val="center"/>
        </w:trPr>
        <w:tc>
          <w:tcPr>
            <w:tcW w:w="0" w:type="auto"/>
            <w:vAlign w:val="center"/>
            <w:textDirection w:val="lrTb"/>
            <w:noWrap w:val="false"/>
          </w:tcPr>
          <w:p>
            <w:pPr>
              <w:pStyle w:val="896"/>
              <w:jc w:val="center"/>
              <w:spacing w:line="240" w:lineRule="auto"/>
            </w:pPr>
            <w:r>
              <w:rPr>
                <w:rFonts w:hint="eastAsia"/>
              </w:rPr>
              <w:t xml:space="preserve">备用机提供</w:t>
            </w:r>
            <w:r/>
          </w:p>
        </w:tc>
        <w:tc>
          <w:tcPr>
            <w:tcW w:w="3591" w:type="pct"/>
            <w:vAlign w:val="center"/>
            <w:textDirection w:val="lrTb"/>
            <w:noWrap w:val="false"/>
          </w:tcPr>
          <w:p>
            <w:pPr>
              <w:pStyle w:val="896"/>
              <w:jc w:val="center"/>
              <w:spacing w:line="240" w:lineRule="auto"/>
            </w:pPr>
            <w:r>
              <w:rPr>
                <w:rFonts w:hint="eastAsia"/>
              </w:rPr>
              <w:t xml:space="preserve">若超过修复时限，须提供备用机，确保校方正常用水</w:t>
            </w:r>
            <w:r/>
          </w:p>
        </w:tc>
      </w:tr>
    </w:tbl>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4、巡检与保养</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（1）巡检频率：质保期内每月至少巡检一次；</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（2）巡检内容：设备运行状态、控制系统、物联网功能、水箱、杀菌设备等；</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（3）巡检记录：填写《设备巡检记录单》，由校方签字确认；</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（4）清洁消毒：每学期开展不少于一次净水设备系统清洗消毒服务。</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（5）巡检过程中水质出现异常，供应商须立即更换耗材。</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5、滤芯与耗材更换</w:t>
      </w:r>
      <w:r/>
    </w:p>
    <w:tbl>
      <w:tblPr>
        <w:tblStyle w:val="897"/>
        <w:tblW w:w="5000" w:type="pct"/>
        <w:jc w:val="center"/>
        <w:tblInd w:w="0" w:type="dxa"/>
        <w:tblLook w:val="04A0" w:firstRow="1" w:lastRow="0" w:firstColumn="1" w:lastColumn="0" w:noHBand="0" w:noVBand="1"/>
      </w:tblPr>
      <w:tblGrid>
        <w:gridCol w:w="2503"/>
        <w:gridCol w:w="2882"/>
        <w:gridCol w:w="3439"/>
      </w:tblGrid>
      <w:tr>
        <w:trPr>
          <w:jc w:val="center"/>
        </w:trPr>
        <w:tc>
          <w:tcPr>
            <w:tcW w:w="0" w:type="auto"/>
            <w:vAlign w:val="center"/>
            <w:textDirection w:val="lrTb"/>
            <w:noWrap w:val="false"/>
          </w:tcPr>
          <w:p>
            <w:pPr>
              <w:pStyle w:val="896"/>
              <w:ind w:firstLine="482"/>
              <w:jc w:val="center"/>
              <w:spacing w:line="240" w:lineRule="auto"/>
            </w:pPr>
            <w:r>
              <w:rPr>
                <w:rFonts w:hint="eastAsia"/>
                <w:b/>
                <w:bCs/>
              </w:rPr>
              <w:t xml:space="preserve">耗材类型</w:t>
            </w:r>
            <w:r/>
          </w:p>
        </w:tc>
        <w:tc>
          <w:tcPr>
            <w:tcW w:w="0" w:type="auto"/>
            <w:vAlign w:val="center"/>
            <w:textDirection w:val="lrTb"/>
            <w:noWrap w:val="false"/>
          </w:tcPr>
          <w:p>
            <w:pPr>
              <w:pStyle w:val="896"/>
              <w:ind w:firstLine="482"/>
              <w:jc w:val="center"/>
              <w:spacing w:line="240" w:lineRule="auto"/>
            </w:pPr>
            <w:r>
              <w:rPr>
                <w:rFonts w:hint="eastAsia"/>
                <w:b/>
                <w:bCs/>
              </w:rPr>
              <w:t xml:space="preserve">更换频率</w:t>
            </w:r>
            <w:r/>
          </w:p>
        </w:tc>
        <w:tc>
          <w:tcPr>
            <w:tcW w:w="0" w:type="auto"/>
            <w:vAlign w:val="center"/>
            <w:textDirection w:val="lrTb"/>
            <w:noWrap w:val="false"/>
          </w:tcPr>
          <w:p>
            <w:pPr>
              <w:pStyle w:val="896"/>
              <w:ind w:firstLine="482"/>
              <w:jc w:val="center"/>
              <w:spacing w:line="240" w:lineRule="auto"/>
            </w:pPr>
            <w:r>
              <w:rPr>
                <w:rFonts w:hint="eastAsia"/>
                <w:b/>
                <w:bCs/>
              </w:rPr>
              <w:t xml:space="preserve">备注</w:t>
            </w:r>
            <w:r/>
          </w:p>
        </w:tc>
      </w:tr>
      <w:tr>
        <w:trPr>
          <w:jc w:val="center"/>
        </w:trPr>
        <w:tc>
          <w:tcPr>
            <w:tcW w:w="0" w:type="auto"/>
            <w:vAlign w:val="center"/>
            <w:textDirection w:val="lrTb"/>
            <w:noWrap w:val="false"/>
          </w:tcPr>
          <w:p>
            <w:pPr>
              <w:pStyle w:val="896"/>
              <w:jc w:val="center"/>
              <w:spacing w:line="240" w:lineRule="auto"/>
            </w:pPr>
            <w:r>
              <w:rPr>
                <w:rFonts w:hint="eastAsia"/>
              </w:rPr>
              <w:t xml:space="preserve">PP</w:t>
            </w:r>
            <w:r>
              <w:rPr>
                <w:rFonts w:hint="eastAsia"/>
              </w:rPr>
              <w:t xml:space="preserve">棉滤芯</w:t>
            </w:r>
            <w:r/>
          </w:p>
        </w:tc>
        <w:tc>
          <w:tcPr>
            <w:tcW w:w="0" w:type="auto"/>
            <w:vAlign w:val="center"/>
            <w:textDirection w:val="lrTb"/>
            <w:noWrap w:val="false"/>
          </w:tcPr>
          <w:p>
            <w:pPr>
              <w:pStyle w:val="896"/>
              <w:jc w:val="center"/>
              <w:spacing w:line="240" w:lineRule="auto"/>
            </w:pPr>
            <w:r>
              <w:rPr>
                <w:rFonts w:hint="eastAsia"/>
              </w:rPr>
              <w:t xml:space="preserve">每</w:t>
            </w:r>
            <w:bookmarkStart w:id="300" w:name="OLE_LINK17"/>
            <w:r/>
            <w:bookmarkStart w:id="301" w:name="OLE_LINK18"/>
            <w:r>
              <w:rPr>
                <w:rFonts w:hint="eastAsia"/>
              </w:rPr>
              <w:t xml:space="preserve">3</w:t>
            </w:r>
            <w:r>
              <w:rPr>
                <w:rFonts w:hint="eastAsia"/>
              </w:rPr>
              <w:t xml:space="preserve">个月</w:t>
            </w:r>
            <w:bookmarkEnd w:id="300"/>
            <w:r/>
            <w:bookmarkEnd w:id="301"/>
            <w:r>
              <w:rPr>
                <w:rFonts w:hint="eastAsia"/>
              </w:rPr>
              <w:t xml:space="preserve">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活性炭滤芯</w:t>
            </w:r>
            <w:r/>
          </w:p>
        </w:tc>
        <w:tc>
          <w:tcPr>
            <w:tcW w:w="0" w:type="auto"/>
            <w:vAlign w:val="center"/>
            <w:textDirection w:val="lrTb"/>
            <w:noWrap w:val="false"/>
          </w:tcPr>
          <w:p>
            <w:pPr>
              <w:pStyle w:val="896"/>
              <w:jc w:val="center"/>
              <w:spacing w:line="240" w:lineRule="auto"/>
            </w:pPr>
            <w:r>
              <w:rPr>
                <w:rFonts w:hint="eastAsia"/>
              </w:rPr>
              <w:t xml:space="preserve">每</w:t>
            </w:r>
            <w:r>
              <w:t xml:space="preserve">3</w:t>
            </w:r>
            <w:r>
              <w:rPr>
                <w:rFonts w:hint="eastAsia"/>
              </w:rPr>
              <w:t xml:space="preserve">个月更换一次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RO</w:t>
            </w:r>
            <w:r>
              <w:rPr>
                <w:rFonts w:hint="eastAsia"/>
              </w:rPr>
              <w:t xml:space="preserve">反渗透膜滤芯</w:t>
            </w:r>
            <w:r/>
          </w:p>
        </w:tc>
        <w:tc>
          <w:tcPr>
            <w:tcW w:w="0" w:type="auto"/>
            <w:vAlign w:val="center"/>
            <w:textDirection w:val="lrTb"/>
            <w:noWrap w:val="false"/>
          </w:tcPr>
          <w:p>
            <w:pPr>
              <w:pStyle w:val="896"/>
              <w:jc w:val="center"/>
              <w:spacing w:line="240" w:lineRule="auto"/>
            </w:pPr>
            <w:r>
              <w:rPr>
                <w:rFonts w:hint="eastAsia"/>
              </w:rPr>
              <w:t xml:space="preserve">每年更换一次</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896"/>
              <w:jc w:val="center"/>
              <w:spacing w:line="240" w:lineRule="auto"/>
            </w:pPr>
            <w:r>
              <w:rPr>
                <w:rFonts w:hint="eastAsia"/>
              </w:rPr>
              <w:t xml:space="preserve">紫外线杀菌器</w:t>
            </w:r>
            <w:r/>
          </w:p>
        </w:tc>
        <w:tc>
          <w:tcPr>
            <w:tcW w:w="0" w:type="auto"/>
            <w:vAlign w:val="center"/>
            <w:textDirection w:val="lrTb"/>
            <w:noWrap w:val="false"/>
          </w:tcPr>
          <w:p>
            <w:pPr>
              <w:pStyle w:val="896"/>
              <w:jc w:val="center"/>
              <w:spacing w:line="240" w:lineRule="auto"/>
            </w:pPr>
            <w:r>
              <w:rPr>
                <w:rFonts w:hint="eastAsia"/>
              </w:rPr>
              <w:t xml:space="preserve">按实际使用寿命更换</w:t>
            </w:r>
            <w:r/>
          </w:p>
        </w:tc>
        <w:tc>
          <w:tcPr>
            <w:tcW w:w="0" w:type="auto"/>
            <w:vAlign w:val="center"/>
            <w:textDirection w:val="lrTb"/>
            <w:noWrap w:val="false"/>
          </w:tcPr>
          <w:p>
            <w:pPr>
              <w:pStyle w:val="896"/>
              <w:jc w:val="center"/>
              <w:spacing w:line="240" w:lineRule="auto"/>
            </w:pPr>
            <w:r>
              <w:rPr>
                <w:rFonts w:hint="eastAsia"/>
              </w:rPr>
              <w:t xml:space="preserve">质保期内免费提供并更换</w:t>
            </w:r>
            <w:r/>
          </w:p>
        </w:tc>
      </w:tr>
    </w:tbl>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（1）当第三方检测报告中任一项指标不合格，或在线监测的溶解性总固体（TDS）值持续高于50mg/L并经验证确认后，供应商须无条件排查原因并更换相关滤芯/耗材； </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（2）滤芯与耗材更换前须向学校提供更换产品中活性炭、PP棉、反渗透膜等涉水部件的《涉及饮用水卫生安全产品卫生许可批件》；</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（3）滤芯更换前后须填写《维保服务记录卡》，</w:t>
      </w:r>
      <w:r>
        <w:rPr>
          <w:rFonts w:hint="eastAsia" w:ascii="宋体" w:hAnsi="宋体" w:eastAsia="宋体" w:cs="宋体"/>
        </w:rPr>
        <w:t xml:space="preserve">维保服务</w:t>
      </w:r>
      <w:r>
        <w:rPr>
          <w:rFonts w:hint="eastAsia" w:ascii="宋体" w:hAnsi="宋体" w:eastAsia="宋体" w:cs="宋体"/>
        </w:rPr>
        <w:t xml:space="preserve">记录卡上须</w:t>
      </w:r>
      <w:r>
        <w:rPr>
          <w:rFonts w:hint="eastAsia" w:ascii="宋体" w:hAnsi="宋体" w:eastAsia="宋体" w:cs="宋体"/>
        </w:rPr>
        <w:t xml:space="preserve">标注维保日期</w:t>
      </w:r>
      <w:r>
        <w:rPr>
          <w:rFonts w:hint="eastAsia" w:ascii="宋体" w:hAnsi="宋体" w:eastAsia="宋体" w:cs="宋体"/>
        </w:rPr>
        <w:t xml:space="preserve">、</w:t>
      </w:r>
      <w:r>
        <w:rPr>
          <w:rFonts w:hint="eastAsia" w:ascii="宋体" w:hAnsi="宋体" w:eastAsia="宋体" w:cs="宋体"/>
        </w:rPr>
        <w:t xml:space="preserve">维保内容</w:t>
      </w:r>
      <w:r>
        <w:rPr>
          <w:rFonts w:hint="eastAsia" w:ascii="宋体" w:hAnsi="宋体" w:eastAsia="宋体" w:cs="宋体"/>
        </w:rPr>
        <w:t xml:space="preserve">、TDS检测值、更换滤芯类型、维保人员、学校确认签字等。</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w:t>
      </w:r>
      <w:r>
        <w:rPr>
          <w:rFonts w:hint="eastAsia"/>
        </w:rPr>
        <w:t xml:space="preserve">从业人员要求</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（1）维修维保人员须持水处理或净水工程服务相关资质证上岗；</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（2）固定安排1名项目负责人负责本项目全面管理，供应商不得随意更换，如需更换须得到采购方认可。</w:t>
      </w:r>
      <w:r/>
    </w:p>
    <w:p>
      <w:pPr>
        <w:pStyle w:val="886"/>
        <w:ind w:firstLine="480"/>
        <w:jc w:val="both"/>
        <w:spacing w:beforeAutospacing="0" w:afterAutospacing="0" w:line="360" w:lineRule="auto"/>
      </w:pPr>
      <w:r>
        <w:rPr>
          <w:rFonts w:hint="eastAsia" w:ascii="宋体" w:hAnsi="宋体" w:eastAsia="宋体" w:cs="宋体"/>
        </w:rPr>
        <w:t xml:space="preserve">7、</w:t>
      </w:r>
      <w:r>
        <w:rPr>
          <w:rFonts w:hint="eastAsia"/>
        </w:rPr>
        <w:t xml:space="preserve">水质检测</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（1）检测标准：依据《生活饮用水卫生标准》（GB 5749-2022）进行判定，检测方法采用现行有效的《生活饮用水标准检验方法》（GB/T 5750-2023）系列标准；</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（2）检测频率：每学期开学前提供</w:t>
      </w:r>
      <w:r>
        <w:rPr>
          <w:rFonts w:hint="eastAsia" w:ascii="宋体" w:hAnsi="宋体" w:eastAsia="宋体" w:cs="宋体"/>
        </w:rPr>
        <w:t xml:space="preserve">一</w:t>
      </w:r>
      <w:r>
        <w:rPr>
          <w:rFonts w:hint="eastAsia" w:ascii="宋体" w:hAnsi="宋体" w:eastAsia="宋体" w:cs="宋体"/>
        </w:rPr>
        <w:t xml:space="preserve">次第三方水质检测报告，检测费由供应商承担；</w:t>
      </w:r>
      <w:r/>
    </w:p>
    <w:p>
      <w:pPr>
        <w:pStyle w:val="886"/>
        <w:ind w:firstLine="480"/>
        <w:spacing w:beforeAutospacing="0" w:afterAutospacing="0" w:line="360" w:lineRule="auto"/>
        <w:rPr>
          <w:rFonts w:ascii="宋体" w:hAnsi="宋体" w:eastAsia="宋体" w:cs="宋体"/>
        </w:rPr>
      </w:pPr>
      <w:r>
        <w:rPr>
          <w:rFonts w:hint="eastAsia" w:ascii="宋体" w:hAnsi="宋体" w:eastAsia="宋体" w:cs="宋体"/>
        </w:rPr>
        <w:t xml:space="preserve">（3）检测项目：总大肠菌群、菌落总数、色度、浑浊度、臭和</w:t>
      </w:r>
      <w:r>
        <w:rPr>
          <w:rFonts w:hint="eastAsia" w:ascii="宋体" w:hAnsi="宋体" w:eastAsia="宋体" w:cs="宋体"/>
        </w:rPr>
        <w:t xml:space="preserve">味、</w:t>
      </w:r>
      <w:r>
        <w:rPr>
          <w:rFonts w:hint="eastAsia" w:ascii="宋体" w:hAnsi="宋体" w:eastAsia="宋体" w:cs="宋体"/>
        </w:rPr>
        <w:t xml:space="preserve">肉眼可见物、pH值、锰、铜、锌、高锰酸盐指数（以O</w:t>
      </w:r>
      <w:r>
        <w:rPr>
          <w:rFonts w:ascii="Cambria Math" w:hAnsi="Cambria Math" w:eastAsia="宋体" w:cs="Cambria Math"/>
        </w:rPr>
        <w:t xml:space="preserve">₂</w:t>
      </w:r>
      <w:r>
        <w:rPr>
          <w:rFonts w:hint="eastAsia" w:ascii="宋体" w:hAnsi="宋体" w:eastAsia="宋体" w:cs="宋体"/>
        </w:rPr>
        <w:t xml:space="preserve">计）、氯化物、硫酸盐；</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（4）不合格处理：立即停用，24小时内修复，复检合格后方可使用，复检费用由供应商</w:t>
      </w:r>
      <w:bookmarkStart w:id="302" w:name="OLE_LINK19"/>
      <w:r/>
      <w:bookmarkStart w:id="303" w:name="OLE_LINK20"/>
      <w:r>
        <w:rPr>
          <w:rFonts w:hint="eastAsia" w:ascii="宋体" w:hAnsi="宋体" w:eastAsia="宋体" w:cs="宋体"/>
        </w:rPr>
        <w:t xml:space="preserve">承担</w:t>
      </w:r>
      <w:bookmarkEnd w:id="302"/>
      <w:r/>
      <w:bookmarkEnd w:id="303"/>
      <w:r>
        <w:rPr>
          <w:rFonts w:hint="eastAsia" w:ascii="宋体" w:hAnsi="宋体" w:eastAsia="宋体" w:cs="宋体"/>
        </w:rPr>
        <w:t xml:space="preserve">。</w:t>
      </w:r>
      <w:r/>
    </w:p>
    <w:p>
      <w:pPr>
        <w:pStyle w:val="886"/>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 </w:t>
      </w:r>
      <w:r>
        <w:rPr>
          <w:rFonts w:hint="eastAsia" w:ascii="宋体" w:hAnsi="宋体" w:eastAsia="宋体" w:cs="宋体"/>
        </w:rPr>
        <w:t xml:space="preserve">违约与处罚</w:t>
      </w:r>
      <w:r/>
    </w:p>
    <w:tbl>
      <w:tblPr>
        <w:tblStyle w:val="897"/>
        <w:tblW w:w="5000" w:type="pct"/>
        <w:jc w:val="center"/>
        <w:tblInd w:w="0" w:type="dxa"/>
        <w:tblLook w:val="04A0" w:firstRow="1" w:lastRow="0" w:firstColumn="1" w:lastColumn="0" w:noHBand="0" w:noVBand="1"/>
      </w:tblPr>
      <w:tblGrid>
        <w:gridCol w:w="4200"/>
        <w:gridCol w:w="4624"/>
      </w:tblGrid>
      <w:tr>
        <w:trPr>
          <w:jc w:val="center"/>
        </w:trPr>
        <w:tc>
          <w:tcPr>
            <w:tcW w:w="2380" w:type="pct"/>
            <w:vAlign w:val="center"/>
            <w:textDirection w:val="lrTb"/>
            <w:noWrap w:val="false"/>
          </w:tcPr>
          <w:p>
            <w:pPr>
              <w:pStyle w:val="896"/>
              <w:ind w:firstLine="482"/>
              <w:jc w:val="center"/>
              <w:spacing w:line="240" w:lineRule="auto"/>
            </w:pPr>
            <w:r>
              <w:rPr>
                <w:rFonts w:hint="eastAsia"/>
                <w:b/>
                <w:bCs/>
              </w:rPr>
              <w:t xml:space="preserve">违约情形</w:t>
            </w:r>
            <w:r/>
          </w:p>
        </w:tc>
        <w:tc>
          <w:tcPr>
            <w:tcW w:w="2620" w:type="pct"/>
            <w:vAlign w:val="center"/>
            <w:textDirection w:val="lrTb"/>
            <w:noWrap w:val="false"/>
          </w:tcPr>
          <w:p>
            <w:pPr>
              <w:pStyle w:val="896"/>
              <w:ind w:firstLine="482"/>
              <w:jc w:val="center"/>
              <w:spacing w:line="240" w:lineRule="auto"/>
            </w:pPr>
            <w:r>
              <w:rPr>
                <w:rFonts w:hint="eastAsia"/>
                <w:b/>
                <w:bCs/>
              </w:rPr>
              <w:t xml:space="preserve">处罚措施</w:t>
            </w:r>
            <w:r/>
          </w:p>
        </w:tc>
      </w:tr>
      <w:tr>
        <w:trPr>
          <w:jc w:val="center"/>
        </w:trPr>
        <w:tc>
          <w:tcPr>
            <w:tcW w:w="2380" w:type="pct"/>
            <w:vAlign w:val="center"/>
            <w:textDirection w:val="lrTb"/>
            <w:noWrap w:val="false"/>
          </w:tcPr>
          <w:p>
            <w:pPr>
              <w:pStyle w:val="896"/>
              <w:jc w:val="center"/>
              <w:spacing w:line="240" w:lineRule="auto"/>
            </w:pPr>
            <w:r>
              <w:rPr>
                <w:rFonts w:hint="eastAsia"/>
              </w:rPr>
              <w:t xml:space="preserve">响应超时（</w:t>
            </w:r>
            <w:r>
              <w:rPr>
                <w:rFonts w:hint="eastAsia"/>
              </w:rPr>
              <w:t xml:space="preserve">30</w:t>
            </w:r>
            <w:r>
              <w:rPr>
                <w:rFonts w:hint="eastAsia"/>
              </w:rPr>
              <w:t xml:space="preserve">分钟）</w:t>
            </w:r>
            <w:r/>
          </w:p>
        </w:tc>
        <w:tc>
          <w:tcPr>
            <w:tcW w:w="262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500</w:t>
            </w:r>
            <w:r>
              <w:rPr>
                <w:rFonts w:hint="eastAsia"/>
              </w:rPr>
              <w:t xml:space="preserve">元</w:t>
            </w:r>
            <w:r/>
          </w:p>
        </w:tc>
      </w:tr>
      <w:tr>
        <w:trPr>
          <w:jc w:val="center"/>
        </w:trPr>
        <w:tc>
          <w:tcPr>
            <w:tcW w:w="2380" w:type="pct"/>
            <w:vAlign w:val="center"/>
            <w:textDirection w:val="lrTb"/>
            <w:noWrap w:val="false"/>
          </w:tcPr>
          <w:p>
            <w:pPr>
              <w:pStyle w:val="896"/>
              <w:jc w:val="center"/>
              <w:spacing w:line="240" w:lineRule="auto"/>
            </w:pPr>
            <w:r>
              <w:rPr>
                <w:rFonts w:hint="eastAsia"/>
              </w:rPr>
              <w:t xml:space="preserve">到达现场超时（</w:t>
            </w:r>
            <w:r>
              <w:rPr>
                <w:rFonts w:hint="eastAsia"/>
              </w:rPr>
              <w:t xml:space="preserve">1</w:t>
            </w:r>
            <w:r>
              <w:rPr>
                <w:rFonts w:hint="eastAsia"/>
              </w:rPr>
              <w:t xml:space="preserve">小时）</w:t>
            </w:r>
            <w:r/>
          </w:p>
        </w:tc>
        <w:tc>
          <w:tcPr>
            <w:tcW w:w="262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1000</w:t>
            </w:r>
            <w:r>
              <w:rPr>
                <w:rFonts w:hint="eastAsia"/>
              </w:rPr>
              <w:t xml:space="preserve">元</w:t>
            </w:r>
            <w:r/>
          </w:p>
        </w:tc>
      </w:tr>
      <w:tr>
        <w:trPr>
          <w:jc w:val="center"/>
        </w:trPr>
        <w:tc>
          <w:tcPr>
            <w:tcW w:w="2380" w:type="pct"/>
            <w:vAlign w:val="center"/>
            <w:textDirection w:val="lrTb"/>
            <w:noWrap w:val="false"/>
          </w:tcPr>
          <w:p>
            <w:pPr>
              <w:pStyle w:val="896"/>
              <w:jc w:val="center"/>
              <w:spacing w:line="240" w:lineRule="auto"/>
            </w:pPr>
            <w:r>
              <w:rPr>
                <w:rFonts w:hint="eastAsia"/>
              </w:rPr>
              <w:t xml:space="preserve">修复超时（一般故障</w:t>
            </w:r>
            <w:r>
              <w:rPr>
                <w:rFonts w:hint="eastAsia"/>
              </w:rPr>
              <w:t xml:space="preserve">4</w:t>
            </w:r>
            <w:r>
              <w:rPr>
                <w:rFonts w:hint="eastAsia"/>
              </w:rPr>
              <w:t xml:space="preserve">小时</w:t>
            </w:r>
            <w:r>
              <w:rPr>
                <w:rFonts w:hint="eastAsia"/>
              </w:rPr>
              <w:t xml:space="preserve">/</w:t>
            </w:r>
            <w:r>
              <w:rPr>
                <w:rFonts w:hint="eastAsia"/>
              </w:rPr>
              <w:t xml:space="preserve">重大故障</w:t>
            </w:r>
            <w:r>
              <w:rPr>
                <w:rFonts w:hint="eastAsia"/>
              </w:rPr>
              <w:t xml:space="preserve">24</w:t>
            </w:r>
            <w:r>
              <w:rPr>
                <w:rFonts w:hint="eastAsia"/>
              </w:rPr>
              <w:t xml:space="preserve">小时）</w:t>
            </w:r>
            <w:r/>
          </w:p>
        </w:tc>
        <w:tc>
          <w:tcPr>
            <w:tcW w:w="262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2000</w:t>
            </w:r>
            <w:r>
              <w:rPr>
                <w:rFonts w:hint="eastAsia"/>
              </w:rPr>
              <w:t xml:space="preserve">元，并免费提供备用机</w:t>
            </w:r>
            <w:r/>
          </w:p>
        </w:tc>
      </w:tr>
      <w:tr>
        <w:trPr>
          <w:jc w:val="center"/>
        </w:trPr>
        <w:tc>
          <w:tcPr>
            <w:tcW w:w="2380" w:type="pct"/>
            <w:vAlign w:val="center"/>
            <w:textDirection w:val="lrTb"/>
            <w:noWrap w:val="false"/>
          </w:tcPr>
          <w:p>
            <w:pPr>
              <w:pStyle w:val="896"/>
              <w:jc w:val="center"/>
              <w:spacing w:line="240" w:lineRule="auto"/>
            </w:pPr>
            <w:r>
              <w:rPr>
                <w:rFonts w:hint="eastAsia"/>
              </w:rPr>
              <w:t xml:space="preserve">未按时巡检或更换滤芯</w:t>
            </w:r>
            <w:r/>
          </w:p>
        </w:tc>
        <w:tc>
          <w:tcPr>
            <w:tcW w:w="262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2000</w:t>
            </w:r>
            <w:r>
              <w:rPr>
                <w:rFonts w:hint="eastAsia"/>
              </w:rPr>
              <w:t xml:space="preserve">元</w:t>
            </w:r>
            <w:r/>
          </w:p>
        </w:tc>
      </w:tr>
      <w:tr>
        <w:trPr>
          <w:jc w:val="center"/>
        </w:trPr>
        <w:tc>
          <w:tcPr>
            <w:tcW w:w="2380" w:type="pct"/>
            <w:vAlign w:val="center"/>
            <w:textDirection w:val="lrTb"/>
            <w:noWrap w:val="false"/>
          </w:tcPr>
          <w:p>
            <w:pPr>
              <w:pStyle w:val="896"/>
              <w:jc w:val="center"/>
              <w:spacing w:line="240" w:lineRule="auto"/>
            </w:pPr>
            <w:r>
              <w:rPr>
                <w:rFonts w:hint="eastAsia"/>
              </w:rPr>
              <w:t xml:space="preserve">水质检测不合格未及时处理</w:t>
            </w:r>
            <w:r/>
          </w:p>
        </w:tc>
        <w:tc>
          <w:tcPr>
            <w:tcW w:w="2620" w:type="pct"/>
            <w:vAlign w:val="center"/>
            <w:textDirection w:val="lrTb"/>
            <w:noWrap w:val="false"/>
          </w:tcPr>
          <w:p>
            <w:pPr>
              <w:pStyle w:val="896"/>
              <w:jc w:val="center"/>
              <w:spacing w:line="240" w:lineRule="auto"/>
            </w:pPr>
            <w:r>
              <w:rPr>
                <w:rFonts w:hint="eastAsia"/>
              </w:rPr>
              <w:t xml:space="preserve">每次扣除服务费</w:t>
            </w:r>
            <w:r>
              <w:rPr>
                <w:rFonts w:hint="eastAsia"/>
              </w:rPr>
              <w:t xml:space="preserve">5000</w:t>
            </w:r>
            <w:r>
              <w:rPr>
                <w:rFonts w:hint="eastAsia"/>
              </w:rPr>
              <w:t xml:space="preserve">元，并承担相应责任</w:t>
            </w:r>
            <w:r/>
          </w:p>
        </w:tc>
      </w:tr>
      <w:tr>
        <w:trPr>
          <w:jc w:val="center"/>
        </w:trPr>
        <w:tc>
          <w:tcPr>
            <w:tcW w:w="2380" w:type="pct"/>
            <w:vAlign w:val="center"/>
            <w:textDirection w:val="lrTb"/>
            <w:noWrap w:val="false"/>
          </w:tcPr>
          <w:p>
            <w:pPr>
              <w:pStyle w:val="896"/>
              <w:jc w:val="center"/>
              <w:spacing w:line="240" w:lineRule="auto"/>
            </w:pPr>
            <w:r>
              <w:rPr>
                <w:rFonts w:hint="eastAsia"/>
              </w:rPr>
              <w:t xml:space="preserve">提供虚假报告或记录</w:t>
            </w:r>
            <w:r/>
          </w:p>
        </w:tc>
        <w:tc>
          <w:tcPr>
            <w:tcW w:w="2620" w:type="pct"/>
            <w:vAlign w:val="center"/>
            <w:textDirection w:val="lrTb"/>
            <w:noWrap w:val="false"/>
          </w:tcPr>
          <w:p>
            <w:pPr>
              <w:pStyle w:val="896"/>
              <w:jc w:val="center"/>
              <w:spacing w:line="240" w:lineRule="auto"/>
            </w:pPr>
            <w:r>
              <w:rPr>
                <w:rFonts w:hint="eastAsia"/>
              </w:rPr>
              <w:t xml:space="preserve">终止合同并追究法律责任</w:t>
            </w:r>
            <w:r/>
          </w:p>
        </w:tc>
      </w:tr>
    </w:tbl>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480"/>
        <w:spacing w:before="100" w:after="100" w:line="360" w:lineRule="auto"/>
        <w:rPr>
          <w:rFonts w:ascii="宋体"/>
          <w:sz w:val="28"/>
          <w:szCs w:val="28"/>
        </w:rPr>
      </w:pPr>
      <w:r>
        <w:t xml:space="preserve"> </w:t>
      </w:r>
      <w:r>
        <w:rPr>
          <w:rFonts w:hint="eastAsia" w:ascii="宋体"/>
          <w:sz w:val="28"/>
          <w:szCs w:val="28"/>
        </w:rPr>
        <w:t xml:space="preserve">特此承诺</w:t>
      </w:r>
      <w:r/>
    </w:p>
    <w:p>
      <w:pPr>
        <w:pStyle w:val="886"/>
        <w:ind w:right="180" w:firstLine="480"/>
        <w:jc w:val="right"/>
        <w:spacing w:beforeAutospacing="0" w:afterAutospacing="0" w:line="360" w:lineRule="auto"/>
        <w:rPr>
          <w:rFonts w:ascii="宋体"/>
        </w:rPr>
      </w:pPr>
      <w:r>
        <w:rPr>
          <w:rFonts w:ascii="宋体"/>
        </w:rPr>
        <w:t xml:space="preserve"> </w:t>
      </w:r>
      <w:r/>
    </w:p>
    <w:p>
      <w:pPr>
        <w:pStyle w:val="886"/>
        <w:ind w:right="180" w:firstLine="480"/>
        <w:jc w:val="right"/>
        <w:spacing w:beforeAutospacing="0" w:afterAutospacing="0" w:line="360" w:lineRule="auto"/>
      </w:pPr>
      <w:r>
        <w:rPr>
          <w:rFonts w:hint="eastAsia" w:ascii="宋体" w:cs="宋体"/>
          <w:color w:val="000000"/>
        </w:rPr>
        <w:t xml:space="preserve">企业名称（加盖CA电子公章）：</w:t>
      </w:r>
      <w:r/>
    </w:p>
    <w:p>
      <w:pPr>
        <w:pStyle w:val="886"/>
        <w:ind w:right="480" w:firstLine="6240"/>
        <w:jc w:val="both"/>
        <w:spacing w:beforeAutospacing="0" w:afterAutospacing="0" w:line="360" w:lineRule="auto"/>
        <w:rPr>
          <w:rFonts w:ascii="宋体" w:cs="宋体"/>
          <w:color w:val="000000"/>
        </w:rPr>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w:t>
      </w:r>
      <w:bookmarkEnd w:id="298"/>
      <w:r/>
      <w:bookmarkEnd w:id="299"/>
      <w:r/>
      <w:r/>
    </w:p>
    <w:p>
      <w:pPr>
        <w:pStyle w:val="886"/>
        <w:ind w:right="480" w:firstLine="6240"/>
        <w:jc w:val="both"/>
        <w:spacing w:beforeAutospacing="0" w:afterAutospacing="0" w:line="360" w:lineRule="auto"/>
        <w:rPr>
          <w:rFonts w:ascii="宋体" w:cs="宋体"/>
          <w:color w:val="000000"/>
        </w:rPr>
      </w:pPr>
      <w:r>
        <w:rPr>
          <w:rFonts w:ascii="宋体" w:cs="宋体"/>
          <w:color w:val="000000"/>
        </w:rPr>
      </w:r>
      <w:r/>
    </w:p>
    <w:p>
      <w:pPr>
        <w:pStyle w:val="886"/>
        <w:ind w:right="480" w:firstLine="6240"/>
        <w:jc w:val="both"/>
        <w:spacing w:beforeAutospacing="0" w:afterAutospacing="0" w:line="360" w:lineRule="auto"/>
        <w:rPr>
          <w:rFonts w:ascii="宋体" w:cs="宋体"/>
          <w:color w:val="000000"/>
        </w:rPr>
      </w:pPr>
      <w:r>
        <w:rPr>
          <w:rFonts w:ascii="宋体" w:cs="宋体"/>
          <w:color w:val="000000"/>
        </w:rPr>
      </w:r>
      <w:r/>
    </w:p>
    <w:p>
      <w:pPr>
        <w:pStyle w:val="886"/>
        <w:ind w:right="480" w:firstLine="8353"/>
        <w:jc w:val="both"/>
        <w:spacing w:beforeAutospacing="0" w:afterAutospacing="0" w:line="360" w:lineRule="auto"/>
        <w:rPr>
          <w:rFonts w:ascii="宋体" w:cs="黑体"/>
          <w:b/>
          <w:color w:val="000000"/>
          <w:sz w:val="32"/>
          <w:szCs w:val="32"/>
        </w:rPr>
      </w:pPr>
      <w:r>
        <w:rPr>
          <w:rFonts w:ascii="宋体" w:cs="黑体"/>
          <w:b/>
          <w:color w:val="000000"/>
          <w:sz w:val="32"/>
          <w:szCs w:val="32"/>
        </w:rPr>
      </w:r>
      <w:r/>
    </w:p>
    <w:p>
      <w:pPr>
        <w:ind w:firstLine="640"/>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十九、技术方案、服务承诺、培训承诺等</w:t>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86"/>
        <w:ind w:firstLine="643"/>
        <w:jc w:val="center"/>
        <w:spacing w:beforeAutospacing="0" w:afterAutospacing="0"/>
        <w:rPr>
          <w:rFonts w:ascii="宋体" w:hAnsi="宋体" w:eastAsia="宋体" w:cs="宋体"/>
        </w:rPr>
      </w:pPr>
      <w:r>
        <w:rPr>
          <w:rFonts w:hint="eastAsia" w:ascii="宋体" w:hAnsi="宋体" w:eastAsia="宋体" w:cs="宋体"/>
          <w:color w:val="000000"/>
          <w:sz w:val="32"/>
          <w:szCs w:val="32"/>
        </w:rPr>
        <w:t xml:space="preserve">二十、盐城市政府采购事前信用承诺书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年月日</w:t>
      </w:r>
      <w:r/>
    </w:p>
    <w:p>
      <w:pPr>
        <w:jc w:val="center"/>
        <w:spacing w:line="499" w:lineRule="atLeast"/>
        <w:widowControl/>
        <w:rPr>
          <w:rFonts w:ascii="宋体" w:hAnsi="宋体" w:eastAsia="宋体" w:cs="宋体"/>
          <w:sz w:val="24"/>
        </w:rPr>
      </w:pPr>
      <w:r>
        <w:rPr>
          <w:rFonts w:ascii="宋体" w:hAnsi="宋体" w:eastAsia="宋体" w:cs="宋体"/>
          <w:sz w:val="24"/>
        </w:rPr>
      </w:r>
      <w:r/>
    </w:p>
    <w:p>
      <w:pPr>
        <w:jc w:val="center"/>
        <w:spacing w:line="499" w:lineRule="atLeast"/>
        <w:widowControl/>
        <w:rPr>
          <w:rFonts w:ascii="宋体" w:hAnsi="宋体" w:eastAsia="宋体" w:cs="宋体"/>
          <w:sz w:val="24"/>
        </w:rPr>
      </w:pPr>
      <w:r>
        <w:rPr>
          <w:rFonts w:ascii="宋体" w:hAnsi="宋体" w:eastAsia="宋体" w:cs="宋体"/>
          <w:sz w:val="24"/>
        </w:rPr>
      </w:r>
      <w:bookmarkEnd w:id="8"/>
      <w:bookmarkEnd w:id="84"/>
      <w:bookmarkEnd w:id="131"/>
      <w:bookmarkEnd w:id="132"/>
      <w:bookmarkEnd w:id="133"/>
      <w:bookmarkEnd w:id="134"/>
      <w:bookmarkEnd w:id="135"/>
      <w:bookmarkEnd w:id="136"/>
      <w:bookmarkEnd w:id="137"/>
      <w:bookmarkEnd w:id="138"/>
      <w:bookmarkEnd w:id="149"/>
      <w:bookmarkEnd w:id="150"/>
      <w:bookmarkEnd w:id="157"/>
      <w:bookmarkEnd w:id="205"/>
      <w:bookmarkEnd w:id="241"/>
      <w:bookmarkEnd w:id="261"/>
      <w:bookmarkEnd w:id="262"/>
      <w:bookmarkEnd w:id="263"/>
      <w:bookmarkEnd w:id="267"/>
      <w:bookmarkEnd w:id="269"/>
      <w:bookmarkEnd w:id="270"/>
      <w:bookmarkEnd w:id="271"/>
      <w:bookmarkEnd w:id="274"/>
      <w:bookmarkEnd w:id="293"/>
      <w:bookmarkEnd w:id="294"/>
      <w:bookmarkEnd w:id="295"/>
      <w:bookmarkEnd w:id="296"/>
      <w:bookmarkEnd w:id="297"/>
      <w:r/>
    </w:p>
    <w:p>
      <w:pPr>
        <w:pStyle w:val="886"/>
        <w:jc w:val="center"/>
        <w:spacing w:beforeAutospacing="0" w:afterAutospacing="0"/>
      </w:pPr>
      <w:r/>
      <w:r/>
    </w:p>
    <w:p>
      <w:pPr>
        <w:pStyle w:val="886"/>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86"/>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86"/>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8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86"/>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86"/>
        <w:ind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86"/>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86"/>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86"/>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86"/>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86"/>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86"/>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jc w:val="left"/>
        <w:widowControl/>
        <w:rPr>
          <w:rFonts w:ascii="宋体" w:hAnsi="宋体" w:eastAsia="宋体" w:cs="宋体"/>
          <w:color w:val="000000"/>
          <w:sz w:val="24"/>
        </w:rPr>
      </w:pPr>
      <w:r>
        <w:rPr>
          <w:rFonts w:ascii="宋体" w:hAnsi="宋体" w:eastAsia="宋体" w:cs="宋体"/>
          <w:color w:val="000000"/>
        </w:rPr>
        <w:br w:type="page" w:clear="all"/>
      </w:r>
      <w:r/>
    </w:p>
    <w:p>
      <w:pPr>
        <w:pStyle w:val="886"/>
        <w:spacing w:beforeAutospacing="0" w:afterAutospacing="0" w:line="0" w:lineRule="atLeast"/>
        <w:widowControl/>
        <w:rPr>
          <w:rFonts w:ascii="宋体" w:hAnsi="宋体" w:eastAsia="宋体" w:cs="宋体"/>
        </w:rPr>
      </w:pPr>
      <w:r>
        <w:rPr>
          <w:rFonts w:hint="eastAsia" w:ascii="宋体" w:hAnsi="宋体" w:eastAsia="宋体" w:cs="宋体"/>
        </w:rPr>
        <w:t xml:space="preserve">附：各学校设备数量</w:t>
      </w:r>
      <w:r/>
    </w:p>
    <w:tbl>
      <w:tblPr>
        <w:tblW w:w="809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7"/>
        <w:gridCol w:w="3759"/>
        <w:gridCol w:w="1869"/>
        <w:gridCol w:w="1869"/>
      </w:tblGrid>
      <w:tr>
        <w:trPr>
          <w:trHeight w:val="430"/>
        </w:trPr>
        <w:tc>
          <w:tcPr>
            <w:tcW w:w="597" w:type="dxa"/>
            <w:vAlign w:val="center"/>
            <w:textDirection w:val="lrTb"/>
            <w:noWrap w:val="false"/>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序号</w:t>
            </w:r>
            <w:r/>
          </w:p>
        </w:tc>
        <w:tc>
          <w:tcPr>
            <w:tcW w:w="3759" w:type="dxa"/>
            <w:vAlign w:val="center"/>
            <w:textDirection w:val="lrTb"/>
            <w:noWrap w:val="false"/>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学校</w:t>
            </w:r>
            <w:r/>
          </w:p>
        </w:tc>
        <w:tc>
          <w:tcPr>
            <w:tcW w:w="1869" w:type="dxa"/>
            <w:vAlign w:val="center"/>
            <w:textDirection w:val="lrTb"/>
            <w:noWrap/>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净水流量</w:t>
            </w:r>
            <w:r/>
          </w:p>
        </w:tc>
        <w:tc>
          <w:tcPr>
            <w:tcW w:w="1869" w:type="dxa"/>
            <w:vAlign w:val="center"/>
            <w:textDirection w:val="lrTb"/>
            <w:noWrap/>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设备数量</w:t>
            </w:r>
            <w:r/>
          </w:p>
        </w:tc>
      </w:tr>
      <w:tr>
        <w:trPr>
          <w:trHeight w:val="520"/>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滨海县育才高级中学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vMerge w:val="restart"/>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w:t>
            </w:r>
            <w:r/>
          </w:p>
        </w:tc>
        <w:tc>
          <w:tcPr>
            <w:tcW w:w="3759" w:type="dxa"/>
            <w:vAlign w:val="center"/>
            <w:vMerge w:val="restart"/>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滨海县东元高级中学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2</w:t>
            </w:r>
            <w:r/>
          </w:p>
        </w:tc>
      </w:tr>
      <w:tr>
        <w:trPr>
          <w:trHeight w:val="466"/>
        </w:trPr>
        <w:tc>
          <w:tcPr>
            <w:tcW w:w="597" w:type="dxa"/>
            <w:vAlign w:val="center"/>
            <w:vMerge w:val="continue"/>
            <w:textDirection w:val="lrTb"/>
            <w:noWrap w:val="false"/>
          </w:tcPr>
          <w:p>
            <w:pPr>
              <w:jc w:val="left"/>
              <w:widowControl/>
              <w:rPr>
                <w:rFonts w:cs="宋体" w:asciiTheme="minorEastAsia" w:hAnsiTheme="minorEastAsia"/>
                <w:color w:val="333333"/>
                <w:sz w:val="18"/>
                <w:szCs w:val="18"/>
              </w:rPr>
            </w:pPr>
            <w:r>
              <w:rPr>
                <w:rFonts w:cs="宋体" w:asciiTheme="minorEastAsia" w:hAnsiTheme="minorEastAsia"/>
                <w:color w:val="333333"/>
                <w:sz w:val="18"/>
                <w:szCs w:val="18"/>
              </w:rPr>
            </w:r>
            <w:r/>
          </w:p>
        </w:tc>
        <w:tc>
          <w:tcPr>
            <w:tcW w:w="3759" w:type="dxa"/>
            <w:vAlign w:val="center"/>
            <w:vMerge w:val="continue"/>
            <w:textDirection w:val="lrTb"/>
            <w:noWrap w:val="false"/>
          </w:tcPr>
          <w:p>
            <w:pPr>
              <w:jc w:val="left"/>
              <w:widowControl/>
              <w:rPr>
                <w:rFonts w:cs="宋体" w:asciiTheme="minorEastAsia" w:hAnsiTheme="minorEastAsia"/>
                <w:color w:val="000000"/>
                <w:sz w:val="18"/>
                <w:szCs w:val="18"/>
              </w:rPr>
            </w:pPr>
            <w:r>
              <w:rPr>
                <w:rFonts w:cs="宋体" w:asciiTheme="minorEastAsia" w:hAnsiTheme="minorEastAsia"/>
                <w:color w:val="000000"/>
                <w:sz w:val="18"/>
                <w:szCs w:val="18"/>
              </w:rPr>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5</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滨海县八滩第二中学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tcW w:w="597" w:type="dxa"/>
            <w:vAlign w:val="center"/>
            <w:vMerge w:val="restart"/>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6</w:t>
            </w:r>
            <w:r/>
          </w:p>
        </w:tc>
        <w:tc>
          <w:tcPr>
            <w:tcW w:w="3759" w:type="dxa"/>
            <w:vAlign w:val="center"/>
            <w:vMerge w:val="restart"/>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江苏省滨海中等专业学校（一期）</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tcW w:w="597" w:type="dxa"/>
            <w:vAlign w:val="center"/>
            <w:vMerge w:val="continue"/>
            <w:textDirection w:val="lrTb"/>
            <w:noWrap w:val="false"/>
          </w:tcPr>
          <w:p>
            <w:pPr>
              <w:jc w:val="left"/>
              <w:widowControl/>
              <w:rPr>
                <w:rFonts w:cs="宋体" w:asciiTheme="minorEastAsia" w:hAnsiTheme="minorEastAsia"/>
                <w:color w:val="333333"/>
                <w:sz w:val="18"/>
                <w:szCs w:val="18"/>
              </w:rPr>
            </w:pPr>
            <w:r>
              <w:rPr>
                <w:rFonts w:cs="宋体" w:asciiTheme="minorEastAsia" w:hAnsiTheme="minorEastAsia"/>
                <w:color w:val="333333"/>
                <w:sz w:val="18"/>
                <w:szCs w:val="18"/>
              </w:rPr>
            </w:r>
            <w:r/>
          </w:p>
        </w:tc>
        <w:tc>
          <w:tcPr>
            <w:tcW w:w="3759" w:type="dxa"/>
            <w:vAlign w:val="center"/>
            <w:vMerge w:val="continue"/>
            <w:textDirection w:val="lrTb"/>
            <w:noWrap w:val="false"/>
          </w:tcPr>
          <w:p>
            <w:pPr>
              <w:jc w:val="left"/>
              <w:widowControl/>
              <w:rPr>
                <w:rFonts w:cs="宋体" w:asciiTheme="minorEastAsia" w:hAnsiTheme="minorEastAsia"/>
                <w:color w:val="000000"/>
                <w:sz w:val="18"/>
                <w:szCs w:val="18"/>
              </w:rPr>
            </w:pPr>
            <w:r>
              <w:rPr>
                <w:rFonts w:cs="宋体" w:asciiTheme="minorEastAsia" w:hAnsiTheme="minorEastAsia"/>
                <w:color w:val="000000"/>
                <w:sz w:val="18"/>
                <w:szCs w:val="18"/>
              </w:rPr>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2</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7</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五汛中学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92"/>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8</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w:t>
            </w:r>
            <w:r>
              <w:rPr>
                <w:rFonts w:hint="eastAsia" w:cs="宋体" w:asciiTheme="minorEastAsia" w:hAnsiTheme="minorEastAsia"/>
                <w:color w:val="000000"/>
                <w:sz w:val="18"/>
                <w:szCs w:val="18"/>
              </w:rPr>
              <w:t xml:space="preserve">西湖路分园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9</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滨海县陈涛中学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10</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滨海县明达中学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11</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县东坎高级中学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12</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滨海县港城初级中学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13</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滨海县政府机关幼儿园（人民路园区）</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14</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江苏省滨海中学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15</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盐城滨海港经济区中心小学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16</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滨海县蔡桥初级中学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17</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獐沟中学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18</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县坎北</w:t>
            </w:r>
            <w:r>
              <w:rPr>
                <w:rFonts w:hint="eastAsia" w:cs="宋体" w:asciiTheme="minorEastAsia" w:hAnsiTheme="minorEastAsia"/>
                <w:color w:val="000000"/>
                <w:sz w:val="18"/>
                <w:szCs w:val="18"/>
              </w:rPr>
              <w:t xml:space="preserve">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19</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滨海县通榆中学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20</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滨海县大套中学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21</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滨海县振东</w:t>
            </w:r>
            <w:r>
              <w:rPr>
                <w:rFonts w:hint="eastAsia" w:cs="宋体" w:asciiTheme="minorEastAsia" w:hAnsiTheme="minorEastAsia"/>
                <w:color w:val="000000"/>
                <w:sz w:val="18"/>
                <w:szCs w:val="18"/>
              </w:rPr>
              <w:t xml:space="preserve">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22</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陆集中</w:t>
            </w:r>
            <w:r>
              <w:rPr>
                <w:rFonts w:hint="eastAsia" w:cs="宋体" w:asciiTheme="minorEastAsia" w:hAnsiTheme="minorEastAsia"/>
                <w:color w:val="000000"/>
                <w:sz w:val="18"/>
                <w:szCs w:val="18"/>
              </w:rPr>
              <w:t xml:space="preserve">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23</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滨海县条港</w:t>
            </w:r>
            <w:r>
              <w:rPr>
                <w:rFonts w:hint="eastAsia" w:cs="宋体" w:asciiTheme="minorEastAsia" w:hAnsiTheme="minorEastAsia"/>
                <w:color w:val="000000"/>
                <w:sz w:val="18"/>
                <w:szCs w:val="18"/>
              </w:rPr>
              <w:t xml:space="preserve">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24</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滨海县幼儿园向阳分园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25</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滨海县滨海港镇中心小学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26</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县八巨初级中学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27</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县界牌</w:t>
            </w:r>
            <w:r>
              <w:rPr>
                <w:rFonts w:hint="eastAsia" w:cs="宋体" w:asciiTheme="minorEastAsia" w:hAnsiTheme="minorEastAsia"/>
                <w:color w:val="000000"/>
                <w:sz w:val="18"/>
                <w:szCs w:val="18"/>
              </w:rPr>
              <w:t xml:space="preserve">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28</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29</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县滨淮镇</w:t>
            </w:r>
            <w:r>
              <w:rPr>
                <w:rFonts w:hint="eastAsia" w:cs="宋体" w:asciiTheme="minorEastAsia" w:hAnsiTheme="minorEastAsia"/>
                <w:color w:val="000000"/>
                <w:sz w:val="18"/>
                <w:szCs w:val="18"/>
              </w:rPr>
              <w:t xml:space="preserve">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30</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县滨淮农场</w:t>
            </w:r>
            <w:r>
              <w:rPr>
                <w:rFonts w:hint="eastAsia" w:cs="宋体" w:asciiTheme="minorEastAsia" w:hAnsiTheme="minorEastAsia"/>
                <w:color w:val="000000"/>
                <w:sz w:val="18"/>
                <w:szCs w:val="18"/>
              </w:rPr>
              <w:t xml:space="preserve">学校</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31</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滨海县八滩镇中心小学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32</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县实验幼儿园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33</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陈涛镇中心</w:t>
            </w:r>
            <w:r>
              <w:rPr>
                <w:rFonts w:hint="eastAsia" w:cs="宋体" w:asciiTheme="minorEastAsia" w:hAnsiTheme="minorEastAsia"/>
                <w:color w:val="000000"/>
                <w:sz w:val="18"/>
                <w:szCs w:val="18"/>
              </w:rPr>
              <w:t xml:space="preserve">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34</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滨海县新港初级中学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35</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秉</w:t>
            </w:r>
            <w:r>
              <w:rPr>
                <w:rFonts w:hint="eastAsia" w:cs="宋体" w:asciiTheme="minorEastAsia" w:hAnsiTheme="minorEastAsia"/>
                <w:color w:val="000000"/>
                <w:sz w:val="18"/>
                <w:szCs w:val="18"/>
              </w:rPr>
              <w:t xml:space="preserve">义初级中学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36</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滨海县陈铸初级中学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37</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滨海县玉龙初级中学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38</w:t>
            </w:r>
            <w:r/>
          </w:p>
        </w:tc>
        <w:tc>
          <w:tcPr>
            <w:tcW w:w="3759"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滨海县幼儿园绿都分园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39</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滨海县滨海港镇中心幼儿园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40</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滨海县天场镇中心小学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41</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滨海县天场初级中学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42</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滨海县正红初级中学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43</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滨海县北</w:t>
            </w:r>
            <w:r>
              <w:rPr>
                <w:rFonts w:hint="eastAsia" w:cs="宋体" w:asciiTheme="minorEastAsia" w:hAnsiTheme="minorEastAsia"/>
                <w:color w:val="000000"/>
                <w:sz w:val="18"/>
                <w:szCs w:val="18"/>
              </w:rPr>
              <w:t xml:space="preserve">坍</w:t>
            </w:r>
            <w:r>
              <w:rPr>
                <w:rFonts w:hint="eastAsia" w:cs="宋体" w:asciiTheme="minorEastAsia" w:hAnsiTheme="minorEastAsia"/>
                <w:color w:val="000000"/>
                <w:sz w:val="18"/>
                <w:szCs w:val="18"/>
              </w:rPr>
              <w:t xml:space="preserve">初级中学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44</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八巨镇</w:t>
            </w:r>
            <w:r>
              <w:rPr>
                <w:rFonts w:hint="eastAsia" w:cs="宋体" w:asciiTheme="minorEastAsia" w:hAnsiTheme="minorEastAsia"/>
                <w:color w:val="000000"/>
                <w:sz w:val="18"/>
                <w:szCs w:val="18"/>
              </w:rPr>
              <w:t xml:space="preserve">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45</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滨海县第一初级中学凤鸣路校区</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46</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县淤尖</w:t>
            </w:r>
            <w:r>
              <w:rPr>
                <w:rFonts w:hint="eastAsia" w:cs="宋体" w:asciiTheme="minorEastAsia" w:hAnsiTheme="minorEastAsia"/>
                <w:color w:val="000000"/>
                <w:sz w:val="18"/>
                <w:szCs w:val="18"/>
              </w:rPr>
              <w:t xml:space="preserve">实验学校</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47</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滨海县八滩镇第二中心小学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48</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县坎北街道</w:t>
            </w:r>
            <w:r>
              <w:rPr>
                <w:rFonts w:hint="eastAsia" w:cs="宋体" w:asciiTheme="minorEastAsia" w:hAnsiTheme="minorEastAsia"/>
                <w:color w:val="000000"/>
                <w:sz w:val="18"/>
                <w:szCs w:val="18"/>
              </w:rPr>
              <w:t xml:space="preserve">中心幼儿园</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49</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滨海县通榆镇中心小学</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50</w:t>
            </w:r>
            <w:r/>
          </w:p>
        </w:tc>
        <w:tc>
          <w:tcPr>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滨海县特殊教育学校</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bl>
    <w:p>
      <w:pPr>
        <w:pStyle w:val="886"/>
        <w:ind w:firstLine="480"/>
        <w:spacing w:beforeAutospacing="0" w:afterAutospacing="0" w:line="0" w:lineRule="atLeast"/>
        <w:widowControl/>
        <w:rPr>
          <w:rFonts w:ascii="宋体" w:hAnsi="宋体" w:eastAsia="宋体" w:cs="宋体"/>
        </w:rPr>
      </w:pPr>
      <w:r>
        <w:rPr>
          <w:rFonts w:ascii="宋体" w:hAnsi="宋体" w:eastAsia="宋体" w:cs="宋体"/>
        </w:rPr>
      </w:r>
      <w:r/>
    </w:p>
    <w:p>
      <w:pPr>
        <w:pStyle w:val="886"/>
        <w:spacing w:beforeAutospacing="0" w:afterAutospacing="0"/>
      </w:pPr>
      <w:r/>
      <w:r/>
    </w:p>
    <w:sectPr>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p>
      <w:pPr>
        <w:ind w:firstLine="420"/>
      </w:pPr>
      <w:r/>
      <w:r/>
    </w:p>
  </w:endnote>
  <w:endnote w:type="continuationSeparator" w:id="0">
    <w:p>
      <w:pPr>
        <w:ind w:firstLine="420"/>
      </w:pPr>
      <w:r>
        <w:continuationSeparator/>
      </w:r>
      <w:r/>
    </w:p>
    <w:p>
      <w:pPr>
        <w:ind w:firstLine="420"/>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魏碑_GBK">
    <w:panose1 w:val="020B0503020202020204"/>
  </w:font>
  <w:font w:name="Cambria Math">
    <w:panose1 w:val="02040503050406030204"/>
  </w:font>
  <w:font w:name="等线">
    <w:panose1 w:val="02010600030101010101"/>
  </w:font>
  <w:font w:name="Wingdings">
    <w:panose1 w:val="05000000000000000000"/>
  </w:font>
  <w:font w:name="华文楷体">
    <w:panose1 w:val="02010600040101010101"/>
  </w:font>
  <w:font w:name="Courier New">
    <w:panose1 w:val="02070309020205020404"/>
  </w:font>
  <w:font w:name="Apto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892"/>
      <w:ind w:firstLine="360"/>
    </w:pPr>
    <w:r/>
    <w:r/>
  </w:p>
  <w:p>
    <w:pPr>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p>
      <w:pPr>
        <w:ind w:firstLine="420"/>
      </w:pPr>
      <w:r/>
      <w:r/>
    </w:p>
  </w:footnote>
  <w:footnote w:type="continuationSeparator" w:id="0">
    <w:p>
      <w:pPr>
        <w:ind w:firstLine="420"/>
      </w:pPr>
      <w:r>
        <w:continuationSeparator/>
      </w:r>
      <w:r/>
    </w:p>
    <w:p>
      <w:pPr>
        <w:ind w:firstLine="420"/>
      </w:p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EnclosedCircle"/>
      <w:isLgl w:val="false"/>
      <w:suff w:val="tab"/>
      <w:lvlText w:val="%1"/>
      <w:lvlJc w:val="left"/>
      <w:pPr>
        <w:ind w:left="840" w:hanging="360"/>
      </w:pPr>
      <w:rPr>
        <w:rFonts w:hint="default"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360" w:hanging="360"/>
      </w:pPr>
      <w:rPr>
        <w:rFonts w:hint="default" w:eastAsiaTheme="minor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5"/>
  </w:num>
  <w:num w:numId="3">
    <w:abstractNumId w:val="6"/>
  </w:num>
  <w:num w:numId="4">
    <w:abstractNumId w:val="4"/>
  </w:num>
  <w:num w:numId="5">
    <w:abstractNumId w:val="0"/>
    <w:lvlOverride w:ilvl="0">
      <w:startOverride w:val="2"/>
    </w:lvlOverride>
  </w:num>
  <w:num w:numId="6">
    <w:abstractNumId w:val="2"/>
    <w:lvlOverride w:ilvl="0">
      <w:startOverride w:val="6"/>
    </w:lvlOverride>
  </w:num>
  <w:num w:numId="7">
    <w:abstractNumId w:val="1"/>
    <w:lvlOverride w:ilvl="0">
      <w:startOverride w:val="16"/>
    </w:lvlOverride>
  </w:num>
  <w:num w:numId="8">
    <w:abstractNumId w:val="3"/>
    <w:lvlOverride w:ilvl="0">
      <w:startOverride w:val="23"/>
    </w:lvlOverride>
  </w:num>
  <w:num w:numId="9">
    <w:abstractNumId w:val="10"/>
  </w:num>
  <w:num w:numId="10">
    <w:abstractNumId w:val="8"/>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4"/>
    <w:uiPriority w:val="9"/>
    <w:rPr>
      <w:rFonts w:ascii="Arial" w:hAnsi="Arial" w:eastAsia="Arial" w:cs="Arial"/>
      <w:sz w:val="40"/>
      <w:szCs w:val="40"/>
    </w:rPr>
  </w:style>
  <w:style w:type="character" w:styleId="15">
    <w:name w:val="Heading 2 Char"/>
    <w:basedOn w:val="713"/>
    <w:link w:val="705"/>
    <w:uiPriority w:val="9"/>
    <w:rPr>
      <w:rFonts w:ascii="Arial" w:hAnsi="Arial" w:eastAsia="Arial" w:cs="Arial"/>
      <w:sz w:val="34"/>
    </w:rPr>
  </w:style>
  <w:style w:type="character" w:styleId="19">
    <w:name w:val="Heading 4 Char"/>
    <w:basedOn w:val="713"/>
    <w:link w:val="707"/>
    <w:uiPriority w:val="9"/>
    <w:rPr>
      <w:rFonts w:ascii="Arial" w:hAnsi="Arial" w:eastAsia="Arial" w:cs="Arial"/>
      <w:b/>
      <w:bCs/>
      <w:sz w:val="26"/>
      <w:szCs w:val="26"/>
    </w:rPr>
  </w:style>
  <w:style w:type="character" w:styleId="21">
    <w:name w:val="Heading 5 Char"/>
    <w:basedOn w:val="713"/>
    <w:link w:val="708"/>
    <w:uiPriority w:val="9"/>
    <w:rPr>
      <w:rFonts w:ascii="Arial" w:hAnsi="Arial" w:eastAsia="Arial" w:cs="Arial"/>
      <w:b/>
      <w:bCs/>
      <w:sz w:val="24"/>
      <w:szCs w:val="24"/>
    </w:rPr>
  </w:style>
  <w:style w:type="character" w:styleId="25">
    <w:name w:val="Heading 7 Char"/>
    <w:basedOn w:val="713"/>
    <w:link w:val="710"/>
    <w:uiPriority w:val="9"/>
    <w:rPr>
      <w:rFonts w:ascii="Arial" w:hAnsi="Arial" w:eastAsia="Arial" w:cs="Arial"/>
      <w:b/>
      <w:bCs/>
      <w:i/>
      <w:iCs/>
      <w:sz w:val="22"/>
      <w:szCs w:val="22"/>
    </w:rPr>
  </w:style>
  <w:style w:type="character" w:styleId="27">
    <w:name w:val="Heading 8 Char"/>
    <w:basedOn w:val="713"/>
    <w:link w:val="711"/>
    <w:uiPriority w:val="9"/>
    <w:rPr>
      <w:rFonts w:ascii="Arial" w:hAnsi="Arial" w:eastAsia="Arial" w:cs="Arial"/>
      <w:i/>
      <w:iCs/>
      <w:sz w:val="22"/>
      <w:szCs w:val="22"/>
    </w:rPr>
  </w:style>
  <w:style w:type="character" w:styleId="29">
    <w:name w:val="Heading 9 Char"/>
    <w:basedOn w:val="713"/>
    <w:link w:val="712"/>
    <w:uiPriority w:val="9"/>
    <w:rPr>
      <w:rFonts w:ascii="Arial" w:hAnsi="Arial" w:eastAsia="Arial" w:cs="Arial"/>
      <w:i/>
      <w:iCs/>
      <w:sz w:val="21"/>
      <w:szCs w:val="21"/>
    </w:rPr>
  </w:style>
  <w:style w:type="character" w:styleId="34">
    <w:name w:val="Title Char"/>
    <w:basedOn w:val="713"/>
    <w:link w:val="726"/>
    <w:uiPriority w:val="10"/>
    <w:rPr>
      <w:sz w:val="48"/>
      <w:szCs w:val="48"/>
    </w:rPr>
  </w:style>
  <w:style w:type="character" w:styleId="36">
    <w:name w:val="Subtitle Char"/>
    <w:basedOn w:val="713"/>
    <w:link w:val="728"/>
    <w:uiPriority w:val="11"/>
    <w:rPr>
      <w:sz w:val="24"/>
      <w:szCs w:val="24"/>
    </w:rPr>
  </w:style>
  <w:style w:type="character" w:styleId="38">
    <w:name w:val="Quote Char"/>
    <w:link w:val="730"/>
    <w:uiPriority w:val="29"/>
    <w:rPr>
      <w:i/>
    </w:rPr>
  </w:style>
  <w:style w:type="character" w:styleId="40">
    <w:name w:val="Intense Quote Char"/>
    <w:link w:val="732"/>
    <w:uiPriority w:val="30"/>
    <w:rPr>
      <w:i/>
    </w:rPr>
  </w:style>
  <w:style w:type="character" w:styleId="175">
    <w:name w:val="Footnote Text Char"/>
    <w:link w:val="864"/>
    <w:uiPriority w:val="99"/>
    <w:rPr>
      <w:sz w:val="18"/>
    </w:rPr>
  </w:style>
  <w:style w:type="character" w:styleId="178">
    <w:name w:val="Endnote Text Char"/>
    <w:link w:val="867"/>
    <w:uiPriority w:val="99"/>
    <w:rPr>
      <w:sz w:val="20"/>
    </w:rPr>
  </w:style>
  <w:style w:type="paragraph" w:styleId="703" w:default="1">
    <w:name w:val="Normal"/>
    <w:qFormat/>
    <w:pPr>
      <w:jc w:val="both"/>
      <w:widowControl w:val="off"/>
    </w:pPr>
    <w:rPr>
      <w:rFonts w:asciiTheme="minorHAnsi" w:hAnsiTheme="minorHAnsi" w:eastAsiaTheme="minorEastAsia" w:cstheme="minorBidi"/>
      <w:sz w:val="21"/>
      <w:szCs w:val="24"/>
    </w:rPr>
  </w:style>
  <w:style w:type="paragraph" w:styleId="704">
    <w:name w:val="Heading 1"/>
    <w:basedOn w:val="703"/>
    <w:next w:val="703"/>
    <w:link w:val="716"/>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1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6">
    <w:name w:val="Heading 3"/>
    <w:basedOn w:val="703"/>
    <w:next w:val="703"/>
    <w:link w:val="901"/>
    <w:semiHidden/>
    <w:unhideWhenUsed/>
    <w:qFormat/>
    <w:pPr>
      <w:keepLines/>
      <w:keepNext/>
      <w:spacing w:before="260" w:after="260" w:line="416" w:lineRule="auto"/>
      <w:outlineLvl w:val="2"/>
    </w:pPr>
    <w:rPr>
      <w:b/>
      <w:bCs/>
      <w:sz w:val="32"/>
      <w:szCs w:val="32"/>
    </w:rPr>
  </w:style>
  <w:style w:type="paragraph" w:styleId="707">
    <w:name w:val="Heading 4"/>
    <w:basedOn w:val="703"/>
    <w:next w:val="703"/>
    <w:link w:val="719"/>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20"/>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903"/>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710">
    <w:name w:val="Heading 7"/>
    <w:basedOn w:val="703"/>
    <w:next w:val="703"/>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2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24"/>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character" w:styleId="716" w:customStyle="1">
    <w:name w:val="标题 1 Char"/>
    <w:basedOn w:val="713"/>
    <w:link w:val="704"/>
    <w:uiPriority w:val="9"/>
    <w:rPr>
      <w:rFonts w:ascii="Arial" w:hAnsi="Arial" w:eastAsia="Arial" w:cs="Arial"/>
      <w:sz w:val="40"/>
      <w:szCs w:val="40"/>
    </w:rPr>
  </w:style>
  <w:style w:type="character" w:styleId="717" w:customStyle="1">
    <w:name w:val="标题 2 Char"/>
    <w:basedOn w:val="713"/>
    <w:link w:val="705"/>
    <w:uiPriority w:val="9"/>
    <w:rPr>
      <w:rFonts w:ascii="Arial" w:hAnsi="Arial" w:eastAsia="Arial" w:cs="Arial"/>
      <w:sz w:val="34"/>
    </w:rPr>
  </w:style>
  <w:style w:type="character" w:styleId="718" w:customStyle="1">
    <w:name w:val="Heading 3 Char"/>
    <w:basedOn w:val="713"/>
    <w:uiPriority w:val="9"/>
    <w:rPr>
      <w:rFonts w:ascii="Arial" w:hAnsi="Arial" w:eastAsia="Arial" w:cs="Arial"/>
      <w:sz w:val="30"/>
      <w:szCs w:val="30"/>
    </w:rPr>
  </w:style>
  <w:style w:type="character" w:styleId="719" w:customStyle="1">
    <w:name w:val="标题 4 Char"/>
    <w:basedOn w:val="713"/>
    <w:link w:val="707"/>
    <w:uiPriority w:val="9"/>
    <w:rPr>
      <w:rFonts w:ascii="Arial" w:hAnsi="Arial" w:eastAsia="Arial" w:cs="Arial"/>
      <w:b/>
      <w:bCs/>
      <w:sz w:val="26"/>
      <w:szCs w:val="26"/>
    </w:rPr>
  </w:style>
  <w:style w:type="character" w:styleId="720" w:customStyle="1">
    <w:name w:val="标题 5 Char"/>
    <w:basedOn w:val="713"/>
    <w:link w:val="708"/>
    <w:uiPriority w:val="9"/>
    <w:rPr>
      <w:rFonts w:ascii="Arial" w:hAnsi="Arial" w:eastAsia="Arial" w:cs="Arial"/>
      <w:b/>
      <w:bCs/>
      <w:sz w:val="24"/>
      <w:szCs w:val="24"/>
    </w:rPr>
  </w:style>
  <w:style w:type="character" w:styleId="721" w:customStyle="1">
    <w:name w:val="Heading 6 Char"/>
    <w:basedOn w:val="713"/>
    <w:uiPriority w:val="9"/>
    <w:rPr>
      <w:rFonts w:ascii="Arial" w:hAnsi="Arial" w:eastAsia="Arial" w:cs="Arial"/>
      <w:b/>
      <w:bCs/>
      <w:sz w:val="22"/>
      <w:szCs w:val="22"/>
    </w:rPr>
  </w:style>
  <w:style w:type="character" w:styleId="722" w:customStyle="1">
    <w:name w:val="标题 7 Char"/>
    <w:basedOn w:val="713"/>
    <w:link w:val="710"/>
    <w:uiPriority w:val="9"/>
    <w:rPr>
      <w:rFonts w:ascii="Arial" w:hAnsi="Arial" w:eastAsia="Arial" w:cs="Arial"/>
      <w:b/>
      <w:bCs/>
      <w:i/>
      <w:iCs/>
      <w:sz w:val="22"/>
      <w:szCs w:val="22"/>
    </w:rPr>
  </w:style>
  <w:style w:type="character" w:styleId="723" w:customStyle="1">
    <w:name w:val="标题 8 Char"/>
    <w:basedOn w:val="713"/>
    <w:link w:val="711"/>
    <w:uiPriority w:val="9"/>
    <w:rPr>
      <w:rFonts w:ascii="Arial" w:hAnsi="Arial" w:eastAsia="Arial" w:cs="Arial"/>
      <w:i/>
      <w:iCs/>
      <w:sz w:val="22"/>
      <w:szCs w:val="22"/>
    </w:rPr>
  </w:style>
  <w:style w:type="character" w:styleId="724" w:customStyle="1">
    <w:name w:val="标题 9 Char"/>
    <w:basedOn w:val="713"/>
    <w:link w:val="712"/>
    <w:uiPriority w:val="9"/>
    <w:rPr>
      <w:rFonts w:ascii="Arial" w:hAnsi="Arial" w:eastAsia="Arial" w:cs="Arial"/>
      <w:i/>
      <w:iCs/>
      <w:sz w:val="21"/>
      <w:szCs w:val="21"/>
    </w:rPr>
  </w:style>
  <w:style w:type="paragraph" w:styleId="725">
    <w:name w:val="No Spacing"/>
    <w:uiPriority w:val="1"/>
    <w:qFormat/>
  </w:style>
  <w:style w:type="paragraph" w:styleId="726">
    <w:name w:val="Title"/>
    <w:basedOn w:val="703"/>
    <w:next w:val="703"/>
    <w:link w:val="727"/>
    <w:uiPriority w:val="10"/>
    <w:qFormat/>
    <w:pPr>
      <w:contextualSpacing/>
      <w:spacing w:before="300" w:after="200"/>
    </w:pPr>
    <w:rPr>
      <w:sz w:val="48"/>
      <w:szCs w:val="48"/>
    </w:rPr>
  </w:style>
  <w:style w:type="character" w:styleId="727" w:customStyle="1">
    <w:name w:val="标题 Char"/>
    <w:basedOn w:val="713"/>
    <w:link w:val="726"/>
    <w:uiPriority w:val="10"/>
    <w:rPr>
      <w:sz w:val="48"/>
      <w:szCs w:val="48"/>
    </w:rPr>
  </w:style>
  <w:style w:type="paragraph" w:styleId="728">
    <w:name w:val="Subtitle"/>
    <w:basedOn w:val="703"/>
    <w:next w:val="703"/>
    <w:link w:val="729"/>
    <w:uiPriority w:val="11"/>
    <w:qFormat/>
    <w:pPr>
      <w:spacing w:before="200" w:after="200"/>
    </w:pPr>
    <w:rPr>
      <w:sz w:val="24"/>
    </w:rPr>
  </w:style>
  <w:style w:type="character" w:styleId="729" w:customStyle="1">
    <w:name w:val="副标题 Char"/>
    <w:basedOn w:val="713"/>
    <w:link w:val="728"/>
    <w:uiPriority w:val="11"/>
    <w:rPr>
      <w:sz w:val="24"/>
      <w:szCs w:val="24"/>
    </w:rPr>
  </w:style>
  <w:style w:type="paragraph" w:styleId="730">
    <w:name w:val="Quote"/>
    <w:basedOn w:val="703"/>
    <w:next w:val="703"/>
    <w:link w:val="731"/>
    <w:uiPriority w:val="29"/>
    <w:qFormat/>
    <w:pPr>
      <w:ind w:left="720" w:right="720"/>
    </w:pPr>
    <w:rPr>
      <w:i/>
    </w:rPr>
  </w:style>
  <w:style w:type="character" w:styleId="731" w:customStyle="1">
    <w:name w:val="引用 Char"/>
    <w:link w:val="730"/>
    <w:uiPriority w:val="29"/>
    <w:rPr>
      <w:i/>
    </w:rPr>
  </w:style>
  <w:style w:type="paragraph" w:styleId="732">
    <w:name w:val="Intense Quote"/>
    <w:basedOn w:val="703"/>
    <w:next w:val="703"/>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Char"/>
    <w:link w:val="732"/>
    <w:uiPriority w:val="30"/>
    <w:rPr>
      <w:i/>
    </w:rPr>
  </w:style>
  <w:style w:type="character" w:styleId="734" w:customStyle="1">
    <w:name w:val="Header Char"/>
    <w:basedOn w:val="713"/>
    <w:uiPriority w:val="99"/>
  </w:style>
  <w:style w:type="character" w:styleId="735" w:customStyle="1">
    <w:name w:val="Footer Char"/>
    <w:basedOn w:val="713"/>
    <w:uiPriority w:val="99"/>
  </w:style>
  <w:style w:type="paragraph" w:styleId="736">
    <w:name w:val="Caption"/>
    <w:basedOn w:val="703"/>
    <w:next w:val="703"/>
    <w:uiPriority w:val="35"/>
    <w:semiHidden/>
    <w:unhideWhenUsed/>
    <w:qFormat/>
    <w:pPr>
      <w:spacing w:line="276" w:lineRule="auto"/>
    </w:pPr>
    <w:rPr>
      <w:b/>
      <w:bCs/>
      <w:color w:val="5b9bd5" w:themeColor="accent1"/>
      <w:sz w:val="18"/>
      <w:szCs w:val="18"/>
    </w:rPr>
  </w:style>
  <w:style w:type="character" w:styleId="737" w:customStyle="1">
    <w:name w:val="Caption Char"/>
    <w:uiPriority w:val="99"/>
  </w:style>
  <w:style w:type="table" w:styleId="738" w:customStyle="1">
    <w:name w:val="Table Grid Light"/>
    <w:basedOn w:val="71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9" w:customStyle="1">
    <w:name w:val="Plain Table 1"/>
    <w:basedOn w:val="71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71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71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71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714"/>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714"/>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714"/>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714"/>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714"/>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71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714"/>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714"/>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1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714"/>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714"/>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714"/>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71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714"/>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714"/>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Grid Table 3"/>
    <w:basedOn w:val="714"/>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714"/>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714"/>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714"/>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714"/>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714"/>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714"/>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1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714"/>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7" w:customStyle="1">
    <w:name w:val="Grid Table 4 - Accent 2"/>
    <w:basedOn w:val="714"/>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8" w:customStyle="1">
    <w:name w:val="Grid Table 4 - Accent 3"/>
    <w:basedOn w:val="714"/>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9" w:customStyle="1">
    <w:name w:val="Grid Table 4 - Accent 4"/>
    <w:basedOn w:val="714"/>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0" w:customStyle="1">
    <w:name w:val="Grid Table 4 - Accent 5"/>
    <w:basedOn w:val="714"/>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1" w:customStyle="1">
    <w:name w:val="Grid Table 4 - Accent 6"/>
    <w:basedOn w:val="714"/>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2" w:customStyle="1">
    <w:name w:val="Grid Table 5 Dark"/>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4" w:customStyle="1">
    <w:name w:val="Grid Table 5 Dark - Accent 2"/>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5" w:customStyle="1">
    <w:name w:val="Grid Table 5 Dark - Accent 3"/>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6" w:customStyle="1">
    <w:name w:val="Grid Table 5 Dark- Accent 4"/>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7" w:customStyle="1">
    <w:name w:val="Grid Table 5 Dark - Accent 5"/>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8" w:customStyle="1">
    <w:name w:val="Grid Table 5 Dark - Accent 6"/>
    <w:basedOn w:val="71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9" w:customStyle="1">
    <w:name w:val="Grid Table 6 Colorful"/>
    <w:basedOn w:val="714"/>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0" w:customStyle="1">
    <w:name w:val="Grid Table 6 Colorful - Accent 1"/>
    <w:basedOn w:val="714"/>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1" w:customStyle="1">
    <w:name w:val="Grid Table 6 Colorful - Accent 2"/>
    <w:basedOn w:val="714"/>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2" w:customStyle="1">
    <w:name w:val="Grid Table 6 Colorful - Accent 3"/>
    <w:basedOn w:val="714"/>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3" w:customStyle="1">
    <w:name w:val="Grid Table 6 Colorful - Accent 4"/>
    <w:basedOn w:val="71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4" w:customStyle="1">
    <w:name w:val="Grid Table 6 Colorful - Accent 5"/>
    <w:basedOn w:val="714"/>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5" w:customStyle="1">
    <w:name w:val="Grid Table 6 Colorful - Accent 6"/>
    <w:basedOn w:val="714"/>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6" w:customStyle="1">
    <w:name w:val="Grid Table 7 Colorful"/>
    <w:basedOn w:val="714"/>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87" w:customStyle="1">
    <w:name w:val="Grid Table 7 Colorful - Accent 1"/>
    <w:basedOn w:val="714"/>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88" w:customStyle="1">
    <w:name w:val="Grid Table 7 Colorful - Accent 2"/>
    <w:basedOn w:val="714"/>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89" w:customStyle="1">
    <w:name w:val="Grid Table 7 Colorful - Accent 3"/>
    <w:basedOn w:val="714"/>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0" w:customStyle="1">
    <w:name w:val="Grid Table 7 Colorful - Accent 4"/>
    <w:basedOn w:val="714"/>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1" w:customStyle="1">
    <w:name w:val="Grid Table 7 Colorful - Accent 5"/>
    <w:basedOn w:val="714"/>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92" w:customStyle="1">
    <w:name w:val="Grid Table 7 Colorful - Accent 6"/>
    <w:basedOn w:val="714"/>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3" w:customStyle="1">
    <w:name w:val="List Table 1 Light"/>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714"/>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List Table 2"/>
    <w:basedOn w:val="714"/>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1" w:customStyle="1">
    <w:name w:val="List Table 2 - Accent 1"/>
    <w:basedOn w:val="714"/>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2" w:customStyle="1">
    <w:name w:val="List Table 2 - Accent 2"/>
    <w:basedOn w:val="714"/>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3" w:customStyle="1">
    <w:name w:val="List Table 2 - Accent 3"/>
    <w:basedOn w:val="714"/>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4" w:customStyle="1">
    <w:name w:val="List Table 2 - Accent 4"/>
    <w:basedOn w:val="714"/>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5" w:customStyle="1">
    <w:name w:val="List Table 2 - Accent 5"/>
    <w:basedOn w:val="714"/>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6" w:customStyle="1">
    <w:name w:val="List Table 2 - Accent 6"/>
    <w:basedOn w:val="714"/>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7" w:customStyle="1">
    <w:name w:val="List Table 3"/>
    <w:basedOn w:val="71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714"/>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3 - Accent 2"/>
    <w:basedOn w:val="714"/>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714"/>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714"/>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714"/>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714"/>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4" w:customStyle="1">
    <w:name w:val="List Table 4"/>
    <w:basedOn w:val="71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714"/>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4 - Accent 2"/>
    <w:basedOn w:val="714"/>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7" w:customStyle="1">
    <w:name w:val="List Table 4 - Accent 3"/>
    <w:basedOn w:val="714"/>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List Table 4 - Accent 4"/>
    <w:basedOn w:val="714"/>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9" w:customStyle="1">
    <w:name w:val="List Table 4 - Accent 5"/>
    <w:basedOn w:val="714"/>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0" w:customStyle="1">
    <w:name w:val="List Table 4 - Accent 6"/>
    <w:basedOn w:val="714"/>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1" w:customStyle="1">
    <w:name w:val="List Table 5 Dark"/>
    <w:basedOn w:val="714"/>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basedOn w:val="714"/>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basedOn w:val="714"/>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basedOn w:val="714"/>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basedOn w:val="714"/>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basedOn w:val="714"/>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basedOn w:val="714"/>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basedOn w:val="714"/>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List Table 6 Colorful - Accent 1"/>
    <w:basedOn w:val="714"/>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0" w:customStyle="1">
    <w:name w:val="List Table 6 Colorful - Accent 2"/>
    <w:basedOn w:val="714"/>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1" w:customStyle="1">
    <w:name w:val="List Table 6 Colorful - Accent 3"/>
    <w:basedOn w:val="714"/>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2" w:customStyle="1">
    <w:name w:val="List Table 6 Colorful - Accent 4"/>
    <w:basedOn w:val="714"/>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3" w:customStyle="1">
    <w:name w:val="List Table 6 Colorful - Accent 5"/>
    <w:basedOn w:val="714"/>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34" w:customStyle="1">
    <w:name w:val="List Table 6 Colorful - Accent 6"/>
    <w:basedOn w:val="714"/>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5" w:customStyle="1">
    <w:name w:val="List Table 7 Colorful"/>
    <w:basedOn w:val="714"/>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36" w:customStyle="1">
    <w:name w:val="List Table 7 Colorful - Accent 1"/>
    <w:basedOn w:val="714"/>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37" w:customStyle="1">
    <w:name w:val="List Table 7 Colorful - Accent 2"/>
    <w:basedOn w:val="714"/>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38" w:customStyle="1">
    <w:name w:val="List Table 7 Colorful - Accent 3"/>
    <w:basedOn w:val="714"/>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39" w:customStyle="1">
    <w:name w:val="List Table 7 Colorful - Accent 4"/>
    <w:basedOn w:val="714"/>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0" w:customStyle="1">
    <w:name w:val="List Table 7 Colorful - Accent 5"/>
    <w:basedOn w:val="714"/>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1" w:customStyle="1">
    <w:name w:val="List Table 7 Colorful - Accent 6"/>
    <w:basedOn w:val="714"/>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2" w:customStyle="1">
    <w:name w:val="Lined - Accent"/>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Lined - Accent 1"/>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4" w:customStyle="1">
    <w:name w:val="Lined - Accent 2"/>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5" w:customStyle="1">
    <w:name w:val="Lined - Accent 3"/>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Lined - Accent 4"/>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7" w:customStyle="1">
    <w:name w:val="Lined - Accent 5"/>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Lined - Accent 6"/>
    <w:basedOn w:val="714"/>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amp; Lined - Accent"/>
    <w:basedOn w:val="714"/>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0" w:customStyle="1">
    <w:name w:val="Bordered &amp; Lined - Accent 1"/>
    <w:basedOn w:val="714"/>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1" w:customStyle="1">
    <w:name w:val="Bordered &amp; Lined - Accent 2"/>
    <w:basedOn w:val="714"/>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2" w:customStyle="1">
    <w:name w:val="Bordered &amp; Lined - Accent 3"/>
    <w:basedOn w:val="714"/>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3" w:customStyle="1">
    <w:name w:val="Bordered &amp; Lined - Accent 4"/>
    <w:basedOn w:val="714"/>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4" w:customStyle="1">
    <w:name w:val="Bordered &amp; Lined - Accent 5"/>
    <w:basedOn w:val="714"/>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5" w:customStyle="1">
    <w:name w:val="Bordered &amp; Lined - Accent 6"/>
    <w:basedOn w:val="714"/>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6" w:customStyle="1">
    <w:name w:val="Bordered"/>
    <w:basedOn w:val="714"/>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7" w:customStyle="1">
    <w:name w:val="Bordered - Accent 1"/>
    <w:basedOn w:val="714"/>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8" w:customStyle="1">
    <w:name w:val="Bordered - Accent 2"/>
    <w:basedOn w:val="714"/>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9" w:customStyle="1">
    <w:name w:val="Bordered - Accent 3"/>
    <w:basedOn w:val="714"/>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0" w:customStyle="1">
    <w:name w:val="Bordered - Accent 4"/>
    <w:basedOn w:val="714"/>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1" w:customStyle="1">
    <w:name w:val="Bordered - Accent 5"/>
    <w:basedOn w:val="714"/>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2" w:customStyle="1">
    <w:name w:val="Bordered - Accent 6"/>
    <w:basedOn w:val="714"/>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3">
    <w:name w:val="Hyperlink"/>
    <w:uiPriority w:val="99"/>
    <w:unhideWhenUsed/>
    <w:rPr>
      <w:color w:val="0563c1" w:themeColor="hyperlink"/>
      <w:u w:val="single"/>
    </w:rPr>
  </w:style>
  <w:style w:type="paragraph" w:styleId="864">
    <w:name w:val="footnote text"/>
    <w:basedOn w:val="703"/>
    <w:link w:val="865"/>
    <w:uiPriority w:val="99"/>
    <w:semiHidden/>
    <w:unhideWhenUsed/>
    <w:pPr>
      <w:spacing w:after="40"/>
    </w:pPr>
    <w:rPr>
      <w:sz w:val="18"/>
    </w:rPr>
  </w:style>
  <w:style w:type="character" w:styleId="865" w:customStyle="1">
    <w:name w:val="脚注文本 Char"/>
    <w:link w:val="864"/>
    <w:uiPriority w:val="99"/>
    <w:rPr>
      <w:sz w:val="18"/>
    </w:rPr>
  </w:style>
  <w:style w:type="character" w:styleId="866">
    <w:name w:val="footnote reference"/>
    <w:basedOn w:val="713"/>
    <w:uiPriority w:val="99"/>
    <w:unhideWhenUsed/>
    <w:rPr>
      <w:vertAlign w:val="superscript"/>
    </w:rPr>
  </w:style>
  <w:style w:type="paragraph" w:styleId="867">
    <w:name w:val="endnote text"/>
    <w:basedOn w:val="703"/>
    <w:link w:val="868"/>
    <w:uiPriority w:val="99"/>
    <w:semiHidden/>
    <w:unhideWhenUsed/>
    <w:rPr>
      <w:sz w:val="20"/>
    </w:rPr>
  </w:style>
  <w:style w:type="character" w:styleId="868" w:customStyle="1">
    <w:name w:val="尾注文本 Char"/>
    <w:link w:val="867"/>
    <w:uiPriority w:val="99"/>
    <w:rPr>
      <w:sz w:val="20"/>
    </w:rPr>
  </w:style>
  <w:style w:type="character" w:styleId="869">
    <w:name w:val="endnote reference"/>
    <w:basedOn w:val="713"/>
    <w:uiPriority w:val="99"/>
    <w:semiHidden/>
    <w:unhideWhenUsed/>
    <w:rPr>
      <w:vertAlign w:val="superscript"/>
    </w:rPr>
  </w:style>
  <w:style w:type="paragraph" w:styleId="870">
    <w:name w:val="toc 1"/>
    <w:basedOn w:val="703"/>
    <w:next w:val="703"/>
    <w:uiPriority w:val="39"/>
    <w:unhideWhenUsed/>
    <w:pPr>
      <w:spacing w:after="57"/>
    </w:pPr>
  </w:style>
  <w:style w:type="paragraph" w:styleId="871">
    <w:name w:val="toc 2"/>
    <w:basedOn w:val="703"/>
    <w:next w:val="703"/>
    <w:uiPriority w:val="39"/>
    <w:unhideWhenUsed/>
    <w:pPr>
      <w:ind w:left="283"/>
      <w:spacing w:after="57"/>
    </w:pPr>
  </w:style>
  <w:style w:type="paragraph" w:styleId="872">
    <w:name w:val="toc 3"/>
    <w:basedOn w:val="703"/>
    <w:next w:val="703"/>
    <w:uiPriority w:val="39"/>
    <w:unhideWhenUsed/>
    <w:pPr>
      <w:ind w:left="567"/>
      <w:spacing w:after="57"/>
    </w:pPr>
  </w:style>
  <w:style w:type="paragraph" w:styleId="873">
    <w:name w:val="toc 4"/>
    <w:basedOn w:val="703"/>
    <w:next w:val="703"/>
    <w:uiPriority w:val="39"/>
    <w:unhideWhenUsed/>
    <w:pPr>
      <w:ind w:left="850"/>
      <w:spacing w:after="57"/>
    </w:pPr>
  </w:style>
  <w:style w:type="paragraph" w:styleId="874">
    <w:name w:val="toc 5"/>
    <w:basedOn w:val="703"/>
    <w:next w:val="703"/>
    <w:uiPriority w:val="39"/>
    <w:unhideWhenUsed/>
    <w:pPr>
      <w:ind w:left="1134"/>
      <w:spacing w:after="57"/>
    </w:pPr>
  </w:style>
  <w:style w:type="paragraph" w:styleId="875">
    <w:name w:val="toc 6"/>
    <w:basedOn w:val="703"/>
    <w:next w:val="703"/>
    <w:uiPriority w:val="39"/>
    <w:unhideWhenUsed/>
    <w:pPr>
      <w:ind w:left="1417"/>
      <w:spacing w:after="57"/>
    </w:pPr>
  </w:style>
  <w:style w:type="paragraph" w:styleId="876">
    <w:name w:val="toc 7"/>
    <w:basedOn w:val="703"/>
    <w:next w:val="703"/>
    <w:uiPriority w:val="39"/>
    <w:unhideWhenUsed/>
    <w:pPr>
      <w:ind w:left="1701"/>
      <w:spacing w:after="57"/>
    </w:pPr>
  </w:style>
  <w:style w:type="paragraph" w:styleId="877">
    <w:name w:val="toc 8"/>
    <w:basedOn w:val="703"/>
    <w:next w:val="703"/>
    <w:uiPriority w:val="39"/>
    <w:unhideWhenUsed/>
    <w:pPr>
      <w:ind w:left="1984"/>
      <w:spacing w:after="57"/>
    </w:pPr>
  </w:style>
  <w:style w:type="paragraph" w:styleId="878">
    <w:name w:val="toc 9"/>
    <w:basedOn w:val="703"/>
    <w:next w:val="703"/>
    <w:uiPriority w:val="39"/>
    <w:unhideWhenUsed/>
    <w:pPr>
      <w:ind w:left="2268"/>
      <w:spacing w:after="57"/>
    </w:pPr>
  </w:style>
  <w:style w:type="paragraph" w:styleId="879">
    <w:name w:val="TOC Heading"/>
    <w:uiPriority w:val="39"/>
    <w:unhideWhenUsed/>
  </w:style>
  <w:style w:type="paragraph" w:styleId="880">
    <w:name w:val="table of figures"/>
    <w:basedOn w:val="703"/>
    <w:next w:val="703"/>
    <w:uiPriority w:val="99"/>
    <w:unhideWhenUsed/>
  </w:style>
  <w:style w:type="paragraph" w:styleId="881">
    <w:name w:val="annotation text"/>
    <w:basedOn w:val="703"/>
    <w:qFormat/>
    <w:pPr>
      <w:jc w:val="left"/>
    </w:pPr>
  </w:style>
  <w:style w:type="paragraph" w:styleId="882">
    <w:name w:val="Body Text"/>
    <w:basedOn w:val="703"/>
    <w:unhideWhenUsed/>
    <w:qFormat/>
    <w:pPr>
      <w:spacing w:after="120"/>
    </w:pPr>
    <w:rPr>
      <w:rFonts w:ascii="Calibri" w:hAnsi="Calibri"/>
      <w:szCs w:val="22"/>
    </w:rPr>
  </w:style>
  <w:style w:type="paragraph" w:styleId="883">
    <w:name w:val="Plain Text"/>
    <w:basedOn w:val="703"/>
    <w:unhideWhenUsed/>
    <w:qFormat/>
    <w:rPr>
      <w:rFonts w:ascii="宋体" w:hAnsi="Courier New" w:cs="Courier New"/>
      <w:szCs w:val="21"/>
    </w:rPr>
  </w:style>
  <w:style w:type="paragraph" w:styleId="884">
    <w:name w:val="Footer"/>
    <w:basedOn w:val="703"/>
    <w:link w:val="890"/>
    <w:qFormat/>
    <w:pPr>
      <w:jc w:val="left"/>
      <w:tabs>
        <w:tab w:val="center" w:pos="4153" w:leader="none"/>
        <w:tab w:val="right" w:pos="8306" w:leader="none"/>
      </w:tabs>
    </w:pPr>
    <w:rPr>
      <w:sz w:val="18"/>
      <w:szCs w:val="18"/>
    </w:rPr>
  </w:style>
  <w:style w:type="paragraph" w:styleId="885">
    <w:name w:val="Header"/>
    <w:basedOn w:val="703"/>
    <w:link w:val="889"/>
    <w:qFormat/>
    <w:pPr>
      <w:jc w:val="center"/>
      <w:tabs>
        <w:tab w:val="center" w:pos="4153" w:leader="none"/>
        <w:tab w:val="right" w:pos="8306" w:leader="none"/>
      </w:tabs>
      <w:pBdr>
        <w:bottom w:val="single" w:color="auto" w:sz="6" w:space="1"/>
      </w:pBdr>
    </w:pPr>
    <w:rPr>
      <w:sz w:val="18"/>
      <w:szCs w:val="18"/>
    </w:rPr>
  </w:style>
  <w:style w:type="paragraph" w:styleId="886">
    <w:name w:val="Normal (Web)"/>
    <w:basedOn w:val="703"/>
    <w:qFormat/>
    <w:pPr>
      <w:jc w:val="left"/>
      <w:spacing w:beforeAutospacing="1" w:afterAutospacing="1"/>
    </w:pPr>
    <w:rPr>
      <w:rFonts w:cs="Times New Roman"/>
      <w:sz w:val="24"/>
    </w:rPr>
  </w:style>
  <w:style w:type="character" w:styleId="887">
    <w:name w:val="Emphasis"/>
    <w:qFormat/>
    <w:rPr>
      <w:i/>
    </w:rPr>
  </w:style>
  <w:style w:type="paragraph" w:styleId="888" w:customStyle="1">
    <w:name w:val="Default"/>
    <w:basedOn w:val="703"/>
    <w:semiHidden/>
    <w:qFormat/>
    <w:pPr>
      <w:jc w:val="left"/>
    </w:pPr>
    <w:rPr>
      <w:rFonts w:ascii="宋体" w:hAnsi="Calibri" w:cs="宋体"/>
      <w:color w:val="000000"/>
      <w:sz w:val="24"/>
    </w:rPr>
  </w:style>
  <w:style w:type="character" w:styleId="889" w:customStyle="1">
    <w:name w:val="页眉 Char"/>
    <w:basedOn w:val="713"/>
    <w:link w:val="885"/>
    <w:qFormat/>
    <w:rPr>
      <w:rFonts w:asciiTheme="minorHAnsi" w:hAnsiTheme="minorHAnsi" w:eastAsiaTheme="minorEastAsia" w:cstheme="minorBidi"/>
      <w:sz w:val="18"/>
      <w:szCs w:val="18"/>
    </w:rPr>
  </w:style>
  <w:style w:type="character" w:styleId="890" w:customStyle="1">
    <w:name w:val="页脚 Char"/>
    <w:basedOn w:val="713"/>
    <w:link w:val="884"/>
    <w:qFormat/>
    <w:rPr>
      <w:rFonts w:asciiTheme="minorHAnsi" w:hAnsiTheme="minorHAnsi" w:eastAsiaTheme="minorEastAsia" w:cstheme="minorBidi"/>
      <w:sz w:val="18"/>
      <w:szCs w:val="18"/>
    </w:rPr>
  </w:style>
  <w:style w:type="paragraph" w:styleId="891" w:customStyle="1">
    <w:name w:val="AONormal"/>
    <w:qFormat/>
    <w:pPr>
      <w:ind w:firstLine="440"/>
      <w:spacing w:line="400" w:lineRule="exact"/>
    </w:pPr>
    <w:rPr>
      <w:rFonts w:ascii="华文楷体" w:hAnsi="华文楷体" w:eastAsia="华文楷体" w:cs="华文楷体"/>
      <w:sz w:val="22"/>
      <w:szCs w:val="21"/>
    </w:rPr>
  </w:style>
  <w:style w:type="paragraph" w:styleId="892" w:customStyle="1">
    <w:name w:val="页脚1"/>
    <w:basedOn w:val="703"/>
    <w:uiPriority w:val="99"/>
    <w:unhideWhenUsed/>
    <w:qFormat/>
    <w:pPr>
      <w:jc w:val="left"/>
      <w:tabs>
        <w:tab w:val="center" w:pos="4153" w:leader="none"/>
        <w:tab w:val="right" w:pos="8306" w:leader="none"/>
      </w:tabs>
    </w:pPr>
    <w:rPr>
      <w:sz w:val="18"/>
      <w:szCs w:val="18"/>
    </w:rPr>
  </w:style>
  <w:style w:type="paragraph" w:styleId="893" w:customStyle="1">
    <w:name w:val="普通正文"/>
    <w:basedOn w:val="703"/>
    <w:qFormat/>
    <w:pPr>
      <w:ind w:firstLine="480"/>
      <w:jc w:val="left"/>
      <w:spacing w:before="120" w:after="120" w:line="360" w:lineRule="auto"/>
    </w:pPr>
    <w:rPr>
      <w:rFonts w:ascii="Arial" w:hAnsi="Arial" w:eastAsia="等线" w:cs="Arial"/>
      <w:sz w:val="24"/>
    </w:rPr>
  </w:style>
  <w:style w:type="paragraph" w:styleId="894" w:customStyle="1">
    <w:name w:val="正文首行缩进 21"/>
    <w:basedOn w:val="895"/>
    <w:qFormat/>
    <w:pPr>
      <w:ind w:firstLine="420"/>
    </w:pPr>
  </w:style>
  <w:style w:type="paragraph" w:styleId="895" w:customStyle="1">
    <w:name w:val="正文文本缩进1"/>
    <w:basedOn w:val="703"/>
    <w:qFormat/>
    <w:pPr>
      <w:ind w:left="420"/>
      <w:spacing w:after="120"/>
    </w:pPr>
  </w:style>
  <w:style w:type="paragraph" w:styleId="896" w:customStyle="1">
    <w:name w:val="Compact"/>
    <w:basedOn w:val="882"/>
    <w:qFormat/>
    <w:pPr>
      <w:jc w:val="left"/>
      <w:spacing w:after="0" w:line="360" w:lineRule="auto"/>
    </w:pPr>
    <w:rPr>
      <w:rFonts w:ascii="Times New Roman" w:hAnsi="Times New Roman" w:eastAsia="宋体" w:cs="Cambria Math"/>
      <w:sz w:val="24"/>
      <w:szCs w:val="24"/>
    </w:rPr>
  </w:style>
  <w:style w:type="table" w:styleId="897" w:customStyle="1">
    <w:name w:val="Table"/>
    <w:qFormat/>
    <w:rPr>
      <w:rFonts w:ascii="Aptos" w:hAnsi="Aptos" w:eastAsia="等线"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60" w:type="dxa"/>
        <w:top w:w="160" w:type="dxa"/>
        <w:right w:w="160" w:type="dxa"/>
        <w:bottom w:w="160" w:type="dxa"/>
      </w:tblCellMar>
    </w:tblPr>
    <w:tblStylePr w:type="firstRow">
      <w:tcPr>
        <w:vAlign w:val="bottom"/>
      </w:tcPr>
    </w:tblStylePr>
  </w:style>
  <w:style w:type="paragraph" w:styleId="898">
    <w:name w:val="List Paragraph"/>
    <w:basedOn w:val="703"/>
    <w:uiPriority w:val="99"/>
    <w:pPr>
      <w:ind w:firstLine="420"/>
    </w:pPr>
  </w:style>
  <w:style w:type="paragraph" w:styleId="899" w:customStyle="1">
    <w:name w:val="普通(网站)1"/>
    <w:basedOn w:val="703"/>
    <w:uiPriority w:val="99"/>
    <w:unhideWhenUsed/>
    <w:qFormat/>
    <w:pPr>
      <w:jc w:val="left"/>
      <w:spacing w:before="100" w:beforeAutospacing="1" w:after="100" w:afterAutospacing="1"/>
      <w:widowControl/>
    </w:pPr>
    <w:rPr>
      <w:rFonts w:ascii="宋体" w:hAnsi="宋体" w:eastAsia="宋体" w:cs="宋体"/>
      <w:sz w:val="24"/>
      <w:szCs w:val="22"/>
    </w:rPr>
  </w:style>
  <w:style w:type="table" w:styleId="900">
    <w:name w:val="Table Grid"/>
    <w:basedOn w:val="714"/>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customStyle="1">
    <w:name w:val="标题 3 Char"/>
    <w:basedOn w:val="713"/>
    <w:link w:val="706"/>
    <w:semiHidden/>
    <w:rPr>
      <w:rFonts w:asciiTheme="minorHAnsi" w:hAnsiTheme="minorHAnsi" w:eastAsiaTheme="minorEastAsia" w:cstheme="minorBidi"/>
      <w:b/>
      <w:bCs/>
      <w:sz w:val="32"/>
      <w:szCs w:val="32"/>
    </w:rPr>
  </w:style>
  <w:style w:type="paragraph" w:styleId="902" w:customStyle="1">
    <w:name w:val="正文空2格  1."/>
    <w:basedOn w:val="703"/>
    <w:qFormat/>
    <w:pPr>
      <w:ind w:firstLine="480"/>
    </w:pPr>
    <w:rPr>
      <w:rFonts w:ascii="Calibri" w:hAnsi="Calibri" w:eastAsia="宋体" w:cs="宋体"/>
      <w:szCs w:val="20"/>
    </w:rPr>
  </w:style>
  <w:style w:type="character" w:styleId="903" w:customStyle="1">
    <w:name w:val="标题 6 Char"/>
    <w:basedOn w:val="713"/>
    <w:link w:val="709"/>
    <w:uiPriority w:val="9"/>
    <w:semiHidden/>
    <w:rPr>
      <w:rFonts w:asciiTheme="majorHAnsi" w:hAnsiTheme="majorHAnsi" w:eastAsiaTheme="majorEastAsia" w:cstheme="majorBidi"/>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69EA7-1A40-4D01-AE9A-75C68617B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55</cp:revision>
  <dcterms:created xsi:type="dcterms:W3CDTF">2026-06-10T03:27:00Z</dcterms:created>
  <dcterms:modified xsi:type="dcterms:W3CDTF">2026-06-25T01:59:01Z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