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b/>
          <w:color w:val="auto"/>
          <w:sz w:val="32"/>
          <w:szCs w:val="32"/>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pStyle w:val="891"/>
        <w:ind w:firstLine="0"/>
        <w:jc w:val="center"/>
        <w:spacing w:line="240" w:lineRule="auto"/>
        <w:rPr>
          <w:rFonts w:ascii="方正小标宋简体" w:eastAsia="方正小标宋简体"/>
          <w:bCs/>
          <w:color w:val="auto"/>
          <w:sz w:val="52"/>
          <w:szCs w:val="52"/>
          <w:highlight w:val="none"/>
        </w:rPr>
        <w:outlineLvl w:val="9"/>
      </w:pPr>
      <w:r>
        <w:rPr>
          <w:rFonts w:hint="eastAsia" w:ascii="方正小标宋简体" w:eastAsia="方正小标宋简体"/>
          <w:bCs/>
          <w:color w:val="auto"/>
          <w:sz w:val="52"/>
          <w:szCs w:val="52"/>
          <w:highlight w:val="none"/>
        </w:rPr>
        <w:t xml:space="preserve">如皋市政府采购竞争性磋商文件</w:t>
      </w:r>
      <w:r/>
    </w:p>
    <w:p>
      <w:pPr>
        <w:pStyle w:val="891"/>
        <w:ind w:left="0" w:firstLine="0"/>
        <w:jc w:val="right"/>
        <w:spacing w:line="240" w:lineRule="auto"/>
        <w:rPr>
          <w:b/>
          <w:bCs/>
          <w:color w:val="auto"/>
          <w:sz w:val="32"/>
          <w:highlight w:val="none"/>
        </w:rPr>
      </w:pPr>
      <w:r>
        <w:rPr>
          <w:b/>
          <w:bCs/>
          <w:color w:val="auto"/>
          <w:sz w:val="32"/>
          <w:highlight w:val="none"/>
        </w:rPr>
      </w:r>
      <w:r/>
    </w:p>
    <w:p>
      <w:pPr>
        <w:pStyle w:val="891"/>
        <w:ind w:left="0" w:firstLine="0"/>
        <w:spacing w:line="240" w:lineRule="auto"/>
        <w:rPr>
          <w:b/>
          <w:bCs/>
          <w:color w:val="auto"/>
          <w:sz w:val="32"/>
          <w:highlight w:val="none"/>
        </w:rPr>
      </w:pPr>
      <w:r>
        <w:rPr>
          <w:b/>
          <w:bCs/>
          <w:color w:val="auto"/>
          <w:sz w:val="32"/>
          <w:highlight w:val="none"/>
        </w:rPr>
      </w:r>
      <w:r/>
    </w:p>
    <w:p>
      <w:pPr>
        <w:pStyle w:val="891"/>
        <w:ind w:left="0" w:firstLine="0"/>
        <w:jc w:val="center"/>
        <w:spacing w:line="240" w:lineRule="auto"/>
        <w:rPr>
          <w:rFonts w:hint="eastAsia"/>
          <w:b/>
          <w:bCs/>
          <w:color w:val="auto"/>
          <w:sz w:val="32"/>
          <w:highlight w:val="none"/>
          <w:lang w:val="en-US" w:eastAsia="zh-CN"/>
        </w:rPr>
      </w:pPr>
      <w:r>
        <w:rPr>
          <w:b/>
          <w:bCs/>
          <w:color w:val="auto"/>
          <w:sz w:val="32"/>
          <w:highlight w:val="none"/>
        </w:rPr>
        <w:t xml:space="preserve">项目名称：</w:t>
      </w:r>
      <w:r>
        <w:rPr>
          <w:rFonts w:hint="eastAsia"/>
          <w:b/>
          <w:bCs/>
          <w:color w:val="auto"/>
          <w:sz w:val="32"/>
          <w:highlight w:val="none"/>
          <w:lang w:val="en-US" w:eastAsia="zh-CN"/>
        </w:rPr>
        <w:t xml:space="preserve">高层住宅小区消防快速处置队装备采购</w:t>
      </w:r>
      <w:r/>
    </w:p>
    <w:p>
      <w:pPr>
        <w:pStyle w:val="891"/>
        <w:ind w:left="0" w:firstLine="0"/>
        <w:jc w:val="center"/>
        <w:spacing w:line="240" w:lineRule="auto"/>
        <w:rPr>
          <w:rFonts w:hint="default"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lang w:val="en-US" w:eastAsia="zh-CN"/>
        </w:rPr>
        <w:t xml:space="preserve">JSZC-320682-NTZJ-C2026-0012</w:t>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851"/>
        <w:spacing w:line="240" w:lineRule="auto"/>
        <w:rPr>
          <w:rFonts w:hint="default" w:eastAsia="宋体"/>
          <w:b/>
          <w:bCs/>
          <w:color w:val="auto"/>
          <w:sz w:val="32"/>
          <w:highlight w:val="none"/>
          <w:u w:val="single"/>
          <w:lang w:val="en-US" w:eastAsia="zh-CN"/>
        </w:rPr>
      </w:pPr>
      <w:r>
        <w:rPr>
          <w:rFonts w:hint="eastAsia"/>
          <w:b/>
          <w:bCs/>
          <w:color w:val="auto"/>
          <w:sz w:val="32"/>
          <w:highlight w:val="none"/>
        </w:rPr>
        <w:t xml:space="preserve">采购人名称：</w:t>
      </w:r>
      <w:r>
        <w:rPr>
          <w:rFonts w:hint="eastAsia"/>
          <w:b/>
          <w:bCs/>
          <w:color w:val="auto"/>
          <w:sz w:val="32"/>
          <w:highlight w:val="none"/>
          <w:lang w:val="en-US" w:eastAsia="zh-CN"/>
        </w:rPr>
        <w:t xml:space="preserve">如皋市应急管理局</w:t>
      </w:r>
      <w:r/>
    </w:p>
    <w:p>
      <w:pPr>
        <w:pStyle w:val="891"/>
        <w:ind w:firstLine="851"/>
        <w:spacing w:line="240" w:lineRule="auto"/>
        <w:rPr>
          <w:rFonts w:hint="eastAsia" w:eastAsia="宋体"/>
          <w:b/>
          <w:bCs/>
          <w:color w:val="auto"/>
          <w:sz w:val="32"/>
          <w:highlight w:val="none"/>
          <w:u w:val="single"/>
          <w:lang w:val="en-US" w:eastAsia="zh-CN"/>
        </w:rPr>
      </w:pPr>
      <w:r>
        <w:rPr>
          <w:rFonts w:hint="eastAsia"/>
          <w:b/>
          <w:bCs/>
          <w:color w:val="auto"/>
          <w:sz w:val="32"/>
          <w:highlight w:val="none"/>
        </w:rPr>
        <w:t xml:space="preserve">采购代理机构名称：</w:t>
      </w:r>
      <w:r>
        <w:rPr>
          <w:rFonts w:hint="eastAsia"/>
          <w:b/>
          <w:bCs/>
          <w:color w:val="auto"/>
          <w:sz w:val="32"/>
          <w:highlight w:val="none"/>
          <w:lang w:val="en-US" w:eastAsia="zh-CN"/>
        </w:rPr>
        <w:t xml:space="preserve">南通中江工程项目管理有限公司</w:t>
      </w:r>
      <w:r/>
    </w:p>
    <w:p>
      <w:pPr>
        <w:pStyle w:val="891"/>
        <w:ind w:firstLine="0"/>
        <w:jc w:val="center"/>
        <w:spacing w:line="240" w:lineRule="auto"/>
        <w:rPr>
          <w:rFonts w:hint="eastAsia" w:ascii="方正小标宋简体" w:eastAsia="方正小标宋简体" w:cs="Times New Roman"/>
          <w:bCs/>
          <w:color w:val="auto"/>
          <w:sz w:val="32"/>
          <w:szCs w:val="32"/>
          <w:highlight w:val="none"/>
          <w:lang w:val="en-US" w:eastAsia="zh-CN"/>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06</w:t>
      </w:r>
      <w:r>
        <w:rPr>
          <w:rFonts w:hint="eastAsia"/>
          <w:b/>
          <w:bCs/>
          <w:color w:val="auto"/>
          <w:sz w:val="32"/>
          <w:highlight w:val="none"/>
        </w:rPr>
        <w:t xml:space="preserve">月</w:t>
      </w:r>
      <w:r>
        <w:rPr>
          <w:rFonts w:hint="eastAsia"/>
          <w:b/>
          <w:bCs/>
          <w:color w:val="auto"/>
          <w:sz w:val="32"/>
          <w:highlight w:val="none"/>
          <w:lang w:val="en-US" w:eastAsia="zh-CN"/>
        </w:rPr>
        <w:t xml:space="preserve">16</w:t>
      </w:r>
      <w:r>
        <w:rPr>
          <w:rFonts w:hint="eastAsia"/>
          <w:b/>
          <w:bCs/>
          <w:color w:val="auto"/>
          <w:sz w:val="32"/>
          <w:highlight w:val="none"/>
        </w:rPr>
        <w:t xml:space="preserve">日</w:t>
      </w:r>
      <w:r>
        <w:rPr>
          <w:b/>
          <w:bCs/>
          <w:color w:val="auto"/>
          <w:sz w:val="32"/>
          <w:highlight w:val="none"/>
        </w:rPr>
        <w:br w:type="page" w:clear="all"/>
      </w:r>
      <w:r>
        <w:rPr>
          <w:rFonts w:hint="eastAsia" w:ascii="方正小标宋简体" w:eastAsia="方正小标宋简体" w:cs="Times New Roman"/>
          <w:bCs/>
          <w:color w:val="auto"/>
          <w:sz w:val="32"/>
          <w:szCs w:val="32"/>
          <w:highlight w:val="none"/>
          <w:lang w:val="en-US" w:eastAsia="zh-CN"/>
        </w:rPr>
        <w:t xml:space="preserve">目   录</w:t>
      </w:r>
      <w:r/>
    </w:p>
    <w:p>
      <w:pPr>
        <w:pStyle w:val="877"/>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TOC \o "1-2" \h \u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_Toc30642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第1章 竞争性磋商公告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_Toc30642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_Toc15059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_Toc15059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_Toc27078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二、响应人的资格要求：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_Toc27078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_Toc6743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三、获取竞争性磋商文件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_Toc6743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_Toc7443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四、竞争性磋商响应文件提交和开启</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_Toc7443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_Toc12677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_Toc12677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_Toc20589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_Toc20589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_Toc2162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_Toc2162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7"/>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_Toc26074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第2章 磋商须知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_Toc26074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_Toc12842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 参加磋商费用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_Toc12842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_Toc214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2. 磋商文件的约束力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_Toc5741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3.响应文件编制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_Toc5741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_Toc15239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4.响应文件提交、撤回和修改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_Toc15239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_Toc6795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5. 磋商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_Toc6795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_Toc21175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6.成交和合同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_Toc21175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_Toc10744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_Toc10744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_Toc26263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8.无效响应和磋商活动终止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_Toc26263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_Toc25731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_Toc25731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_Toc7826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_Toc7826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_Toc10080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11. 采购代理服务费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_Toc10080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7"/>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_Toc12470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_Toc12470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_Toc3937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_Toc3937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_Toc4487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bidi="ar-SA"/>
        </w:rPr>
        <w:t xml:space="preserve">二、</w:t>
      </w:r>
      <w:r>
        <w:rPr>
          <w:rFonts w:hint="eastAsia" w:ascii="黑体" w:hAnsi="黑体" w:eastAsia="黑体" w:cs="黑体"/>
          <w:color w:val="auto"/>
          <w:sz w:val="24"/>
          <w:szCs w:val="24"/>
          <w:highlight w:val="none"/>
        </w:rPr>
        <w:t xml:space="preserve">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_Toc4487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_Toc17937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bidi="ar-SA"/>
        </w:rPr>
        <w:t xml:space="preserve">三、</w:t>
      </w:r>
      <w:r>
        <w:rPr>
          <w:rFonts w:hint="eastAsia" w:ascii="黑体" w:hAnsi="黑体" w:eastAsia="黑体" w:cs="黑体"/>
          <w:color w:val="auto"/>
          <w:sz w:val="24"/>
          <w:szCs w:val="24"/>
          <w:highlight w:val="none"/>
          <w:lang w:val="en-US" w:eastAsia="zh-CN"/>
        </w:rPr>
        <w:t xml:space="preserve">基本</w:t>
      </w:r>
      <w:r>
        <w:rPr>
          <w:rFonts w:hint="eastAsia" w:ascii="黑体" w:hAnsi="黑体" w:eastAsia="黑体" w:cs="黑体"/>
          <w:color w:val="auto"/>
          <w:sz w:val="24"/>
          <w:szCs w:val="24"/>
          <w:highlight w:val="none"/>
        </w:rPr>
        <w:t xml:space="preserve">技术要求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_Toc17937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_Toc30513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四、质量标准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_Toc30513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_Toc14478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五、交货期限和地点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_Toc14478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_Toc29550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六、验收方案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_Toc29550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_Toc3673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七、质量保证期限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_Toc3673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_Toc16810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八、售后服务</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_Toc16810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_Toc10096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九、付款方式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_Toc10096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_Toc4898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十、磋商过程中可能会实质性变动的内容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_Toc4898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_Toc25710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十一、其他要求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_Toc25710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7"/>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_Toc12559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_Toc12559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7"/>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_Toc20621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第5章 评审标准和方法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_Toc20621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7"/>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_Toc19743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第6章 竞争性磋商响应文件组成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_Toc19743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_Toc17587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_Toc17587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_Toc23245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二、商务技术文件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_Toc23245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79"/>
        <w:keepLines w:val="0"/>
        <w:keepNext w:val="0"/>
        <w:pageBreakBefore w:val="0"/>
        <w:spacing w:line="500" w:lineRule="exact"/>
        <w:widowControl w:val="off"/>
        <w:tabs>
          <w:tab w:val="right" w:pos="9354" w:leader="dot"/>
        </w:tabs>
        <w:rPr>
          <w:color w:val="auto"/>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_Toc5108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三、报价文件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_Toc5108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891"/>
        <w:ind w:firstLine="0"/>
        <w:jc w:val="center"/>
        <w:keepLines w:val="0"/>
        <w:keepNext w:val="0"/>
        <w:pageBreakBefore w:val="0"/>
        <w:spacing w:line="500" w:lineRule="exact"/>
        <w:widowControl w:val="off"/>
        <w:rPr>
          <w:rFonts w:hint="eastAsia" w:ascii="黑体" w:hAnsi="黑体" w:eastAsia="黑体" w:cs="黑体"/>
          <w:bCs/>
          <w:color w:val="auto"/>
          <w:sz w:val="24"/>
          <w:szCs w:val="24"/>
          <w:highlight w:val="none"/>
          <w:lang w:val="en-US" w:eastAsia="zh-CN"/>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pPr>
      <w:r>
        <w:rPr>
          <w:rFonts w:hint="eastAsia" w:ascii="黑体" w:hAnsi="黑体" w:eastAsia="黑体" w:cs="黑体"/>
          <w:bCs/>
          <w:color w:val="auto"/>
          <w:szCs w:val="24"/>
          <w:highlight w:val="none"/>
          <w:lang w:val="en-US" w:eastAsia="zh-CN"/>
        </w:rPr>
        <w:fldChar w:fldCharType="end"/>
      </w:r>
      <w:r/>
    </w:p>
    <w:p>
      <w:pPr>
        <w:pStyle w:val="891"/>
        <w:ind w:firstLine="0"/>
        <w:jc w:val="center"/>
        <w:spacing w:line="240" w:lineRule="auto"/>
        <w:rPr>
          <w:rFonts w:ascii="方正小标宋简体" w:eastAsia="方正小标宋简体"/>
          <w:bCs/>
          <w:color w:val="auto"/>
          <w:sz w:val="32"/>
          <w:szCs w:val="32"/>
          <w:highlight w:val="none"/>
        </w:rPr>
        <w:outlineLvl w:val="0"/>
      </w:pPr>
      <w:r/>
      <w:bookmarkStart w:id="0" w:name="_Toc30642"/>
      <w:r>
        <w:rPr>
          <w:rFonts w:hint="eastAsia" w:ascii="方正小标宋简体" w:eastAsia="方正小标宋简体"/>
          <w:bCs/>
          <w:color w:val="auto"/>
          <w:sz w:val="32"/>
          <w:szCs w:val="32"/>
          <w:highlight w:val="none"/>
        </w:rPr>
        <w:t xml:space="preserve">第1章 竞争性磋商公告</w:t>
      </w:r>
      <w:bookmarkEnd w:id="0"/>
      <w:r/>
      <w:r/>
    </w:p>
    <w:p>
      <w:pPr>
        <w:pStyle w:val="873"/>
        <w:ind w:firstLine="560"/>
        <w:spacing w:after="0" w:line="500" w:lineRule="exact"/>
        <w:rPr>
          <w:rFonts w:ascii="黑体" w:hAnsi="黑体" w:eastAsia="黑体"/>
          <w:color w:val="auto"/>
          <w:sz w:val="28"/>
          <w:szCs w:val="28"/>
          <w:highlight w:val="none"/>
        </w:rPr>
        <w:outlineLvl w:val="1"/>
      </w:pPr>
      <w:r/>
      <w:bookmarkStart w:id="1" w:name="_Toc28359089"/>
      <w:r/>
      <w:bookmarkStart w:id="2" w:name="_Toc15059"/>
      <w:r/>
      <w:bookmarkStart w:id="3" w:name="_Toc28359012"/>
      <w:r/>
      <w:bookmarkStart w:id="4" w:name="_Toc35393629"/>
      <w:r/>
      <w:bookmarkStart w:id="5" w:name="_Toc35393798"/>
      <w:r/>
      <w:bookmarkStart w:id="6" w:name="OLE_LINK2"/>
      <w:r>
        <w:rPr>
          <w:rFonts w:hint="eastAsia" w:ascii="黑体" w:hAnsi="黑体" w:eastAsia="黑体"/>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val="en-US" w:eastAsia="zh-CN"/>
        </w:rPr>
        <w:t xml:space="preserve">高层住宅小区消防快速处置队装备采购</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2.项目编号：</w:t>
      </w:r>
      <w:r>
        <w:rPr>
          <w:rFonts w:hint="eastAsia" w:ascii="仿宋" w:hAnsi="仿宋" w:eastAsia="仿宋"/>
          <w:color w:val="auto"/>
          <w:sz w:val="28"/>
          <w:szCs w:val="28"/>
          <w:highlight w:val="none"/>
          <w:lang w:val="en-US" w:eastAsia="zh-CN"/>
        </w:rPr>
        <w:t xml:space="preserve">JSZC-320682-NTZJ-C2026-0012</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人民币118.489万元</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人民币118.489万元，本项目共分三个采购包，其中采购包一最高限价52.72万元，采购包二最高限价22.056万元，采购包三最高限价43.713万元。报价超过最高限价视为无效响应。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olor w:val="auto"/>
          <w:sz w:val="28"/>
          <w:szCs w:val="28"/>
          <w:highlight w:val="none"/>
          <w:lang w:val="en-US" w:eastAsia="zh-CN"/>
        </w:rPr>
        <w:t xml:space="preserve">本项目为如皋市高层住宅小区消防快速处置队装备采购项目，</w:t>
      </w:r>
      <w:r>
        <w:rPr>
          <w:rFonts w:hint="eastAsia" w:ascii="仿宋" w:hAnsi="仿宋" w:eastAsia="仿宋"/>
          <w:color w:val="auto"/>
          <w:sz w:val="28"/>
          <w:szCs w:val="28"/>
          <w:highlight w:val="none"/>
        </w:rPr>
        <w:t xml:space="preserve">详见第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章。</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6.合同履行期限：</w:t>
      </w:r>
      <w:r>
        <w:rPr>
          <w:rFonts w:hint="eastAsia" w:ascii="仿宋" w:hAnsi="仿宋" w:eastAsia="仿宋"/>
          <w:color w:val="auto"/>
          <w:sz w:val="28"/>
          <w:szCs w:val="28"/>
          <w:highlight w:val="none"/>
          <w:lang w:val="en-US" w:eastAsia="zh-CN"/>
        </w:rPr>
        <w:t xml:space="preserve">自签订合同之日起45个日历天内完成供货，具体时间以采购人通知为准。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7.本项目是否接受进口产品：否。</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本项目是否接受联合体：否。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.本项目是否专门面向中小企业采购：</w:t>
      </w:r>
      <w:r>
        <w:rPr>
          <w:rFonts w:hint="eastAsia" w:ascii="仿宋" w:hAnsi="仿宋" w:eastAsia="仿宋"/>
          <w:b/>
          <w:bCs/>
          <w:color w:val="auto"/>
          <w:sz w:val="28"/>
          <w:szCs w:val="28"/>
          <w:highlight w:val="none"/>
        </w:rPr>
        <w:t xml:space="preserve">是</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bookmarkStart w:id="7" w:name="_Toc28359013"/>
      <w:r/>
      <w:bookmarkStart w:id="8" w:name="_Toc28359090"/>
      <w:r/>
      <w:bookmarkStart w:id="9" w:name="_Toc35393799"/>
      <w:r/>
      <w:bookmarkStart w:id="10" w:name="_Toc35393630"/>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项目类型：货物。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.项目所属行业：</w:t>
      </w:r>
      <w:r>
        <w:rPr>
          <w:rFonts w:ascii="仿宋" w:hAnsi="仿宋" w:eastAsia="仿宋"/>
          <w:color w:val="auto"/>
          <w:sz w:val="28"/>
          <w:szCs w:val="28"/>
          <w:highlight w:val="none"/>
        </w:rPr>
        <w:t xml:space="preserve">工业。</w:t>
      </w:r>
      <w:r/>
    </w:p>
    <w:p>
      <w:pPr>
        <w:pStyle w:val="873"/>
        <w:ind w:firstLine="560"/>
        <w:spacing w:after="0" w:line="500" w:lineRule="exact"/>
        <w:rPr>
          <w:rFonts w:ascii="黑体" w:hAnsi="黑体" w:eastAsia="黑体"/>
          <w:color w:val="auto"/>
          <w:sz w:val="28"/>
          <w:szCs w:val="28"/>
          <w:highlight w:val="none"/>
        </w:rPr>
        <w:outlineLvl w:val="1"/>
      </w:pPr>
      <w:r/>
      <w:bookmarkStart w:id="11" w:name="_Toc27078"/>
      <w:r>
        <w:rPr>
          <w:rFonts w:hint="eastAsia" w:ascii="黑体" w:hAnsi="黑体" w:eastAsia="黑体"/>
          <w:color w:val="auto"/>
          <w:sz w:val="28"/>
          <w:szCs w:val="28"/>
          <w:highlight w:val="none"/>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1.《中华人民共和国政府采购法》第二十二条规定的条件：</w:t>
      </w:r>
      <w:r/>
    </w:p>
    <w:p>
      <w:pPr>
        <w:pStyle w:val="88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12" w:name="_Toc28359014"/>
      <w:r/>
      <w:bookmarkStart w:id="13" w:name="_Toc28359091"/>
      <w:r>
        <w:rPr>
          <w:rFonts w:hint="eastAsia" w:ascii="仿宋" w:hAnsi="仿宋" w:eastAsia="仿宋" w:cs="Times New Roman"/>
          <w:color w:val="auto"/>
          <w:sz w:val="28"/>
          <w:szCs w:val="28"/>
          <w:highlight w:val="none"/>
        </w:rPr>
        <w:t xml:space="preserve">（1）具有独立承担民事责任的能力;</w:t>
      </w:r>
      <w:r/>
    </w:p>
    <w:p>
      <w:pPr>
        <w:pStyle w:val="88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88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88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88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88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outlineLvl w:val="9"/>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881"/>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881"/>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sz w:val="28"/>
          <w:szCs w:val="28"/>
          <w:highlight w:val="none"/>
        </w:rPr>
        <w:t xml:space="preserve">。</w:t>
      </w:r>
      <w:r/>
    </w:p>
    <w:p>
      <w:pPr>
        <w:pStyle w:val="881"/>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881"/>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560"/>
        <w:spacing w:line="500" w:lineRule="exact"/>
        <w:rPr>
          <w:rFonts w:hint="eastAsia" w:ascii="仿宋" w:hAnsi="仿宋" w:eastAsia="仿宋"/>
          <w:iCs/>
          <w:color w:val="auto"/>
          <w:sz w:val="28"/>
          <w:szCs w:val="28"/>
          <w:highlight w:val="none"/>
        </w:rPr>
      </w:pPr>
      <w:r>
        <w:rPr>
          <w:rFonts w:hint="eastAsia" w:ascii="仿宋" w:hAnsi="仿宋" w:eastAsia="仿宋"/>
          <w:color w:val="auto"/>
          <w:sz w:val="28"/>
          <w:szCs w:val="28"/>
          <w:highlight w:val="none"/>
        </w:rPr>
        <w:t xml:space="preserve">4. 本项目的特定资格要求：</w:t>
      </w:r>
      <w:r>
        <w:rPr>
          <w:rFonts w:hint="eastAsia" w:ascii="仿宋" w:hAnsi="仿宋" w:eastAsia="仿宋"/>
          <w:b/>
          <w:bCs/>
          <w:color w:val="auto"/>
          <w:sz w:val="28"/>
          <w:szCs w:val="28"/>
          <w:highlight w:val="none"/>
        </w:rPr>
        <w:t xml:space="preserve">无。</w:t>
      </w:r>
      <w:r/>
    </w:p>
    <w:p>
      <w:pPr>
        <w:pStyle w:val="881"/>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color w:val="auto"/>
          <w:sz w:val="28"/>
          <w:szCs w:val="28"/>
          <w:highlight w:val="none"/>
        </w:rPr>
        <w:t xml:space="preserve">授权委托书。</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73"/>
        <w:ind w:firstLine="560"/>
        <w:spacing w:after="0" w:line="500" w:lineRule="exact"/>
        <w:rPr>
          <w:rFonts w:ascii="黑体" w:hAnsi="黑体" w:eastAsia="黑体"/>
          <w:color w:val="auto"/>
          <w:sz w:val="28"/>
          <w:szCs w:val="28"/>
          <w:highlight w:val="none"/>
        </w:rPr>
        <w:outlineLvl w:val="1"/>
      </w:pPr>
      <w:r/>
      <w:bookmarkStart w:id="14" w:name="_Toc35393631"/>
      <w:r/>
      <w:bookmarkStart w:id="15" w:name="_Toc6743"/>
      <w:r/>
      <w:bookmarkStart w:id="16" w:name="_Toc35393800"/>
      <w:r>
        <w:rPr>
          <w:rFonts w:hint="eastAsia" w:ascii="黑体" w:hAnsi="黑体" w:eastAsia="黑体"/>
          <w:color w:val="auto"/>
          <w:sz w:val="28"/>
          <w:szCs w:val="28"/>
          <w:highlight w:val="none"/>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w:t>
      </w:r>
      <w:r>
        <w:rPr>
          <w:rFonts w:hint="eastAsia" w:ascii="仿宋" w:hAnsi="仿宋" w:eastAsia="仿宋" w:cs="仿宋"/>
          <w:color w:val="auto"/>
          <w:sz w:val="28"/>
          <w:szCs w:val="28"/>
          <w:highlight w:val="none"/>
        </w:rPr>
        <w:t xml:space="preserve">自公告发布之日起5个工作日内。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s="仿宋"/>
          <w:color w:val="auto"/>
          <w:sz w:val="28"/>
          <w:szCs w:val="28"/>
          <w:highlight w:val="none"/>
        </w:rPr>
        <w:t xml:space="preserve">本项目采用“苏采云”系统网上注册登记方式，具体详见《江苏省政府采购管理交易系统（苏采云）投标人操作手册》。</w:t>
      </w:r>
      <w:r/>
    </w:p>
    <w:p>
      <w:pPr>
        <w:pStyle w:val="873"/>
        <w:ind w:firstLine="560"/>
        <w:spacing w:after="0" w:line="500" w:lineRule="exact"/>
        <w:rPr>
          <w:rFonts w:ascii="黑体" w:hAnsi="黑体" w:eastAsia="黑体"/>
          <w:color w:val="auto"/>
          <w:sz w:val="28"/>
          <w:szCs w:val="28"/>
          <w:highlight w:val="none"/>
        </w:rPr>
        <w:outlineLvl w:val="1"/>
      </w:pPr>
      <w:r/>
      <w:bookmarkStart w:id="17" w:name="_Toc35393801"/>
      <w:r/>
      <w:bookmarkStart w:id="18" w:name="_Toc28359092"/>
      <w:r/>
      <w:bookmarkStart w:id="19" w:name="_Toc35393632"/>
      <w:r/>
      <w:bookmarkStart w:id="20" w:name="_Toc28359015"/>
      <w:r/>
      <w:bookmarkStart w:id="21" w:name="_Toc7443"/>
      <w:r>
        <w:rPr>
          <w:rFonts w:hint="eastAsia" w:ascii="黑体" w:hAnsi="黑体" w:eastAsia="黑体"/>
          <w:color w:val="auto"/>
          <w:sz w:val="28"/>
          <w:szCs w:val="28"/>
          <w:highlight w:val="none"/>
        </w:rPr>
        <w:t xml:space="preserve">四、</w:t>
      </w:r>
      <w:bookmarkEnd w:id="17"/>
      <w:r/>
      <w:bookmarkEnd w:id="18"/>
      <w:r/>
      <w:bookmarkEnd w:id="19"/>
      <w:r/>
      <w:bookmarkEnd w:id="20"/>
      <w:r>
        <w:rPr>
          <w:rFonts w:hint="eastAsia" w:ascii="黑体" w:hAnsi="黑体" w:eastAsia="黑体"/>
          <w:color w:val="auto"/>
          <w:sz w:val="28"/>
          <w:szCs w:val="28"/>
          <w:highlight w:val="none"/>
        </w:rPr>
        <w:t xml:space="preserve">竞争性磋商响应文件提交和开启</w:t>
      </w:r>
      <w:bookmarkEnd w:id="21"/>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06</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30</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06</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30</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873"/>
        <w:ind w:firstLine="560"/>
        <w:spacing w:after="0" w:line="500" w:lineRule="exact"/>
        <w:rPr>
          <w:rFonts w:ascii="黑体" w:hAnsi="黑体" w:eastAsia="黑体"/>
          <w:color w:val="auto"/>
          <w:sz w:val="28"/>
          <w:szCs w:val="28"/>
          <w:highlight w:val="none"/>
        </w:rPr>
        <w:outlineLvl w:val="1"/>
      </w:pPr>
      <w:r/>
      <w:bookmarkStart w:id="22" w:name="_Toc28359094"/>
      <w:r/>
      <w:bookmarkStart w:id="23" w:name="_Toc12677"/>
      <w:r/>
      <w:bookmarkStart w:id="24" w:name="_Toc35393634"/>
      <w:r/>
      <w:bookmarkStart w:id="25" w:name="_Toc35393803"/>
      <w:r/>
      <w:bookmarkStart w:id="26" w:name="_Toc28359017"/>
      <w:r>
        <w:rPr>
          <w:rFonts w:hint="eastAsia" w:ascii="黑体" w:hAnsi="黑体" w:eastAsia="黑体"/>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bookmarkStart w:id="88" w:name="_GoBack"/>
      <w:r/>
      <w:bookmarkEnd w:id="88"/>
      <w:r/>
      <w:r/>
    </w:p>
    <w:p>
      <w:pPr>
        <w:pStyle w:val="873"/>
        <w:ind w:firstLine="560"/>
        <w:spacing w:after="0" w:line="500" w:lineRule="exact"/>
        <w:rPr>
          <w:rFonts w:ascii="黑体" w:hAnsi="黑体" w:eastAsia="黑体"/>
          <w:color w:val="auto"/>
          <w:sz w:val="28"/>
          <w:szCs w:val="28"/>
          <w:highlight w:val="none"/>
        </w:rPr>
        <w:outlineLvl w:val="1"/>
      </w:pPr>
      <w:r/>
      <w:bookmarkStart w:id="27" w:name="_Toc20589"/>
      <w:r/>
      <w:bookmarkStart w:id="28" w:name="_Toc35393804"/>
      <w:r/>
      <w:bookmarkStart w:id="29" w:name="_Toc35393635"/>
      <w:r>
        <w:rPr>
          <w:rFonts w:hint="eastAsia" w:ascii="黑体" w:hAnsi="黑体" w:eastAsia="黑体"/>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887"/>
          <w:rFonts w:ascii="仿宋" w:hAnsi="仿宋" w:eastAsia="仿宋" w:cs="宋体"/>
          <w:bCs/>
          <w:color w:val="auto"/>
          <w:sz w:val="28"/>
          <w:szCs w:val="28"/>
          <w:highlight w:val="none"/>
        </w:rPr>
        <w:t xml:space="preserve">http://jsxcmm.com/help/gys.html</w:t>
      </w:r>
      <w:r>
        <w:rPr>
          <w:rStyle w:val="887"/>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outlineLvl w:val="9"/>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2. 磋商</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rPr>
          <w:rFonts w:hint="eastAsia" w:ascii="仿宋" w:hAnsi="仿宋" w:eastAsia="仿宋" w:cs="宋体"/>
          <w:color w:val="auto"/>
          <w:sz w:val="28"/>
          <w:szCs w:val="28"/>
          <w:highlight w:val="none"/>
          <w:lang w:eastAsia="zh-CN"/>
        </w:rPr>
        <w:t xml:space="preserve">。</w:t>
      </w:r>
      <w:r/>
    </w:p>
    <w:p>
      <w:pPr>
        <w:ind w:firstLine="565"/>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3.本项目需要提供样品，具体详见第3章。</w:t>
      </w:r>
      <w:r/>
    </w:p>
    <w:p>
      <w:pPr>
        <w:pStyle w:val="873"/>
        <w:ind w:firstLine="560"/>
        <w:spacing w:after="0" w:line="500" w:lineRule="exact"/>
        <w:rPr>
          <w:rFonts w:ascii="黑体" w:hAnsi="黑体" w:eastAsia="黑体"/>
          <w:color w:val="auto"/>
          <w:sz w:val="28"/>
          <w:szCs w:val="28"/>
          <w:highlight w:val="none"/>
        </w:rPr>
        <w:outlineLvl w:val="1"/>
      </w:pPr>
      <w:r/>
      <w:bookmarkStart w:id="30" w:name="_Toc28359095"/>
      <w:r/>
      <w:bookmarkStart w:id="31" w:name="_Toc35393805"/>
      <w:r/>
      <w:bookmarkStart w:id="32" w:name="_Toc2162"/>
      <w:r/>
      <w:bookmarkStart w:id="33" w:name="_Toc28359018"/>
      <w:r/>
      <w:bookmarkStart w:id="34" w:name="_Toc35393636"/>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color w:val="auto"/>
          <w:sz w:val="28"/>
          <w:szCs w:val="28"/>
          <w:highlight w:val="none"/>
        </w:rPr>
        <w:outlineLvl w:val="9"/>
      </w:pPr>
      <w:r/>
      <w:bookmarkStart w:id="35" w:name="_Toc28359096"/>
      <w:r/>
      <w:bookmarkStart w:id="36" w:name="_Toc35393637"/>
      <w:r/>
      <w:bookmarkStart w:id="37" w:name="_Toc28359019"/>
      <w:r/>
      <w:bookmarkStart w:id="38" w:name="_Toc35393806"/>
      <w:r>
        <w:rPr>
          <w:rFonts w:hint="eastAsia" w:ascii="仿宋" w:hAnsi="仿宋" w:eastAsia="仿宋" w:cs="宋体"/>
          <w:color w:val="auto"/>
          <w:sz w:val="28"/>
          <w:szCs w:val="28"/>
          <w:highlight w:val="none"/>
        </w:rPr>
        <w:t xml:space="preserve">1. 采购人信息</w:t>
      </w:r>
      <w:bookmarkEnd w:id="35"/>
      <w:r/>
      <w:bookmarkEnd w:id="36"/>
      <w:r/>
      <w:bookmarkEnd w:id="37"/>
      <w:r/>
      <w:bookmarkEnd w:id="38"/>
      <w:r/>
      <w:r/>
    </w:p>
    <w:p>
      <w:pPr>
        <w:ind w:left="1129" w:hanging="350"/>
        <w:jc w:val="left"/>
        <w:spacing w:line="500" w:lineRule="exact"/>
        <w:rPr>
          <w:rFonts w:ascii="仿宋" w:hAnsi="仿宋" w:eastAsia="仿宋"/>
          <w:color w:val="auto"/>
          <w:sz w:val="28"/>
          <w:szCs w:val="28"/>
          <w:highlight w:val="none"/>
        </w:rPr>
      </w:pPr>
      <w:r/>
      <w:bookmarkStart w:id="39" w:name="_Toc28359020"/>
      <w:r/>
      <w:bookmarkStart w:id="40" w:name="_Toc35393807"/>
      <w:r/>
      <w:bookmarkStart w:id="41" w:name="_Toc35393638"/>
      <w:r/>
      <w:bookmarkStart w:id="42" w:name="_Toc28359097"/>
      <w:r>
        <w:rPr>
          <w:rFonts w:hint="eastAsia" w:ascii="仿宋" w:hAnsi="仿宋" w:eastAsia="仿宋"/>
          <w:color w:val="auto"/>
          <w:sz w:val="28"/>
          <w:szCs w:val="28"/>
          <w:highlight w:val="none"/>
        </w:rPr>
        <w:t xml:space="preserve">名    称：如皋市应急管理局</w:t>
      </w:r>
      <w:r/>
    </w:p>
    <w:p>
      <w:pPr>
        <w:ind w:left="1129" w:hanging="350"/>
        <w:jc w:val="left"/>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地    址：江苏省南通市如皋市行政中心A10楼</w:t>
      </w:r>
      <w:r/>
    </w:p>
    <w:p>
      <w:pPr>
        <w:ind w:left="1129" w:hanging="35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项目经办人姓名：张</w:t>
      </w:r>
      <w:r>
        <w:rPr>
          <w:rFonts w:hint="eastAsia" w:ascii="仿宋" w:hAnsi="仿宋" w:eastAsia="仿宋"/>
          <w:color w:val="auto"/>
          <w:sz w:val="28"/>
          <w:szCs w:val="28"/>
          <w:highlight w:val="none"/>
          <w:lang w:val="en-US" w:eastAsia="zh-CN"/>
        </w:rPr>
        <w:t xml:space="preserve">小星、简晨光</w:t>
      </w:r>
      <w:r/>
    </w:p>
    <w:p>
      <w:pPr>
        <w:ind w:left="1129" w:hanging="35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0513-87199137</w:t>
      </w:r>
      <w:r/>
    </w:p>
    <w:p>
      <w:pPr>
        <w:ind w:firstLine="540"/>
        <w:spacing w:line="500" w:lineRule="exact"/>
        <w:rPr>
          <w:rFonts w:ascii="仿宋" w:hAnsi="仿宋" w:eastAsia="仿宋" w:cs="宋体"/>
          <w:color w:val="auto"/>
          <w:sz w:val="28"/>
          <w:szCs w:val="28"/>
          <w:highlight w:val="none"/>
        </w:rPr>
        <w:outlineLvl w:val="9"/>
      </w:pPr>
      <w:r>
        <w:rPr>
          <w:rFonts w:hint="eastAsia" w:ascii="仿宋" w:hAnsi="仿宋" w:eastAsia="仿宋" w:cs="宋体"/>
          <w:color w:val="auto"/>
          <w:sz w:val="28"/>
          <w:szCs w:val="28"/>
          <w:highlight w:val="none"/>
        </w:rPr>
        <w:t xml:space="preserve">2. 采购代理机构信息</w:t>
      </w:r>
      <w:bookmarkEnd w:id="39"/>
      <w:r/>
      <w:bookmarkEnd w:id="40"/>
      <w:r/>
      <w:bookmarkEnd w:id="41"/>
      <w:r/>
      <w:bookmarkEnd w:id="42"/>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南通中江工程项目管理有限公司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魏书丽 </w:t>
      </w:r>
      <w:r/>
    </w:p>
    <w:p>
      <w:pPr>
        <w:ind w:firstLine="840"/>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15051237698</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ind w:firstLine="562"/>
        <w:keepLines w:val="0"/>
        <w:keepNext w:val="0"/>
        <w:pageBreakBefore w:val="0"/>
        <w:spacing w:line="500" w:lineRule="exact"/>
        <w:widowControl w:val="off"/>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rPr>
        <w:t xml:space="preserve">1.</w:t>
      </w:r>
      <w:r>
        <w:rPr>
          <w:rFonts w:hint="eastAsia" w:ascii="仿宋" w:hAnsi="仿宋" w:eastAsia="仿宋"/>
          <w:b/>
          <w:color w:val="auto"/>
          <w:sz w:val="28"/>
          <w:szCs w:val="28"/>
          <w:highlight w:val="none"/>
          <w:lang w:eastAsia="zh-CN"/>
        </w:rPr>
        <w:t xml:space="preserve">办理政采贷和履约保函（保险）告知函</w:t>
      </w:r>
      <w:r/>
    </w:p>
    <w:p>
      <w:pPr>
        <w:ind w:firstLine="562"/>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2.磋商</w:t>
      </w:r>
      <w:r>
        <w:rPr>
          <w:rFonts w:ascii="仿宋" w:hAnsi="仿宋" w:eastAsia="仿宋"/>
          <w:b/>
          <w:color w:val="auto"/>
          <w:sz w:val="28"/>
          <w:szCs w:val="28"/>
          <w:highlight w:val="none"/>
        </w:rPr>
        <w:t xml:space="preserve">文件</w:t>
      </w:r>
      <w:r/>
    </w:p>
    <w:p>
      <w:pPr>
        <w:pStyle w:val="891"/>
        <w:ind w:firstLine="562"/>
        <w:keepLines w:val="0"/>
        <w:keepNext w:val="0"/>
        <w:pageBreakBefore w:val="0"/>
        <w:spacing w:before="0" w:after="0" w:line="50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891"/>
        <w:ind w:firstLine="0"/>
        <w:jc w:val="center"/>
        <w:spacing w:line="240" w:lineRule="auto"/>
        <w:rPr>
          <w:rFonts w:ascii="方正小标宋简体" w:eastAsia="方正小标宋简体"/>
          <w:bCs/>
          <w:color w:val="auto"/>
          <w:sz w:val="32"/>
          <w:szCs w:val="32"/>
          <w:highlight w:val="none"/>
        </w:rPr>
        <w:outlineLvl w:val="0"/>
      </w:pPr>
      <w:r>
        <w:rPr>
          <w:rFonts w:ascii="仿宋" w:hAnsi="仿宋" w:eastAsia="仿宋"/>
          <w:b/>
          <w:color w:val="auto"/>
          <w:sz w:val="28"/>
          <w:szCs w:val="28"/>
          <w:highlight w:val="none"/>
        </w:rPr>
        <w:br w:type="page" w:clear="all"/>
      </w:r>
      <w:bookmarkStart w:id="43" w:name="_Toc26074"/>
      <w:r>
        <w:rPr>
          <w:rFonts w:hint="eastAsia" w:ascii="方正小标宋简体" w:eastAsia="方正小标宋简体"/>
          <w:bCs/>
          <w:color w:val="auto"/>
          <w:sz w:val="32"/>
          <w:szCs w:val="32"/>
          <w:highlight w:val="none"/>
        </w:rPr>
        <w:t xml:space="preserve">第2章 磋商须知</w:t>
      </w:r>
      <w:bookmarkEnd w:id="43"/>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4" w:name="_Toc12842"/>
      <w:r>
        <w:rPr>
          <w:rFonts w:hint="eastAsia" w:ascii="黑体" w:hAnsi="黑体" w:eastAsia="黑体"/>
          <w:color w:val="auto"/>
          <w:sz w:val="28"/>
          <w:szCs w:val="28"/>
          <w:highlight w:val="none"/>
        </w:rPr>
        <w:t xml:space="preserve">1. 参加磋商费用</w:t>
      </w:r>
      <w:bookmarkEnd w:id="44"/>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left="0" w:firstLine="560"/>
        <w:keepLines w:val="0"/>
        <w:keepNext w:val="0"/>
        <w:pageBreakBefore w:val="0"/>
        <w:spacing w:line="500" w:lineRule="exact"/>
        <w:widowControl w:val="off"/>
        <w:tabs>
          <w:tab w:val="left" w:pos="900" w:leader="none"/>
        </w:tabs>
        <w:rPr>
          <w:rFonts w:ascii="黑体" w:hAnsi="黑体" w:eastAsia="黑体"/>
          <w:color w:val="auto"/>
          <w:sz w:val="28"/>
          <w:szCs w:val="28"/>
          <w:highlight w:val="none"/>
        </w:rPr>
        <w:outlineLvl w:val="1"/>
      </w:pPr>
      <w:r/>
      <w:bookmarkStart w:id="45" w:name="_Toc214"/>
      <w:r>
        <w:rPr>
          <w:rFonts w:hint="eastAsia" w:ascii="黑体" w:hAnsi="黑体" w:eastAsia="黑体"/>
          <w:color w:val="auto"/>
          <w:sz w:val="28"/>
          <w:szCs w:val="28"/>
          <w:highlight w:val="none"/>
        </w:rPr>
        <w:t xml:space="preserve">2. 磋商文件的约束力</w:t>
      </w:r>
      <w:bookmarkEnd w:id="45"/>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6" w:name="_Toc5741"/>
      <w:r>
        <w:rPr>
          <w:rFonts w:hint="eastAsia" w:ascii="黑体" w:hAnsi="黑体" w:eastAsia="黑体"/>
          <w:color w:val="auto"/>
          <w:sz w:val="28"/>
          <w:szCs w:val="28"/>
          <w:highlight w:val="none"/>
        </w:rPr>
        <w:t xml:space="preserve">3.响应文件编制</w:t>
      </w:r>
      <w:bookmarkEnd w:id="46"/>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7" w:name="_Toc15239"/>
      <w:r>
        <w:rPr>
          <w:rFonts w:hint="eastAsia" w:ascii="黑体" w:hAnsi="黑体" w:eastAsia="黑体"/>
          <w:color w:val="auto"/>
          <w:sz w:val="28"/>
          <w:szCs w:val="28"/>
          <w:highlight w:val="none"/>
        </w:rPr>
        <w:t xml:space="preserve">4.响应文件提交、撤回和修改</w:t>
      </w:r>
      <w:bookmarkEnd w:id="47"/>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w:t>
      </w:r>
      <w:r>
        <w:rPr>
          <w:rFonts w:hint="eastAsia" w:ascii="仿宋" w:hAnsi="仿宋" w:eastAsia="仿宋"/>
          <w:color w:val="auto"/>
          <w:sz w:val="28"/>
          <w:szCs w:val="28"/>
          <w:highlight w:val="none"/>
        </w:rPr>
        <w:t xml:space="preserve">江苏省政府采购管理交易系统（苏采云）投标人操作手册</w:t>
      </w:r>
      <w:r>
        <w:rPr>
          <w:rFonts w:hint="eastAsia" w:ascii="仿宋" w:hAnsi="仿宋" w:eastAsia="仿宋"/>
          <w:bCs/>
          <w:color w:val="auto"/>
          <w:sz w:val="28"/>
          <w:szCs w:val="28"/>
          <w:highlight w:val="none"/>
        </w:rPr>
        <w:t xml:space="preserve">》。供应商撤回电子响应文件的，则认为其不再参与本项目磋商活动。</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采购代理机构可以通过修改磋商文件，酌情延长响应文件提交截止时间。</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4.10 响应文件的有效期：从提交响应文件截止日起90天。</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outlineLvl w:val="1"/>
      </w:pPr>
      <w:r/>
      <w:bookmarkStart w:id="48" w:name="_Toc6795"/>
      <w:r>
        <w:rPr>
          <w:rFonts w:hint="eastAsia" w:ascii="黑体" w:hAnsi="黑体" w:eastAsia="黑体"/>
          <w:color w:val="auto"/>
          <w:sz w:val="28"/>
          <w:szCs w:val="28"/>
          <w:highlight w:val="none"/>
        </w:rPr>
        <w:t xml:space="preserve">5. 磋商</w:t>
      </w:r>
      <w:bookmarkEnd w:id="48"/>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采购人或者代理机构将在竞争性磋商公告中规定的时间和地点组织竞争性磋商活动。</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磋商小组由政府采购评审专家、采购人代表组成。评审专家不得以评审专家身份参加本部门或本单位采购项目的评审。达到公开招标限额标准的项目，磋商小组应当由</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人以上单数组成。</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供应商在评审全过程中应保持通讯畅通，并安排专人与采购人或采购代理机构及磋商小组联系</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left="0" w:firstLine="560"/>
        <w:keepLines w:val="0"/>
        <w:keepNext w:val="0"/>
        <w:pageBreakBefore w:val="0"/>
        <w:spacing w:line="500" w:lineRule="exact"/>
        <w:widowControl w:val="off"/>
        <w:rPr>
          <w:rFonts w:ascii="仿宋" w:hAnsi="仿宋" w:eastAsia="仿宋"/>
          <w:b w:val="0"/>
          <w:bCs w:val="0"/>
          <w:color w:val="auto"/>
          <w:sz w:val="28"/>
          <w:szCs w:val="28"/>
          <w:highlight w:val="none"/>
        </w:rPr>
      </w:pPr>
      <w:r>
        <w:rPr>
          <w:rFonts w:hint="eastAsia" w:ascii="仿宋" w:hAnsi="仿宋" w:eastAsia="仿宋"/>
          <w:color w:val="auto"/>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left="0" w:firstLine="560"/>
        <w:keepLines w:val="0"/>
        <w:keepNext w:val="0"/>
        <w:pageBreakBefore w:val="0"/>
        <w:spacing w:line="500" w:lineRule="exact"/>
        <w:widowControl w:val="off"/>
        <w:rPr>
          <w:rFonts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5.14 有下列情形之一的，视为供应商串通，其响应无效：</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5.14.1不同供应商的响应文件由同一单位或者个人编制；</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5.14.2不同供应商的电子响应文件由同一台电子设备编制、打包、加密或者上传；</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5.14.3 不同供应商的响应文件由同一供应商的电子设备打印、复印；</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5.14.4不同供应商的响应报价用同一个预算编制软件密码锁制作或者出自同一供应商的电子文档；</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5.14.5不同供应商从同一个单位或者同一个自然人的互联网协议地址下载竞争性磋商文件、上传响应文件；</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5.14.6 不同供应商的响应文件异常一致或者响应报价呈规律性差异；</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5.14.7 不同供应商委托同一单位或者个人办理磋商事宜；</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5.14.8不同供应商的响应文件载明的项目管理成员或者联系人员为同一人；</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5.14.9不同供应商的磋商保证金虽然经由供应商自己的基本账户转出，但所需资金来自同一单位或者个人的账户。</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5.15出现下列情形之一的，磋商小组应当启动异常低价响应审查程序： </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5.15.3.响应报价低于采购项目最高限价45%的，即响应报价&lt;采购项目最高限价×45%；</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5.15.4.磋商小组基于专业判断，认为供应商报价过低，有可能影响产品质量或者不能诚信履约的其他情形。</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49" w:name="_Toc21175"/>
      <w:r>
        <w:rPr>
          <w:rFonts w:hint="eastAsia" w:ascii="黑体" w:hAnsi="黑体" w:eastAsia="黑体"/>
          <w:bCs/>
          <w:color w:val="auto"/>
          <w:sz w:val="28"/>
          <w:szCs w:val="28"/>
          <w:highlight w:val="none"/>
        </w:rPr>
        <w:t xml:space="preserve">6.成交和合同</w:t>
      </w:r>
      <w:bookmarkEnd w:id="49"/>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r/>
    </w:p>
    <w:p>
      <w:pPr>
        <w:ind w:left="0"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50" w:name="_Toc10744"/>
      <w:r>
        <w:rPr>
          <w:rFonts w:hint="eastAsia" w:ascii="黑体" w:hAnsi="黑体" w:eastAsia="黑体"/>
          <w:bCs/>
          <w:color w:val="auto"/>
          <w:sz w:val="28"/>
          <w:szCs w:val="28"/>
          <w:highlight w:val="none"/>
        </w:rPr>
        <w:t xml:space="preserve">7.政府采购政策功能落实</w:t>
      </w:r>
      <w:bookmarkEnd w:id="50"/>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 对于非专门面向中小企业采购的项目，小微型企业享受价格扣除优惠。</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7.1.4.2在工程采购项目中，工程由小微企业承建，即工程施工单位为小微企业；</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 下列情形不享受价格扣除政策：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7.1.7《中小企业划型标准规定》（工信部联企业〔2011〕300号）</w:t>
      </w:r>
      <w:r/>
    </w:p>
    <w:tbl>
      <w:tblPr>
        <w:tblStyle w:val="868"/>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行业名称</w:t>
            </w:r>
            <w:r/>
          </w:p>
        </w:tc>
        <w:tc>
          <w:tcPr>
            <w:tcW w:w="162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指标名称</w:t>
            </w:r>
            <w:r/>
          </w:p>
        </w:tc>
        <w:tc>
          <w:tcPr>
            <w:tcW w:w="767"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单位</w:t>
            </w:r>
            <w:r/>
          </w:p>
        </w:tc>
        <w:tc>
          <w:tcPr>
            <w:tcW w:w="205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中型</w:t>
            </w:r>
            <w:r/>
          </w:p>
        </w:tc>
        <w:tc>
          <w:tcPr>
            <w:tcW w:w="176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小型</w:t>
            </w:r>
            <w:r/>
          </w:p>
        </w:tc>
        <w:tc>
          <w:tcPr>
            <w:tcW w:w="1164"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微型</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农、林、牧、渔</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50≤Y&lt;500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工业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2000≤Y&lt;40000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建筑业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6000≤Y&lt;80000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300≤Y&lt;6000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Y&lt;300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5000≤Z &lt;80000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300≤Z &lt;5000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批发业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20≤X&lt;200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5≤X&lt;20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X&lt;5</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5000≤Y&lt;50000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零售业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10≤X&lt;50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100≤Y&lt;500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200≤Y&lt;3000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Y&lt;200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100≤X&lt;200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100≤X&lt;2000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1000≤Y&lt;100000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1000≤Y&lt;200000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5000≤Z &lt;10000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2000≤Z &lt;5000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Z&lt;2000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物业管理</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1000≤Y&lt;5000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8000≤Z &lt;120000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100≤Z &lt;8000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Z&lt;100</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bl>
    <w:p>
      <w:pPr>
        <w:ind w:firstLine="42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 残疾人福利单位价格扣除</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7.2.4 残疾人福利单位属于小型、微型企业的，不重复享受政策。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 监狱和戒毒企业价格扣除</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7.3.4 监狱企业属于小型、微型企业的，不重复享受政策。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8"/>
          <w:szCs w:val="28"/>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sz w:val="28"/>
          <w:szCs w:val="28"/>
          <w:highlight w:val="none"/>
        </w:rPr>
        <w:fldChar w:fldCharType="begin"/>
      </w:r>
      <w:r>
        <w:rPr>
          <w:color w:val="auto"/>
          <w:sz w:val="28"/>
          <w:szCs w:val="28"/>
          <w:highlight w:val="none"/>
        </w:rPr>
        <w:instrText xml:space="preserve"> HYPERLINK "http://gks.mof.gov.cn/zhengfucaigouguanli/201903/P020190329702478575295.pdf" </w:instrText>
      </w:r>
      <w:r>
        <w:rPr>
          <w:color w:val="auto"/>
          <w:sz w:val="28"/>
          <w:szCs w:val="28"/>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pStyle w:val="892"/>
        <w:ind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pStyle w:val="892"/>
        <w:ind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 根据《江苏省政府采购供应商监督管理暂行办法》的规定，诚信记录分每减10分，给予本项目总分值2%的扣分，扣分最多不超过本项目总分值6%。</w:t>
      </w:r>
      <w:r/>
    </w:p>
    <w:p>
      <w:pPr>
        <w:pStyle w:val="892"/>
        <w:ind w:firstLine="560"/>
        <w:keepLines w:val="0"/>
        <w:keepNext w:val="0"/>
        <w:pageBreakBefore w:val="0"/>
        <w:spacing w:line="500" w:lineRule="exact"/>
        <w:widowControl w:val="off"/>
        <w:rPr>
          <w:rFonts w:hint="default"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7.9 商品包装环保要求：应当按《关于印发〈商品包装政府采购需求标准（试行）〉、〈快递包装政府采购需求标准（试行）〉的通知》（财办库〔2020〕123号）文件执行。</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（1）商品包装层数不得超过 3 层，空隙率不大于 40%；</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（2）商品包装尽可能使用单一材质的包装材料，如因功能需求必需使用不同材质，不同材质间应便于分离；</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（3）商品包装中铅、汞、镉、六价铬的总含量应不大于100mg/kg；</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（4）商品包装印刷使用的油墨中挥发性有机化合物(VOCs)含量应不大于 5%（以重量计）；</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（5）塑料材质商品包装上呈现的印刷颜色不得超过 6 色；</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（6）纸质商品包装应使用 75%以上的可再生纤维原料生产；</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（7）木质商品包装的原料应来源于可持续性森林。</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（响应时供应商提供承诺函，承诺函需对以上要求逐一作出响应。采购人在必要时可要求中标供应商在履约验收环节出具检测报告。）</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2.快递包装环保要求：</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（1）快递包装中重金属（铅、汞、镉、六价铬）总量应不大于 100mg/kg；</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（2）快递包装印刷使用的油墨中不应添加邻苯二甲酸酯，其挥发性有机化合物(VOCs)含量应不大于5%（以重量计）；</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（3）快递包装中使用纸基材的包装材料，纸基材中的有机氯的含量应不大于 150 mg/kg；</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（5）快递中使用的塑料包装袋不得使用聚氯乙烯作为原料，且原料应为单一材质制成，生物分解率大于60%；</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（6）快递中使用的充气类填充物不得使用聚氯乙烯作为原料，且原料为单一材质制成，生物分解率大于60%；</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（7）快递中使用的集装袋应为单一材质制成，其重复使用次数应不小于 80 次；</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（8）快递中应使用幅宽不大于45mm 的生物降解胶带；</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（9）快递包装中不得使用溶剂型胶粘剂；</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（10）快递应使用电子面单；</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（11）直接使用商品包装作为快递包装的商品，其商品包装满足《商品包装政府采购需求标准（试行）》即可；</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（12）快递包装产品质量和封装方式应符合相关国家或行业标准技术指标要求。</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（响应时供应商提供承诺函，承诺函需对以上要求逐一作出响应。采购人在必要时可要求中标供应商在履约验收环节出具检测报告。）</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7.10 绿色数据中心（如有）</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（1）采购数据中心相关设备、运维服务，应当有利于节约能源、环境保护和资源循环利用。</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（3）成交供应商未按合同约定提供设备或服务的，采购人依法追究其违约责任。对供应商提供虚假材料谋取中标、成交的，依法由相关部门予以处理。</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pStyle w:val="892"/>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i w:val="0"/>
          <w:iCs w:val="0"/>
          <w:color w:val="auto"/>
          <w:sz w:val="28"/>
          <w:szCs w:val="28"/>
          <w:highlight w:val="none"/>
          <w:lang w:val="en-US" w:eastAsia="zh-CN"/>
        </w:rPr>
        <w:t xml:space="preserve">7.13 绿色低碳管理目标和服务要求：在物业、合同能源管理等服务类采购项目中，要强化绿色低碳管理目标和服务要求，促进绿色产品和服务推广应用。</w:t>
      </w:r>
      <w:r/>
    </w:p>
    <w:p>
      <w:pPr>
        <w:ind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51" w:name="_Toc26263"/>
      <w:r>
        <w:rPr>
          <w:rFonts w:hint="eastAsia" w:ascii="黑体" w:hAnsi="黑体" w:eastAsia="黑体"/>
          <w:bCs/>
          <w:color w:val="auto"/>
          <w:sz w:val="28"/>
          <w:szCs w:val="28"/>
          <w:highlight w:val="none"/>
        </w:rPr>
        <w:t xml:space="preserve">8.无效响应和磋商活动终止</w:t>
      </w:r>
      <w:bookmarkEnd w:id="51"/>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 不具备竞争性磋商文件中规定的资格要求的。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8.1.2 最后报价超过了采购预算或最高限价的。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8.1.3 未通过符合性审查的。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8.1.4 不符合法律、法规和竞争性磋商文件中规定的其他实质性要求的。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8.1.6 响应文件含有采购人不能接受的附加条件的。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8.1.8 响应文件未按照磋商文件要求加盖电子签章。</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8.1.9 供应商在系统规定的时间内未成功解密电子响应文件的。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8.1.10 未完整上传响应文件电子文档的,或上传的文件打不开的。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8.1.12其他法律、法规及本磋商文件规定的属无效响应的情形。</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 出现下列情形之一的，本次竞争性磋商采购活动将被终止：</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w:t>
      </w:r>
      <w:r>
        <w:rPr>
          <w:rFonts w:hint="eastAsia" w:ascii="仿宋" w:hAnsi="仿宋" w:eastAsia="仿宋"/>
          <w:color w:val="auto"/>
          <w:sz w:val="28"/>
          <w:szCs w:val="28"/>
          <w:highlight w:val="none"/>
        </w:rPr>
        <w:t xml:space="preserve">磋商</w:t>
      </w:r>
      <w:r>
        <w:rPr>
          <w:rFonts w:ascii="仿宋" w:hAnsi="仿宋" w:eastAsia="仿宋"/>
          <w:color w:val="auto"/>
          <w:sz w:val="28"/>
          <w:szCs w:val="28"/>
          <w:highlight w:val="none"/>
        </w:rPr>
        <w:t xml:space="preserve">采购方式适用情形的；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 对于市场竞争不充分的科研项目、需要扶持的科技成果转化项目或者政府购买服务项目，提交最后报价的供应商不足2家。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因重大变故，采购任务取消的。</w:t>
      </w:r>
      <w:r/>
    </w:p>
    <w:p>
      <w:pPr>
        <w:ind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52" w:name="_Toc25731"/>
      <w:r>
        <w:rPr>
          <w:rFonts w:hint="eastAsia" w:ascii="黑体" w:hAnsi="黑体" w:eastAsia="黑体"/>
          <w:color w:val="auto"/>
          <w:sz w:val="28"/>
          <w:szCs w:val="28"/>
          <w:highlight w:val="none"/>
        </w:rPr>
        <w:t xml:space="preserve">9. 询问、质疑和投诉</w:t>
      </w:r>
      <w:bookmarkEnd w:id="52"/>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提出质疑的，为收到</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之日或者</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公告期限届满之日；对采购过程提出质疑的，为各采购程序环节结束之日；对成交结果提出质疑的，为成交结果公告期限届满之日。</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color w:val="auto"/>
          <w:sz w:val="28"/>
          <w:szCs w:val="28"/>
          <w:highlight w:val="none"/>
          <w:lang w:eastAsia="zh-CN"/>
        </w:rPr>
        <w:t xml:space="preserve">采购文件</w:t>
      </w:r>
      <w:r>
        <w:rPr>
          <w:rFonts w:hint="eastAsia" w:ascii="仿宋" w:hAnsi="仿宋" w:eastAsia="仿宋"/>
          <w:b/>
          <w:color w:val="auto"/>
          <w:sz w:val="28"/>
          <w:szCs w:val="28"/>
          <w:highlight w:val="none"/>
        </w:rPr>
        <w:t xml:space="preserve">中《质疑函范本》要求填写的质疑函原件。</w:t>
      </w:r>
      <w:r/>
    </w:p>
    <w:p>
      <w:pPr>
        <w:ind w:firstLine="560"/>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，见磋商文件第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未参加磋商活动的供应商或在磋商活动中自身权益未受到损害的供应商所提出的质疑。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供应商组成联合体参加磋商活动，联合体中任何一方或多方未按要求签字、盖章、加盖公章的质疑。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outlineLvl w:val="9"/>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outlineLvl w:val="9"/>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outlineLvl w:val="9"/>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outlineLvl w:val="9"/>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w:t>
      </w:r>
      <w:r>
        <w:rPr>
          <w:rFonts w:hint="eastAsia" w:ascii="仿宋" w:hAnsi="仿宋" w:eastAsia="仿宋"/>
          <w:color w:val="auto"/>
          <w:sz w:val="28"/>
          <w:szCs w:val="28"/>
          <w:highlight w:val="none"/>
          <w:lang w:eastAsia="zh-CN"/>
        </w:rPr>
        <w:t xml:space="preserve">710</w:t>
      </w:r>
      <w:r>
        <w:rPr>
          <w:rFonts w:hint="eastAsia" w:ascii="仿宋" w:hAnsi="仿宋" w:eastAsia="仿宋"/>
          <w:color w:val="auto"/>
          <w:sz w:val="28"/>
          <w:szCs w:val="28"/>
          <w:highlight w:val="none"/>
        </w:rPr>
        <w:t xml:space="preserve">室，联系电话0513-87623860）。</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outlineLvl w:val="9"/>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outlineLvl w:val="9"/>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outlineLvl w:val="1"/>
      </w:pPr>
      <w:r/>
      <w:bookmarkStart w:id="53" w:name="_Toc7826"/>
      <w:r>
        <w:rPr>
          <w:rFonts w:hint="eastAsia" w:ascii="黑体" w:hAnsi="黑体" w:eastAsia="黑体"/>
          <w:color w:val="auto"/>
          <w:sz w:val="28"/>
          <w:szCs w:val="28"/>
          <w:highlight w:val="none"/>
        </w:rPr>
        <w:t xml:space="preserve">10. 政府采购合同信用融资扶持政策</w:t>
      </w:r>
      <w:bookmarkEnd w:id="53"/>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outlineLvl w:val="1"/>
      </w:pPr>
      <w:r/>
      <w:bookmarkStart w:id="54" w:name="_Toc10080"/>
      <w:r>
        <w:rPr>
          <w:rFonts w:hint="eastAsia" w:ascii="黑体" w:hAnsi="黑体" w:eastAsia="黑体"/>
          <w:color w:val="auto"/>
          <w:sz w:val="28"/>
          <w:szCs w:val="28"/>
          <w:highlight w:val="none"/>
        </w:rPr>
        <w:t xml:space="preserve">11. 采购代理服务费</w:t>
      </w:r>
      <w:bookmarkEnd w:id="54"/>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olor w:val="auto"/>
          <w:sz w:val="28"/>
          <w:szCs w:val="28"/>
          <w:highlight w:val="none"/>
        </w:rPr>
        <w:t xml:space="preserve">11.1</w:t>
      </w:r>
      <w:r>
        <w:rPr>
          <w:rFonts w:hint="eastAsia" w:ascii="仿宋" w:hAnsi="仿宋" w:eastAsia="仿宋" w:cs="仿宋"/>
          <w:color w:val="auto"/>
          <w:sz w:val="28"/>
          <w:szCs w:val="28"/>
          <w:highlight w:val="none"/>
          <w:lang w:val="en-US" w:eastAsia="zh-CN" w:bidi="ar"/>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color w:val="auto"/>
          <w:sz w:val="28"/>
          <w:szCs w:val="28"/>
          <w:highlight w:val="none"/>
          <w:lang w:val="en-US" w:eastAsia="zh-CN"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11.3.1收款单位名称为：</w:t>
      </w:r>
      <w:r>
        <w:rPr>
          <w:rFonts w:hint="eastAsia" w:ascii="仿宋" w:hAnsi="仿宋" w:eastAsia="仿宋" w:cs="宋体"/>
          <w:color w:val="auto"/>
          <w:sz w:val="28"/>
          <w:szCs w:val="28"/>
          <w:highlight w:val="none"/>
        </w:rPr>
        <w:t xml:space="preserve">南通中江工程项目管理有限公司江海分公司</w:t>
      </w:r>
      <w:r>
        <w:rPr>
          <w:rFonts w:hint="eastAsia" w:ascii="仿宋" w:hAnsi="仿宋" w:eastAsia="仿宋"/>
          <w:color w:val="auto"/>
          <w:sz w:val="28"/>
          <w:szCs w:val="28"/>
          <w:highlight w:val="none"/>
        </w:rPr>
        <w:t xml:space="preserve">；</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11.3.2账户号码：</w:t>
      </w:r>
      <w:r>
        <w:rPr>
          <w:rFonts w:hint="eastAsia" w:ascii="仿宋" w:hAnsi="仿宋" w:eastAsia="仿宋" w:cs="宋体"/>
          <w:color w:val="auto"/>
          <w:sz w:val="28"/>
          <w:szCs w:val="28"/>
          <w:highlight w:val="none"/>
        </w:rPr>
        <w:t xml:space="preserve">32050164726000001501</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11.3.3开户行：</w:t>
      </w:r>
      <w:r>
        <w:rPr>
          <w:rFonts w:hint="eastAsia" w:ascii="仿宋" w:hAnsi="仿宋" w:eastAsia="仿宋" w:cs="宋体"/>
          <w:color w:val="auto"/>
          <w:sz w:val="28"/>
          <w:szCs w:val="28"/>
          <w:highlight w:val="none"/>
        </w:rPr>
        <w:t xml:space="preserve">中国建设银行股份有限公司如皋北门支行，行号：105306200032</w:t>
      </w:r>
      <w:r>
        <w:rPr>
          <w:rFonts w:hint="eastAsia" w:ascii="仿宋" w:hAnsi="仿宋" w:eastAsia="仿宋" w:cs="宋体"/>
          <w:color w:val="auto"/>
          <w:sz w:val="28"/>
          <w:szCs w:val="28"/>
          <w:highlight w:val="none"/>
          <w:lang w:eastAsia="zh-CN"/>
        </w:rPr>
        <w:t xml:space="preserve">。</w:t>
      </w:r>
      <w:bookmarkEnd w:id="6"/>
      <w:r/>
      <w:r/>
    </w:p>
    <w:p>
      <w:pPr>
        <w:ind w:firstLine="560"/>
        <w:jc w:val="left"/>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1</w:t>
      </w:r>
      <w:r>
        <w:rPr>
          <w:rFonts w:hint="eastAsia" w:ascii="黑体" w:hAnsi="黑体" w:eastAsia="黑体"/>
          <w:color w:val="auto"/>
          <w:sz w:val="28"/>
          <w:szCs w:val="28"/>
          <w:highlight w:val="none"/>
          <w:lang w:val="en-US" w:eastAsia="zh-CN"/>
        </w:rPr>
        <w:t xml:space="preserve">2</w:t>
      </w:r>
      <w:r>
        <w:rPr>
          <w:rFonts w:hint="eastAsia" w:ascii="黑体" w:hAnsi="黑体" w:eastAsia="黑体"/>
          <w:color w:val="auto"/>
          <w:sz w:val="28"/>
          <w:szCs w:val="28"/>
          <w:highlight w:val="none"/>
        </w:rPr>
        <w:t xml:space="preserve">.其他事项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一</w:t>
      </w:r>
      <w:r>
        <w:rPr>
          <w:rFonts w:hint="eastAsia" w:ascii="仿宋" w:hAnsi="仿宋" w:eastAsia="仿宋"/>
          <w:color w:val="auto"/>
          <w:sz w:val="28"/>
          <w:szCs w:val="28"/>
          <w:highlight w:val="none"/>
        </w:rPr>
        <w:t xml:space="preserve">）产品要求：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）产品品牌与型号：</w:t>
      </w:r>
      <w:r/>
    </w:p>
    <w:p>
      <w:pPr>
        <w:ind w:firstLine="560"/>
        <w:spacing w:line="50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供应商响应文件中必须明确主要产品的品牌、规格型号、性能指标等内容，可附产品介绍图文资料。供应商响应文件未明确主要产品的品牌、规格型号、性能指标等内容的，视为无效响应文件。</w:t>
      </w:r>
      <w:r/>
    </w:p>
    <w:p>
      <w:pPr>
        <w:pStyle w:val="891"/>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32"/>
          <w:szCs w:val="32"/>
          <w:highlight w:val="none"/>
        </w:rPr>
        <w:br w:type="page" w:clear="all"/>
      </w:r>
      <w:bookmarkStart w:id="55" w:name="_Toc12470"/>
      <w:r>
        <w:rPr>
          <w:rFonts w:hint="eastAsia" w:ascii="方正小标宋简体" w:eastAsia="方正小标宋简体"/>
          <w:bCs/>
          <w:color w:val="auto"/>
          <w:sz w:val="32"/>
          <w:szCs w:val="32"/>
          <w:highlight w:val="none"/>
        </w:rPr>
        <w:t xml:space="preserve">第3章 采购需求</w:t>
      </w:r>
      <w:bookmarkEnd w:id="55"/>
      <w:r/>
      <w:r/>
    </w:p>
    <w:p>
      <w:pPr>
        <w:ind w:firstLine="562"/>
        <w:jc w:val="left"/>
        <w:spacing w:line="500" w:lineRule="exact"/>
        <w:rPr>
          <w:rFonts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 xml:space="preserve">供应商在制作</w:t>
      </w:r>
      <w:r>
        <w:rPr>
          <w:rFonts w:hint="eastAsia" w:ascii="仿宋" w:hAnsi="仿宋" w:eastAsia="仿宋" w:cs="Times New Roman"/>
          <w:b/>
          <w:bCs/>
          <w:color w:val="auto"/>
          <w:sz w:val="28"/>
          <w:szCs w:val="28"/>
          <w:highlight w:val="none"/>
        </w:rPr>
        <w:t xml:space="preserve">响应</w:t>
      </w:r>
      <w:r>
        <w:rPr>
          <w:rFonts w:ascii="仿宋" w:hAnsi="仿宋" w:eastAsia="仿宋" w:cs="Times New Roman"/>
          <w:b/>
          <w:bCs/>
          <w:color w:val="auto"/>
          <w:sz w:val="28"/>
          <w:szCs w:val="28"/>
          <w:highlight w:val="none"/>
        </w:rPr>
        <w:t xml:space="preserve">文件时仔细研究</w:t>
      </w:r>
      <w:r>
        <w:rPr>
          <w:rFonts w:hint="eastAsia" w:ascii="仿宋" w:hAnsi="仿宋" w:eastAsia="仿宋" w:cs="Times New Roman"/>
          <w:b/>
          <w:bCs/>
          <w:color w:val="auto"/>
          <w:sz w:val="28"/>
          <w:szCs w:val="28"/>
          <w:highlight w:val="none"/>
        </w:rPr>
        <w:t xml:space="preserve">采购</w:t>
      </w:r>
      <w:r>
        <w:rPr>
          <w:rFonts w:ascii="仿宋" w:hAnsi="仿宋" w:eastAsia="仿宋" w:cs="Times New Roman"/>
          <w:b/>
          <w:bCs/>
          <w:color w:val="auto"/>
          <w:sz w:val="28"/>
          <w:szCs w:val="28"/>
          <w:highlight w:val="none"/>
        </w:rPr>
        <w:t xml:space="preserve">需求说明。</w:t>
      </w:r>
      <w:r>
        <w:rPr>
          <w:rFonts w:hint="eastAsia" w:ascii="仿宋" w:hAnsi="仿宋" w:eastAsia="仿宋" w:cs="Times New Roman"/>
          <w:b/>
          <w:bCs/>
          <w:color w:val="auto"/>
          <w:sz w:val="28"/>
          <w:szCs w:val="28"/>
          <w:highlight w:val="none"/>
        </w:rPr>
        <w:t xml:space="preserve">采购</w:t>
      </w:r>
      <w:r>
        <w:rPr>
          <w:rFonts w:ascii="仿宋" w:hAnsi="仿宋" w:eastAsia="仿宋" w:cs="Times New Roman"/>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供</w:t>
      </w:r>
      <w:r>
        <w:rPr>
          <w:rFonts w:ascii="仿宋" w:hAnsi="仿宋" w:eastAsia="仿宋" w:cs="Times New Roman"/>
          <w:b/>
          <w:bCs/>
          <w:color w:val="auto"/>
          <w:sz w:val="28"/>
          <w:szCs w:val="28"/>
          <w:highlight w:val="none"/>
        </w:rPr>
        <w:t xml:space="preserve">应商不能简单照搬照抄</w:t>
      </w:r>
      <w:r>
        <w:rPr>
          <w:rFonts w:hint="eastAsia" w:ascii="仿宋" w:hAnsi="仿宋" w:eastAsia="仿宋" w:cs="Times New Roman"/>
          <w:b/>
          <w:bCs/>
          <w:color w:val="auto"/>
          <w:sz w:val="28"/>
          <w:szCs w:val="28"/>
          <w:highlight w:val="none"/>
        </w:rPr>
        <w:t xml:space="preserve">磋商</w:t>
      </w:r>
      <w:r>
        <w:rPr>
          <w:rFonts w:ascii="仿宋" w:hAnsi="仿宋" w:eastAsia="仿宋" w:cs="Times New Roman"/>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cs="Times New Roman"/>
          <w:b/>
          <w:bCs/>
          <w:color w:val="auto"/>
          <w:sz w:val="28"/>
          <w:szCs w:val="28"/>
          <w:highlight w:val="none"/>
        </w:rPr>
        <w:t xml:space="preserve">采购人</w:t>
      </w:r>
      <w:r>
        <w:rPr>
          <w:rFonts w:ascii="仿宋" w:hAnsi="仿宋" w:eastAsia="仿宋" w:cs="Times New Roman"/>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cs="Times New Roman"/>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56" w:name="_Toc3937"/>
      <w:r/>
      <w:bookmarkStart w:id="57" w:name="_Toc13925"/>
      <w:r>
        <w:rPr>
          <w:rFonts w:hint="eastAsia" w:ascii="黑体" w:hAnsi="黑体" w:eastAsia="黑体"/>
          <w:color w:val="auto"/>
          <w:sz w:val="28"/>
          <w:szCs w:val="28"/>
          <w:highlight w:val="none"/>
        </w:rPr>
        <w:t xml:space="preserve">一、项目简介</w:t>
      </w:r>
      <w:bookmarkEnd w:id="56"/>
      <w:r/>
      <w:bookmarkEnd w:id="57"/>
      <w:r/>
      <w:r/>
    </w:p>
    <w:p>
      <w:pPr>
        <w:ind w:firstLine="560"/>
        <w:keepLines w:val="0"/>
        <w:keepNext w:val="0"/>
        <w:pageBreakBefore w:val="0"/>
        <w:spacing w:line="500" w:lineRule="exact"/>
        <w:rPr>
          <w:rFonts w:hint="eastAsia" w:ascii="仿宋" w:hAnsi="仿宋" w:eastAsia="仿宋" w:cs="仿宋"/>
          <w:color w:val="auto"/>
          <w:sz w:val="28"/>
          <w:szCs w:val="28"/>
          <w:highlight w:val="none"/>
          <w:vertAlign w:val="baseline"/>
        </w:rPr>
      </w:pPr>
      <w:r/>
      <w:bookmarkStart w:id="58" w:name="_Toc10487"/>
      <w:r>
        <w:rPr>
          <w:rFonts w:hint="eastAsia" w:ascii="仿宋" w:hAnsi="仿宋" w:eastAsia="仿宋" w:cs="仿宋"/>
          <w:color w:val="auto"/>
          <w:sz w:val="28"/>
          <w:szCs w:val="28"/>
          <w:highlight w:val="none"/>
          <w:vertAlign w:val="baseline"/>
        </w:rPr>
        <w:t xml:space="preserve">参照《江苏省住宅小区消防快速处置队建设工作指导意见(试行)》，推动全市251个高层住宅小区建设消防快速处置队，根据其体量规模、人口密集等因素进行分类，其中一类队6个，二类队16个，三类队229个，根据标准配备灭火防护服、40水带水枪、转换接口、手提式灭火器、灭火毯、化学氧自救呼吸器等器材。</w:t>
      </w:r>
      <w:r/>
    </w:p>
    <w:p>
      <w:pPr>
        <w:ind w:firstLine="560"/>
        <w:keepLines w:val="0"/>
        <w:keepNext w:val="0"/>
        <w:pageBreakBefore w:val="0"/>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vertAlign w:val="baseline"/>
          <w:lang w:val="en-US" w:eastAsia="zh-CN"/>
        </w:rPr>
        <w:t xml:space="preserve">本项目共分三个采购包，</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en-US" w:eastAsia="zh-CN"/>
        </w:rPr>
        <w:t xml:space="preserve">采购包</w:t>
      </w:r>
      <w:r>
        <w:rPr>
          <w:rFonts w:hint="eastAsia" w:ascii="仿宋" w:hAnsi="仿宋" w:eastAsia="仿宋"/>
          <w:color w:val="auto"/>
          <w:sz w:val="28"/>
          <w:szCs w:val="28"/>
          <w:highlight w:val="none"/>
        </w:rPr>
        <w:t xml:space="preserve">一、</w:t>
      </w:r>
      <w:r>
        <w:rPr>
          <w:rFonts w:hint="eastAsia" w:ascii="仿宋" w:hAnsi="仿宋" w:eastAsia="仿宋"/>
          <w:color w:val="auto"/>
          <w:sz w:val="28"/>
          <w:szCs w:val="28"/>
          <w:highlight w:val="none"/>
          <w:lang w:val="en-US" w:eastAsia="zh-CN"/>
        </w:rPr>
        <w:t xml:space="preserve">采购包</w:t>
      </w:r>
      <w:r>
        <w:rPr>
          <w:rFonts w:hint="eastAsia" w:ascii="仿宋" w:hAnsi="仿宋" w:eastAsia="仿宋"/>
          <w:color w:val="auto"/>
          <w:sz w:val="28"/>
          <w:szCs w:val="28"/>
          <w:highlight w:val="none"/>
        </w:rPr>
        <w:t xml:space="preserve">二、</w:t>
      </w:r>
      <w:r>
        <w:rPr>
          <w:rFonts w:hint="eastAsia" w:ascii="仿宋" w:hAnsi="仿宋" w:eastAsia="仿宋"/>
          <w:color w:val="auto"/>
          <w:sz w:val="28"/>
          <w:szCs w:val="28"/>
          <w:highlight w:val="none"/>
          <w:lang w:val="en-US" w:eastAsia="zh-CN"/>
        </w:rPr>
        <w:t xml:space="preserve">采购包</w:t>
      </w:r>
      <w:r>
        <w:rPr>
          <w:rFonts w:hint="eastAsia" w:ascii="仿宋" w:hAnsi="仿宋" w:eastAsia="仿宋"/>
          <w:color w:val="auto"/>
          <w:sz w:val="28"/>
          <w:szCs w:val="28"/>
          <w:highlight w:val="none"/>
        </w:rPr>
        <w:t xml:space="preserve">三的顺序开标，</w:t>
      </w:r>
      <w:r>
        <w:rPr>
          <w:rFonts w:hint="eastAsia" w:ascii="仿宋" w:hAnsi="仿宋" w:eastAsia="仿宋"/>
          <w:color w:val="auto"/>
          <w:sz w:val="28"/>
          <w:szCs w:val="28"/>
          <w:highlight w:val="none"/>
          <w:lang w:val="en-US" w:eastAsia="zh-CN"/>
        </w:rPr>
        <w:t xml:space="preserve">响应供应商</w:t>
      </w:r>
      <w:r>
        <w:rPr>
          <w:rFonts w:hint="eastAsia" w:ascii="仿宋" w:hAnsi="仿宋" w:eastAsia="仿宋"/>
          <w:color w:val="auto"/>
          <w:sz w:val="28"/>
          <w:szCs w:val="28"/>
          <w:highlight w:val="none"/>
        </w:rPr>
        <w:t xml:space="preserve">可选择多个</w:t>
      </w:r>
      <w:r>
        <w:rPr>
          <w:rFonts w:hint="eastAsia" w:ascii="仿宋" w:hAnsi="仿宋" w:eastAsia="仿宋"/>
          <w:color w:val="auto"/>
          <w:sz w:val="28"/>
          <w:szCs w:val="28"/>
          <w:highlight w:val="none"/>
          <w:lang w:val="en-US" w:eastAsia="zh-CN"/>
        </w:rPr>
        <w:t xml:space="preserve">采购包</w:t>
      </w:r>
      <w:r>
        <w:rPr>
          <w:rFonts w:hint="eastAsia" w:ascii="仿宋" w:hAnsi="仿宋" w:eastAsia="仿宋"/>
          <w:color w:val="auto"/>
          <w:sz w:val="28"/>
          <w:szCs w:val="28"/>
          <w:highlight w:val="none"/>
        </w:rPr>
        <w:t xml:space="preserve">进行</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，可同时</w:t>
      </w:r>
      <w:r>
        <w:rPr>
          <w:rFonts w:hint="eastAsia" w:ascii="仿宋" w:hAnsi="仿宋" w:eastAsia="仿宋"/>
          <w:color w:val="auto"/>
          <w:sz w:val="28"/>
          <w:szCs w:val="28"/>
          <w:highlight w:val="none"/>
          <w:lang w:val="en-US" w:eastAsia="zh-CN"/>
        </w:rPr>
        <w:t xml:space="preserve">成交多</w:t>
      </w:r>
      <w:r>
        <w:rPr>
          <w:rFonts w:hint="eastAsia" w:ascii="仿宋" w:hAnsi="仿宋" w:eastAsia="仿宋"/>
          <w:color w:val="auto"/>
          <w:sz w:val="28"/>
          <w:szCs w:val="28"/>
          <w:highlight w:val="none"/>
        </w:rPr>
        <w:t xml:space="preserve">个</w:t>
      </w:r>
      <w:r>
        <w:rPr>
          <w:rFonts w:hint="eastAsia" w:ascii="仿宋" w:hAnsi="仿宋" w:eastAsia="仿宋"/>
          <w:color w:val="auto"/>
          <w:sz w:val="28"/>
          <w:szCs w:val="28"/>
          <w:highlight w:val="none"/>
          <w:lang w:val="en-US" w:eastAsia="zh-CN"/>
        </w:rPr>
        <w:t xml:space="preserve">采购包。</w:t>
      </w:r>
      <w:r/>
    </w:p>
    <w:p>
      <w:pPr>
        <w:numPr>
          <w:ilvl w:val="0"/>
          <w:numId w:val="0"/>
        </w:numPr>
        <w:ind w:firstLine="560"/>
        <w:spacing w:line="500" w:lineRule="exact"/>
        <w:rPr>
          <w:rFonts w:hint="eastAsia" w:ascii="黑体" w:hAnsi="黑体" w:eastAsia="黑体" w:cs="Times New Roman"/>
          <w:color w:val="auto"/>
          <w:sz w:val="28"/>
          <w:szCs w:val="28"/>
          <w:highlight w:val="none"/>
        </w:rPr>
        <w:outlineLvl w:val="1"/>
      </w:pPr>
      <w:r/>
      <w:bookmarkStart w:id="59" w:name="_Toc4487"/>
      <w:r>
        <w:rPr>
          <w:rFonts w:hint="eastAsia" w:ascii="黑体" w:hAnsi="黑体" w:eastAsia="黑体" w:cs="Times New Roman"/>
          <w:color w:val="auto"/>
          <w:sz w:val="28"/>
          <w:szCs w:val="28"/>
          <w:highlight w:val="none"/>
          <w:lang w:val="en-US" w:eastAsia="zh-CN" w:bidi="ar-SA"/>
        </w:rPr>
        <w:t xml:space="preserve">二、</w:t>
      </w:r>
      <w:r>
        <w:rPr>
          <w:rFonts w:hint="eastAsia" w:ascii="黑体" w:hAnsi="黑体" w:eastAsia="黑体"/>
          <w:color w:val="auto"/>
          <w:sz w:val="28"/>
          <w:szCs w:val="28"/>
          <w:highlight w:val="none"/>
        </w:rPr>
        <w:t xml:space="preserve">采购</w:t>
      </w:r>
      <w:r>
        <w:rPr>
          <w:rFonts w:hint="eastAsia" w:ascii="黑体" w:hAnsi="黑体" w:eastAsia="黑体" w:cs="Times New Roman"/>
          <w:color w:val="auto"/>
          <w:sz w:val="28"/>
          <w:szCs w:val="28"/>
          <w:highlight w:val="none"/>
        </w:rPr>
        <w:t xml:space="preserve">内容</w:t>
      </w:r>
      <w:bookmarkEnd w:id="58"/>
      <w:r/>
      <w:bookmarkEnd w:id="59"/>
      <w:r/>
      <w:r/>
    </w:p>
    <w:p>
      <w:pPr>
        <w:ind w:firstLine="560"/>
        <w:spacing w:line="500" w:lineRule="exact"/>
        <w:rPr>
          <w:rFonts w:hint="default" w:ascii="仿宋" w:hAnsi="仿宋" w:eastAsia="仿宋" w:cs="仿宋"/>
          <w:color w:val="auto"/>
          <w:sz w:val="28"/>
          <w:szCs w:val="28"/>
          <w:highlight w:val="none"/>
          <w:vertAlign w:val="baseline"/>
          <w:lang w:val="en-US"/>
        </w:rPr>
        <w:outlineLvl w:val="9"/>
      </w:pPr>
      <w:r>
        <w:rPr>
          <w:rFonts w:hint="eastAsia" w:ascii="仿宋" w:hAnsi="仿宋" w:eastAsia="仿宋" w:cs="仿宋"/>
          <w:color w:val="auto"/>
          <w:sz w:val="28"/>
          <w:szCs w:val="28"/>
          <w:highlight w:val="none"/>
          <w:vertAlign w:val="baseline"/>
          <w:lang w:val="en-US" w:eastAsia="zh-CN"/>
        </w:rPr>
        <w:t xml:space="preserve">采购包一：</w:t>
      </w:r>
      <w:r/>
    </w:p>
    <w:tbl>
      <w:tblPr>
        <w:tblStyle w:val="868"/>
        <w:tblW w:w="102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0"/>
        <w:gridCol w:w="2094"/>
        <w:gridCol w:w="1179"/>
        <w:gridCol w:w="905"/>
        <w:gridCol w:w="2291"/>
        <w:gridCol w:w="2247"/>
        <w:gridCol w:w="808"/>
      </w:tblGrid>
      <w:tr>
        <w:trPr>
          <w:jc w:val="center"/>
          <w:trHeight w:val="789"/>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单价限价（元）</w:t>
            </w:r>
            <w:r/>
          </w:p>
        </w:tc>
        <w:tc>
          <w:tcPr>
            <w:tcBorders>
              <w:top w:val="single" w:color="000000" w:sz="4" w:space="0"/>
              <w:left w:val="single" w:color="000000" w:sz="4" w:space="0"/>
              <w:bottom w:val="single" w:color="000000" w:sz="4" w:space="0"/>
              <w:right w:val="single" w:color="000000" w:sz="4" w:space="0"/>
            </w:tcBorders>
            <w:tcW w:w="2247"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单项合计价限价（元）</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900</w:t>
            </w:r>
            <w:r/>
          </w:p>
        </w:tc>
        <w:tc>
          <w:tcPr>
            <w:tcBorders>
              <w:top w:val="single" w:color="000000" w:sz="4" w:space="0"/>
              <w:left w:val="single" w:color="000000" w:sz="4" w:space="0"/>
              <w:bottom w:val="single" w:color="000000" w:sz="4" w:space="0"/>
              <w:right w:val="single" w:color="000000" w:sz="4" w:space="0"/>
            </w:tcBorders>
            <w:tcW w:w="2247"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477000</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09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小型灭火携行包</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291"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2247"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50200</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r>
        <w:trPr>
          <w:jc w:val="center"/>
          <w:trHeight w:val="372"/>
        </w:trPr>
        <w:tc>
          <w:tcPr>
            <w:gridSpan w:val="5"/>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2247"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527200</w:t>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bl>
    <w:p>
      <w:pPr>
        <w:ind w:firstLine="560"/>
        <w:spacing w:line="500" w:lineRule="exact"/>
        <w:rPr>
          <w:rFonts w:hint="eastAsia" w:ascii="仿宋" w:hAnsi="仿宋" w:eastAsia="仿宋" w:cs="仿宋"/>
          <w:color w:val="auto"/>
          <w:sz w:val="28"/>
          <w:szCs w:val="28"/>
          <w:highlight w:val="none"/>
          <w:vertAlign w:val="baseline"/>
          <w:lang w:val="en-US" w:eastAsia="zh-CN"/>
        </w:rPr>
        <w:outlineLvl w:val="9"/>
      </w:pPr>
      <w:r>
        <w:rPr>
          <w:rFonts w:hint="eastAsia" w:ascii="仿宋" w:hAnsi="仿宋" w:eastAsia="仿宋" w:cs="仿宋"/>
          <w:color w:val="auto"/>
          <w:sz w:val="28"/>
          <w:szCs w:val="28"/>
          <w:highlight w:val="none"/>
          <w:vertAlign w:val="baseline"/>
          <w:lang w:val="en-US" w:eastAsia="zh-CN"/>
        </w:rPr>
        <w:t xml:space="preserve">采购包二：</w:t>
      </w:r>
      <w:r/>
    </w:p>
    <w:tbl>
      <w:tblPr>
        <w:tblStyle w:val="868"/>
        <w:tblW w:w="10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6"/>
        <w:gridCol w:w="2095"/>
        <w:gridCol w:w="1146"/>
        <w:gridCol w:w="934"/>
        <w:gridCol w:w="2293"/>
        <w:gridCol w:w="2248"/>
        <w:gridCol w:w="796"/>
      </w:tblGrid>
      <w:tr>
        <w:trPr>
          <w:jc w:val="center"/>
          <w:trHeight w:val="78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单价限价（元）</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单项合计价限价（元）</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jc w:val="center"/>
          <w:trHeight w:val="573"/>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ind w:left="0" w:right="0" w:firstLine="0"/>
              <w:jc w:val="center"/>
              <w:rPr>
                <w:rFonts w:hint="default"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新能源灭火装置</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color w:val="auto"/>
                <w:sz w:val="24"/>
                <w:szCs w:val="24"/>
                <w:highlight w:val="none"/>
                <w:vertAlign w:val="baseli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160</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146560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r>
        <w:trPr>
          <w:jc w:val="center"/>
          <w:trHeight w:val="484"/>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灭火毯（电动汽车用）</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2700</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54000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r>
        <w:trPr>
          <w:jc w:val="center"/>
          <w:trHeight w:val="484"/>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灭火毯（电动自行车用）</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20000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r>
        <w:trPr>
          <w:jc w:val="center"/>
          <w:trHeight w:val="372"/>
        </w:trPr>
        <w:tc>
          <w:tcPr>
            <w:gridSpan w:val="5"/>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220560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bl>
    <w:p>
      <w:pPr>
        <w:ind w:firstLine="560"/>
        <w:spacing w:line="500" w:lineRule="exact"/>
        <w:rPr>
          <w:rFonts w:hint="eastAsia" w:ascii="仿宋" w:hAnsi="仿宋" w:eastAsia="仿宋" w:cs="仿宋"/>
          <w:color w:val="auto"/>
          <w:sz w:val="28"/>
          <w:szCs w:val="28"/>
          <w:highlight w:val="none"/>
          <w:vertAlign w:val="baseline"/>
          <w:lang w:val="en-US" w:eastAsia="zh-CN"/>
        </w:rPr>
        <w:outlineLvl w:val="9"/>
      </w:pPr>
      <w:r>
        <w:rPr>
          <w:rFonts w:hint="eastAsia" w:ascii="仿宋" w:hAnsi="仿宋" w:eastAsia="仿宋" w:cs="仿宋"/>
          <w:color w:val="auto"/>
          <w:sz w:val="28"/>
          <w:szCs w:val="28"/>
          <w:highlight w:val="none"/>
          <w:vertAlign w:val="baseline"/>
          <w:lang w:val="en-US" w:eastAsia="zh-CN"/>
        </w:rPr>
        <w:t xml:space="preserve">采购包三：</w:t>
      </w:r>
      <w:r/>
    </w:p>
    <w:tbl>
      <w:tblPr>
        <w:tblStyle w:val="868"/>
        <w:tblW w:w="102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6"/>
        <w:gridCol w:w="2095"/>
        <w:gridCol w:w="1146"/>
        <w:gridCol w:w="934"/>
        <w:gridCol w:w="2293"/>
        <w:gridCol w:w="2248"/>
        <w:gridCol w:w="796"/>
      </w:tblGrid>
      <w:tr>
        <w:trPr>
          <w:jc w:val="center"/>
          <w:trHeight w:val="789"/>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装备名称</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单价限价（元）</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单项合计价限价（元）</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jc w:val="center"/>
          <w:trHeight w:val="573"/>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40mm消防水带</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195300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r>
        <w:trPr>
          <w:jc w:val="center"/>
          <w:trHeight w:val="484"/>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line="320" w:lineRule="exact"/>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jc w:val="center"/>
              <w:spacing w:line="320" w:lineRule="exact"/>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消火栓转换接口</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right="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32630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r>
        <w:trPr>
          <w:jc w:val="center"/>
          <w:trHeight w:val="484"/>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40mm消防水枪</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color w:val="auto"/>
                <w:sz w:val="24"/>
                <w:szCs w:val="24"/>
                <w:highlight w:val="none"/>
                <w:vertAlign w:val="baseline"/>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50200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r>
        <w:trPr>
          <w:jc w:val="center"/>
          <w:trHeight w:val="484"/>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95"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化学氧自救呼吸器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color w:val="auto"/>
                <w:sz w:val="24"/>
                <w:szCs w:val="24"/>
                <w:highlight w:val="none"/>
                <w:vertAlign w:val="baseli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rPr>
              <w:t xml:space="preserve">159000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r>
        <w:trPr>
          <w:jc w:val="center"/>
          <w:trHeight w:val="372"/>
        </w:trPr>
        <w:tc>
          <w:tcPr>
            <w:gridSpan w:val="5"/>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437130</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bl>
    <w:p>
      <w:pPr>
        <w:numPr>
          <w:ilvl w:val="0"/>
          <w:numId w:val="0"/>
        </w:numPr>
        <w:ind w:firstLine="560"/>
        <w:spacing w:line="500" w:lineRule="exact"/>
        <w:rPr>
          <w:rFonts w:hint="eastAsia" w:ascii="黑体" w:hAnsi="黑体" w:eastAsia="黑体"/>
          <w:color w:val="auto"/>
          <w:sz w:val="28"/>
          <w:szCs w:val="28"/>
          <w:highlight w:val="none"/>
        </w:rPr>
        <w:outlineLvl w:val="1"/>
      </w:pPr>
      <w:r/>
      <w:bookmarkStart w:id="60" w:name="_Toc17937"/>
      <w:r>
        <w:rPr>
          <w:rFonts w:hint="eastAsia" w:ascii="黑体" w:hAnsi="黑体" w:eastAsia="黑体" w:cs="Times New Roman"/>
          <w:color w:val="auto"/>
          <w:sz w:val="28"/>
          <w:szCs w:val="28"/>
          <w:highlight w:val="none"/>
          <w:lang w:val="en-US" w:eastAsia="zh-CN" w:bidi="ar-SA"/>
        </w:rPr>
        <w:t xml:space="preserve">三、</w:t>
      </w:r>
      <w:r>
        <w:rPr>
          <w:rFonts w:hint="eastAsia" w:ascii="黑体" w:hAnsi="黑体" w:eastAsia="黑体" w:cs="Times New Roman"/>
          <w:color w:val="auto"/>
          <w:sz w:val="28"/>
          <w:szCs w:val="28"/>
          <w:highlight w:val="none"/>
          <w:lang w:val="en-US" w:eastAsia="zh-CN"/>
        </w:rPr>
        <w:t xml:space="preserve">基本</w:t>
      </w:r>
      <w:r>
        <w:rPr>
          <w:rFonts w:hint="eastAsia" w:ascii="黑体" w:hAnsi="黑体" w:eastAsia="黑体" w:cs="Times New Roman"/>
          <w:color w:val="auto"/>
          <w:sz w:val="28"/>
          <w:szCs w:val="28"/>
          <w:highlight w:val="none"/>
        </w:rPr>
        <w:t xml:space="preserve">技术要求</w:t>
      </w:r>
      <w:bookmarkEnd w:id="60"/>
      <w:r/>
      <w:r/>
    </w:p>
    <w:p>
      <w:pPr>
        <w:rPr>
          <w:rFonts w:hint="default" w:ascii="仿宋" w:hAnsi="仿宋" w:eastAsia="仿宋" w:cs="仿宋"/>
          <w:color w:val="auto"/>
          <w:sz w:val="28"/>
          <w:szCs w:val="28"/>
          <w:highlight w:val="none"/>
          <w:vertAlign w:val="baseline"/>
          <w:lang w:val="en-US" w:eastAsia="zh-CN"/>
        </w:rPr>
      </w:pPr>
      <w:r>
        <w:rPr>
          <w:rFonts w:hint="eastAsia" w:ascii="仿宋" w:hAnsi="仿宋" w:eastAsia="仿宋" w:cs="仿宋"/>
          <w:color w:val="auto"/>
          <w:sz w:val="28"/>
          <w:szCs w:val="28"/>
          <w:highlight w:val="none"/>
          <w:vertAlign w:val="baseline"/>
          <w:lang w:val="en-US" w:eastAsia="zh-CN"/>
        </w:rPr>
        <w:t xml:space="preserve">（一）采购包一：</w:t>
      </w:r>
      <w:r/>
    </w:p>
    <w:tbl>
      <w:tblPr>
        <w:tblStyle w:val="868"/>
        <w:tblW w:w="102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5"/>
        <w:gridCol w:w="1283"/>
        <w:gridCol w:w="6587"/>
        <w:gridCol w:w="1093"/>
      </w:tblGrid>
      <w:tr>
        <w:trPr>
          <w:jc w:val="center"/>
          <w:trHeight w:val="350"/>
        </w:trPr>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装备名称</w:t>
            </w:r>
            <w:r/>
          </w:p>
        </w:tc>
        <w:tc>
          <w:tcPr>
            <w:tcBorders>
              <w:top w:val="single" w:color="000000" w:sz="4" w:space="0"/>
              <w:left w:val="single" w:color="000000" w:sz="4" w:space="0"/>
              <w:bottom w:val="single" w:color="000000" w:sz="4" w:space="0"/>
              <w:right w:val="single" w:color="000000" w:sz="4" w:space="0"/>
            </w:tcBorders>
            <w:tcW w:w="6587"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主要参数</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jc w:val="center"/>
          <w:trHeight w:val="2591"/>
        </w:trPr>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灭火防护服</w:t>
            </w:r>
            <w:r/>
          </w:p>
        </w:tc>
        <w:tc>
          <w:tcPr>
            <w:tcBorders>
              <w:top w:val="single" w:color="000000" w:sz="4" w:space="0"/>
              <w:left w:val="single" w:color="000000" w:sz="4" w:space="0"/>
              <w:bottom w:val="single" w:color="000000" w:sz="4" w:space="0"/>
              <w:right w:val="single" w:color="000000" w:sz="4" w:space="0"/>
            </w:tcBorders>
            <w:tcW w:w="6587" w:type="dxa"/>
            <w:vAlign w:val="center"/>
            <w:textDirection w:val="lrTb"/>
            <w:noWrap w:val="false"/>
          </w:tcPr>
          <w:p>
            <w:pPr>
              <w:ind w:left="0" w:right="0" w:firstLine="0"/>
              <w:jc w:val="left"/>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1.参照XF10-2014《消防员灭火防护服》标准要求；</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2.服装外层采用藏青色面料，外层、里布均采用阻燃面料，所有拉链、魔术贴等配件均为阻燃材质，该款式为长款；（具体尺寸:170型≥105cm,175型≥110cm,180型≥115cm,185型≥120cm，误差±2%）</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3.外层面料性能要求：</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3.1 阻燃性能：损毁长度≤100mm，续燃时间≤2s；</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3.2 断裂强力：经向≥650N、纬向≥650N；</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3.3 撕破强力：经向≥100N、纬向≥100N；</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3.4 色牢度：耐洗沾色≥4级，耐水摩擦≥4级，光色牢度≥4级；</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3.5缩水率：≤3%；</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3.6表面抗湿性能：≥4；</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4.里层面料性能要求： </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4.1 防水透气层耐静水压≥50kPa；</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4.2缩水率：≤3%；</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4.3防水透气层拒油性能：≥3级；</w:t>
            </w:r>
            <w:r/>
          </w:p>
          <w:p>
            <w:pPr>
              <w:ind w:left="0" w:right="0" w:firstLine="0"/>
              <w:jc w:val="left"/>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4.4舒适层缩水率：≤5%；</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5.针距密度：明暗线≥12针/3cm，包缝线≥9针/3cm。</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color w:val="auto"/>
                <w:highlight w:val="none"/>
              </w:rPr>
              <w:suppressLineNumbers w:val="0"/>
            </w:pPr>
            <w:r>
              <w:rPr>
                <w:color w:val="auto"/>
                <w:highlight w:val="none"/>
              </w:rPr>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6459220</wp:posOffset>
                      </wp:positionH>
                      <wp:positionV relativeFrom="paragraph">
                        <wp:posOffset>4193540</wp:posOffset>
                      </wp:positionV>
                      <wp:extent cx="848360" cy="787400"/>
                      <wp:effectExtent l="0" t="0" r="5080" b="5080"/>
                      <wp:wrapNone/>
                      <wp:docPr id="1" name="图片 4" descr="图片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图片17"/>
                              <pic:cNvPicPr>
                                <a:picLocks noChangeAspect="1"/>
                              </pic:cNvPicPr>
                              <pic:nvPr/>
                            </pic:nvPicPr>
                            <pic:blipFill>
                              <a:blip r:embed="rId12"/>
                              <a:stretch/>
                            </pic:blipFill>
                            <pic:spPr bwMode="auto">
                              <a:xfrm>
                                <a:off x="0" y="0"/>
                                <a:ext cx="848360" cy="78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508.6pt;mso-position-horizontal:absolute;mso-position-vertical-relative:text;margin-top:330.2pt;mso-position-vertical:absolute;width:66.8pt;height:62.0pt;mso-wrap-distance-left:9.0pt;mso-wrap-distance-top:0.0pt;mso-wrap-distance-right:9.0pt;mso-wrap-distance-bottom:0.0pt;" stroked="f">
                      <v:path textboxrect="0,0,0,0"/>
                      <v:imagedata r:id="rId12" o:title=""/>
                    </v:shape>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6306820</wp:posOffset>
                      </wp:positionH>
                      <wp:positionV relativeFrom="paragraph">
                        <wp:posOffset>4041140</wp:posOffset>
                      </wp:positionV>
                      <wp:extent cx="848360" cy="787400"/>
                      <wp:effectExtent l="0" t="0" r="5080" b="5080"/>
                      <wp:wrapNone/>
                      <wp:docPr id="2" name="图片 3" descr="图片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图片17"/>
                              <pic:cNvPicPr>
                                <a:picLocks noChangeAspect="1"/>
                              </pic:cNvPicPr>
                              <pic:nvPr/>
                            </pic:nvPicPr>
                            <pic:blipFill>
                              <a:blip r:embed="rId12"/>
                              <a:stretch/>
                            </pic:blipFill>
                            <pic:spPr bwMode="auto">
                              <a:xfrm>
                                <a:off x="0" y="0"/>
                                <a:ext cx="848360" cy="78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96.6pt;mso-position-horizontal:absolute;mso-position-vertical-relative:text;margin-top:318.2pt;mso-position-vertical:absolute;width:66.8pt;height:62.0pt;mso-wrap-distance-left:9.0pt;mso-wrap-distance-top:0.0pt;mso-wrap-distance-right:9.0pt;mso-wrap-distance-bottom:0.0pt;" stroked="f">
                      <v:path textboxrect="0,0,0,0"/>
                      <v:imagedata r:id="rId12" o:title=""/>
                    </v:shape>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6154420</wp:posOffset>
                      </wp:positionH>
                      <wp:positionV relativeFrom="paragraph">
                        <wp:posOffset>3888740</wp:posOffset>
                      </wp:positionV>
                      <wp:extent cx="848360" cy="787400"/>
                      <wp:effectExtent l="0" t="0" r="5080" b="5080"/>
                      <wp:wrapNone/>
                      <wp:docPr id="3" name="图片 2" descr="图片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图片17"/>
                              <pic:cNvPicPr>
                                <a:picLocks noChangeAspect="1"/>
                              </pic:cNvPicPr>
                              <pic:nvPr/>
                            </pic:nvPicPr>
                            <pic:blipFill>
                              <a:blip r:embed="rId12"/>
                              <a:stretch/>
                            </pic:blipFill>
                            <pic:spPr bwMode="auto">
                              <a:xfrm>
                                <a:off x="0" y="0"/>
                                <a:ext cx="848360" cy="78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484.6pt;mso-position-horizontal:absolute;mso-position-vertical-relative:text;margin-top:306.2pt;mso-position-vertical:absolute;width:66.8pt;height:62.0pt;mso-wrap-distance-left:9.0pt;mso-wrap-distance-top:0.0pt;mso-wrap-distance-right:9.0pt;mso-wrap-distance-bottom:0.0pt;" stroked="f">
                      <v:path textboxrect="0,0,0,0"/>
                      <v:imagedata r:id="rId12" o:title=""/>
                    </v:shape>
                  </w:pict>
                </mc:Fallback>
              </mc:AlternateContent>
            </w:r>
            <w:r/>
          </w:p>
        </w:tc>
      </w:tr>
      <w:tr>
        <w:trPr>
          <w:jc w:val="center"/>
          <w:trHeight w:val="1506"/>
        </w:trPr>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小型灭火携行包 </w:t>
            </w:r>
            <w:r/>
          </w:p>
        </w:tc>
        <w:tc>
          <w:tcPr>
            <w:tcBorders>
              <w:top w:val="single" w:color="000000" w:sz="4" w:space="0"/>
              <w:left w:val="single" w:color="000000" w:sz="4" w:space="0"/>
              <w:bottom w:val="single" w:color="000000" w:sz="4" w:space="0"/>
              <w:right w:val="single" w:color="000000" w:sz="4" w:space="0"/>
            </w:tcBorders>
            <w:tcW w:w="6587" w:type="dxa"/>
            <w:vAlign w:val="center"/>
            <w:textDirection w:val="lrTb"/>
            <w:noWrap w:val="false"/>
          </w:tcPr>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1.携行包为可固定式设计，适配电动自行车安装布局，可一分为二，分别置于电动自行车两侧； </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2.包体具有可容纳60米40mm水带、40mm多功能水枪2把、消火栓转换接口2个、消火栓扳手1把等器材的空间（不包含器材本身）；  </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3.包体采用防刮、耐磨、不掉色材质，底部设有排水孔，便于排水;</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4.携行包整体自重（不带器材）≤5公斤；</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5.携行包内置器材收纳固定结构，尺寸采用：35cm*25cm*40cm，±≤2cm；</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6.携行包表面印有“消防快速处置队”字样，字体均匀分布。</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bl>
    <w:p>
      <w:pPr>
        <w:rPr>
          <w:rFonts w:hint="eastAsia" w:ascii="仿宋_GB2312" w:hAnsi="Calibri" w:eastAsia="仿宋_GB2312" w:cs="Times New Roman"/>
          <w:color w:val="auto"/>
          <w:position w:val="6"/>
          <w:sz w:val="30"/>
          <w:szCs w:val="20"/>
          <w:highlight w:val="none"/>
          <w:lang w:val="en-US" w:eastAsia="zh-CN" w:bidi="ar-SA"/>
        </w:rPr>
      </w:pPr>
      <w:r>
        <w:rPr>
          <w:rFonts w:hint="eastAsia" w:ascii="仿宋" w:hAnsi="仿宋" w:eastAsia="仿宋"/>
          <w:b/>
          <w:color w:val="auto"/>
          <w:sz w:val="28"/>
          <w:szCs w:val="28"/>
          <w:highlight w:val="none"/>
          <w:lang w:val="en-US" w:eastAsia="zh-CN"/>
        </w:rPr>
        <w:t xml:space="preserve">采购包一</w:t>
      </w:r>
      <w:r>
        <w:rPr>
          <w:rFonts w:hint="eastAsia" w:ascii="仿宋" w:hAnsi="仿宋" w:eastAsia="仿宋"/>
          <w:b/>
          <w:color w:val="auto"/>
          <w:sz w:val="28"/>
          <w:szCs w:val="28"/>
          <w:highlight w:val="none"/>
        </w:rPr>
        <w:t xml:space="preserve">核心产品为：</w:t>
      </w:r>
      <w:r>
        <w:rPr>
          <w:rFonts w:hint="eastAsia" w:ascii="仿宋" w:hAnsi="仿宋" w:eastAsia="仿宋"/>
          <w:b/>
          <w:color w:val="auto"/>
          <w:sz w:val="28"/>
          <w:szCs w:val="28"/>
          <w:highlight w:val="none"/>
          <w:u w:val="single"/>
          <w:lang w:val="en-US" w:eastAsia="zh-CN"/>
        </w:rPr>
        <w:t xml:space="preserve">灭火防护服。</w:t>
      </w:r>
      <w:r/>
    </w:p>
    <w:p>
      <w:pPr>
        <w:ind w:firstLine="560"/>
        <w:spacing w:line="500" w:lineRule="exact"/>
        <w:rPr>
          <w:rFonts w:hint="eastAsia" w:ascii="仿宋" w:hAnsi="仿宋" w:eastAsia="仿宋" w:cs="仿宋"/>
          <w:color w:val="auto"/>
          <w:sz w:val="28"/>
          <w:szCs w:val="28"/>
          <w:highlight w:val="none"/>
          <w:vertAlign w:val="baseline"/>
          <w:lang w:val="en-US" w:eastAsia="zh-CN"/>
        </w:rPr>
        <w:outlineLvl w:val="9"/>
      </w:pPr>
      <w:r>
        <w:rPr>
          <w:rFonts w:hint="eastAsia" w:ascii="仿宋" w:hAnsi="仿宋" w:eastAsia="仿宋" w:cs="仿宋"/>
          <w:color w:val="auto"/>
          <w:sz w:val="28"/>
          <w:szCs w:val="28"/>
          <w:highlight w:val="none"/>
          <w:vertAlign w:val="baseline"/>
          <w:lang w:val="en-US" w:eastAsia="zh-CN"/>
        </w:rPr>
        <w:t xml:space="preserve">（二）采购包二：</w:t>
      </w:r>
      <w:r/>
    </w:p>
    <w:tbl>
      <w:tblPr>
        <w:tblStyle w:val="868"/>
        <w:tblW w:w="101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1238"/>
        <w:gridCol w:w="6566"/>
        <w:gridCol w:w="1125"/>
      </w:tblGrid>
      <w:tr>
        <w:trPr>
          <w:jc w:val="center"/>
          <w:trHeight w:val="61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装备名称</w:t>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主要参数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jc w:val="center"/>
          <w:trHeight w:val="1579"/>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firstLine="0"/>
              <w:jc w:val="center"/>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新能源灭火装置</w:t>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1.灭火类型：A类、E类以及锂电池火灾；</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2.灭火剂量：6L；</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3.药剂类型：水系灭火剂；</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4.驱动气体：氮气；</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5.工作压力：1.2MPa（20℃）氮气；</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6.瓶体材质：碳钢。</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r>
        <w:trPr>
          <w:jc w:val="center"/>
          <w:trHeight w:val="1542"/>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灭火毯（电动汽车用）</w:t>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1.玻璃纤维材质，二氧化硅含量≥96%，阻燃等级A1；</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2.耐火温度：1100℃30分钟无熔融，1000℃1小时；</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3.重量≤32.5 kg(不含包装)；</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4.规格6*9m；</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5.接头强力＞450N；</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6.撕裂强力＞80N；</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7.断裂强力径向≥1000N；纬向≥800N。</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6135370</wp:posOffset>
                      </wp:positionH>
                      <wp:positionV relativeFrom="paragraph">
                        <wp:posOffset>4514850</wp:posOffset>
                      </wp:positionV>
                      <wp:extent cx="930910" cy="852805"/>
                      <wp:effectExtent l="0" t="0" r="13970" b="635"/>
                      <wp:wrapNone/>
                      <wp:docPr id="4" name="图片 5" descr="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图片16"/>
                              <pic:cNvPicPr>
                                <a:picLocks noChangeAspect="1"/>
                              </pic:cNvPicPr>
                              <pic:nvPr/>
                            </pic:nvPicPr>
                            <pic:blipFill>
                              <a:blip r:embed="rId13"/>
                              <a:stretch/>
                            </pic:blipFill>
                            <pic:spPr bwMode="auto">
                              <a:xfrm>
                                <a:off x="0" y="0"/>
                                <a:ext cx="930909" cy="852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483.1pt;mso-position-horizontal:absolute;mso-position-vertical-relative:text;margin-top:355.5pt;mso-position-vertical:absolute;width:73.3pt;height:67.1pt;mso-wrap-distance-left:9.0pt;mso-wrap-distance-top:0.0pt;mso-wrap-distance-right:9.0pt;mso-wrap-distance-bottom:0.0pt;" stroked="f">
                      <v:path textboxrect="0,0,0,0"/>
                      <v:imagedata r:id="rId13" o:title=""/>
                    </v:shape>
                  </w:pict>
                </mc:Fallback>
              </mc:AlternateContent>
            </w:r>
            <w:r/>
          </w:p>
        </w:tc>
      </w:tr>
      <w:tr>
        <w:trPr>
          <w:jc w:val="center"/>
          <w:trHeight w:val="2134"/>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灭火毯（电动自行车用）</w:t>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1.玻璃纤维材质，二氧化硅含量≥96%，阻燃等级A1；</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2.耐火温度：1100℃30分钟无熔融，1000℃1小时；</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3.重量≤30kg(不含包装)；</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4.规格4*5m；</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5.接头强力＞450N；</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6.撕裂强力＞80N；</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7.断裂强力径向≥1000N；纬向≥800N。</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ind w:left="0" w:right="0" w:firstLine="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6045200</wp:posOffset>
                      </wp:positionH>
                      <wp:positionV relativeFrom="paragraph">
                        <wp:posOffset>-36830</wp:posOffset>
                      </wp:positionV>
                      <wp:extent cx="930910" cy="852805"/>
                      <wp:effectExtent l="0" t="0" r="13970" b="635"/>
                      <wp:wrapNone/>
                      <wp:docPr id="5" name="图片 5" descr="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图片16"/>
                              <pic:cNvPicPr>
                                <a:picLocks noChangeAspect="1"/>
                              </pic:cNvPicPr>
                              <pic:nvPr/>
                            </pic:nvPicPr>
                            <pic:blipFill>
                              <a:blip r:embed="rId13"/>
                              <a:stretch/>
                            </pic:blipFill>
                            <pic:spPr bwMode="auto">
                              <a:xfrm>
                                <a:off x="0" y="0"/>
                                <a:ext cx="930909" cy="852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476.0pt;mso-position-horizontal:absolute;mso-position-vertical-relative:text;margin-top:-2.9pt;mso-position-vertical:absolute;width:73.3pt;height:67.1pt;mso-wrap-distance-left:9.0pt;mso-wrap-distance-top:0.0pt;mso-wrap-distance-right:9.0pt;mso-wrap-distance-bottom:0.0pt;" stroked="f">
                      <v:path textboxrect="0,0,0,0"/>
                      <v:imagedata r:id="rId13" o:title=""/>
                    </v:shape>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6197600</wp:posOffset>
                      </wp:positionH>
                      <wp:positionV relativeFrom="paragraph">
                        <wp:posOffset>115570</wp:posOffset>
                      </wp:positionV>
                      <wp:extent cx="930910" cy="852805"/>
                      <wp:effectExtent l="0" t="0" r="13970" b="635"/>
                      <wp:wrapNone/>
                      <wp:docPr id="6" name="图片 5" descr="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descr="图片16"/>
                              <pic:cNvPicPr>
                                <a:picLocks noChangeAspect="1"/>
                              </pic:cNvPicPr>
                              <pic:nvPr/>
                            </pic:nvPicPr>
                            <pic:blipFill>
                              <a:blip r:embed="rId13"/>
                              <a:stretch/>
                            </pic:blipFill>
                            <pic:spPr bwMode="auto">
                              <a:xfrm>
                                <a:off x="0" y="0"/>
                                <a:ext cx="930909" cy="852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6432;o:allowoverlap:true;o:allowincell:true;mso-position-horizontal-relative:text;margin-left:488.0pt;mso-position-horizontal:absolute;mso-position-vertical-relative:text;margin-top:9.1pt;mso-position-vertical:absolute;width:73.3pt;height:67.1pt;mso-wrap-distance-left:9.0pt;mso-wrap-distance-top:0.0pt;mso-wrap-distance-right:9.0pt;mso-wrap-distance-bottom:0.0pt;" stroked="f">
                      <v:path textboxrect="0,0,0,0"/>
                      <v:imagedata r:id="rId13" o:title=""/>
                    </v:shape>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6197600</wp:posOffset>
                      </wp:positionH>
                      <wp:positionV relativeFrom="paragraph">
                        <wp:posOffset>1900555</wp:posOffset>
                      </wp:positionV>
                      <wp:extent cx="930910" cy="852805"/>
                      <wp:effectExtent l="0" t="0" r="13970" b="635"/>
                      <wp:wrapNone/>
                      <wp:docPr id="7" name="图片 5" descr="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descr="图片16"/>
                              <pic:cNvPicPr>
                                <a:picLocks noChangeAspect="1"/>
                              </pic:cNvPicPr>
                              <pic:nvPr/>
                            </pic:nvPicPr>
                            <pic:blipFill>
                              <a:blip r:embed="rId13"/>
                              <a:stretch/>
                            </pic:blipFill>
                            <pic:spPr bwMode="auto">
                              <a:xfrm>
                                <a:off x="0" y="0"/>
                                <a:ext cx="930909" cy="85280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7456;o:allowoverlap:true;o:allowincell:true;mso-position-horizontal-relative:text;margin-left:488.0pt;mso-position-horizontal:absolute;mso-position-vertical-relative:text;margin-top:149.7pt;mso-position-vertical:absolute;width:73.3pt;height:67.1pt;mso-wrap-distance-left:9.0pt;mso-wrap-distance-top:0.0pt;mso-wrap-distance-right:9.0pt;mso-wrap-distance-bottom:0.0pt;" stroked="f">
                      <v:path textboxrect="0,0,0,0"/>
                      <v:imagedata r:id="rId13" o:title=""/>
                    </v:shape>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6045200</wp:posOffset>
                      </wp:positionH>
                      <wp:positionV relativeFrom="paragraph">
                        <wp:posOffset>1748155</wp:posOffset>
                      </wp:positionV>
                      <wp:extent cx="930910" cy="852805"/>
                      <wp:effectExtent l="0" t="0" r="13970" b="635"/>
                      <wp:wrapNone/>
                      <wp:docPr id="8" name="图片 5" descr="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descr="图片16"/>
                              <pic:cNvPicPr>
                                <a:picLocks noChangeAspect="1"/>
                              </pic:cNvPicPr>
                              <pic:nvPr/>
                            </pic:nvPicPr>
                            <pic:blipFill>
                              <a:blip r:embed="rId13"/>
                              <a:stretch/>
                            </pic:blipFill>
                            <pic:spPr bwMode="auto">
                              <a:xfrm>
                                <a:off x="0" y="0"/>
                                <a:ext cx="930909" cy="852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476.0pt;mso-position-horizontal:absolute;mso-position-vertical-relative:text;margin-top:137.7pt;mso-position-vertical:absolute;width:73.3pt;height:67.1pt;mso-wrap-distance-left:9.0pt;mso-wrap-distance-top:0.0pt;mso-wrap-distance-right:9.0pt;mso-wrap-distance-bottom:0.0pt;" stroked="f">
                      <v:path textboxrect="0,0,0,0"/>
                      <v:imagedata r:id="rId13" o:title=""/>
                    </v:shape>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6135370</wp:posOffset>
                      </wp:positionH>
                      <wp:positionV relativeFrom="paragraph">
                        <wp:posOffset>4514850</wp:posOffset>
                      </wp:positionV>
                      <wp:extent cx="930910" cy="852805"/>
                      <wp:effectExtent l="0" t="0" r="13970" b="635"/>
                      <wp:wrapNone/>
                      <wp:docPr id="9" name="图片 5" descr="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图片16"/>
                              <pic:cNvPicPr>
                                <a:picLocks noChangeAspect="1"/>
                              </pic:cNvPicPr>
                              <pic:nvPr/>
                            </pic:nvPicPr>
                            <pic:blipFill>
                              <a:blip r:embed="rId13"/>
                              <a:stretch/>
                            </pic:blipFill>
                            <pic:spPr bwMode="auto">
                              <a:xfrm>
                                <a:off x="0" y="0"/>
                                <a:ext cx="930909" cy="852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3360;o:allowoverlap:true;o:allowincell:true;mso-position-horizontal-relative:text;margin-left:483.1pt;mso-position-horizontal:absolute;mso-position-vertical-relative:text;margin-top:355.5pt;mso-position-vertical:absolute;width:73.3pt;height:67.1pt;mso-wrap-distance-left:9.0pt;mso-wrap-distance-top:0.0pt;mso-wrap-distance-right:9.0pt;mso-wrap-distance-bottom:0.0pt;" stroked="f">
                      <v:path textboxrect="0,0,0,0"/>
                      <v:imagedata r:id="rId13" o:title=""/>
                    </v:shape>
                  </w:pict>
                </mc:Fallback>
              </mc:AlternateContent>
            </w:r>
            <w:r/>
          </w:p>
        </w:tc>
      </w:tr>
    </w:tbl>
    <w:p>
      <w:pPr>
        <w:rPr>
          <w:rFonts w:hint="eastAsia" w:ascii="仿宋_GB2312" w:hAnsi="Calibri" w:eastAsia="仿宋_GB2312" w:cs="Times New Roman"/>
          <w:color w:val="auto"/>
          <w:position w:val="6"/>
          <w:sz w:val="30"/>
          <w:szCs w:val="20"/>
          <w:highlight w:val="none"/>
          <w:lang w:val="en-US" w:eastAsia="zh-CN" w:bidi="ar-SA"/>
        </w:rPr>
      </w:pPr>
      <w:r>
        <w:rPr>
          <w:rFonts w:hint="eastAsia" w:ascii="仿宋" w:hAnsi="仿宋" w:eastAsia="仿宋"/>
          <w:b/>
          <w:color w:val="auto"/>
          <w:sz w:val="28"/>
          <w:szCs w:val="28"/>
          <w:highlight w:val="none"/>
          <w:lang w:val="en-US" w:eastAsia="zh-CN"/>
        </w:rPr>
        <w:t xml:space="preserve">采购包二</w:t>
      </w:r>
      <w:r>
        <w:rPr>
          <w:rFonts w:hint="eastAsia" w:ascii="仿宋" w:hAnsi="仿宋" w:eastAsia="仿宋"/>
          <w:b/>
          <w:color w:val="auto"/>
          <w:sz w:val="28"/>
          <w:szCs w:val="28"/>
          <w:highlight w:val="none"/>
        </w:rPr>
        <w:t xml:space="preserve">核心产品为：</w:t>
      </w:r>
      <w:r>
        <w:rPr>
          <w:rFonts w:hint="eastAsia" w:ascii="仿宋" w:hAnsi="仿宋" w:eastAsia="仿宋"/>
          <w:b/>
          <w:color w:val="auto"/>
          <w:sz w:val="28"/>
          <w:szCs w:val="28"/>
          <w:highlight w:val="none"/>
          <w:u w:val="single"/>
          <w:lang w:val="en-US" w:eastAsia="zh-CN"/>
        </w:rPr>
        <w:t xml:space="preserve">新能源灭火装置。</w:t>
      </w:r>
      <w:r/>
    </w:p>
    <w:p>
      <w:pPr>
        <w:ind w:firstLine="560"/>
        <w:spacing w:line="500" w:lineRule="exact"/>
        <w:rPr>
          <w:rFonts w:hint="eastAsia" w:ascii="仿宋" w:hAnsi="仿宋" w:eastAsia="仿宋" w:cs="仿宋"/>
          <w:color w:val="auto"/>
          <w:sz w:val="28"/>
          <w:szCs w:val="28"/>
          <w:highlight w:val="none"/>
          <w:vertAlign w:val="baseline"/>
          <w:lang w:val="en-US" w:eastAsia="zh-CN"/>
        </w:rPr>
        <w:outlineLvl w:val="9"/>
      </w:pPr>
      <w:r>
        <w:rPr>
          <w:rFonts w:hint="eastAsia" w:ascii="仿宋" w:hAnsi="仿宋" w:eastAsia="仿宋" w:cs="仿宋"/>
          <w:color w:val="auto"/>
          <w:sz w:val="28"/>
          <w:szCs w:val="28"/>
          <w:highlight w:val="none"/>
          <w:vertAlign w:val="baseline"/>
          <w:lang w:val="en-US" w:eastAsia="zh-CN"/>
        </w:rPr>
        <w:t xml:space="preserve">（三）采购包三：</w:t>
      </w:r>
      <w:r/>
    </w:p>
    <w:tbl>
      <w:tblPr>
        <w:tblStyle w:val="868"/>
        <w:tblW w:w="101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2"/>
        <w:gridCol w:w="1053"/>
        <w:gridCol w:w="1254"/>
        <w:gridCol w:w="6546"/>
        <w:gridCol w:w="1043"/>
      </w:tblGrid>
      <w:tr>
        <w:trPr>
          <w:jc w:val="center"/>
          <w:trHeight w:val="584"/>
        </w:trPr>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装备名称</w:t>
            </w:r>
            <w:r/>
          </w:p>
        </w:tc>
        <w:tc>
          <w:tcPr>
            <w:tcBorders>
              <w:top w:val="single" w:color="000000" w:sz="4" w:space="0"/>
              <w:left w:val="single" w:color="000000" w:sz="4" w:space="0"/>
              <w:bottom w:val="single" w:color="000000" w:sz="4" w:space="0"/>
              <w:right w:val="single" w:color="000000" w:sz="4" w:space="0"/>
            </w:tcBorders>
            <w:tcW w:w="6546"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主要参数</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ind w:left="0" w:right="0" w:firstLine="0"/>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备注</w:t>
            </w:r>
            <w:r/>
          </w:p>
        </w:tc>
      </w:tr>
      <w:tr>
        <w:trPr>
          <w:gridBefore w:val="1"/>
          <w:jc w:val="center"/>
          <w:trHeight w:val="2440"/>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40mm消防水带</w:t>
            </w:r>
            <w:r/>
          </w:p>
        </w:tc>
        <w:tc>
          <w:tcPr>
            <w:tcBorders>
              <w:top w:val="single" w:color="000000" w:sz="4" w:space="0"/>
              <w:left w:val="single" w:color="000000" w:sz="4" w:space="0"/>
              <w:bottom w:val="single" w:color="000000" w:sz="4" w:space="0"/>
              <w:right w:val="single" w:color="000000" w:sz="4" w:space="0"/>
            </w:tcBorders>
            <w:tcW w:w="6546" w:type="dxa"/>
            <w:vAlign w:val="center"/>
            <w:textDirection w:val="lrTb"/>
            <w:noWrap w:val="false"/>
          </w:tcPr>
          <w:p>
            <w:pPr>
              <w:numPr>
                <w:ilvl w:val="0"/>
                <w:numId w:val="0"/>
              </w:numPr>
              <w:ind w:right="0"/>
              <w:jc w:val="left"/>
              <w:rPr>
                <w:rFonts w:hint="default"/>
                <w:color w:val="auto"/>
                <w:highlight w:val="none"/>
                <w:lang w:val="en-US" w:eastAsia="zh-CN"/>
              </w:rPr>
            </w:pPr>
            <w:r>
              <w:rPr>
                <w:rFonts w:hint="eastAsia" w:ascii="仿宋" w:hAnsi="仿宋" w:eastAsia="仿宋" w:cs="仿宋"/>
                <w:b/>
                <w:bCs/>
                <w:i w:val="0"/>
                <w:iCs w:val="0"/>
                <w:color w:val="auto"/>
                <w:sz w:val="24"/>
                <w:szCs w:val="24"/>
                <w:highlight w:val="none"/>
                <w:u w:val="none"/>
                <w:lang w:val="en-US" w:eastAsia="zh-CN"/>
              </w:rPr>
              <w:t xml:space="preserve">★1.符合《消防水带》GB6246-2011的标准要求，须提供国家认可的检测机构出具的检测检验报告；</w:t>
            </w:r>
            <w:r>
              <w:rPr>
                <w:rFonts w:hint="eastAsia" w:ascii="仿宋" w:hAnsi="仿宋" w:eastAsia="仿宋" w:cs="仿宋"/>
                <w:i w:val="0"/>
                <w:iCs w:val="0"/>
                <w:color w:val="auto"/>
                <w:sz w:val="24"/>
                <w:szCs w:val="24"/>
                <w:highlight w:val="none"/>
                <w:u w:val="none"/>
                <w:lang w:val="en-US" w:eastAsia="zh-CN"/>
              </w:rPr>
              <w:br/>
            </w:r>
            <w:r>
              <w:rPr>
                <w:rFonts w:hint="eastAsia" w:ascii="仿宋" w:hAnsi="仿宋" w:eastAsia="仿宋" w:cs="仿宋"/>
                <w:i w:val="0"/>
                <w:iCs w:val="0"/>
                <w:color w:val="auto"/>
                <w:sz w:val="24"/>
                <w:szCs w:val="24"/>
                <w:highlight w:val="none"/>
                <w:u w:val="none"/>
                <w:lang w:val="en-US" w:eastAsia="zh-CN"/>
              </w:rPr>
              <w:t xml:space="preserve">2.外层材质采用高强度涤纶长丝线，内衬聚氨酯材料；</w:t>
            </w:r>
            <w:r>
              <w:rPr>
                <w:rFonts w:hint="eastAsia" w:ascii="仿宋" w:hAnsi="仿宋" w:eastAsia="仿宋" w:cs="仿宋"/>
                <w:i w:val="0"/>
                <w:iCs w:val="0"/>
                <w:color w:val="auto"/>
                <w:sz w:val="24"/>
                <w:szCs w:val="24"/>
                <w:highlight w:val="none"/>
                <w:u w:val="none"/>
                <w:lang w:val="en-US" w:eastAsia="zh-CN"/>
              </w:rPr>
              <w:br/>
            </w:r>
            <w:r>
              <w:rPr>
                <w:rFonts w:hint="eastAsia" w:ascii="仿宋" w:hAnsi="仿宋" w:eastAsia="仿宋" w:cs="仿宋"/>
                <w:i w:val="0"/>
                <w:iCs w:val="0"/>
                <w:color w:val="auto"/>
                <w:sz w:val="24"/>
                <w:szCs w:val="24"/>
                <w:highlight w:val="none"/>
                <w:u w:val="none"/>
                <w:lang w:val="en-US" w:eastAsia="zh-CN"/>
              </w:rPr>
              <w:t xml:space="preserve">3.工作压力≥1.6MPa，爆破压力≥4.0MPa，单位长度重量≤130g/m，水带编织层与衬里之间的附着强度≥30N/25mm，延伸率≤3%，膨胀率≤5%，扯断伸长率≥350%，扯断强度≥30MPa；</w:t>
            </w:r>
            <w:r>
              <w:rPr>
                <w:rFonts w:hint="eastAsia" w:ascii="仿宋" w:hAnsi="仿宋" w:eastAsia="仿宋" w:cs="仿宋"/>
                <w:i w:val="0"/>
                <w:iCs w:val="0"/>
                <w:color w:val="auto"/>
                <w:sz w:val="24"/>
                <w:szCs w:val="24"/>
                <w:highlight w:val="none"/>
                <w:u w:val="none"/>
                <w:lang w:val="en-US" w:eastAsia="zh-CN"/>
              </w:rPr>
              <w:br/>
            </w:r>
            <w:r>
              <w:rPr>
                <w:rFonts w:hint="eastAsia" w:ascii="仿宋" w:hAnsi="仿宋" w:eastAsia="仿宋" w:cs="仿宋"/>
                <w:i w:val="0"/>
                <w:iCs w:val="0"/>
                <w:color w:val="auto"/>
                <w:sz w:val="24"/>
                <w:szCs w:val="24"/>
                <w:highlight w:val="none"/>
                <w:u w:val="none"/>
                <w:lang w:val="en-US" w:eastAsia="zh-CN"/>
              </w:rPr>
              <w:t xml:space="preserve">4.水带口径为40mm，长度≥30m；</w:t>
            </w:r>
            <w:r>
              <w:rPr>
                <w:rFonts w:hint="eastAsia" w:ascii="仿宋" w:hAnsi="仿宋" w:eastAsia="仿宋" w:cs="仿宋"/>
                <w:i w:val="0"/>
                <w:iCs w:val="0"/>
                <w:color w:val="auto"/>
                <w:sz w:val="24"/>
                <w:szCs w:val="24"/>
                <w:highlight w:val="none"/>
                <w:u w:val="none"/>
                <w:lang w:val="en-US" w:eastAsia="zh-CN"/>
              </w:rPr>
              <w:br/>
            </w:r>
            <w:r>
              <w:rPr>
                <w:rFonts w:hint="eastAsia" w:ascii="仿宋" w:hAnsi="仿宋" w:eastAsia="仿宋" w:cs="仿宋"/>
                <w:i w:val="0"/>
                <w:iCs w:val="0"/>
                <w:color w:val="auto"/>
                <w:sz w:val="24"/>
                <w:szCs w:val="24"/>
                <w:highlight w:val="none"/>
                <w:u w:val="none"/>
                <w:lang w:val="en-US" w:eastAsia="zh-CN"/>
              </w:rPr>
              <w:t xml:space="preserve">5.供货时，水带两头均配有40mm口径的快速接口(卡式)，水带和接口捆绑处有水带护套。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r>
      <w:tr>
        <w:trPr>
          <w:gridBefore w:val="1"/>
          <w:jc w:val="center"/>
          <w:trHeight w:val="1711"/>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spacing w:line="32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spacing w:line="320" w:lineRule="exac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消火栓转换接口</w:t>
            </w:r>
            <w:r/>
          </w:p>
        </w:tc>
        <w:tc>
          <w:tcPr>
            <w:tcBorders>
              <w:top w:val="single" w:color="000000" w:sz="4" w:space="0"/>
              <w:left w:val="single" w:color="000000" w:sz="4" w:space="0"/>
              <w:bottom w:val="single" w:color="000000" w:sz="4" w:space="0"/>
              <w:right w:val="single" w:color="000000" w:sz="4" w:space="0"/>
            </w:tcBorders>
            <w:tcW w:w="6546" w:type="dxa"/>
            <w:vAlign w:val="center"/>
            <w:textDirection w:val="lrTb"/>
            <w:noWrap w:val="false"/>
          </w:tcPr>
          <w:p>
            <w:pPr>
              <w:numPr>
                <w:ilvl w:val="0"/>
                <w:numId w:val="0"/>
              </w:numPr>
              <w:ind w:right="0"/>
              <w:jc w:val="left"/>
              <w:rPr>
                <w:rFonts w:hint="eastAsia" w:ascii="仿宋" w:hAnsi="仿宋" w:eastAsia="仿宋" w:cs="仿宋"/>
                <w:b/>
                <w:bCs/>
                <w:i w:val="0"/>
                <w:iCs w:val="0"/>
                <w:color w:val="auto"/>
                <w:sz w:val="24"/>
                <w:szCs w:val="24"/>
                <w:highlight w:val="none"/>
                <w:u w:val="none"/>
                <w:lang w:val="en-US" w:eastAsia="zh-CN"/>
              </w:rPr>
            </w:pPr>
            <w:r>
              <w:rPr>
                <w:rFonts w:hint="eastAsia" w:ascii="仿宋" w:hAnsi="仿宋" w:eastAsia="仿宋" w:cs="仿宋"/>
                <w:b/>
                <w:bCs/>
                <w:i w:val="0"/>
                <w:iCs w:val="0"/>
                <w:color w:val="auto"/>
                <w:sz w:val="24"/>
                <w:szCs w:val="24"/>
                <w:highlight w:val="none"/>
                <w:u w:val="none"/>
                <w:lang w:val="en-US" w:eastAsia="zh-CN"/>
              </w:rPr>
              <w:t xml:space="preserve">★1.符合 GB12514.1-2005《消防接口 第1部分:消防接口通用技术条件》和GB12514.3-2006《消防接口 第3部分:卡式消防接口型式和基本参数》的标准要求，须提供国家认可的检测机构出具的检测检验报告；</w:t>
            </w:r>
            <w:r/>
          </w:p>
          <w:p>
            <w:pPr>
              <w:numPr>
                <w:ilvl w:val="0"/>
                <w:numId w:val="0"/>
              </w:numPr>
              <w:ind w:right="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2.公称压力≥1.6MPa；</w:t>
            </w:r>
            <w:r/>
          </w:p>
          <w:p>
            <w:pPr>
              <w:numPr>
                <w:ilvl w:val="0"/>
                <w:numId w:val="0"/>
              </w:numPr>
              <w:ind w:right="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3.供货时，型号规格：65mm内扣接口转40mm卡式母口。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ind w:left="0" w:righ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gridBefore w:val="1"/>
          <w:jc w:val="center"/>
          <w:trHeight w:val="1954"/>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40mm消防水枪</w:t>
            </w:r>
            <w:r/>
          </w:p>
        </w:tc>
        <w:tc>
          <w:tcPr>
            <w:tcBorders>
              <w:top w:val="single" w:color="000000" w:sz="4" w:space="0"/>
              <w:left w:val="single" w:color="000000" w:sz="4" w:space="0"/>
              <w:bottom w:val="single" w:color="000000" w:sz="4" w:space="0"/>
              <w:right w:val="single" w:color="000000" w:sz="4" w:space="0"/>
            </w:tcBorders>
            <w:tcW w:w="6546" w:type="dxa"/>
            <w:vAlign w:val="center"/>
            <w:textDirection w:val="lrTb"/>
            <w:noWrap w:val="false"/>
          </w:tcPr>
          <w:p>
            <w:pPr>
              <w:ind w:left="0" w:right="0" w:firstLine="0"/>
              <w:jc w:val="left"/>
              <w:rPr>
                <w:rFonts w:hint="eastAsia" w:ascii="仿宋" w:hAnsi="仿宋" w:eastAsia="仿宋" w:cs="仿宋"/>
                <w:b/>
                <w:bCs/>
                <w:i w:val="0"/>
                <w:iCs w:val="0"/>
                <w:color w:val="auto"/>
                <w:sz w:val="24"/>
                <w:szCs w:val="24"/>
                <w:highlight w:val="none"/>
                <w:u w:val="none"/>
                <w:lang w:val="en-US" w:eastAsia="zh-CN"/>
              </w:rPr>
            </w:pPr>
            <w:r>
              <w:rPr>
                <w:rFonts w:hint="eastAsia" w:ascii="仿宋" w:hAnsi="仿宋" w:eastAsia="仿宋" w:cs="仿宋"/>
                <w:b/>
                <w:bCs/>
                <w:i w:val="0"/>
                <w:iCs w:val="0"/>
                <w:color w:val="auto"/>
                <w:sz w:val="24"/>
                <w:szCs w:val="24"/>
                <w:highlight w:val="none"/>
                <w:u w:val="none"/>
                <w:lang w:val="en-US" w:eastAsia="zh-CN"/>
              </w:rPr>
              <w:t xml:space="preserve">★1.符合GB8181-2005《消防水枪》的标准要求，须提供国家认可的检测机构出具的检测检验报告；</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2.直流射程≥30m；</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3.直流流量≥6L/s、最大喷雾角时的流量≥6.5L/s；</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4.通过旋转枪头实行直流和喷雾形式的转换，接口公称直径：40mm；</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5.喷雾角最小调节范围（°）：0-100；</w:t>
            </w:r>
            <w:r/>
          </w:p>
          <w:p>
            <w:pPr>
              <w:ind w:left="0" w:right="0" w:firstLine="0"/>
              <w:jc w:val="left"/>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6.操作力矩（N·m）≤15。</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ind w:left="0" w:righ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gridBefore w:val="1"/>
          <w:jc w:val="center"/>
          <w:trHeight w:val="2691"/>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化学氧自救呼吸器</w:t>
            </w:r>
            <w:r/>
          </w:p>
        </w:tc>
        <w:tc>
          <w:tcPr>
            <w:tcBorders>
              <w:top w:val="single" w:color="000000" w:sz="4" w:space="0"/>
              <w:left w:val="single" w:color="000000" w:sz="4" w:space="0"/>
              <w:bottom w:val="single" w:color="000000" w:sz="4" w:space="0"/>
              <w:right w:val="single" w:color="000000" w:sz="4" w:space="0"/>
            </w:tcBorders>
            <w:tcW w:w="6546" w:type="dxa"/>
            <w:vAlign w:val="center"/>
            <w:textDirection w:val="lrTb"/>
            <w:noWrap w:val="false"/>
          </w:tcPr>
          <w:p>
            <w:pPr>
              <w:ind w:left="0" w:right="0" w:firstLine="0"/>
              <w:jc w:val="left"/>
              <w:rPr>
                <w:rFonts w:hint="eastAsia" w:ascii="仿宋" w:hAnsi="仿宋" w:eastAsia="仿宋" w:cs="仿宋"/>
                <w:b/>
                <w:bCs/>
                <w:i w:val="0"/>
                <w:iCs w:val="0"/>
                <w:color w:val="auto"/>
                <w:sz w:val="24"/>
                <w:szCs w:val="24"/>
                <w:highlight w:val="none"/>
                <w:u w:val="none"/>
                <w:lang w:val="en-US" w:eastAsia="zh-CN"/>
              </w:rPr>
            </w:pPr>
            <w:r>
              <w:rPr>
                <w:rFonts w:hint="eastAsia" w:ascii="仿宋" w:hAnsi="仿宋" w:eastAsia="仿宋" w:cs="仿宋"/>
                <w:b/>
                <w:bCs/>
                <w:i w:val="0"/>
                <w:iCs w:val="0"/>
                <w:color w:val="auto"/>
                <w:sz w:val="24"/>
                <w:szCs w:val="24"/>
                <w:highlight w:val="none"/>
                <w:u w:val="none"/>
                <w:lang w:val="en-US" w:eastAsia="zh-CN"/>
              </w:rPr>
              <w:t xml:space="preserve">★1.符合XF411-2003《化学氧消防自救呼吸器》的标准要求，须提供国家认可的检测机构出具的检测检验报告；</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2.额定防护时间≥30min；</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3.佩戴质量≤1.8kg；</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4.贮气袋容积≥6L；</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5.吸气中二氧化碳浓度（最大值）：≤3.0%；</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6.吸气中氧气浓度：≥21%；</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7.呼吸阻力之和（Pa）：≤1600；</w:t>
            </w:r>
            <w:r/>
          </w:p>
          <w:p>
            <w:pPr>
              <w:ind w:left="0" w:right="0" w:firstLine="0"/>
              <w:jc w:val="left"/>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8.面罩漏气系数（%）：≤5；</w:t>
            </w:r>
            <w:r/>
          </w:p>
          <w:p>
            <w:pPr>
              <w:ind w:left="0" w:right="0" w:firstLine="0"/>
              <w:jc w:val="left"/>
              <w:rPr>
                <w:rFonts w:hint="default"/>
                <w:color w:val="auto"/>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9.呼吸系统气密性（Pa）：≤98。</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ind w:left="0" w:right="0" w:firstLine="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bl>
    <w:p>
      <w:pPr>
        <w:rPr>
          <w:rFonts w:hint="eastAsia" w:ascii="仿宋_GB2312" w:hAnsi="Calibri" w:eastAsia="仿宋_GB2312" w:cs="Times New Roman"/>
          <w:color w:val="auto"/>
          <w:position w:val="6"/>
          <w:sz w:val="30"/>
          <w:szCs w:val="20"/>
          <w:highlight w:val="none"/>
          <w:lang w:val="en-US" w:eastAsia="zh-CN" w:bidi="ar-SA"/>
        </w:rPr>
      </w:pPr>
      <w:r>
        <w:rPr>
          <w:rFonts w:hint="eastAsia" w:ascii="仿宋" w:hAnsi="仿宋" w:eastAsia="仿宋"/>
          <w:b/>
          <w:color w:val="auto"/>
          <w:sz w:val="28"/>
          <w:szCs w:val="28"/>
          <w:highlight w:val="none"/>
          <w:lang w:val="en-US" w:eastAsia="zh-CN"/>
        </w:rPr>
        <w:t xml:space="preserve">采购包三</w:t>
      </w:r>
      <w:r>
        <w:rPr>
          <w:rFonts w:hint="eastAsia" w:ascii="仿宋" w:hAnsi="仿宋" w:eastAsia="仿宋"/>
          <w:b/>
          <w:color w:val="auto"/>
          <w:sz w:val="28"/>
          <w:szCs w:val="28"/>
          <w:highlight w:val="none"/>
        </w:rPr>
        <w:t xml:space="preserve">核心产品为：</w:t>
      </w:r>
      <w:r>
        <w:rPr>
          <w:rFonts w:hint="eastAsia" w:ascii="仿宋" w:hAnsi="仿宋" w:eastAsia="仿宋" w:cs="Times New Roman"/>
          <w:b/>
          <w:color w:val="auto"/>
          <w:sz w:val="28"/>
          <w:szCs w:val="28"/>
          <w:highlight w:val="none"/>
          <w:u w:val="single"/>
          <w:lang w:val="en-US" w:eastAsia="zh-CN"/>
        </w:rPr>
        <w:t xml:space="preserve">40mm消防水带。</w:t>
      </w:r>
      <w:r/>
    </w:p>
    <w:p>
      <w:pPr>
        <w:numPr>
          <w:ilvl w:val="0"/>
          <w:numId w:val="0"/>
        </w:numPr>
        <w:ind w:firstLine="560"/>
        <w:spacing w:line="500" w:lineRule="exact"/>
        <w:rPr>
          <w:rFonts w:hint="eastAsia" w:ascii="仿宋" w:hAnsi="仿宋" w:eastAsia="仿宋"/>
          <w:b/>
          <w:bCs/>
          <w:color w:val="auto"/>
          <w:sz w:val="28"/>
          <w:szCs w:val="28"/>
          <w:highlight w:val="none"/>
          <w:lang w:eastAsia="zh-CN"/>
        </w:rPr>
      </w:pPr>
      <w:r>
        <w:rPr>
          <w:rFonts w:hint="eastAsia" w:ascii="黑体" w:hAnsi="黑体" w:eastAsia="黑体"/>
          <w:color w:val="auto"/>
          <w:sz w:val="28"/>
          <w:szCs w:val="28"/>
          <w:highlight w:val="none"/>
          <w:lang w:val="en-US" w:eastAsia="zh-CN"/>
        </w:rPr>
        <w:t xml:space="preserve">注：</w:t>
      </w:r>
      <w:r>
        <w:rPr>
          <w:rFonts w:hint="eastAsia" w:ascii="仿宋" w:hAnsi="仿宋" w:eastAsia="仿宋"/>
          <w:b/>
          <w:bCs/>
          <w:color w:val="auto"/>
          <w:sz w:val="28"/>
          <w:szCs w:val="28"/>
          <w:highlight w:val="none"/>
          <w:lang w:val="en-US" w:eastAsia="zh-CN"/>
        </w:rPr>
        <w:t xml:space="preserve">1.以上参数中“★”号参数为实质性要求，须按要求提供证明材料，不提供视为无效响应。</w:t>
      </w:r>
      <w:r/>
    </w:p>
    <w:p>
      <w:pPr>
        <w:numPr>
          <w:ilvl w:val="0"/>
          <w:numId w:val="0"/>
        </w:num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lang w:val="en-US" w:eastAsia="zh-CN"/>
        </w:rPr>
        <w:t xml:space="preserve">2.其他参数为一般技术参数，响应</w:t>
      </w:r>
      <w:r>
        <w:rPr>
          <w:rFonts w:hint="eastAsia" w:ascii="仿宋" w:hAnsi="仿宋" w:eastAsia="仿宋"/>
          <w:b/>
          <w:color w:val="auto"/>
          <w:sz w:val="28"/>
          <w:szCs w:val="28"/>
          <w:highlight w:val="none"/>
        </w:rPr>
        <w:t xml:space="preserve">供应商</w:t>
      </w:r>
      <w:r>
        <w:rPr>
          <w:rFonts w:hint="eastAsia" w:ascii="仿宋" w:hAnsi="仿宋" w:eastAsia="仿宋"/>
          <w:b/>
          <w:color w:val="auto"/>
          <w:sz w:val="28"/>
          <w:szCs w:val="28"/>
          <w:highlight w:val="none"/>
          <w:lang w:val="en-US" w:eastAsia="zh-CN"/>
        </w:rPr>
        <w:t xml:space="preserve">均需满足，不满足视为无效响应。</w:t>
      </w:r>
      <w:r>
        <w:rPr>
          <w:rFonts w:hint="eastAsia" w:ascii="仿宋" w:hAnsi="仿宋" w:eastAsia="仿宋"/>
          <w:b/>
          <w:color w:val="auto"/>
          <w:sz w:val="28"/>
          <w:szCs w:val="28"/>
          <w:highlight w:val="none"/>
        </w:rPr>
        <w:t xml:space="preserve">须依据对其</w:t>
      </w:r>
      <w:r>
        <w:rPr>
          <w:rFonts w:hint="eastAsia" w:ascii="仿宋" w:hAnsi="仿宋" w:eastAsia="仿宋"/>
          <w:b/>
          <w:color w:val="auto"/>
          <w:sz w:val="28"/>
          <w:szCs w:val="28"/>
          <w:highlight w:val="none"/>
          <w:lang w:val="en-US" w:eastAsia="zh-CN"/>
        </w:rPr>
        <w:t xml:space="preserve">响应</w:t>
      </w:r>
      <w:r>
        <w:rPr>
          <w:rFonts w:hint="eastAsia" w:ascii="仿宋" w:hAnsi="仿宋" w:eastAsia="仿宋"/>
          <w:b/>
          <w:color w:val="auto"/>
          <w:sz w:val="28"/>
          <w:szCs w:val="28"/>
          <w:highlight w:val="none"/>
        </w:rPr>
        <w:t xml:space="preserve">产品的品牌、型号等信息认真核实，填写技术部分正负偏离表，评审时评委依据技术偏离进行评审。成交后签订合同前须提交每个产品的详细说明书或检测报告，如供货与响应文件不一致，采购人有权拒收货物，成交人需更换符合响应文件的产品供货，如无法满足，采购人可以取消合同。由此引发的一切后果由</w:t>
      </w:r>
      <w:r>
        <w:rPr>
          <w:rFonts w:hint="eastAsia" w:ascii="仿宋" w:hAnsi="仿宋" w:eastAsia="仿宋"/>
          <w:b/>
          <w:color w:val="auto"/>
          <w:sz w:val="28"/>
          <w:szCs w:val="28"/>
          <w:highlight w:val="none"/>
          <w:lang w:val="en-US" w:eastAsia="zh-CN"/>
        </w:rPr>
        <w:t xml:space="preserve">成交</w:t>
      </w:r>
      <w:r>
        <w:rPr>
          <w:rFonts w:hint="eastAsia" w:ascii="仿宋" w:hAnsi="仿宋" w:eastAsia="仿宋"/>
          <w:b/>
          <w:color w:val="auto"/>
          <w:sz w:val="28"/>
          <w:szCs w:val="28"/>
          <w:highlight w:val="none"/>
        </w:rPr>
        <w:t xml:space="preserve">人承担。</w:t>
      </w:r>
      <w:r/>
    </w:p>
    <w:p>
      <w:pPr>
        <w:numPr>
          <w:ilvl w:val="0"/>
          <w:numId w:val="0"/>
        </w:numPr>
        <w:ind w:firstLine="562"/>
        <w:spacing w:line="500" w:lineRule="exact"/>
        <w:rPr>
          <w:rFonts w:hint="default"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lang w:val="en-US" w:eastAsia="zh-CN"/>
        </w:rPr>
        <w:t xml:space="preserve">3.如上述参数为固定值，均为该参数的最低要求，响应供应商可以选择优于该参数的产品进行响应。</w:t>
      </w:r>
      <w:r/>
    </w:p>
    <w:p>
      <w:pPr>
        <w:ind w:firstLine="560"/>
        <w:spacing w:line="500" w:lineRule="exact"/>
        <w:rPr>
          <w:rFonts w:ascii="黑体" w:hAnsi="黑体" w:eastAsia="黑体"/>
          <w:color w:val="auto"/>
          <w:sz w:val="28"/>
          <w:szCs w:val="28"/>
          <w:highlight w:val="none"/>
        </w:rPr>
        <w:outlineLvl w:val="1"/>
      </w:pPr>
      <w:r/>
      <w:bookmarkStart w:id="61" w:name="_Toc31068"/>
      <w:r/>
      <w:bookmarkStart w:id="62" w:name="_Toc30513"/>
      <w:r>
        <w:rPr>
          <w:rFonts w:hint="eastAsia" w:ascii="黑体" w:hAnsi="黑体" w:eastAsia="黑体"/>
          <w:color w:val="auto"/>
          <w:sz w:val="28"/>
          <w:szCs w:val="28"/>
          <w:highlight w:val="none"/>
        </w:rPr>
        <w:t xml:space="preserve">四、质量标准</w:t>
      </w:r>
      <w:bookmarkEnd w:id="61"/>
      <w:r/>
      <w:bookmarkEnd w:id="62"/>
      <w:r/>
      <w:r/>
    </w:p>
    <w:p>
      <w:pPr>
        <w:ind w:firstLine="560"/>
        <w:spacing w:line="500" w:lineRule="exact"/>
        <w:rPr>
          <w:rFonts w:hint="eastAsia" w:ascii="仿宋" w:hAnsi="仿宋" w:eastAsia="仿宋"/>
          <w:bCs/>
          <w:color w:val="auto"/>
          <w:sz w:val="28"/>
          <w:szCs w:val="28"/>
          <w:highlight w:val="none"/>
          <w:lang w:val="en-US" w:eastAsia="zh-CN"/>
        </w:rPr>
      </w:pPr>
      <w:r/>
      <w:bookmarkStart w:id="63" w:name="_Hlk40719223"/>
      <w:r/>
      <w:bookmarkStart w:id="64" w:name="_Toc21326"/>
      <w:r/>
      <w:bookmarkStart w:id="65" w:name="_Toc14478"/>
      <w:r>
        <w:rPr>
          <w:rFonts w:hint="eastAsia" w:ascii="仿宋" w:hAnsi="仿宋" w:eastAsia="仿宋"/>
          <w:bCs/>
          <w:color w:val="auto"/>
          <w:sz w:val="28"/>
          <w:szCs w:val="28"/>
          <w:highlight w:val="none"/>
        </w:rPr>
        <w:t xml:space="preserve">（一）响应供应商不能简单照搬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提供的需求，必须按</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技术规格逐项作出实质性应答，</w:t>
      </w:r>
      <w:r>
        <w:rPr>
          <w:rFonts w:hint="eastAsia" w:ascii="仿宋" w:hAnsi="仿宋" w:eastAsia="仿宋"/>
          <w:b/>
          <w:bCs w:val="0"/>
          <w:color w:val="auto"/>
          <w:sz w:val="28"/>
          <w:szCs w:val="28"/>
          <w:highlight w:val="none"/>
          <w:lang w:val="en-US" w:eastAsia="zh-CN"/>
        </w:rPr>
        <w:t xml:space="preserve">标明实际参数，</w:t>
      </w:r>
      <w:r>
        <w:rPr>
          <w:rFonts w:hint="eastAsia" w:ascii="仿宋" w:hAnsi="仿宋" w:eastAsia="仿宋"/>
          <w:b/>
          <w:bCs w:val="0"/>
          <w:color w:val="auto"/>
          <w:sz w:val="28"/>
          <w:szCs w:val="28"/>
          <w:highlight w:val="none"/>
        </w:rPr>
        <w:t xml:space="preserve">如照搬照抄项目需求中的技术</w:t>
      </w:r>
      <w:r>
        <w:rPr>
          <w:rFonts w:hint="eastAsia" w:ascii="仿宋" w:hAnsi="仿宋" w:eastAsia="仿宋"/>
          <w:b/>
          <w:bCs w:val="0"/>
          <w:color w:val="auto"/>
          <w:sz w:val="28"/>
          <w:szCs w:val="28"/>
          <w:highlight w:val="none"/>
          <w:lang w:val="en-US" w:eastAsia="zh-CN"/>
        </w:rPr>
        <w:t xml:space="preserve">参数</w:t>
      </w:r>
      <w:r>
        <w:rPr>
          <w:rFonts w:hint="eastAsia" w:ascii="仿宋" w:hAnsi="仿宋" w:eastAsia="仿宋"/>
          <w:b/>
          <w:bCs w:val="0"/>
          <w:color w:val="auto"/>
          <w:sz w:val="28"/>
          <w:szCs w:val="28"/>
          <w:highlight w:val="none"/>
        </w:rPr>
        <w:t xml:space="preserve">的，</w:t>
      </w:r>
      <w:r>
        <w:rPr>
          <w:rFonts w:hint="eastAsia" w:ascii="仿宋" w:hAnsi="仿宋" w:eastAsia="仿宋"/>
          <w:b/>
          <w:bCs w:val="0"/>
          <w:color w:val="auto"/>
          <w:sz w:val="28"/>
          <w:szCs w:val="28"/>
          <w:highlight w:val="none"/>
          <w:lang w:val="en-US" w:eastAsia="zh-CN"/>
        </w:rPr>
        <w:t xml:space="preserve">作无效响应处理。</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（二）成交人须明确所投设备的生产厂家、品牌、型号、规格和外形、尺寸等。</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（三）成交人应保证货物是全新、未使用过的原厂合格产品，并完全符合</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规定的质量、规格和参数的要求。验收过程中发现产品不符合上述要求的，将视作不合格产品，采购人有权终止合同，造成的一切损失由成交人承担。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（四）成交人应保证提供的产品不得侵犯第三方专利权、商标权和设计权、版权等。否则，成交人应负全部责任，并承担由此引起的一切后果。</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（五）成交人应保证其货物在正确安装、正常使用下，在其使用寿命期内应具有满意的性能</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（六）成交人应采取必要的安全措施保证货物的运输及安装的安全，并承担货物的运输及安装过程中产生的风险。</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（八）成交人必须保证所提供的产品符合国家相应质量要求，供货时必须随产品提供出厂材料，包括但不限于检验报告（复印件）、产品合格证（原件）等。</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（九）成交人所供货物最终验收后，成交人应对由于设计、工艺或材料的缺陷而发生的任何不足或故障负责，并承担由此引起的一切后果。</w:t>
      </w:r>
      <w:bookmarkEnd w:id="63"/>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（十）在项目采购或实施过程中，如国家标准修改，应按照新国家标准实施；如本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规定高于国家标准，无论新旧标准，均按本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规定低于国家标准，无论新旧标准，均按国家标准规定实施。如本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五、交货期限和地点</w:t>
      </w:r>
      <w:bookmarkEnd w:id="64"/>
      <w:r/>
      <w:bookmarkEnd w:id="65"/>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交货期限：</w:t>
      </w:r>
      <w:r>
        <w:rPr>
          <w:rFonts w:hint="eastAsia" w:ascii="仿宋" w:hAnsi="仿宋" w:eastAsia="仿宋"/>
          <w:color w:val="auto"/>
          <w:sz w:val="28"/>
          <w:szCs w:val="28"/>
          <w:highlight w:val="none"/>
          <w:lang w:val="en-US" w:eastAsia="zh-CN"/>
        </w:rPr>
        <w:t xml:space="preserve">自签订合同之日起45个日历天内完成供货，具体时间以采购人通知为准。</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采购人指定地点。</w:t>
      </w:r>
      <w:r/>
    </w:p>
    <w:p>
      <w:pPr>
        <w:ind w:firstLine="560"/>
        <w:spacing w:line="500" w:lineRule="exact"/>
        <w:rPr>
          <w:rFonts w:ascii="黑体" w:hAnsi="黑体" w:eastAsia="黑体"/>
          <w:color w:val="auto"/>
          <w:sz w:val="28"/>
          <w:szCs w:val="28"/>
          <w:highlight w:val="none"/>
        </w:rPr>
        <w:outlineLvl w:val="1"/>
      </w:pPr>
      <w:r/>
      <w:bookmarkStart w:id="66" w:name="_Toc22979"/>
      <w:r/>
      <w:bookmarkStart w:id="67" w:name="_Toc29550"/>
      <w:r>
        <w:rPr>
          <w:rFonts w:hint="eastAsia" w:ascii="黑体" w:hAnsi="黑体" w:eastAsia="黑体"/>
          <w:color w:val="auto"/>
          <w:sz w:val="28"/>
          <w:szCs w:val="28"/>
          <w:highlight w:val="none"/>
        </w:rPr>
        <w:t xml:space="preserve">六、验收方案</w:t>
      </w:r>
      <w:bookmarkEnd w:id="66"/>
      <w:r/>
      <w:bookmarkEnd w:id="67"/>
      <w:r/>
      <w:r/>
    </w:p>
    <w:p>
      <w:pPr>
        <w:ind w:firstLine="560"/>
        <w:spacing w:line="500" w:lineRule="exact"/>
        <w:rPr>
          <w:rFonts w:ascii="仿宋" w:hAnsi="仿宋" w:eastAsia="仿宋"/>
          <w:bCs/>
          <w:color w:val="auto"/>
          <w:sz w:val="28"/>
          <w:szCs w:val="28"/>
          <w:highlight w:val="none"/>
        </w:rPr>
      </w:pPr>
      <w:r/>
      <w:bookmarkStart w:id="68" w:name="_Toc26741"/>
      <w:r>
        <w:rPr>
          <w:rFonts w:hint="eastAsia" w:ascii="仿宋" w:hAnsi="仿宋" w:eastAsia="仿宋"/>
          <w:bCs/>
          <w:color w:val="auto"/>
          <w:sz w:val="28"/>
          <w:szCs w:val="28"/>
          <w:highlight w:val="none"/>
        </w:rPr>
        <w:t xml:space="preserve">1.交供应商向采购人提供详细的设备供货清单，由采购人确认。当货物到达采购人指定的现场后，采购人和成交供应商依据供货清单共同对货物进行检验，并对设备的数量、品质进行逐项检查；</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2.验收以最终采购人及相关部门（如有）验收为准。响应货物和设备经过双方检验认可后，签署验收报告，货物保修期自验收合格之日起算，由成交供应商提供货物保修文件；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 验收要求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成交供应商必须严格按照响应时所投原产品品牌进行供货，提供货物绝不低于采购文件规定的规格和材质要求，如果采购人发现一件产品不符合国家标准及采购文件要求，成交供应商需无条件退货，并按照合同总价款的20%违约金无条件支付给采购人，违约金从采购人应付成交供应商的任何款项中支付。同时采购人有权终止合同，并保留追究成交供应商责任的权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（2）验收标准：成交供应商提供的货物必须符合我国最新颁布的与之相关的技术规范与标准，同时必须满足采购文件中所列规格、具体配置、技术条件及功能要求和成交供应商承诺的其它指标。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（3）在质保期内，如果标的物的数量、质量或规格与合同不符或证实标的物是具有缺陷的，包括潜在缺陷或使用不符合要求的材料等，采购人将以书面形式通知成交供应商并提出索赔。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（4）验收期限在安装调试结束60个工作日内进行。特殊情况需延长的，双方应特别约定。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验收结果经双方确认后，双方代表须按规定的验收项目填好《如皋市政府项目履约验收报告书》并盖章签名。履行验收报告作为最终付款所需文件的组成部分。如双方对验收结果有分歧，则以项目所在地产品质量监督检验所的检验结果为准，检验费由有过失的一方支付。</w:t>
      </w:r>
      <w:r/>
    </w:p>
    <w:p>
      <w:pPr>
        <w:ind w:firstLine="560"/>
        <w:spacing w:line="500" w:lineRule="exact"/>
        <w:rPr>
          <w:rFonts w:ascii="黑体" w:hAnsi="黑体" w:eastAsia="黑体"/>
          <w:color w:val="auto"/>
          <w:sz w:val="28"/>
          <w:szCs w:val="28"/>
          <w:highlight w:val="none"/>
        </w:rPr>
        <w:outlineLvl w:val="1"/>
      </w:pPr>
      <w:r/>
      <w:bookmarkStart w:id="69" w:name="_Toc3673"/>
      <w:r>
        <w:rPr>
          <w:rFonts w:hint="eastAsia" w:ascii="黑体" w:hAnsi="黑体" w:eastAsia="黑体"/>
          <w:color w:val="auto"/>
          <w:sz w:val="28"/>
          <w:szCs w:val="28"/>
          <w:highlight w:val="none"/>
        </w:rPr>
        <w:t xml:space="preserve">七、质量保证期限</w:t>
      </w:r>
      <w:bookmarkEnd w:id="68"/>
      <w:r/>
      <w:bookmarkEnd w:id="69"/>
      <w:r/>
      <w:r/>
    </w:p>
    <w:p>
      <w:pPr>
        <w:ind w:firstLine="560"/>
        <w:spacing w:line="500" w:lineRule="exact"/>
        <w:rPr>
          <w:rFonts w:ascii="黑体" w:hAnsi="黑体" w:eastAsia="黑体"/>
          <w:color w:val="auto"/>
          <w:sz w:val="28"/>
          <w:szCs w:val="28"/>
          <w:highlight w:val="none"/>
        </w:rPr>
        <w:outlineLvl w:val="9"/>
      </w:pPr>
      <w:r>
        <w:rPr>
          <w:rFonts w:hint="eastAsia" w:ascii="仿宋" w:hAnsi="仿宋" w:eastAsia="仿宋"/>
          <w:color w:val="auto"/>
          <w:sz w:val="28"/>
          <w:szCs w:val="28"/>
          <w:highlight w:val="none"/>
        </w:rPr>
        <w:t xml:space="preserve">自交货并验收合格之日起计</w:t>
      </w:r>
      <w:r>
        <w:rPr>
          <w:rFonts w:hint="eastAsia" w:ascii="仿宋" w:hAnsi="仿宋" w:eastAsia="仿宋"/>
          <w:color w:val="auto"/>
          <w:sz w:val="28"/>
          <w:szCs w:val="28"/>
          <w:highlight w:val="none"/>
          <w:lang w:val="en-US" w:eastAsia="zh-CN"/>
        </w:rPr>
        <w:t xml:space="preserve">壹</w:t>
      </w:r>
      <w:r>
        <w:rPr>
          <w:rFonts w:hint="eastAsia" w:ascii="仿宋" w:hAnsi="仿宋" w:eastAsia="仿宋"/>
          <w:color w:val="auto"/>
          <w:sz w:val="28"/>
          <w:szCs w:val="28"/>
          <w:highlight w:val="none"/>
        </w:rPr>
        <w:t xml:space="preserve">年。</w:t>
      </w:r>
      <w:r/>
    </w:p>
    <w:p>
      <w:pPr>
        <w:ind w:firstLine="560"/>
        <w:spacing w:line="500" w:lineRule="exact"/>
        <w:rPr>
          <w:rFonts w:ascii="黑体" w:hAnsi="黑体" w:eastAsia="黑体"/>
          <w:color w:val="auto"/>
          <w:sz w:val="28"/>
          <w:szCs w:val="28"/>
          <w:highlight w:val="none"/>
        </w:rPr>
        <w:outlineLvl w:val="1"/>
      </w:pPr>
      <w:r/>
      <w:bookmarkStart w:id="70" w:name="_Toc31073"/>
      <w:r/>
      <w:bookmarkStart w:id="71" w:name="_Toc16810"/>
      <w:r>
        <w:rPr>
          <w:rFonts w:hint="eastAsia" w:ascii="黑体" w:hAnsi="黑体" w:eastAsia="黑体"/>
          <w:color w:val="auto"/>
          <w:sz w:val="28"/>
          <w:szCs w:val="28"/>
          <w:highlight w:val="none"/>
        </w:rPr>
        <w:t xml:space="preserve">八、售后服务</w:t>
      </w:r>
      <w:bookmarkEnd w:id="70"/>
      <w:r/>
      <w:bookmarkEnd w:id="71"/>
      <w:r/>
      <w:r/>
    </w:p>
    <w:p>
      <w:pPr>
        <w:ind w:firstLine="560"/>
        <w:spacing w:line="500" w:lineRule="exact"/>
        <w:rPr>
          <w:rFonts w:ascii="仿宋" w:hAnsi="仿宋" w:eastAsia="仿宋"/>
          <w:color w:val="auto"/>
          <w:sz w:val="28"/>
          <w:szCs w:val="28"/>
          <w:highlight w:val="none"/>
        </w:rPr>
      </w:pPr>
      <w:r/>
      <w:bookmarkStart w:id="72" w:name="_Toc26116"/>
      <w:r>
        <w:rPr>
          <w:rFonts w:hint="eastAsia" w:ascii="仿宋" w:hAnsi="仿宋" w:eastAsia="仿宋"/>
          <w:color w:val="auto"/>
          <w:sz w:val="28"/>
          <w:szCs w:val="28"/>
          <w:highlight w:val="none"/>
        </w:rPr>
        <w:t xml:space="preserve">1.成交供应商货物经过双方检验认可后，签署验收报告，免费质量保证期</w:t>
      </w:r>
      <w:r>
        <w:rPr>
          <w:rFonts w:hint="eastAsia" w:ascii="仿宋" w:hAnsi="仿宋" w:eastAsia="仿宋"/>
          <w:b/>
          <w:bCs/>
          <w:color w:val="auto"/>
          <w:sz w:val="28"/>
          <w:szCs w:val="28"/>
          <w:highlight w:val="none"/>
          <w:lang w:val="en-US" w:eastAsia="zh-CN"/>
        </w:rPr>
        <w:t xml:space="preserve">壹年</w:t>
      </w:r>
      <w:r>
        <w:rPr>
          <w:rFonts w:hint="eastAsia" w:ascii="仿宋" w:hAnsi="仿宋" w:eastAsia="仿宋"/>
          <w:color w:val="auto"/>
          <w:sz w:val="28"/>
          <w:szCs w:val="28"/>
          <w:highlight w:val="none"/>
        </w:rPr>
        <w:t xml:space="preserve">（采购文件具体技术要求另有说明的除外），质量保证期自货物验收合格之日起算，由成交供应商提供货物保修文件。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质保期内出现质量问题，成交供应商需在2小时内响应，12小时内赶到现场提供免费服务,并在3天内完成修复或更换，无法修复或经过两次修复仍出现质量问题，予以换货，造成采购单位的损失，由成交供应商负责，采购单位应尽快以书面形式或口头通知成交供应商，并向成交供应商提出索赔。如成交供应商在接到通知后3天内没有答复或处理问题，则视为成交供应商承认质量问题并承担由此而发生的一切费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3.在免费质保期内设备发生非人为故障，响应供应商应免费上门检修维修，免费更换零部件，并免费上门进行定期检查维护保养、解决用户在使用中出现的疑难。保修期内免费进行检修或更换零配件。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4.成交供应商须提供全面使用、维护培训。响应供应商应对所投设备进行调试并对采购人操作人员提供不少于</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天的现场实地操作培训。</w:t>
      </w:r>
      <w:r/>
    </w:p>
    <w:p>
      <w:pPr>
        <w:ind w:left="559" w:firstLine="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5.质保期满以后，成交供应商应按同类货物的优惠价格提供保修服务。</w:t>
      </w:r>
      <w:r/>
    </w:p>
    <w:p>
      <w:pPr>
        <w:ind w:firstLine="560"/>
        <w:spacing w:line="500" w:lineRule="exact"/>
        <w:rPr>
          <w:rFonts w:hint="eastAsia" w:ascii="黑体" w:hAnsi="黑体" w:eastAsia="黑体"/>
          <w:color w:val="auto"/>
          <w:sz w:val="28"/>
          <w:szCs w:val="28"/>
          <w:highlight w:val="none"/>
        </w:rPr>
        <w:outlineLvl w:val="1"/>
      </w:pPr>
      <w:r/>
      <w:bookmarkStart w:id="73" w:name="_Toc10096"/>
      <w:r>
        <w:rPr>
          <w:rFonts w:hint="eastAsia" w:ascii="黑体" w:hAnsi="黑体" w:eastAsia="黑体"/>
          <w:color w:val="auto"/>
          <w:sz w:val="28"/>
          <w:szCs w:val="28"/>
          <w:highlight w:val="none"/>
        </w:rPr>
        <w:t xml:space="preserve">九、付款方式</w:t>
      </w:r>
      <w:bookmarkEnd w:id="72"/>
      <w:r/>
      <w:bookmarkEnd w:id="73"/>
      <w:r/>
      <w:r/>
    </w:p>
    <w:p>
      <w:pPr>
        <w:ind w:firstLine="560"/>
        <w:spacing w:line="500" w:lineRule="exact"/>
        <w:rPr>
          <w:rFonts w:hint="eastAsia" w:ascii="黑体" w:hAnsi="黑体" w:eastAsia="黑体"/>
          <w:b/>
          <w:bCs/>
          <w:color w:val="auto"/>
          <w:sz w:val="28"/>
          <w:szCs w:val="28"/>
          <w:highlight w:val="none"/>
        </w:rPr>
      </w:pPr>
      <w:r/>
      <w:bookmarkStart w:id="74" w:name="_Toc32404"/>
      <w:r>
        <w:rPr>
          <w:rFonts w:hint="eastAsia" w:ascii="仿宋" w:hAnsi="仿宋" w:eastAsia="仿宋"/>
          <w:b/>
          <w:bCs/>
          <w:color w:val="auto"/>
          <w:sz w:val="28"/>
          <w:szCs w:val="28"/>
          <w:highlight w:val="none"/>
          <w:lang w:val="en-US" w:eastAsia="zh-CN"/>
        </w:rPr>
        <w:t xml:space="preserve">自</w:t>
      </w:r>
      <w:r>
        <w:rPr>
          <w:rFonts w:hint="eastAsia" w:ascii="仿宋" w:hAnsi="仿宋" w:eastAsia="仿宋"/>
          <w:b/>
          <w:bCs/>
          <w:color w:val="auto"/>
          <w:sz w:val="28"/>
          <w:szCs w:val="28"/>
          <w:highlight w:val="none"/>
        </w:rPr>
        <w:t xml:space="preserve">交货</w:t>
      </w:r>
      <w:r>
        <w:rPr>
          <w:rFonts w:hint="eastAsia" w:ascii="仿宋" w:hAnsi="仿宋" w:eastAsia="仿宋"/>
          <w:b/>
          <w:bCs/>
          <w:color w:val="auto"/>
          <w:sz w:val="28"/>
          <w:szCs w:val="28"/>
          <w:highlight w:val="none"/>
          <w:lang w:val="en-US" w:eastAsia="zh-CN"/>
        </w:rPr>
        <w:t xml:space="preserve">验收合格后支付合同价的98%，设备正常使用12个月后付清尾款。</w:t>
      </w:r>
      <w:r/>
    </w:p>
    <w:p>
      <w:pPr>
        <w:ind w:firstLine="560"/>
        <w:spacing w:line="500" w:lineRule="exact"/>
        <w:rPr>
          <w:rFonts w:ascii="仿宋" w:hAnsi="仿宋" w:eastAsia="仿宋"/>
          <w:color w:val="auto"/>
          <w:sz w:val="28"/>
          <w:szCs w:val="28"/>
          <w:highlight w:val="none"/>
        </w:rPr>
        <w:outlineLvl w:val="1"/>
      </w:pPr>
      <w:r/>
      <w:bookmarkStart w:id="75" w:name="_Toc4898"/>
      <w:r>
        <w:rPr>
          <w:rFonts w:hint="eastAsia" w:ascii="黑体" w:hAnsi="黑体" w:eastAsia="黑体"/>
          <w:color w:val="auto"/>
          <w:sz w:val="28"/>
          <w:szCs w:val="28"/>
          <w:highlight w:val="none"/>
        </w:rPr>
        <w:t xml:space="preserve">十、磋商过程中可能会实质性变动的内容</w:t>
      </w:r>
      <w:bookmarkEnd w:id="74"/>
      <w:r/>
      <w:bookmarkEnd w:id="75"/>
      <w:r/>
      <w:r/>
    </w:p>
    <w:p>
      <w:pPr>
        <w:ind w:firstLine="560"/>
        <w:spacing w:line="50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采购需求中的技术、服务要求以及合同草案条款</w:t>
      </w:r>
      <w:r>
        <w:rPr>
          <w:rFonts w:hint="eastAsia" w:ascii="仿宋" w:hAnsi="仿宋" w:eastAsia="仿宋"/>
          <w:color w:val="auto"/>
          <w:sz w:val="28"/>
          <w:szCs w:val="28"/>
          <w:highlight w:val="none"/>
          <w:lang w:eastAsia="zh-CN"/>
        </w:rPr>
        <w:t xml:space="preserve">。</w:t>
      </w:r>
      <w:r/>
    </w:p>
    <w:p>
      <w:pPr>
        <w:ind w:firstLine="560"/>
        <w:spacing w:line="500" w:lineRule="exact"/>
        <w:rPr>
          <w:rFonts w:ascii="仿宋" w:hAnsi="仿宋" w:eastAsia="仿宋"/>
          <w:color w:val="auto"/>
          <w:sz w:val="28"/>
          <w:szCs w:val="28"/>
          <w:highlight w:val="none"/>
        </w:rPr>
        <w:outlineLvl w:val="1"/>
      </w:pPr>
      <w:r/>
      <w:bookmarkStart w:id="76" w:name="_Toc9065"/>
      <w:r/>
      <w:bookmarkStart w:id="77" w:name="_Toc25710"/>
      <w:r>
        <w:rPr>
          <w:rFonts w:hint="eastAsia" w:ascii="黑体" w:hAnsi="黑体" w:eastAsia="黑体"/>
          <w:color w:val="auto"/>
          <w:sz w:val="28"/>
          <w:szCs w:val="28"/>
          <w:highlight w:val="none"/>
        </w:rPr>
        <w:t xml:space="preserve">十一、其他要求</w:t>
      </w:r>
      <w:bookmarkEnd w:id="76"/>
      <w:r/>
      <w:bookmarkEnd w:id="77"/>
      <w:r/>
      <w:r/>
    </w:p>
    <w:p>
      <w:pPr>
        <w:ind w:firstLine="560"/>
        <w:jc w:val="left"/>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w:t>
      </w:r>
      <w:r>
        <w:rPr>
          <w:rFonts w:hint="eastAsia" w:ascii="仿宋" w:hAnsi="仿宋" w:eastAsia="仿宋"/>
          <w:color w:val="auto"/>
          <w:sz w:val="28"/>
          <w:szCs w:val="28"/>
          <w:highlight w:val="none"/>
          <w:lang w:val="en-US" w:eastAsia="zh-CN"/>
        </w:rPr>
        <w:t xml:space="preserve">报价要求：</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本项目报价方式：本项目采用总价报价。响应供应商报价应包括完成本项目所需供货的材料货物、人工、备品、备件、辅配件、专用工具、包装就运输至最终目的地的运输、保险、检测验收、安装、调试、技术支持与培训、售后服务与维保、代理服务费等一切费用及政策性文件规定及合同包含的所有风险、责任等各项应有费用，采购人不再支付其他任何费用。</w:t>
      </w:r>
      <w:r/>
    </w:p>
    <w:p>
      <w:pPr>
        <w:ind w:firstLine="560"/>
        <w:jc w:val="left"/>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响应供应商应对采购文件内的全部内容进行报价，采购文件未列明，而供应商认为其他必需的费用也需列入报价。在合同实施时，采购方将不予支付成交供应商任何其他增项费用。</w:t>
      </w:r>
      <w:r/>
    </w:p>
    <w:p>
      <w:pPr>
        <w:ind w:firstLine="560"/>
        <w:jc w:val="left"/>
        <w:spacing w:line="500" w:lineRule="exact"/>
        <w:rPr>
          <w:rFonts w:hint="default" w:ascii="仿宋" w:hAnsi="仿宋" w:eastAsia="仿宋"/>
          <w:b/>
          <w:bCs/>
          <w:color w:val="auto"/>
          <w:sz w:val="28"/>
          <w:szCs w:val="28"/>
          <w:highlight w:val="none"/>
          <w:lang w:val="en-US" w:eastAsia="zh-CN"/>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）供应商</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后不得将</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项目分包或者转让给其他主体实施。</w:t>
      </w:r>
      <w:r/>
    </w:p>
    <w:p>
      <w:pPr>
        <w:contextualSpacing/>
        <w:ind w:firstLine="560"/>
        <w:spacing w:line="500" w:lineRule="exact"/>
        <w:shd w:val="clear" w:color="auto" w:fill="ffffff"/>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成交人应保证货物是全新、未使用过的，是用一流的工艺和最佳材料制造的原装合格正品，并完全符合合同规定的质量、规格和性能的要求。成交人应保证其货物在正确安装、正常使用和保养条件下，在其使用寿命期内应具有满意的性能。货物最终验收后，在质量保证期内，成交人应对由于设计、工艺或材料的缺陷而发生的任何不足或故障负责，费用由成交供应商负担。</w:t>
      </w:r>
      <w:r/>
    </w:p>
    <w:p>
      <w:pPr>
        <w:contextualSpacing/>
        <w:ind w:firstLine="560"/>
        <w:spacing w:line="500" w:lineRule="exact"/>
        <w:shd w:val="clear" w:color="auto" w:fill="ffffff"/>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四</w:t>
      </w:r>
      <w:r>
        <w:rPr>
          <w:rFonts w:hint="eastAsia" w:ascii="仿宋" w:hAnsi="仿宋" w:eastAsia="仿宋"/>
          <w:color w:val="auto"/>
          <w:sz w:val="28"/>
          <w:szCs w:val="28"/>
          <w:highlight w:val="none"/>
        </w:rPr>
        <w:t xml:space="preserve">）根据</w:t>
      </w:r>
      <w:r>
        <w:rPr>
          <w:rFonts w:hint="eastAsia" w:ascii="仿宋" w:hAnsi="仿宋" w:eastAsia="仿宋"/>
          <w:color w:val="auto"/>
          <w:sz w:val="28"/>
          <w:szCs w:val="28"/>
          <w:highlight w:val="none"/>
          <w:lang w:val="en-US" w:eastAsia="zh-CN"/>
        </w:rPr>
        <w:t xml:space="preserve">国家认可的</w:t>
      </w:r>
      <w:r>
        <w:rPr>
          <w:rFonts w:hint="eastAsia" w:ascii="仿宋" w:hAnsi="仿宋" w:eastAsia="仿宋"/>
          <w:color w:val="auto"/>
          <w:sz w:val="28"/>
          <w:szCs w:val="28"/>
          <w:highlight w:val="none"/>
        </w:rPr>
        <w:t xml:space="preserve">质检部门检验结果或者在质量保证期内，如果货物的数量、质量或规格与合同不符，或证明货物是有缺陷的，包括潜在的缺陷或使用不符合要求的材料等，采购人以书面形式向成交人提出本保证下的索赔。</w:t>
      </w:r>
      <w:bookmarkStart w:id="78" w:name="_Toc2962"/>
      <w:r/>
      <w:r/>
    </w:p>
    <w:p>
      <w:pPr>
        <w:contextualSpacing/>
        <w:ind w:firstLine="560"/>
        <w:spacing w:line="500" w:lineRule="exact"/>
        <w:shd w:val="clear" w:color="auto" w:fill="ffffff"/>
        <w:widowControl/>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样品要求</w:t>
      </w:r>
      <w:r/>
    </w:p>
    <w:p>
      <w:pPr>
        <w:ind w:firstLine="560"/>
        <w:jc w:val="left"/>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1.本项目须提供样品，详见样品清单。</w:t>
      </w:r>
      <w:r>
        <w:rPr>
          <w:rFonts w:hint="eastAsia" w:ascii="仿宋" w:hAnsi="仿宋" w:eastAsia="仿宋"/>
          <w:b/>
          <w:bCs/>
          <w:color w:val="auto"/>
          <w:sz w:val="28"/>
          <w:szCs w:val="28"/>
          <w:highlight w:val="none"/>
          <w:lang w:val="en-US" w:eastAsia="zh-CN"/>
        </w:rPr>
        <w:t xml:space="preserve">如响应供应商不提供样品或提供不全或样品不满足磋商文件技术参数要求的，则视为响应供应商未实质性响应，为无效响应文件。</w:t>
      </w:r>
      <w:r>
        <w:rPr>
          <w:rFonts w:hint="eastAsia" w:ascii="仿宋" w:hAnsi="仿宋" w:eastAsia="仿宋"/>
          <w:color w:val="auto"/>
          <w:sz w:val="28"/>
          <w:szCs w:val="28"/>
          <w:highlight w:val="none"/>
          <w:lang w:val="en-US" w:eastAsia="zh-CN"/>
        </w:rPr>
        <w:t xml:space="preserve">评审时，评审小组可能会对样品进行破坏性检测。</w:t>
      </w:r>
      <w:r/>
    </w:p>
    <w:p>
      <w:pPr>
        <w:ind w:firstLine="560"/>
        <w:jc w:val="left"/>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（1）开标前，请各供应商在2026年 06月30日8时30分至2026年06月30日9时00分间提交样品，逾期不予接收。</w:t>
      </w:r>
      <w:r/>
    </w:p>
    <w:p>
      <w:pPr>
        <w:ind w:firstLine="560"/>
        <w:jc w:val="left"/>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样品接收地点：如皋市公共资源交易中心三楼（惠政路1799号，如皋市公安局南大门对面，可导航至如皋市公共资源交易中心）</w:t>
      </w:r>
      <w:r/>
    </w:p>
    <w:p>
      <w:pPr>
        <w:ind w:firstLine="56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接收人员：魏书丽，联系方式：15051237698  </w:t>
      </w:r>
      <w:r/>
    </w:p>
    <w:p>
      <w:pPr>
        <w:ind w:firstLine="560"/>
        <w:jc w:val="left"/>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（2）开标结束后，采购人将对成交供应商的样品进行封存，作为后期项目验收核实的依据；其余供应商的样品必须于评审结束后及时搬离样品存放区，采购人、采购代理公司不承担样品的保管责任。</w:t>
      </w:r>
      <w:r/>
    </w:p>
    <w:p>
      <w:pPr>
        <w:ind w:firstLine="560"/>
        <w:jc w:val="left"/>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（3）密封要求：提供的样品须装箱密封，样品上不能标注品牌、制造厂家或具有供应商单位的标志（如有，必须有效遮盖），否则视为无效响应。评审小组以样品编号为单位进行独立评定。</w:t>
      </w:r>
      <w:r/>
    </w:p>
    <w:p>
      <w:pPr>
        <w:ind w:firstLine="560"/>
        <w:jc w:val="left"/>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（4）采购人及代理机构均不承担样品制造及送达所产生的任何费用。</w:t>
      </w:r>
      <w:r/>
    </w:p>
    <w:p>
      <w:pPr>
        <w:ind w:firstLine="560"/>
        <w:jc w:val="left"/>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（5）样品清单</w:t>
      </w:r>
      <w:r/>
    </w:p>
    <w:p>
      <w:pPr>
        <w:ind w:firstLine="56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①采购包一</w:t>
      </w:r>
      <w:r/>
    </w:p>
    <w:tbl>
      <w:tblPr>
        <w:tblStyle w:val="883"/>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3995"/>
        <w:gridCol w:w="2335"/>
        <w:gridCol w:w="1912"/>
      </w:tblGrid>
      <w:tr>
        <w:trPr>
          <w:jc w:val="center"/>
          <w:trHeight w:val="378"/>
        </w:trPr>
        <w:tc>
          <w:tcPr>
            <w:tcW w:w="9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序号</w:t>
            </w:r>
            <w:r/>
          </w:p>
        </w:tc>
        <w:tc>
          <w:tcPr>
            <w:tcW w:w="399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名称</w:t>
            </w:r>
            <w:r/>
          </w:p>
        </w:tc>
        <w:tc>
          <w:tcPr>
            <w:tcW w:w="23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数量</w:t>
            </w:r>
            <w:r/>
          </w:p>
        </w:tc>
        <w:tc>
          <w:tcPr>
            <w:tcW w:w="191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备注</w:t>
            </w:r>
            <w:r/>
          </w:p>
        </w:tc>
      </w:tr>
      <w:tr>
        <w:trPr>
          <w:jc w:val="center"/>
          <w:trHeight w:val="378"/>
        </w:trPr>
        <w:tc>
          <w:tcPr>
            <w:tcW w:w="9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shd w:val="clear" w:color="auto" w:fill="auto"/>
            <w:tcW w:w="399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灭火防护服（尺码不限）</w:t>
            </w:r>
            <w:r/>
          </w:p>
        </w:tc>
        <w:tc>
          <w:tcPr>
            <w:tcW w:w="23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1912"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w:t>
            </w:r>
            <w:r/>
          </w:p>
        </w:tc>
      </w:tr>
      <w:tr>
        <w:trPr>
          <w:jc w:val="center"/>
          <w:trHeight w:val="384"/>
        </w:trPr>
        <w:tc>
          <w:tcPr>
            <w:tcW w:w="91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2</w:t>
            </w:r>
            <w:r/>
          </w:p>
        </w:tc>
        <w:tc>
          <w:tcPr>
            <w:shd w:val="clear" w:color="auto" w:fill="auto"/>
            <w:tcW w:w="399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小型灭火携行包</w:t>
            </w:r>
            <w:r/>
          </w:p>
        </w:tc>
        <w:tc>
          <w:tcPr>
            <w:tcW w:w="23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191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r>
            <w:r/>
          </w:p>
        </w:tc>
      </w:tr>
    </w:tbl>
    <w:p>
      <w:pPr>
        <w:ind w:firstLine="56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②采购包二</w:t>
      </w:r>
      <w:r/>
    </w:p>
    <w:tbl>
      <w:tblPr>
        <w:tblStyle w:val="883"/>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3961"/>
        <w:gridCol w:w="2340"/>
        <w:gridCol w:w="1913"/>
      </w:tblGrid>
      <w:tr>
        <w:trPr>
          <w:jc w:val="center"/>
          <w:trHeight w:val="382"/>
        </w:trPr>
        <w:tc>
          <w:tcPr>
            <w:tcW w:w="9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序号</w:t>
            </w:r>
            <w:r/>
          </w:p>
        </w:tc>
        <w:tc>
          <w:tcPr>
            <w:tcW w:w="39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名称</w:t>
            </w:r>
            <w:r/>
          </w:p>
        </w:tc>
        <w:tc>
          <w:tcPr>
            <w:tcW w:w="234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数量</w:t>
            </w:r>
            <w:r/>
          </w:p>
        </w:tc>
        <w:tc>
          <w:tcPr>
            <w:tcW w:w="19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备注</w:t>
            </w:r>
            <w:r/>
          </w:p>
        </w:tc>
      </w:tr>
      <w:tr>
        <w:trPr>
          <w:jc w:val="center"/>
          <w:trHeight w:val="382"/>
        </w:trPr>
        <w:tc>
          <w:tcPr>
            <w:tcW w:w="924" w:type="dxa"/>
            <w:vAlign w:val="center"/>
            <w:textDirection w:val="lrTb"/>
            <w:noWrap w:val="false"/>
          </w:tcPr>
          <w:p>
            <w:pPr>
              <w:ind w:left="0" w:right="0" w:firstLine="0"/>
              <w:jc w:val="center"/>
              <w:rPr>
                <w:rFonts w:hint="eastAsia" w:ascii="仿宋" w:hAnsi="仿宋" w:eastAsia="仿宋"/>
                <w:color w:val="auto"/>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1</w:t>
            </w:r>
            <w:r/>
          </w:p>
        </w:tc>
        <w:tc>
          <w:tcPr>
            <w:shd w:val="clear" w:color="auto" w:fill="auto"/>
            <w:tcW w:w="39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新能源灭火装置</w:t>
            </w:r>
            <w:r/>
          </w:p>
        </w:tc>
        <w:tc>
          <w:tcPr>
            <w:tcW w:w="234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1913"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w:t>
            </w:r>
            <w:r/>
          </w:p>
        </w:tc>
      </w:tr>
      <w:tr>
        <w:trPr>
          <w:jc w:val="center"/>
          <w:trHeight w:val="382"/>
        </w:trPr>
        <w:tc>
          <w:tcPr>
            <w:tcW w:w="924" w:type="dxa"/>
            <w:vAlign w:val="center"/>
            <w:textDirection w:val="lrTb"/>
            <w:noWrap w:val="false"/>
          </w:tcPr>
          <w:p>
            <w:pPr>
              <w:ind w:left="0" w:right="0" w:firstLine="0"/>
              <w:jc w:val="center"/>
              <w:rPr>
                <w:rFonts w:hint="eastAsia" w:ascii="仿宋" w:hAnsi="仿宋" w:eastAsia="仿宋"/>
                <w:color w:val="auto"/>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2</w:t>
            </w:r>
            <w:r/>
          </w:p>
        </w:tc>
        <w:tc>
          <w:tcPr>
            <w:shd w:val="clear" w:color="auto" w:fill="auto"/>
            <w:tcW w:w="39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灭火毯（电动汽车用）</w:t>
            </w:r>
            <w:r/>
          </w:p>
        </w:tc>
        <w:tc>
          <w:tcPr>
            <w:tcW w:w="234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19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r>
            <w:r/>
          </w:p>
        </w:tc>
      </w:tr>
      <w:tr>
        <w:trPr>
          <w:jc w:val="center"/>
          <w:trHeight w:val="388"/>
        </w:trPr>
        <w:tc>
          <w:tcPr>
            <w:tcW w:w="924" w:type="dxa"/>
            <w:vAlign w:val="center"/>
            <w:textDirection w:val="lrTb"/>
            <w:noWrap w:val="false"/>
          </w:tcPr>
          <w:p>
            <w:pPr>
              <w:ind w:left="0" w:right="0" w:firstLine="0"/>
              <w:jc w:val="center"/>
              <w:rPr>
                <w:rFonts w:hint="eastAsia" w:ascii="仿宋" w:hAnsi="仿宋" w:eastAsia="仿宋"/>
                <w:color w:val="auto"/>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3</w:t>
            </w:r>
            <w:r/>
          </w:p>
        </w:tc>
        <w:tc>
          <w:tcPr>
            <w:shd w:val="clear" w:color="auto" w:fill="auto"/>
            <w:tcW w:w="396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灭火毯（电动自行车用）</w:t>
            </w:r>
            <w:r/>
          </w:p>
        </w:tc>
        <w:tc>
          <w:tcPr>
            <w:tcW w:w="234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1913"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r>
            <w:r/>
          </w:p>
        </w:tc>
      </w:tr>
    </w:tbl>
    <w:p>
      <w:pPr>
        <w:ind w:firstLine="56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③采购包三</w:t>
      </w:r>
      <w:r/>
    </w:p>
    <w:tbl>
      <w:tblPr>
        <w:tblStyle w:val="883"/>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4124"/>
        <w:gridCol w:w="2264"/>
        <w:gridCol w:w="1882"/>
      </w:tblGrid>
      <w:tr>
        <w:trPr>
          <w:jc w:val="center"/>
          <w:trHeight w:val="405"/>
        </w:trPr>
        <w:tc>
          <w:tcPr>
            <w:tcW w:w="82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序号</w:t>
            </w:r>
            <w:r/>
          </w:p>
        </w:tc>
        <w:tc>
          <w:tcPr>
            <w:tcW w:w="41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名称</w:t>
            </w:r>
            <w:r/>
          </w:p>
        </w:tc>
        <w:tc>
          <w:tcPr>
            <w:tcW w:w="22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数量</w:t>
            </w:r>
            <w:r/>
          </w:p>
        </w:tc>
        <w:tc>
          <w:tcPr>
            <w:tcW w:w="18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备注</w:t>
            </w:r>
            <w:r/>
          </w:p>
        </w:tc>
      </w:tr>
      <w:tr>
        <w:trPr>
          <w:jc w:val="center"/>
          <w:trHeight w:val="405"/>
        </w:trPr>
        <w:tc>
          <w:tcPr>
            <w:tcW w:w="829" w:type="dxa"/>
            <w:vAlign w:val="center"/>
            <w:textDirection w:val="lrTb"/>
            <w:noWrap w:val="false"/>
          </w:tcPr>
          <w:p>
            <w:pPr>
              <w:ind w:left="0" w:right="0" w:firstLine="0"/>
              <w:jc w:val="center"/>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1</w:t>
            </w:r>
            <w:r/>
          </w:p>
        </w:tc>
        <w:tc>
          <w:tcPr>
            <w:shd w:val="clear" w:color="auto" w:fill="auto"/>
            <w:tcW w:w="41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40mm消防水带</w:t>
            </w:r>
            <w:r/>
          </w:p>
        </w:tc>
        <w:tc>
          <w:tcPr>
            <w:tcW w:w="22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1882" w:type="dxa"/>
            <w:vAlign w:val="center"/>
            <w:vMerge w:val="restart"/>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随样品提供检测报告</w:t>
            </w:r>
            <w:r/>
          </w:p>
        </w:tc>
      </w:tr>
      <w:tr>
        <w:trPr>
          <w:jc w:val="center"/>
          <w:trHeight w:val="492"/>
        </w:trPr>
        <w:tc>
          <w:tcPr>
            <w:tcW w:w="829" w:type="dxa"/>
            <w:vAlign w:val="center"/>
            <w:textDirection w:val="lrTb"/>
            <w:noWrap w:val="false"/>
          </w:tcPr>
          <w:p>
            <w:pPr>
              <w:jc w:val="center"/>
              <w:spacing w:line="320" w:lineRule="exac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w:t>
            </w:r>
            <w:r/>
          </w:p>
        </w:tc>
        <w:tc>
          <w:tcPr>
            <w:shd w:val="clear" w:color="auto" w:fill="auto"/>
            <w:tcW w:w="41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消火栓转换接口</w:t>
            </w:r>
            <w:r/>
          </w:p>
        </w:tc>
        <w:tc>
          <w:tcPr>
            <w:tcW w:w="22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188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r>
            <w:r/>
          </w:p>
        </w:tc>
      </w:tr>
      <w:tr>
        <w:trPr>
          <w:jc w:val="center"/>
          <w:trHeight w:val="405"/>
        </w:trPr>
        <w:tc>
          <w:tcPr>
            <w:tcW w:w="829" w:type="dxa"/>
            <w:vAlign w:val="center"/>
            <w:textDirection w:val="lrTb"/>
            <w:noWrap w:val="false"/>
          </w:tcPr>
          <w:p>
            <w:pPr>
              <w:ind w:left="0" w:right="0" w:firstLine="0"/>
              <w:jc w:val="center"/>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3</w:t>
            </w:r>
            <w:r/>
          </w:p>
        </w:tc>
        <w:tc>
          <w:tcPr>
            <w:shd w:val="clear" w:color="auto" w:fill="auto"/>
            <w:tcW w:w="41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40mm消防水枪</w:t>
            </w:r>
            <w:r/>
          </w:p>
        </w:tc>
        <w:tc>
          <w:tcPr>
            <w:tcW w:w="22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188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r>
            <w:r/>
          </w:p>
        </w:tc>
      </w:tr>
      <w:tr>
        <w:trPr>
          <w:jc w:val="center"/>
          <w:trHeight w:val="418"/>
        </w:trPr>
        <w:tc>
          <w:tcPr>
            <w:tcW w:w="829" w:type="dxa"/>
            <w:vAlign w:val="center"/>
            <w:textDirection w:val="lrTb"/>
            <w:noWrap w:val="false"/>
          </w:tcPr>
          <w:p>
            <w:pPr>
              <w:ind w:left="0" w:right="0" w:firstLine="0"/>
              <w:jc w:val="center"/>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4</w:t>
            </w:r>
            <w:r/>
          </w:p>
        </w:tc>
        <w:tc>
          <w:tcPr>
            <w:shd w:val="clear" w:color="auto" w:fill="auto"/>
            <w:tcW w:w="412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化学氧自救呼吸器</w:t>
            </w:r>
            <w:r/>
          </w:p>
        </w:tc>
        <w:tc>
          <w:tcPr>
            <w:tcW w:w="226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188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r>
            <w:r/>
          </w:p>
        </w:tc>
      </w:tr>
    </w:tbl>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2.在确认采购结果之前，采购人将对成交供应商响应文件中所提供的检测报告等证明文件进行核实，如发现虚假或不一致，则另行确定成交结果。</w:t>
      </w:r>
      <w:r/>
    </w:p>
    <w:p>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clear="all"/>
      </w:r>
      <w:r/>
    </w:p>
    <w:p>
      <w:pPr>
        <w:pStyle w:val="891"/>
        <w:ind w:firstLine="0"/>
        <w:jc w:val="center"/>
        <w:spacing w:line="240" w:lineRule="auto"/>
        <w:rPr>
          <w:rFonts w:ascii="方正小标宋简体" w:eastAsia="方正小标宋简体"/>
          <w:bCs/>
          <w:color w:val="auto"/>
          <w:sz w:val="32"/>
          <w:szCs w:val="32"/>
          <w:highlight w:val="none"/>
        </w:rPr>
        <w:outlineLvl w:val="0"/>
      </w:pPr>
      <w:r/>
      <w:bookmarkStart w:id="79" w:name="_Toc12559"/>
      <w:r>
        <w:rPr>
          <w:rFonts w:hint="eastAsia" w:ascii="方正小标宋简体" w:eastAsia="方正小标宋简体"/>
          <w:bCs/>
          <w:color w:val="auto"/>
          <w:sz w:val="32"/>
          <w:szCs w:val="32"/>
          <w:highlight w:val="none"/>
        </w:rPr>
        <w:t xml:space="preserve">第4章 合同文本</w:t>
      </w:r>
      <w:bookmarkEnd w:id="78"/>
      <w:r/>
      <w:bookmarkEnd w:id="79"/>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spacing w:before="19"/>
        <w:widowControl/>
        <w:rPr>
          <w:rFonts w:hint="default" w:ascii="仿宋" w:hAnsi="仿宋" w:eastAsia="仿宋"/>
          <w:color w:val="auto"/>
          <w:sz w:val="24"/>
          <w:highlight w:val="none"/>
          <w:lang w:val="en-US" w:eastAsia="zh-CN"/>
        </w:rPr>
      </w:pPr>
      <w:r>
        <w:rPr>
          <w:rFonts w:hint="eastAsia" w:ascii="仿宋" w:hAnsi="仿宋" w:eastAsia="仿宋"/>
          <w:color w:val="auto"/>
          <w:sz w:val="24"/>
          <w:highlight w:val="none"/>
        </w:rPr>
        <w:t xml:space="preserve">甲方 : </w:t>
      </w:r>
      <w:r>
        <w:rPr>
          <w:rFonts w:hint="eastAsia" w:ascii="仿宋" w:hAnsi="仿宋" w:eastAsia="仿宋"/>
          <w:color w:val="auto"/>
          <w:sz w:val="24"/>
          <w:highlight w:val="none"/>
          <w:lang w:val="en-US" w:eastAsia="zh-CN"/>
        </w:rPr>
        <w:t xml:space="preserve"> 如皋市应急管理局 </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乙方 : </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    甲方</w:t>
      </w:r>
      <w:r>
        <w:rPr>
          <w:rFonts w:hint="eastAsia" w:ascii="仿宋" w:hAnsi="仿宋" w:eastAsia="仿宋"/>
          <w:color w:val="auto"/>
          <w:sz w:val="24"/>
          <w:highlight w:val="none"/>
          <w:lang w:val="en-US" w:eastAsia="zh-CN"/>
        </w:rPr>
        <w:t xml:space="preserve">就高层住宅小区消防快速处置队装备采购</w:t>
      </w:r>
      <w:r>
        <w:rPr>
          <w:rFonts w:hint="eastAsia" w:ascii="仿宋" w:hAnsi="仿宋" w:eastAsia="仿宋"/>
          <w:color w:val="auto"/>
          <w:sz w:val="24"/>
          <w:highlight w:val="none"/>
        </w:rPr>
        <w:t xml:space="preserve">项目委托南通</w:t>
      </w:r>
      <w:r>
        <w:rPr>
          <w:rFonts w:hint="eastAsia" w:ascii="仿宋" w:hAnsi="仿宋" w:eastAsia="仿宋"/>
          <w:color w:val="auto"/>
          <w:sz w:val="24"/>
          <w:highlight w:val="none"/>
          <w:lang w:val="en-US" w:eastAsia="zh-CN"/>
        </w:rPr>
        <w:t xml:space="preserve">中江工程</w:t>
      </w:r>
      <w:r>
        <w:rPr>
          <w:rFonts w:hint="eastAsia" w:ascii="仿宋" w:hAnsi="仿宋" w:eastAsia="仿宋"/>
          <w:color w:val="auto"/>
          <w:sz w:val="24"/>
          <w:highlight w:val="none"/>
        </w:rPr>
        <w:t xml:space="preserve">项目管理有限公司进行了政府采购。按照评委会评审推荐、甲方确定乙方为成交单位。现甲乙双方协商同意签订本合同。</w:t>
      </w:r>
      <w:r/>
    </w:p>
    <w:p>
      <w:pPr>
        <w:numPr>
          <w:ilvl w:val="0"/>
          <w:numId w:val="1"/>
        </w:numPr>
        <w:spacing w:before="19"/>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货物及其数量如下表</w:t>
      </w:r>
      <w:r>
        <w:rPr>
          <w:rFonts w:hint="eastAsia" w:ascii="仿宋" w:hAnsi="仿宋" w:eastAsia="仿宋"/>
          <w:color w:val="auto"/>
          <w:sz w:val="24"/>
          <w:highlight w:val="none"/>
        </w:rPr>
        <w:t xml:space="preserve">：</w:t>
      </w:r>
      <w:r/>
    </w:p>
    <w:p>
      <w:pPr>
        <w:numPr>
          <w:ilvl w:val="0"/>
          <w:numId w:val="0"/>
        </w:numPr>
        <w:ind w:left="426"/>
        <w:spacing w:before="19"/>
        <w:widowControl/>
        <w:rPr>
          <w:rFonts w:hint="default" w:ascii="仿宋" w:hAnsi="仿宋" w:eastAsia="仿宋"/>
          <w:color w:val="auto"/>
          <w:sz w:val="24"/>
          <w:highlight w:val="none"/>
          <w:u w:val="single"/>
          <w:lang w:val="en-US" w:eastAsia="zh-CN"/>
        </w:rPr>
      </w:pPr>
      <w:r>
        <w:rPr>
          <w:rFonts w:hint="eastAsia" w:ascii="仿宋" w:hAnsi="仿宋" w:eastAsia="仿宋"/>
          <w:color w:val="auto"/>
          <w:sz w:val="24"/>
          <w:highlight w:val="none"/>
          <w:lang w:val="en-US" w:eastAsia="zh-CN"/>
        </w:rPr>
        <w:t xml:space="preserve">采购包一：</w:t>
      </w:r>
      <w:r/>
    </w:p>
    <w:tbl>
      <w:tblPr>
        <w:tblStyle w:val="868"/>
        <w:tblW w:w="10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580"/>
        <w:gridCol w:w="3256"/>
        <w:gridCol w:w="769"/>
        <w:gridCol w:w="769"/>
        <w:gridCol w:w="1203"/>
        <w:gridCol w:w="1425"/>
      </w:tblGrid>
      <w:tr>
        <w:trPr>
          <w:cantSplit/>
          <w:jc w:val="center"/>
          <w:trHeight w:val="510"/>
        </w:trPr>
        <w:tc>
          <w:tcPr>
            <w:tcW w:w="1050"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序号</w:t>
            </w:r>
            <w:r/>
          </w:p>
        </w:tc>
        <w:tc>
          <w:tcPr>
            <w:tcW w:w="15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货物名称</w:t>
            </w:r>
            <w:r/>
          </w:p>
        </w:tc>
        <w:tc>
          <w:tcPr>
            <w:tcW w:w="325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规格型号</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20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单价</w:t>
            </w:r>
            <w:r/>
          </w:p>
        </w:tc>
        <w:tc>
          <w:tcPr>
            <w:tcW w:w="14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总价</w:t>
            </w:r>
            <w:r/>
          </w:p>
        </w:tc>
      </w:tr>
      <w:tr>
        <w:trPr>
          <w:cantSplit/>
          <w:jc w:val="center"/>
          <w:trHeight w:val="510"/>
        </w:trPr>
        <w:tc>
          <w:tcPr>
            <w:tcW w:w="1050"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1</w:t>
            </w:r>
            <w:r/>
          </w:p>
        </w:tc>
        <w:tc>
          <w:tcPr>
            <w:tcW w:w="1580"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灭火防护服</w:t>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件</w:t>
            </w:r>
            <w:r/>
          </w:p>
        </w:tc>
        <w:tc>
          <w:tcPr>
            <w:tcW w:w="769"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530</w:t>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tcW w:w="1050"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w:t>
            </w:r>
            <w:r/>
          </w:p>
        </w:tc>
        <w:tc>
          <w:tcPr>
            <w:tcW w:w="1580"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小型灭火携行包</w:t>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套</w:t>
            </w:r>
            <w:r/>
          </w:p>
        </w:tc>
        <w:tc>
          <w:tcPr>
            <w:tcW w:w="769"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251</w:t>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gridSpan w:val="2"/>
            <w:tcW w:w="2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总      计</w:t>
            </w:r>
            <w:r/>
          </w:p>
        </w:tc>
        <w:tc>
          <w:tcPr>
            <w:gridSpan w:val="3"/>
            <w:tcW w:w="4794" w:type="dxa"/>
            <w:vAlign w:val="center"/>
            <w:textDirection w:val="lrTb"/>
            <w:noWrap w:val="false"/>
          </w:tcPr>
          <w:p>
            <w:pPr>
              <w:jc w:val="left"/>
              <w:rPr>
                <w:rFonts w:ascii="仿宋" w:hAnsi="仿宋" w:eastAsia="仿宋"/>
                <w:color w:val="auto"/>
                <w:sz w:val="24"/>
                <w:highlight w:val="none"/>
              </w:rPr>
            </w:pPr>
            <w:r>
              <w:rPr>
                <w:rFonts w:hint="eastAsia" w:ascii="仿宋" w:hAnsi="仿宋" w:eastAsia="仿宋"/>
                <w:color w:val="auto"/>
                <w:sz w:val="24"/>
                <w:highlight w:val="none"/>
              </w:rPr>
              <w:t xml:space="preserve">（大写）</w:t>
            </w:r>
            <w:r/>
          </w:p>
        </w:tc>
        <w:tc>
          <w:tcPr>
            <w:gridSpan w:val="2"/>
            <w:tcW w:w="2628" w:type="dxa"/>
            <w:vAlign w:val="center"/>
            <w:textDirection w:val="lrTb"/>
            <w:noWrap w:val="false"/>
          </w:tcPr>
          <w:p>
            <w:pPr>
              <w:rPr>
                <w:rFonts w:ascii="仿宋" w:hAnsi="仿宋" w:eastAsia="仿宋"/>
                <w:color w:val="auto"/>
                <w:sz w:val="24"/>
                <w:highlight w:val="none"/>
              </w:rPr>
            </w:pPr>
            <w:r>
              <w:rPr>
                <w:rFonts w:hint="eastAsia" w:ascii="仿宋" w:hAnsi="仿宋" w:eastAsia="仿宋"/>
                <w:b/>
                <w:bCs/>
                <w:color w:val="auto"/>
                <w:sz w:val="24"/>
                <w:highlight w:val="none"/>
              </w:rPr>
              <w:t xml:space="preserve">￥</w:t>
            </w:r>
            <w:r/>
          </w:p>
        </w:tc>
      </w:tr>
    </w:tbl>
    <w:p>
      <w:pPr>
        <w:numPr>
          <w:ilvl w:val="0"/>
          <w:numId w:val="0"/>
        </w:numPr>
        <w:ind w:left="426"/>
        <w:spacing w:before="19"/>
        <w:widowControl/>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采购包二：</w:t>
      </w:r>
      <w:r/>
    </w:p>
    <w:tbl>
      <w:tblPr>
        <w:tblStyle w:val="868"/>
        <w:tblW w:w="10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580"/>
        <w:gridCol w:w="3256"/>
        <w:gridCol w:w="769"/>
        <w:gridCol w:w="769"/>
        <w:gridCol w:w="1203"/>
        <w:gridCol w:w="1425"/>
      </w:tblGrid>
      <w:tr>
        <w:trPr>
          <w:cantSplit/>
          <w:jc w:val="center"/>
          <w:trHeight w:val="510"/>
        </w:trPr>
        <w:tc>
          <w:tcPr>
            <w:tcW w:w="1050"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序号</w:t>
            </w:r>
            <w:r/>
          </w:p>
        </w:tc>
        <w:tc>
          <w:tcPr>
            <w:tcW w:w="15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货物名称</w:t>
            </w:r>
            <w:r/>
          </w:p>
        </w:tc>
        <w:tc>
          <w:tcPr>
            <w:tcW w:w="325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规格型号</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20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单价</w:t>
            </w:r>
            <w:r/>
          </w:p>
        </w:tc>
        <w:tc>
          <w:tcPr>
            <w:tcW w:w="14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总价</w:t>
            </w:r>
            <w:r/>
          </w:p>
        </w:tc>
      </w:tr>
      <w:tr>
        <w:trPr>
          <w:cantSplit/>
          <w:jc w:val="center"/>
          <w:trHeight w:val="510"/>
        </w:trPr>
        <w:tc>
          <w:tcPr>
            <w:tcW w:w="1050"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1</w:t>
            </w:r>
            <w:r/>
          </w:p>
        </w:tc>
        <w:tc>
          <w:tcPr>
            <w:tcW w:w="1580"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新能源灭火装置</w:t>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color w:val="auto"/>
                <w:sz w:val="24"/>
                <w:szCs w:val="24"/>
                <w:highlight w:val="none"/>
                <w:vertAlign w:val="baseline"/>
                <w:lang w:val="en-US" w:eastAsia="zh-CN"/>
              </w:rPr>
              <w:t xml:space="preserve">瓶</w:t>
            </w:r>
            <w:r/>
          </w:p>
        </w:tc>
        <w:tc>
          <w:tcPr>
            <w:tcW w:w="769"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916</w:t>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tcW w:w="1050"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w:t>
            </w:r>
            <w:r/>
          </w:p>
        </w:tc>
        <w:tc>
          <w:tcPr>
            <w:tcW w:w="1580"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灭火毯（电动汽车用）</w:t>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bidi="ar-SA"/>
              </w:rPr>
              <w:t xml:space="preserve">张</w:t>
            </w:r>
            <w:r/>
          </w:p>
        </w:tc>
        <w:tc>
          <w:tcPr>
            <w:tcW w:w="769"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20</w:t>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tcW w:w="1050"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w:t>
            </w:r>
            <w:r/>
          </w:p>
        </w:tc>
        <w:tc>
          <w:tcPr>
            <w:tcW w:w="1580"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灭火毯（电动自行车用）</w:t>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bidi="ar-SA"/>
              </w:rPr>
              <w:t xml:space="preserve">张</w:t>
            </w:r>
            <w:r/>
          </w:p>
        </w:tc>
        <w:tc>
          <w:tcPr>
            <w:tcW w:w="769"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20</w:t>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gridSpan w:val="2"/>
            <w:tcW w:w="2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总      计</w:t>
            </w:r>
            <w:r/>
          </w:p>
        </w:tc>
        <w:tc>
          <w:tcPr>
            <w:gridSpan w:val="3"/>
            <w:tcW w:w="4794" w:type="dxa"/>
            <w:vAlign w:val="center"/>
            <w:textDirection w:val="lrTb"/>
            <w:noWrap w:val="false"/>
          </w:tcPr>
          <w:p>
            <w:pPr>
              <w:jc w:val="left"/>
              <w:rPr>
                <w:rFonts w:ascii="仿宋" w:hAnsi="仿宋" w:eastAsia="仿宋"/>
                <w:color w:val="auto"/>
                <w:sz w:val="24"/>
                <w:highlight w:val="none"/>
              </w:rPr>
            </w:pPr>
            <w:r>
              <w:rPr>
                <w:rFonts w:hint="eastAsia" w:ascii="仿宋" w:hAnsi="仿宋" w:eastAsia="仿宋"/>
                <w:color w:val="auto"/>
                <w:sz w:val="24"/>
                <w:highlight w:val="none"/>
              </w:rPr>
              <w:t xml:space="preserve">（大写）</w:t>
            </w:r>
            <w:r/>
          </w:p>
        </w:tc>
        <w:tc>
          <w:tcPr>
            <w:gridSpan w:val="2"/>
            <w:tcW w:w="2628" w:type="dxa"/>
            <w:vAlign w:val="center"/>
            <w:textDirection w:val="lrTb"/>
            <w:noWrap w:val="false"/>
          </w:tcPr>
          <w:p>
            <w:pPr>
              <w:rPr>
                <w:rFonts w:ascii="仿宋" w:hAnsi="仿宋" w:eastAsia="仿宋"/>
                <w:color w:val="auto"/>
                <w:sz w:val="24"/>
                <w:highlight w:val="none"/>
              </w:rPr>
            </w:pPr>
            <w:r>
              <w:rPr>
                <w:rFonts w:hint="eastAsia" w:ascii="仿宋" w:hAnsi="仿宋" w:eastAsia="仿宋"/>
                <w:b/>
                <w:bCs/>
                <w:color w:val="auto"/>
                <w:sz w:val="24"/>
                <w:highlight w:val="none"/>
              </w:rPr>
              <w:t xml:space="preserve">￥</w:t>
            </w:r>
            <w:r/>
          </w:p>
        </w:tc>
      </w:tr>
    </w:tbl>
    <w:p>
      <w:pPr>
        <w:numPr>
          <w:ilvl w:val="0"/>
          <w:numId w:val="0"/>
        </w:numPr>
        <w:ind w:left="426"/>
        <w:spacing w:before="19"/>
        <w:widowControl/>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采购包三：</w:t>
      </w:r>
      <w:r/>
    </w:p>
    <w:tbl>
      <w:tblPr>
        <w:tblStyle w:val="868"/>
        <w:tblW w:w="10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580"/>
        <w:gridCol w:w="3256"/>
        <w:gridCol w:w="769"/>
        <w:gridCol w:w="769"/>
        <w:gridCol w:w="1203"/>
        <w:gridCol w:w="1425"/>
      </w:tblGrid>
      <w:tr>
        <w:trPr>
          <w:cantSplit/>
          <w:jc w:val="center"/>
          <w:trHeight w:val="510"/>
        </w:trPr>
        <w:tc>
          <w:tcPr>
            <w:tcW w:w="1050"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序号</w:t>
            </w:r>
            <w:r/>
          </w:p>
        </w:tc>
        <w:tc>
          <w:tcPr>
            <w:tcW w:w="15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货物名称</w:t>
            </w:r>
            <w:r/>
          </w:p>
        </w:tc>
        <w:tc>
          <w:tcPr>
            <w:tcW w:w="325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规格型号</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20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单价</w:t>
            </w:r>
            <w:r/>
          </w:p>
        </w:tc>
        <w:tc>
          <w:tcPr>
            <w:tcW w:w="14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总价</w:t>
            </w:r>
            <w:r/>
          </w:p>
        </w:tc>
      </w:tr>
      <w:tr>
        <w:trPr>
          <w:cantSplit/>
          <w:jc w:val="center"/>
          <w:trHeight w:val="510"/>
        </w:trPr>
        <w:tc>
          <w:tcPr>
            <w:tcW w:w="1050"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1</w:t>
            </w:r>
            <w:r/>
          </w:p>
        </w:tc>
        <w:tc>
          <w:tcPr>
            <w:tcW w:w="1580"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40mm消防水带</w:t>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bidi="ar-SA"/>
              </w:rPr>
              <w:t xml:space="preserve">盘</w:t>
            </w:r>
            <w:r/>
          </w:p>
        </w:tc>
        <w:tc>
          <w:tcPr>
            <w:tcW w:w="769"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558</w:t>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tcW w:w="1050" w:type="dxa"/>
            <w:vAlign w:val="center"/>
            <w:textDirection w:val="lrTb"/>
            <w:noWrap w:val="false"/>
          </w:tcPr>
          <w:p>
            <w:pPr>
              <w:jc w:val="center"/>
              <w:spacing w:line="320" w:lineRule="exac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w:t>
            </w:r>
            <w:r/>
          </w:p>
        </w:tc>
        <w:tc>
          <w:tcPr>
            <w:tcW w:w="1580" w:type="dxa"/>
            <w:vAlign w:val="center"/>
            <w:textDirection w:val="lrTb"/>
            <w:noWrap w:val="false"/>
          </w:tcPr>
          <w:p>
            <w:pPr>
              <w:jc w:val="center"/>
              <w:spacing w:line="320" w:lineRule="exac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消火栓转换接口</w:t>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bidi="ar-SA"/>
              </w:rPr>
              <w:t xml:space="preserve">个</w:t>
            </w:r>
            <w:r/>
          </w:p>
        </w:tc>
        <w:tc>
          <w:tcPr>
            <w:tcW w:w="769" w:type="dxa"/>
            <w:vAlign w:val="center"/>
            <w:textDirection w:val="lrTb"/>
            <w:noWrap w:val="false"/>
          </w:tcPr>
          <w:p>
            <w:pPr>
              <w:ind w:right="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502</w:t>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tcW w:w="1050"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3</w:t>
            </w:r>
            <w:r/>
          </w:p>
        </w:tc>
        <w:tc>
          <w:tcPr>
            <w:tcW w:w="1580"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40mm消防水枪</w:t>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color w:val="auto"/>
                <w:sz w:val="24"/>
                <w:szCs w:val="24"/>
                <w:highlight w:val="none"/>
                <w:vertAlign w:val="baseline"/>
                <w:lang w:val="en-US" w:eastAsia="zh-CN"/>
              </w:rPr>
              <w:t xml:space="preserve">只</w:t>
            </w:r>
            <w:r/>
          </w:p>
        </w:tc>
        <w:tc>
          <w:tcPr>
            <w:tcW w:w="769"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502</w:t>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tcW w:w="1050" w:type="dxa"/>
            <w:vAlign w:val="center"/>
            <w:textDirection w:val="lrTb"/>
            <w:noWrap w:val="false"/>
          </w:tcPr>
          <w:p>
            <w:pPr>
              <w:ind w:left="0" w:right="0" w:firstLine="0"/>
              <w:jc w:val="center"/>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4</w:t>
            </w:r>
            <w:r/>
          </w:p>
        </w:tc>
        <w:tc>
          <w:tcPr>
            <w:tcW w:w="1580"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化学氧自救呼吸器</w:t>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color w:val="auto"/>
                <w:sz w:val="24"/>
                <w:szCs w:val="24"/>
                <w:highlight w:val="none"/>
                <w:vertAlign w:val="baseline"/>
                <w:lang w:val="en-US" w:eastAsia="zh-CN"/>
              </w:rPr>
              <w:t xml:space="preserve">套</w:t>
            </w:r>
            <w:r/>
          </w:p>
        </w:tc>
        <w:tc>
          <w:tcPr>
            <w:tcW w:w="769" w:type="dxa"/>
            <w:vAlign w:val="center"/>
            <w:textDirection w:val="lrTb"/>
            <w:noWrap w:val="false"/>
          </w:tcPr>
          <w:p>
            <w:pPr>
              <w:ind w:left="0" w:right="0" w:firstLine="0"/>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530</w:t>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gridSpan w:val="2"/>
            <w:tcW w:w="2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总      计</w:t>
            </w:r>
            <w:r/>
          </w:p>
        </w:tc>
        <w:tc>
          <w:tcPr>
            <w:gridSpan w:val="3"/>
            <w:tcW w:w="4794" w:type="dxa"/>
            <w:vAlign w:val="center"/>
            <w:textDirection w:val="lrTb"/>
            <w:noWrap w:val="false"/>
          </w:tcPr>
          <w:p>
            <w:pPr>
              <w:jc w:val="left"/>
              <w:rPr>
                <w:rFonts w:ascii="仿宋" w:hAnsi="仿宋" w:eastAsia="仿宋"/>
                <w:color w:val="auto"/>
                <w:sz w:val="24"/>
                <w:highlight w:val="none"/>
              </w:rPr>
            </w:pPr>
            <w:r>
              <w:rPr>
                <w:rFonts w:hint="eastAsia" w:ascii="仿宋" w:hAnsi="仿宋" w:eastAsia="仿宋"/>
                <w:color w:val="auto"/>
                <w:sz w:val="24"/>
                <w:highlight w:val="none"/>
              </w:rPr>
              <w:t xml:space="preserve">（大写）</w:t>
            </w:r>
            <w:r/>
          </w:p>
        </w:tc>
        <w:tc>
          <w:tcPr>
            <w:gridSpan w:val="2"/>
            <w:tcW w:w="2628" w:type="dxa"/>
            <w:vAlign w:val="center"/>
            <w:textDirection w:val="lrTb"/>
            <w:noWrap w:val="false"/>
          </w:tcPr>
          <w:p>
            <w:pPr>
              <w:rPr>
                <w:rFonts w:ascii="仿宋" w:hAnsi="仿宋" w:eastAsia="仿宋"/>
                <w:color w:val="auto"/>
                <w:sz w:val="24"/>
                <w:highlight w:val="none"/>
              </w:rPr>
            </w:pPr>
            <w:r>
              <w:rPr>
                <w:rFonts w:hint="eastAsia" w:ascii="仿宋" w:hAnsi="仿宋" w:eastAsia="仿宋"/>
                <w:b/>
                <w:bCs/>
                <w:color w:val="auto"/>
                <w:sz w:val="24"/>
                <w:highlight w:val="none"/>
              </w:rPr>
              <w:t xml:space="preserve">￥</w:t>
            </w:r>
            <w:r/>
          </w:p>
        </w:tc>
      </w:tr>
    </w:tbl>
    <w:p>
      <w:pPr>
        <w:ind w:firstLine="482"/>
        <w:spacing w:line="500" w:lineRule="exact"/>
        <w:rPr>
          <w:rFonts w:ascii="仿宋" w:hAnsi="仿宋" w:eastAsia="仿宋"/>
          <w:color w:val="auto"/>
          <w:sz w:val="24"/>
          <w:highlight w:val="none"/>
        </w:rPr>
        <w:outlineLvl w:val="9"/>
      </w:pPr>
      <w:r>
        <w:rPr>
          <w:rFonts w:hint="eastAsia" w:ascii="仿宋" w:hAnsi="仿宋" w:eastAsia="仿宋"/>
          <w:b/>
          <w:bCs/>
          <w:color w:val="auto"/>
          <w:sz w:val="24"/>
          <w:highlight w:val="none"/>
          <w:lang w:val="en-US" w:eastAsia="zh-CN"/>
        </w:rPr>
        <w:t xml:space="preserve">二、</w:t>
      </w:r>
      <w:r>
        <w:rPr>
          <w:rFonts w:hint="eastAsia" w:ascii="仿宋" w:hAnsi="仿宋" w:eastAsia="仿宋"/>
          <w:b/>
          <w:bCs/>
          <w:color w:val="auto"/>
          <w:sz w:val="24"/>
          <w:highlight w:val="none"/>
        </w:rPr>
        <w:t xml:space="preserve">质保期</w:t>
      </w:r>
      <w:r>
        <w:rPr>
          <w:rFonts w:hint="eastAsia" w:ascii="仿宋" w:hAnsi="仿宋" w:eastAsia="仿宋"/>
          <w:color w:val="auto"/>
          <w:sz w:val="24"/>
          <w:highlight w:val="none"/>
        </w:rPr>
        <w:t xml:space="preserve">：</w:t>
      </w:r>
      <w:r>
        <w:rPr>
          <w:rFonts w:hint="eastAsia" w:ascii="仿宋" w:hAnsi="仿宋" w:eastAsia="仿宋"/>
          <w:color w:val="auto"/>
          <w:sz w:val="28"/>
          <w:szCs w:val="28"/>
          <w:highlight w:val="none"/>
        </w:rPr>
        <w:t xml:space="preserve">自交货并验收合格之日起计</w:t>
      </w:r>
      <w:r>
        <w:rPr>
          <w:rFonts w:hint="eastAsia" w:ascii="仿宋" w:hAnsi="仿宋" w:eastAsia="仿宋"/>
          <w:color w:val="auto"/>
          <w:sz w:val="28"/>
          <w:szCs w:val="28"/>
          <w:highlight w:val="none"/>
          <w:lang w:val="en-US" w:eastAsia="zh-CN"/>
        </w:rPr>
        <w:t xml:space="preserve">壹</w:t>
      </w:r>
      <w:r>
        <w:rPr>
          <w:rFonts w:hint="eastAsia" w:ascii="仿宋" w:hAnsi="仿宋" w:eastAsia="仿宋"/>
          <w:color w:val="auto"/>
          <w:sz w:val="28"/>
          <w:szCs w:val="28"/>
          <w:highlight w:val="none"/>
        </w:rPr>
        <w:t xml:space="preserve">年。</w:t>
      </w:r>
      <w:r/>
    </w:p>
    <w:p>
      <w:pPr>
        <w:numPr>
          <w:ilvl w:val="0"/>
          <w:numId w:val="0"/>
        </w:numPr>
        <w:ind w:left="426"/>
        <w:spacing w:before="19"/>
        <w:widowControl/>
        <w:rPr>
          <w:rFonts w:hint="eastAsia" w:ascii="仿宋" w:hAnsi="仿宋" w:eastAsia="仿宋"/>
          <w:color w:val="auto"/>
          <w:sz w:val="24"/>
          <w:highlight w:val="none"/>
          <w:lang w:val="en-US" w:eastAsia="zh-CN"/>
        </w:rPr>
      </w:pPr>
      <w:r>
        <w:rPr>
          <w:rFonts w:hint="eastAsia" w:ascii="仿宋" w:hAnsi="仿宋" w:eastAsia="仿宋"/>
          <w:b/>
          <w:bCs/>
          <w:color w:val="auto"/>
          <w:sz w:val="24"/>
          <w:highlight w:val="none"/>
          <w:lang w:val="en-US" w:eastAsia="zh-CN"/>
        </w:rPr>
        <w:t xml:space="preserve">三、</w:t>
      </w:r>
      <w:r>
        <w:rPr>
          <w:rFonts w:hint="eastAsia" w:ascii="仿宋" w:hAnsi="仿宋" w:eastAsia="仿宋"/>
          <w:b/>
          <w:bCs/>
          <w:color w:val="auto"/>
          <w:sz w:val="24"/>
          <w:highlight w:val="none"/>
        </w:rPr>
        <w:t xml:space="preserve">交货时间</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自签订合同之日起45个日历天内完成供货，具体时间以采购人通知为准。</w:t>
      </w:r>
      <w:r/>
    </w:p>
    <w:p>
      <w:pPr>
        <w:numPr>
          <w:ilvl w:val="0"/>
          <w:numId w:val="0"/>
        </w:numPr>
        <w:ind w:left="426"/>
        <w:spacing w:before="19"/>
        <w:widowControl/>
        <w:rPr>
          <w:rFonts w:ascii="仿宋" w:hAnsi="仿宋" w:eastAsia="仿宋"/>
          <w:color w:val="auto"/>
          <w:sz w:val="24"/>
          <w:highlight w:val="none"/>
        </w:rPr>
      </w:pPr>
      <w:r>
        <w:rPr>
          <w:rFonts w:hint="eastAsia" w:ascii="仿宋" w:hAnsi="仿宋" w:eastAsia="仿宋"/>
          <w:b/>
          <w:bCs/>
          <w:color w:val="auto"/>
          <w:sz w:val="24"/>
          <w:highlight w:val="none"/>
          <w:lang w:val="en-US" w:eastAsia="zh-CN"/>
        </w:rPr>
        <w:t xml:space="preserve">四、</w:t>
      </w:r>
      <w:r>
        <w:rPr>
          <w:rFonts w:hint="eastAsia" w:ascii="仿宋" w:hAnsi="仿宋" w:eastAsia="仿宋"/>
          <w:b/>
          <w:bCs/>
          <w:color w:val="auto"/>
          <w:sz w:val="24"/>
          <w:highlight w:val="none"/>
        </w:rPr>
        <w:t xml:space="preserve">交货地点</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采购人指定地点。</w:t>
      </w:r>
      <w:r/>
    </w:p>
    <w:p>
      <w:pPr>
        <w:numPr>
          <w:ilvl w:val="0"/>
          <w:numId w:val="0"/>
        </w:numPr>
        <w:ind w:left="426"/>
        <w:spacing w:before="19"/>
        <w:widowControl/>
        <w:rPr>
          <w:rFonts w:hint="eastAsia" w:ascii="仿宋" w:hAnsi="仿宋" w:eastAsia="仿宋"/>
          <w:color w:val="auto"/>
          <w:sz w:val="24"/>
          <w:highlight w:val="none"/>
        </w:rPr>
      </w:pPr>
      <w:r>
        <w:rPr>
          <w:rFonts w:hint="eastAsia" w:ascii="仿宋" w:hAnsi="仿宋" w:eastAsia="仿宋"/>
          <w:b/>
          <w:bCs/>
          <w:color w:val="auto"/>
          <w:sz w:val="24"/>
          <w:highlight w:val="none"/>
          <w:lang w:val="en-US" w:eastAsia="zh-CN"/>
        </w:rPr>
        <w:t xml:space="preserve">五、</w:t>
      </w:r>
      <w:r>
        <w:rPr>
          <w:rFonts w:hint="eastAsia" w:ascii="仿宋" w:hAnsi="仿宋" w:eastAsia="仿宋"/>
          <w:b/>
          <w:bCs/>
          <w:color w:val="auto"/>
          <w:sz w:val="24"/>
          <w:highlight w:val="none"/>
        </w:rPr>
        <w:t xml:space="preserve">付款</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自</w:t>
      </w:r>
      <w:r>
        <w:rPr>
          <w:rFonts w:hint="eastAsia" w:ascii="仿宋" w:hAnsi="仿宋" w:eastAsia="仿宋"/>
          <w:color w:val="auto"/>
          <w:sz w:val="24"/>
          <w:highlight w:val="none"/>
        </w:rPr>
        <w:t xml:space="preserve">交货</w:t>
      </w:r>
      <w:r>
        <w:rPr>
          <w:rFonts w:hint="eastAsia" w:ascii="仿宋" w:hAnsi="仿宋" w:eastAsia="仿宋"/>
          <w:color w:val="auto"/>
          <w:sz w:val="24"/>
          <w:highlight w:val="none"/>
          <w:lang w:val="en-US" w:eastAsia="zh-CN"/>
        </w:rPr>
        <w:t xml:space="preserve">验收合格后支付合同价的98%，设备正常使用12个月后付清尾款。</w:t>
      </w:r>
      <w:r/>
    </w:p>
    <w:p>
      <w:pPr>
        <w:numPr>
          <w:ilvl w:val="0"/>
          <w:numId w:val="0"/>
        </w:numPr>
        <w:ind w:left="426"/>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lang w:val="en-US" w:eastAsia="zh-CN"/>
        </w:rPr>
        <w:t xml:space="preserve">六、</w:t>
      </w:r>
      <w:r>
        <w:rPr>
          <w:rFonts w:hint="eastAsia" w:ascii="仿宋" w:hAnsi="仿宋" w:eastAsia="仿宋"/>
          <w:b/>
          <w:bCs/>
          <w:color w:val="auto"/>
          <w:sz w:val="24"/>
          <w:highlight w:val="none"/>
        </w:rPr>
        <w:t xml:space="preserve">合同纠纷处理：</w:t>
      </w:r>
      <w:r>
        <w:rPr>
          <w:rFonts w:hint="eastAsia" w:ascii="仿宋" w:hAnsi="仿宋" w:eastAsia="仿宋"/>
          <w:color w:val="auto"/>
          <w:sz w:val="24"/>
          <w:highlight w:val="none"/>
        </w:rPr>
        <w:t xml:space="preserve">本合同执行过程中发生纠纷，由甲方和乙方协商处理。</w:t>
      </w:r>
      <w:r/>
    </w:p>
    <w:p>
      <w:pPr>
        <w:numPr>
          <w:ilvl w:val="0"/>
          <w:numId w:val="0"/>
        </w:numPr>
        <w:ind w:left="426"/>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lang w:val="en-US" w:eastAsia="zh-CN"/>
        </w:rPr>
        <w:t xml:space="preserve">七、</w:t>
      </w:r>
      <w:r>
        <w:rPr>
          <w:rFonts w:hint="eastAsia" w:ascii="仿宋" w:hAnsi="仿宋" w:eastAsia="仿宋"/>
          <w:b/>
          <w:bCs/>
          <w:color w:val="auto"/>
          <w:sz w:val="24"/>
          <w:highlight w:val="none"/>
        </w:rPr>
        <w:t xml:space="preserve">合同生效：</w:t>
      </w:r>
      <w:r>
        <w:rPr>
          <w:rFonts w:hint="eastAsia" w:ascii="仿宋" w:hAnsi="仿宋" w:eastAsia="仿宋"/>
          <w:color w:val="auto"/>
          <w:sz w:val="24"/>
          <w:highlight w:val="none"/>
        </w:rPr>
        <w:t xml:space="preserve">本合同由甲乙双方签字盖章后生效。</w:t>
      </w:r>
      <w:r/>
    </w:p>
    <w:p>
      <w:pPr>
        <w:numPr>
          <w:ilvl w:val="0"/>
          <w:numId w:val="0"/>
        </w:numPr>
        <w:ind w:left="426"/>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lang w:val="en-US" w:eastAsia="zh-CN"/>
        </w:rPr>
        <w:t xml:space="preserve">八、</w:t>
      </w:r>
      <w:r>
        <w:rPr>
          <w:rFonts w:hint="eastAsia" w:ascii="仿宋" w:hAnsi="仿宋" w:eastAsia="仿宋"/>
          <w:b/>
          <w:bCs/>
          <w:color w:val="auto"/>
          <w:sz w:val="24"/>
          <w:highlight w:val="none"/>
        </w:rPr>
        <w:t xml:space="preserve">组成本合同的文件包括：</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本合同一式两份，甲方持一份，乙方持一份。</w:t>
      </w:r>
      <w:r/>
    </w:p>
    <w:tbl>
      <w:tblPr>
        <w:tblStyle w:val="868"/>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hint="eastAsia" w:ascii="仿宋" w:hAnsi="仿宋" w:eastAsia="仿宋"/>
                <w:b/>
                <w:color w:val="auto"/>
                <w:sz w:val="24"/>
                <w:highlight w:val="none"/>
                <w:u w:val="single"/>
                <w:lang w:val="en-US" w:eastAsia="zh-CN"/>
              </w:rPr>
            </w:pPr>
            <w:r>
              <w:rPr>
                <w:rFonts w:hint="eastAsia" w:ascii="仿宋" w:hAnsi="仿宋" w:eastAsia="仿宋"/>
                <w:b/>
                <w:color w:val="auto"/>
                <w:sz w:val="24"/>
                <w:highlight w:val="none"/>
              </w:rPr>
              <w:t xml:space="preserve">甲方（公章）：</w:t>
            </w:r>
            <w:r>
              <w:rPr>
                <w:rFonts w:hint="eastAsia" w:ascii="仿宋" w:hAnsi="仿宋" w:eastAsia="仿宋"/>
                <w:b/>
                <w:color w:val="auto"/>
                <w:sz w:val="24"/>
                <w:highlight w:val="none"/>
                <w:lang w:val="en-US" w:eastAsia="zh-CN"/>
              </w:rPr>
              <w:t xml:space="preserve"> </w:t>
            </w:r>
            <w:r/>
          </w:p>
          <w:p>
            <w:pPr>
              <w:spacing w:before="19"/>
              <w:widowControl/>
              <w:rPr>
                <w:rFonts w:ascii="仿宋" w:hAnsi="仿宋" w:eastAsia="仿宋"/>
                <w:b/>
                <w:color w:val="auto"/>
                <w:sz w:val="24"/>
                <w:highlight w:val="none"/>
                <w:u w:val="single"/>
              </w:rPr>
            </w:pPr>
            <w:r>
              <w:rPr>
                <w:rFonts w:hint="eastAsia" w:ascii="仿宋" w:hAnsi="仿宋" w:eastAsia="仿宋"/>
                <w:color w:val="auto"/>
                <w:sz w:val="24"/>
                <w:highlight w:val="none"/>
              </w:rPr>
              <w:t xml:space="preserve">地址：</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bCs/>
                <w:color w:val="auto"/>
                <w:sz w:val="24"/>
                <w:highlight w:val="none"/>
              </w:rPr>
            </w:pPr>
            <w:r>
              <w:rPr>
                <w:rFonts w:hint="eastAsia" w:ascii="仿宋" w:hAnsi="仿宋" w:eastAsia="仿宋"/>
                <w:color w:val="auto"/>
                <w:sz w:val="24"/>
                <w:highlight w:val="none"/>
              </w:rPr>
              <w:t xml:space="preserve">年月日</w:t>
            </w:r>
            <w:r/>
          </w:p>
        </w:tc>
        <w:tc>
          <w:tcPr>
            <w:tcW w:w="4261" w:type="dxa"/>
            <w:textDirection w:val="lrTb"/>
            <w:noWrap w:val="false"/>
          </w:tcPr>
          <w:p>
            <w:pPr>
              <w:spacing w:before="19"/>
              <w:widowControl/>
              <w:rPr>
                <w:rFonts w:ascii="仿宋" w:hAnsi="仿宋" w:eastAsia="仿宋"/>
                <w:b/>
                <w:color w:val="auto"/>
                <w:sz w:val="24"/>
                <w:highlight w:val="none"/>
                <w:u w:val="single"/>
              </w:rPr>
            </w:pPr>
            <w:r>
              <w:rPr>
                <w:rFonts w:hint="eastAsia" w:ascii="仿宋" w:hAnsi="仿宋" w:eastAsia="仿宋"/>
                <w:b/>
                <w:color w:val="auto"/>
                <w:sz w:val="24"/>
                <w:highlight w:val="none"/>
              </w:rPr>
              <w:t xml:space="preserve">乙方（公章）：</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地址：</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户名：</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开户银行：</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账号：</w:t>
            </w:r>
            <w:r/>
          </w:p>
          <w:p>
            <w:pPr>
              <w:jc w:val="right"/>
              <w:spacing w:before="19"/>
              <w:widowControl/>
              <w:rPr>
                <w:rFonts w:ascii="仿宋" w:hAnsi="仿宋" w:eastAsia="仿宋"/>
                <w:bCs/>
                <w:color w:val="auto"/>
                <w:sz w:val="24"/>
                <w:highlight w:val="none"/>
              </w:rPr>
            </w:pPr>
            <w:r>
              <w:rPr>
                <w:rFonts w:hint="eastAsia" w:ascii="仿宋" w:hAnsi="仿宋" w:eastAsia="仿宋"/>
                <w:color w:val="auto"/>
                <w:sz w:val="24"/>
                <w:highlight w:val="none"/>
              </w:rPr>
              <w:t xml:space="preserve">年月日</w:t>
            </w:r>
            <w:r/>
          </w:p>
        </w:tc>
      </w:tr>
    </w:tbl>
    <w:p>
      <w:pPr>
        <w:jc w:val="right"/>
        <w:spacing w:before="19"/>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center"/>
        <w:spacing w:before="19"/>
        <w:widowControl/>
        <w:rPr>
          <w:rFonts w:ascii="仿宋" w:hAnsi="仿宋" w:eastAsia="仿宋"/>
          <w:color w:val="auto"/>
          <w:sz w:val="24"/>
          <w:highlight w:val="none"/>
        </w:rPr>
      </w:pPr>
      <w:r>
        <w:rPr>
          <w:rFonts w:hint="eastAsia" w:ascii="仿宋" w:hAnsi="仿宋" w:eastAsia="仿宋"/>
          <w:b/>
          <w:bCs/>
          <w:color w:val="auto"/>
          <w:sz w:val="24"/>
          <w:highlight w:val="none"/>
          <w:u w:val="single"/>
        </w:rPr>
        <w:t xml:space="preserve">合同专用条款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第一条 供货及知识产权</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乙方应按磋商文件规定</w:t>
      </w:r>
      <w:r>
        <w:rPr>
          <w:rFonts w:hint="eastAsia" w:ascii="仿宋" w:hAnsi="仿宋" w:eastAsia="仿宋"/>
          <w:color w:val="auto"/>
          <w:sz w:val="24"/>
          <w:highlight w:val="none"/>
        </w:rPr>
        <w:t xml:space="preserve">及响应文件承诺</w:t>
      </w:r>
      <w:r>
        <w:rPr>
          <w:rFonts w:ascii="仿宋" w:hAnsi="仿宋" w:eastAsia="仿宋"/>
          <w:color w:val="auto"/>
          <w:sz w:val="24"/>
          <w:highlight w:val="none"/>
        </w:rPr>
        <w:t xml:space="preserve">的货物性能、技术要求、质量标准向甲方提供未经使用的全新产品。乙</w:t>
      </w:r>
      <w:r>
        <w:rPr>
          <w:rFonts w:hint="eastAsia" w:ascii="仿宋" w:hAnsi="仿宋" w:eastAsia="仿宋"/>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color w:val="auto"/>
          <w:sz w:val="24"/>
          <w:highlight w:val="none"/>
        </w:rPr>
      </w:pPr>
      <w:r>
        <w:rPr>
          <w:rFonts w:hint="eastAsia" w:ascii="仿宋" w:hAnsi="仿宋" w:eastAsia="仿宋"/>
          <w:b/>
          <w:color w:val="auto"/>
          <w:sz w:val="24"/>
          <w:highlight w:val="none"/>
        </w:rPr>
        <w:t xml:space="preserve">第二条 合同总价款    </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本合同总价款是完成本项目所需供货的材料货物、人工、备品、备件、辅配件、专用工具、包装就运输至最终目的地的运输、保险、检测验收、安装、调试、技术支持与培训、售后服务与维保、代理服务费等一切费用及政策性文件规定及合同包含的所有风险、责任等各项应有费用，采购人不再支付其他任何费用。</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第三条 质量保证期内的技术支持与售后服务</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1.</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货物经过双方检验认可后，签署验收报告，免费质量保证期</w:t>
      </w:r>
      <w:r>
        <w:rPr>
          <w:rFonts w:hint="eastAsia" w:ascii="仿宋" w:hAnsi="仿宋" w:eastAsia="仿宋"/>
          <w:b w:val="0"/>
          <w:bCs/>
          <w:color w:val="auto"/>
          <w:sz w:val="24"/>
          <w:highlight w:val="none"/>
          <w:lang w:val="en-US" w:eastAsia="zh-CN"/>
        </w:rPr>
        <w:t xml:space="preserve">壹年</w:t>
      </w:r>
      <w:r>
        <w:rPr>
          <w:rFonts w:hint="eastAsia" w:ascii="仿宋" w:hAnsi="仿宋" w:eastAsia="仿宋"/>
          <w:b w:val="0"/>
          <w:bCs/>
          <w:color w:val="auto"/>
          <w:sz w:val="24"/>
          <w:highlight w:val="none"/>
        </w:rPr>
        <w:t xml:space="preserve">（采购文件具体技术要求另有说明的除外），质量保证期自货物验收合格之日起算，由</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提供货物保修文件。</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2.在质保期内出现质量问题，</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需在2小时内响应，12小时内赶到现场提供免费服务,并在3天内完成修复或更换，无法修复或经过两次修复仍出现质量问题，予以换货，造成采购单位的损失，由</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负责，</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应尽快以书面形式或口头通知</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，并向</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提出索赔。如</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在接到通知后3天内没有答复或处理问题，则视为</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承认质量问题并承担由此而发生的一切费用。</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3.在免费质保期内设备发生非人为故障，</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应免费上门检修维修，免费更换零部件，并免费上门进行定期检查维护保养、解决用户在使用中出现的疑难。保修期内免费进行检修或更换零配件。</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4.</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须提供全面使用、维护培训。</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应对所投设备进行调试并对</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操作人员提供不少于5天的现场实地操作培训。</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5.质保期满以后，</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应按同类货物的优惠价格提供保修服务。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第四条 质量保证期外的技术支持与服务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按乙方磋商响应文件执行。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第五条 交货和验收</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1.</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向</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提供详细的设备供货清单，由</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确认。当货物到达</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指定的现场后，</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和</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依据供货清单共同对货物进行检验，并对设备的数量、品质进行逐项检查；</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2.验收以最终</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及相关部门（如有）验收为准。响应货物和设备经过双方检验认可后，签署验收报告，货物保修期自验收合格之日起算，由</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提供货物保修文件；</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3. 验收要求</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（1）</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必须严格按照响应时所投原产品品牌进行供货，提供货物绝不低于采购文件规定的规格和材质要求，如果</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发现一件产品不符合国家标准及采购文件要求，</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需无条件退货，并按照合同总价款的20%违约金无条件支付给</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，违约金从</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应付成交供应商的任何款项中支付。同时</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有权终止合同，并保留追究</w:t>
      </w:r>
      <w:r>
        <w:rPr>
          <w:rFonts w:hint="eastAsia" w:ascii="仿宋" w:hAnsi="仿宋" w:eastAsia="仿宋"/>
          <w:b w:val="0"/>
          <w:bCs/>
          <w:color w:val="auto"/>
          <w:sz w:val="24"/>
          <w:highlight w:val="none"/>
          <w:lang w:val="en-US" w:eastAsia="zh-CN"/>
        </w:rPr>
        <w:t xml:space="preserve">乙方责</w:t>
      </w:r>
      <w:r>
        <w:rPr>
          <w:rFonts w:hint="eastAsia" w:ascii="仿宋" w:hAnsi="仿宋" w:eastAsia="仿宋"/>
          <w:b w:val="0"/>
          <w:bCs/>
          <w:color w:val="auto"/>
          <w:sz w:val="24"/>
          <w:highlight w:val="none"/>
        </w:rPr>
        <w:t xml:space="preserve">任的权利。</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（2）验收标准：</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提供的货物必须符合我国最新颁布的与之相关的技术规范与标准，同时必须满足采购文件中所列规格、具体配置、技术条件及功能要求和</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承诺的其它指标。</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（3）在质保期内，如果标的物的数量、质量或规格与合同不符或证实标的物是具有缺陷的，包括潜在缺陷或使用不符合要求的材料等，</w:t>
      </w:r>
      <w:r>
        <w:rPr>
          <w:rFonts w:hint="eastAsia" w:ascii="仿宋" w:hAnsi="仿宋" w:eastAsia="仿宋"/>
          <w:b w:val="0"/>
          <w:bCs/>
          <w:color w:val="auto"/>
          <w:sz w:val="24"/>
          <w:highlight w:val="none"/>
          <w:lang w:val="en-US" w:eastAsia="zh-CN"/>
        </w:rPr>
        <w:t xml:space="preserve">甲方</w:t>
      </w:r>
      <w:r>
        <w:rPr>
          <w:rFonts w:hint="eastAsia" w:ascii="仿宋" w:hAnsi="仿宋" w:eastAsia="仿宋"/>
          <w:b w:val="0"/>
          <w:bCs/>
          <w:color w:val="auto"/>
          <w:sz w:val="24"/>
          <w:highlight w:val="none"/>
        </w:rPr>
        <w:t xml:space="preserve">将以书面形式通知</w:t>
      </w:r>
      <w:r>
        <w:rPr>
          <w:rFonts w:hint="eastAsia" w:ascii="仿宋" w:hAnsi="仿宋" w:eastAsia="仿宋"/>
          <w:b w:val="0"/>
          <w:bCs/>
          <w:color w:val="auto"/>
          <w:sz w:val="24"/>
          <w:highlight w:val="none"/>
          <w:lang w:val="en-US" w:eastAsia="zh-CN"/>
        </w:rPr>
        <w:t xml:space="preserve">乙方</w:t>
      </w:r>
      <w:r>
        <w:rPr>
          <w:rFonts w:hint="eastAsia" w:ascii="仿宋" w:hAnsi="仿宋" w:eastAsia="仿宋"/>
          <w:b w:val="0"/>
          <w:bCs/>
          <w:color w:val="auto"/>
          <w:sz w:val="24"/>
          <w:highlight w:val="none"/>
        </w:rPr>
        <w:t xml:space="preserve">并提出索赔。</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（4）验收期限在安装调试结束60个工作日内进行。特殊情况需延长的，双方应特别约定。</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rPr>
        <w:t xml:space="preserve">（5）验收结果经双方确认后，双方代表须按规定的验收项目填好《如皋市政府项目履约验收报告书》并盖章签名。履行验收报告作为最终付款所需文件的组成部分。如双方对验收结果有分歧，则以项目所在地产品质量监督检验所的检验结果为准，检验费由有过失的一方支付。</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第六条 项目管理服务</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甲</w:t>
      </w:r>
      <w:r>
        <w:rPr>
          <w:rFonts w:hint="eastAsia" w:ascii="仿宋" w:hAnsi="仿宋" w:eastAsia="仿宋"/>
          <w:color w:val="auto"/>
          <w:sz w:val="24"/>
          <w:highlight w:val="none"/>
        </w:rPr>
        <w:t xml:space="preserve">乙方要指定不少于一人全权全程负责本项目服务的落实，包括服务的咨询、执行和后续工作。</w:t>
      </w:r>
      <w:r/>
    </w:p>
    <w:p>
      <w:pPr>
        <w:ind w:firstLine="481"/>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甲方</w:t>
      </w: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 联系电话：。</w:t>
      </w:r>
      <w:r/>
    </w:p>
    <w:p>
      <w:pPr>
        <w:ind w:firstLine="481"/>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乙方</w:t>
      </w: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 联系电话：。</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第七条 货款支付</w:t>
      </w:r>
      <w:r/>
    </w:p>
    <w:p>
      <w:pPr>
        <w:ind w:firstLine="480"/>
        <w:rPr>
          <w:rFonts w:hint="eastAsia" w:ascii="仿宋" w:hAnsi="仿宋" w:eastAsia="仿宋"/>
          <w:b w:val="0"/>
          <w:bCs/>
          <w:color w:val="auto"/>
          <w:sz w:val="24"/>
          <w:highlight w:val="none"/>
        </w:rPr>
      </w:pPr>
      <w:r>
        <w:rPr>
          <w:rFonts w:hint="eastAsia" w:ascii="仿宋" w:hAnsi="仿宋" w:eastAsia="仿宋"/>
          <w:b w:val="0"/>
          <w:bCs/>
          <w:color w:val="auto"/>
          <w:sz w:val="24"/>
          <w:highlight w:val="none"/>
          <w:lang w:val="en-US" w:eastAsia="zh-CN"/>
        </w:rPr>
        <w:t xml:space="preserve">自</w:t>
      </w:r>
      <w:r>
        <w:rPr>
          <w:rFonts w:hint="eastAsia" w:ascii="仿宋" w:hAnsi="仿宋" w:eastAsia="仿宋"/>
          <w:b w:val="0"/>
          <w:bCs/>
          <w:color w:val="auto"/>
          <w:sz w:val="24"/>
          <w:highlight w:val="none"/>
        </w:rPr>
        <w:t xml:space="preserve">交货</w:t>
      </w:r>
      <w:r>
        <w:rPr>
          <w:rFonts w:hint="eastAsia" w:ascii="仿宋" w:hAnsi="仿宋" w:eastAsia="仿宋"/>
          <w:b w:val="0"/>
          <w:bCs/>
          <w:color w:val="auto"/>
          <w:sz w:val="24"/>
          <w:highlight w:val="none"/>
          <w:lang w:val="en-US" w:eastAsia="zh-CN"/>
        </w:rPr>
        <w:t xml:space="preserve">验收合格后支付合同价的98%，设备正常使用12个月后付清尾款。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八</w:t>
      </w:r>
      <w:r>
        <w:rPr>
          <w:rFonts w:hint="eastAsia" w:ascii="仿宋" w:hAnsi="仿宋" w:eastAsia="仿宋"/>
          <w:b/>
          <w:color w:val="auto"/>
          <w:sz w:val="24"/>
          <w:highlight w:val="none"/>
        </w:rPr>
        <w:t xml:space="preserve">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3、如乙方不能交付货物，乙方应向甲方支付合同总价５％的违约金。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乙方逾期交付货物的，每逾期1天，乙方向甲方偿付逾期交货部分货款总额的5‰的滞纳金</w:t>
      </w:r>
      <w:r>
        <w:rPr>
          <w:rFonts w:hint="eastAsia" w:ascii="仿宋" w:hAnsi="仿宋" w:eastAsia="仿宋"/>
          <w:color w:val="auto"/>
          <w:sz w:val="24"/>
          <w:highlight w:val="none"/>
        </w:rPr>
        <w:t xml:space="preserve">。如乙方逾期交货达10天，甲方有权解除合同，解除合同的通知自到达乙方时生效。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乙方所交</w:t>
      </w:r>
      <w:r>
        <w:rPr>
          <w:rFonts w:hint="eastAsia" w:ascii="仿宋" w:hAnsi="仿宋" w:eastAsia="仿宋"/>
          <w:color w:val="auto"/>
          <w:sz w:val="24"/>
          <w:highlight w:val="none"/>
        </w:rPr>
        <w:t xml:space="preserve">付</w:t>
      </w:r>
      <w:r>
        <w:rPr>
          <w:rFonts w:ascii="仿宋" w:hAnsi="仿宋" w:eastAsia="仿宋"/>
          <w:color w:val="auto"/>
          <w:sz w:val="24"/>
          <w:highlight w:val="none"/>
        </w:rPr>
        <w:t xml:space="preserve">的货物品种、型号、规格不符合合同规定的，甲方有权拒收。</w:t>
      </w:r>
      <w:r>
        <w:rPr>
          <w:rFonts w:hint="eastAsia" w:ascii="仿宋" w:hAnsi="仿宋" w:eastAsia="仿宋"/>
          <w:color w:val="auto"/>
          <w:sz w:val="24"/>
          <w:highlight w:val="none"/>
        </w:rPr>
        <w:t xml:space="preserve">甲方拒收的，</w:t>
      </w:r>
      <w:r>
        <w:rPr>
          <w:rFonts w:ascii="仿宋" w:hAnsi="仿宋" w:eastAsia="仿宋"/>
          <w:color w:val="auto"/>
          <w:sz w:val="24"/>
          <w:highlight w:val="none"/>
        </w:rPr>
        <w:t xml:space="preserve">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向甲方支付货款总额5%的违约金。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6、在乙方承诺的或国家规定的质量保证期内（取两者中最长的期限），</w:t>
      </w:r>
      <w:r>
        <w:rPr>
          <w:rFonts w:ascii="仿宋" w:hAnsi="仿宋" w:eastAsia="仿宋"/>
          <w:color w:val="auto"/>
          <w:sz w:val="24"/>
          <w:highlight w:val="none"/>
        </w:rPr>
        <w:t xml:space="preserve">如经乙方两次维修</w:t>
      </w:r>
      <w:r>
        <w:rPr>
          <w:rFonts w:hint="eastAsia" w:ascii="仿宋" w:hAnsi="仿宋" w:eastAsia="仿宋"/>
          <w:color w:val="auto"/>
          <w:sz w:val="24"/>
          <w:highlight w:val="none"/>
        </w:rPr>
        <w:t xml:space="preserve">或更换</w:t>
      </w:r>
      <w:r>
        <w:rPr>
          <w:rFonts w:ascii="仿宋" w:hAnsi="仿宋" w:eastAsia="仿宋"/>
          <w:color w:val="auto"/>
          <w:sz w:val="24"/>
          <w:highlight w:val="none"/>
        </w:rPr>
        <w:t xml:space="preserve">，货物仍不能达到合同约定</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质量标准，甲方有权退货，乙方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退回全部货款，并按第3款处理，同时，乙方还须赔偿甲方因此遭受的损失。</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7、乙方未按本合同的规定和服务承诺提供服务的，应按合同总价款的_3_%向甲方承担违约责任。</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条 合同的变更和终止</w:t>
      </w:r>
      <w:r/>
    </w:p>
    <w:p>
      <w:pPr>
        <w:pStyle w:val="875"/>
        <w:ind w:firstLine="480"/>
        <w:tabs>
          <w:tab w:val="clear" w:pos="4153" w:leader="none"/>
          <w:tab w:val="clear" w:pos="8306"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除《政府采购法》第49条、第50条第二款规定的情形外，本合同一经签订，甲乙双方不得擅自变更、中止或终止合同。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十</w:t>
      </w:r>
      <w:r>
        <w:rPr>
          <w:rFonts w:hint="eastAsia" w:ascii="仿宋" w:hAnsi="仿宋" w:eastAsia="仿宋"/>
          <w:b/>
          <w:color w:val="auto"/>
          <w:sz w:val="24"/>
          <w:highlight w:val="none"/>
        </w:rPr>
        <w:t xml:space="preserve">条 合同的转让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乙方不得擅自部分或全部转让其应履行的合同义务。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一</w:t>
      </w:r>
      <w:r>
        <w:rPr>
          <w:rFonts w:hint="eastAsia" w:ascii="仿宋" w:hAnsi="仿宋" w:eastAsia="仿宋"/>
          <w:b/>
          <w:color w:val="auto"/>
          <w:sz w:val="24"/>
          <w:highlight w:val="none"/>
        </w:rPr>
        <w:t xml:space="preserve">条 争议的解决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二</w:t>
      </w:r>
      <w:r>
        <w:rPr>
          <w:rFonts w:hint="eastAsia" w:ascii="仿宋" w:hAnsi="仿宋" w:eastAsia="仿宋"/>
          <w:b/>
          <w:color w:val="auto"/>
          <w:sz w:val="24"/>
          <w:highlight w:val="none"/>
        </w:rPr>
        <w:t xml:space="preserve">条 合同生效及其他</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1、本合同自签订之日起生效。</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r>
      <w:r/>
    </w:p>
    <w:p>
      <w:pPr>
        <w:rPr>
          <w:rFonts w:hint="eastAsia" w:ascii="方正小标宋简体" w:eastAsia="方正小标宋简体"/>
          <w:bCs/>
          <w:color w:val="auto"/>
          <w:sz w:val="32"/>
          <w:szCs w:val="32"/>
          <w:highlight w:val="none"/>
        </w:rPr>
      </w:pPr>
      <w:r/>
      <w:bookmarkStart w:id="80" w:name="_Toc20621"/>
      <w:r>
        <w:rPr>
          <w:rFonts w:hint="eastAsia" w:ascii="方正小标宋简体" w:eastAsia="方正小标宋简体"/>
          <w:bCs/>
          <w:color w:val="auto"/>
          <w:sz w:val="32"/>
          <w:szCs w:val="32"/>
          <w:highlight w:val="none"/>
        </w:rPr>
        <w:br w:type="page" w:clear="all"/>
      </w:r>
      <w:r/>
    </w:p>
    <w:p>
      <w:pPr>
        <w:pStyle w:val="891"/>
        <w:ind w:firstLine="0"/>
        <w:jc w:val="center"/>
        <w:spacing w:line="240" w:lineRule="auto"/>
        <w:rPr>
          <w:b/>
          <w:color w:val="auto"/>
          <w:highlight w:val="none"/>
        </w:rPr>
        <w:outlineLvl w:val="0"/>
      </w:pPr>
      <w:r>
        <w:rPr>
          <w:rFonts w:hint="eastAsia" w:ascii="方正小标宋简体" w:eastAsia="方正小标宋简体"/>
          <w:bCs/>
          <w:color w:val="auto"/>
          <w:sz w:val="32"/>
          <w:szCs w:val="32"/>
          <w:highlight w:val="none"/>
        </w:rPr>
        <w:t xml:space="preserve">第5章 评审标准和方法</w:t>
      </w:r>
      <w:bookmarkEnd w:id="80"/>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价格分采用低价优先法计算，即满足磋商文件要求且最后报价中最低报价为评审基准价，其价格分为满分。其他响应供应商的价格分统一按照下列公式计算：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最后报价得分=(评审基准价／最后报价)×价格分分值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磋商过程中，不得去掉报价中的最高报价和最低报价。因落实政府采购政策进行价格调整的，以调整后的价格计算评审基准价和最后报价。</w:t>
      </w:r>
      <w:r/>
    </w:p>
    <w:p>
      <w:pPr>
        <w:numPr>
          <w:ilvl w:val="0"/>
          <w:numId w:val="2"/>
        </w:numPr>
        <w:ind w:firstLine="560"/>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评分标准表</w:t>
      </w:r>
      <w:r/>
    </w:p>
    <w:p>
      <w:pPr>
        <w:numPr>
          <w:ilvl w:val="0"/>
          <w:numId w:val="3"/>
        </w:numPr>
        <w:ind w:firstLine="280"/>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采购包一：</w:t>
      </w:r>
      <w:r/>
    </w:p>
    <w:tbl>
      <w:tblPr>
        <w:tblStyle w:val="868"/>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93"/>
        <w:gridCol w:w="1050"/>
        <w:gridCol w:w="5466"/>
        <w:gridCol w:w="1069"/>
      </w:tblGrid>
      <w:tr>
        <w:trPr>
          <w:trHeight w:val="420"/>
        </w:trPr>
        <w:tc>
          <w:tcPr>
            <w:tcW w:w="6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9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10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分值</w:t>
            </w:r>
            <w:r/>
          </w:p>
        </w:tc>
        <w:tc>
          <w:tcPr>
            <w:tcW w:w="546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评审要求或标准</w:t>
            </w:r>
            <w:r/>
          </w:p>
        </w:tc>
        <w:tc>
          <w:tcPr>
            <w:tcW w:w="106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得分</w:t>
            </w:r>
            <w:r/>
          </w:p>
        </w:tc>
      </w:tr>
      <w:tr>
        <w:trPr>
          <w:trHeight w:val="409"/>
        </w:trPr>
        <w:tc>
          <w:tcPr>
            <w:tcW w:w="6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293" w:type="dxa"/>
            <w:vAlign w:val="center"/>
            <w:textDirection w:val="lrTb"/>
            <w:noWrap w:val="false"/>
          </w:tcPr>
          <w:p>
            <w:pPr>
              <w:pStyle w:val="881"/>
              <w:jc w:val="center"/>
              <w:spacing w:before="0" w:beforeAutospacing="0" w:after="0" w:afterAutospacing="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产品性能</w:t>
            </w:r>
            <w:r/>
          </w:p>
        </w:tc>
        <w:tc>
          <w:tcPr>
            <w:tcW w:w="1050"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28</w:t>
            </w:r>
            <w:r/>
          </w:p>
        </w:tc>
        <w:tc>
          <w:tcPr>
            <w:tcW w:w="5466" w:type="dxa"/>
            <w:vAlign w:val="center"/>
            <w:textDirection w:val="lrTb"/>
            <w:noWrap w:val="false"/>
          </w:tcPr>
          <w:p>
            <w:pPr>
              <w:ind w:firstLine="480"/>
              <w:jc w:val="left"/>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依据响应供应商按产品技术要求提供制造商公开发布的产品检验报告、技术白皮书（说明书）、要求提供的证明材料对产品技术性能参数进行评审。如响应供应商填写响应性与佐证材料参数不一致（例如：技术部分正负偏离表自填响应或正偏离，证明材料等参数显示负偏离或不响应），该项不得分。具体评分标准如下：</w:t>
            </w:r>
            <w:r/>
          </w:p>
          <w:p>
            <w:pPr>
              <w:ind w:firstLine="482"/>
              <w:jc w:val="left"/>
              <w:spacing w:line="3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一、灭火防护服（23分）</w:t>
            </w:r>
            <w:r/>
          </w:p>
          <w:p>
            <w:pPr>
              <w:ind w:firstLine="480"/>
              <w:jc w:val="left"/>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1.所投灭火防护服符合XF10-2014《消防员灭火防护服》标准要求，并提供国家认可的检测机构出具的检测检验报告得6分。</w:t>
            </w:r>
            <w:r/>
          </w:p>
          <w:p>
            <w:pPr>
              <w:ind w:firstLine="480"/>
              <w:jc w:val="left"/>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2.外层面料：损毁长度≤50mm得2分，损毁长度≤35mm得4分。</w:t>
            </w:r>
            <w:r/>
          </w:p>
          <w:p>
            <w:pPr>
              <w:ind w:firstLine="480"/>
              <w:jc w:val="left"/>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3.外层面料：续燃时间≤0s得3分。</w:t>
            </w:r>
            <w:r/>
          </w:p>
          <w:p>
            <w:pPr>
              <w:ind w:firstLine="480"/>
              <w:jc w:val="left"/>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4.外层面料：断裂强力经向≥1000N得2分，断裂强力纬向≥850N得2分。</w:t>
            </w:r>
            <w:r/>
          </w:p>
          <w:p>
            <w:pPr>
              <w:pStyle w:val="888"/>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5.外层面料：撕破强力经向≥140N得3分。</w:t>
            </w:r>
            <w:r/>
          </w:p>
          <w:p>
            <w:pPr>
              <w:ind w:firstLine="480"/>
              <w:jc w:val="left"/>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6.里层面料：舒适层缩水率≤2%得3分。</w:t>
            </w:r>
            <w:r/>
          </w:p>
          <w:p>
            <w:pPr>
              <w:ind w:firstLine="482"/>
              <w:jc w:val="left"/>
              <w:spacing w:line="3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以上2-6项须依据提供的检测报告或制造商对外公开发布的技术白皮书（说明书）。</w:t>
            </w:r>
            <w:r/>
          </w:p>
          <w:p>
            <w:pPr>
              <w:ind w:firstLine="482"/>
              <w:jc w:val="left"/>
              <w:spacing w:line="360" w:lineRule="exact"/>
              <w:rPr>
                <w:rFonts w:hint="eastAsia" w:ascii="仿宋" w:hAnsi="仿宋" w:eastAsia="仿宋" w:cs="仿宋"/>
                <w:b/>
                <w:bCs/>
                <w:i w:val="0"/>
                <w:iCs w:val="0"/>
                <w:color w:val="auto"/>
                <w:sz w:val="24"/>
                <w:szCs w:val="24"/>
                <w:highlight w:val="none"/>
                <w:u w:val="none"/>
                <w:lang w:val="en-US" w:eastAsia="zh-CN"/>
              </w:rPr>
            </w:pPr>
            <w:r>
              <w:rPr>
                <w:rFonts w:hint="eastAsia" w:ascii="仿宋" w:hAnsi="仿宋" w:eastAsia="仿宋" w:cs="仿宋"/>
                <w:b/>
                <w:bCs/>
                <w:i w:val="0"/>
                <w:iCs w:val="0"/>
                <w:color w:val="auto"/>
                <w:sz w:val="24"/>
                <w:szCs w:val="24"/>
                <w:highlight w:val="none"/>
                <w:u w:val="none"/>
                <w:lang w:val="en-US" w:eastAsia="zh-CN"/>
              </w:rPr>
              <w:t xml:space="preserve">二、小型灭火携行包</w:t>
            </w:r>
            <w:r>
              <w:rPr>
                <w:rFonts w:hint="eastAsia" w:ascii="仿宋" w:hAnsi="仿宋" w:eastAsia="仿宋" w:cs="仿宋"/>
                <w:b/>
                <w:bCs/>
                <w:color w:val="auto"/>
                <w:sz w:val="24"/>
                <w:szCs w:val="24"/>
                <w:highlight w:val="none"/>
                <w:lang w:val="en-US" w:eastAsia="zh-CN"/>
              </w:rPr>
              <w:t xml:space="preserve">（5分）</w:t>
            </w:r>
            <w:r/>
          </w:p>
          <w:p>
            <w:pPr>
              <w:ind w:firstLine="480"/>
              <w:jc w:val="left"/>
              <w:spacing w:line="360" w:lineRule="exact"/>
              <w:rPr>
                <w:rFonts w:hint="default" w:ascii="仿宋" w:hAnsi="仿宋" w:eastAsia="仿宋" w:cs="仿宋"/>
                <w:color w:val="auto"/>
                <w:sz w:val="24"/>
                <w:szCs w:val="24"/>
                <w:highlight w:val="none"/>
                <w:lang w:val="en-US"/>
              </w:rPr>
            </w:pPr>
            <w:r>
              <w:rPr>
                <w:rFonts w:hint="eastAsia" w:ascii="仿宋" w:hAnsi="仿宋" w:eastAsia="仿宋" w:cs="仿宋"/>
                <w:i w:val="0"/>
                <w:iCs w:val="0"/>
                <w:color w:val="auto"/>
                <w:sz w:val="24"/>
                <w:szCs w:val="24"/>
                <w:highlight w:val="none"/>
                <w:u w:val="none"/>
                <w:lang w:val="en-US" w:eastAsia="zh-CN"/>
              </w:rPr>
              <w:t xml:space="preserve">所投小型灭火携行包包体除满足具有可容纳60米40mm水带、40mm多功能水枪2把、消火栓转换接口2个、消火栓扳手1把等器材的空间（不包含器材本身）外，还具备其他消防器材容纳空间的，得5分；</w:t>
            </w:r>
            <w:r>
              <w:rPr>
                <w:rFonts w:hint="eastAsia" w:ascii="仿宋" w:hAnsi="仿宋" w:eastAsia="仿宋" w:cs="仿宋"/>
                <w:b/>
                <w:bCs/>
                <w:i w:val="0"/>
                <w:iCs w:val="0"/>
                <w:color w:val="auto"/>
                <w:sz w:val="24"/>
                <w:szCs w:val="24"/>
                <w:highlight w:val="none"/>
                <w:u w:val="none"/>
                <w:lang w:val="en-US" w:eastAsia="zh-CN"/>
              </w:rPr>
              <w:t xml:space="preserve">须提供装满器材的图片，不提供不得分。</w:t>
            </w:r>
            <w:r/>
          </w:p>
        </w:tc>
        <w:tc>
          <w:tcPr>
            <w:tcW w:w="1069"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shd w:val="clear" w:color="auto" w:fill="auto"/>
            <w:tcW w:w="1293"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业绩</w:t>
            </w:r>
            <w:r/>
          </w:p>
        </w:tc>
        <w:tc>
          <w:tcPr>
            <w:shd w:val="clear" w:color="auto" w:fill="auto"/>
            <w:tcW w:w="1050" w:type="dxa"/>
            <w:vAlign w:val="center"/>
            <w:textDirection w:val="lrTb"/>
            <w:noWrap w:val="false"/>
          </w:tcPr>
          <w:p>
            <w:pPr>
              <w:jc w:val="center"/>
              <w:spacing w:line="4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8</w:t>
            </w:r>
            <w:r/>
          </w:p>
        </w:tc>
        <w:tc>
          <w:tcPr>
            <w:shd w:val="clear" w:color="auto" w:fill="auto"/>
            <w:tcW w:w="5466" w:type="dxa"/>
            <w:vAlign w:val="center"/>
            <w:textDirection w:val="lrTb"/>
            <w:noWrap w:val="false"/>
          </w:tcPr>
          <w:p>
            <w:pPr>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响应供应商自2022年1月1日（以签订合同时间为准）以来承担的类似产品销售项目（合同内容至少包含本采购包产品中的一项），每提供一份业绩得2分，最多得8分。</w:t>
            </w:r>
            <w:r>
              <w:rPr>
                <w:rFonts w:hint="eastAsia" w:ascii="仿宋" w:hAnsi="仿宋" w:eastAsia="仿宋" w:cs="仿宋"/>
                <w:b/>
                <w:bCs/>
                <w:color w:val="auto"/>
                <w:sz w:val="24"/>
                <w:szCs w:val="24"/>
                <w:highlight w:val="none"/>
                <w:lang w:val="en-US" w:eastAsia="zh-CN" w:bidi="ar-SA"/>
              </w:rPr>
              <w:t xml:space="preserve">响应文件中须提供中标（成交）通知书、完整合同及盖有甲方单位公章的验收单原件扫描件，未提供或提供不全不得分。</w:t>
            </w:r>
            <w:r/>
          </w:p>
        </w:tc>
        <w:tc>
          <w:tcPr>
            <w:tcW w:w="1069"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92"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W w:w="1293"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体系认证</w:t>
            </w:r>
            <w:r/>
          </w:p>
        </w:tc>
        <w:tc>
          <w:tcPr>
            <w:shd w:val="clear" w:color="auto" w:fill="auto"/>
            <w:tcW w:w="1050" w:type="dxa"/>
            <w:vAlign w:val="center"/>
            <w:textDirection w:val="lrTb"/>
            <w:noWrap w:val="false"/>
          </w:tcPr>
          <w:p>
            <w:pPr>
              <w:jc w:val="center"/>
              <w:spacing w:line="4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3</w:t>
            </w:r>
            <w:r/>
          </w:p>
        </w:tc>
        <w:tc>
          <w:tcPr>
            <w:shd w:val="clear" w:color="auto" w:fill="auto"/>
            <w:tcW w:w="5466" w:type="dxa"/>
            <w:vAlign w:val="center"/>
            <w:textDirection w:val="lrTb"/>
            <w:noWrap w:val="false"/>
          </w:tcPr>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具有有效的质量管理体系认证证书、职业健康安全管理体系认证证书、环境管理体系认证证书，每提供一项得1分，本项最多得3分。</w:t>
            </w:r>
            <w:r>
              <w:rPr>
                <w:rFonts w:hint="eastAsia" w:ascii="仿宋" w:hAnsi="仿宋" w:eastAsia="仿宋" w:cs="仿宋"/>
                <w:color w:val="auto"/>
                <w:sz w:val="24"/>
                <w:szCs w:val="24"/>
                <w:highlight w:val="none"/>
                <w:lang w:val="en-US" w:eastAsia="zh-CN"/>
              </w:rPr>
              <w:t xml:space="preserve">   </w:t>
            </w:r>
            <w:r/>
          </w:p>
          <w:p>
            <w:pPr>
              <w:pStyle w:val="899"/>
              <w:ind w:left="0" w:firstLine="480"/>
              <w:tabs>
                <w:tab w:val="left" w:pos="312"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rPr>
              <w:t xml:space="preserve">须提供证书原件扫描件及国家认监委平台查询截图加盖</w:t>
            </w:r>
            <w:r>
              <w:rPr>
                <w:rFonts w:hint="eastAsia" w:ascii="仿宋" w:hAnsi="仿宋" w:eastAsia="仿宋" w:cs="仿宋"/>
                <w:b/>
                <w:bCs/>
                <w:color w:val="auto"/>
                <w:sz w:val="24"/>
                <w:szCs w:val="24"/>
                <w:highlight w:val="none"/>
                <w:lang w:val="en-US" w:eastAsia="zh-CN"/>
              </w:rPr>
              <w:t xml:space="preserve">响应供应商</w:t>
            </w:r>
            <w:r>
              <w:rPr>
                <w:rFonts w:hint="eastAsia" w:ascii="仿宋" w:hAnsi="仿宋" w:eastAsia="仿宋" w:cs="仿宋"/>
                <w:b/>
                <w:bCs/>
                <w:color w:val="auto"/>
                <w:sz w:val="24"/>
                <w:szCs w:val="24"/>
                <w:highlight w:val="none"/>
              </w:rPr>
              <w:t xml:space="preserve">公章，否则</w:t>
            </w:r>
            <w:r>
              <w:rPr>
                <w:rFonts w:hint="eastAsia" w:ascii="仿宋" w:hAnsi="仿宋" w:eastAsia="仿宋" w:cs="仿宋"/>
                <w:b/>
                <w:bCs/>
                <w:color w:val="auto"/>
                <w:sz w:val="24"/>
                <w:szCs w:val="24"/>
                <w:highlight w:val="none"/>
                <w:lang w:eastAsia="zh-CN"/>
              </w:rPr>
              <w:t xml:space="preserve">不得分</w:t>
            </w:r>
            <w:r>
              <w:rPr>
                <w:rFonts w:hint="eastAsia" w:ascii="仿宋" w:hAnsi="仿宋" w:eastAsia="仿宋" w:cs="仿宋"/>
                <w:b/>
                <w:bCs/>
                <w:color w:val="auto"/>
                <w:sz w:val="24"/>
                <w:szCs w:val="24"/>
                <w:highlight w:val="none"/>
              </w:rPr>
              <w:t xml:space="preserve">。</w:t>
            </w:r>
            <w:r/>
          </w:p>
        </w:tc>
        <w:tc>
          <w:tcPr>
            <w:tcW w:w="1069"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shd w:val="clear" w:color="auto" w:fill="auto"/>
            <w:tcW w:w="692" w:type="dxa"/>
            <w:vAlign w:val="center"/>
            <w:textDirection w:val="lrTb"/>
            <w:noWrap w:val="false"/>
          </w:tcPr>
          <w:p>
            <w:pPr>
              <w:jc w:val="center"/>
              <w:spacing w:line="3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w:t>
            </w:r>
            <w:r/>
          </w:p>
        </w:tc>
        <w:tc>
          <w:tcPr>
            <w:shd w:val="clear" w:color="auto" w:fill="auto"/>
            <w:tcW w:w="129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售后服务</w:t>
            </w:r>
            <w:r/>
          </w:p>
        </w:tc>
        <w:tc>
          <w:tcPr>
            <w:shd w:val="clear" w:color="auto" w:fill="auto"/>
            <w:tcW w:w="105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4</w:t>
            </w:r>
            <w:r/>
          </w:p>
        </w:tc>
        <w:tc>
          <w:tcPr>
            <w:shd w:val="clear" w:color="auto" w:fill="auto"/>
            <w:tcW w:w="5466" w:type="dxa"/>
            <w:vAlign w:val="center"/>
            <w:textDirection w:val="lrTb"/>
            <w:noWrap w:val="false"/>
          </w:tcPr>
          <w:p>
            <w:pPr>
              <w:pStyle w:val="899"/>
              <w:ind w:left="0" w:firstLine="480"/>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rPr>
              <w:t xml:space="preserve">质保期为</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年，承诺质保期在原基础年限上每增加半年，得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b/>
                <w:bCs/>
                <w:color w:val="auto"/>
                <w:sz w:val="24"/>
                <w:szCs w:val="24"/>
                <w:highlight w:val="none"/>
              </w:rPr>
              <w:t xml:space="preserve">响应文件中须提供承诺函（格式自拟），未提供</w:t>
            </w:r>
            <w:r>
              <w:rPr>
                <w:rFonts w:hint="eastAsia" w:ascii="仿宋" w:hAnsi="仿宋" w:eastAsia="仿宋" w:cs="仿宋"/>
                <w:b/>
                <w:bCs/>
                <w:color w:val="auto"/>
                <w:sz w:val="24"/>
                <w:szCs w:val="24"/>
                <w:highlight w:val="none"/>
                <w:lang w:eastAsia="zh-CN"/>
              </w:rPr>
              <w:t xml:space="preserve">不得分</w:t>
            </w:r>
            <w:r>
              <w:rPr>
                <w:rFonts w:hint="eastAsia" w:ascii="仿宋" w:hAnsi="仿宋" w:eastAsia="仿宋" w:cs="仿宋"/>
                <w:b/>
                <w:bCs/>
                <w:color w:val="auto"/>
                <w:sz w:val="24"/>
                <w:szCs w:val="24"/>
                <w:highlight w:val="none"/>
              </w:rPr>
              <w:t xml:space="preserve">。</w:t>
            </w:r>
            <w:r/>
          </w:p>
        </w:tc>
        <w:tc>
          <w:tcPr>
            <w:tcW w:w="1069"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shd w:val="clear" w:color="auto" w:fill="auto"/>
            <w:tcW w:w="692"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shd w:val="clear" w:color="auto" w:fill="auto"/>
            <w:tcW w:w="1293"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服务方案</w:t>
            </w:r>
            <w:r/>
          </w:p>
        </w:tc>
        <w:tc>
          <w:tcPr>
            <w:shd w:val="clear" w:color="auto" w:fill="auto"/>
            <w:tcW w:w="105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12</w:t>
            </w:r>
            <w:r/>
          </w:p>
        </w:tc>
        <w:tc>
          <w:tcPr>
            <w:shd w:val="clear" w:color="auto" w:fill="auto"/>
            <w:tcW w:w="5466" w:type="dxa"/>
            <w:vAlign w:val="center"/>
            <w:textDirection w:val="lrTb"/>
            <w:noWrap w:val="false"/>
          </w:tcPr>
          <w:p>
            <w:pPr>
              <w:pStyle w:val="899"/>
              <w:ind w:left="0" w:firstLine="480"/>
              <w:tabs>
                <w:tab w:val="left" w:pos="31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提交的供货方案的完整性及可实施性进行独立评审，方案内容应包括：①供货渠道；②供货时间；③运输方案；④质量保证；⑤对设备的调试进度安排</w:t>
            </w:r>
            <w:r>
              <w:rPr>
                <w:rFonts w:hint="eastAsia" w:ascii="仿宋" w:hAnsi="仿宋" w:eastAsia="仿宋" w:cs="仿宋"/>
                <w:color w:val="auto"/>
                <w:sz w:val="24"/>
                <w:szCs w:val="24"/>
                <w:highlight w:val="none"/>
                <w:lang w:eastAsia="zh-CN"/>
              </w:rPr>
              <w:t xml:space="preserve">；</w:t>
            </w:r>
            <w:r>
              <w:rPr>
                <w:rFonts w:hint="eastAsia" w:ascii="仿宋" w:hAnsi="仿宋" w:eastAsia="仿宋"/>
                <w:color w:val="auto"/>
                <w:sz w:val="24"/>
                <w:highlight w:val="none"/>
              </w:rPr>
              <w:t xml:space="preserve">⑥调试的步骤、措施、问题的解决方案等。</w:t>
            </w:r>
            <w:r>
              <w:rPr>
                <w:rFonts w:hint="eastAsia" w:ascii="仿宋" w:hAnsi="仿宋" w:eastAsia="仿宋" w:cs="仿宋"/>
                <w:color w:val="auto"/>
                <w:sz w:val="24"/>
                <w:szCs w:val="24"/>
                <w:highlight w:val="none"/>
              </w:rPr>
              <w:t xml:space="preserve">完全响应且符合采购人实际需求的得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分，每缺少一项内容或该内容存在不足的扣1分，扣完为止。未提供方案的</w:t>
            </w:r>
            <w:r>
              <w:rPr>
                <w:rFonts w:hint="eastAsia" w:ascii="仿宋" w:hAnsi="仿宋" w:eastAsia="仿宋" w:cs="仿宋"/>
                <w:color w:val="auto"/>
                <w:sz w:val="24"/>
                <w:szCs w:val="24"/>
                <w:highlight w:val="none"/>
                <w:lang w:eastAsia="zh-CN"/>
              </w:rPr>
              <w:t xml:space="preserve">不得分</w:t>
            </w:r>
            <w:r>
              <w:rPr>
                <w:rFonts w:hint="eastAsia" w:ascii="仿宋" w:hAnsi="仿宋" w:eastAsia="仿宋" w:cs="仿宋"/>
                <w:color w:val="auto"/>
                <w:sz w:val="24"/>
                <w:szCs w:val="24"/>
                <w:highlight w:val="none"/>
              </w:rPr>
              <w:t xml:space="preserve">。</w:t>
            </w:r>
            <w:r/>
          </w:p>
          <w:p>
            <w:pPr>
              <w:pStyle w:val="899"/>
              <w:ind w:left="0" w:firstLine="480"/>
              <w:tabs>
                <w:tab w:val="left" w:pos="31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2.根据</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提交的售后服务方案的完整性及可实施性进行独立评审，方案内容应包括①售后服务内容；②售后服务站本地站点；③售后服务响应；④故障解决方案；⑤应急故障处理措施</w:t>
            </w:r>
            <w:r>
              <w:rPr>
                <w:rFonts w:hint="eastAsia" w:ascii="仿宋" w:hAnsi="仿宋" w:eastAsia="仿宋" w:cs="仿宋"/>
                <w:color w:val="auto"/>
                <w:sz w:val="24"/>
                <w:szCs w:val="24"/>
                <w:highlight w:val="none"/>
                <w:lang w:eastAsia="zh-CN"/>
              </w:rPr>
              <w:t xml:space="preserve">；</w:t>
            </w:r>
            <w:r>
              <w:rPr>
                <w:rFonts w:hint="eastAsia" w:ascii="仿宋" w:hAnsi="仿宋" w:eastAsia="仿宋"/>
                <w:color w:val="auto"/>
                <w:sz w:val="24"/>
                <w:highlight w:val="none"/>
              </w:rPr>
              <w:t xml:space="preserve">⑥调试的步骤、措施、问题的解决方案等。</w:t>
            </w:r>
            <w:r>
              <w:rPr>
                <w:rFonts w:hint="eastAsia" w:ascii="仿宋" w:hAnsi="仿宋" w:eastAsia="仿宋" w:cs="仿宋"/>
                <w:color w:val="auto"/>
                <w:sz w:val="24"/>
                <w:szCs w:val="24"/>
                <w:highlight w:val="none"/>
              </w:rPr>
              <w:t xml:space="preserve">完全响应且符合采购人实际需求的得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分，每缺少一项内容或该内容存在不足的扣1分，扣完为止。未提供方案的</w:t>
            </w:r>
            <w:r>
              <w:rPr>
                <w:rFonts w:hint="eastAsia" w:ascii="仿宋" w:hAnsi="仿宋" w:eastAsia="仿宋" w:cs="仿宋"/>
                <w:color w:val="auto"/>
                <w:sz w:val="24"/>
                <w:szCs w:val="24"/>
                <w:highlight w:val="none"/>
                <w:lang w:eastAsia="zh-CN"/>
              </w:rPr>
              <w:t xml:space="preserve">不得分</w:t>
            </w:r>
            <w:r>
              <w:rPr>
                <w:rFonts w:hint="eastAsia" w:ascii="仿宋" w:hAnsi="仿宋" w:eastAsia="仿宋" w:cs="仿宋"/>
                <w:color w:val="auto"/>
                <w:sz w:val="24"/>
                <w:szCs w:val="24"/>
                <w:highlight w:val="none"/>
              </w:rPr>
              <w:t xml:space="preserve">。</w:t>
            </w:r>
            <w:r/>
          </w:p>
          <w:p>
            <w:pPr>
              <w:pStyle w:val="899"/>
              <w:ind w:left="0" w:firstLine="482"/>
              <w:tabs>
                <w:tab w:val="left" w:pos="312"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069"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shd w:val="clear" w:color="auto" w:fill="auto"/>
            <w:tcW w:w="692" w:type="dxa"/>
            <w:vAlign w:val="center"/>
            <w:textDirection w:val="lrTb"/>
            <w:noWrap w:val="false"/>
          </w:tcPr>
          <w:p>
            <w:pPr>
              <w:jc w:val="center"/>
              <w:spacing w:line="3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shd w:val="clear" w:color="auto" w:fill="auto"/>
            <w:tcW w:w="1293"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样品</w:t>
            </w:r>
            <w:r/>
          </w:p>
        </w:tc>
        <w:tc>
          <w:tcPr>
            <w:shd w:val="clear" w:color="auto" w:fill="auto"/>
            <w:tcW w:w="105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shd w:val="clear" w:color="auto" w:fill="auto"/>
            <w:tcW w:w="5466" w:type="dxa"/>
            <w:vAlign w:val="center"/>
            <w:textDirection w:val="lrTb"/>
            <w:noWrap w:val="false"/>
          </w:tcPr>
          <w:p>
            <w:pPr>
              <w:pStyle w:val="899"/>
              <w:ind w:left="0" w:firstLine="482"/>
              <w:tabs>
                <w:tab w:val="left" w:pos="312" w:leader="none"/>
              </w:tabs>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一、灭火防护服（8分）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1.阻燃防护面料及结构（3分）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样品面料平整、无跳丝、无破损、无厚薄不均，得3分；面料层级不全、有瑕疵得1分。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2.缝制工艺及配件质量（2分）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衣身车线均匀规整、无跳线、脱线、开线；拉链、魔术贴、卡扣配件完好、开合顺畅牢固，得2分；有工艺瑕疵、配件质量较差、开合不顺、存在松动卡顿的，不得分。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3.反光标识与人体防护设计（2分）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配备高亮阻燃反光条、防护垫齐全，粘贴牢固无脱落；关节处活动余量合理、版型端正，得2分；反光条缺失/松动，防护配件缺失、结构不合理，不得分。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4.产品标识完整性（1分）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样品印有清晰的规格型号、执行标准、生产厂家信息，标识耐久清晰，得1分；标识缺失、模糊不清，不得分。</w:t>
            </w:r>
            <w:r/>
          </w:p>
          <w:p>
            <w:pPr>
              <w:pStyle w:val="899"/>
              <w:ind w:left="0" w:firstLine="480"/>
              <w:tabs>
                <w:tab w:val="left" w:pos="312" w:leader="none"/>
              </w:tabs>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二、小型灭火携行包（7分）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1.防水耐磨材质性能（2分）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表层无开裂、掉皮、脱层、破损，防水性能达标，得2分；面料偏薄、涂层瑕疵，不得分。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2.内部收纳结构设计（2分）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内部功能分区明确，收纳稳固不晃动，得2分；分区混乱、缺少固定结构得1分。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3.五金配件与缝制工艺（2分）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包体定型挺括、不软塌；车线工整，五金配件防锈牢固，得2分；五金粗糙、包体变形得1分。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4.安全便携配置（1分）</w:t>
            </w:r>
            <w:r/>
          </w:p>
          <w:p>
            <w:pPr>
              <w:pStyle w:val="899"/>
              <w:ind w:left="0" w:firstLine="480"/>
              <w:tabs>
                <w:tab w:val="left" w:pos="31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配备反光警示标识，便携性、应急辨识度良好，得1分；缺少反光标识，不得分。</w:t>
            </w:r>
            <w:r/>
          </w:p>
        </w:tc>
        <w:tc>
          <w:tcPr>
            <w:tcW w:w="1069"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92"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W w:w="129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tc>
        <w:tc>
          <w:tcPr>
            <w:tcW w:w="1050"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w:t>
            </w:r>
            <w:r/>
          </w:p>
        </w:tc>
        <w:tc>
          <w:tcPr>
            <w:tcW w:w="5466" w:type="dxa"/>
            <w:vAlign w:val="center"/>
            <w:textDirection w:val="lrTb"/>
            <w:noWrap w:val="false"/>
          </w:tcPr>
          <w:p>
            <w:pPr>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价格分采用低价优先法计算，即满足磋商文件要求且最后报价中最低报价为评审基准价，其价格分为满分。其他响应供应商的价格分统一按照下列公式计算：</w:t>
            </w:r>
            <w:r/>
          </w:p>
          <w:p>
            <w:pPr>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最后报价得分=(评审基准价／最后报价)×价格分分值</w:t>
            </w:r>
            <w:r/>
          </w:p>
          <w:p>
            <w:pPr>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磋商过程中，不得去掉报价中的最高报价和最低报价。因落实政府采购政策进行价格调整的，以调整后的价格计算评审基准价和最后报价。</w:t>
            </w:r>
            <w:r/>
          </w:p>
        </w:tc>
        <w:tc>
          <w:tcPr>
            <w:tcW w:w="1069"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gridSpan w:val="2"/>
            <w:tcW w:w="198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tcW w:w="1050"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w:t>
            </w:r>
            <w:r/>
          </w:p>
        </w:tc>
        <w:tc>
          <w:tcPr>
            <w:tcW w:w="546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69"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numPr>
          <w:ilvl w:val="0"/>
          <w:numId w:val="0"/>
        </w:numPr>
        <w:rPr>
          <w:rFonts w:hint="eastAsia"/>
          <w:color w:val="auto"/>
          <w:highlight w:val="none"/>
          <w:lang w:val="en-US" w:eastAsia="zh-CN"/>
        </w:rPr>
      </w:pPr>
      <w:r>
        <w:rPr>
          <w:rFonts w:hint="eastAsia" w:ascii="仿宋" w:hAnsi="仿宋" w:eastAsia="仿宋"/>
          <w:color w:val="auto"/>
          <w:sz w:val="28"/>
          <w:szCs w:val="28"/>
          <w:highlight w:val="none"/>
          <w:lang w:val="en-US" w:eastAsia="zh-CN"/>
        </w:rPr>
        <w:t xml:space="preserve">（二）采购包二：</w:t>
      </w:r>
      <w:r/>
    </w:p>
    <w:tbl>
      <w:tblPr>
        <w:tblStyle w:val="868"/>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93"/>
        <w:gridCol w:w="1050"/>
        <w:gridCol w:w="5466"/>
        <w:gridCol w:w="1069"/>
      </w:tblGrid>
      <w:tr>
        <w:trPr>
          <w:trHeight w:val="420"/>
        </w:trPr>
        <w:tc>
          <w:tcPr>
            <w:tcW w:w="6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12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评审因素</w:t>
            </w:r>
            <w:r/>
          </w:p>
        </w:tc>
        <w:tc>
          <w:tcPr>
            <w:tcW w:w="105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分值</w:t>
            </w:r>
            <w:r/>
          </w:p>
        </w:tc>
        <w:tc>
          <w:tcPr>
            <w:tcW w:w="546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评审要求或标准</w:t>
            </w:r>
            <w:r/>
          </w:p>
        </w:tc>
        <w:tc>
          <w:tcPr>
            <w:tcW w:w="10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得分</w:t>
            </w:r>
            <w:r/>
          </w:p>
        </w:tc>
      </w:tr>
      <w:tr>
        <w:trPr>
          <w:trHeight w:val="409"/>
        </w:trPr>
        <w:tc>
          <w:tcPr>
            <w:tcW w:w="6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W w:w="1293" w:type="dxa"/>
            <w:vAlign w:val="center"/>
            <w:textDirection w:val="lrTb"/>
            <w:noWrap w:val="false"/>
          </w:tcPr>
          <w:p>
            <w:pPr>
              <w:pStyle w:val="881"/>
              <w:jc w:val="center"/>
              <w:spacing w:before="0" w:beforeAutospacing="0" w:after="0" w:afterAutospacing="0"/>
              <w:rPr>
                <w:rFonts w:ascii="仿宋" w:hAnsi="仿宋" w:eastAsia="仿宋"/>
                <w:color w:val="auto"/>
                <w:sz w:val="24"/>
                <w:highlight w:val="none"/>
              </w:rPr>
            </w:pPr>
            <w:r>
              <w:rPr>
                <w:rFonts w:hint="eastAsia" w:ascii="仿宋" w:hAnsi="仿宋" w:eastAsia="仿宋" w:cs="仿宋"/>
                <w:color w:val="auto"/>
                <w:sz w:val="24"/>
                <w:highlight w:val="none"/>
              </w:rPr>
              <w:t xml:space="preserve">产品性能</w:t>
            </w:r>
            <w:r/>
          </w:p>
        </w:tc>
        <w:tc>
          <w:tcPr>
            <w:tcW w:w="1050"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30</w:t>
            </w:r>
            <w:r/>
          </w:p>
        </w:tc>
        <w:tc>
          <w:tcPr>
            <w:tcW w:w="5466" w:type="dxa"/>
            <w:vAlign w:val="center"/>
            <w:textDirection w:val="lrTb"/>
            <w:noWrap w:val="false"/>
          </w:tcPr>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依据响应供应商按产品技术要求提供制造商公开发布的产品检验报告对产品技术性能参数进行评审。如响应供应商填写响应性与佐证材料参数不一致（例如：技术部分正负偏离表自填响应或正偏离，证明材料等参数显示负偏离或不响应），该项不得分。具体评分标准如下：</w:t>
            </w:r>
            <w:r/>
          </w:p>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一、新能源灭火装置（22分）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1.证书</w:t>
            </w:r>
            <w:r>
              <w:rPr>
                <w:rFonts w:hint="default" w:ascii="仿宋" w:hAnsi="仿宋" w:eastAsia="仿宋"/>
                <w:color w:val="auto"/>
                <w:sz w:val="24"/>
                <w:highlight w:val="none"/>
                <w:lang w:val="en-US" w:eastAsia="zh-CN"/>
              </w:rPr>
              <w:t xml:space="preserve">（</w:t>
            </w:r>
            <w:r>
              <w:rPr>
                <w:rFonts w:hint="eastAsia" w:ascii="仿宋" w:hAnsi="仿宋" w:eastAsia="仿宋"/>
                <w:color w:val="auto"/>
                <w:sz w:val="24"/>
                <w:highlight w:val="none"/>
                <w:lang w:val="en-US" w:eastAsia="zh-CN"/>
              </w:rPr>
              <w:t xml:space="preserve">5</w:t>
            </w:r>
            <w:r>
              <w:rPr>
                <w:rFonts w:hint="default" w:ascii="仿宋" w:hAnsi="仿宋" w:eastAsia="仿宋"/>
                <w:color w:val="auto"/>
                <w:sz w:val="24"/>
                <w:highlight w:val="none"/>
                <w:lang w:val="en-US" w:eastAsia="zh-CN"/>
              </w:rPr>
              <w:t xml:space="preserve">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具有国家认可的产品认证证书（认证范围含锂电池火灾使用内容）、检测报告或技术鉴定报告（明确验证对锂电池火灾有效的内容），提供相应证书之一得5分，无相关证书或报告不得分。</w:t>
            </w:r>
            <w:r/>
          </w:p>
          <w:p>
            <w:pPr>
              <w:numPr>
                <w:ilvl w:val="0"/>
                <w:numId w:val="0"/>
              </w:num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2.检测报告实验模型（5分）</w:t>
            </w:r>
            <w:r/>
          </w:p>
          <w:p>
            <w:pPr>
              <w:numPr>
                <w:ilvl w:val="0"/>
                <w:numId w:val="0"/>
              </w:num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电动自行车电池容量不小于48V20AH（三元锂电池组）且SOC≥40%的火灾试验能在20秒内扑灭并且不复燃。实验中，电动自行车电池容量≥</w:t>
            </w:r>
            <w:r>
              <w:rPr>
                <w:rFonts w:hint="eastAsia" w:ascii="仿宋" w:hAnsi="仿宋" w:eastAsia="仿宋"/>
                <w:color w:val="auto"/>
                <w:sz w:val="24"/>
                <w:highlight w:val="none"/>
              </w:rPr>
              <w:t xml:space="preserve">48V20AH</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三元锂电池组</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SOC≥40%该两项指标均符合得5分，有任意一项指标不满足，该项不得分。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3.灭火效能（5分）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在满足电动自行车电池容量不小于48V20AH（三元锂电池组）且SOC≥40%的情况下，灭火时间≥20秒不得分，20秒＞灭火时间≥15秒且不复燃得1分，15秒＞灭火时间≥10秒且不复燃得3分，10秒且不复燃得＞灭火时间，得5分。</w:t>
            </w:r>
            <w:r/>
          </w:p>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4.PFOS和PFOA的检测报告（5</w:t>
            </w:r>
            <w:r>
              <w:rPr>
                <w:rFonts w:hint="default" w:ascii="仿宋" w:hAnsi="仿宋" w:eastAsia="仿宋"/>
                <w:color w:val="auto"/>
                <w:sz w:val="24"/>
                <w:highlight w:val="none"/>
                <w:lang w:val="en-US" w:eastAsia="zh-CN"/>
              </w:rPr>
              <w:t xml:space="preserve">分</w:t>
            </w:r>
            <w:r>
              <w:rPr>
                <w:rFonts w:hint="eastAsia" w:ascii="仿宋" w:hAnsi="仿宋" w:eastAsia="仿宋"/>
                <w:color w:val="auto"/>
                <w:sz w:val="24"/>
                <w:highlight w:val="none"/>
                <w:lang w:val="en-US" w:eastAsia="zh-CN"/>
              </w:rPr>
              <w:t xml:space="preserve">）</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提供不含PFOS和PFOA的检测报告的得5分，无有效报告不得分。</w:t>
            </w:r>
            <w:r/>
          </w:p>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5.灭火类型（2</w:t>
            </w:r>
            <w:r>
              <w:rPr>
                <w:rFonts w:hint="default" w:ascii="仿宋" w:hAnsi="仿宋" w:eastAsia="仿宋"/>
                <w:color w:val="auto"/>
                <w:sz w:val="24"/>
                <w:highlight w:val="none"/>
                <w:lang w:val="en-US" w:eastAsia="zh-CN"/>
              </w:rPr>
              <w:t xml:space="preserve">分</w:t>
            </w:r>
            <w:r>
              <w:rPr>
                <w:rFonts w:hint="eastAsia" w:ascii="仿宋" w:hAnsi="仿宋" w:eastAsia="仿宋"/>
                <w:color w:val="auto"/>
                <w:sz w:val="24"/>
                <w:highlight w:val="none"/>
                <w:lang w:val="en-US" w:eastAsia="zh-CN"/>
              </w:rPr>
              <w:t xml:space="preserve">）</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新能源灭火装置涵盖基本灭火类型为：A、E及锂电池火，每增加一类得2分，须提供相关证明材料，不提供不得分。</w:t>
            </w:r>
            <w:r/>
          </w:p>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二、灭火毯（电动汽车用、电动自行车）（8分）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1.提供不含PFAS的检测报告或其他有效证明材料的得4分，无有效报告不得分。</w:t>
            </w:r>
            <w:r/>
          </w:p>
          <w:p>
            <w:pPr>
              <w:ind w:firstLine="480"/>
              <w:jc w:val="left"/>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2.耐火性能：温度≥1300℃，30分钟内无熔融</w:t>
            </w:r>
            <w:r>
              <w:rPr>
                <w:rFonts w:hint="eastAsia" w:ascii="仿宋" w:hAnsi="仿宋" w:eastAsia="仿宋"/>
                <w:color w:val="auto"/>
                <w:sz w:val="24"/>
                <w:highlight w:val="none"/>
                <w:lang w:val="en-US" w:eastAsia="zh-CN"/>
              </w:rPr>
              <w:t xml:space="preserve">的得4分，须提供检测报告，不提供或无效不得分。</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1293" w:type="dxa"/>
            <w:vAlign w:val="center"/>
            <w:textDirection w:val="lrTb"/>
            <w:noWrap w:val="false"/>
          </w:tcPr>
          <w:p>
            <w:pPr>
              <w:jc w:val="center"/>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业绩</w:t>
            </w:r>
            <w:r/>
          </w:p>
        </w:tc>
        <w:tc>
          <w:tcPr>
            <w:shd w:val="clear" w:color="auto" w:fill="auto"/>
            <w:tcW w:w="1050" w:type="dxa"/>
            <w:vAlign w:val="center"/>
            <w:textDirection w:val="lrTb"/>
            <w:noWrap w:val="false"/>
          </w:tcPr>
          <w:p>
            <w:pPr>
              <w:jc w:val="center"/>
              <w:spacing w:line="4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6</w:t>
            </w:r>
            <w:r/>
          </w:p>
        </w:tc>
        <w:tc>
          <w:tcPr>
            <w:shd w:val="clear" w:color="auto" w:fill="auto"/>
            <w:tcW w:w="5466" w:type="dxa"/>
            <w:vAlign w:val="center"/>
            <w:textDirection w:val="lrTb"/>
            <w:noWrap w:val="false"/>
          </w:tcPr>
          <w:p>
            <w:pPr>
              <w:ind w:firstLine="480"/>
              <w:jc w:val="left"/>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响应供应商自2022年1月1日（以签订合同时间为准）以来承担的类似产品销售项目（合同内容至少包含本采购包产品中的一项），每提供一份得2分，最多得6分。</w:t>
            </w:r>
            <w:r>
              <w:rPr>
                <w:rFonts w:hint="eastAsia" w:ascii="仿宋" w:hAnsi="仿宋" w:eastAsia="仿宋" w:cs="仿宋"/>
                <w:b/>
                <w:bCs/>
                <w:color w:val="auto"/>
                <w:sz w:val="24"/>
                <w:szCs w:val="24"/>
                <w:highlight w:val="none"/>
                <w:lang w:val="en-US" w:eastAsia="zh-CN" w:bidi="ar-SA"/>
              </w:rPr>
              <w:t xml:space="preserve">响应文件中须提供中标（成交）通知书、完整合同及盖有甲方单位公章的验收单原件扫描件</w:t>
            </w:r>
            <w:r>
              <w:rPr>
                <w:rFonts w:hint="eastAsia" w:ascii="仿宋" w:hAnsi="仿宋" w:eastAsia="仿宋" w:cs="仿宋"/>
                <w:b/>
                <w:bCs/>
                <w:color w:val="auto"/>
                <w:sz w:val="24"/>
                <w:szCs w:val="24"/>
                <w:highlight w:val="none"/>
                <w:lang w:val="en-US" w:eastAsia="zh-CN"/>
              </w:rPr>
              <w:t xml:space="preserve">，未提供或提供不全不得分。</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shd w:val="clear" w:color="auto" w:fill="auto"/>
            <w:tcW w:w="1293"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体系认证</w:t>
            </w:r>
            <w:r/>
          </w:p>
        </w:tc>
        <w:tc>
          <w:tcPr>
            <w:shd w:val="clear" w:color="auto" w:fill="auto"/>
            <w:tcW w:w="1050" w:type="dxa"/>
            <w:vAlign w:val="center"/>
            <w:textDirection w:val="lrTb"/>
            <w:noWrap w:val="false"/>
          </w:tcPr>
          <w:p>
            <w:pPr>
              <w:jc w:val="center"/>
              <w:spacing w:line="4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3</w:t>
            </w:r>
            <w:r/>
          </w:p>
        </w:tc>
        <w:tc>
          <w:tcPr>
            <w:shd w:val="clear" w:color="auto" w:fill="auto"/>
            <w:tcW w:w="5466" w:type="dxa"/>
            <w:vAlign w:val="center"/>
            <w:textDirection w:val="lrTb"/>
            <w:noWrap w:val="false"/>
          </w:tcPr>
          <w:p>
            <w:pPr>
              <w:pStyle w:val="899"/>
              <w:ind w:left="0" w:firstLine="480"/>
              <w:tabs>
                <w:tab w:val="left" w:pos="312" w:leader="none"/>
              </w:tabs>
              <w:rPr>
                <w:rFonts w:hint="eastAsia" w:ascii="仿宋" w:hAnsi="仿宋" w:eastAsia="仿宋"/>
                <w:color w:val="auto"/>
                <w:sz w:val="24"/>
                <w:highlight w:val="none"/>
                <w:lang w:val="en-US" w:eastAsia="zh-CN"/>
              </w:rPr>
            </w:pPr>
            <w:r>
              <w:rPr>
                <w:rFonts w:hint="eastAsia" w:ascii="仿宋" w:hAnsi="仿宋" w:eastAsia="仿宋" w:cs="仿宋"/>
                <w:color w:val="auto"/>
                <w:sz w:val="24"/>
                <w:highlight w:val="none"/>
                <w:lang w:val="en-US" w:eastAsia="zh-CN"/>
              </w:rPr>
              <w:t xml:space="preserve">响应供应商</w:t>
            </w:r>
            <w:r>
              <w:rPr>
                <w:rFonts w:hint="eastAsia" w:ascii="仿宋" w:hAnsi="仿宋" w:eastAsia="仿宋"/>
                <w:color w:val="auto"/>
                <w:sz w:val="24"/>
                <w:highlight w:val="none"/>
              </w:rPr>
              <w:t xml:space="preserve">具有有效的质量管理体系认证证书、职业健康安全管理体系认证证书、环境管理体系认证证书，每提供一项得1分，本项最多得3分。</w:t>
            </w:r>
            <w:r>
              <w:rPr>
                <w:rFonts w:hint="eastAsia" w:ascii="仿宋" w:hAnsi="仿宋" w:eastAsia="仿宋"/>
                <w:color w:val="auto"/>
                <w:sz w:val="24"/>
                <w:highlight w:val="none"/>
                <w:lang w:val="en-US" w:eastAsia="zh-CN"/>
              </w:rPr>
              <w:t xml:space="preserve"> </w:t>
            </w:r>
            <w:r/>
          </w:p>
          <w:p>
            <w:pPr>
              <w:pStyle w:val="899"/>
              <w:ind w:left="0" w:firstLine="480"/>
              <w:tabs>
                <w:tab w:val="left" w:pos="312" w:leader="none"/>
              </w:tabs>
              <w:rPr>
                <w:rFonts w:hint="eastAsia" w:ascii="仿宋" w:hAnsi="仿宋" w:eastAsia="宋体" w:cs="仿宋"/>
                <w:color w:val="auto"/>
                <w:sz w:val="24"/>
                <w:szCs w:val="24"/>
                <w:highlight w:val="none"/>
                <w:lang w:val="en-US" w:eastAsia="zh-CN" w:bidi="ar-SA"/>
              </w:rPr>
            </w:pPr>
            <w:r>
              <w:rPr>
                <w:rFonts w:hint="eastAsia" w:ascii="仿宋" w:hAnsi="仿宋" w:eastAsia="仿宋"/>
                <w:b/>
                <w:bCs/>
                <w:color w:val="auto"/>
                <w:sz w:val="24"/>
                <w:highlight w:val="none"/>
              </w:rPr>
              <w:t xml:space="preserve">须提供证书原件扫描件及国家认监委平台查询截图加盖</w:t>
            </w:r>
            <w:r>
              <w:rPr>
                <w:rFonts w:hint="eastAsia" w:ascii="仿宋" w:hAnsi="仿宋" w:eastAsia="仿宋"/>
                <w:b/>
                <w:bCs/>
                <w:color w:val="auto"/>
                <w:sz w:val="24"/>
                <w:highlight w:val="none"/>
                <w:lang w:val="en-US" w:eastAsia="zh-CN"/>
              </w:rPr>
              <w:t xml:space="preserve">响应供应商</w:t>
            </w:r>
            <w:r>
              <w:rPr>
                <w:rFonts w:hint="eastAsia" w:ascii="仿宋" w:hAnsi="仿宋" w:eastAsia="仿宋"/>
                <w:b/>
                <w:bCs/>
                <w:color w:val="auto"/>
                <w:sz w:val="24"/>
                <w:highlight w:val="none"/>
              </w:rPr>
              <w:t xml:space="preserve">公章，否则</w:t>
            </w:r>
            <w:r>
              <w:rPr>
                <w:rFonts w:hint="eastAsia" w:ascii="仿宋" w:hAnsi="仿宋" w:eastAsia="仿宋"/>
                <w:b/>
                <w:bCs/>
                <w:color w:val="auto"/>
                <w:sz w:val="24"/>
                <w:highlight w:val="none"/>
                <w:lang w:eastAsia="zh-CN"/>
              </w:rPr>
              <w:t xml:space="preserve">不得分</w:t>
            </w:r>
            <w:r>
              <w:rPr>
                <w:rFonts w:hint="eastAsia" w:ascii="仿宋" w:hAnsi="仿宋" w:eastAsia="仿宋"/>
                <w:b/>
                <w:bCs/>
                <w:color w:val="auto"/>
                <w:sz w:val="24"/>
                <w:highlight w:val="none"/>
              </w:rPr>
              <w:t xml:space="preserve">。</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shd w:val="clear" w:color="auto" w:fill="auto"/>
            <w:tcW w:w="692" w:type="dxa"/>
            <w:vAlign w:val="center"/>
            <w:textDirection w:val="lrTb"/>
            <w:noWrap w:val="false"/>
          </w:tcPr>
          <w:p>
            <w:pPr>
              <w:jc w:val="center"/>
              <w:spacing w:line="3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4</w:t>
            </w:r>
            <w:r/>
          </w:p>
        </w:tc>
        <w:tc>
          <w:tcPr>
            <w:shd w:val="clear" w:color="auto" w:fill="auto"/>
            <w:tcW w:w="129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rPr>
              <w:t xml:space="preserve">售后服务</w:t>
            </w:r>
            <w:r/>
          </w:p>
        </w:tc>
        <w:tc>
          <w:tcPr>
            <w:shd w:val="clear" w:color="auto" w:fill="auto"/>
            <w:tcW w:w="105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3</w:t>
            </w:r>
            <w:r/>
          </w:p>
        </w:tc>
        <w:tc>
          <w:tcPr>
            <w:shd w:val="clear" w:color="auto" w:fill="auto"/>
            <w:tcW w:w="5466" w:type="dxa"/>
            <w:vAlign w:val="center"/>
            <w:textDirection w:val="lrTb"/>
            <w:noWrap w:val="false"/>
          </w:tcPr>
          <w:p>
            <w:pPr>
              <w:pStyle w:val="899"/>
              <w:ind w:left="0" w:firstLine="480"/>
              <w:jc w:val="left"/>
              <w:rPr>
                <w:rFonts w:hint="default" w:ascii="仿宋" w:hAnsi="仿宋" w:eastAsia="仿宋" w:cs="Times New Roman"/>
                <w:b/>
                <w:bCs/>
                <w:color w:val="auto"/>
                <w:sz w:val="24"/>
                <w:szCs w:val="24"/>
                <w:highlight w:val="none"/>
                <w:lang w:val="en-US" w:eastAsia="zh-CN" w:bidi="ar-SA"/>
              </w:rPr>
            </w:pPr>
            <w:r>
              <w:rPr>
                <w:rFonts w:hint="eastAsia" w:ascii="仿宋" w:hAnsi="仿宋" w:eastAsia="仿宋" w:cs="仿宋"/>
                <w:color w:val="auto"/>
                <w:sz w:val="24"/>
                <w:highlight w:val="none"/>
              </w:rPr>
              <w:t xml:space="preserve">质保期为</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年，承诺质保期在原基础年限上每增加半年，得</w:t>
            </w:r>
            <w:r>
              <w:rPr>
                <w:rFonts w:hint="eastAsia" w:ascii="仿宋" w:hAnsi="仿宋" w:eastAsia="仿宋" w:cs="仿宋"/>
                <w:color w:val="auto"/>
                <w:sz w:val="24"/>
                <w:highlight w:val="none"/>
                <w:lang w:val="en-US" w:eastAsia="zh-CN"/>
              </w:rPr>
              <w:t xml:space="preserve">1.5</w:t>
            </w:r>
            <w:r>
              <w:rPr>
                <w:rFonts w:hint="eastAsia" w:ascii="仿宋" w:hAnsi="仿宋" w:eastAsia="仿宋" w:cs="仿宋"/>
                <w:color w:val="auto"/>
                <w:sz w:val="24"/>
                <w:highlight w:val="none"/>
              </w:rPr>
              <w:t xml:space="preserve">分，最高得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b/>
                <w:bCs/>
                <w:color w:val="auto"/>
                <w:sz w:val="24"/>
                <w:highlight w:val="none"/>
              </w:rPr>
              <w:t xml:space="preserve">响应文件中须提供承诺函（格式自拟），未提供</w:t>
            </w:r>
            <w:r>
              <w:rPr>
                <w:rFonts w:hint="eastAsia" w:ascii="仿宋" w:hAnsi="仿宋" w:eastAsia="仿宋" w:cs="仿宋"/>
                <w:b/>
                <w:bCs/>
                <w:color w:val="auto"/>
                <w:sz w:val="24"/>
                <w:highlight w:val="none"/>
                <w:lang w:eastAsia="zh-CN"/>
              </w:rPr>
              <w:t xml:space="preserve">不得分</w:t>
            </w:r>
            <w:r>
              <w:rPr>
                <w:rFonts w:hint="eastAsia" w:ascii="仿宋" w:hAnsi="仿宋" w:eastAsia="仿宋" w:cs="仿宋"/>
                <w:b/>
                <w:bCs/>
                <w:color w:val="auto"/>
                <w:sz w:val="24"/>
                <w:highlight w:val="none"/>
              </w:rPr>
              <w:t xml:space="preserve">。</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shd w:val="clear" w:color="auto" w:fill="auto"/>
            <w:tcW w:w="692" w:type="dxa"/>
            <w:vAlign w:val="center"/>
            <w:textDirection w:val="lrTb"/>
            <w:noWrap w:val="false"/>
          </w:tcPr>
          <w:p>
            <w:pPr>
              <w:jc w:val="center"/>
              <w:spacing w:line="320" w:lineRule="exac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shd w:val="clear" w:color="auto" w:fill="auto"/>
            <w:tcW w:w="1293"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rPr>
              <w:t xml:space="preserve">服务方案</w:t>
            </w:r>
            <w:r/>
          </w:p>
        </w:tc>
        <w:tc>
          <w:tcPr>
            <w:shd w:val="clear" w:color="auto" w:fill="auto"/>
            <w:tcW w:w="105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10</w:t>
            </w:r>
            <w:r/>
          </w:p>
        </w:tc>
        <w:tc>
          <w:tcPr>
            <w:shd w:val="clear" w:color="auto" w:fill="auto"/>
            <w:tcW w:w="5466" w:type="dxa"/>
            <w:vAlign w:val="center"/>
            <w:textDirection w:val="lrTb"/>
            <w:noWrap w:val="false"/>
          </w:tcPr>
          <w:p>
            <w:pPr>
              <w:pStyle w:val="899"/>
              <w:ind w:left="0" w:firstLine="480"/>
              <w:tabs>
                <w:tab w:val="left" w:pos="312" w:leader="none"/>
              </w:tabs>
              <w:rPr>
                <w:rFonts w:ascii="仿宋" w:hAnsi="仿宋" w:eastAsia="仿宋"/>
                <w:color w:val="auto"/>
                <w:sz w:val="24"/>
                <w:highlight w:val="none"/>
              </w:rPr>
            </w:pPr>
            <w:r>
              <w:rPr>
                <w:rFonts w:hint="eastAsia" w:ascii="仿宋" w:hAnsi="仿宋" w:eastAsia="仿宋"/>
                <w:color w:val="auto"/>
                <w:sz w:val="24"/>
                <w:highlight w:val="none"/>
              </w:rPr>
              <w:t xml:space="preserve">1.根据</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olor w:val="auto"/>
                <w:sz w:val="24"/>
                <w:highlight w:val="none"/>
              </w:rPr>
              <w:t xml:space="preserve">提交的供货方案的完整性及可实施性进行独立评审，方案内容应包括：①供货渠道；②供货时间；③运输方案；④质量保证；⑤对设备的调试进度安排等。完全响应且符合采购人实际需求的得</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分，每缺少一项内容或该</w:t>
            </w:r>
            <w:r>
              <w:rPr>
                <w:rFonts w:hint="eastAsia" w:ascii="仿宋" w:hAnsi="仿宋" w:eastAsia="仿宋" w:cs="仿宋"/>
                <w:color w:val="auto"/>
                <w:sz w:val="24"/>
                <w:highlight w:val="none"/>
              </w:rPr>
              <w:t xml:space="preserve">内容存在不足</w:t>
            </w:r>
            <w:r>
              <w:rPr>
                <w:rFonts w:hint="eastAsia" w:ascii="仿宋" w:hAnsi="仿宋" w:eastAsia="仿宋"/>
                <w:color w:val="auto"/>
                <w:sz w:val="24"/>
                <w:highlight w:val="none"/>
              </w:rPr>
              <w:t xml:space="preserve">的扣1分，扣完为止。未提供方案的</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ascii="仿宋" w:hAnsi="仿宋" w:eastAsia="仿宋"/>
                <w:color w:val="auto"/>
                <w:sz w:val="24"/>
                <w:highlight w:val="none"/>
              </w:rPr>
            </w:pPr>
            <w:r>
              <w:rPr>
                <w:rFonts w:hint="eastAsia" w:ascii="仿宋" w:hAnsi="仿宋" w:eastAsia="仿宋"/>
                <w:color w:val="auto"/>
                <w:sz w:val="24"/>
                <w:highlight w:val="none"/>
              </w:rPr>
              <w:t xml:space="preserve">2.根据</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olor w:val="auto"/>
                <w:sz w:val="24"/>
                <w:highlight w:val="none"/>
              </w:rPr>
              <w:t xml:space="preserve">提交的售后服务方案的完整性及可实施性进行独立评审，方案内容应包括</w:t>
            </w:r>
            <w:r>
              <w:rPr>
                <w:rFonts w:hint="eastAsia" w:ascii="仿宋" w:hAnsi="仿宋" w:eastAsia="仿宋" w:cs="仿宋"/>
                <w:color w:val="auto"/>
                <w:sz w:val="24"/>
                <w:highlight w:val="none"/>
              </w:rPr>
              <w:t xml:space="preserve">①售后服务内容；②售后服务站本地站点；③售后服务响应；④故障解决方案；⑤应急故障处理措施</w:t>
            </w:r>
            <w:r>
              <w:rPr>
                <w:rFonts w:hint="eastAsia" w:ascii="仿宋" w:hAnsi="仿宋" w:eastAsia="仿宋"/>
                <w:color w:val="auto"/>
                <w:sz w:val="24"/>
                <w:highlight w:val="none"/>
              </w:rPr>
              <w:t xml:space="preserve">等。完全响应且符合采购人实际需求的得</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分，每缺少一项内容或该</w:t>
            </w:r>
            <w:r>
              <w:rPr>
                <w:rFonts w:hint="eastAsia" w:ascii="仿宋" w:hAnsi="仿宋" w:eastAsia="仿宋" w:cs="仿宋"/>
                <w:color w:val="auto"/>
                <w:sz w:val="24"/>
                <w:highlight w:val="none"/>
              </w:rPr>
              <w:t xml:space="preserve">内容存在不足</w:t>
            </w:r>
            <w:r>
              <w:rPr>
                <w:rFonts w:hint="eastAsia" w:ascii="仿宋" w:hAnsi="仿宋" w:eastAsia="仿宋"/>
                <w:color w:val="auto"/>
                <w:sz w:val="24"/>
                <w:highlight w:val="none"/>
              </w:rPr>
              <w:t xml:space="preserve">的扣1分，扣完为止。未提供方案的</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2"/>
              <w:tabs>
                <w:tab w:val="left" w:pos="312" w:leader="none"/>
              </w:tabs>
              <w:rPr>
                <w:rFonts w:hint="default" w:ascii="Times New Roman" w:hAnsi="Times New Roman" w:eastAsia="宋体" w:cs="Times New Roman"/>
                <w:color w:val="auto"/>
                <w:sz w:val="21"/>
                <w:szCs w:val="24"/>
                <w:highlight w:val="none"/>
                <w:lang w:val="en-US" w:eastAsia="zh-CN" w:bidi="ar-SA"/>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shd w:val="clear" w:color="auto" w:fill="auto"/>
            <w:tcW w:w="692" w:type="dxa"/>
            <w:vAlign w:val="center"/>
            <w:textDirection w:val="lrTb"/>
            <w:noWrap w:val="false"/>
          </w:tcPr>
          <w:p>
            <w:pPr>
              <w:jc w:val="center"/>
              <w:spacing w:line="320" w:lineRule="exac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shd w:val="clear" w:color="auto" w:fill="auto"/>
            <w:tcW w:w="129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样品</w:t>
            </w:r>
            <w:r/>
          </w:p>
        </w:tc>
        <w:tc>
          <w:tcPr>
            <w:shd w:val="clear" w:color="auto" w:fill="auto"/>
            <w:tcW w:w="1050" w:type="dxa"/>
            <w:vAlign w:val="center"/>
            <w:textDirection w:val="lrTb"/>
            <w:noWrap w:val="false"/>
          </w:tcPr>
          <w:p>
            <w:pPr>
              <w:jc w:val="center"/>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5466" w:type="dxa"/>
            <w:vAlign w:val="center"/>
            <w:textDirection w:val="lrTb"/>
            <w:noWrap w:val="false"/>
          </w:tcPr>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一、对响应供应商所提供样品的外观（包括但不限于表面光洁度，颜色，标识等方面）进行评分：</w:t>
            </w:r>
            <w:r/>
          </w:p>
          <w:p>
            <w:pPr>
              <w:numPr>
                <w:ilvl w:val="0"/>
                <w:numId w:val="0"/>
              </w:num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新能源灭火装置：规格参数标识清晰完整，外观工艺良好，平整无毛刺，无松动旷量，接头压接紧实的得2分；规格参数标识较清晰完整，外观工艺相对良好，松动旷量较小，接头压接相对紧实的得1分；规格参数标识模糊，外观工艺粗糙，接口松动，接头压接不紧的不得分。</w:t>
            </w:r>
            <w:r/>
          </w:p>
          <w:p>
            <w:pPr>
              <w:numPr>
                <w:ilvl w:val="0"/>
                <w:numId w:val="0"/>
              </w:num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2.灭火毯：有完整包装，包装标识清晰，包装耐磨牢固，可整体收纳，灭火毯外观做工良好，无毛刺，得2分；有包装收纳，包装有标识，灭火毯外观做工一般，无毛刺，得1分；</w:t>
            </w:r>
            <w:r/>
          </w:p>
          <w:p>
            <w:pPr>
              <w:pStyle w:val="899"/>
              <w:ind w:left="0" w:firstLine="480"/>
              <w:tabs>
                <w:tab w:val="left" w:pos="312" w:leader="none"/>
              </w:tabs>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二、对响应供应商所提供样品的使用体验（包括但不限于结构设计，操作、使用的便捷性，舒适性等方面）进行评分：</w:t>
            </w:r>
            <w:r/>
          </w:p>
          <w:p>
            <w:pPr>
              <w:pStyle w:val="899"/>
              <w:ind w:left="0" w:firstLine="480"/>
              <w:tabs>
                <w:tab w:val="left" w:pos="312" w:leader="none"/>
              </w:tabs>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1.新能源灭火装置：操作开关灵敏，性能良好，胶管无发白硬化，插销拔脱快捷，得3分；操作开关启闭卡顿，灵敏度不高的，得1分；</w:t>
            </w:r>
            <w:r/>
          </w:p>
          <w:p>
            <w:pPr>
              <w:pStyle w:val="899"/>
              <w:ind w:left="0" w:firstLine="480"/>
              <w:tabs>
                <w:tab w:val="left" w:pos="312" w:leader="none"/>
              </w:tabs>
              <w:rPr>
                <w:rFonts w:hint="eastAsia" w:ascii="仿宋" w:hAnsi="仿宋" w:eastAsia="仿宋"/>
                <w:b/>
                <w:bCs/>
                <w:color w:val="auto"/>
                <w:sz w:val="24"/>
                <w:highlight w:val="none"/>
              </w:rPr>
            </w:pPr>
            <w:r>
              <w:rPr>
                <w:rFonts w:hint="eastAsia" w:ascii="仿宋" w:hAnsi="仿宋" w:eastAsia="仿宋"/>
                <w:color w:val="auto"/>
                <w:sz w:val="24"/>
                <w:highlight w:val="none"/>
                <w:lang w:val="en-US" w:eastAsia="zh-CN"/>
              </w:rPr>
              <w:t xml:space="preserve">2.灭火毯：操作、使用较便捷得1分；操作、使用不够便捷不得分。</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p>
        </w:tc>
        <w:tc>
          <w:tcPr>
            <w:tcW w:w="12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价格</w:t>
            </w:r>
            <w:r/>
          </w:p>
        </w:tc>
        <w:tc>
          <w:tcPr>
            <w:tcW w:w="1050"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40</w:t>
            </w:r>
            <w:r/>
          </w:p>
        </w:tc>
        <w:tc>
          <w:tcPr>
            <w:tcW w:w="5466" w:type="dxa"/>
            <w:vAlign w:val="center"/>
            <w:textDirection w:val="lrTb"/>
            <w:noWrap w:val="false"/>
          </w:tcPr>
          <w:p>
            <w:pPr>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价格分采用低价优先法计算，即满足磋商文件要求且最后报价中最低报价为评审基准价，其价格分为满分。其他响应供应商的价格分统一按照下列公式计算：</w:t>
            </w:r>
            <w:r/>
          </w:p>
          <w:p>
            <w:pPr>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最后报价得分=(评审基准价／最后报价)×价格分分值</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磋商过程中，不得去掉报价中的最高报价和最低报价。因落实政府采购政策进行价格调整的，以调整后的价格计算评审基准价和最后报价。</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gridSpan w:val="2"/>
            <w:tcW w:w="198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合计</w:t>
            </w:r>
            <w:r/>
          </w:p>
        </w:tc>
        <w:tc>
          <w:tcPr>
            <w:tcW w:w="1050"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100</w:t>
            </w:r>
            <w:r/>
          </w:p>
        </w:tc>
        <w:tc>
          <w:tcPr>
            <w:tcW w:w="546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pStyle w:val="888"/>
        <w:rPr>
          <w:rFonts w:hint="eastAsia"/>
          <w:color w:val="auto"/>
          <w:highlight w:val="none"/>
          <w:lang w:val="en-US" w:eastAsia="zh-CN"/>
        </w:rPr>
      </w:pPr>
      <w:r>
        <w:rPr>
          <w:rFonts w:hint="eastAsia"/>
          <w:color w:val="auto"/>
          <w:highlight w:val="none"/>
          <w:lang w:val="en-US" w:eastAsia="zh-CN"/>
        </w:rPr>
      </w:r>
      <w:r/>
    </w:p>
    <w:p>
      <w:pPr>
        <w:numPr>
          <w:ilvl w:val="0"/>
          <w:numId w:val="4"/>
        </w:num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采购包三：</w:t>
      </w:r>
      <w:r/>
    </w:p>
    <w:tbl>
      <w:tblPr>
        <w:tblStyle w:val="868"/>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93"/>
        <w:gridCol w:w="1050"/>
        <w:gridCol w:w="5466"/>
        <w:gridCol w:w="1069"/>
      </w:tblGrid>
      <w:tr>
        <w:trPr>
          <w:trHeight w:val="420"/>
        </w:trPr>
        <w:tc>
          <w:tcPr>
            <w:tcW w:w="6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12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评审因素</w:t>
            </w:r>
            <w:r/>
          </w:p>
        </w:tc>
        <w:tc>
          <w:tcPr>
            <w:tcW w:w="105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分值</w:t>
            </w:r>
            <w:r/>
          </w:p>
        </w:tc>
        <w:tc>
          <w:tcPr>
            <w:tcW w:w="546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评审要求或标准</w:t>
            </w:r>
            <w:r/>
          </w:p>
        </w:tc>
        <w:tc>
          <w:tcPr>
            <w:tcW w:w="10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得分</w:t>
            </w:r>
            <w:r/>
          </w:p>
        </w:tc>
      </w:tr>
      <w:tr>
        <w:trPr>
          <w:trHeight w:val="409"/>
        </w:trPr>
        <w:tc>
          <w:tcPr>
            <w:tcW w:w="6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W w:w="1293" w:type="dxa"/>
            <w:vAlign w:val="center"/>
            <w:textDirection w:val="lrTb"/>
            <w:noWrap w:val="false"/>
          </w:tcPr>
          <w:p>
            <w:pPr>
              <w:pStyle w:val="881"/>
              <w:jc w:val="center"/>
              <w:spacing w:before="0" w:beforeAutospacing="0" w:after="0" w:afterAutospacing="0"/>
              <w:rPr>
                <w:rFonts w:ascii="仿宋" w:hAnsi="仿宋" w:eastAsia="仿宋"/>
                <w:color w:val="auto"/>
                <w:sz w:val="24"/>
                <w:highlight w:val="none"/>
              </w:rPr>
            </w:pPr>
            <w:r>
              <w:rPr>
                <w:rFonts w:hint="eastAsia" w:ascii="仿宋" w:hAnsi="仿宋" w:eastAsia="仿宋" w:cs="仿宋"/>
                <w:color w:val="auto"/>
                <w:sz w:val="24"/>
                <w:highlight w:val="none"/>
              </w:rPr>
              <w:t xml:space="preserve">产品性能</w:t>
            </w:r>
            <w:r/>
          </w:p>
        </w:tc>
        <w:tc>
          <w:tcPr>
            <w:tcW w:w="1050"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28</w:t>
            </w:r>
            <w:r/>
          </w:p>
        </w:tc>
        <w:tc>
          <w:tcPr>
            <w:tcW w:w="5466" w:type="dxa"/>
            <w:vAlign w:val="center"/>
            <w:textDirection w:val="lrTb"/>
            <w:noWrap w:val="false"/>
          </w:tcPr>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依据响应供应商按产品技术要求提供制造商公开发布的产品检验报告对产品技术性能参数进行评审。如响应供应商填写响应性与佐证材料参数不一致（例如：技术部分正负偏离表自填响应或正偏离，证明材料等参数显示负偏离或不响应），该项不得分。具体评分标准如下：</w:t>
            </w:r>
            <w:r/>
          </w:p>
          <w:p>
            <w:pPr>
              <w:ind w:firstLine="482"/>
              <w:jc w:val="left"/>
              <w:rPr>
                <w:rFonts w:hint="default" w:ascii="仿宋" w:hAnsi="仿宋" w:eastAsia="仿宋"/>
                <w:b/>
                <w:bCs/>
                <w:color w:val="auto"/>
                <w:sz w:val="24"/>
                <w:highlight w:val="none"/>
                <w:lang w:val="en-US" w:eastAsia="zh-CN"/>
              </w:rPr>
            </w:pPr>
            <w:r>
              <w:rPr>
                <w:rFonts w:hint="eastAsia" w:ascii="仿宋" w:hAnsi="仿宋" w:eastAsia="仿宋"/>
                <w:b/>
                <w:bCs/>
                <w:color w:val="auto"/>
                <w:sz w:val="24"/>
                <w:highlight w:val="none"/>
                <w:lang w:val="en-US" w:eastAsia="zh-CN"/>
              </w:rPr>
              <w:t xml:space="preserve">一、40mm消防水带（10分）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rPr>
                <w:rFonts w:hint="default" w:ascii="仿宋" w:hAnsi="仿宋" w:eastAsia="仿宋"/>
                <w:color w:val="auto"/>
                <w:sz w:val="24"/>
                <w:highlight w:val="none"/>
                <w:lang w:val="en-US" w:eastAsia="zh-CN"/>
              </w:rPr>
              <w:t xml:space="preserve">工作压力≥</w:t>
            </w:r>
            <w:r>
              <w:rPr>
                <w:rFonts w:hint="eastAsia" w:ascii="仿宋" w:hAnsi="仿宋" w:eastAsia="仿宋"/>
                <w:color w:val="auto"/>
                <w:sz w:val="24"/>
                <w:highlight w:val="none"/>
                <w:lang w:val="en-US" w:eastAsia="zh-CN"/>
              </w:rPr>
              <w:t xml:space="preserve">2</w:t>
            </w:r>
            <w:r>
              <w:rPr>
                <w:rFonts w:hint="default" w:ascii="仿宋" w:hAnsi="仿宋" w:eastAsia="仿宋"/>
                <w:color w:val="auto"/>
                <w:sz w:val="24"/>
                <w:highlight w:val="none"/>
                <w:lang w:val="en-US" w:eastAsia="zh-CN"/>
              </w:rPr>
              <w:t xml:space="preserve">.</w:t>
            </w:r>
            <w:r>
              <w:rPr>
                <w:rFonts w:hint="eastAsia" w:ascii="仿宋" w:hAnsi="仿宋" w:eastAsia="仿宋"/>
                <w:color w:val="auto"/>
                <w:sz w:val="24"/>
                <w:highlight w:val="none"/>
                <w:lang w:val="en-US" w:eastAsia="zh-CN"/>
              </w:rPr>
              <w:t xml:space="preserve">0</w:t>
            </w:r>
            <w:r>
              <w:rPr>
                <w:rFonts w:hint="default" w:ascii="仿宋" w:hAnsi="仿宋" w:eastAsia="仿宋"/>
                <w:color w:val="auto"/>
                <w:sz w:val="24"/>
                <w:highlight w:val="none"/>
                <w:lang w:val="en-US" w:eastAsia="zh-CN"/>
              </w:rPr>
              <w:t xml:space="preserve">MPa</w:t>
            </w:r>
            <w:r>
              <w:rPr>
                <w:rFonts w:hint="eastAsia" w:ascii="仿宋" w:hAnsi="仿宋" w:eastAsia="仿宋"/>
                <w:color w:val="auto"/>
                <w:sz w:val="24"/>
                <w:highlight w:val="none"/>
                <w:lang w:val="en-US" w:eastAsia="zh-CN"/>
              </w:rPr>
              <w:t xml:space="preserve">得2分；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rPr>
                <w:rFonts w:hint="default" w:ascii="仿宋" w:hAnsi="仿宋" w:eastAsia="仿宋"/>
                <w:color w:val="auto"/>
                <w:sz w:val="24"/>
                <w:highlight w:val="none"/>
                <w:lang w:val="en-US" w:eastAsia="zh-CN"/>
              </w:rPr>
              <w:t xml:space="preserve">爆破压力≥</w:t>
            </w:r>
            <w:r>
              <w:rPr>
                <w:rFonts w:hint="eastAsia" w:ascii="仿宋" w:hAnsi="仿宋" w:eastAsia="仿宋"/>
                <w:color w:val="auto"/>
                <w:sz w:val="24"/>
                <w:highlight w:val="none"/>
                <w:lang w:val="en-US" w:eastAsia="zh-CN"/>
              </w:rPr>
              <w:t xml:space="preserve">5</w:t>
            </w:r>
            <w:r>
              <w:rPr>
                <w:rFonts w:hint="default" w:ascii="仿宋" w:hAnsi="仿宋" w:eastAsia="仿宋"/>
                <w:color w:val="auto"/>
                <w:sz w:val="24"/>
                <w:highlight w:val="none"/>
                <w:lang w:val="en-US" w:eastAsia="zh-CN"/>
              </w:rPr>
              <w:t xml:space="preserve">.0MPa</w:t>
            </w:r>
            <w:r>
              <w:rPr>
                <w:rFonts w:hint="eastAsia" w:ascii="仿宋" w:hAnsi="仿宋" w:eastAsia="仿宋"/>
                <w:color w:val="auto"/>
                <w:sz w:val="24"/>
                <w:highlight w:val="none"/>
                <w:lang w:val="en-US" w:eastAsia="zh-CN"/>
              </w:rPr>
              <w:t xml:space="preserve">得2分；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rPr>
                <w:rFonts w:hint="default" w:ascii="仿宋" w:hAnsi="仿宋" w:eastAsia="仿宋"/>
                <w:color w:val="auto"/>
                <w:sz w:val="24"/>
                <w:highlight w:val="none"/>
                <w:lang w:val="en-US" w:eastAsia="zh-CN"/>
              </w:rPr>
              <w:t xml:space="preserve">单位长度重量≤1</w:t>
            </w:r>
            <w:r>
              <w:rPr>
                <w:rFonts w:hint="eastAsia" w:ascii="仿宋" w:hAnsi="仿宋" w:eastAsia="仿宋"/>
                <w:color w:val="auto"/>
                <w:sz w:val="24"/>
                <w:highlight w:val="none"/>
                <w:lang w:val="en-US" w:eastAsia="zh-CN"/>
              </w:rPr>
              <w:t xml:space="preserve">2</w:t>
            </w:r>
            <w:r>
              <w:rPr>
                <w:rFonts w:hint="default" w:ascii="仿宋" w:hAnsi="仿宋" w:eastAsia="仿宋"/>
                <w:color w:val="auto"/>
                <w:sz w:val="24"/>
                <w:highlight w:val="none"/>
                <w:lang w:val="en-US" w:eastAsia="zh-CN"/>
              </w:rPr>
              <w:t xml:space="preserve">0g/m</w:t>
            </w:r>
            <w:r>
              <w:rPr>
                <w:rFonts w:hint="eastAsia" w:ascii="仿宋" w:hAnsi="仿宋" w:eastAsia="仿宋"/>
                <w:color w:val="auto"/>
                <w:sz w:val="24"/>
                <w:highlight w:val="none"/>
                <w:lang w:val="en-US" w:eastAsia="zh-CN"/>
              </w:rPr>
              <w:t xml:space="preserve">得2分；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rPr>
                <w:rFonts w:hint="default" w:ascii="仿宋" w:hAnsi="仿宋" w:eastAsia="仿宋"/>
                <w:color w:val="auto"/>
                <w:sz w:val="24"/>
                <w:highlight w:val="none"/>
                <w:lang w:val="en-US" w:eastAsia="zh-CN"/>
              </w:rPr>
              <w:t xml:space="preserve">膨胀率≤</w:t>
            </w:r>
            <w:r>
              <w:rPr>
                <w:rFonts w:hint="eastAsia" w:ascii="仿宋" w:hAnsi="仿宋" w:eastAsia="仿宋"/>
                <w:color w:val="auto"/>
                <w:sz w:val="24"/>
                <w:highlight w:val="none"/>
                <w:lang w:val="en-US" w:eastAsia="zh-CN"/>
              </w:rPr>
              <w:t xml:space="preserve">3</w:t>
            </w:r>
            <w:r>
              <w:rPr>
                <w:rFonts w:hint="default" w:ascii="仿宋" w:hAnsi="仿宋" w:eastAsia="仿宋"/>
                <w:color w:val="auto"/>
                <w:sz w:val="24"/>
                <w:highlight w:val="none"/>
                <w:lang w:val="en-US" w:eastAsia="zh-CN"/>
              </w:rPr>
              <w:t xml:space="preserve">%</w:t>
            </w:r>
            <w:r>
              <w:rPr>
                <w:rFonts w:hint="eastAsia" w:ascii="仿宋" w:hAnsi="仿宋" w:eastAsia="仿宋"/>
                <w:color w:val="auto"/>
                <w:sz w:val="24"/>
                <w:highlight w:val="none"/>
                <w:lang w:val="en-US" w:eastAsia="zh-CN"/>
              </w:rPr>
              <w:t xml:space="preserve">得2分；</w:t>
            </w:r>
            <w:r/>
          </w:p>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rPr>
                <w:rFonts w:hint="default" w:ascii="仿宋" w:hAnsi="仿宋" w:eastAsia="仿宋"/>
                <w:color w:val="auto"/>
                <w:sz w:val="24"/>
                <w:highlight w:val="none"/>
                <w:lang w:val="en-US" w:eastAsia="zh-CN"/>
              </w:rPr>
              <w:t xml:space="preserve">扯断伸长率≥3</w:t>
            </w:r>
            <w:r>
              <w:rPr>
                <w:rFonts w:hint="eastAsia" w:ascii="仿宋" w:hAnsi="仿宋" w:eastAsia="仿宋"/>
                <w:color w:val="auto"/>
                <w:sz w:val="24"/>
                <w:highlight w:val="none"/>
                <w:lang w:val="en-US" w:eastAsia="zh-CN"/>
              </w:rPr>
              <w:t xml:space="preserve">9</w:t>
            </w:r>
            <w:r>
              <w:rPr>
                <w:rFonts w:hint="default" w:ascii="仿宋" w:hAnsi="仿宋" w:eastAsia="仿宋"/>
                <w:color w:val="auto"/>
                <w:sz w:val="24"/>
                <w:highlight w:val="none"/>
                <w:lang w:val="en-US" w:eastAsia="zh-CN"/>
              </w:rPr>
              <w:t xml:space="preserve">0%</w:t>
            </w:r>
            <w:r>
              <w:rPr>
                <w:rFonts w:hint="eastAsia" w:ascii="仿宋" w:hAnsi="仿宋" w:eastAsia="仿宋"/>
                <w:color w:val="auto"/>
                <w:sz w:val="24"/>
                <w:highlight w:val="none"/>
                <w:lang w:val="en-US" w:eastAsia="zh-CN"/>
              </w:rPr>
              <w:t xml:space="preserve">得2分。</w:t>
            </w:r>
            <w:r/>
          </w:p>
          <w:p>
            <w:pPr>
              <w:ind w:firstLine="482"/>
              <w:jc w:val="left"/>
              <w:rPr>
                <w:rFonts w:hint="default" w:ascii="仿宋" w:hAnsi="仿宋" w:eastAsia="仿宋"/>
                <w:b/>
                <w:bCs/>
                <w:color w:val="auto"/>
                <w:sz w:val="24"/>
                <w:highlight w:val="none"/>
                <w:lang w:val="en-US" w:eastAsia="zh-CN"/>
              </w:rPr>
            </w:pPr>
            <w:r>
              <w:rPr>
                <w:rFonts w:hint="eastAsia" w:ascii="仿宋" w:hAnsi="仿宋" w:eastAsia="仿宋"/>
                <w:b/>
                <w:bCs/>
                <w:color w:val="auto"/>
                <w:sz w:val="24"/>
                <w:highlight w:val="none"/>
                <w:lang w:val="en-US" w:eastAsia="zh-CN"/>
              </w:rPr>
              <w:t xml:space="preserve">二、消火栓转换接口（4分）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公称压力</w:t>
            </w:r>
            <w:r>
              <w:rPr>
                <w:rFonts w:hint="default" w:ascii="仿宋" w:hAnsi="仿宋" w:eastAsia="仿宋"/>
                <w:color w:val="auto"/>
                <w:sz w:val="24"/>
                <w:highlight w:val="none"/>
                <w:lang w:val="en-US" w:eastAsia="zh-CN"/>
              </w:rPr>
              <w:t xml:space="preserve">≥</w:t>
            </w:r>
            <w:r>
              <w:rPr>
                <w:rFonts w:hint="eastAsia" w:ascii="仿宋" w:hAnsi="仿宋" w:eastAsia="仿宋"/>
                <w:color w:val="auto"/>
                <w:sz w:val="24"/>
                <w:highlight w:val="none"/>
                <w:lang w:val="en-US" w:eastAsia="zh-CN"/>
              </w:rPr>
              <w:t xml:space="preserve">2.5Mpa得4分。</w:t>
            </w:r>
            <w:r/>
          </w:p>
          <w:p>
            <w:pPr>
              <w:ind w:firstLine="482"/>
              <w:jc w:val="left"/>
              <w:rPr>
                <w:rFonts w:hint="eastAsia" w:ascii="仿宋" w:hAnsi="仿宋" w:eastAsia="仿宋"/>
                <w:b/>
                <w:bCs/>
                <w:color w:val="auto"/>
                <w:sz w:val="24"/>
                <w:highlight w:val="none"/>
                <w:lang w:val="en-US" w:eastAsia="zh-CN"/>
              </w:rPr>
            </w:pPr>
            <w:r>
              <w:rPr>
                <w:rFonts w:hint="eastAsia" w:ascii="仿宋" w:hAnsi="仿宋" w:eastAsia="仿宋"/>
                <w:b/>
                <w:bCs/>
                <w:color w:val="auto"/>
                <w:sz w:val="24"/>
                <w:highlight w:val="none"/>
                <w:lang w:val="en-US" w:eastAsia="zh-CN"/>
              </w:rPr>
              <w:t xml:space="preserve">三、40mm消防水枪（4分）</w:t>
            </w:r>
            <w:r/>
          </w:p>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1.操作力矩（N·m）≤7.5得2分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2.喷雾角最小调节范围（°）：≥0-120得2分</w:t>
            </w:r>
            <w:r/>
          </w:p>
          <w:p>
            <w:pPr>
              <w:ind w:firstLine="482"/>
              <w:jc w:val="left"/>
              <w:rPr>
                <w:rFonts w:hint="eastAsia" w:ascii="仿宋" w:hAnsi="仿宋" w:eastAsia="仿宋"/>
                <w:b/>
                <w:bCs/>
                <w:color w:val="auto"/>
                <w:sz w:val="24"/>
                <w:highlight w:val="none"/>
                <w:lang w:val="en-US" w:eastAsia="zh-CN"/>
              </w:rPr>
            </w:pPr>
            <w:r>
              <w:rPr>
                <w:rFonts w:hint="eastAsia" w:ascii="仿宋" w:hAnsi="仿宋" w:eastAsia="仿宋"/>
                <w:b/>
                <w:bCs/>
                <w:color w:val="auto"/>
                <w:sz w:val="24"/>
                <w:highlight w:val="none"/>
                <w:lang w:val="en-US" w:eastAsia="zh-CN"/>
              </w:rPr>
              <w:t xml:space="preserve">四、化学氧自救呼吸器（10分）</w:t>
            </w:r>
            <w:r/>
          </w:p>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1.吸气中二氧化碳浓度（最大值）：≤2.0%得2分；</w:t>
            </w:r>
            <w:r/>
          </w:p>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2.呼吸阻力之和（Pa）:≤400得2分；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3.面罩漏气系数（%）：≤3得2分；</w:t>
            </w:r>
            <w:r/>
          </w:p>
          <w:p>
            <w:pPr>
              <w:ind w:firstLine="480"/>
              <w:jc w:val="lef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4.呼吸系统气密性（Pa）:≤85得2分；</w:t>
            </w:r>
            <w:r/>
          </w:p>
          <w:p>
            <w:pPr>
              <w:ind w:firstLine="480"/>
              <w:jc w:val="lef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5.贮气袋容积≥6.5L得2分。</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shd w:val="clear" w:color="auto" w:fill="auto"/>
            <w:tcW w:w="1293" w:type="dxa"/>
            <w:vAlign w:val="center"/>
            <w:textDirection w:val="lrTb"/>
            <w:noWrap w:val="false"/>
          </w:tcPr>
          <w:p>
            <w:pPr>
              <w:jc w:val="center"/>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业绩</w:t>
            </w:r>
            <w:r/>
          </w:p>
        </w:tc>
        <w:tc>
          <w:tcPr>
            <w:shd w:val="clear" w:color="auto" w:fill="auto"/>
            <w:tcW w:w="1050" w:type="dxa"/>
            <w:vAlign w:val="center"/>
            <w:textDirection w:val="lrTb"/>
            <w:noWrap w:val="false"/>
          </w:tcPr>
          <w:p>
            <w:pPr>
              <w:jc w:val="center"/>
              <w:spacing w:line="4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8</w:t>
            </w:r>
            <w:r/>
          </w:p>
        </w:tc>
        <w:tc>
          <w:tcPr>
            <w:shd w:val="clear" w:color="auto" w:fill="auto"/>
            <w:tcW w:w="5466" w:type="dxa"/>
            <w:vAlign w:val="center"/>
            <w:textDirection w:val="lrTb"/>
            <w:noWrap w:val="false"/>
          </w:tcPr>
          <w:p>
            <w:pPr>
              <w:ind w:firstLine="480"/>
              <w:jc w:val="left"/>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响应供应商自2022年1月1日（以签订合同时间为准）以来承担的类似产品销售项目（合同内容至少包含本采购包产品中的一项），每提供一份得2分，最多得8分。</w:t>
            </w:r>
            <w:r>
              <w:rPr>
                <w:rFonts w:hint="eastAsia" w:ascii="仿宋" w:hAnsi="仿宋" w:eastAsia="仿宋" w:cs="仿宋"/>
                <w:b/>
                <w:bCs/>
                <w:color w:val="auto"/>
                <w:sz w:val="24"/>
                <w:szCs w:val="24"/>
                <w:highlight w:val="none"/>
                <w:lang w:val="en-US" w:eastAsia="zh-CN" w:bidi="ar-SA"/>
              </w:rPr>
              <w:t xml:space="preserve">响应文件中须提供中标（成交）通知书、完整合同及盖有甲方单位公章的验收单原件扫描件</w:t>
            </w:r>
            <w:r>
              <w:rPr>
                <w:rFonts w:hint="eastAsia" w:ascii="仿宋" w:hAnsi="仿宋" w:eastAsia="仿宋" w:cs="仿宋"/>
                <w:b/>
                <w:bCs/>
                <w:color w:val="auto"/>
                <w:sz w:val="24"/>
                <w:szCs w:val="24"/>
                <w:highlight w:val="none"/>
                <w:lang w:val="en-US" w:eastAsia="zh-CN"/>
              </w:rPr>
              <w:t xml:space="preserve">；未提供或提供不全不得分。</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shd w:val="clear" w:color="auto" w:fill="auto"/>
            <w:tcW w:w="1293"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体系认证</w:t>
            </w:r>
            <w:r/>
          </w:p>
        </w:tc>
        <w:tc>
          <w:tcPr>
            <w:shd w:val="clear" w:color="auto" w:fill="auto"/>
            <w:tcW w:w="1050" w:type="dxa"/>
            <w:vAlign w:val="center"/>
            <w:textDirection w:val="lrTb"/>
            <w:noWrap w:val="false"/>
          </w:tcPr>
          <w:p>
            <w:pPr>
              <w:jc w:val="center"/>
              <w:spacing w:line="4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3</w:t>
            </w:r>
            <w:r/>
          </w:p>
        </w:tc>
        <w:tc>
          <w:tcPr>
            <w:shd w:val="clear" w:color="auto" w:fill="auto"/>
            <w:tcW w:w="5466" w:type="dxa"/>
            <w:vAlign w:val="center"/>
            <w:textDirection w:val="lrTb"/>
            <w:noWrap w:val="false"/>
          </w:tcPr>
          <w:p>
            <w:pPr>
              <w:pStyle w:val="899"/>
              <w:ind w:left="0" w:firstLine="480"/>
              <w:tabs>
                <w:tab w:val="left" w:pos="312" w:leader="none"/>
              </w:tabs>
              <w:rPr>
                <w:rFonts w:hint="eastAsia" w:ascii="仿宋" w:hAnsi="仿宋" w:eastAsia="仿宋"/>
                <w:color w:val="auto"/>
                <w:sz w:val="24"/>
                <w:highlight w:val="none"/>
                <w:lang w:val="en-US" w:eastAsia="zh-CN"/>
              </w:rPr>
            </w:pPr>
            <w:r>
              <w:rPr>
                <w:rFonts w:hint="eastAsia" w:ascii="仿宋" w:hAnsi="仿宋" w:eastAsia="仿宋" w:cs="仿宋"/>
                <w:color w:val="auto"/>
                <w:sz w:val="24"/>
                <w:highlight w:val="none"/>
                <w:lang w:val="en-US" w:eastAsia="zh-CN"/>
              </w:rPr>
              <w:t xml:space="preserve">响应供应商</w:t>
            </w:r>
            <w:r>
              <w:rPr>
                <w:rFonts w:hint="eastAsia" w:ascii="仿宋" w:hAnsi="仿宋" w:eastAsia="仿宋"/>
                <w:color w:val="auto"/>
                <w:sz w:val="24"/>
                <w:highlight w:val="none"/>
              </w:rPr>
              <w:t xml:space="preserve">具有有效的质量管理体系认证证书、职业健康安全管理体系认证证书、环境管理体系认证证书，每提供一项得1分，本项最多得3分。</w:t>
            </w:r>
            <w:r>
              <w:rPr>
                <w:rFonts w:hint="eastAsia" w:ascii="仿宋" w:hAnsi="仿宋" w:eastAsia="仿宋"/>
                <w:color w:val="auto"/>
                <w:sz w:val="24"/>
                <w:highlight w:val="none"/>
                <w:lang w:val="en-US" w:eastAsia="zh-CN"/>
              </w:rPr>
              <w:t xml:space="preserve">  </w:t>
            </w:r>
            <w:r/>
          </w:p>
          <w:p>
            <w:pPr>
              <w:pStyle w:val="899"/>
              <w:ind w:left="0" w:firstLine="480"/>
              <w:tabs>
                <w:tab w:val="left" w:pos="312" w:leader="none"/>
              </w:tabs>
              <w:rPr>
                <w:rFonts w:hint="eastAsia" w:ascii="仿宋" w:hAnsi="仿宋" w:eastAsia="宋体" w:cs="仿宋"/>
                <w:color w:val="auto"/>
                <w:sz w:val="24"/>
                <w:szCs w:val="24"/>
                <w:highlight w:val="none"/>
                <w:lang w:val="en-US" w:eastAsia="zh-CN" w:bidi="ar-SA"/>
              </w:rPr>
            </w:pPr>
            <w:r>
              <w:rPr>
                <w:rFonts w:hint="eastAsia" w:ascii="仿宋" w:hAnsi="仿宋" w:eastAsia="仿宋"/>
                <w:b/>
                <w:bCs/>
                <w:color w:val="auto"/>
                <w:sz w:val="24"/>
                <w:highlight w:val="none"/>
              </w:rPr>
              <w:t xml:space="preserve">须提供证书原件扫描件及国家认监委平台查询截图加盖</w:t>
            </w:r>
            <w:r>
              <w:rPr>
                <w:rFonts w:hint="eastAsia" w:ascii="仿宋" w:hAnsi="仿宋" w:eastAsia="仿宋"/>
                <w:b/>
                <w:bCs/>
                <w:color w:val="auto"/>
                <w:sz w:val="24"/>
                <w:highlight w:val="none"/>
                <w:lang w:val="en-US" w:eastAsia="zh-CN"/>
              </w:rPr>
              <w:t xml:space="preserve">响应供应商</w:t>
            </w:r>
            <w:r>
              <w:rPr>
                <w:rFonts w:hint="eastAsia" w:ascii="仿宋" w:hAnsi="仿宋" w:eastAsia="仿宋"/>
                <w:b/>
                <w:bCs/>
                <w:color w:val="auto"/>
                <w:sz w:val="24"/>
                <w:highlight w:val="none"/>
              </w:rPr>
              <w:t xml:space="preserve">公章，否则</w:t>
            </w:r>
            <w:r>
              <w:rPr>
                <w:rFonts w:hint="eastAsia" w:ascii="仿宋" w:hAnsi="仿宋" w:eastAsia="仿宋"/>
                <w:b/>
                <w:bCs/>
                <w:color w:val="auto"/>
                <w:sz w:val="24"/>
                <w:highlight w:val="none"/>
                <w:lang w:eastAsia="zh-CN"/>
              </w:rPr>
              <w:t xml:space="preserve">不得分</w:t>
            </w:r>
            <w:r>
              <w:rPr>
                <w:rFonts w:hint="eastAsia" w:ascii="仿宋" w:hAnsi="仿宋" w:eastAsia="仿宋"/>
                <w:b/>
                <w:bCs/>
                <w:color w:val="auto"/>
                <w:sz w:val="24"/>
                <w:highlight w:val="none"/>
              </w:rPr>
              <w:t xml:space="preserve">。</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shd w:val="clear" w:color="auto" w:fill="auto"/>
            <w:tcW w:w="692" w:type="dxa"/>
            <w:vAlign w:val="center"/>
            <w:textDirection w:val="lrTb"/>
            <w:noWrap w:val="false"/>
          </w:tcPr>
          <w:p>
            <w:pPr>
              <w:jc w:val="center"/>
              <w:spacing w:line="3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4</w:t>
            </w:r>
            <w:r/>
          </w:p>
        </w:tc>
        <w:tc>
          <w:tcPr>
            <w:shd w:val="clear" w:color="auto" w:fill="auto"/>
            <w:tcW w:w="129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rPr>
              <w:t xml:space="preserve">售后服务</w:t>
            </w:r>
            <w:r/>
          </w:p>
        </w:tc>
        <w:tc>
          <w:tcPr>
            <w:shd w:val="clear" w:color="auto" w:fill="auto"/>
            <w:tcW w:w="105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4</w:t>
            </w:r>
            <w:r/>
          </w:p>
        </w:tc>
        <w:tc>
          <w:tcPr>
            <w:shd w:val="clear" w:color="auto" w:fill="auto"/>
            <w:tcW w:w="5466" w:type="dxa"/>
            <w:vAlign w:val="center"/>
            <w:textDirection w:val="lrTb"/>
            <w:noWrap w:val="false"/>
          </w:tcPr>
          <w:p>
            <w:pPr>
              <w:pStyle w:val="899"/>
              <w:ind w:left="0" w:firstLine="480"/>
              <w:jc w:val="left"/>
              <w:rPr>
                <w:rFonts w:hint="default" w:ascii="仿宋" w:hAnsi="仿宋" w:eastAsia="仿宋" w:cs="Times New Roman"/>
                <w:b/>
                <w:bCs/>
                <w:color w:val="auto"/>
                <w:sz w:val="24"/>
                <w:szCs w:val="24"/>
                <w:highlight w:val="none"/>
                <w:lang w:val="en-US" w:eastAsia="zh-CN" w:bidi="ar-SA"/>
              </w:rPr>
            </w:pPr>
            <w:r>
              <w:rPr>
                <w:rFonts w:hint="eastAsia" w:ascii="仿宋" w:hAnsi="仿宋" w:eastAsia="仿宋" w:cs="仿宋"/>
                <w:color w:val="auto"/>
                <w:sz w:val="24"/>
                <w:highlight w:val="none"/>
              </w:rPr>
              <w:t xml:space="preserve">质保期为</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年，承诺质保期在原基础年限上每增加半年，得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分，最高得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rPr>
                <w:rFonts w:hint="eastAsia" w:ascii="仿宋" w:hAnsi="仿宋" w:eastAsia="仿宋" w:cs="仿宋"/>
                <w:b/>
                <w:bCs/>
                <w:color w:val="auto"/>
                <w:sz w:val="24"/>
                <w:highlight w:val="none"/>
              </w:rPr>
              <w:t xml:space="preserve">响应文件中须提供承诺函（格式自拟），未提供</w:t>
            </w:r>
            <w:r>
              <w:rPr>
                <w:rFonts w:hint="eastAsia" w:ascii="仿宋" w:hAnsi="仿宋" w:eastAsia="仿宋" w:cs="仿宋"/>
                <w:b/>
                <w:bCs/>
                <w:color w:val="auto"/>
                <w:sz w:val="24"/>
                <w:highlight w:val="none"/>
                <w:lang w:eastAsia="zh-CN"/>
              </w:rPr>
              <w:t xml:space="preserve">不得分</w:t>
            </w:r>
            <w:r>
              <w:rPr>
                <w:rFonts w:hint="eastAsia" w:ascii="仿宋" w:hAnsi="仿宋" w:eastAsia="仿宋" w:cs="仿宋"/>
                <w:b/>
                <w:bCs/>
                <w:color w:val="auto"/>
                <w:sz w:val="24"/>
                <w:highlight w:val="none"/>
              </w:rPr>
              <w:t xml:space="preserve">。</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shd w:val="clear" w:color="auto" w:fill="auto"/>
            <w:tcW w:w="692" w:type="dxa"/>
            <w:vAlign w:val="center"/>
            <w:textDirection w:val="lrTb"/>
            <w:noWrap w:val="false"/>
          </w:tcPr>
          <w:p>
            <w:pPr>
              <w:jc w:val="center"/>
              <w:spacing w:line="320" w:lineRule="exac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p>
        </w:tc>
        <w:tc>
          <w:tcPr>
            <w:shd w:val="clear" w:color="auto" w:fill="auto"/>
            <w:tcW w:w="1293"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rPr>
              <w:t xml:space="preserve">服务方案</w:t>
            </w:r>
            <w:r/>
          </w:p>
        </w:tc>
        <w:tc>
          <w:tcPr>
            <w:shd w:val="clear" w:color="auto" w:fill="auto"/>
            <w:tcW w:w="105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12</w:t>
            </w:r>
            <w:r/>
          </w:p>
        </w:tc>
        <w:tc>
          <w:tcPr>
            <w:shd w:val="clear" w:color="auto" w:fill="auto"/>
            <w:tcW w:w="5466" w:type="dxa"/>
            <w:vAlign w:val="center"/>
            <w:textDirection w:val="lrTb"/>
            <w:noWrap w:val="false"/>
          </w:tcPr>
          <w:p>
            <w:pPr>
              <w:pStyle w:val="899"/>
              <w:ind w:left="0" w:firstLine="480"/>
              <w:tabs>
                <w:tab w:val="left" w:pos="31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提交的供货方案的完整性及可实施性进行独立评审，方案内容应包括：①供货渠道；②供货时间；③运输方案；④质量保证；⑤对设备的调试进度安排</w:t>
            </w:r>
            <w:r>
              <w:rPr>
                <w:rFonts w:hint="eastAsia" w:ascii="仿宋" w:hAnsi="仿宋" w:eastAsia="仿宋" w:cs="仿宋"/>
                <w:color w:val="auto"/>
                <w:sz w:val="24"/>
                <w:szCs w:val="24"/>
                <w:highlight w:val="none"/>
                <w:lang w:eastAsia="zh-CN"/>
              </w:rPr>
              <w:t xml:space="preserve">；</w:t>
            </w:r>
            <w:r>
              <w:rPr>
                <w:rFonts w:hint="eastAsia" w:ascii="仿宋" w:hAnsi="仿宋" w:eastAsia="仿宋"/>
                <w:color w:val="auto"/>
                <w:sz w:val="24"/>
                <w:highlight w:val="none"/>
              </w:rPr>
              <w:t xml:space="preserve">⑥调试的步骤、措施、问题的解决方案等。</w:t>
            </w:r>
            <w:r>
              <w:rPr>
                <w:rFonts w:hint="eastAsia" w:ascii="仿宋" w:hAnsi="仿宋" w:eastAsia="仿宋" w:cs="仿宋"/>
                <w:color w:val="auto"/>
                <w:sz w:val="24"/>
                <w:szCs w:val="24"/>
                <w:highlight w:val="none"/>
              </w:rPr>
              <w:t xml:space="preserve">完全响应且符合采购人实际需求的得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分，每缺少一项内容或该内容存在不足的扣1分，扣完为止。未提供方案的</w:t>
            </w:r>
            <w:r>
              <w:rPr>
                <w:rFonts w:hint="eastAsia" w:ascii="仿宋" w:hAnsi="仿宋" w:eastAsia="仿宋" w:cs="仿宋"/>
                <w:color w:val="auto"/>
                <w:sz w:val="24"/>
                <w:szCs w:val="24"/>
                <w:highlight w:val="none"/>
                <w:lang w:eastAsia="zh-CN"/>
              </w:rPr>
              <w:t xml:space="preserve">不得分</w:t>
            </w:r>
            <w:r>
              <w:rPr>
                <w:rFonts w:hint="eastAsia" w:ascii="仿宋" w:hAnsi="仿宋" w:eastAsia="仿宋" w:cs="仿宋"/>
                <w:color w:val="auto"/>
                <w:sz w:val="24"/>
                <w:szCs w:val="24"/>
                <w:highlight w:val="none"/>
              </w:rPr>
              <w:t xml:space="preserve">。</w:t>
            </w:r>
            <w:r/>
          </w:p>
          <w:p>
            <w:pPr>
              <w:pStyle w:val="899"/>
              <w:ind w:left="0" w:firstLine="480"/>
              <w:tabs>
                <w:tab w:val="left" w:pos="31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2.根据</w:t>
            </w:r>
            <w:r>
              <w:rPr>
                <w:rFonts w:hint="eastAsia" w:ascii="仿宋" w:hAnsi="仿宋" w:eastAsia="仿宋" w:cs="仿宋"/>
                <w:color w:val="auto"/>
                <w:sz w:val="24"/>
                <w:szCs w:val="24"/>
                <w:highlight w:val="none"/>
                <w:lang w:val="en-US" w:eastAsia="zh-CN"/>
              </w:rPr>
              <w:t xml:space="preserve">响应供应商</w:t>
            </w:r>
            <w:r>
              <w:rPr>
                <w:rFonts w:hint="eastAsia" w:ascii="仿宋" w:hAnsi="仿宋" w:eastAsia="仿宋" w:cs="仿宋"/>
                <w:color w:val="auto"/>
                <w:sz w:val="24"/>
                <w:szCs w:val="24"/>
                <w:highlight w:val="none"/>
              </w:rPr>
              <w:t xml:space="preserve">提交的售后服务方案的完整性及可实施性进行独立评审，方案内容应包括①售后服务内容；②售后服务站本地站点；③售后服务响应；④故障解决方案；⑤应急故障处理措施</w:t>
            </w:r>
            <w:r>
              <w:rPr>
                <w:rFonts w:hint="eastAsia" w:ascii="仿宋" w:hAnsi="仿宋" w:eastAsia="仿宋" w:cs="仿宋"/>
                <w:color w:val="auto"/>
                <w:sz w:val="24"/>
                <w:szCs w:val="24"/>
                <w:highlight w:val="none"/>
                <w:lang w:eastAsia="zh-CN"/>
              </w:rPr>
              <w:t xml:space="preserve">；</w:t>
            </w:r>
            <w:r>
              <w:rPr>
                <w:rFonts w:hint="eastAsia" w:ascii="仿宋" w:hAnsi="仿宋" w:eastAsia="仿宋"/>
                <w:color w:val="auto"/>
                <w:sz w:val="24"/>
                <w:highlight w:val="none"/>
              </w:rPr>
              <w:t xml:space="preserve">⑥调试的步骤、措施、问题的解决方案等。</w:t>
            </w:r>
            <w:r>
              <w:rPr>
                <w:rFonts w:hint="eastAsia" w:ascii="仿宋" w:hAnsi="仿宋" w:eastAsia="仿宋" w:cs="仿宋"/>
                <w:color w:val="auto"/>
                <w:sz w:val="24"/>
                <w:szCs w:val="24"/>
                <w:highlight w:val="none"/>
              </w:rPr>
              <w:t xml:space="preserve">完全响应且符合采购人实际需求的得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分，每缺少一项内容或该内容存在不足的扣1分，扣完为止。未提供方案的</w:t>
            </w:r>
            <w:r>
              <w:rPr>
                <w:rFonts w:hint="eastAsia" w:ascii="仿宋" w:hAnsi="仿宋" w:eastAsia="仿宋" w:cs="仿宋"/>
                <w:color w:val="auto"/>
                <w:sz w:val="24"/>
                <w:szCs w:val="24"/>
                <w:highlight w:val="none"/>
                <w:lang w:eastAsia="zh-CN"/>
              </w:rPr>
              <w:t xml:space="preserve">不得分</w:t>
            </w:r>
            <w:r>
              <w:rPr>
                <w:rFonts w:hint="eastAsia" w:ascii="仿宋" w:hAnsi="仿宋" w:eastAsia="仿宋" w:cs="仿宋"/>
                <w:color w:val="auto"/>
                <w:sz w:val="24"/>
                <w:szCs w:val="24"/>
                <w:highlight w:val="none"/>
              </w:rPr>
              <w:t xml:space="preserve">。</w:t>
            </w:r>
            <w:r/>
          </w:p>
          <w:p>
            <w:pPr>
              <w:pStyle w:val="899"/>
              <w:ind w:left="0" w:firstLine="482"/>
              <w:tabs>
                <w:tab w:val="left" w:pos="312" w:leader="none"/>
              </w:tabs>
              <w:rPr>
                <w:rFonts w:hint="default" w:ascii="Times New Roman" w:hAnsi="Times New Roman" w:eastAsia="宋体" w:cs="Times New Roman"/>
                <w:color w:val="auto"/>
                <w:sz w:val="21"/>
                <w:szCs w:val="24"/>
                <w:highlight w:val="none"/>
                <w:lang w:val="en-US" w:eastAsia="zh-CN" w:bidi="ar-SA"/>
              </w:rPr>
            </w:pPr>
            <w:r>
              <w:rPr>
                <w:rFonts w:hint="eastAsia" w:ascii="仿宋" w:hAnsi="仿宋" w:eastAsia="仿宋" w:cs="仿宋"/>
                <w:b/>
                <w:bCs/>
                <w:color w:val="auto"/>
                <w:sz w:val="24"/>
                <w:szCs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3544"/>
        </w:trPr>
        <w:tc>
          <w:tcPr>
            <w:shd w:val="clear" w:color="auto" w:fill="auto"/>
            <w:tcW w:w="692" w:type="dxa"/>
            <w:vAlign w:val="center"/>
            <w:textDirection w:val="lrTb"/>
            <w:noWrap w:val="false"/>
          </w:tcPr>
          <w:p>
            <w:pPr>
              <w:jc w:val="center"/>
              <w:spacing w:line="320" w:lineRule="exac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p>
        </w:tc>
        <w:tc>
          <w:tcPr>
            <w:shd w:val="clear" w:color="auto" w:fill="auto"/>
            <w:tcW w:w="129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样品</w:t>
            </w:r>
            <w:r/>
          </w:p>
        </w:tc>
        <w:tc>
          <w:tcPr>
            <w:shd w:val="clear" w:color="auto" w:fill="auto"/>
            <w:tcW w:w="1050" w:type="dxa"/>
            <w:vAlign w:val="center"/>
            <w:textDirection w:val="lrTb"/>
            <w:noWrap w:val="false"/>
          </w:tcPr>
          <w:p>
            <w:pPr>
              <w:jc w:val="center"/>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w:t>
            </w:r>
            <w:r/>
          </w:p>
        </w:tc>
        <w:tc>
          <w:tcPr>
            <w:shd w:val="clear" w:color="auto" w:fill="auto"/>
            <w:tcW w:w="5466" w:type="dxa"/>
            <w:vAlign w:val="center"/>
            <w:textDirection w:val="lrTb"/>
            <w:noWrap w:val="false"/>
          </w:tcPr>
          <w:p>
            <w:pPr>
              <w:pStyle w:val="899"/>
              <w:ind w:left="0" w:firstLine="480"/>
              <w:tabs>
                <w:tab w:val="left" w:pos="312"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lang w:val="en-US" w:eastAsia="zh-CN"/>
              </w:rPr>
              <w:t xml:space="preserve">一、</w:t>
            </w:r>
            <w:r>
              <w:rPr>
                <w:rFonts w:hint="eastAsia" w:ascii="仿宋" w:hAnsi="仿宋" w:eastAsia="仿宋"/>
                <w:b/>
                <w:bCs/>
                <w:color w:val="auto"/>
                <w:sz w:val="24"/>
                <w:highlight w:val="none"/>
              </w:rPr>
              <w:t xml:space="preserve">40mm消防水带（</w:t>
            </w:r>
            <w:r>
              <w:rPr>
                <w:rFonts w:hint="eastAsia" w:ascii="仿宋" w:hAnsi="仿宋" w:eastAsia="仿宋"/>
                <w:b/>
                <w:bCs/>
                <w:color w:val="auto"/>
                <w:sz w:val="24"/>
                <w:highlight w:val="none"/>
                <w:lang w:val="en-US" w:eastAsia="zh-CN"/>
              </w:rPr>
              <w:t xml:space="preserve">5</w:t>
            </w:r>
            <w:r>
              <w:rPr>
                <w:rFonts w:hint="eastAsia" w:ascii="仿宋" w:hAnsi="仿宋" w:eastAsia="仿宋"/>
                <w:b/>
                <w:bCs/>
                <w:color w:val="auto"/>
                <w:sz w:val="24"/>
                <w:highlight w:val="none"/>
              </w:rPr>
              <w:t xml:space="preserve">分）</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内外层材质质量</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外层编织层纹理致密均匀、无稀疏、跳线、破损；内层橡胶衬里平整无气泡、开裂、脱层，得2分；编织不均、内层有瑕疵扣1分，出现开裂脱层</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端头接口压接工艺</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水带两端金属接头压接紧实、平整无毛刺、无松动旷量，贴合严密，得1分；压接不规整</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接口松动</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存在瑕疵</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柔韧耐用性能</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水带弯折无死折、无发白硬化，韧性良好，反复弯折无损伤，得1分；易硬化、产生死折</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规格参数标识</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清晰标注40mm规格、执行标准等信息，标识耐磨不掉色，得1分；标识缺失、模糊</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lang w:val="en-US" w:eastAsia="zh-CN"/>
              </w:rPr>
              <w:t xml:space="preserve">二、</w:t>
            </w:r>
            <w:r>
              <w:rPr>
                <w:rFonts w:hint="eastAsia" w:ascii="仿宋" w:hAnsi="仿宋" w:eastAsia="仿宋"/>
                <w:b/>
                <w:bCs/>
                <w:color w:val="auto"/>
                <w:sz w:val="24"/>
                <w:highlight w:val="none"/>
              </w:rPr>
              <w:t xml:space="preserve">消火栓转换接口（3分）</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主体材质外观</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采用消防专用铜/合金材质，一体成型，表面无沙眼、气孔、裂纹、变形、毛刺，镀层均匀防锈，得1分；存在铸造瑕疵、劣质材质</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螺纹精度与适配性</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标准通用螺纹，牙距均匀、无乱丝、滑丝，拧转顺畅，得1分；螺纹卡顿、适配松动、</w:t>
            </w:r>
            <w:r>
              <w:rPr>
                <w:rFonts w:hint="eastAsia" w:ascii="仿宋" w:hAnsi="仿宋" w:eastAsia="仿宋"/>
                <w:color w:val="auto"/>
                <w:sz w:val="24"/>
                <w:highlight w:val="none"/>
                <w:lang w:val="en-US" w:eastAsia="zh-CN"/>
              </w:rPr>
              <w:t xml:space="preserve">存在瑕疵</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密封承压结构</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内置密封胶圈完整、弹性充足、无老化破损，整体结构抗压防爆、密封防水性能达标，得1分</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密封不严</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lang w:val="en-US" w:eastAsia="zh-CN"/>
              </w:rPr>
              <w:t xml:space="preserve">三、</w:t>
            </w:r>
            <w:r>
              <w:rPr>
                <w:rFonts w:hint="eastAsia" w:ascii="仿宋" w:hAnsi="仿宋" w:eastAsia="仿宋"/>
                <w:b/>
                <w:bCs/>
                <w:color w:val="auto"/>
                <w:sz w:val="24"/>
                <w:highlight w:val="none"/>
              </w:rPr>
              <w:t xml:space="preserve">40mm消防水枪（4分）</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主体材质与外观工艺</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枪体一体成型，材质厚实坚固，无裂纹、砂眼、变形、掉漆、磕碰破损，外观完好，得1分；有破损、瑕疵</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功能切换与出水性能</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直流、喷雾</w:t>
            </w:r>
            <w:r>
              <w:rPr>
                <w:rFonts w:hint="eastAsia" w:ascii="仿宋" w:hAnsi="仿宋" w:eastAsia="仿宋"/>
                <w:color w:val="auto"/>
                <w:sz w:val="24"/>
                <w:highlight w:val="none"/>
                <w:lang w:val="en-US" w:eastAsia="zh-CN"/>
              </w:rPr>
              <w:t xml:space="preserve">挡</w:t>
            </w:r>
            <w:r>
              <w:rPr>
                <w:rFonts w:hint="eastAsia" w:ascii="仿宋" w:hAnsi="仿宋" w:eastAsia="仿宋"/>
                <w:color w:val="auto"/>
                <w:sz w:val="24"/>
                <w:highlight w:val="none"/>
              </w:rPr>
              <w:t xml:space="preserve">位切换顺畅无卡顿，得1分；切换</w:t>
            </w:r>
            <w:r>
              <w:rPr>
                <w:rFonts w:hint="eastAsia" w:ascii="仿宋" w:hAnsi="仿宋" w:eastAsia="仿宋"/>
                <w:color w:val="auto"/>
                <w:sz w:val="24"/>
                <w:highlight w:val="none"/>
                <w:lang w:val="en-US" w:eastAsia="zh-CN"/>
              </w:rPr>
              <w:t xml:space="preserve">不顺畅、卡顿，不得分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启闭密封性能</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开关启闭灵敏，密封性能良好，得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分；开关启闭</w:t>
            </w:r>
            <w:r>
              <w:rPr>
                <w:rFonts w:hint="eastAsia" w:ascii="仿宋" w:hAnsi="仿宋" w:eastAsia="仿宋"/>
                <w:color w:val="auto"/>
                <w:sz w:val="24"/>
                <w:highlight w:val="none"/>
                <w:lang w:val="en-US" w:eastAsia="zh-CN"/>
              </w:rPr>
              <w:t xml:space="preserve">卡顿</w:t>
            </w:r>
            <w:r>
              <w:rPr>
                <w:rFonts w:hint="eastAsia" w:ascii="仿宋" w:hAnsi="仿宋" w:eastAsia="仿宋"/>
                <w:color w:val="auto"/>
                <w:sz w:val="24"/>
                <w:highlight w:val="none"/>
              </w:rPr>
              <w:t xml:space="preserve">，密封性能</w:t>
            </w:r>
            <w:r>
              <w:rPr>
                <w:rFonts w:hint="eastAsia" w:ascii="仿宋" w:hAnsi="仿宋" w:eastAsia="仿宋"/>
                <w:color w:val="auto"/>
                <w:sz w:val="24"/>
                <w:highlight w:val="none"/>
                <w:lang w:val="en-US" w:eastAsia="zh-CN"/>
              </w:rPr>
              <w:t xml:space="preserve">差</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接口规格适配性</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标准40mm对接口径，与同规格水带、转换接口匹配精准，对接严密，得1分；尺寸偏差、对接</w:t>
            </w:r>
            <w:r>
              <w:rPr>
                <w:rFonts w:hint="eastAsia" w:ascii="仿宋" w:hAnsi="仿宋" w:eastAsia="仿宋"/>
                <w:color w:val="auto"/>
                <w:sz w:val="24"/>
                <w:highlight w:val="none"/>
                <w:lang w:val="en-US" w:eastAsia="zh-CN"/>
              </w:rPr>
              <w:t xml:space="preserve">不紧，</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lang w:val="en-US" w:eastAsia="zh-CN"/>
              </w:rPr>
              <w:t xml:space="preserve">四、</w:t>
            </w:r>
            <w:r>
              <w:rPr>
                <w:rFonts w:hint="eastAsia" w:ascii="仿宋" w:hAnsi="仿宋" w:eastAsia="仿宋"/>
                <w:b/>
                <w:bCs/>
                <w:color w:val="auto"/>
                <w:sz w:val="24"/>
                <w:highlight w:val="none"/>
              </w:rPr>
              <w:t xml:space="preserve">化学氧自救呼吸器（3分）</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外包装及壳体完整性</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外包装密封完好、无破损、漏气、受潮；外壳坚硬无裂纹、变形，卡扣开合顺畅，得1分；包装破损、壳体损坏</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做工存在瑕疵的，</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面罩佩戴配置</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硅胶面罩柔软无硬化开裂，密封贴合度好；头带弹性充足、可自由调节，佩戴舒适稳固，得1分；面罩、头带</w:t>
            </w:r>
            <w:r>
              <w:rPr>
                <w:rFonts w:hint="eastAsia" w:ascii="仿宋" w:hAnsi="仿宋" w:eastAsia="仿宋"/>
                <w:color w:val="auto"/>
                <w:sz w:val="24"/>
                <w:highlight w:val="none"/>
                <w:lang w:val="en-US" w:eastAsia="zh-CN"/>
              </w:rPr>
              <w:t xml:space="preserve">佩戴松动，适配性较差，</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p>
            <w:pPr>
              <w:pStyle w:val="899"/>
              <w:ind w:left="0" w:firstLine="480"/>
              <w:tabs>
                <w:tab w:val="left" w:pos="312" w:leader="none"/>
              </w:tabs>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结构功能与标识参数</w:t>
            </w:r>
            <w:r/>
          </w:p>
          <w:p>
            <w:pPr>
              <w:pStyle w:val="899"/>
              <w:ind w:left="0" w:firstLine="480"/>
              <w:tabs>
                <w:tab w:val="left" w:pos="312" w:leader="none"/>
              </w:tabs>
              <w:rPr>
                <w:rFonts w:hint="eastAsia" w:ascii="仿宋" w:hAnsi="仿宋" w:eastAsia="仿宋"/>
                <w:b/>
                <w:bCs/>
                <w:color w:val="auto"/>
                <w:sz w:val="24"/>
                <w:highlight w:val="none"/>
              </w:rPr>
            </w:pPr>
            <w:r>
              <w:rPr>
                <w:rFonts w:hint="eastAsia" w:ascii="仿宋" w:hAnsi="仿宋" w:eastAsia="仿宋"/>
                <w:color w:val="auto"/>
                <w:sz w:val="24"/>
                <w:highlight w:val="none"/>
              </w:rPr>
              <w:t xml:space="preserve">启动装置完好、无结构缺陷，药剂封装完好；产品有效期、执行标准、规格参数标识齐全清晰，得1分；结构异常、标识缺失</w:t>
            </w:r>
            <w:r>
              <w:rPr>
                <w:rFonts w:hint="eastAsia" w:ascii="仿宋" w:hAnsi="仿宋" w:eastAsia="仿宋"/>
                <w:color w:val="auto"/>
                <w:sz w:val="24"/>
                <w:highlight w:val="none"/>
                <w:lang w:eastAsia="zh-CN"/>
              </w:rPr>
              <w:t xml:space="preserve">不得分</w:t>
            </w:r>
            <w:r>
              <w:rPr>
                <w:rFonts w:hint="eastAsia" w:ascii="仿宋" w:hAnsi="仿宋" w:eastAsia="仿宋"/>
                <w:color w:val="auto"/>
                <w:sz w:val="24"/>
                <w:highlight w:val="none"/>
              </w:rPr>
              <w:t xml:space="preserve">。</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p>
        </w:tc>
        <w:tc>
          <w:tcPr>
            <w:tcW w:w="129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价格</w:t>
            </w:r>
            <w:r/>
          </w:p>
        </w:tc>
        <w:tc>
          <w:tcPr>
            <w:tcW w:w="1050"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30</w:t>
            </w:r>
            <w:r/>
          </w:p>
        </w:tc>
        <w:tc>
          <w:tcPr>
            <w:tcW w:w="5466" w:type="dxa"/>
            <w:vAlign w:val="center"/>
            <w:textDirection w:val="lrTb"/>
            <w:noWrap w:val="false"/>
          </w:tcPr>
          <w:p>
            <w:pPr>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价格分采用低价优先法计算，即满足磋商文件要求且最后报价中最低报价为评审基准价，其价格分为满分。其他响应供应商的价格分统一按照下列公式计算：</w:t>
            </w:r>
            <w:r/>
          </w:p>
          <w:p>
            <w:pPr>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最后报价得分=(评审基准价／最后报价)×价格分分值</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磋商过程中，不得去掉报价中的最高报价和最低报价。因落实政府采购政策进行价格调整的，以调整后的价格计算评审基准价和最后报价。</w:t>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gridSpan w:val="2"/>
            <w:tcW w:w="198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合计</w:t>
            </w:r>
            <w:r/>
          </w:p>
        </w:tc>
        <w:tc>
          <w:tcPr>
            <w:tcW w:w="1050"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100</w:t>
            </w:r>
            <w:r/>
          </w:p>
        </w:tc>
        <w:tc>
          <w:tcPr>
            <w:tcW w:w="5466"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06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numPr>
          <w:ilvl w:val="0"/>
          <w:numId w:val="0"/>
        </w:num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1.上述</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中所提供的相关证书等证明材料如有有效期的均须在有效期内。</w:t>
      </w:r>
      <w:r/>
    </w:p>
    <w:p>
      <w:pPr>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2.上述</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中所提供的相关合同业绩、获奖证书、获奖文件、证明及报告等必须与原件一致。</w:t>
      </w:r>
      <w:r>
        <w:rPr>
          <w:rFonts w:hint="eastAsia" w:ascii="仿宋" w:hAnsi="仿宋" w:eastAsia="仿宋"/>
          <w:color w:val="auto"/>
          <w:sz w:val="28"/>
          <w:szCs w:val="28"/>
          <w:highlight w:val="none"/>
          <w:lang w:val="en-US" w:eastAsia="zh-CN"/>
        </w:rPr>
        <w:t xml:space="preserve">采购结束后，在确认采购结果之前，采购人将对成交供应商响应文件中所提供的证明文件进行核实，如发现不一致，则另行确定成交结果。</w:t>
      </w:r>
      <w:r/>
    </w:p>
    <w:p>
      <w:pPr>
        <w:ind w:firstLine="560"/>
        <w:rPr>
          <w:rFonts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w:t>
      </w:r>
      <w:r>
        <w:rPr>
          <w:rFonts w:hint="eastAsia" w:ascii="仿宋" w:hAnsi="仿宋" w:eastAsia="仿宋"/>
          <w:color w:val="auto"/>
          <w:sz w:val="28"/>
          <w:szCs w:val="28"/>
          <w:highlight w:val="none"/>
        </w:rPr>
        <w:t xml:space="preserve">.本项目商务技术评分标准中须提供的相关得分佐证材料较多，</w:t>
      </w:r>
      <w:r>
        <w:rPr>
          <w:rFonts w:hint="eastAsia" w:ascii="仿宋" w:hAnsi="仿宋" w:eastAsia="仿宋"/>
          <w:color w:val="auto"/>
          <w:sz w:val="28"/>
          <w:szCs w:val="28"/>
          <w:highlight w:val="none"/>
          <w:lang w:eastAsia="zh-CN"/>
        </w:rPr>
        <w:t xml:space="preserve">响应供应商</w:t>
      </w:r>
      <w:r>
        <w:rPr>
          <w:rFonts w:hint="eastAsia" w:ascii="仿宋" w:hAnsi="仿宋" w:eastAsia="仿宋"/>
          <w:color w:val="auto"/>
          <w:sz w:val="28"/>
          <w:szCs w:val="28"/>
          <w:highlight w:val="none"/>
        </w:rPr>
        <w:t xml:space="preserve">需有序放置于相应</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中，并注明如评分点 1，评分点 2……，条理清晰，对重点部分着重标注标识，便于评委检索。若因错放，漏放造成的</w:t>
      </w:r>
      <w:r>
        <w:rPr>
          <w:rFonts w:hint="eastAsia" w:ascii="仿宋" w:hAnsi="仿宋" w:eastAsia="仿宋"/>
          <w:color w:val="auto"/>
          <w:sz w:val="28"/>
          <w:szCs w:val="28"/>
          <w:highlight w:val="none"/>
          <w:lang w:eastAsia="zh-CN"/>
        </w:rPr>
        <w:t xml:space="preserve">不得分</w:t>
      </w:r>
      <w:r>
        <w:rPr>
          <w:rFonts w:hint="eastAsia" w:ascii="仿宋" w:hAnsi="仿宋" w:eastAsia="仿宋"/>
          <w:color w:val="auto"/>
          <w:sz w:val="28"/>
          <w:szCs w:val="28"/>
          <w:highlight w:val="none"/>
        </w:rPr>
        <w:t xml:space="preserve">情况由</w:t>
      </w:r>
      <w:r>
        <w:rPr>
          <w:rFonts w:hint="eastAsia" w:ascii="仿宋" w:hAnsi="仿宋" w:eastAsia="仿宋"/>
          <w:color w:val="auto"/>
          <w:sz w:val="28"/>
          <w:szCs w:val="28"/>
          <w:highlight w:val="none"/>
          <w:lang w:eastAsia="zh-CN"/>
        </w:rPr>
        <w:t xml:space="preserve">响应供应商</w:t>
      </w:r>
      <w:r>
        <w:rPr>
          <w:rFonts w:hint="eastAsia" w:ascii="仿宋" w:hAnsi="仿宋" w:eastAsia="仿宋"/>
          <w:color w:val="auto"/>
          <w:sz w:val="28"/>
          <w:szCs w:val="28"/>
          <w:highlight w:val="none"/>
        </w:rPr>
        <w:t xml:space="preserve">自行承担</w:t>
      </w:r>
      <w:r>
        <w:rPr>
          <w:rFonts w:hint="eastAsia" w:ascii="仿宋" w:hAnsi="仿宋" w:eastAsia="仿宋" w:cs="Times New Roman"/>
          <w:color w:val="auto"/>
          <w:sz w:val="28"/>
          <w:szCs w:val="28"/>
          <w:highlight w:val="none"/>
          <w:lang w:val="en-US" w:eastAsia="zh-CN" w:bidi="ar-SA"/>
        </w:rPr>
        <w:t xml:space="preserve">。</w:t>
      </w:r>
      <w:r/>
    </w:p>
    <w:p>
      <w:pPr>
        <w:pStyle w:val="891"/>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81" w:name="_Toc19743"/>
      <w:r>
        <w:rPr>
          <w:rFonts w:hint="eastAsia" w:ascii="方正小标宋简体" w:eastAsia="方正小标宋简体"/>
          <w:bCs/>
          <w:color w:val="auto"/>
          <w:sz w:val="32"/>
          <w:szCs w:val="32"/>
          <w:highlight w:val="none"/>
        </w:rPr>
        <w:t xml:space="preserve">第6章 竞争性磋商响应文件组成</w:t>
      </w:r>
      <w:bookmarkEnd w:id="81"/>
      <w:r/>
      <w:r/>
    </w:p>
    <w:p>
      <w:pPr>
        <w:pStyle w:val="89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rPr>
          <w:rFonts w:ascii="方正小标宋简体" w:hAnsi="仿宋" w:eastAsia="方正小标宋简体"/>
          <w:color w:val="auto"/>
          <w:sz w:val="44"/>
          <w:szCs w:val="44"/>
          <w:highlight w:val="none"/>
        </w:rPr>
        <w:outlineLvl w:val="9"/>
      </w:pPr>
      <w:r>
        <w:rPr>
          <w:rFonts w:hint="eastAsia" w:ascii="方正小标宋简体" w:hAnsi="仿宋" w:eastAsia="方正小标宋简体"/>
          <w:color w:val="auto"/>
          <w:sz w:val="44"/>
          <w:szCs w:val="44"/>
          <w:highlight w:val="none"/>
        </w:rPr>
        <w:t xml:space="preserve">如皋市政府采购竞争性磋商响应文件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hint="eastAsia" w:ascii="宋体" w:hAnsi="宋体"/>
          <w:b/>
          <w:color w:val="auto"/>
          <w:sz w:val="32"/>
          <w:szCs w:val="32"/>
          <w:highlight w:val="none"/>
          <w:lang w:val="en-US"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高层住宅小区消防快速处置队装备采购</w:t>
      </w:r>
      <w:r/>
    </w:p>
    <w:p>
      <w:pPr>
        <w:ind w:firstLine="2072"/>
        <w:rPr>
          <w:rFonts w:hint="default"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 xml:space="preserve">项目编号：</w:t>
      </w:r>
      <w:r>
        <w:rPr>
          <w:rFonts w:hint="eastAsia"/>
          <w:b/>
          <w:bCs/>
          <w:color w:val="auto"/>
          <w:sz w:val="32"/>
          <w:highlight w:val="none"/>
          <w:lang w:val="en-US" w:eastAsia="zh-CN"/>
        </w:rPr>
        <w:t xml:space="preserve">JSZC-320682-NTZJ-C2026-0012</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both"/>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873"/>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873"/>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日</w:t>
      </w:r>
      <w:r/>
    </w:p>
    <w:p>
      <w:pPr>
        <w:ind w:firstLine="954"/>
        <w:rPr>
          <w:rFonts w:ascii="宋体" w:hAnsi="宋体"/>
          <w:b/>
          <w:color w:val="auto"/>
          <w:sz w:val="24"/>
          <w:highlight w:val="none"/>
        </w:rPr>
      </w:pPr>
      <w:r>
        <w:rPr>
          <w:rFonts w:ascii="宋体" w:hAnsi="宋体"/>
          <w:b/>
          <w:color w:val="auto"/>
          <w:sz w:val="24"/>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firstLine="560"/>
        <w:rPr>
          <w:rFonts w:ascii="仿宋" w:hAnsi="仿宋" w:eastAsia="仿宋"/>
          <w:color w:val="auto"/>
          <w:sz w:val="28"/>
          <w:szCs w:val="28"/>
          <w:highlight w:val="none"/>
        </w:rPr>
        <w:outlineLvl w:val="1"/>
      </w:pPr>
      <w:r/>
      <w:bookmarkStart w:id="82" w:name="_Toc17587"/>
      <w:r>
        <w:rPr>
          <w:rFonts w:hint="eastAsia" w:ascii="黑体" w:hAnsi="黑体" w:eastAsia="黑体"/>
          <w:color w:val="auto"/>
          <w:sz w:val="28"/>
          <w:szCs w:val="28"/>
          <w:highlight w:val="none"/>
        </w:rPr>
        <w:t xml:space="preserve">一、资格证明文件</w:t>
      </w:r>
      <w:bookmarkEnd w:id="82"/>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outlineLvl w:val="9"/>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outlineLvl w:val="9"/>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outlineLvl w:val="9"/>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outlineLvl w:val="9"/>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outlineLvl w:val="9"/>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                           日期：______年 月日</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numPr>
          <w:ilvl w:val="0"/>
          <w:numId w:val="5"/>
        </w:num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项目实施所必须的许可资质证明材料</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如有</w:t>
      </w:r>
      <w:r>
        <w:rPr>
          <w:rFonts w:hint="eastAsia" w:ascii="仿宋" w:hAnsi="仿宋" w:eastAsia="仿宋"/>
          <w:color w:val="auto"/>
          <w:sz w:val="28"/>
          <w:szCs w:val="28"/>
          <w:highlight w:val="none"/>
          <w:lang w:eastAsia="zh-CN"/>
        </w:rPr>
        <w:t xml:space="preserve">）</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）法定代表人身份证明及身份证复印件</w:t>
      </w:r>
      <w:r/>
    </w:p>
    <w:p>
      <w:pPr>
        <w:ind w:firstLine="562"/>
        <w:jc w:val="center"/>
        <w:spacing w:before="50" w:after="156"/>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性别： </w:t>
      </w:r>
      <w:r/>
    </w:p>
    <w:p>
      <w:pPr>
        <w:ind w:firstLine="560"/>
        <w:jc w:val="left"/>
        <w:spacing w:before="50" w:after="156"/>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年龄：</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val="en-US" w:eastAsia="zh-CN"/>
        </w:rPr>
        <w:t xml:space="preserve">  联系电话：</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righ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jc w:val="right"/>
        <w:widowControl/>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日期：年 月日</w:t>
      </w: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。（法定代表人参加磋商采购活动的，无需提供）</w:t>
      </w:r>
      <w:r/>
    </w:p>
    <w:p>
      <w:pPr>
        <w:jc w:val="center"/>
        <w:rPr>
          <w:rFonts w:ascii="方正小标宋简体" w:eastAsia="方正小标宋简体"/>
          <w:i/>
          <w:color w:val="auto"/>
          <w:sz w:val="36"/>
          <w:szCs w:val="36"/>
          <w:highlight w:val="none"/>
        </w:rPr>
        <w:outlineLvl w:val="9"/>
      </w:pPr>
      <w:r>
        <w:rPr>
          <w:rFonts w:hint="eastAsia" w:ascii="方正小标宋简体" w:eastAsia="方正小标宋简体"/>
          <w:color w:val="auto"/>
          <w:sz w:val="36"/>
          <w:szCs w:val="36"/>
          <w:highlight w:val="none"/>
        </w:rPr>
        <w:t xml:space="preserve">法定代表人授权委托书</w:t>
      </w:r>
      <w:r/>
    </w:p>
    <w:p>
      <w:pPr>
        <w:pStyle w:val="897"/>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本授权书声明：_______________（供应商名称）授权________________（代理人的姓名）为我方就项目名称：</w:t>
      </w:r>
      <w:r>
        <w:rPr>
          <w:rFonts w:hint="eastAsia" w:ascii="仿宋" w:hAnsi="仿宋" w:eastAsia="仿宋"/>
          <w:color w:val="auto"/>
          <w:sz w:val="28"/>
          <w:szCs w:val="28"/>
          <w:highlight w:val="none"/>
          <w:u w:val="single"/>
          <w:lang w:val="en-US" w:eastAsia="zh-CN"/>
        </w:rPr>
        <w:t xml:space="preserve">高层住宅小区消防快速处置队装备采购</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JSZC-320682-NTZJ-C2026-0012</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97"/>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本授权书于______年____月____日起生效，特此声明。</w:t>
      </w:r>
      <w:r/>
    </w:p>
    <w:p>
      <w:pPr>
        <w:pStyle w:val="897"/>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897"/>
        <w:ind w:firstLine="480"/>
        <w:spacing w:line="500" w:lineRule="exact"/>
        <w:rPr>
          <w:rFonts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法定代表人（签字）： </w:t>
      </w:r>
      <w:r/>
    </w:p>
    <w:p>
      <w:pPr>
        <w:pStyle w:val="897"/>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w:t>
      </w:r>
      <w:r/>
    </w:p>
    <w:p>
      <w:pPr>
        <w:pStyle w:val="897"/>
        <w:ind w:firstLine="232"/>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联系电话（手机）：</w:t>
      </w:r>
      <w:r/>
    </w:p>
    <w:p>
      <w:pPr>
        <w:pStyle w:val="897"/>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897"/>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代理人姓名：</w:t>
      </w:r>
      <w:r/>
    </w:p>
    <w:p>
      <w:pPr>
        <w:pStyle w:val="897"/>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                         </w:t>
      </w:r>
      <w:r/>
    </w:p>
    <w:p>
      <w:pPr>
        <w:pStyle w:val="897"/>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联系电话（手机）：                    </w:t>
      </w:r>
      <w:r/>
    </w:p>
    <w:p>
      <w:pPr>
        <w:pStyle w:val="897"/>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897"/>
        <w:ind w:firstLine="12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供应商名称（加盖公章）：</w:t>
      </w:r>
      <w:r/>
    </w:p>
    <w:p>
      <w:pPr>
        <w:pStyle w:val="897"/>
        <w:ind w:firstLine="602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年   月   日</w:t>
      </w:r>
      <w:r/>
    </w:p>
    <w:p>
      <w:pPr>
        <w:pStyle w:val="897"/>
        <w:ind w:firstLine="480"/>
        <w:spacing w:line="500" w:lineRule="exact"/>
        <w:rPr>
          <w:rFonts w:ascii="仿宋" w:hAnsi="仿宋" w:eastAsia="仿宋"/>
          <w:color w:val="auto"/>
          <w:sz w:val="28"/>
          <w:szCs w:val="28"/>
          <w:highlight w:val="none"/>
        </w:rPr>
        <w:outlineLvl w:val="9"/>
      </w:pPr>
      <w:r/>
      <w:bookmarkStart w:id="83" w:name="_Hlt26955070"/>
      <w:r/>
      <w:bookmarkEnd w:id="83"/>
      <w:r/>
      <w:bookmarkStart w:id="84" w:name="_格式3__银行出具的资信证明"/>
      <w:r/>
      <w:bookmarkEnd w:id="84"/>
      <w:r/>
      <w:bookmarkStart w:id="85" w:name="_Hlt26671380"/>
      <w:r/>
      <w:bookmarkEnd w:id="85"/>
      <w:r/>
      <w:r/>
    </w:p>
    <w:p>
      <w:pPr>
        <w:pStyle w:val="869"/>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法定代表人身份证复印件</w:t>
      </w:r>
      <w:r/>
    </w:p>
    <w:p>
      <w:pPr>
        <w:pStyle w:val="869"/>
        <w:ind w:firstLine="140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869"/>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869"/>
        <w:ind w:firstLine="49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代理人身份证复印件</w:t>
      </w:r>
      <w:r/>
    </w:p>
    <w:p>
      <w:pPr>
        <w:pStyle w:val="869"/>
        <w:rPr>
          <w:rFonts w:ascii="宋体" w:hAnsi="宋体"/>
          <w:color w:val="auto"/>
          <w:sz w:val="24"/>
          <w:highlight w:val="none"/>
        </w:rPr>
        <w:outlineLvl w:val="9"/>
      </w:pPr>
      <w:r>
        <w:rPr>
          <w:rFonts w:ascii="宋体" w:hAnsi="宋体"/>
          <w:color w:val="auto"/>
          <w:sz w:val="24"/>
          <w:highlight w:val="none"/>
        </w:rPr>
      </w:r>
      <w:r/>
    </w:p>
    <w:p>
      <w:pPr>
        <w:ind w:firstLine="480"/>
        <w:jc w:val="left"/>
        <w:spacing w:before="50"/>
        <w:rPr>
          <w:rFonts w:ascii="仿宋" w:hAnsi="仿宋" w:eastAsia="仿宋"/>
          <w:color w:val="auto"/>
          <w:sz w:val="24"/>
          <w:highlight w:val="none"/>
        </w:rPr>
        <w:outlineLvl w:val="9"/>
      </w:pPr>
      <w:r>
        <w:rPr>
          <w:rFonts w:ascii="仿宋" w:hAnsi="仿宋" w:eastAsia="仿宋"/>
          <w:color w:val="auto"/>
          <w:sz w:val="24"/>
          <w:highlight w:val="none"/>
        </w:rPr>
      </w:r>
      <w:r/>
    </w:p>
    <w:p>
      <w:pPr>
        <w:ind w:firstLine="480"/>
        <w:jc w:val="left"/>
        <w:spacing w:before="50"/>
        <w:rPr>
          <w:rFonts w:ascii="仿宋" w:hAnsi="仿宋" w:eastAsia="仿宋" w:cs="Arial"/>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磋商响应函</w:t>
      </w:r>
      <w:r/>
    </w:p>
    <w:p>
      <w:pPr>
        <w:jc w:val="center"/>
        <w:spacing w:before="50"/>
        <w:rPr>
          <w:rFonts w:ascii="方正小标宋简体" w:eastAsia="方正小标宋简体"/>
          <w:color w:val="auto"/>
          <w:sz w:val="36"/>
          <w:szCs w:val="36"/>
          <w:highlight w:val="none"/>
        </w:rPr>
        <w:outlineLvl w:val="9"/>
      </w:pPr>
      <w:r>
        <w:rPr>
          <w:rFonts w:hint="eastAsia" w:ascii="方正小标宋简体" w:eastAsia="方正小标宋简体"/>
          <w:color w:val="auto"/>
          <w:sz w:val="36"/>
          <w:szCs w:val="36"/>
          <w:highlight w:val="none"/>
        </w:rPr>
        <w:t xml:space="preserve">竞争性磋商响应函</w:t>
      </w:r>
      <w:r/>
    </w:p>
    <w:p>
      <w:pPr>
        <w:pStyle w:val="897"/>
        <w:spacing w:line="500" w:lineRule="exact"/>
        <w:rPr>
          <w:rFonts w:hint="default"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rPr>
        <w:t xml:space="preserve">致：</w:t>
      </w:r>
      <w:r>
        <w:rPr>
          <w:rFonts w:hint="eastAsia" w:ascii="仿宋" w:hAnsi="仿宋" w:eastAsia="仿宋"/>
          <w:i w:val="0"/>
          <w:iCs w:val="0"/>
          <w:color w:val="auto"/>
          <w:sz w:val="28"/>
          <w:szCs w:val="28"/>
          <w:highlight w:val="none"/>
          <w:u w:val="single"/>
          <w:lang w:val="en-US" w:eastAsia="zh-CN"/>
        </w:rPr>
        <w:t xml:space="preserve">如皋市应急管理局</w:t>
      </w:r>
      <w:r/>
    </w:p>
    <w:p>
      <w:pPr>
        <w:pStyle w:val="897"/>
        <w:ind w:firstLine="560"/>
        <w:spacing w:line="500" w:lineRule="exact"/>
        <w:rPr>
          <w:rFonts w:ascii="仿宋" w:hAnsi="仿宋" w:eastAsia="仿宋"/>
          <w:color w:val="auto"/>
          <w:sz w:val="28"/>
          <w:szCs w:val="28"/>
          <w:highlight w:val="none"/>
        </w:rPr>
        <w:outlineLvl w:val="9"/>
      </w:pPr>
      <w:r>
        <w:rPr>
          <w:rFonts w:hint="eastAsia" w:ascii="仿宋" w:hAnsi="仿宋" w:eastAsia="仿宋"/>
          <w:i w:val="0"/>
          <w:iCs w:val="0"/>
          <w:color w:val="auto"/>
          <w:sz w:val="28"/>
          <w:szCs w:val="28"/>
          <w:highlight w:val="none"/>
        </w:rPr>
        <w:t xml:space="preserve">根据贵方的</w:t>
      </w:r>
      <w:r>
        <w:rPr>
          <w:rFonts w:hint="eastAsia" w:ascii="仿宋" w:hAnsi="仿宋" w:eastAsia="仿宋"/>
          <w:i w:val="0"/>
          <w:iCs w:val="0"/>
          <w:color w:val="auto"/>
          <w:sz w:val="28"/>
          <w:szCs w:val="28"/>
          <w:highlight w:val="none"/>
          <w:u w:val="single"/>
          <w:lang w:val="en-US" w:eastAsia="zh-CN"/>
        </w:rPr>
        <w:t xml:space="preserve">高层住宅小区消防快速处置队装备采购</w:t>
      </w:r>
      <w:r>
        <w:rPr>
          <w:rFonts w:hint="eastAsia" w:ascii="仿宋" w:hAnsi="仿宋" w:eastAsia="仿宋"/>
          <w:i w:val="0"/>
          <w:iCs w:val="0"/>
          <w:color w:val="auto"/>
          <w:sz w:val="28"/>
          <w:szCs w:val="28"/>
          <w:highlight w:val="none"/>
        </w:rPr>
        <w:t xml:space="preserve">（项目编号：</w:t>
      </w:r>
      <w:r>
        <w:rPr>
          <w:rFonts w:hint="eastAsia" w:ascii="仿宋" w:hAnsi="仿宋" w:eastAsia="仿宋"/>
          <w:i w:val="0"/>
          <w:iCs w:val="0"/>
          <w:color w:val="auto"/>
          <w:sz w:val="28"/>
          <w:szCs w:val="28"/>
          <w:highlight w:val="none"/>
          <w:u w:val="single"/>
          <w:lang w:val="en-US" w:eastAsia="zh-CN"/>
        </w:rPr>
        <w:t xml:space="preserve">JSZC-320682-NTZJ-C2026-0012</w:t>
      </w:r>
      <w:r>
        <w:rPr>
          <w:rFonts w:hint="eastAsia" w:ascii="仿宋" w:hAnsi="仿宋" w:eastAsia="仿宋"/>
          <w:i w:val="0"/>
          <w:iCs w:val="0"/>
          <w:color w:val="auto"/>
          <w:sz w:val="28"/>
          <w:szCs w:val="28"/>
          <w:highlight w:val="none"/>
        </w:rPr>
        <w:t xml:space="preserve">）竞争性磋商文件，正式授权下述签字人_________ (姓名和职务)代表我方_____</w:t>
      </w:r>
      <w:r>
        <w:rPr>
          <w:rFonts w:hint="eastAsia" w:ascii="仿宋" w:hAnsi="仿宋" w:eastAsia="仿宋"/>
          <w:color w:val="auto"/>
          <w:sz w:val="28"/>
          <w:szCs w:val="28"/>
          <w:highlight w:val="none"/>
        </w:rPr>
        <w:t xml:space="preserve">_________（供应商的名称），全权处理本次项目磋商采购的有关事宜。</w:t>
      </w:r>
      <w:r/>
    </w:p>
    <w:p>
      <w:pPr>
        <w:pStyle w:val="897"/>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据此函，__________（签字人）兹宣布同意如下：</w:t>
      </w:r>
      <w:r/>
    </w:p>
    <w:p>
      <w:pPr>
        <w:pStyle w:val="897"/>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1.按磋商文件规定的各项要求，向买方提供所需货物、服务。</w:t>
      </w:r>
      <w:r/>
    </w:p>
    <w:p>
      <w:pPr>
        <w:pStyle w:val="897"/>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897"/>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897"/>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897"/>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897"/>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897"/>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7.遵守竞争性磋商文件中要求的收费项目和标准。</w:t>
      </w:r>
      <w:r/>
    </w:p>
    <w:p>
      <w:pPr>
        <w:pStyle w:val="897"/>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8.与本次竞争性磋商活动有关的正式通讯地址为：</w:t>
      </w:r>
      <w:r/>
    </w:p>
    <w:p>
      <w:pPr>
        <w:pStyle w:val="897"/>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 址：                         邮 编：</w:t>
      </w:r>
      <w:r/>
    </w:p>
    <w:p>
      <w:pPr>
        <w:pStyle w:val="897"/>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电 话：                         传 真：</w:t>
      </w:r>
      <w:r/>
    </w:p>
    <w:p>
      <w:pPr>
        <w:pStyle w:val="897"/>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供应商开户行：                  账 户： </w:t>
      </w:r>
      <w:r/>
    </w:p>
    <w:p>
      <w:pPr>
        <w:pStyle w:val="897"/>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供应商名称（公章）：            </w:t>
      </w:r>
      <w:r/>
    </w:p>
    <w:p>
      <w:pPr>
        <w:pStyle w:val="897"/>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日 期：________年____月____日</w:t>
      </w:r>
      <w:r/>
    </w:p>
    <w:p>
      <w:pPr>
        <w:numPr>
          <w:ilvl w:val="0"/>
          <w:numId w:val="6"/>
        </w:numPr>
        <w:jc w:val="left"/>
        <w:rPr>
          <w:rFonts w:hint="eastAsia"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中小企业声明函</w:t>
      </w:r>
      <w:r/>
    </w:p>
    <w:p>
      <w:pPr>
        <w:jc w:val="center"/>
        <w:rPr>
          <w:rFonts w:ascii="方正小标宋简体" w:hAnsi="Calibri" w:eastAsia="方正小标宋简体"/>
          <w:color w:val="auto"/>
          <w:sz w:val="40"/>
          <w:szCs w:val="40"/>
          <w:highlight w:val="none"/>
        </w:rPr>
      </w:pPr>
      <w:r>
        <w:rPr>
          <w:rFonts w:hint="eastAsia" w:ascii="方正小标宋简体" w:hAnsi="Calibri" w:eastAsia="方正小标宋简体"/>
          <w:color w:val="auto"/>
          <w:sz w:val="40"/>
          <w:szCs w:val="40"/>
          <w:highlight w:val="none"/>
        </w:rPr>
        <w:t xml:space="preserve">中小企业声明函（货物）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color w:val="auto"/>
          <w:sz w:val="28"/>
          <w:szCs w:val="28"/>
          <w:highlight w:val="none"/>
          <w:u w:val="single"/>
          <w:lang w:val="en-US" w:eastAsia="zh-CN"/>
        </w:rPr>
        <w:t xml:space="preserve">如皋市应急管理局</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lang w:val="en-US" w:eastAsia="zh-CN"/>
        </w:rPr>
        <w:t xml:space="preserve">高层住宅小区消防快速处置队装备采购</w:t>
      </w:r>
      <w:r>
        <w:rPr>
          <w:rFonts w:hint="eastAsia" w:ascii="仿宋" w:hAnsi="仿宋" w:eastAsia="仿宋"/>
          <w:color w:val="auto"/>
          <w:sz w:val="28"/>
          <w:szCs w:val="28"/>
          <w:highlight w:val="none"/>
        </w:rPr>
        <w:t xml:space="preserve">活动，提供的货物全部由符合政策要求的中小企业制造。相关企业（含联合体中的中小企业、签订分包意向协议的中小企业）的具体情况如下：</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采购包一：</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灭火防护服</w:t>
      </w:r>
      <w:r>
        <w:rPr>
          <w:rFonts w:hint="eastAsia" w:ascii="仿宋" w:hAnsi="仿宋" w:eastAsia="仿宋"/>
          <w:i/>
          <w:color w:val="auto"/>
          <w:sz w:val="28"/>
          <w:szCs w:val="28"/>
          <w:highlight w:val="none"/>
          <w:u w:val="single"/>
        </w:rPr>
        <w:t xml:space="preserve">）</w:t>
      </w:r>
      <w:r>
        <w:rPr>
          <w:rFonts w:hint="eastAsia" w:ascii="仿宋" w:hAnsi="仿宋" w:eastAsia="仿宋"/>
          <w:color w:val="auto"/>
          <w:sz w:val="28"/>
          <w:szCs w:val="28"/>
          <w:highlight w:val="none"/>
        </w:rPr>
        <w:t xml:space="preserve">，属于</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工业</w:t>
      </w:r>
      <w:r>
        <w:rPr>
          <w:rFonts w:hint="eastAsia" w:ascii="仿宋" w:hAnsi="仿宋" w:eastAsia="仿宋"/>
          <w:i/>
          <w:color w:val="auto"/>
          <w:sz w:val="28"/>
          <w:szCs w:val="28"/>
          <w:highlight w:val="none"/>
          <w:u w:val="single"/>
        </w:rPr>
        <w:t xml:space="preserve">）行业</w:t>
      </w:r>
      <w:r>
        <w:rPr>
          <w:rFonts w:hint="eastAsia" w:ascii="仿宋" w:hAnsi="仿宋" w:eastAsia="仿宋"/>
          <w:color w:val="auto"/>
          <w:sz w:val="28"/>
          <w:szCs w:val="28"/>
          <w:highlight w:val="none"/>
        </w:rPr>
        <w:t xml:space="preserve"> ；制造商为 </w:t>
      </w:r>
      <w:r>
        <w:rPr>
          <w:rFonts w:hint="eastAsia" w:ascii="仿宋" w:hAnsi="仿宋" w:eastAsia="仿宋"/>
          <w:i/>
          <w:color w:val="auto"/>
          <w:sz w:val="28"/>
          <w:szCs w:val="28"/>
          <w:highlight w:val="none"/>
          <w:u w:val="single"/>
        </w:rPr>
        <w:t xml:space="preserve">（企业名称）</w:t>
      </w:r>
      <w:r>
        <w:rPr>
          <w:rFonts w:hint="eastAsia" w:ascii="仿宋" w:hAnsi="仿宋" w:eastAsia="仿宋"/>
          <w:color w:val="auto"/>
          <w:sz w:val="28"/>
          <w:szCs w:val="28"/>
          <w:highlight w:val="none"/>
        </w:rPr>
        <w:t xml:space="preserve"> ，从业人员人，营业收入为万元，资产总额为万元</w:t>
      </w:r>
      <w:r>
        <w:rPr>
          <w:rFonts w:hint="eastAsia" w:ascii="仿宋" w:hAnsi="仿宋" w:eastAsia="仿宋"/>
          <w:color w:val="auto"/>
          <w:sz w:val="28"/>
          <w:szCs w:val="28"/>
          <w:highlight w:val="none"/>
          <w:vertAlign w:val="superscript"/>
        </w:rPr>
        <w:t xml:space="preserve">1</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 （中型企业、小型企业、微型企业） </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小型灭火携行包 </w:t>
      </w:r>
      <w:r>
        <w:rPr>
          <w:rFonts w:hint="eastAsia" w:ascii="仿宋" w:hAnsi="仿宋" w:eastAsia="仿宋"/>
          <w:i/>
          <w:color w:val="auto"/>
          <w:sz w:val="28"/>
          <w:szCs w:val="28"/>
          <w:highlight w:val="none"/>
          <w:u w:val="single"/>
        </w:rPr>
        <w:t xml:space="preserve">）</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工业</w:t>
      </w:r>
      <w:r>
        <w:rPr>
          <w:rFonts w:hint="eastAsia" w:ascii="仿宋" w:hAnsi="仿宋" w:eastAsia="仿宋"/>
          <w:i/>
          <w:color w:val="auto"/>
          <w:sz w:val="28"/>
          <w:szCs w:val="28"/>
          <w:highlight w:val="none"/>
          <w:u w:val="single"/>
        </w:rPr>
        <w:t xml:space="preserve">）行业</w:t>
      </w:r>
      <w:r>
        <w:rPr>
          <w:rFonts w:hint="eastAsia" w:ascii="仿宋" w:hAnsi="仿宋" w:eastAsia="仿宋"/>
          <w:color w:val="auto"/>
          <w:sz w:val="28"/>
          <w:szCs w:val="28"/>
          <w:highlight w:val="none"/>
        </w:rPr>
        <w:t xml:space="preserve"> ；制造商为</w:t>
      </w:r>
      <w:r>
        <w:rPr>
          <w:rFonts w:hint="eastAsia" w:ascii="仿宋" w:hAnsi="仿宋" w:eastAsia="仿宋"/>
          <w:i/>
          <w:color w:val="auto"/>
          <w:sz w:val="28"/>
          <w:szCs w:val="28"/>
          <w:highlight w:val="none"/>
          <w:u w:val="single"/>
        </w:rPr>
        <w:t xml:space="preserve"> （企业名称） </w:t>
      </w:r>
      <w:r>
        <w:rPr>
          <w:rFonts w:hint="eastAsia" w:ascii="仿宋" w:hAnsi="仿宋" w:eastAsia="仿宋"/>
          <w:color w:val="auto"/>
          <w:sz w:val="28"/>
          <w:szCs w:val="28"/>
          <w:highlight w:val="none"/>
        </w:rPr>
        <w:t xml:space="preserve">，从业人员人，营业收入为万元，资产总额为万元，属于</w:t>
      </w:r>
      <w:r>
        <w:rPr>
          <w:rFonts w:hint="eastAsia" w:ascii="仿宋" w:hAnsi="仿宋" w:eastAsia="仿宋"/>
          <w:i/>
          <w:color w:val="auto"/>
          <w:sz w:val="28"/>
          <w:szCs w:val="28"/>
          <w:highlight w:val="none"/>
          <w:u w:val="single"/>
        </w:rPr>
        <w:t xml:space="preserve"> （中型企业、小型企业、微型企业）</w:t>
      </w:r>
      <w:r>
        <w:rPr>
          <w:rFonts w:hint="eastAsia" w:ascii="仿宋" w:hAnsi="仿宋" w:eastAsia="仿宋"/>
          <w:color w:val="auto"/>
          <w:sz w:val="28"/>
          <w:szCs w:val="28"/>
          <w:highlight w:val="none"/>
        </w:rPr>
        <w:t xml:space="preserve"> ；</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采购包二：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新能源灭火装置</w:t>
      </w:r>
      <w:r>
        <w:rPr>
          <w:rFonts w:hint="eastAsia" w:ascii="仿宋" w:hAnsi="仿宋" w:eastAsia="仿宋"/>
          <w:i/>
          <w:color w:val="auto"/>
          <w:sz w:val="28"/>
          <w:szCs w:val="28"/>
          <w:highlight w:val="none"/>
          <w:u w:val="single"/>
        </w:rPr>
        <w:t xml:space="preserve">）</w:t>
      </w:r>
      <w:r>
        <w:rPr>
          <w:rFonts w:hint="eastAsia" w:ascii="仿宋" w:hAnsi="仿宋" w:eastAsia="仿宋"/>
          <w:color w:val="auto"/>
          <w:sz w:val="28"/>
          <w:szCs w:val="28"/>
          <w:highlight w:val="none"/>
        </w:rPr>
        <w:t xml:space="preserve">，属于</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工业</w:t>
      </w:r>
      <w:r>
        <w:rPr>
          <w:rFonts w:hint="eastAsia" w:ascii="仿宋" w:hAnsi="仿宋" w:eastAsia="仿宋"/>
          <w:i/>
          <w:color w:val="auto"/>
          <w:sz w:val="28"/>
          <w:szCs w:val="28"/>
          <w:highlight w:val="none"/>
          <w:u w:val="single"/>
        </w:rPr>
        <w:t xml:space="preserve">）行业</w:t>
      </w:r>
      <w:r>
        <w:rPr>
          <w:rFonts w:hint="eastAsia" w:ascii="仿宋" w:hAnsi="仿宋" w:eastAsia="仿宋"/>
          <w:color w:val="auto"/>
          <w:sz w:val="28"/>
          <w:szCs w:val="28"/>
          <w:highlight w:val="none"/>
        </w:rPr>
        <w:t xml:space="preserve"> ；制造商为 </w:t>
      </w:r>
      <w:r>
        <w:rPr>
          <w:rFonts w:hint="eastAsia" w:ascii="仿宋" w:hAnsi="仿宋" w:eastAsia="仿宋"/>
          <w:i/>
          <w:color w:val="auto"/>
          <w:sz w:val="28"/>
          <w:szCs w:val="28"/>
          <w:highlight w:val="none"/>
          <w:u w:val="single"/>
        </w:rPr>
        <w:t xml:space="preserve">（企业名称）</w:t>
      </w:r>
      <w:r>
        <w:rPr>
          <w:rFonts w:hint="eastAsia" w:ascii="仿宋" w:hAnsi="仿宋" w:eastAsia="仿宋"/>
          <w:color w:val="auto"/>
          <w:sz w:val="28"/>
          <w:szCs w:val="28"/>
          <w:highlight w:val="none"/>
        </w:rPr>
        <w:t xml:space="preserve"> ，从业人员人，营业收入为万元，资产总额为万元</w:t>
      </w:r>
      <w:r>
        <w:rPr>
          <w:rFonts w:hint="eastAsia" w:ascii="仿宋" w:hAnsi="仿宋" w:eastAsia="仿宋"/>
          <w:color w:val="auto"/>
          <w:sz w:val="28"/>
          <w:szCs w:val="28"/>
          <w:highlight w:val="none"/>
          <w:vertAlign w:val="superscript"/>
        </w:rPr>
        <w:t xml:space="preserve">1</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 （中型企业、小型企业、微型企业） </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灭火毯（电动汽车用）</w:t>
      </w:r>
      <w:r>
        <w:rPr>
          <w:rFonts w:hint="eastAsia" w:ascii="仿宋" w:hAnsi="仿宋" w:eastAsia="仿宋"/>
          <w:i/>
          <w:color w:val="auto"/>
          <w:sz w:val="28"/>
          <w:szCs w:val="28"/>
          <w:highlight w:val="none"/>
          <w:u w:val="single"/>
        </w:rPr>
        <w:t xml:space="preserve">）</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工业</w:t>
      </w:r>
      <w:r>
        <w:rPr>
          <w:rFonts w:hint="eastAsia" w:ascii="仿宋" w:hAnsi="仿宋" w:eastAsia="仿宋"/>
          <w:i/>
          <w:color w:val="auto"/>
          <w:sz w:val="28"/>
          <w:szCs w:val="28"/>
          <w:highlight w:val="none"/>
          <w:u w:val="single"/>
        </w:rPr>
        <w:t xml:space="preserve">）行业</w:t>
      </w:r>
      <w:r>
        <w:rPr>
          <w:rFonts w:hint="eastAsia" w:ascii="仿宋" w:hAnsi="仿宋" w:eastAsia="仿宋"/>
          <w:color w:val="auto"/>
          <w:sz w:val="28"/>
          <w:szCs w:val="28"/>
          <w:highlight w:val="none"/>
        </w:rPr>
        <w:t xml:space="preserve"> ；制造商为</w:t>
      </w:r>
      <w:r>
        <w:rPr>
          <w:rFonts w:hint="eastAsia" w:ascii="仿宋" w:hAnsi="仿宋" w:eastAsia="仿宋"/>
          <w:i/>
          <w:color w:val="auto"/>
          <w:sz w:val="28"/>
          <w:szCs w:val="28"/>
          <w:highlight w:val="none"/>
          <w:u w:val="single"/>
        </w:rPr>
        <w:t xml:space="preserve"> （企业名称） </w:t>
      </w:r>
      <w:r>
        <w:rPr>
          <w:rFonts w:hint="eastAsia" w:ascii="仿宋" w:hAnsi="仿宋" w:eastAsia="仿宋"/>
          <w:color w:val="auto"/>
          <w:sz w:val="28"/>
          <w:szCs w:val="28"/>
          <w:highlight w:val="none"/>
        </w:rPr>
        <w:t xml:space="preserve">，从业人员人，营业收入为万元，资产总额为万元，属于</w:t>
      </w:r>
      <w:r>
        <w:rPr>
          <w:rFonts w:hint="eastAsia" w:ascii="仿宋" w:hAnsi="仿宋" w:eastAsia="仿宋"/>
          <w:i/>
          <w:color w:val="auto"/>
          <w:sz w:val="28"/>
          <w:szCs w:val="28"/>
          <w:highlight w:val="none"/>
          <w:u w:val="single"/>
        </w:rPr>
        <w:t xml:space="preserve"> （中型企业、小型企业、微型企业）</w:t>
      </w:r>
      <w:r>
        <w:rPr>
          <w:rFonts w:hint="eastAsia" w:ascii="仿宋" w:hAnsi="仿宋" w:eastAsia="仿宋"/>
          <w:color w:val="auto"/>
          <w:sz w:val="28"/>
          <w:szCs w:val="28"/>
          <w:highlight w:val="none"/>
        </w:rPr>
        <w:t xml:space="preserve">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灭火毯（电动自行车用）</w:t>
      </w:r>
      <w:r>
        <w:rPr>
          <w:rFonts w:hint="eastAsia" w:ascii="仿宋" w:hAnsi="仿宋" w:eastAsia="仿宋"/>
          <w:i/>
          <w:color w:val="auto"/>
          <w:sz w:val="28"/>
          <w:szCs w:val="28"/>
          <w:highlight w:val="none"/>
          <w:u w:val="single"/>
        </w:rPr>
        <w:t xml:space="preserve">）</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工业</w:t>
      </w:r>
      <w:r>
        <w:rPr>
          <w:rFonts w:hint="eastAsia" w:ascii="仿宋" w:hAnsi="仿宋" w:eastAsia="仿宋"/>
          <w:i/>
          <w:color w:val="auto"/>
          <w:sz w:val="28"/>
          <w:szCs w:val="28"/>
          <w:highlight w:val="none"/>
          <w:u w:val="single"/>
        </w:rPr>
        <w:t xml:space="preserve">）行业</w:t>
      </w:r>
      <w:r>
        <w:rPr>
          <w:rFonts w:hint="eastAsia" w:ascii="仿宋" w:hAnsi="仿宋" w:eastAsia="仿宋"/>
          <w:color w:val="auto"/>
          <w:sz w:val="28"/>
          <w:szCs w:val="28"/>
          <w:highlight w:val="none"/>
        </w:rPr>
        <w:t xml:space="preserve"> ；制造商为</w:t>
      </w:r>
      <w:r>
        <w:rPr>
          <w:rFonts w:hint="eastAsia" w:ascii="仿宋" w:hAnsi="仿宋" w:eastAsia="仿宋"/>
          <w:i/>
          <w:color w:val="auto"/>
          <w:sz w:val="28"/>
          <w:szCs w:val="28"/>
          <w:highlight w:val="none"/>
          <w:u w:val="single"/>
        </w:rPr>
        <w:t xml:space="preserve"> （企业名称） </w:t>
      </w:r>
      <w:r>
        <w:rPr>
          <w:rFonts w:hint="eastAsia" w:ascii="仿宋" w:hAnsi="仿宋" w:eastAsia="仿宋"/>
          <w:color w:val="auto"/>
          <w:sz w:val="28"/>
          <w:szCs w:val="28"/>
          <w:highlight w:val="none"/>
        </w:rPr>
        <w:t xml:space="preserve">，从业人员人，营业收入为万元，资产总额为万元，属于</w:t>
      </w:r>
      <w:r>
        <w:rPr>
          <w:rFonts w:hint="eastAsia" w:ascii="仿宋" w:hAnsi="仿宋" w:eastAsia="仿宋"/>
          <w:i/>
          <w:color w:val="auto"/>
          <w:sz w:val="28"/>
          <w:szCs w:val="28"/>
          <w:highlight w:val="none"/>
          <w:u w:val="single"/>
        </w:rPr>
        <w:t xml:space="preserve"> （中型企业、小型企业、微型企业）</w:t>
      </w:r>
      <w:r>
        <w:rPr>
          <w:rFonts w:hint="eastAsia" w:ascii="仿宋" w:hAnsi="仿宋" w:eastAsia="仿宋"/>
          <w:color w:val="auto"/>
          <w:sz w:val="28"/>
          <w:szCs w:val="28"/>
          <w:highlight w:val="none"/>
        </w:rPr>
        <w:t xml:space="preserve"> ；</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采购包三：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40mm消防水带</w:t>
      </w:r>
      <w:r>
        <w:rPr>
          <w:rFonts w:hint="eastAsia" w:ascii="仿宋" w:hAnsi="仿宋" w:eastAsia="仿宋"/>
          <w:i/>
          <w:color w:val="auto"/>
          <w:sz w:val="28"/>
          <w:szCs w:val="28"/>
          <w:highlight w:val="none"/>
          <w:u w:val="single"/>
        </w:rPr>
        <w:t xml:space="preserve">）</w:t>
      </w:r>
      <w:r>
        <w:rPr>
          <w:rFonts w:hint="eastAsia" w:ascii="仿宋" w:hAnsi="仿宋" w:eastAsia="仿宋"/>
          <w:color w:val="auto"/>
          <w:sz w:val="28"/>
          <w:szCs w:val="28"/>
          <w:highlight w:val="none"/>
        </w:rPr>
        <w:t xml:space="preserve">，属于</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工业</w:t>
      </w:r>
      <w:r>
        <w:rPr>
          <w:rFonts w:hint="eastAsia" w:ascii="仿宋" w:hAnsi="仿宋" w:eastAsia="仿宋"/>
          <w:i/>
          <w:color w:val="auto"/>
          <w:sz w:val="28"/>
          <w:szCs w:val="28"/>
          <w:highlight w:val="none"/>
          <w:u w:val="single"/>
        </w:rPr>
        <w:t xml:space="preserve">）行业</w:t>
      </w:r>
      <w:r>
        <w:rPr>
          <w:rFonts w:hint="eastAsia" w:ascii="仿宋" w:hAnsi="仿宋" w:eastAsia="仿宋"/>
          <w:color w:val="auto"/>
          <w:sz w:val="28"/>
          <w:szCs w:val="28"/>
          <w:highlight w:val="none"/>
        </w:rPr>
        <w:t xml:space="preserve"> ；制造商为 </w:t>
      </w:r>
      <w:r>
        <w:rPr>
          <w:rFonts w:hint="eastAsia" w:ascii="仿宋" w:hAnsi="仿宋" w:eastAsia="仿宋"/>
          <w:i/>
          <w:color w:val="auto"/>
          <w:sz w:val="28"/>
          <w:szCs w:val="28"/>
          <w:highlight w:val="none"/>
          <w:u w:val="single"/>
        </w:rPr>
        <w:t xml:space="preserve">（企业名称）</w:t>
      </w:r>
      <w:r>
        <w:rPr>
          <w:rFonts w:hint="eastAsia" w:ascii="仿宋" w:hAnsi="仿宋" w:eastAsia="仿宋"/>
          <w:color w:val="auto"/>
          <w:sz w:val="28"/>
          <w:szCs w:val="28"/>
          <w:highlight w:val="none"/>
        </w:rPr>
        <w:t xml:space="preserve"> ，从业人员人，营业收入为万元，资产总额为万元</w:t>
      </w:r>
      <w:r>
        <w:rPr>
          <w:rFonts w:hint="eastAsia" w:ascii="仿宋" w:hAnsi="仿宋" w:eastAsia="仿宋"/>
          <w:color w:val="auto"/>
          <w:sz w:val="28"/>
          <w:szCs w:val="28"/>
          <w:highlight w:val="none"/>
          <w:vertAlign w:val="superscript"/>
        </w:rPr>
        <w:t xml:space="preserve">1</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 （中型企业、小型企业、微型企业） </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消火栓转换接口</w:t>
      </w:r>
      <w:r>
        <w:rPr>
          <w:rFonts w:hint="eastAsia" w:ascii="仿宋" w:hAnsi="仿宋" w:eastAsia="仿宋"/>
          <w:i/>
          <w:color w:val="auto"/>
          <w:sz w:val="28"/>
          <w:szCs w:val="28"/>
          <w:highlight w:val="none"/>
          <w:u w:val="single"/>
        </w:rPr>
        <w:t xml:space="preserve">）</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工业</w:t>
      </w:r>
      <w:r>
        <w:rPr>
          <w:rFonts w:hint="eastAsia" w:ascii="仿宋" w:hAnsi="仿宋" w:eastAsia="仿宋"/>
          <w:i/>
          <w:color w:val="auto"/>
          <w:sz w:val="28"/>
          <w:szCs w:val="28"/>
          <w:highlight w:val="none"/>
          <w:u w:val="single"/>
        </w:rPr>
        <w:t xml:space="preserve">）行业</w:t>
      </w:r>
      <w:r>
        <w:rPr>
          <w:rFonts w:hint="eastAsia" w:ascii="仿宋" w:hAnsi="仿宋" w:eastAsia="仿宋"/>
          <w:color w:val="auto"/>
          <w:sz w:val="28"/>
          <w:szCs w:val="28"/>
          <w:highlight w:val="none"/>
        </w:rPr>
        <w:t xml:space="preserve"> ；制造商为</w:t>
      </w:r>
      <w:r>
        <w:rPr>
          <w:rFonts w:hint="eastAsia" w:ascii="仿宋" w:hAnsi="仿宋" w:eastAsia="仿宋"/>
          <w:i/>
          <w:color w:val="auto"/>
          <w:sz w:val="28"/>
          <w:szCs w:val="28"/>
          <w:highlight w:val="none"/>
          <w:u w:val="single"/>
        </w:rPr>
        <w:t xml:space="preserve"> （企业名称） </w:t>
      </w:r>
      <w:r>
        <w:rPr>
          <w:rFonts w:hint="eastAsia" w:ascii="仿宋" w:hAnsi="仿宋" w:eastAsia="仿宋"/>
          <w:color w:val="auto"/>
          <w:sz w:val="28"/>
          <w:szCs w:val="28"/>
          <w:highlight w:val="none"/>
        </w:rPr>
        <w:t xml:space="preserve">，从业人员人，营业收入为万元，资产总额为万元，属于</w:t>
      </w:r>
      <w:r>
        <w:rPr>
          <w:rFonts w:hint="eastAsia" w:ascii="仿宋" w:hAnsi="仿宋" w:eastAsia="仿宋"/>
          <w:i/>
          <w:color w:val="auto"/>
          <w:sz w:val="28"/>
          <w:szCs w:val="28"/>
          <w:highlight w:val="none"/>
          <w:u w:val="single"/>
        </w:rPr>
        <w:t xml:space="preserve"> （中型企业、小型企业、微型企业）</w:t>
      </w:r>
      <w:r>
        <w:rPr>
          <w:rFonts w:hint="eastAsia" w:ascii="仿宋" w:hAnsi="仿宋" w:eastAsia="仿宋"/>
          <w:color w:val="auto"/>
          <w:sz w:val="28"/>
          <w:szCs w:val="28"/>
          <w:highlight w:val="none"/>
        </w:rPr>
        <w:t xml:space="preserve">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40mm消防水枪</w:t>
      </w:r>
      <w:r>
        <w:rPr>
          <w:rFonts w:hint="eastAsia" w:ascii="仿宋" w:hAnsi="仿宋" w:eastAsia="仿宋"/>
          <w:i/>
          <w:color w:val="auto"/>
          <w:sz w:val="28"/>
          <w:szCs w:val="28"/>
          <w:highlight w:val="none"/>
          <w:u w:val="single"/>
        </w:rPr>
        <w:t xml:space="preserve">）</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工业</w:t>
      </w:r>
      <w:r>
        <w:rPr>
          <w:rFonts w:hint="eastAsia" w:ascii="仿宋" w:hAnsi="仿宋" w:eastAsia="仿宋"/>
          <w:i/>
          <w:color w:val="auto"/>
          <w:sz w:val="28"/>
          <w:szCs w:val="28"/>
          <w:highlight w:val="none"/>
          <w:u w:val="single"/>
        </w:rPr>
        <w:t xml:space="preserve">）行业</w:t>
      </w:r>
      <w:r>
        <w:rPr>
          <w:rFonts w:hint="eastAsia" w:ascii="仿宋" w:hAnsi="仿宋" w:eastAsia="仿宋"/>
          <w:color w:val="auto"/>
          <w:sz w:val="28"/>
          <w:szCs w:val="28"/>
          <w:highlight w:val="none"/>
        </w:rPr>
        <w:t xml:space="preserve"> ；制造商为</w:t>
      </w:r>
      <w:r>
        <w:rPr>
          <w:rFonts w:hint="eastAsia" w:ascii="仿宋" w:hAnsi="仿宋" w:eastAsia="仿宋"/>
          <w:i/>
          <w:color w:val="auto"/>
          <w:sz w:val="28"/>
          <w:szCs w:val="28"/>
          <w:highlight w:val="none"/>
          <w:u w:val="single"/>
        </w:rPr>
        <w:t xml:space="preserve"> （企业名称） </w:t>
      </w:r>
      <w:r>
        <w:rPr>
          <w:rFonts w:hint="eastAsia" w:ascii="仿宋" w:hAnsi="仿宋" w:eastAsia="仿宋"/>
          <w:color w:val="auto"/>
          <w:sz w:val="28"/>
          <w:szCs w:val="28"/>
          <w:highlight w:val="none"/>
        </w:rPr>
        <w:t xml:space="preserve">，从业人员人，营业收入为万元，资产总额为万元，属于</w:t>
      </w:r>
      <w:r>
        <w:rPr>
          <w:rFonts w:hint="eastAsia" w:ascii="仿宋" w:hAnsi="仿宋" w:eastAsia="仿宋"/>
          <w:i/>
          <w:color w:val="auto"/>
          <w:sz w:val="28"/>
          <w:szCs w:val="28"/>
          <w:highlight w:val="none"/>
          <w:u w:val="single"/>
        </w:rPr>
        <w:t xml:space="preserve"> （中型企业、小型企业、微型企业）</w:t>
      </w:r>
      <w:r>
        <w:rPr>
          <w:rFonts w:hint="eastAsia" w:ascii="仿宋" w:hAnsi="仿宋" w:eastAsia="仿宋"/>
          <w:color w:val="auto"/>
          <w:sz w:val="28"/>
          <w:szCs w:val="28"/>
          <w:highlight w:val="none"/>
        </w:rPr>
        <w:t xml:space="preserve">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化学氧自救呼吸器</w:t>
      </w:r>
      <w:r>
        <w:rPr>
          <w:rFonts w:hint="eastAsia" w:ascii="仿宋" w:hAnsi="仿宋" w:eastAsia="仿宋"/>
          <w:i/>
          <w:color w:val="auto"/>
          <w:sz w:val="28"/>
          <w:szCs w:val="28"/>
          <w:highlight w:val="none"/>
          <w:u w:val="single"/>
        </w:rPr>
        <w:t xml:space="preserve">）</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工业</w:t>
      </w:r>
      <w:r>
        <w:rPr>
          <w:rFonts w:hint="eastAsia" w:ascii="仿宋" w:hAnsi="仿宋" w:eastAsia="仿宋"/>
          <w:i/>
          <w:color w:val="auto"/>
          <w:sz w:val="28"/>
          <w:szCs w:val="28"/>
          <w:highlight w:val="none"/>
          <w:u w:val="single"/>
        </w:rPr>
        <w:t xml:space="preserve">）行业</w:t>
      </w:r>
      <w:r>
        <w:rPr>
          <w:rFonts w:hint="eastAsia" w:ascii="仿宋" w:hAnsi="仿宋" w:eastAsia="仿宋"/>
          <w:color w:val="auto"/>
          <w:sz w:val="28"/>
          <w:szCs w:val="28"/>
          <w:highlight w:val="none"/>
        </w:rPr>
        <w:t xml:space="preserve"> ；制造商为</w:t>
      </w:r>
      <w:r>
        <w:rPr>
          <w:rFonts w:hint="eastAsia" w:ascii="仿宋" w:hAnsi="仿宋" w:eastAsia="仿宋"/>
          <w:i/>
          <w:color w:val="auto"/>
          <w:sz w:val="28"/>
          <w:szCs w:val="28"/>
          <w:highlight w:val="none"/>
          <w:u w:val="single"/>
        </w:rPr>
        <w:t xml:space="preserve"> （企业名称） </w:t>
      </w:r>
      <w:r>
        <w:rPr>
          <w:rFonts w:hint="eastAsia" w:ascii="仿宋" w:hAnsi="仿宋" w:eastAsia="仿宋"/>
          <w:color w:val="auto"/>
          <w:sz w:val="28"/>
          <w:szCs w:val="28"/>
          <w:highlight w:val="none"/>
        </w:rPr>
        <w:t xml:space="preserve">，从业人员人，营业收入为万元，资产总额为万元，属于</w:t>
      </w:r>
      <w:r>
        <w:rPr>
          <w:rFonts w:hint="eastAsia" w:ascii="仿宋" w:hAnsi="仿宋" w:eastAsia="仿宋"/>
          <w:i/>
          <w:color w:val="auto"/>
          <w:sz w:val="28"/>
          <w:szCs w:val="28"/>
          <w:highlight w:val="none"/>
          <w:u w:val="single"/>
        </w:rPr>
        <w:t xml:space="preserve"> （中型企业、小型企业、微型企业）</w:t>
      </w:r>
      <w:r>
        <w:rPr>
          <w:rFonts w:hint="eastAsia" w:ascii="仿宋" w:hAnsi="仿宋" w:eastAsia="仿宋"/>
          <w:color w:val="auto"/>
          <w:sz w:val="28"/>
          <w:szCs w:val="28"/>
          <w:highlight w:val="none"/>
        </w:rPr>
        <w:t xml:space="preserve">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640" w:firstLine="297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企业名称（盖章）：          </w:t>
      </w:r>
      <w:r/>
    </w:p>
    <w:p>
      <w:pPr>
        <w:ind w:right="640" w:firstLine="297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             </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注1： 从业人员、营业收入、资产总额填报上一年度数据，无上一年度数据的新成立企业可不填报。</w:t>
      </w:r>
      <w:r/>
    </w:p>
    <w:p>
      <w:pPr>
        <w:jc w:val="left"/>
        <w:widowControl/>
        <w:rPr>
          <w:rFonts w:ascii="Calibri" w:hAnsi="Calibri" w:eastAsia="等线"/>
          <w:color w:val="auto"/>
          <w:szCs w:val="22"/>
          <w:highlight w:val="none"/>
        </w:rPr>
      </w:pPr>
      <w:r>
        <w:rPr>
          <w:rFonts w:ascii="Calibri" w:hAnsi="Calibri" w:eastAsia="等线"/>
          <w:color w:val="auto"/>
          <w:szCs w:val="22"/>
          <w:highlight w:val="none"/>
        </w:rPr>
        <w:br w:type="page" w:clear="all"/>
      </w:r>
      <w:r/>
    </w:p>
    <w:p>
      <w:pPr>
        <w:ind w:firstLine="480"/>
        <w:jc w:val="left"/>
        <w:spacing w:before="50"/>
        <w:rPr>
          <w:rFonts w:ascii="仿宋" w:hAnsi="仿宋" w:eastAsia="仿宋"/>
          <w:b/>
          <w:bCs/>
          <w:color w:val="auto"/>
          <w:sz w:val="28"/>
          <w:szCs w:val="28"/>
          <w:highlight w:val="none"/>
        </w:rPr>
      </w:pPr>
      <w:r>
        <w:rPr>
          <w:rFonts w:hint="eastAsia" w:ascii="仿宋" w:hAnsi="仿宋" w:eastAsia="仿宋"/>
          <w:bCs/>
          <w:color w:val="auto"/>
          <w:sz w:val="28"/>
          <w:szCs w:val="28"/>
          <w:highlight w:val="none"/>
        </w:rPr>
        <w:t xml:space="preserve">（十</w:t>
      </w:r>
      <w:r>
        <w:rPr>
          <w:rFonts w:hint="eastAsia" w:ascii="仿宋" w:hAnsi="仿宋" w:eastAsia="仿宋"/>
          <w:bCs/>
          <w:color w:val="auto"/>
          <w:sz w:val="28"/>
          <w:szCs w:val="28"/>
          <w:highlight w:val="none"/>
          <w:lang w:val="en-US" w:eastAsia="zh-CN"/>
        </w:rPr>
        <w:t xml:space="preserve">一</w:t>
      </w:r>
      <w:r>
        <w:rPr>
          <w:rFonts w:hint="eastAsia" w:ascii="仿宋" w:hAnsi="仿宋" w:eastAsia="仿宋"/>
          <w:bCs/>
          <w:color w:val="auto"/>
          <w:sz w:val="28"/>
          <w:szCs w:val="28"/>
          <w:highlight w:val="none"/>
        </w:rPr>
        <w:t xml:space="preserve">）</w:t>
      </w:r>
      <w:r>
        <w:rPr>
          <w:rFonts w:hint="eastAsia" w:ascii="仿宋" w:hAnsi="仿宋" w:eastAsia="仿宋"/>
          <w:color w:val="auto"/>
          <w:sz w:val="28"/>
          <w:szCs w:val="28"/>
          <w:highlight w:val="none"/>
        </w:rPr>
        <w:t xml:space="preserve">其他资格证明材料</w:t>
      </w:r>
      <w:r/>
    </w:p>
    <w:p>
      <w:pPr>
        <w:ind w:firstLine="480"/>
        <w:jc w:val="left"/>
        <w:spacing w:before="50"/>
        <w:rPr>
          <w:rFonts w:hint="eastAsia" w:ascii="仿宋" w:hAnsi="仿宋" w:eastAsia="仿宋"/>
          <w:color w:val="auto"/>
          <w:sz w:val="28"/>
          <w:szCs w:val="28"/>
          <w:highlight w:val="none"/>
        </w:rPr>
        <w:outlineLvl w:val="9"/>
      </w:pPr>
      <w:r>
        <w:rPr>
          <w:rFonts w:hint="eastAsia" w:ascii="仿宋" w:hAnsi="仿宋" w:eastAsia="仿宋" w:cs="Times New Roman"/>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562"/>
        <w:rPr>
          <w:rFonts w:hint="eastAsia" w:ascii="仿宋" w:hAnsi="仿宋" w:eastAsia="仿宋"/>
          <w:b/>
          <w:color w:val="auto"/>
          <w:sz w:val="28"/>
          <w:szCs w:val="28"/>
          <w:highlight w:val="none"/>
        </w:rPr>
        <w:outlineLvl w:val="9"/>
      </w:pPr>
      <w:r>
        <w:rPr>
          <w:rFonts w:hint="eastAsia" w:ascii="仿宋" w:hAnsi="仿宋" w:eastAsia="仿宋"/>
          <w:b/>
          <w:color w:val="auto"/>
          <w:sz w:val="28"/>
          <w:szCs w:val="28"/>
          <w:highlight w:val="none"/>
        </w:rPr>
      </w:r>
      <w:r/>
    </w:p>
    <w:p>
      <w:pPr>
        <w:ind w:firstLine="562"/>
        <w:rPr>
          <w:rFonts w:ascii="仿宋" w:hAnsi="仿宋" w:eastAsia="仿宋"/>
          <w:b/>
          <w:color w:val="auto"/>
          <w:sz w:val="28"/>
          <w:szCs w:val="28"/>
          <w:highlight w:val="none"/>
        </w:rPr>
        <w:outlineLvl w:val="9"/>
      </w:pPr>
      <w:r>
        <w:rPr>
          <w:rFonts w:hint="eastAsia" w:ascii="仿宋" w:hAnsi="仿宋" w:eastAsia="仿宋"/>
          <w:b/>
          <w:color w:val="auto"/>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86" w:name="_Toc23245"/>
      <w:r>
        <w:rPr>
          <w:rFonts w:hint="eastAsia" w:ascii="黑体" w:hAnsi="黑体" w:eastAsia="黑体"/>
          <w:color w:val="auto"/>
          <w:sz w:val="28"/>
          <w:szCs w:val="28"/>
          <w:highlight w:val="none"/>
        </w:rPr>
        <w:t xml:space="preserve">二、商务技术文件</w:t>
      </w:r>
      <w:bookmarkEnd w:id="86"/>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（一）评分索引表</w:t>
      </w:r>
      <w:r/>
    </w:p>
    <w:p>
      <w:pPr>
        <w:ind w:firstLine="641"/>
        <w:jc w:val="center"/>
        <w:rPr>
          <w:rFonts w:ascii="方正小标宋简体" w:hAnsi="宋体" w:eastAsia="方正小标宋简体"/>
          <w:color w:val="auto"/>
          <w:sz w:val="32"/>
          <w:szCs w:val="32"/>
          <w:highlight w:val="none"/>
        </w:rPr>
        <w:outlineLvl w:val="9"/>
      </w:pPr>
      <w:r>
        <w:rPr>
          <w:rFonts w:hint="eastAsia" w:ascii="方正小标宋简体" w:hAnsi="宋体" w:eastAsia="方正小标宋简体"/>
          <w:color w:val="auto"/>
          <w:sz w:val="32"/>
          <w:szCs w:val="32"/>
          <w:highlight w:val="none"/>
        </w:rPr>
        <w:t xml:space="preserve">评分索引表</w:t>
      </w:r>
      <w:r/>
    </w:p>
    <w:p>
      <w:pPr>
        <w:ind w:firstLine="641"/>
        <w:jc w:val="center"/>
        <w:rPr>
          <w:rFonts w:ascii="仿宋" w:hAnsi="仿宋" w:eastAsia="仿宋"/>
          <w:color w:val="auto"/>
          <w:sz w:val="28"/>
          <w:szCs w:val="28"/>
          <w:highlight w:val="none"/>
        </w:rPr>
      </w:pPr>
      <w:r>
        <w:rPr>
          <w:rFonts w:hint="eastAsia" w:ascii="方正小标宋简体" w:hAnsi="宋体" w:eastAsia="方正小标宋简体"/>
          <w:color w:val="auto"/>
          <w:sz w:val="32"/>
          <w:szCs w:val="32"/>
          <w:highlight w:val="none"/>
          <w:lang w:eastAsia="zh-CN"/>
        </w:rPr>
        <w:t xml:space="preserve">（</w:t>
      </w:r>
      <w:r>
        <w:rPr>
          <w:rFonts w:hint="eastAsia" w:ascii="方正小标宋简体" w:hAnsi="宋体" w:eastAsia="方正小标宋简体"/>
          <w:color w:val="auto"/>
          <w:sz w:val="32"/>
          <w:szCs w:val="32"/>
          <w:highlight w:val="none"/>
          <w:lang w:val="en-US" w:eastAsia="zh-CN"/>
        </w:rPr>
        <w:t xml:space="preserve">线上评审无需提供</w:t>
      </w:r>
      <w:r>
        <w:rPr>
          <w:rFonts w:hint="eastAsia" w:ascii="方正小标宋简体" w:hAnsi="宋体" w:eastAsia="方正小标宋简体"/>
          <w:color w:val="auto"/>
          <w:sz w:val="32"/>
          <w:szCs w:val="32"/>
          <w:highlight w:val="none"/>
          <w:lang w:eastAsia="zh-CN"/>
        </w:rPr>
        <w:t xml:space="preserve">）</w:t>
      </w:r>
      <w:r/>
    </w:p>
    <w:tbl>
      <w:tblPr>
        <w:tblStyle w:val="868"/>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bl>
    <w:p>
      <w:pPr>
        <w:ind w:firstLine="420"/>
        <w:rPr>
          <w:rFonts w:ascii="仿宋" w:hAnsi="仿宋" w:eastAsia="仿宋"/>
          <w:bCs/>
          <w:color w:val="auto"/>
          <w:sz w:val="28"/>
          <w:szCs w:val="28"/>
          <w:highlight w:val="none"/>
        </w:rPr>
        <w:outlineLvl w:val="9"/>
      </w:pPr>
      <w:r>
        <w:rPr>
          <w:rFonts w:hint="eastAsia" w:ascii="仿宋" w:hAnsi="仿宋" w:eastAsia="仿宋"/>
          <w:color w:val="auto"/>
          <w:szCs w:val="21"/>
          <w:highlight w:val="none"/>
        </w:rPr>
        <w:t xml:space="preserve">注：按照竞争性磋商文件要求详细填列，可增减行。</w:t>
      </w:r>
      <w:r/>
    </w:p>
    <w:p>
      <w:pPr>
        <w:ind w:firstLine="560"/>
        <w:rPr>
          <w:rFonts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p>
    <w:p>
      <w:pPr>
        <w:numPr>
          <w:ilvl w:val="0"/>
          <w:numId w:val="7"/>
        </w:numPr>
        <w:ind w:firstLine="560"/>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符合技术要求或者服务要求的相关证明材料</w:t>
      </w:r>
      <w:r/>
    </w:p>
    <w:p>
      <w:pPr>
        <w:rPr>
          <w:rFonts w:hint="eastAsia" w:ascii="仿宋" w:hAnsi="仿宋" w:eastAsia="仿宋"/>
          <w:b/>
          <w:bCs w:val="0"/>
          <w:color w:val="auto"/>
          <w:sz w:val="28"/>
          <w:szCs w:val="28"/>
          <w:highlight w:val="none"/>
          <w:lang w:val="en-US" w:eastAsia="zh-CN"/>
        </w:rPr>
      </w:pPr>
      <w:r>
        <w:rPr>
          <w:rFonts w:hint="eastAsia" w:ascii="仿宋" w:hAnsi="仿宋" w:eastAsia="仿宋"/>
          <w:b/>
          <w:bCs w:val="0"/>
          <w:color w:val="auto"/>
          <w:sz w:val="28"/>
          <w:szCs w:val="28"/>
          <w:highlight w:val="none"/>
          <w:lang w:val="en-US" w:eastAsia="zh-CN"/>
        </w:rPr>
        <w:t xml:space="preserve">采购包三：</w:t>
      </w:r>
      <w:r/>
    </w:p>
    <w:p>
      <w:pPr>
        <w:ind w:firstLine="562"/>
        <w:rPr>
          <w:rFonts w:hint="eastAsia" w:ascii="仿宋" w:hAnsi="仿宋" w:eastAsia="仿宋"/>
          <w:b/>
          <w:bCs w:val="0"/>
          <w:color w:val="auto"/>
          <w:sz w:val="28"/>
          <w:szCs w:val="28"/>
          <w:highlight w:val="none"/>
          <w:lang w:val="en-US" w:eastAsia="zh-CN"/>
        </w:rPr>
      </w:pPr>
      <w:r>
        <w:rPr>
          <w:rFonts w:hint="eastAsia" w:ascii="仿宋" w:hAnsi="仿宋" w:eastAsia="仿宋"/>
          <w:b/>
          <w:bCs w:val="0"/>
          <w:color w:val="auto"/>
          <w:sz w:val="28"/>
          <w:szCs w:val="28"/>
          <w:highlight w:val="none"/>
          <w:lang w:val="en-US" w:eastAsia="zh-CN"/>
        </w:rPr>
        <w:t xml:space="preserve">1.40mm消防水带：符合《消防水带》GB6246-2011的标准要求，须提供国家认可的检测机构出具的检测检验报告；</w:t>
      </w:r>
      <w:r/>
    </w:p>
    <w:p>
      <w:pPr>
        <w:ind w:firstLine="562"/>
        <w:rPr>
          <w:rFonts w:hint="eastAsia" w:ascii="仿宋" w:hAnsi="仿宋" w:eastAsia="仿宋"/>
          <w:b/>
          <w:bCs w:val="0"/>
          <w:color w:val="auto"/>
          <w:sz w:val="28"/>
          <w:szCs w:val="28"/>
          <w:highlight w:val="none"/>
          <w:lang w:val="en-US" w:eastAsia="zh-CN"/>
        </w:rPr>
      </w:pPr>
      <w:r>
        <w:rPr>
          <w:rFonts w:hint="eastAsia" w:ascii="仿宋" w:hAnsi="仿宋" w:eastAsia="仿宋"/>
          <w:b/>
          <w:bCs w:val="0"/>
          <w:color w:val="auto"/>
          <w:sz w:val="28"/>
          <w:szCs w:val="28"/>
          <w:highlight w:val="none"/>
          <w:lang w:val="en-US" w:eastAsia="zh-CN"/>
        </w:rPr>
        <w:t xml:space="preserve">2.消火栓转换接口：符合 GB12514.1-2005《消防接口 第1部分:消防接口通用技术条件》和GB12514.3-2006《消防接口 第3部分:卡式消防接口型式和基本参数》的标准要求，须提供国家认可的检测机构出具的检测检验报告；</w:t>
      </w:r>
      <w:r/>
    </w:p>
    <w:p>
      <w:pPr>
        <w:ind w:firstLine="562"/>
        <w:rPr>
          <w:rFonts w:hint="default" w:ascii="仿宋" w:hAnsi="仿宋" w:eastAsia="仿宋"/>
          <w:b/>
          <w:bCs w:val="0"/>
          <w:color w:val="auto"/>
          <w:sz w:val="28"/>
          <w:szCs w:val="28"/>
          <w:highlight w:val="none"/>
          <w:lang w:val="en-US" w:eastAsia="zh-CN"/>
        </w:rPr>
      </w:pPr>
      <w:r>
        <w:rPr>
          <w:rFonts w:hint="eastAsia" w:ascii="仿宋" w:hAnsi="仿宋" w:eastAsia="仿宋"/>
          <w:b/>
          <w:bCs w:val="0"/>
          <w:color w:val="auto"/>
          <w:sz w:val="28"/>
          <w:szCs w:val="28"/>
          <w:highlight w:val="none"/>
          <w:lang w:val="en-US" w:eastAsia="zh-CN"/>
        </w:rPr>
        <w:t xml:space="preserve">3.40mm消防水枪：符合GB8181-2005《消防水枪》的标准要求，须提供国家认可的检测机构出具的检测检验报告；</w:t>
      </w:r>
      <w:r/>
    </w:p>
    <w:p>
      <w:pPr>
        <w:ind w:firstLine="562"/>
        <w:rPr>
          <w:rFonts w:hint="default" w:ascii="仿宋" w:hAnsi="仿宋" w:eastAsia="仿宋"/>
          <w:b/>
          <w:bCs w:val="0"/>
          <w:color w:val="auto"/>
          <w:sz w:val="28"/>
          <w:szCs w:val="28"/>
          <w:highlight w:val="none"/>
          <w:lang w:val="en-US" w:eastAsia="zh-CN"/>
        </w:rPr>
      </w:pPr>
      <w:r>
        <w:rPr>
          <w:rFonts w:hint="eastAsia" w:ascii="仿宋" w:hAnsi="仿宋" w:eastAsia="仿宋"/>
          <w:b/>
          <w:bCs w:val="0"/>
          <w:color w:val="auto"/>
          <w:sz w:val="28"/>
          <w:szCs w:val="28"/>
          <w:highlight w:val="none"/>
          <w:lang w:val="en-US" w:eastAsia="zh-CN"/>
        </w:rPr>
        <w:t xml:space="preserve">4.化学氧自救呼吸器：符合XF411-2003《化学氧消防自救呼吸器》的标准要求，须提供国家认可的检测机构出具的检测检验报告。</w:t>
      </w:r>
      <w:r/>
    </w:p>
    <w:p>
      <w:pPr>
        <w:pStyle w:val="882"/>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（三）技术部分正负偏离表</w:t>
      </w:r>
      <w:r/>
    </w:p>
    <w:p>
      <w:pPr>
        <w:ind w:firstLine="641"/>
        <w:jc w:val="center"/>
        <w:rPr>
          <w:rFonts w:hint="eastAsia" w:ascii="方正小标宋简体" w:hAnsi="宋体" w:eastAsia="方正小标宋简体"/>
          <w:color w:val="auto"/>
          <w:sz w:val="32"/>
          <w:szCs w:val="32"/>
          <w:highlight w:val="none"/>
          <w:lang w:eastAsia="zh-CN"/>
        </w:rPr>
      </w:pPr>
      <w:r>
        <w:rPr>
          <w:rFonts w:hint="eastAsia" w:ascii="方正小标宋简体" w:hAnsi="宋体" w:eastAsia="方正小标宋简体"/>
          <w:color w:val="auto"/>
          <w:sz w:val="32"/>
          <w:szCs w:val="32"/>
          <w:highlight w:val="none"/>
        </w:rPr>
        <w:t xml:space="preserve">技术部分正负偏离表</w:t>
      </w:r>
      <w:r>
        <w:rPr>
          <w:rFonts w:hint="eastAsia" w:ascii="方正小标宋简体" w:hAnsi="宋体" w:eastAsia="方正小标宋简体"/>
          <w:color w:val="auto"/>
          <w:sz w:val="32"/>
          <w:szCs w:val="32"/>
          <w:highlight w:val="none"/>
          <w:lang w:eastAsia="zh-CN"/>
        </w:rPr>
        <w:t xml:space="preserve">（</w:t>
      </w:r>
      <w:r>
        <w:rPr>
          <w:rFonts w:hint="eastAsia" w:ascii="方正小标宋简体" w:hAnsi="宋体" w:eastAsia="方正小标宋简体"/>
          <w:color w:val="auto"/>
          <w:sz w:val="32"/>
          <w:szCs w:val="32"/>
          <w:highlight w:val="none"/>
          <w:lang w:val="en-US" w:eastAsia="zh-CN"/>
        </w:rPr>
        <w:t xml:space="preserve">采购包一</w:t>
      </w:r>
      <w:r>
        <w:rPr>
          <w:rFonts w:hint="eastAsia" w:ascii="方正小标宋简体" w:hAnsi="宋体" w:eastAsia="方正小标宋简体"/>
          <w:color w:val="auto"/>
          <w:sz w:val="32"/>
          <w:szCs w:val="32"/>
          <w:highlight w:val="none"/>
          <w:lang w:eastAsia="zh-CN"/>
        </w:rPr>
        <w:t xml:space="preserve">）</w:t>
      </w:r>
      <w:r/>
    </w:p>
    <w:p>
      <w:pPr>
        <w:ind w:firstLine="641"/>
        <w:jc w:val="lef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灭火防护服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p>
    <w:tbl>
      <w:tblPr>
        <w:tblStyle w:val="8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207"/>
        <w:gridCol w:w="328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28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207"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灭火防护服</w:t>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1.参照XF10-2014《消防员灭火防护服》标准要求；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2.服装外层采用藏青色面料，外层、里布均采用阻燃面料，所有拉链、魔术贴等配件均为阻燃材质，该款式为长款；（具体尺寸:170型≥105cm,175型≥110cm,180型≥115cm,185型≥120cm，误差±2%）</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3.外层面料性能要求：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3.1 阻燃性能：损毁长度≤100mm，续燃时间≤2s；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3.2 断裂强力：经向≥650N、纬向≥650N；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3.3 撕破强力：经向≥100N、纬向≥100N；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3.4 色牢度：耐洗沾色≥4级，耐水摩擦≥4级，光色牢度≥4级；</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8</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3.5缩水率：≤3%；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9</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3.6表面抗湿性能：≥4；</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4.里层面料性能要求：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11</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4.1 防水透气层耐静水压≥50kPa；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12</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4.2缩水率：≤3%；</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13</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4.3防水透气层拒油性能：≥3级；</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14</w:t>
            </w:r>
            <w:r/>
          </w:p>
        </w:tc>
        <w:tc>
          <w:tcPr>
            <w:tcBorders>
              <w:left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4.4舒适层缩水率：≤5%；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15</w:t>
            </w:r>
            <w:r/>
          </w:p>
        </w:tc>
        <w:tc>
          <w:tcPr>
            <w:tcBorders>
              <w:left w:val="single" w:color="auto" w:sz="4" w:space="0"/>
              <w:bottom w:val="single" w:color="auto" w:sz="4" w:space="0"/>
              <w:right w:val="single" w:color="auto" w:sz="4" w:space="0"/>
            </w:tcBorders>
            <w:tcW w:w="120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87"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5.针距密度：明暗线≥12针/3cm，包缝线≥9针/3cm。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小型灭火携行包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p>
    <w:tbl>
      <w:tblPr>
        <w:tblStyle w:val="8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274"/>
        <w:gridCol w:w="3220"/>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22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274"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小型灭火携行包</w:t>
            </w:r>
            <w:r/>
          </w:p>
        </w:tc>
        <w:tc>
          <w:tcPr>
            <w:tcBorders>
              <w:top w:val="single" w:color="auto" w:sz="4" w:space="0"/>
              <w:left w:val="single" w:color="auto" w:sz="4" w:space="0"/>
              <w:bottom w:val="single" w:color="auto" w:sz="4" w:space="0"/>
              <w:right w:val="single" w:color="auto" w:sz="4" w:space="0"/>
            </w:tcBorders>
            <w:tcW w:w="3220"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1.携行包为可固定式设计，适配电动自行车安装布局，可一分为二，分别置于电动自行车两侧；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1274"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20"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2.包体具有可容纳60米40mm水带、40mm多功能水枪2把、消火栓转换接口2个、消火栓扳手1把等器材的空间（不包含器材本身）；  </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left w:val="single" w:color="auto" w:sz="4" w:space="0"/>
              <w:right w:val="single" w:color="auto" w:sz="4" w:space="0"/>
            </w:tcBorders>
            <w:tcW w:w="1274"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20"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3.包体采用防刮、耐磨、不掉色材质，底部设有排水孔，便于排水;</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left w:val="single" w:color="auto" w:sz="4" w:space="0"/>
              <w:right w:val="single" w:color="auto" w:sz="4" w:space="0"/>
            </w:tcBorders>
            <w:tcW w:w="1274"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20"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4.携行包整体自重（不带器材）≤5公斤；</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tcBorders>
              <w:left w:val="single" w:color="auto" w:sz="4" w:space="0"/>
              <w:bottom w:val="single" w:color="auto" w:sz="4" w:space="0"/>
              <w:right w:val="single" w:color="auto" w:sz="4" w:space="0"/>
            </w:tcBorders>
            <w:tcW w:w="1274"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20"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5.携行包内置器材收纳固定结构，尺寸采用：35cm*25cm*40cm，±≤2cm；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Cs w:val="21"/>
          <w:highlight w:val="none"/>
        </w:rPr>
      </w:pPr>
      <w:r>
        <w:rPr>
          <w:rFonts w:hint="eastAsia" w:ascii="仿宋" w:hAnsi="仿宋" w:eastAsia="仿宋"/>
          <w:b/>
          <w:color w:val="auto"/>
          <w:szCs w:val="21"/>
          <w:highlight w:val="none"/>
        </w:rPr>
        <w:t xml:space="preserve">注：供应商应当明确响应产品的品牌、型号和具体技术指标数值，否则作为无效响应处理。</w:t>
      </w:r>
      <w:r/>
    </w:p>
    <w:p>
      <w:pPr>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ind w:firstLine="641"/>
        <w:jc w:val="center"/>
        <w:rPr>
          <w:rFonts w:hint="eastAsia" w:ascii="方正小标宋简体" w:hAnsi="宋体" w:eastAsia="方正小标宋简体"/>
          <w:color w:val="auto"/>
          <w:sz w:val="32"/>
          <w:szCs w:val="32"/>
          <w:highlight w:val="none"/>
          <w:lang w:eastAsia="zh-CN"/>
        </w:rPr>
      </w:pPr>
      <w:r>
        <w:rPr>
          <w:rFonts w:hint="eastAsia" w:ascii="方正小标宋简体" w:hAnsi="宋体" w:eastAsia="方正小标宋简体"/>
          <w:color w:val="auto"/>
          <w:sz w:val="32"/>
          <w:szCs w:val="32"/>
          <w:highlight w:val="none"/>
        </w:rPr>
        <w:t xml:space="preserve">技术部分正负偏离表</w:t>
      </w:r>
      <w:r>
        <w:rPr>
          <w:rFonts w:hint="eastAsia" w:ascii="方正小标宋简体" w:hAnsi="宋体" w:eastAsia="方正小标宋简体"/>
          <w:color w:val="auto"/>
          <w:sz w:val="32"/>
          <w:szCs w:val="32"/>
          <w:highlight w:val="none"/>
          <w:lang w:eastAsia="zh-CN"/>
        </w:rPr>
        <w:t xml:space="preserve">（</w:t>
      </w:r>
      <w:r>
        <w:rPr>
          <w:rFonts w:hint="eastAsia" w:ascii="方正小标宋简体" w:hAnsi="宋体" w:eastAsia="方正小标宋简体"/>
          <w:color w:val="auto"/>
          <w:sz w:val="32"/>
          <w:szCs w:val="32"/>
          <w:highlight w:val="none"/>
          <w:lang w:val="en-US" w:eastAsia="zh-CN"/>
        </w:rPr>
        <w:t xml:space="preserve">采购包二</w:t>
      </w:r>
      <w:r>
        <w:rPr>
          <w:rFonts w:hint="eastAsia" w:ascii="方正小标宋简体" w:hAnsi="宋体" w:eastAsia="方正小标宋简体"/>
          <w:color w:val="auto"/>
          <w:sz w:val="32"/>
          <w:szCs w:val="32"/>
          <w:highlight w:val="none"/>
          <w:lang w:eastAsia="zh-CN"/>
        </w:rPr>
        <w:t xml:space="preserve">）</w:t>
      </w:r>
      <w:r/>
    </w:p>
    <w:p>
      <w:pPr>
        <w:ind w:firstLine="641"/>
        <w:jc w:val="lef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p>
    <w:tbl>
      <w:tblPr>
        <w:tblStyle w:val="8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2247"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新能源灭火装置</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1.灭火类型：A类、E类以及锂电池火灾；</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2.灭火剂量：6L；</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3.药剂类型：水系灭火剂；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4.驱动气体：氮气；</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5.工作压力：1.2MPa（20℃）氮气；</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tcBorders>
              <w:left w:val="single" w:color="auto" w:sz="4" w:space="0"/>
              <w:bottom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6.瓶体材质：碳钢。</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灭火毯（电动汽车用）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p>
    <w:tbl>
      <w:tblPr>
        <w:tblStyle w:val="8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right w:val="single" w:color="auto" w:sz="4" w:space="0"/>
            </w:tcBorders>
            <w:tcW w:w="2247"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灭火毯（电动汽车用）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1.玻璃纤维材质，二氧化硅含量≥96%，阻燃等级A1；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2.耐火温度：1100℃30分钟无熔融，1000℃1小时；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3.重量≤32.5 kg(不含包装)；</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4.规格6*9m；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5.接头强力＞450N；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6.撕裂强力＞80N；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bottom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7.断裂强力径向≥1000N；纬向≥800N。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灭火毯（电动自行车用）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p>
    <w:tbl>
      <w:tblPr>
        <w:tblStyle w:val="8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2247"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灭火毯（电动自行车用）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1.玻璃纤维材质，二氧化硅含量≥96%，阻燃等级A1；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2.耐火温度：1100℃30分钟无熔融，1000℃1小时；</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3.重量≤30kg(不含包装)；</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4.规格4*5m；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5.接头强力＞450N；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6.撕裂强力＞80N；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p>
        </w:tc>
        <w:tc>
          <w:tcPr>
            <w:tcBorders>
              <w:left w:val="single" w:color="auto" w:sz="4" w:space="0"/>
              <w:bottom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7.断裂强力径向≥1000N；纬向≥800N。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Cs w:val="21"/>
          <w:highlight w:val="none"/>
        </w:rPr>
      </w:pPr>
      <w:r>
        <w:rPr>
          <w:rFonts w:hint="eastAsia" w:ascii="仿宋" w:hAnsi="仿宋" w:eastAsia="仿宋"/>
          <w:b/>
          <w:color w:val="auto"/>
          <w:szCs w:val="21"/>
          <w:highlight w:val="none"/>
        </w:rPr>
        <w:t xml:space="preserve">注：供应商应当明确响应产品的品牌、型号和具体技术指标数值，否则作为无效响应处理。</w:t>
      </w:r>
      <w:r/>
    </w:p>
    <w:p>
      <w:pPr>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ind w:firstLine="641"/>
        <w:jc w:val="center"/>
        <w:rPr>
          <w:rFonts w:hint="eastAsia" w:ascii="方正小标宋简体" w:hAnsi="宋体" w:eastAsia="方正小标宋简体"/>
          <w:color w:val="auto"/>
          <w:sz w:val="32"/>
          <w:szCs w:val="32"/>
          <w:highlight w:val="none"/>
          <w:lang w:eastAsia="zh-CN"/>
        </w:rPr>
      </w:pPr>
      <w:r>
        <w:rPr>
          <w:rFonts w:hint="eastAsia" w:ascii="方正小标宋简体" w:hAnsi="宋体" w:eastAsia="方正小标宋简体"/>
          <w:color w:val="auto"/>
          <w:sz w:val="32"/>
          <w:szCs w:val="32"/>
          <w:highlight w:val="none"/>
        </w:rPr>
        <w:t xml:space="preserve">技术部分正负偏离表</w:t>
      </w:r>
      <w:r>
        <w:rPr>
          <w:rFonts w:hint="eastAsia" w:ascii="方正小标宋简体" w:hAnsi="宋体" w:eastAsia="方正小标宋简体"/>
          <w:color w:val="auto"/>
          <w:sz w:val="32"/>
          <w:szCs w:val="32"/>
          <w:highlight w:val="none"/>
          <w:lang w:eastAsia="zh-CN"/>
        </w:rPr>
        <w:t xml:space="preserve">（</w:t>
      </w:r>
      <w:r>
        <w:rPr>
          <w:rFonts w:hint="eastAsia" w:ascii="方正小标宋简体" w:hAnsi="宋体" w:eastAsia="方正小标宋简体"/>
          <w:color w:val="auto"/>
          <w:sz w:val="32"/>
          <w:szCs w:val="32"/>
          <w:highlight w:val="none"/>
          <w:lang w:val="en-US" w:eastAsia="zh-CN"/>
        </w:rPr>
        <w:t xml:space="preserve">采购包三</w:t>
      </w:r>
      <w:r>
        <w:rPr>
          <w:rFonts w:hint="eastAsia" w:ascii="方正小标宋简体" w:hAnsi="宋体" w:eastAsia="方正小标宋简体"/>
          <w:color w:val="auto"/>
          <w:sz w:val="32"/>
          <w:szCs w:val="32"/>
          <w:highlight w:val="none"/>
          <w:lang w:eastAsia="zh-CN"/>
        </w:rPr>
        <w:t xml:space="preserve">）</w:t>
      </w:r>
      <w:r/>
    </w:p>
    <w:p>
      <w:pPr>
        <w:ind w:firstLine="641"/>
        <w:jc w:val="lef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40mm消防水带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p>
    <w:tbl>
      <w:tblPr>
        <w:tblStyle w:val="8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146"/>
        <w:gridCol w:w="3348"/>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34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146"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40mm消防水带</w:t>
            </w:r>
            <w:r/>
          </w:p>
        </w:tc>
        <w:tc>
          <w:tcPr>
            <w:tcBorders>
              <w:top w:val="single" w:color="auto" w:sz="4" w:space="0"/>
              <w:left w:val="single" w:color="auto" w:sz="4" w:space="0"/>
              <w:bottom w:val="single" w:color="auto" w:sz="4" w:space="0"/>
              <w:right w:val="single" w:color="auto" w:sz="4" w:space="0"/>
            </w:tcBorders>
            <w:tcW w:w="3348" w:type="dxa"/>
            <w:textDirection w:val="lrTb"/>
            <w:noWrap w:val="false"/>
          </w:tcPr>
          <w:p>
            <w:pPr>
              <w:jc w:val="center"/>
              <w:rPr>
                <w:rFonts w:ascii="仿宋" w:hAnsi="仿宋" w:eastAsia="仿宋"/>
                <w:color w:val="auto"/>
                <w:sz w:val="24"/>
                <w:highlight w:val="none"/>
              </w:rPr>
            </w:pPr>
            <w:r>
              <w:rPr>
                <w:rFonts w:hint="eastAsia" w:ascii="仿宋" w:hAnsi="仿宋" w:eastAsia="仿宋" w:cs="仿宋"/>
                <w:b/>
                <w:bCs/>
                <w:i w:val="0"/>
                <w:iCs w:val="0"/>
                <w:color w:val="auto"/>
                <w:sz w:val="24"/>
                <w:szCs w:val="24"/>
                <w:highlight w:val="none"/>
                <w:u w:val="none"/>
                <w:lang w:val="en-US" w:eastAsia="zh-CN"/>
              </w:rPr>
              <w:t xml:space="preserve">★1.符合《消防水带》GB6246-2011的标准要求，须提供国家认可的检测机构出具的检测检验报告；</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1146"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48"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2.外层材质采用高强度涤纶长丝线，内衬聚氨酯材料；</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left w:val="single" w:color="auto" w:sz="4" w:space="0"/>
              <w:right w:val="single" w:color="auto" w:sz="4" w:space="0"/>
            </w:tcBorders>
            <w:tcW w:w="1146"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48"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3.工作压力≥1.6MPa，爆破压力≥4.0MPa，单位长度重量≤130g/m，水带编织层与衬里之间的附着强度≥30N/25mm，延伸率≤3%，膨胀率≤5%，扯断伸长率≥350%，扯断强度≥30MPa；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left w:val="single" w:color="auto" w:sz="4" w:space="0"/>
              <w:right w:val="single" w:color="auto" w:sz="4" w:space="0"/>
            </w:tcBorders>
            <w:tcW w:w="1146"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48"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4.水带口径为40mm，长度≥30m；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tcBorders>
              <w:left w:val="single" w:color="auto" w:sz="4" w:space="0"/>
              <w:bottom w:val="single" w:color="auto" w:sz="4" w:space="0"/>
              <w:right w:val="single" w:color="auto" w:sz="4" w:space="0"/>
            </w:tcBorders>
            <w:tcW w:w="1146"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48"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5.供货时，水带两头均配有40mm口径的快速接口(卡式)，水带和接口捆绑处有水带护套。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消火栓转换接口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p>
    <w:tbl>
      <w:tblPr>
        <w:tblStyle w:val="8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160"/>
        <w:gridCol w:w="333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33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16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消火栓转换接口</w:t>
            </w:r>
            <w:r/>
          </w:p>
        </w:tc>
        <w:tc>
          <w:tcPr>
            <w:tcBorders>
              <w:top w:val="single" w:color="auto" w:sz="4" w:space="0"/>
              <w:left w:val="single" w:color="auto" w:sz="4" w:space="0"/>
              <w:bottom w:val="single" w:color="auto" w:sz="4" w:space="0"/>
              <w:right w:val="single" w:color="auto" w:sz="4" w:space="0"/>
            </w:tcBorders>
            <w:tcW w:w="3334" w:type="dxa"/>
            <w:textDirection w:val="lrTb"/>
            <w:noWrap w:val="false"/>
          </w:tcPr>
          <w:p>
            <w:pPr>
              <w:numPr>
                <w:ilvl w:val="0"/>
                <w:numId w:val="0"/>
              </w:numPr>
              <w:ind w:left="0" w:right="0" w:firstLine="0"/>
              <w:jc w:val="left"/>
              <w:rPr>
                <w:rFonts w:ascii="仿宋" w:hAnsi="仿宋" w:eastAsia="仿宋"/>
                <w:color w:val="auto"/>
                <w:sz w:val="24"/>
                <w:highlight w:val="none"/>
              </w:rPr>
            </w:pPr>
            <w:r>
              <w:rPr>
                <w:rFonts w:hint="eastAsia" w:ascii="仿宋" w:hAnsi="仿宋" w:eastAsia="仿宋" w:cs="仿宋"/>
                <w:b/>
                <w:bCs/>
                <w:i w:val="0"/>
                <w:iCs w:val="0"/>
                <w:color w:val="auto"/>
                <w:sz w:val="24"/>
                <w:szCs w:val="24"/>
                <w:highlight w:val="none"/>
                <w:u w:val="none"/>
                <w:lang w:val="en-US" w:eastAsia="zh-CN"/>
              </w:rPr>
              <w:t xml:space="preserve">★1.符合 GB12514.1-2005《消防接口 第1部分:消防接口通用技术条件》和GB12514.3-2006《消防接口 第3部分:卡式消防接口型式和基本参数》的标准要求，须提供国家认可的检测机构出具的检测检验报告；</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116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34" w:type="dxa"/>
            <w:textDirection w:val="lrTb"/>
            <w:noWrap w:val="false"/>
          </w:tcPr>
          <w:p>
            <w:pPr>
              <w:numPr>
                <w:ilvl w:val="0"/>
                <w:numId w:val="0"/>
              </w:num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2.公称压力≥1.6MPa；</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left w:val="single" w:color="auto" w:sz="4" w:space="0"/>
              <w:bottom w:val="single" w:color="auto" w:sz="4" w:space="0"/>
              <w:right w:val="single" w:color="auto" w:sz="4" w:space="0"/>
            </w:tcBorders>
            <w:tcW w:w="116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334"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3.供货时，型号规格：65mm内扣接口转40mm卡式母口。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40mm消防水枪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p>
    <w:tbl>
      <w:tblPr>
        <w:tblStyle w:val="8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200"/>
        <w:gridCol w:w="329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29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20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40mm消防水枪</w:t>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b/>
                <w:bCs/>
                <w:i w:val="0"/>
                <w:iCs w:val="0"/>
                <w:color w:val="auto"/>
                <w:sz w:val="24"/>
                <w:szCs w:val="24"/>
                <w:highlight w:val="none"/>
                <w:u w:val="none"/>
                <w:lang w:val="en-US" w:eastAsia="zh-CN"/>
              </w:rPr>
              <w:t xml:space="preserve">★1.符合GB8181-2005《消防水枪》的标准要求，须提供国家认可的检测机构出具的检测检验报告；</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2.直流射程≥30m；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left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3.直流流量≥6L/s、最大喷雾角时的流量≥6.5L/s；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left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4.通过旋转枪头实行直流和喷雾形式的转换，接口公称直径：40mm；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tcBorders>
              <w:left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5.喷雾角最小调节范围（°）：0-100；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tcBorders>
              <w:left w:val="single" w:color="auto" w:sz="4" w:space="0"/>
              <w:bottom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6.操作力矩（N·m）≤15。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化学氧自救呼吸器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p>
    <w:tbl>
      <w:tblPr>
        <w:tblStyle w:val="86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200"/>
        <w:gridCol w:w="3294"/>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29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20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化学氧自救呼吸器</w:t>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b/>
                <w:bCs/>
                <w:i w:val="0"/>
                <w:iCs w:val="0"/>
                <w:color w:val="auto"/>
                <w:sz w:val="24"/>
                <w:szCs w:val="24"/>
                <w:highlight w:val="none"/>
                <w:u w:val="none"/>
                <w:lang w:val="en-US" w:eastAsia="zh-CN"/>
              </w:rPr>
              <w:t xml:space="preserve">★1.符合XF411-2003《化学氧消防自救呼吸器》的标准要求，须提供国家认可的检测机构出具的检测检验报告；</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left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2.额定防护时间≥30min；</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left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3.佩戴质量≤1.8kg；</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left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4.贮气袋容积≥6L；</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tcBorders>
              <w:left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5.吸气中二氧化碳浓度（最大值）：≤3.0%；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tcBorders>
              <w:left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6.吸气中氧气浓度：≥21%；</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p>
        </w:tc>
        <w:tc>
          <w:tcPr>
            <w:tcBorders>
              <w:left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7.呼吸阻力之和（Pa）：≤1600；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8</w:t>
            </w:r>
            <w:r/>
          </w:p>
        </w:tc>
        <w:tc>
          <w:tcPr>
            <w:tcBorders>
              <w:left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ind w:left="0" w:right="0" w:firstLine="0"/>
              <w:jc w:val="left"/>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8.面罩漏气系数（%）：≤5；</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9</w:t>
            </w:r>
            <w:r/>
          </w:p>
        </w:tc>
        <w:tc>
          <w:tcPr>
            <w:tcBorders>
              <w:left w:val="single" w:color="auto" w:sz="4" w:space="0"/>
              <w:bottom w:val="single" w:color="auto" w:sz="4" w:space="0"/>
              <w:right w:val="single" w:color="auto" w:sz="4" w:space="0"/>
            </w:tcBorders>
            <w:tcW w:w="1200"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9.呼吸系统气密性（Pa）：≤98。</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422"/>
        <w:rPr>
          <w:rFonts w:ascii="仿宋" w:hAnsi="仿宋" w:eastAsia="仿宋"/>
          <w:bCs/>
          <w:color w:val="auto"/>
          <w:sz w:val="28"/>
          <w:szCs w:val="28"/>
          <w:highlight w:val="none"/>
        </w:rPr>
        <w:outlineLvl w:val="9"/>
      </w:pPr>
      <w:r>
        <w:rPr>
          <w:rFonts w:hint="eastAsia" w:ascii="仿宋" w:hAnsi="仿宋" w:eastAsia="仿宋"/>
          <w:b/>
          <w:color w:val="auto"/>
          <w:szCs w:val="21"/>
          <w:highlight w:val="none"/>
        </w:rPr>
        <w:t xml:space="preserve">注：供应商应当明确响应产品的品牌、型号和具体技术指标数值，否则作为无效响应处理。</w:t>
      </w: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四</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商务部分正负偏离表</w:t>
      </w:r>
      <w:r/>
    </w:p>
    <w:p>
      <w:pPr>
        <w:jc w:val="center"/>
        <w:rPr>
          <w:rFonts w:ascii="方正小标宋简体" w:hAnsi="宋体" w:eastAsia="方正小标宋简体"/>
          <w:color w:val="auto"/>
          <w:sz w:val="32"/>
          <w:szCs w:val="32"/>
          <w:highlight w:val="none"/>
        </w:rPr>
        <w:outlineLvl w:val="9"/>
      </w:pPr>
      <w:r>
        <w:rPr>
          <w:rFonts w:hint="eastAsia" w:ascii="方正小标宋简体" w:hAnsi="宋体" w:eastAsia="方正小标宋简体"/>
          <w:color w:val="auto"/>
          <w:sz w:val="32"/>
          <w:szCs w:val="32"/>
          <w:highlight w:val="none"/>
        </w:rPr>
        <w:t xml:space="preserve">商务部分正负偏离表</w:t>
      </w:r>
      <w:r/>
    </w:p>
    <w:tbl>
      <w:tblPr>
        <w:tblStyle w:val="868"/>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424"/>
        <w:gridCol w:w="3261"/>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自签订合同之日起45个日历天内完成供货，具体时间以采购人通知为准。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jc w:val="left"/>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424"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验收方案</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1.交供应商向采购人提供详细的设备供货清单，由采购人确认。当货物到达采购人指定的现场后，采购人和成交供应商依据供货清单共同对货物进行检验，并对设备的数量、品质进行逐项检查；</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4</w:t>
            </w:r>
            <w:r/>
          </w:p>
        </w:tc>
        <w:tc>
          <w:tcPr>
            <w:tcBorders>
              <w:left w:val="single" w:color="auto" w:sz="4" w:space="0"/>
              <w:right w:val="single" w:color="auto" w:sz="4" w:space="0"/>
            </w:tcBorders>
            <w:tcW w:w="1424"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2.验收以最终采购人及相关部门（如有）验收为准。响应货物和设备经过双方检验认可后，签署验收报告，货物保修期自验收合格之日起算，由成交供应商提供货物保修文件；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5</w:t>
            </w:r>
            <w:r/>
          </w:p>
        </w:tc>
        <w:tc>
          <w:tcPr>
            <w:tcBorders>
              <w:left w:val="single" w:color="auto" w:sz="4" w:space="0"/>
              <w:bottom w:val="single" w:color="auto" w:sz="4" w:space="0"/>
              <w:right w:val="single" w:color="auto" w:sz="4" w:space="0"/>
            </w:tcBorders>
            <w:tcW w:w="1424"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 验收要求</w:t>
            </w:r>
            <w:r/>
          </w:p>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成交供应商必须严格按照响应时所投原产品品牌进行供货，提供货物绝不低于采购文件规定的规格和材质要求，如果采购人发现一件产品不符合国家标准及采购文件要求，成交供应商需无条件退货，并按照合同总价款的20%违约金无条件支付给采购人，违约金从采购人应付成交供应商的任何款项中支付。同时采购人有权终止合同，并保留追究成交供应商责任的权利。</w:t>
            </w:r>
            <w:r/>
          </w:p>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（2）验收标准：成交供应商提供的货物必须符合我国最新颁布的与之相关的技术规范与标准，同时必须满足采购文件中所列规格、具体配置、技术条件及功能要求和成交供应商承诺的其它指标。</w:t>
            </w:r>
            <w:r/>
          </w:p>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（3）在质保期内，如果标的物的数量、质量或规格与合同不符或证实标的物是具有缺陷的，包括潜在缺陷或使用不符合要求的材料等，采购人将以书面形式通知成交供应商并提出索赔。</w:t>
            </w:r>
            <w:r/>
          </w:p>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（4）验收期限在安装调试结束60个工作日内进行。特殊情况需延长的，双方应特别约定。</w:t>
            </w:r>
            <w:r/>
          </w:p>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验收结果经双方确认后，双方代表须按规定的验收项目填好《如皋市政府项目履约验收报告书》并盖章签名。履行验收报告作为最终付款所需文件的组成部分。如双方对验收结果有分歧，则以项目所在地产品质量监督检验所的检验结果为准，检验费由有过失的一方支付。</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6</w:t>
            </w:r>
            <w:r/>
          </w:p>
        </w:tc>
        <w:tc>
          <w:tcPr>
            <w:tcBorders>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480"/>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自交货并验收合格之日起计</w:t>
            </w:r>
            <w:r>
              <w:rPr>
                <w:rFonts w:hint="eastAsia" w:ascii="仿宋" w:hAnsi="仿宋" w:eastAsia="仿宋" w:cs="仿宋"/>
                <w:b w:val="0"/>
                <w:bCs w:val="0"/>
                <w:color w:val="auto"/>
                <w:sz w:val="24"/>
                <w:szCs w:val="24"/>
                <w:highlight w:val="none"/>
                <w:lang w:val="en-US" w:eastAsia="zh-CN"/>
              </w:rPr>
              <w:t xml:space="preserve">壹</w:t>
            </w:r>
            <w:r>
              <w:rPr>
                <w:rFonts w:hint="eastAsia" w:ascii="仿宋" w:hAnsi="仿宋" w:eastAsia="仿宋" w:cs="仿宋"/>
                <w:b w:val="0"/>
                <w:bCs w:val="0"/>
                <w:color w:val="auto"/>
                <w:sz w:val="24"/>
                <w:szCs w:val="24"/>
                <w:highlight w:val="none"/>
              </w:rPr>
              <w:t xml:space="preserve">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7</w:t>
            </w:r>
            <w:r/>
          </w:p>
        </w:tc>
        <w:tc>
          <w:tcPr>
            <w:tcBorders>
              <w:left w:val="single" w:color="auto" w:sz="4" w:space="0"/>
              <w:right w:val="single" w:color="auto" w:sz="4" w:space="0"/>
            </w:tcBorders>
            <w:tcW w:w="1424"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1.成交供应商货物经过双方检验认可后，签署验收报告，免费质量保证期</w:t>
            </w:r>
            <w:r>
              <w:rPr>
                <w:rFonts w:hint="eastAsia" w:ascii="仿宋" w:hAnsi="仿宋" w:eastAsia="仿宋" w:cs="仿宋"/>
                <w:b w:val="0"/>
                <w:bCs w:val="0"/>
                <w:color w:val="auto"/>
                <w:sz w:val="24"/>
                <w:szCs w:val="24"/>
                <w:highlight w:val="none"/>
                <w:lang w:val="en-US" w:eastAsia="zh-CN"/>
              </w:rPr>
              <w:t xml:space="preserve">壹年</w:t>
            </w:r>
            <w:r>
              <w:rPr>
                <w:rFonts w:hint="eastAsia" w:ascii="仿宋" w:hAnsi="仿宋" w:eastAsia="仿宋" w:cs="仿宋"/>
                <w:b w:val="0"/>
                <w:bCs w:val="0"/>
                <w:color w:val="auto"/>
                <w:sz w:val="24"/>
                <w:szCs w:val="24"/>
                <w:highlight w:val="none"/>
              </w:rPr>
              <w:t xml:space="preserve">（采购文件具体技术要求另有说明的除外），质量保证期自货物验收合格之日起算，由成交供应商提供货物保修文件。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8</w:t>
            </w:r>
            <w:r/>
          </w:p>
        </w:tc>
        <w:tc>
          <w:tcPr>
            <w:tcBorders>
              <w:left w:val="single" w:color="auto" w:sz="4" w:space="0"/>
              <w:right w:val="single" w:color="auto" w:sz="4" w:space="0"/>
            </w:tcBorders>
            <w:tcW w:w="1424"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在质保期内出现质量问题，成交供应商需在2小时内响应，12小时内赶到现场提供免费服务,并在3天内完成修复或更换，无法修复或经过两次修复仍出现质量问题，予以换货，造成采购单位的损失，由成交供应商负责，采购单位应尽快以书面形式或口头通知成交供应商，并向成交供应商提出索赔。如成交供应商在接到通知后3天内没有答复或处理问题，则视为成交供应商承认质量问题并承担由此而发生的一切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9</w:t>
            </w:r>
            <w:r/>
          </w:p>
        </w:tc>
        <w:tc>
          <w:tcPr>
            <w:tcBorders>
              <w:left w:val="single" w:color="auto" w:sz="4" w:space="0"/>
              <w:right w:val="single" w:color="auto" w:sz="4" w:space="0"/>
            </w:tcBorders>
            <w:tcW w:w="1424"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3.在免费质保期内设备发生非人为故障，响应供应商应免费上门检修维修，免费更换零部件，并免费上门进行定期检查维护保养、解决用户在使用中出现的疑难。保修期内免费进行检修或更换零配件。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10</w:t>
            </w:r>
            <w:r/>
          </w:p>
        </w:tc>
        <w:tc>
          <w:tcPr>
            <w:tcBorders>
              <w:left w:val="single" w:color="auto" w:sz="4" w:space="0"/>
              <w:right w:val="single" w:color="auto" w:sz="4" w:space="0"/>
            </w:tcBorders>
            <w:tcW w:w="1424"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4.成交供应商须提供全面使用、维护培训。响应供应商应对所投设备进行调试并对采购人操作人员提供不少于5天的现场实地操作培训。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11</w:t>
            </w:r>
            <w:r/>
          </w:p>
        </w:tc>
        <w:tc>
          <w:tcPr>
            <w:tcBorders>
              <w:left w:val="single" w:color="auto" w:sz="4" w:space="0"/>
              <w:bottom w:val="single" w:color="auto" w:sz="4" w:space="0"/>
              <w:right w:val="single" w:color="auto" w:sz="4" w:space="0"/>
            </w:tcBorders>
            <w:tcW w:w="1424"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5.质保期满以后，成交供应商应按同类货物的优惠价格提供保修服务。</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自</w:t>
            </w:r>
            <w:r>
              <w:rPr>
                <w:rFonts w:hint="eastAsia" w:ascii="仿宋" w:hAnsi="仿宋" w:eastAsia="仿宋" w:cs="仿宋"/>
                <w:b w:val="0"/>
                <w:bCs w:val="0"/>
                <w:color w:val="auto"/>
                <w:sz w:val="24"/>
                <w:szCs w:val="24"/>
                <w:highlight w:val="none"/>
              </w:rPr>
              <w:t xml:space="preserve">交货</w:t>
            </w:r>
            <w:r>
              <w:rPr>
                <w:rFonts w:hint="eastAsia" w:ascii="仿宋" w:hAnsi="仿宋" w:eastAsia="仿宋" w:cs="仿宋"/>
                <w:b w:val="0"/>
                <w:bCs w:val="0"/>
                <w:color w:val="auto"/>
                <w:sz w:val="24"/>
                <w:szCs w:val="24"/>
                <w:highlight w:val="none"/>
                <w:lang w:val="en-US" w:eastAsia="zh-CN"/>
              </w:rPr>
              <w:t xml:space="preserve">验收合格后支付合同价的98%，设备正常使用12个月后付清尾款。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t xml:space="preserve">磋商过程中可能会实质性变动的内容</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采购需求中的技术、服务要求以及合同草案条款</w:t>
            </w:r>
            <w:r>
              <w:rPr>
                <w:rFonts w:hint="eastAsia" w:ascii="仿宋" w:hAnsi="仿宋" w:eastAsia="仿宋" w:cs="仿宋"/>
                <w:b w:val="0"/>
                <w:bCs w:val="0"/>
                <w:color w:val="auto"/>
                <w:sz w:val="24"/>
                <w:szCs w:val="24"/>
                <w:highlight w:val="none"/>
                <w:lang w:eastAsia="zh-CN"/>
              </w:rPr>
              <w:t xml:space="preserve">。</w:t>
            </w:r>
            <w:r/>
          </w:p>
          <w:p>
            <w:pPr>
              <w:ind w:firstLine="560"/>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14</w:t>
            </w:r>
            <w:r/>
          </w:p>
        </w:tc>
        <w:tc>
          <w:tcPr>
            <w:tcBorders>
              <w:top w:val="single" w:color="auto" w:sz="4" w:space="0"/>
              <w:left w:val="single" w:color="auto" w:sz="4" w:space="0"/>
              <w:right w:val="single" w:color="auto" w:sz="4" w:space="0"/>
            </w:tcBorders>
            <w:tcW w:w="1424"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本项目报价方式：本项目采用总价报价。响应供应商报价应包括完成本项目所需供货的材料货物、人工、备品、备件、辅配件、专用工具、包装就运输至最终目的地的运输、保险、检测验收、安装、调试、技术支持与培训、售后服务与维保、代理服务费等一切费用及政策性文件规定及合同包含的所有风险、责任等各项应有费用，采购人不再支付其他任何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15</w:t>
            </w:r>
            <w:r/>
          </w:p>
        </w:tc>
        <w:tc>
          <w:tcPr>
            <w:tcBorders>
              <w:left w:val="single" w:color="auto" w:sz="4" w:space="0"/>
              <w:bottom w:val="single" w:color="auto" w:sz="4" w:space="0"/>
              <w:right w:val="single" w:color="auto" w:sz="4" w:space="0"/>
            </w:tcBorders>
            <w:tcW w:w="1424"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480"/>
              <w:jc w:val="left"/>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响应供应商应对采购文件内的全部内容进行报价，采购文件未列明，而供应商认为其他必需的费用也需列入报价。在合同实施时，采购方将不予支付成交供应商任何其他增项费用。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16</w:t>
            </w:r>
            <w:r/>
          </w:p>
        </w:tc>
        <w:tc>
          <w:tcPr>
            <w:tcBorders>
              <w:top w:val="single" w:color="auto" w:sz="4" w:space="0"/>
              <w:left w:val="single" w:color="auto" w:sz="4" w:space="0"/>
              <w:right w:val="single" w:color="auto" w:sz="4" w:space="0"/>
            </w:tcBorders>
            <w:tcW w:w="1424"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jc w:val="left"/>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rPr>
              <w:t xml:space="preserve">供应商</w:t>
            </w:r>
            <w:r>
              <w:rPr>
                <w:rFonts w:hint="eastAsia" w:ascii="仿宋" w:hAnsi="仿宋" w:eastAsia="仿宋" w:cs="仿宋"/>
                <w:b w:val="0"/>
                <w:bCs w:val="0"/>
                <w:color w:val="auto"/>
                <w:sz w:val="24"/>
                <w:szCs w:val="24"/>
                <w:highlight w:val="none"/>
                <w:lang w:val="en-US" w:eastAsia="zh-CN"/>
              </w:rPr>
              <w:t xml:space="preserve">成交</w:t>
            </w:r>
            <w:r>
              <w:rPr>
                <w:rFonts w:hint="eastAsia" w:ascii="仿宋" w:hAnsi="仿宋" w:eastAsia="仿宋" w:cs="仿宋"/>
                <w:b w:val="0"/>
                <w:bCs w:val="0"/>
                <w:color w:val="auto"/>
                <w:sz w:val="24"/>
                <w:szCs w:val="24"/>
                <w:highlight w:val="none"/>
              </w:rPr>
              <w:t xml:space="preserve">后不得将</w:t>
            </w:r>
            <w:r>
              <w:rPr>
                <w:rFonts w:hint="eastAsia" w:ascii="仿宋" w:hAnsi="仿宋" w:eastAsia="仿宋" w:cs="仿宋"/>
                <w:b w:val="0"/>
                <w:bCs w:val="0"/>
                <w:color w:val="auto"/>
                <w:sz w:val="24"/>
                <w:szCs w:val="24"/>
                <w:highlight w:val="none"/>
                <w:lang w:val="en-US" w:eastAsia="zh-CN"/>
              </w:rPr>
              <w:t xml:space="preserve">成交</w:t>
            </w:r>
            <w:r>
              <w:rPr>
                <w:rFonts w:hint="eastAsia" w:ascii="仿宋" w:hAnsi="仿宋" w:eastAsia="仿宋" w:cs="仿宋"/>
                <w:b w:val="0"/>
                <w:bCs w:val="0"/>
                <w:color w:val="auto"/>
                <w:sz w:val="24"/>
                <w:szCs w:val="24"/>
                <w:highlight w:val="none"/>
              </w:rPr>
              <w:t xml:space="preserve">项目分包或者转让给其他主体实施。</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17</w:t>
            </w:r>
            <w:r/>
          </w:p>
        </w:tc>
        <w:tc>
          <w:tcPr>
            <w:tcBorders>
              <w:left w:val="single" w:color="auto" w:sz="4" w:space="0"/>
              <w:right w:val="single" w:color="auto" w:sz="4" w:space="0"/>
            </w:tcBorders>
            <w:tcW w:w="1424"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contextualSpacing/>
              <w:jc w:val="left"/>
              <w:keepLines w:val="0"/>
              <w:keepNext w:val="0"/>
              <w:pageBreakBefore w:val="0"/>
              <w:spacing w:line="300" w:lineRule="exact"/>
              <w:shd w:val="clear" w:color="auto" w:fill="ffffff"/>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rPr>
              <w:t xml:space="preserve">成交人应保证货物是全新、未使用过的，是用一流的工艺和最佳材料制造的原装合格正品，并完全符合合同规定的质量、规格和性能的要求。成交人应保证其货物在正确安装、正常使用和保养条件下，在其使用寿命期内应具有满意的性能。货物最终验收后，在质量保证期内，成交人应对由于设计、工艺或材料的缺陷而发生的任何不足或故障负责，费用由成交供应商负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18</w:t>
            </w:r>
            <w:r/>
          </w:p>
        </w:tc>
        <w:tc>
          <w:tcPr>
            <w:tcBorders>
              <w:left w:val="single" w:color="auto" w:sz="4" w:space="0"/>
              <w:bottom w:val="single" w:color="auto" w:sz="4" w:space="0"/>
              <w:right w:val="single" w:color="auto" w:sz="4" w:space="0"/>
            </w:tcBorders>
            <w:tcW w:w="1424" w:type="dxa"/>
            <w:vAlign w:val="center"/>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contextualSpacing/>
              <w:jc w:val="left"/>
              <w:keepLines w:val="0"/>
              <w:keepNext w:val="0"/>
              <w:pageBreakBefore w:val="0"/>
              <w:spacing w:line="300" w:lineRule="exact"/>
              <w:shd w:val="clear" w:color="auto" w:fill="ffffff"/>
              <w:widowControl/>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rPr>
              <w:t xml:space="preserve">根据</w:t>
            </w:r>
            <w:r>
              <w:rPr>
                <w:rFonts w:hint="eastAsia" w:ascii="仿宋" w:hAnsi="仿宋" w:eastAsia="仿宋" w:cs="仿宋"/>
                <w:b w:val="0"/>
                <w:bCs w:val="0"/>
                <w:color w:val="auto"/>
                <w:sz w:val="24"/>
                <w:szCs w:val="24"/>
                <w:highlight w:val="none"/>
                <w:lang w:val="en-US" w:eastAsia="zh-CN"/>
              </w:rPr>
              <w:t xml:space="preserve">国家认可的</w:t>
            </w:r>
            <w:r>
              <w:rPr>
                <w:rFonts w:hint="eastAsia" w:ascii="仿宋" w:hAnsi="仿宋" w:eastAsia="仿宋" w:cs="仿宋"/>
                <w:b w:val="0"/>
                <w:bCs w:val="0"/>
                <w:color w:val="auto"/>
                <w:sz w:val="24"/>
                <w:szCs w:val="24"/>
                <w:highlight w:val="none"/>
              </w:rPr>
              <w:t xml:space="preserve">质检部门检验结果或者在质量保证期内，如果货物的数量、质量或规格与合同不符，或证明货物是有缺陷的，包括潜在的缺陷或使用不符合要求的材料等，采购人以书面形式向成交人提出本保证下的索赔。</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19</w:t>
            </w:r>
            <w:r/>
          </w:p>
        </w:tc>
        <w:tc>
          <w:tcPr>
            <w:tcBorders>
              <w:top w:val="single" w:color="auto" w:sz="4" w:space="0"/>
              <w:left w:val="single" w:color="auto" w:sz="4" w:space="0"/>
              <w:right w:val="single" w:color="auto" w:sz="4" w:space="0"/>
            </w:tcBorders>
            <w:tcW w:w="1424"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样品要求</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本项目须提供样品，详见样品清单。如响应供应商不提供样品或提供不全或样品不满足磋商文件技术参数要求的，则视为响应供应商未实质性响应，为无效响应文件。评审时，评审小组可能会对样品进行破坏性检测。</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20</w:t>
            </w:r>
            <w:r/>
          </w:p>
        </w:tc>
        <w:tc>
          <w:tcPr>
            <w:tcBorders>
              <w:left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（1）开标前，请各供应商在2026年06月30日8时30分至2026年06月30日9时00分间提交样品，逾期不予接收。</w:t>
            </w:r>
            <w:r/>
          </w:p>
          <w:p>
            <w:pPr>
              <w:ind w:firstLine="560"/>
              <w:jc w:val="left"/>
              <w:keepLines w:val="0"/>
              <w:keepNext w:val="0"/>
              <w:pageBreakBefore w:val="0"/>
              <w:spacing w:line="30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样品接收地点：如皋市公共资源交易中心三楼（惠政路1799号，如皋市公安局南大门对面，可导航至如皋市公共资源交易中心）</w:t>
            </w:r>
            <w:r/>
          </w:p>
          <w:p>
            <w:pPr>
              <w:ind w:firstLine="560"/>
              <w:jc w:val="left"/>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接收人员：魏书丽，联系方式：15051237698  </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21</w:t>
            </w:r>
            <w:r/>
          </w:p>
        </w:tc>
        <w:tc>
          <w:tcPr>
            <w:tcBorders>
              <w:left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（2）开标结束后，采购人将对成交供应商的样品进行封存，作为后期项目验收核实的依据；其余供应商的样品必须于评审结束后及时搬离样品存放区，采购人、采购代理公司不承担样品的保管责任。</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22</w:t>
            </w:r>
            <w:r/>
          </w:p>
        </w:tc>
        <w:tc>
          <w:tcPr>
            <w:tcBorders>
              <w:left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（3）密封要求：提供的样品须装箱密封，样品上不能标注品牌、制造厂家或具有供应商单位的标志（如有，必须有效遮盖），否则视为无效响应。评审小组以样品编号为单位进行独立评定。</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23</w:t>
            </w:r>
            <w:r/>
          </w:p>
        </w:tc>
        <w:tc>
          <w:tcPr>
            <w:tcBorders>
              <w:left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（4）采购人及代理机构均不承担样品制造及送达所产生的任何费用。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rHeight w:val="1190"/>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24</w:t>
            </w:r>
            <w:r/>
          </w:p>
        </w:tc>
        <w:tc>
          <w:tcPr>
            <w:tcBorders>
              <w:left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（5）样品清单①采购包一</w:t>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1424"/>
              <w:gridCol w:w="537"/>
              <w:gridCol w:w="537"/>
            </w:tblGrid>
            <w:tr>
              <w:trPr>
                <w:jc w:val="center"/>
                <w:trHeight w:val="378"/>
              </w:trPr>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序号</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名称</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数量</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备注</w:t>
                  </w:r>
                  <w:r/>
                </w:p>
              </w:tc>
            </w:tr>
            <w:tr>
              <w:trPr>
                <w:jc w:val="center"/>
                <w:trHeight w:val="378"/>
              </w:trPr>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w:t>
                  </w:r>
                  <w:r/>
                </w:p>
              </w:tc>
              <w:tc>
                <w:tcPr>
                  <w:shd w:val="clear" w:color="auto" w:fill="auto"/>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灭火防护服（尺码不限）</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w:t>
                  </w:r>
                  <w:r/>
                </w:p>
              </w:tc>
              <w:tc>
                <w:tcPr>
                  <w:tcW w:w="0" w:type="auto"/>
                  <w:vAlign w:val="center"/>
                  <w:vMerge w:val="restart"/>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w:t>
                  </w:r>
                  <w:r/>
                </w:p>
              </w:tc>
            </w:tr>
            <w:tr>
              <w:trPr>
                <w:jc w:val="center"/>
                <w:trHeight w:val="384"/>
              </w:trPr>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2</w:t>
                  </w:r>
                  <w:r/>
                </w:p>
              </w:tc>
              <w:tc>
                <w:tcPr>
                  <w:shd w:val="clear" w:color="auto" w:fill="auto"/>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小型灭火携行包</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w:t>
                  </w:r>
                  <w:r/>
                </w:p>
              </w:tc>
              <w:tc>
                <w:tcPr>
                  <w:tcW w:w="0" w:type="auto"/>
                  <w:vAlign w:val="center"/>
                  <w:vMerge w:val="continue"/>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r>
          </w:tbl>
          <w:p>
            <w:pPr>
              <w:ind w:firstLine="560"/>
              <w:jc w:val="left"/>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②采购包二</w:t>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1424"/>
              <w:gridCol w:w="537"/>
              <w:gridCol w:w="537"/>
            </w:tblGrid>
            <w:tr>
              <w:trPr>
                <w:jc w:val="center"/>
                <w:trHeight w:val="382"/>
              </w:trPr>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序号</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名称</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数量</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备注</w:t>
                  </w:r>
                  <w:r/>
                </w:p>
              </w:tc>
            </w:tr>
            <w:tr>
              <w:trPr>
                <w:jc w:val="center"/>
                <w:trHeight w:val="382"/>
              </w:trPr>
              <w:tc>
                <w:tcPr>
                  <w:tcW w:w="0" w:type="auto"/>
                  <w:vAlign w:val="center"/>
                  <w:textDirection w:val="lrTb"/>
                  <w:noWrap w:val="false"/>
                </w:tcPr>
                <w:p>
                  <w:pPr>
                    <w:ind w:left="0" w:right="0" w:firstLine="0"/>
                    <w:jc w:val="center"/>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u w:val="none"/>
                      <w:lang w:val="en-US" w:eastAsia="zh-CN"/>
                    </w:rPr>
                    <w:t xml:space="preserve">1</w:t>
                  </w:r>
                  <w:r/>
                </w:p>
              </w:tc>
              <w:tc>
                <w:tcPr>
                  <w:shd w:val="clear" w:color="auto" w:fill="auto"/>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新能源灭火装置</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w:t>
                  </w:r>
                  <w:r/>
                </w:p>
              </w:tc>
              <w:tc>
                <w:tcPr>
                  <w:tcW w:w="0" w:type="auto"/>
                  <w:vAlign w:val="center"/>
                  <w:vMerge w:val="restart"/>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w:t>
                  </w:r>
                  <w:r/>
                </w:p>
              </w:tc>
            </w:tr>
            <w:tr>
              <w:trPr>
                <w:jc w:val="center"/>
                <w:trHeight w:val="382"/>
              </w:trPr>
              <w:tc>
                <w:tcPr>
                  <w:tcW w:w="0" w:type="auto"/>
                  <w:vAlign w:val="center"/>
                  <w:textDirection w:val="lrTb"/>
                  <w:noWrap w:val="false"/>
                </w:tcPr>
                <w:p>
                  <w:pPr>
                    <w:ind w:left="0" w:right="0" w:firstLine="0"/>
                    <w:jc w:val="center"/>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u w:val="none"/>
                      <w:lang w:val="en-US" w:eastAsia="zh-CN"/>
                    </w:rPr>
                    <w:t xml:space="preserve">2</w:t>
                  </w:r>
                  <w:r/>
                </w:p>
              </w:tc>
              <w:tc>
                <w:tcPr>
                  <w:shd w:val="clear" w:color="auto" w:fill="auto"/>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灭火毯（电动汽车用）</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w:t>
                  </w:r>
                  <w:r/>
                </w:p>
              </w:tc>
              <w:tc>
                <w:tcPr>
                  <w:tcW w:w="0" w:type="auto"/>
                  <w:vAlign w:val="center"/>
                  <w:vMerge w:val="continue"/>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r>
            <w:tr>
              <w:trPr>
                <w:jc w:val="center"/>
                <w:trHeight w:val="388"/>
              </w:trPr>
              <w:tc>
                <w:tcPr>
                  <w:tcW w:w="0" w:type="auto"/>
                  <w:vAlign w:val="center"/>
                  <w:textDirection w:val="lrTb"/>
                  <w:noWrap w:val="false"/>
                </w:tcPr>
                <w:p>
                  <w:pPr>
                    <w:ind w:left="0" w:right="0" w:firstLine="0"/>
                    <w:jc w:val="center"/>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u w:val="none"/>
                      <w:lang w:val="en-US" w:eastAsia="zh-CN"/>
                    </w:rPr>
                    <w:t xml:space="preserve">3</w:t>
                  </w:r>
                  <w:r/>
                </w:p>
              </w:tc>
              <w:tc>
                <w:tcPr>
                  <w:shd w:val="clear" w:color="auto" w:fill="auto"/>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灭火毯（电动自行车用）</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1</w:t>
                  </w:r>
                  <w:r/>
                </w:p>
              </w:tc>
              <w:tc>
                <w:tcPr>
                  <w:tcW w:w="0" w:type="auto"/>
                  <w:vAlign w:val="center"/>
                  <w:vMerge w:val="continue"/>
                  <w:textDirection w:val="lrTb"/>
                  <w:noWrap w:val="false"/>
                </w:tcPr>
                <w:p>
                  <w:pPr>
                    <w:ind w:left="0" w:right="0" w:firstLine="0"/>
                    <w:jc w:val="center"/>
                    <w:keepLines w:val="0"/>
                    <w:keepNext w:val="0"/>
                    <w:pageBreakBefore w:val="0"/>
                    <w:spacing w:before="0" w:beforeAutospacing="0" w:after="0" w:afterAutospacing="0" w:line="300" w:lineRule="exact"/>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r>
                  <w:r/>
                </w:p>
              </w:tc>
            </w:tr>
          </w:tbl>
          <w:p>
            <w:pPr>
              <w:ind w:firstLine="560"/>
              <w:jc w:val="left"/>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③采购包三</w:t>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060"/>
              <w:gridCol w:w="517"/>
              <w:gridCol w:w="942"/>
            </w:tblGrid>
            <w:tr>
              <w:trPr>
                <w:jc w:val="center"/>
                <w:trHeight w:val="405"/>
              </w:trPr>
              <w:tc>
                <w:tcPr>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序号</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名称</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数量</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备注</w:t>
                  </w:r>
                  <w:r/>
                </w:p>
              </w:tc>
            </w:tr>
            <w:tr>
              <w:trPr>
                <w:jc w:val="center"/>
                <w:trHeight w:val="405"/>
              </w:trPr>
              <w:tc>
                <w:tcPr>
                  <w:tcW w:w="0" w:type="auto"/>
                  <w:vAlign w:val="center"/>
                  <w:textDirection w:val="lrTb"/>
                  <w:noWrap w:val="false"/>
                </w:tcPr>
                <w:p>
                  <w:pPr>
                    <w:ind w:left="0" w:right="0" w:firstLine="0"/>
                    <w:jc w:val="center"/>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1</w:t>
                  </w:r>
                  <w:r/>
                </w:p>
              </w:tc>
              <w:tc>
                <w:tcPr>
                  <w:shd w:val="clear" w:color="auto" w:fill="auto"/>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40mm消防水带</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0" w:type="auto"/>
                  <w:vAlign w:val="center"/>
                  <w:vMerge w:val="restart"/>
                  <w:textDirection w:val="lrTb"/>
                  <w:noWrap w:val="false"/>
                </w:tcPr>
                <w:p>
                  <w:pPr>
                    <w:ind w:left="0" w:right="0" w:firstLine="0"/>
                    <w:jc w:val="center"/>
                    <w:keepLines w:val="0"/>
                    <w:keepNext w:val="0"/>
                    <w:pageBreakBefore w:val="0"/>
                    <w:spacing w:before="0" w:beforeAutospacing="0" w:after="0" w:afterAutospacing="0" w:line="500" w:lineRule="exact"/>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随样品提供检测报告</w:t>
                  </w:r>
                  <w:r/>
                </w:p>
              </w:tc>
            </w:tr>
            <w:tr>
              <w:trPr>
                <w:jc w:val="center"/>
                <w:trHeight w:val="492"/>
              </w:trPr>
              <w:tc>
                <w:tcPr>
                  <w:tcW w:w="0" w:type="auto"/>
                  <w:vAlign w:val="center"/>
                  <w:textDirection w:val="lrTb"/>
                  <w:noWrap w:val="false"/>
                </w:tcPr>
                <w:p>
                  <w:pPr>
                    <w:jc w:val="center"/>
                    <w:spacing w:line="320" w:lineRule="exac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w:t>
                  </w:r>
                  <w:r/>
                </w:p>
              </w:tc>
              <w:tc>
                <w:tcPr>
                  <w:shd w:val="clear" w:color="auto" w:fill="auto"/>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消火栓转换接口</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0" w:type="auto"/>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r>
                  <w:r/>
                </w:p>
              </w:tc>
            </w:tr>
            <w:tr>
              <w:trPr>
                <w:jc w:val="center"/>
                <w:trHeight w:val="405"/>
              </w:trPr>
              <w:tc>
                <w:tcPr>
                  <w:tcW w:w="0" w:type="auto"/>
                  <w:vAlign w:val="center"/>
                  <w:textDirection w:val="lrTb"/>
                  <w:noWrap w:val="false"/>
                </w:tcPr>
                <w:p>
                  <w:pPr>
                    <w:ind w:left="0" w:right="0" w:firstLine="0"/>
                    <w:jc w:val="center"/>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3</w:t>
                  </w:r>
                  <w:r/>
                </w:p>
              </w:tc>
              <w:tc>
                <w:tcPr>
                  <w:shd w:val="clear" w:color="auto" w:fill="auto"/>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40mm消防水枪</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0" w:type="auto"/>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r>
                  <w:r/>
                </w:p>
              </w:tc>
            </w:tr>
            <w:tr>
              <w:trPr>
                <w:jc w:val="center"/>
                <w:trHeight w:val="418"/>
              </w:trPr>
              <w:tc>
                <w:tcPr>
                  <w:tcW w:w="0" w:type="auto"/>
                  <w:vAlign w:val="center"/>
                  <w:textDirection w:val="lrTb"/>
                  <w:noWrap w:val="false"/>
                </w:tcPr>
                <w:p>
                  <w:pPr>
                    <w:ind w:left="0" w:right="0" w:firstLine="0"/>
                    <w:jc w:val="center"/>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4</w:t>
                  </w:r>
                  <w:r/>
                </w:p>
              </w:tc>
              <w:tc>
                <w:tcPr>
                  <w:shd w:val="clear" w:color="auto" w:fill="auto"/>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化学氧自救呼吸器</w:t>
                  </w:r>
                  <w:r/>
                </w:p>
              </w:tc>
              <w:tc>
                <w:tcPr>
                  <w:tcW w:w="0" w:type="auto"/>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t xml:space="preserve">1</w:t>
                  </w:r>
                  <w:r/>
                </w:p>
              </w:tc>
              <w:tc>
                <w:tcPr>
                  <w:tcW w:w="0" w:type="auto"/>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仿宋" w:hAnsi="仿宋" w:eastAsia="仿宋"/>
                      <w:color w:val="auto"/>
                      <w:sz w:val="24"/>
                      <w:szCs w:val="24"/>
                      <w:highlight w:val="none"/>
                      <w:lang w:val="en-US" w:eastAsia="zh-CN"/>
                    </w:rPr>
                    <w:suppressLineNumbers w:val="0"/>
                  </w:pPr>
                  <w:r>
                    <w:rPr>
                      <w:rFonts w:hint="eastAsia" w:ascii="仿宋" w:hAnsi="仿宋" w:eastAsia="仿宋"/>
                      <w:color w:val="auto"/>
                      <w:sz w:val="24"/>
                      <w:szCs w:val="24"/>
                      <w:highlight w:val="none"/>
                      <w:lang w:val="en-US" w:eastAsia="zh-CN"/>
                    </w:rPr>
                  </w:r>
                  <w:r/>
                </w:p>
              </w:tc>
            </w:tr>
          </w:tbl>
          <w:p>
            <w:pPr>
              <w:ind w:firstLine="560"/>
              <w:jc w:val="left"/>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t xml:space="preserve">25</w:t>
            </w:r>
            <w:r/>
          </w:p>
        </w:tc>
        <w:tc>
          <w:tcPr>
            <w:tcBorders>
              <w:left w:val="single" w:color="auto" w:sz="4" w:space="0"/>
              <w:bottom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lang w:val="en-US" w:eastAsia="zh-CN"/>
              </w:rPr>
              <w:outlineLvl w:val="9"/>
            </w:pPr>
            <w:r>
              <w:rPr>
                <w:rFonts w:hint="eastAsia" w:ascii="仿宋" w:hAnsi="仿宋" w:eastAsia="仿宋" w:cs="仿宋"/>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keepLines w:val="0"/>
              <w:keepNext w:val="0"/>
              <w:pageBreakBefore w:val="0"/>
              <w:spacing w:line="3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在确认采购结果之前，采购人将对成交供应商响应文件中所提供的检测报告等证明文件进行核实，如发现虚假或不一致，则另行确定成交结果。</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rPr>
            </w:r>
            <w:r/>
          </w:p>
        </w:tc>
      </w:tr>
    </w:tbl>
    <w:p>
      <w:pPr>
        <w:rPr>
          <w:rFonts w:ascii="仿宋" w:hAnsi="仿宋" w:eastAsia="仿宋"/>
          <w:color w:val="auto"/>
          <w:szCs w:val="21"/>
          <w:highlight w:val="none"/>
        </w:rPr>
        <w:outlineLvl w:val="9"/>
      </w:pPr>
      <w:r>
        <w:rPr>
          <w:rFonts w:hint="eastAsia" w:ascii="仿宋" w:hAnsi="仿宋" w:eastAsia="仿宋"/>
          <w:color w:val="auto"/>
          <w:szCs w:val="21"/>
          <w:highlight w:val="none"/>
        </w:rPr>
        <w:t xml:space="preserve">注：按照竞争性磋商文件要求详细填列，可增减行。</w:t>
      </w:r>
      <w:r/>
    </w:p>
    <w:p>
      <w:pPr>
        <w:ind w:firstLine="560"/>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r>
      <w:r/>
    </w:p>
    <w:p>
      <w:pPr>
        <w:numPr>
          <w:ilvl w:val="0"/>
          <w:numId w:val="7"/>
        </w:numPr>
        <w:ind w:left="0" w:firstLine="560"/>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竞争性磋商文件规定提交的其他材料</w:t>
      </w:r>
      <w:r/>
    </w:p>
    <w:p>
      <w:pPr>
        <w:numPr>
          <w:ilvl w:val="0"/>
          <w:numId w:val="0"/>
        </w:numPr>
        <w:rPr>
          <w:rFonts w:hint="eastAsia" w:ascii="仿宋" w:hAnsi="仿宋" w:eastAsia="仿宋" w:cs="Times New Roman"/>
          <w:bCs/>
          <w:color w:val="auto"/>
          <w:sz w:val="28"/>
          <w:szCs w:val="28"/>
          <w:highlight w:val="none"/>
          <w:lang w:val="en-US" w:eastAsia="zh-CN"/>
        </w:rPr>
        <w:outlineLvl w:val="9"/>
      </w:pPr>
      <w:r>
        <w:rPr>
          <w:rFonts w:hint="eastAsia" w:ascii="仿宋" w:hAnsi="仿宋" w:eastAsia="仿宋" w:cs="Times New Roman"/>
          <w:bCs/>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产品性能</w:t>
      </w:r>
      <w:r>
        <w:rPr>
          <w:rFonts w:hint="eastAsia" w:ascii="仿宋" w:hAnsi="仿宋" w:eastAsia="仿宋" w:cs="仿宋"/>
          <w:color w:val="auto"/>
          <w:sz w:val="28"/>
          <w:szCs w:val="28"/>
          <w:highlight w:val="none"/>
          <w:lang w:eastAsia="zh-CN"/>
        </w:rPr>
        <w:t xml:space="preserve">；</w:t>
      </w:r>
      <w:r/>
    </w:p>
    <w:p>
      <w:pPr>
        <w:numPr>
          <w:ilvl w:val="0"/>
          <w:numId w:val="0"/>
        </w:numPr>
        <w:rPr>
          <w:rFonts w:hint="eastAsia" w:ascii="仿宋" w:hAnsi="仿宋" w:eastAsia="仿宋" w:cs="Times New Roman"/>
          <w:bCs/>
          <w:color w:val="auto"/>
          <w:sz w:val="28"/>
          <w:szCs w:val="28"/>
          <w:highlight w:val="none"/>
          <w:lang w:eastAsia="zh-CN"/>
        </w:rPr>
        <w:outlineLvl w:val="9"/>
      </w:pPr>
      <w:r>
        <w:rPr>
          <w:rFonts w:hint="eastAsia" w:ascii="仿宋" w:hAnsi="仿宋" w:eastAsia="仿宋" w:cs="Times New Roman"/>
          <w:bCs/>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业绩</w:t>
      </w:r>
      <w:r>
        <w:rPr>
          <w:rFonts w:hint="eastAsia" w:ascii="仿宋" w:hAnsi="仿宋" w:eastAsia="仿宋" w:cs="仿宋"/>
          <w:color w:val="auto"/>
          <w:sz w:val="28"/>
          <w:szCs w:val="28"/>
          <w:highlight w:val="none"/>
          <w:lang w:eastAsia="zh-CN"/>
        </w:rPr>
        <w:t xml:space="preserve">；</w:t>
      </w:r>
      <w:r/>
    </w:p>
    <w:p>
      <w:pPr>
        <w:numPr>
          <w:ilvl w:val="0"/>
          <w:numId w:val="0"/>
        </w:numPr>
        <w:rPr>
          <w:rFonts w:hint="eastAsia" w:ascii="仿宋" w:hAnsi="仿宋" w:eastAsia="仿宋" w:cs="Times New Roman"/>
          <w:bCs/>
          <w:color w:val="auto"/>
          <w:sz w:val="28"/>
          <w:szCs w:val="28"/>
          <w:highlight w:val="none"/>
          <w:lang w:eastAsia="zh-CN"/>
        </w:rPr>
        <w:outlineLvl w:val="9"/>
      </w:pPr>
      <w:r>
        <w:rPr>
          <w:rFonts w:hint="eastAsia" w:ascii="仿宋" w:hAnsi="仿宋" w:eastAsia="仿宋" w:cs="Times New Roman"/>
          <w:bCs/>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体系认证</w:t>
      </w:r>
      <w:r>
        <w:rPr>
          <w:rFonts w:hint="eastAsia" w:ascii="仿宋" w:hAnsi="仿宋" w:eastAsia="仿宋" w:cs="仿宋"/>
          <w:color w:val="auto"/>
          <w:sz w:val="28"/>
          <w:szCs w:val="28"/>
          <w:highlight w:val="none"/>
          <w:lang w:eastAsia="zh-CN"/>
        </w:rPr>
        <w:t xml:space="preserve">；</w:t>
      </w:r>
      <w:r/>
    </w:p>
    <w:p>
      <w:pPr>
        <w:numPr>
          <w:ilvl w:val="0"/>
          <w:numId w:val="0"/>
        </w:numPr>
        <w:rPr>
          <w:rFonts w:hint="eastAsia" w:ascii="仿宋" w:hAnsi="仿宋" w:eastAsia="仿宋" w:cs="Times New Roman"/>
          <w:bCs/>
          <w:color w:val="auto"/>
          <w:sz w:val="28"/>
          <w:szCs w:val="28"/>
          <w:highlight w:val="none"/>
          <w:lang w:eastAsia="zh-CN"/>
        </w:rPr>
        <w:outlineLvl w:val="9"/>
      </w:pPr>
      <w:r>
        <w:rPr>
          <w:rFonts w:hint="eastAsia" w:ascii="仿宋" w:hAnsi="仿宋" w:eastAsia="仿宋" w:cs="Times New Roman"/>
          <w:bCs/>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售后服务</w:t>
      </w:r>
      <w:r>
        <w:rPr>
          <w:rFonts w:hint="eastAsia" w:ascii="仿宋" w:hAnsi="仿宋" w:eastAsia="仿宋" w:cs="仿宋"/>
          <w:color w:val="auto"/>
          <w:sz w:val="28"/>
          <w:szCs w:val="28"/>
          <w:highlight w:val="none"/>
          <w:lang w:eastAsia="zh-CN"/>
        </w:rPr>
        <w:t xml:space="preserve">；</w:t>
      </w:r>
      <w:r/>
    </w:p>
    <w:p>
      <w:pPr>
        <w:numPr>
          <w:ilvl w:val="0"/>
          <w:numId w:val="0"/>
        </w:numPr>
        <w:rPr>
          <w:rFonts w:hint="eastAsia" w:ascii="仿宋" w:hAnsi="仿宋" w:eastAsia="仿宋" w:cs="Times New Roman"/>
          <w:bCs/>
          <w:color w:val="auto"/>
          <w:sz w:val="28"/>
          <w:szCs w:val="28"/>
          <w:highlight w:val="none"/>
          <w:lang w:eastAsia="zh-CN"/>
        </w:rPr>
        <w:outlineLvl w:val="9"/>
      </w:pPr>
      <w:r>
        <w:rPr>
          <w:rFonts w:hint="eastAsia" w:ascii="仿宋" w:hAnsi="仿宋" w:eastAsia="仿宋" w:cs="Times New Roman"/>
          <w:bCs/>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服务方案</w:t>
      </w:r>
      <w:r>
        <w:rPr>
          <w:rFonts w:hint="eastAsia" w:ascii="仿宋" w:hAnsi="仿宋" w:eastAsia="仿宋" w:cs="仿宋"/>
          <w:color w:val="auto"/>
          <w:sz w:val="28"/>
          <w:szCs w:val="28"/>
          <w:highlight w:val="none"/>
          <w:lang w:eastAsia="zh-CN"/>
        </w:rPr>
        <w:t xml:space="preserve">；</w:t>
      </w:r>
      <w:r/>
    </w:p>
    <w:p>
      <w:pPr>
        <w:numPr>
          <w:ilvl w:val="0"/>
          <w:numId w:val="0"/>
        </w:numPr>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rPr>
        <w:t xml:space="preserve">6.</w:t>
      </w:r>
      <w:r>
        <w:rPr>
          <w:rFonts w:hint="eastAsia" w:ascii="仿宋" w:hAnsi="仿宋" w:eastAsia="仿宋" w:cs="仿宋"/>
          <w:color w:val="auto"/>
          <w:sz w:val="28"/>
          <w:szCs w:val="28"/>
          <w:highlight w:val="none"/>
          <w:lang w:val="en-US" w:eastAsia="zh-CN"/>
        </w:rPr>
        <w:t xml:space="preserve">样品。</w:t>
      </w:r>
      <w:r/>
    </w:p>
    <w:p>
      <w:pPr>
        <w:numPr>
          <w:ilvl w:val="0"/>
          <w:numId w:val="0"/>
        </w:numPr>
        <w:rPr>
          <w:rFonts w:ascii="黑体" w:hAnsi="黑体" w:eastAsia="黑体"/>
          <w:color w:val="auto"/>
          <w:sz w:val="28"/>
          <w:szCs w:val="28"/>
          <w:highlight w:val="none"/>
        </w:rPr>
        <w:outlineLvl w:val="9"/>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firstLine="560"/>
        <w:rPr>
          <w:rFonts w:ascii="黑体" w:hAnsi="黑体" w:eastAsia="黑体"/>
          <w:bCs/>
          <w:color w:val="auto"/>
          <w:sz w:val="28"/>
          <w:szCs w:val="28"/>
          <w:highlight w:val="none"/>
        </w:rPr>
        <w:outlineLvl w:val="1"/>
      </w:pPr>
      <w:r/>
      <w:bookmarkStart w:id="87" w:name="_Toc5108"/>
      <w:r>
        <w:rPr>
          <w:rFonts w:hint="eastAsia" w:ascii="黑体" w:hAnsi="黑体" w:eastAsia="黑体"/>
          <w:color w:val="auto"/>
          <w:sz w:val="28"/>
          <w:szCs w:val="28"/>
          <w:highlight w:val="none"/>
        </w:rPr>
        <w:t xml:space="preserve">三、报价文件</w:t>
      </w:r>
      <w:bookmarkEnd w:id="87"/>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（一）竞争性磋商响应报价表</w:t>
      </w:r>
      <w:r/>
    </w:p>
    <w:p>
      <w:pPr>
        <w:ind w:firstLine="3040"/>
        <w:rPr>
          <w:rFonts w:ascii="方正小标宋简体" w:hAnsi="宋体" w:eastAsia="方正小标宋简体"/>
          <w:color w:val="auto"/>
          <w:sz w:val="32"/>
          <w:szCs w:val="32"/>
          <w:highlight w:val="none"/>
        </w:rPr>
        <w:outlineLvl w:val="9"/>
      </w:pPr>
      <w:r>
        <w:rPr>
          <w:rFonts w:hint="eastAsia" w:ascii="方正小标宋简体" w:hAnsi="宋体" w:eastAsia="方正小标宋简体"/>
          <w:color w:val="auto"/>
          <w:sz w:val="32"/>
          <w:szCs w:val="32"/>
          <w:highlight w:val="none"/>
        </w:rPr>
        <w:t xml:space="preserve">竞争性磋商响应报价表</w:t>
      </w:r>
      <w:r/>
    </w:p>
    <w:tbl>
      <w:tblPr>
        <w:tblStyle w:val="868"/>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521"/>
        <w:gridCol w:w="4199"/>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default" w:ascii="仿宋" w:hAnsi="仿宋" w:eastAsia="仿宋" w:cs="宋体"/>
                <w:color w:val="auto"/>
                <w:sz w:val="24"/>
                <w:highlight w:val="none"/>
                <w:lang w:val="en-US" w:eastAsia="zh-CN"/>
              </w:rPr>
              <w:outlineLvl w:val="9"/>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val="en-US" w:eastAsia="zh-CN"/>
              </w:rPr>
              <w:t xml:space="preserve">高层住宅小区消防快速处置队装备采购</w:t>
            </w:r>
            <w:r/>
          </w:p>
        </w:tc>
      </w:tr>
      <w:tr>
        <w:trPr>
          <w:trHeight w:val="420"/>
        </w:trPr>
        <w:tc>
          <w:tcPr>
            <w:gridSpan w:val="2"/>
            <w:tcBorders>
              <w:top w:val="none" w:color="000000" w:sz="4" w:space="0"/>
              <w:left w:val="none" w:color="000000" w:sz="4" w:space="0"/>
              <w:bottom w:val="none" w:color="000000" w:sz="4" w:space="0"/>
              <w:right w:val="none" w:color="000000" w:sz="4" w:space="0"/>
            </w:tcBorders>
            <w:tcW w:w="4608" w:type="dxa"/>
            <w:vAlign w:val="center"/>
            <w:textDirection w:val="lrTb"/>
            <w:noWrap/>
          </w:tcPr>
          <w:p>
            <w:pPr>
              <w:jc w:val="left"/>
              <w:widowControl/>
              <w:rPr>
                <w:rFonts w:hint="default" w:ascii="仿宋" w:hAnsi="仿宋" w:eastAsia="仿宋" w:cs="宋体"/>
                <w:color w:val="auto"/>
                <w:sz w:val="24"/>
                <w:highlight w:val="none"/>
                <w:lang w:val="en-US" w:eastAsia="zh-CN"/>
              </w:rPr>
              <w:outlineLvl w:val="9"/>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JSZC-320682-NTZJ-C2026-0012</w:t>
            </w:r>
            <w:r/>
          </w:p>
        </w:tc>
        <w:tc>
          <w:tcPr>
            <w:tcBorders>
              <w:top w:val="none" w:color="000000" w:sz="4" w:space="0"/>
              <w:left w:val="none" w:color="000000" w:sz="4" w:space="0"/>
              <w:bottom w:val="none" w:color="000000" w:sz="4" w:space="0"/>
              <w:right w:val="none" w:color="000000" w:sz="4" w:space="0"/>
            </w:tcBorders>
            <w:tcW w:w="4199" w:type="dxa"/>
            <w:vAlign w:val="center"/>
            <w:textDirection w:val="lrTb"/>
            <w:noWrap/>
          </w:tcPr>
          <w:p>
            <w:pPr>
              <w:jc w:val="left"/>
              <w:widowControl/>
              <w:rPr>
                <w:rFonts w:hint="default" w:ascii="仿宋" w:hAnsi="仿宋" w:eastAsia="仿宋" w:cs="宋体"/>
                <w:color w:val="auto"/>
                <w:sz w:val="24"/>
                <w:highlight w:val="none"/>
                <w:lang w:val="en-US" w:eastAsia="zh-CN"/>
              </w:rPr>
              <w:outlineLvl w:val="9"/>
            </w:pPr>
            <w:r>
              <w:rPr>
                <w:rFonts w:hint="eastAsia" w:ascii="仿宋" w:hAnsi="仿宋" w:eastAsia="仿宋" w:cs="宋体"/>
                <w:color w:val="auto"/>
                <w:sz w:val="24"/>
                <w:highlight w:val="none"/>
              </w:rPr>
              <w:t xml:space="preserve">分包号：</w:t>
            </w:r>
            <w:r>
              <w:rPr>
                <w:rFonts w:hint="eastAsia" w:ascii="仿宋" w:hAnsi="仿宋" w:eastAsia="仿宋"/>
                <w:color w:val="auto"/>
                <w:sz w:val="24"/>
                <w:highlight w:val="none"/>
                <w:lang w:val="en-US" w:eastAsia="zh-CN"/>
              </w:rPr>
              <w:t xml:space="preserve">采购包一</w:t>
            </w:r>
            <w:r>
              <w:rPr>
                <w:rFonts w:hint="eastAsia" w:ascii="仿宋" w:hAnsi="仿宋" w:eastAsia="仿宋"/>
                <w:color w:val="auto"/>
                <w:sz w:val="24"/>
                <w:highlight w:val="none"/>
              </w:rPr>
              <w:t xml:space="preserve"> </w:t>
            </w:r>
            <w:r>
              <w:rPr>
                <w:rFonts w:hint="eastAsia" w:ascii="仿宋" w:hAnsi="仿宋" w:eastAsia="仿宋"/>
                <w:color w:val="auto"/>
                <w:sz w:val="24"/>
                <w:highlight w:val="none"/>
                <w:lang w:val="en-US" w:eastAsia="zh-CN"/>
              </w:rPr>
              <w:t xml:space="preserve">/采购二/采购包三</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color w:val="auto"/>
                <w:sz w:val="24"/>
                <w:highlight w:val="none"/>
                <w:lang w:eastAsia="zh-CN"/>
              </w:rPr>
              <w:outlineLvl w:val="9"/>
            </w:pPr>
            <w:r>
              <w:rPr>
                <w:rFonts w:hint="eastAsia" w:ascii="仿宋" w:hAnsi="仿宋" w:eastAsia="仿宋" w:cs="宋体"/>
                <w:color w:val="auto"/>
                <w:sz w:val="24"/>
                <w:highlight w:val="none"/>
              </w:rPr>
              <w:t xml:space="preserve">竞争性磋商响应报价</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元</w:t>
            </w:r>
            <w:r>
              <w:rPr>
                <w:rFonts w:hint="eastAsia" w:ascii="仿宋" w:hAnsi="仿宋" w:eastAsia="仿宋" w:cs="宋体"/>
                <w:color w:val="auto"/>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outlineLvl w:val="9"/>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outlineLvl w:val="9"/>
            </w:pPr>
            <w:r>
              <w:rPr>
                <w:rFonts w:ascii="仿宋" w:hAnsi="仿宋" w:eastAsia="仿宋" w:cs="宋体"/>
                <w:color w:val="auto"/>
                <w:szCs w:val="21"/>
                <w:highlight w:val="none"/>
              </w:rPr>
            </w:r>
            <w:r/>
          </w:p>
        </w:tc>
      </w:tr>
    </w:tbl>
    <w:p>
      <w:pPr>
        <w:ind w:firstLine="560"/>
        <w:rPr>
          <w:rFonts w:ascii="仿宋" w:hAnsi="仿宋" w:eastAsia="仿宋"/>
          <w:bCs/>
          <w:color w:val="auto"/>
          <w:sz w:val="28"/>
          <w:szCs w:val="28"/>
          <w:highlight w:val="none"/>
        </w:rPr>
        <w:outlineLvl w:val="9"/>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（二）竞争性磋商响应报价明细表</w:t>
      </w:r>
      <w:r/>
    </w:p>
    <w:p>
      <w:pPr>
        <w:ind w:firstLine="3040"/>
        <w:rPr>
          <w:rFonts w:ascii="宋体" w:hAnsi="宋体"/>
          <w:color w:val="auto"/>
          <w:sz w:val="24"/>
          <w:highlight w:val="none"/>
        </w:rPr>
        <w:outlineLvl w:val="9"/>
      </w:pPr>
      <w:r>
        <w:rPr>
          <w:rFonts w:hint="eastAsia" w:ascii="微软雅黑" w:hAnsi="宋体" w:eastAsia="微软雅黑"/>
          <w:color w:val="auto"/>
          <w:sz w:val="32"/>
          <w:szCs w:val="32"/>
          <w:highlight w:val="none"/>
        </w:rPr>
        <w:t xml:space="preserve">竞争性磋商响应报价明细表</w:t>
      </w:r>
      <w:r/>
    </w:p>
    <w:p>
      <w:pPr>
        <w:rPr>
          <w:rFonts w:ascii="宋体" w:hAnsi="宋体"/>
          <w:color w:val="auto"/>
          <w:highlight w:val="none"/>
        </w:rPr>
        <w:outlineLvl w:val="9"/>
      </w:pPr>
      <w:r>
        <w:rPr>
          <w:rFonts w:ascii="宋体" w:hAnsi="宋体"/>
          <w:color w:val="auto"/>
          <w:highlight w:val="none"/>
        </w:rPr>
      </w:r>
      <w:r/>
    </w:p>
    <w:p>
      <w:pPr>
        <w:jc w:val="left"/>
        <w:rPr>
          <w:rFonts w:hint="eastAsia" w:ascii="仿宋" w:hAnsi="仿宋" w:eastAsia="仿宋"/>
          <w:color w:val="auto"/>
          <w:sz w:val="24"/>
          <w:highlight w:val="none"/>
        </w:rPr>
        <w:outlineLvl w:val="9"/>
      </w:pPr>
      <w:r>
        <w:rPr>
          <w:rFonts w:hint="eastAsia" w:ascii="仿宋" w:hAnsi="仿宋" w:eastAsia="仿宋"/>
          <w:color w:val="auto"/>
          <w:szCs w:val="24"/>
          <w:highlight w:val="none"/>
        </w:rPr>
        <w:t xml:space="preserve">项目名称： </w:t>
      </w:r>
      <w:r>
        <w:rPr>
          <w:rFonts w:hint="eastAsia" w:ascii="仿宋" w:hAnsi="仿宋" w:eastAsia="仿宋"/>
          <w:color w:val="auto"/>
          <w:szCs w:val="24"/>
          <w:highlight w:val="none"/>
          <w:lang w:val="en-US" w:eastAsia="zh-CN"/>
        </w:rPr>
        <w:t xml:space="preserve">高层住宅小区消防快速处置队装备采购</w:t>
      </w:r>
      <w:r>
        <w:rPr>
          <w:rFonts w:hint="eastAsia" w:ascii="仿宋" w:hAnsi="仿宋" w:eastAsia="仿宋"/>
          <w:color w:val="auto"/>
          <w:sz w:val="24"/>
          <w:highlight w:val="none"/>
        </w:rPr>
        <w:t xml:space="preserve">项目</w:t>
      </w:r>
      <w:r/>
    </w:p>
    <w:p>
      <w:pPr>
        <w:jc w:val="left"/>
        <w:rPr>
          <w:rFonts w:ascii="仿宋" w:hAnsi="仿宋" w:eastAsia="仿宋"/>
          <w:color w:val="auto"/>
          <w:sz w:val="24"/>
          <w:highlight w:val="none"/>
        </w:rPr>
        <w:outlineLvl w:val="9"/>
      </w:pPr>
      <w:r>
        <w:rPr>
          <w:rFonts w:hint="eastAsia" w:ascii="仿宋" w:hAnsi="仿宋" w:eastAsia="仿宋"/>
          <w:color w:val="auto"/>
          <w:sz w:val="24"/>
          <w:highlight w:val="none"/>
        </w:rPr>
        <w:t xml:space="preserve">编号： </w:t>
      </w:r>
      <w:r>
        <w:rPr>
          <w:rFonts w:hint="eastAsia" w:ascii="仿宋" w:hAnsi="仿宋" w:eastAsia="仿宋"/>
          <w:color w:val="auto"/>
          <w:sz w:val="24"/>
          <w:highlight w:val="none"/>
          <w:lang w:eastAsia="zh-CN"/>
        </w:rPr>
        <w:t xml:space="preserve">JSZC-320682-NTZJ-C2026-0012</w:t>
      </w:r>
      <w:r>
        <w:rPr>
          <w:rFonts w:hint="eastAsia" w:ascii="仿宋" w:hAnsi="仿宋" w:eastAsia="仿宋"/>
          <w:color w:val="auto"/>
          <w:sz w:val="24"/>
          <w:highlight w:val="none"/>
        </w:rPr>
        <w:t xml:space="preserve">                            分包号：</w:t>
      </w:r>
      <w:r>
        <w:rPr>
          <w:rFonts w:hint="eastAsia" w:ascii="仿宋" w:hAnsi="仿宋" w:eastAsia="仿宋"/>
          <w:color w:val="auto"/>
          <w:sz w:val="24"/>
          <w:highlight w:val="none"/>
          <w:lang w:val="en-US" w:eastAsia="zh-CN"/>
        </w:rPr>
        <w:t xml:space="preserve">采购包一</w:t>
      </w:r>
      <w:r>
        <w:rPr>
          <w:rFonts w:hint="eastAsia" w:ascii="仿宋" w:hAnsi="仿宋" w:eastAsia="仿宋"/>
          <w:color w:val="auto"/>
          <w:sz w:val="24"/>
          <w:highlight w:val="none"/>
        </w:rPr>
        <w:t xml:space="preserve">                   </w:t>
      </w:r>
      <w:r/>
    </w:p>
    <w:tbl>
      <w:tblPr>
        <w:tblStyle w:val="868"/>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482"/>
        <w:gridCol w:w="993"/>
        <w:gridCol w:w="1320"/>
        <w:gridCol w:w="1110"/>
        <w:gridCol w:w="1125"/>
        <w:gridCol w:w="1530"/>
        <w:gridCol w:w="1544"/>
      </w:tblGrid>
      <w:tr>
        <w:trPr>
          <w:cantSplit/>
          <w:jc w:val="center"/>
          <w:trHeight w:val="680"/>
        </w:trPr>
        <w:tc>
          <w:tcPr>
            <w:tcW w:w="774"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序号</w:t>
            </w:r>
            <w:r/>
          </w:p>
        </w:tc>
        <w:tc>
          <w:tcPr>
            <w:tcW w:w="148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货物名称</w:t>
            </w:r>
            <w:r/>
          </w:p>
        </w:tc>
        <w:tc>
          <w:tcPr>
            <w:tcW w:w="99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品牌</w:t>
            </w:r>
            <w:r/>
          </w:p>
        </w:tc>
        <w:tc>
          <w:tcPr>
            <w:tcW w:w="132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规格型号</w:t>
            </w:r>
            <w:r/>
          </w:p>
        </w:tc>
        <w:tc>
          <w:tcPr>
            <w:tcW w:w="111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tcW w:w="11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530"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综合单价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元</w:t>
            </w:r>
            <w:r>
              <w:rPr>
                <w:rFonts w:hint="eastAsia" w:ascii="仿宋" w:hAnsi="仿宋" w:eastAsia="仿宋"/>
                <w:color w:val="auto"/>
                <w:sz w:val="24"/>
                <w:highlight w:val="none"/>
                <w:lang w:eastAsia="zh-CN"/>
              </w:rPr>
              <w:t xml:space="preserve">）</w:t>
            </w:r>
            <w:r/>
          </w:p>
        </w:tc>
        <w:tc>
          <w:tcPr>
            <w:tcW w:w="1544"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单项合计价（元）</w:t>
            </w:r>
            <w:r/>
          </w:p>
        </w:tc>
      </w:tr>
      <w:tr>
        <w:trPr>
          <w:cantSplit/>
          <w:jc w:val="center"/>
          <w:trHeight w:val="443"/>
        </w:trPr>
        <w:tc>
          <w:tcPr>
            <w:tcW w:w="774"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W w:w="1482"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灭火防护服</w:t>
            </w:r>
            <w:r/>
          </w:p>
        </w:tc>
        <w:tc>
          <w:tcPr>
            <w:tcW w:w="9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2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0"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件</w:t>
            </w:r>
            <w:r/>
          </w:p>
        </w:tc>
        <w:tc>
          <w:tcPr>
            <w:tcW w:w="1125" w:type="dxa"/>
            <w:vAlign w:val="center"/>
            <w:textDirection w:val="lrTb"/>
            <w:noWrap w:val="false"/>
          </w:tcPr>
          <w:p>
            <w:pPr>
              <w:ind w:left="0" w:right="0" w:firstLine="0"/>
              <w:jc w:val="center"/>
              <w:rPr>
                <w:rFonts w:hint="default"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530</w:t>
            </w:r>
            <w:r/>
          </w:p>
        </w:tc>
        <w:tc>
          <w:tcPr>
            <w:tcW w:w="153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54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476"/>
        </w:trPr>
        <w:tc>
          <w:tcPr>
            <w:tcW w:w="774"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W w:w="1482"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小型灭火携行包</w:t>
            </w:r>
            <w:r/>
          </w:p>
        </w:tc>
        <w:tc>
          <w:tcPr>
            <w:tcW w:w="9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2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0"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套</w:t>
            </w:r>
            <w:r/>
          </w:p>
        </w:tc>
        <w:tc>
          <w:tcPr>
            <w:tcW w:w="1125"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251</w:t>
            </w:r>
            <w:r/>
          </w:p>
        </w:tc>
        <w:tc>
          <w:tcPr>
            <w:tcW w:w="153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54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623"/>
        </w:trPr>
        <w:tc>
          <w:tcPr>
            <w:gridSpan w:val="6"/>
            <w:tcW w:w="6804"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总计</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元</w:t>
            </w:r>
            <w:r>
              <w:rPr>
                <w:rFonts w:hint="eastAsia" w:ascii="仿宋" w:hAnsi="仿宋" w:eastAsia="仿宋"/>
                <w:color w:val="auto"/>
                <w:sz w:val="24"/>
                <w:highlight w:val="none"/>
                <w:lang w:eastAsia="zh-CN"/>
              </w:rPr>
              <w:t xml:space="preserve">）</w:t>
            </w:r>
            <w:r/>
          </w:p>
        </w:tc>
        <w:tc>
          <w:tcPr>
            <w:gridSpan w:val="2"/>
            <w:tcW w:w="3074" w:type="dxa"/>
            <w:vAlign w:val="center"/>
            <w:textDirection w:val="lrTb"/>
            <w:noWrap w:val="false"/>
          </w:tcPr>
          <w:p>
            <w:pP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大写：</w:t>
            </w:r>
            <w:r/>
          </w:p>
          <w:p>
            <w:pP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小写:￥</w:t>
            </w:r>
            <w:r/>
          </w:p>
        </w:tc>
      </w:tr>
    </w:tbl>
    <w:p>
      <w:pPr>
        <w:rPr>
          <w:rFonts w:ascii="仿宋" w:hAnsi="仿宋" w:eastAsia="仿宋"/>
          <w:color w:val="auto"/>
          <w:sz w:val="24"/>
          <w:highlight w:val="none"/>
        </w:rPr>
        <w:outlineLvl w:val="9"/>
      </w:pPr>
      <w:r>
        <w:rPr>
          <w:rFonts w:ascii="仿宋" w:hAnsi="仿宋" w:eastAsia="仿宋"/>
          <w:color w:val="auto"/>
          <w:sz w:val="24"/>
          <w:highlight w:val="none"/>
        </w:rPr>
      </w:r>
      <w:r/>
    </w:p>
    <w:p>
      <w:pPr>
        <w:ind w:firstLine="3040"/>
        <w:rPr>
          <w:rFonts w:ascii="宋体" w:hAnsi="宋体"/>
          <w:color w:val="auto"/>
          <w:sz w:val="24"/>
          <w:highlight w:val="none"/>
        </w:rPr>
        <w:outlineLvl w:val="9"/>
      </w:pPr>
      <w:r>
        <w:rPr>
          <w:rFonts w:hint="eastAsia" w:ascii="微软雅黑" w:hAnsi="宋体" w:eastAsia="微软雅黑"/>
          <w:color w:val="auto"/>
          <w:sz w:val="32"/>
          <w:szCs w:val="32"/>
          <w:highlight w:val="none"/>
        </w:rPr>
        <w:t xml:space="preserve">竞争性磋商响应报价明细表</w:t>
      </w:r>
      <w:r/>
    </w:p>
    <w:p>
      <w:pPr>
        <w:rPr>
          <w:rFonts w:ascii="宋体" w:hAnsi="宋体"/>
          <w:color w:val="auto"/>
          <w:highlight w:val="none"/>
        </w:rPr>
        <w:outlineLvl w:val="9"/>
      </w:pPr>
      <w:r>
        <w:rPr>
          <w:rFonts w:ascii="宋体" w:hAnsi="宋体"/>
          <w:color w:val="auto"/>
          <w:highlight w:val="none"/>
        </w:rPr>
      </w:r>
      <w:r/>
    </w:p>
    <w:p>
      <w:pPr>
        <w:jc w:val="left"/>
        <w:rPr>
          <w:rFonts w:hint="eastAsia" w:ascii="仿宋" w:hAnsi="仿宋" w:eastAsia="仿宋"/>
          <w:color w:val="auto"/>
          <w:sz w:val="24"/>
          <w:highlight w:val="none"/>
        </w:rPr>
        <w:outlineLvl w:val="9"/>
      </w:pPr>
      <w:r>
        <w:rPr>
          <w:rFonts w:hint="eastAsia" w:ascii="仿宋" w:hAnsi="仿宋" w:eastAsia="仿宋"/>
          <w:color w:val="auto"/>
          <w:szCs w:val="24"/>
          <w:highlight w:val="none"/>
        </w:rPr>
        <w:t xml:space="preserve">项目名称： </w:t>
      </w:r>
      <w:r>
        <w:rPr>
          <w:rFonts w:hint="eastAsia" w:ascii="仿宋" w:hAnsi="仿宋" w:eastAsia="仿宋"/>
          <w:color w:val="auto"/>
          <w:szCs w:val="24"/>
          <w:highlight w:val="none"/>
          <w:lang w:val="en-US" w:eastAsia="zh-CN"/>
        </w:rPr>
        <w:t xml:space="preserve">高层住宅小区消防快速处置队装备采购</w:t>
      </w:r>
      <w:r>
        <w:rPr>
          <w:rFonts w:hint="eastAsia" w:ascii="仿宋" w:hAnsi="仿宋" w:eastAsia="仿宋"/>
          <w:color w:val="auto"/>
          <w:sz w:val="24"/>
          <w:highlight w:val="none"/>
        </w:rPr>
        <w:t xml:space="preserve">项目</w:t>
      </w:r>
      <w:r/>
    </w:p>
    <w:p>
      <w:pPr>
        <w:jc w:val="left"/>
        <w:rPr>
          <w:rFonts w:ascii="仿宋" w:hAnsi="仿宋" w:eastAsia="仿宋"/>
          <w:color w:val="auto"/>
          <w:sz w:val="24"/>
          <w:highlight w:val="none"/>
        </w:rPr>
        <w:outlineLvl w:val="9"/>
      </w:pPr>
      <w:r>
        <w:rPr>
          <w:rFonts w:hint="eastAsia" w:ascii="仿宋" w:hAnsi="仿宋" w:eastAsia="仿宋"/>
          <w:color w:val="auto"/>
          <w:sz w:val="24"/>
          <w:highlight w:val="none"/>
        </w:rPr>
        <w:t xml:space="preserve">编号： </w:t>
      </w:r>
      <w:r>
        <w:rPr>
          <w:rFonts w:hint="eastAsia" w:ascii="仿宋" w:hAnsi="仿宋" w:eastAsia="仿宋"/>
          <w:color w:val="auto"/>
          <w:sz w:val="24"/>
          <w:highlight w:val="none"/>
          <w:lang w:eastAsia="zh-CN"/>
        </w:rPr>
        <w:t xml:space="preserve">JSZC-320682-NTZJ-C2026-0012</w:t>
      </w:r>
      <w:r>
        <w:rPr>
          <w:rFonts w:hint="eastAsia" w:ascii="仿宋" w:hAnsi="仿宋" w:eastAsia="仿宋"/>
          <w:color w:val="auto"/>
          <w:sz w:val="24"/>
          <w:highlight w:val="none"/>
        </w:rPr>
        <w:t xml:space="preserve">                         </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分包号：</w:t>
      </w:r>
      <w:r>
        <w:rPr>
          <w:rFonts w:hint="eastAsia" w:ascii="仿宋" w:hAnsi="仿宋" w:eastAsia="仿宋"/>
          <w:color w:val="auto"/>
          <w:sz w:val="24"/>
          <w:highlight w:val="none"/>
          <w:lang w:val="en-US" w:eastAsia="zh-CN"/>
        </w:rPr>
        <w:t xml:space="preserve">采购包二</w:t>
      </w:r>
      <w:r>
        <w:rPr>
          <w:rFonts w:hint="eastAsia" w:ascii="仿宋" w:hAnsi="仿宋" w:eastAsia="仿宋"/>
          <w:color w:val="auto"/>
          <w:sz w:val="24"/>
          <w:highlight w:val="none"/>
        </w:rPr>
        <w:t xml:space="preserve">                  </w:t>
      </w:r>
      <w:r/>
    </w:p>
    <w:tbl>
      <w:tblPr>
        <w:tblStyle w:val="868"/>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482"/>
        <w:gridCol w:w="993"/>
        <w:gridCol w:w="1320"/>
        <w:gridCol w:w="1110"/>
        <w:gridCol w:w="1125"/>
        <w:gridCol w:w="1530"/>
        <w:gridCol w:w="1544"/>
      </w:tblGrid>
      <w:tr>
        <w:trPr>
          <w:cantSplit/>
          <w:jc w:val="center"/>
          <w:trHeight w:val="680"/>
        </w:trPr>
        <w:tc>
          <w:tcPr>
            <w:tcW w:w="774"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序号</w:t>
            </w:r>
            <w:r/>
          </w:p>
        </w:tc>
        <w:tc>
          <w:tcPr>
            <w:tcW w:w="148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货物名称</w:t>
            </w:r>
            <w:r/>
          </w:p>
        </w:tc>
        <w:tc>
          <w:tcPr>
            <w:tcW w:w="99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品牌</w:t>
            </w:r>
            <w:r/>
          </w:p>
        </w:tc>
        <w:tc>
          <w:tcPr>
            <w:tcW w:w="132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规格型号</w:t>
            </w:r>
            <w:r/>
          </w:p>
        </w:tc>
        <w:tc>
          <w:tcPr>
            <w:tcW w:w="111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tcW w:w="11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530"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综合单价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元</w:t>
            </w:r>
            <w:r>
              <w:rPr>
                <w:rFonts w:hint="eastAsia" w:ascii="仿宋" w:hAnsi="仿宋" w:eastAsia="仿宋"/>
                <w:color w:val="auto"/>
                <w:sz w:val="24"/>
                <w:highlight w:val="none"/>
                <w:lang w:eastAsia="zh-CN"/>
              </w:rPr>
              <w:t xml:space="preserve">）</w:t>
            </w:r>
            <w:r/>
          </w:p>
        </w:tc>
        <w:tc>
          <w:tcPr>
            <w:tcW w:w="1544"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单项合计价（元）</w:t>
            </w:r>
            <w:r/>
          </w:p>
        </w:tc>
      </w:tr>
      <w:tr>
        <w:trPr>
          <w:cantSplit/>
          <w:jc w:val="center"/>
          <w:trHeight w:val="443"/>
        </w:trPr>
        <w:tc>
          <w:tcPr>
            <w:tcW w:w="774"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W w:w="1482"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新能源灭火装置</w:t>
            </w:r>
            <w:r/>
          </w:p>
        </w:tc>
        <w:tc>
          <w:tcPr>
            <w:tcW w:w="9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2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0"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color w:val="auto"/>
                <w:sz w:val="24"/>
                <w:szCs w:val="24"/>
                <w:highlight w:val="none"/>
                <w:vertAlign w:val="baseline"/>
                <w:lang w:val="en-US" w:eastAsia="zh-CN"/>
              </w:rPr>
              <w:t xml:space="preserve">瓶</w:t>
            </w:r>
            <w:r/>
          </w:p>
        </w:tc>
        <w:tc>
          <w:tcPr>
            <w:tcW w:w="1125" w:type="dxa"/>
            <w:vAlign w:val="center"/>
            <w:textDirection w:val="lrTb"/>
            <w:noWrap w:val="false"/>
          </w:tcPr>
          <w:p>
            <w:pPr>
              <w:ind w:left="0" w:right="0" w:firstLine="0"/>
              <w:jc w:val="center"/>
              <w:rPr>
                <w:rFonts w:hint="default"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916</w:t>
            </w:r>
            <w:r/>
          </w:p>
        </w:tc>
        <w:tc>
          <w:tcPr>
            <w:tcW w:w="153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54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476"/>
        </w:trPr>
        <w:tc>
          <w:tcPr>
            <w:tcW w:w="774"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W w:w="1482"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灭火毯（电动汽车用）</w:t>
            </w:r>
            <w:r/>
          </w:p>
        </w:tc>
        <w:tc>
          <w:tcPr>
            <w:tcW w:w="9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2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0"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bidi="ar-SA"/>
              </w:rPr>
              <w:t xml:space="preserve">张</w:t>
            </w:r>
            <w:r/>
          </w:p>
        </w:tc>
        <w:tc>
          <w:tcPr>
            <w:tcW w:w="1125"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20</w:t>
            </w:r>
            <w:r/>
          </w:p>
        </w:tc>
        <w:tc>
          <w:tcPr>
            <w:tcW w:w="153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54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476"/>
        </w:trPr>
        <w:tc>
          <w:tcPr>
            <w:tcW w:w="774"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W w:w="1482"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灭火毯（电动自行车用）</w:t>
            </w:r>
            <w:r/>
          </w:p>
        </w:tc>
        <w:tc>
          <w:tcPr>
            <w:tcW w:w="9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2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0"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bidi="ar-SA"/>
              </w:rPr>
              <w:t xml:space="preserve">张</w:t>
            </w:r>
            <w:r/>
          </w:p>
        </w:tc>
        <w:tc>
          <w:tcPr>
            <w:tcW w:w="1125"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20</w:t>
            </w:r>
            <w:r/>
          </w:p>
        </w:tc>
        <w:tc>
          <w:tcPr>
            <w:tcW w:w="153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54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623"/>
        </w:trPr>
        <w:tc>
          <w:tcPr>
            <w:gridSpan w:val="6"/>
            <w:tcW w:w="6804"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总计</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元</w:t>
            </w:r>
            <w:r>
              <w:rPr>
                <w:rFonts w:hint="eastAsia" w:ascii="仿宋" w:hAnsi="仿宋" w:eastAsia="仿宋"/>
                <w:color w:val="auto"/>
                <w:sz w:val="24"/>
                <w:highlight w:val="none"/>
                <w:lang w:eastAsia="zh-CN"/>
              </w:rPr>
              <w:t xml:space="preserve">）</w:t>
            </w:r>
            <w:r/>
          </w:p>
        </w:tc>
        <w:tc>
          <w:tcPr>
            <w:gridSpan w:val="2"/>
            <w:tcW w:w="3074" w:type="dxa"/>
            <w:vAlign w:val="center"/>
            <w:textDirection w:val="lrTb"/>
            <w:noWrap w:val="false"/>
          </w:tcPr>
          <w:p>
            <w:pP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大写：</w:t>
            </w:r>
            <w:r/>
          </w:p>
          <w:p>
            <w:pP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小写:￥</w:t>
            </w:r>
            <w:r/>
          </w:p>
        </w:tc>
      </w:tr>
    </w:tbl>
    <w:p>
      <w:pPr>
        <w:rPr>
          <w:rFonts w:ascii="仿宋" w:hAnsi="仿宋" w:eastAsia="仿宋"/>
          <w:color w:val="auto"/>
          <w:sz w:val="24"/>
          <w:highlight w:val="none"/>
        </w:rPr>
        <w:outlineLvl w:val="9"/>
      </w:pPr>
      <w:r>
        <w:rPr>
          <w:rFonts w:ascii="仿宋" w:hAnsi="仿宋" w:eastAsia="仿宋"/>
          <w:color w:val="auto"/>
          <w:sz w:val="24"/>
          <w:highlight w:val="none"/>
        </w:rPr>
      </w:r>
      <w:r/>
    </w:p>
    <w:p>
      <w:pPr>
        <w:ind w:firstLine="3040"/>
        <w:rPr>
          <w:rFonts w:ascii="宋体" w:hAnsi="宋体"/>
          <w:color w:val="auto"/>
          <w:sz w:val="24"/>
          <w:highlight w:val="none"/>
        </w:rPr>
        <w:outlineLvl w:val="9"/>
      </w:pPr>
      <w:r>
        <w:rPr>
          <w:rFonts w:hint="eastAsia" w:ascii="微软雅黑" w:hAnsi="宋体" w:eastAsia="微软雅黑"/>
          <w:color w:val="auto"/>
          <w:sz w:val="32"/>
          <w:szCs w:val="32"/>
          <w:highlight w:val="none"/>
        </w:rPr>
        <w:t xml:space="preserve">竞争性磋商响应报价明细表</w:t>
      </w:r>
      <w:r/>
    </w:p>
    <w:p>
      <w:pPr>
        <w:rPr>
          <w:rFonts w:ascii="宋体" w:hAnsi="宋体"/>
          <w:color w:val="auto"/>
          <w:highlight w:val="none"/>
        </w:rPr>
        <w:outlineLvl w:val="9"/>
      </w:pPr>
      <w:r>
        <w:rPr>
          <w:rFonts w:ascii="宋体" w:hAnsi="宋体"/>
          <w:color w:val="auto"/>
          <w:highlight w:val="none"/>
        </w:rPr>
      </w:r>
      <w:r/>
    </w:p>
    <w:p>
      <w:pPr>
        <w:jc w:val="left"/>
        <w:rPr>
          <w:rFonts w:hint="eastAsia" w:ascii="仿宋" w:hAnsi="仿宋" w:eastAsia="仿宋"/>
          <w:color w:val="auto"/>
          <w:sz w:val="24"/>
          <w:highlight w:val="none"/>
        </w:rPr>
        <w:outlineLvl w:val="9"/>
      </w:pPr>
      <w:r>
        <w:rPr>
          <w:rFonts w:hint="eastAsia" w:ascii="仿宋" w:hAnsi="仿宋" w:eastAsia="仿宋"/>
          <w:color w:val="auto"/>
          <w:szCs w:val="24"/>
          <w:highlight w:val="none"/>
        </w:rPr>
        <w:t xml:space="preserve">项目名称： </w:t>
      </w:r>
      <w:r>
        <w:rPr>
          <w:rFonts w:hint="eastAsia" w:ascii="仿宋" w:hAnsi="仿宋" w:eastAsia="仿宋"/>
          <w:color w:val="auto"/>
          <w:szCs w:val="24"/>
          <w:highlight w:val="none"/>
          <w:lang w:val="en-US" w:eastAsia="zh-CN"/>
        </w:rPr>
        <w:t xml:space="preserve">高层住宅小区消防快速处置队装备采购</w:t>
      </w:r>
      <w:r>
        <w:rPr>
          <w:rFonts w:hint="eastAsia" w:ascii="仿宋" w:hAnsi="仿宋" w:eastAsia="仿宋"/>
          <w:color w:val="auto"/>
          <w:sz w:val="24"/>
          <w:highlight w:val="none"/>
        </w:rPr>
        <w:t xml:space="preserve">项目</w:t>
      </w:r>
      <w:r/>
    </w:p>
    <w:p>
      <w:pPr>
        <w:jc w:val="left"/>
        <w:rPr>
          <w:rFonts w:ascii="仿宋" w:hAnsi="仿宋" w:eastAsia="仿宋"/>
          <w:color w:val="auto"/>
          <w:sz w:val="24"/>
          <w:highlight w:val="none"/>
        </w:rPr>
        <w:outlineLvl w:val="9"/>
      </w:pPr>
      <w:r>
        <w:rPr>
          <w:rFonts w:hint="eastAsia" w:ascii="仿宋" w:hAnsi="仿宋" w:eastAsia="仿宋"/>
          <w:color w:val="auto"/>
          <w:sz w:val="24"/>
          <w:highlight w:val="none"/>
        </w:rPr>
        <w:t xml:space="preserve">编号： </w:t>
      </w:r>
      <w:r>
        <w:rPr>
          <w:rFonts w:hint="eastAsia" w:ascii="仿宋" w:hAnsi="仿宋" w:eastAsia="仿宋"/>
          <w:color w:val="auto"/>
          <w:sz w:val="24"/>
          <w:highlight w:val="none"/>
          <w:lang w:eastAsia="zh-CN"/>
        </w:rPr>
        <w:t xml:space="preserve">JSZC-320682-NTZJ-C2026-0012</w:t>
      </w:r>
      <w:r>
        <w:rPr>
          <w:rFonts w:hint="eastAsia" w:ascii="仿宋" w:hAnsi="仿宋" w:eastAsia="仿宋"/>
          <w:color w:val="auto"/>
          <w:sz w:val="24"/>
          <w:highlight w:val="none"/>
        </w:rPr>
        <w:t xml:space="preserve">                            分包号：</w:t>
      </w:r>
      <w:r>
        <w:rPr>
          <w:rFonts w:hint="eastAsia" w:ascii="仿宋" w:hAnsi="仿宋" w:eastAsia="仿宋"/>
          <w:color w:val="auto"/>
          <w:sz w:val="24"/>
          <w:highlight w:val="none"/>
          <w:lang w:val="en-US" w:eastAsia="zh-CN"/>
        </w:rPr>
        <w:t xml:space="preserve">采购包三</w:t>
      </w:r>
      <w:r>
        <w:rPr>
          <w:rFonts w:hint="eastAsia" w:ascii="仿宋" w:hAnsi="仿宋" w:eastAsia="仿宋"/>
          <w:color w:val="auto"/>
          <w:sz w:val="24"/>
          <w:highlight w:val="none"/>
        </w:rPr>
        <w:t xml:space="preserve">                  </w:t>
      </w:r>
      <w:r/>
    </w:p>
    <w:tbl>
      <w:tblPr>
        <w:tblStyle w:val="868"/>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482"/>
        <w:gridCol w:w="993"/>
        <w:gridCol w:w="1320"/>
        <w:gridCol w:w="1110"/>
        <w:gridCol w:w="1125"/>
        <w:gridCol w:w="1530"/>
        <w:gridCol w:w="1544"/>
      </w:tblGrid>
      <w:tr>
        <w:trPr>
          <w:cantSplit/>
          <w:jc w:val="center"/>
          <w:trHeight w:val="680"/>
        </w:trPr>
        <w:tc>
          <w:tcPr>
            <w:tcW w:w="774"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序号</w:t>
            </w:r>
            <w:r/>
          </w:p>
        </w:tc>
        <w:tc>
          <w:tcPr>
            <w:tcW w:w="148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货物名称</w:t>
            </w:r>
            <w:r/>
          </w:p>
        </w:tc>
        <w:tc>
          <w:tcPr>
            <w:tcW w:w="99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品牌</w:t>
            </w:r>
            <w:r/>
          </w:p>
        </w:tc>
        <w:tc>
          <w:tcPr>
            <w:tcW w:w="132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规格型号</w:t>
            </w:r>
            <w:r/>
          </w:p>
        </w:tc>
        <w:tc>
          <w:tcPr>
            <w:tcW w:w="111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tcW w:w="11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530"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综合单价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元</w:t>
            </w:r>
            <w:r>
              <w:rPr>
                <w:rFonts w:hint="eastAsia" w:ascii="仿宋" w:hAnsi="仿宋" w:eastAsia="仿宋"/>
                <w:color w:val="auto"/>
                <w:sz w:val="24"/>
                <w:highlight w:val="none"/>
                <w:lang w:eastAsia="zh-CN"/>
              </w:rPr>
              <w:t xml:space="preserve">）</w:t>
            </w:r>
            <w:r/>
          </w:p>
        </w:tc>
        <w:tc>
          <w:tcPr>
            <w:tcW w:w="1544"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单项合计价（元）</w:t>
            </w:r>
            <w:r/>
          </w:p>
        </w:tc>
      </w:tr>
      <w:tr>
        <w:trPr>
          <w:cantSplit/>
          <w:jc w:val="center"/>
          <w:trHeight w:val="443"/>
        </w:trPr>
        <w:tc>
          <w:tcPr>
            <w:tcW w:w="774"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W w:w="1482" w:type="dxa"/>
            <w:vAlign w:val="center"/>
            <w:textDirection w:val="lrTb"/>
            <w:noWrap w:val="false"/>
          </w:tcPr>
          <w:p>
            <w:pPr>
              <w:ind w:left="0" w:right="0" w:firstLine="0"/>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40mm消防水带</w:t>
            </w:r>
            <w:r/>
          </w:p>
        </w:tc>
        <w:tc>
          <w:tcPr>
            <w:tcW w:w="9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2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0"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bidi="ar-SA"/>
              </w:rPr>
              <w:t xml:space="preserve">盘</w:t>
            </w:r>
            <w:r/>
          </w:p>
        </w:tc>
        <w:tc>
          <w:tcPr>
            <w:tcW w:w="1125" w:type="dxa"/>
            <w:vAlign w:val="center"/>
            <w:textDirection w:val="lrTb"/>
            <w:noWrap w:val="false"/>
          </w:tcPr>
          <w:p>
            <w:pPr>
              <w:ind w:left="0" w:right="0" w:firstLine="0"/>
              <w:jc w:val="center"/>
              <w:rPr>
                <w:rFonts w:hint="default"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558</w:t>
            </w:r>
            <w:r/>
          </w:p>
        </w:tc>
        <w:tc>
          <w:tcPr>
            <w:tcW w:w="153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54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476"/>
        </w:trPr>
        <w:tc>
          <w:tcPr>
            <w:tcW w:w="774"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W w:w="1482" w:type="dxa"/>
            <w:vAlign w:val="center"/>
            <w:textDirection w:val="lrTb"/>
            <w:noWrap w:val="false"/>
          </w:tcPr>
          <w:p>
            <w:pPr>
              <w:jc w:val="center"/>
              <w:spacing w:line="320" w:lineRule="exact"/>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消火栓转换接口</w:t>
            </w:r>
            <w:r/>
          </w:p>
        </w:tc>
        <w:tc>
          <w:tcPr>
            <w:tcW w:w="9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2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0"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bidi="ar-SA"/>
              </w:rPr>
              <w:t xml:space="preserve">个</w:t>
            </w:r>
            <w:r/>
          </w:p>
        </w:tc>
        <w:tc>
          <w:tcPr>
            <w:tcW w:w="1125" w:type="dxa"/>
            <w:vAlign w:val="center"/>
            <w:textDirection w:val="lrTb"/>
            <w:noWrap w:val="false"/>
          </w:tcPr>
          <w:p>
            <w:pPr>
              <w:ind w:right="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502</w:t>
            </w:r>
            <w:r/>
          </w:p>
        </w:tc>
        <w:tc>
          <w:tcPr>
            <w:tcW w:w="153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54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476"/>
        </w:trPr>
        <w:tc>
          <w:tcPr>
            <w:tcW w:w="774"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W w:w="1482"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40mm消防水枪</w:t>
            </w:r>
            <w:r/>
          </w:p>
        </w:tc>
        <w:tc>
          <w:tcPr>
            <w:tcW w:w="9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2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0"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color w:val="auto"/>
                <w:sz w:val="24"/>
                <w:szCs w:val="24"/>
                <w:highlight w:val="none"/>
                <w:vertAlign w:val="baseline"/>
                <w:lang w:val="en-US" w:eastAsia="zh-CN"/>
              </w:rPr>
              <w:t xml:space="preserve">只</w:t>
            </w:r>
            <w:r/>
          </w:p>
        </w:tc>
        <w:tc>
          <w:tcPr>
            <w:tcW w:w="1125"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502</w:t>
            </w:r>
            <w:r/>
          </w:p>
        </w:tc>
        <w:tc>
          <w:tcPr>
            <w:tcW w:w="153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54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476"/>
        </w:trPr>
        <w:tc>
          <w:tcPr>
            <w:tcW w:w="774"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W w:w="1482"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化学氧自救呼吸器</w:t>
            </w:r>
            <w:r/>
          </w:p>
        </w:tc>
        <w:tc>
          <w:tcPr>
            <w:tcW w:w="9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2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0"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color w:val="auto"/>
                <w:sz w:val="24"/>
                <w:szCs w:val="24"/>
                <w:highlight w:val="none"/>
                <w:vertAlign w:val="baseline"/>
                <w:lang w:val="en-US" w:eastAsia="zh-CN"/>
              </w:rPr>
              <w:t xml:space="preserve">套</w:t>
            </w:r>
            <w:r/>
          </w:p>
        </w:tc>
        <w:tc>
          <w:tcPr>
            <w:tcW w:w="1125" w:type="dxa"/>
            <w:vAlign w:val="center"/>
            <w:textDirection w:val="lrTb"/>
            <w:noWrap w:val="false"/>
          </w:tcPr>
          <w:p>
            <w:pPr>
              <w:ind w:left="0" w:right="0" w:firstLine="0"/>
              <w:jc w:val="center"/>
              <w:rPr>
                <w:rFonts w:hint="eastAsia" w:ascii="仿宋" w:hAnsi="仿宋" w:eastAsia="仿宋"/>
                <w:color w:val="auto"/>
                <w:sz w:val="24"/>
                <w:highlight w:val="none"/>
                <w:lang w:val="en-US" w:eastAsia="zh-CN"/>
              </w:rPr>
            </w:pPr>
            <w:r>
              <w:rPr>
                <w:rFonts w:hint="eastAsia" w:ascii="仿宋" w:hAnsi="仿宋" w:eastAsia="仿宋" w:cs="仿宋"/>
                <w:i w:val="0"/>
                <w:iCs w:val="0"/>
                <w:color w:val="auto"/>
                <w:sz w:val="24"/>
                <w:szCs w:val="24"/>
                <w:highlight w:val="none"/>
                <w:u w:val="none"/>
                <w:lang w:val="en-US" w:eastAsia="zh-CN"/>
              </w:rPr>
              <w:t xml:space="preserve">530</w:t>
            </w:r>
            <w:r/>
          </w:p>
        </w:tc>
        <w:tc>
          <w:tcPr>
            <w:tcW w:w="153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54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623"/>
        </w:trPr>
        <w:tc>
          <w:tcPr>
            <w:gridSpan w:val="6"/>
            <w:tcW w:w="6804"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总计</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元</w:t>
            </w:r>
            <w:r>
              <w:rPr>
                <w:rFonts w:hint="eastAsia" w:ascii="仿宋" w:hAnsi="仿宋" w:eastAsia="仿宋"/>
                <w:color w:val="auto"/>
                <w:sz w:val="24"/>
                <w:highlight w:val="none"/>
                <w:lang w:eastAsia="zh-CN"/>
              </w:rPr>
              <w:t xml:space="preserve">）</w:t>
            </w:r>
            <w:r/>
          </w:p>
        </w:tc>
        <w:tc>
          <w:tcPr>
            <w:gridSpan w:val="2"/>
            <w:tcW w:w="3074" w:type="dxa"/>
            <w:vAlign w:val="center"/>
            <w:textDirection w:val="lrTb"/>
            <w:noWrap w:val="false"/>
          </w:tcPr>
          <w:p>
            <w:pP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大写：</w:t>
            </w:r>
            <w:r/>
          </w:p>
          <w:p>
            <w:pP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小写:￥</w:t>
            </w:r>
            <w:r/>
          </w:p>
        </w:tc>
      </w:tr>
    </w:tbl>
    <w:p>
      <w:pPr>
        <w:rPr>
          <w:rFonts w:ascii="仿宋" w:hAnsi="仿宋" w:eastAsia="仿宋"/>
          <w:color w:val="auto"/>
          <w:sz w:val="24"/>
          <w:highlight w:val="none"/>
        </w:rPr>
        <w:outlineLvl w:val="9"/>
      </w:pPr>
      <w:r>
        <w:rPr>
          <w:rFonts w:ascii="仿宋" w:hAnsi="仿宋" w:eastAsia="仿宋"/>
          <w:color w:val="auto"/>
          <w:sz w:val="24"/>
          <w:highlight w:val="none"/>
        </w:rPr>
      </w:r>
      <w:r/>
    </w:p>
    <w:p>
      <w:pPr>
        <w:rPr>
          <w:rFonts w:ascii="仿宋" w:hAnsi="仿宋" w:eastAsia="仿宋"/>
          <w:b/>
          <w:color w:val="auto"/>
          <w:szCs w:val="21"/>
          <w:highlight w:val="none"/>
        </w:rPr>
        <w:outlineLvl w:val="9"/>
      </w:pPr>
      <w:r>
        <w:rPr>
          <w:rFonts w:hint="eastAsia" w:ascii="仿宋" w:hAnsi="仿宋" w:eastAsia="仿宋"/>
          <w:color w:val="auto"/>
          <w:szCs w:val="21"/>
          <w:highlight w:val="none"/>
        </w:rPr>
        <w:t xml:space="preserve">注：</w:t>
      </w:r>
      <w:r/>
    </w:p>
    <w:p>
      <w:pPr>
        <w:rPr>
          <w:rFonts w:ascii="仿宋" w:hAnsi="仿宋" w:eastAsia="仿宋"/>
          <w:color w:val="auto"/>
          <w:szCs w:val="21"/>
          <w:highlight w:val="none"/>
        </w:rPr>
        <w:outlineLvl w:val="9"/>
      </w:pPr>
      <w:r>
        <w:rPr>
          <w:rFonts w:hint="eastAsia" w:ascii="仿宋" w:hAnsi="仿宋" w:eastAsia="仿宋"/>
          <w:color w:val="auto"/>
          <w:szCs w:val="21"/>
          <w:highlight w:val="none"/>
        </w:rPr>
        <w:t xml:space="preserve">1、此表可以根据需要自行增减行数。</w:t>
      </w:r>
      <w:r/>
    </w:p>
    <w:p>
      <w:pPr>
        <w:rPr>
          <w:rFonts w:ascii="仿宋" w:hAnsi="仿宋" w:eastAsia="仿宋"/>
          <w:color w:val="auto"/>
          <w:szCs w:val="21"/>
          <w:highlight w:val="none"/>
        </w:rPr>
        <w:outlineLvl w:val="9"/>
      </w:pPr>
      <w:r>
        <w:rPr>
          <w:rFonts w:hint="eastAsia" w:ascii="仿宋" w:hAnsi="仿宋" w:eastAsia="仿宋"/>
          <w:color w:val="auto"/>
          <w:szCs w:val="21"/>
          <w:highlight w:val="none"/>
        </w:rPr>
        <w:t xml:space="preserve">2、项目如有分包，请各磋商供应商按投报的分包分别列表。</w:t>
      </w:r>
      <w:r/>
    </w:p>
    <w:p>
      <w:pPr>
        <w:spacing w:line="500" w:lineRule="exact"/>
        <w:rPr>
          <w:rFonts w:ascii="仿宋" w:hAnsi="仿宋" w:eastAsia="仿宋" w:cs="Arial"/>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w:t>
      </w:r>
      <w:r>
        <w:rPr>
          <w:rFonts w:hint="eastAsia" w:ascii="仿宋" w:hAnsi="仿宋" w:eastAsia="仿宋" w:cs="Arial"/>
          <w:color w:val="auto"/>
          <w:sz w:val="28"/>
          <w:szCs w:val="28"/>
          <w:highlight w:val="none"/>
        </w:rPr>
        <w:t xml:space="preserve">残疾人福利性单位声明函</w:t>
      </w:r>
      <w:r/>
    </w:p>
    <w:p>
      <w:pPr>
        <w:jc w:val="center"/>
        <w:rPr>
          <w:rFonts w:ascii="微软雅黑" w:eastAsia="微软雅黑"/>
          <w:i/>
          <w:color w:val="auto"/>
          <w:sz w:val="36"/>
          <w:szCs w:val="36"/>
          <w:highlight w:val="none"/>
        </w:rPr>
        <w:outlineLvl w:val="9"/>
      </w:pPr>
      <w:r>
        <w:rPr>
          <w:rFonts w:hint="eastAsia" w:ascii="微软雅黑" w:eastAsia="微软雅黑"/>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lang w:val="en-US" w:eastAsia="zh-CN"/>
        </w:rPr>
        <w:t xml:space="preserve">如皋市应急管理局</w:t>
      </w:r>
      <w:r>
        <w:rPr>
          <w:rFonts w:hint="eastAsia" w:ascii="仿宋" w:hAnsi="仿宋" w:eastAsia="仿宋"/>
          <w:color w:val="auto"/>
          <w:sz w:val="28"/>
          <w:szCs w:val="28"/>
          <w:highlight w:val="none"/>
          <w:u w:val="single"/>
        </w:rPr>
        <w:t xml:space="preserve">单位</w:t>
      </w:r>
      <w:r>
        <w:rPr>
          <w:rFonts w:hint="eastAsia" w:ascii="仿宋" w:hAnsi="仿宋" w:eastAsia="仿宋"/>
          <w:color w:val="auto"/>
          <w:sz w:val="28"/>
          <w:szCs w:val="28"/>
          <w:highlight w:val="none"/>
        </w:rPr>
        <w:t xml:space="preserve">的项目编号为</w:t>
      </w:r>
      <w:r>
        <w:rPr>
          <w:rFonts w:hint="eastAsia" w:ascii="仿宋" w:hAnsi="仿宋" w:eastAsia="仿宋"/>
          <w:color w:val="auto"/>
          <w:sz w:val="28"/>
          <w:szCs w:val="28"/>
          <w:highlight w:val="none"/>
          <w:u w:val="single"/>
          <w:lang w:eastAsia="zh-CN"/>
        </w:rPr>
        <w:t xml:space="preserve">JSZC-320682-NTZJ-C2026-0012</w:t>
      </w:r>
      <w:r>
        <w:rPr>
          <w:rFonts w:hint="eastAsia" w:ascii="仿宋" w:hAnsi="仿宋" w:eastAsia="仿宋"/>
          <w:color w:val="auto"/>
          <w:sz w:val="28"/>
          <w:szCs w:val="28"/>
          <w:highlight w:val="none"/>
          <w:u w:val="single"/>
          <w:lang w:val="en-US" w:eastAsia="zh-CN"/>
        </w:rPr>
        <w:t xml:space="preserve">的高层住宅小区消防快速处置队装备采购</w:t>
      </w:r>
      <w:r>
        <w:rPr>
          <w:rFonts w:hint="eastAsia" w:ascii="仿宋" w:hAnsi="仿宋" w:eastAsia="仿宋"/>
          <w:color w:val="auto"/>
          <w:sz w:val="28"/>
          <w:szCs w:val="28"/>
          <w:highlight w:val="none"/>
          <w:u w:val="none"/>
        </w:rPr>
        <w:t xml:space="preserve">的项目</w:t>
      </w:r>
      <w:r>
        <w:rPr>
          <w:rFonts w:hint="eastAsia" w:ascii="仿宋" w:hAnsi="仿宋" w:eastAsia="仿宋"/>
          <w:color w:val="auto"/>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注意：成交供应商提供的《中小企业声明函》、《残疾人福利性单位声明函》将随成交结果同时公告，接受社会监督。</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color w:val="auto"/>
          <w:highlight w:val="none"/>
        </w:rPr>
      </w:pPr>
      <w:r>
        <w:rPr>
          <w:color w:val="auto"/>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四</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关于符合本国产品标准的声明函</w:t>
      </w:r>
      <w:r>
        <w:rPr>
          <w:rFonts w:hint="eastAsia" w:ascii="仿宋" w:hAnsi="仿宋" w:eastAsia="仿宋"/>
          <w:bCs/>
          <w:color w:val="auto"/>
          <w:sz w:val="28"/>
          <w:szCs w:val="28"/>
          <w:highlight w:val="none"/>
        </w:rPr>
        <w:t xml:space="preserve">（在有进口产品参加的采购项目中，享受本国产品价格扣除优惠的，须提供此函）</w:t>
      </w:r>
      <w:r/>
    </w:p>
    <w:p>
      <w:pPr>
        <w:jc w:val="center"/>
        <w:rPr>
          <w:rFonts w:ascii="方正小标宋简体" w:hAnsi="方正小标宋简体" w:eastAsia="方正小标宋简体"/>
          <w:b/>
          <w:color w:val="auto"/>
          <w:sz w:val="44"/>
          <w:szCs w:val="44"/>
          <w:highlight w:val="none"/>
        </w:rPr>
      </w:pPr>
      <w:r>
        <w:rPr>
          <w:rStyle w:val="884"/>
          <w:rFonts w:ascii="方正小标宋简体" w:hAnsi="方正小标宋简体" w:eastAsia="方正小标宋简体"/>
          <w:color w:val="auto"/>
          <w:sz w:val="44"/>
          <w:szCs w:val="44"/>
          <w:highlight w:val="none"/>
        </w:rPr>
        <w:t xml:space="preserve">关于符合本国产品标准的声明函</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Style w:val="886"/>
          <w:rFonts w:hint="eastAsia" w:ascii="仿宋" w:hAnsi="仿宋" w:eastAsia="仿宋"/>
          <w:color w:val="auto"/>
          <w:sz w:val="32"/>
          <w:szCs w:val="32"/>
          <w:highlight w:val="none"/>
        </w:rPr>
        <w:t xml:space="preserve">（产品名称1）</w:t>
      </w:r>
      <w:r>
        <w:rPr>
          <w:rStyle w:val="886"/>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886"/>
          <w:rFonts w:hint="eastAsia" w:ascii="仿宋" w:hAnsi="仿宋" w:eastAsia="仿宋"/>
          <w:color w:val="auto"/>
          <w:sz w:val="32"/>
          <w:szCs w:val="32"/>
          <w:highlight w:val="none"/>
        </w:rPr>
        <w:t xml:space="preserve">（厂名）</w:t>
      </w:r>
      <w:r>
        <w:rPr>
          <w:rStyle w:val="886"/>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886"/>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886"/>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886"/>
          <w:rFonts w:hint="eastAsia" w:ascii="仿宋" w:hAnsi="仿宋" w:eastAsia="仿宋"/>
          <w:color w:val="auto"/>
          <w:sz w:val="32"/>
          <w:szCs w:val="32"/>
          <w:highlight w:val="none"/>
        </w:rPr>
        <w:t xml:space="preserve">（规定比例）</w:t>
      </w:r>
      <w:r>
        <w:rPr>
          <w:rStyle w:val="886"/>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886"/>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886"/>
          <w:rFonts w:hint="eastAsia" w:ascii="仿宋" w:hAnsi="仿宋" w:eastAsia="仿宋"/>
          <w:color w:val="auto"/>
          <w:sz w:val="32"/>
          <w:szCs w:val="32"/>
          <w:highlight w:val="none"/>
        </w:rPr>
        <w:t xml:space="preserve">（关键组件）</w:t>
      </w:r>
      <w:r>
        <w:rPr>
          <w:rStyle w:val="886"/>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886"/>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886"/>
          <w:rFonts w:hint="eastAsia" w:ascii="仿宋" w:hAnsi="仿宋" w:eastAsia="仿宋"/>
          <w:color w:val="auto"/>
          <w:sz w:val="32"/>
          <w:szCs w:val="32"/>
          <w:highlight w:val="none"/>
        </w:rPr>
        <w:t xml:space="preserve">（关键工序）</w:t>
      </w:r>
      <w:r>
        <w:rPr>
          <w:rStyle w:val="886"/>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w:t>
      </w:r>
      <w:r>
        <w:rPr>
          <w:rStyle w:val="886"/>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，生产厂为</w:t>
      </w:r>
      <w:r>
        <w:rPr>
          <w:rStyle w:val="886"/>
          <w:rFonts w:hint="eastAsia" w:ascii="仿宋" w:hAnsi="仿宋" w:eastAsia="仿宋"/>
          <w:color w:val="auto"/>
          <w:sz w:val="32"/>
          <w:szCs w:val="32"/>
          <w:highlight w:val="none"/>
        </w:rPr>
        <w:t xml:space="preserve">（厂名）</w:t>
      </w:r>
      <w:r>
        <w:rPr>
          <w:rFonts w:hint="eastAsia" w:ascii="仿宋" w:hAnsi="仿宋" w:eastAsia="仿宋"/>
          <w:color w:val="auto"/>
          <w:sz w:val="32"/>
          <w:szCs w:val="32"/>
          <w:highlight w:val="none"/>
        </w:rPr>
        <w:t xml:space="preserve">，厂址为</w:t>
      </w:r>
      <w:r>
        <w:rPr>
          <w:rStyle w:val="886"/>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886"/>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的中国境内生产的组件成本占比≥</w:t>
      </w:r>
      <w:r>
        <w:rPr>
          <w:rStyle w:val="886"/>
          <w:rFonts w:hint="eastAsia" w:ascii="仿宋" w:hAnsi="仿宋" w:eastAsia="仿宋"/>
          <w:color w:val="auto"/>
          <w:sz w:val="32"/>
          <w:szCs w:val="32"/>
          <w:highlight w:val="none"/>
        </w:rPr>
        <w:t xml:space="preserve">（规定比例）</w:t>
      </w:r>
      <w:r>
        <w:rPr>
          <w:rFonts w:hint="eastAsia" w:ascii="仿宋" w:hAnsi="仿宋" w:eastAsia="仿宋"/>
          <w:color w:val="auto"/>
          <w:sz w:val="32"/>
          <w:szCs w:val="32"/>
          <w:highlight w:val="none"/>
        </w:rPr>
        <w:t xml:space="preserve">。</w:t>
      </w:r>
      <w:r>
        <w:rPr>
          <w:rStyle w:val="886"/>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886"/>
          <w:rFonts w:hint="eastAsia" w:ascii="仿宋" w:hAnsi="仿宋" w:eastAsia="仿宋"/>
          <w:color w:val="auto"/>
          <w:sz w:val="32"/>
          <w:szCs w:val="32"/>
          <w:highlight w:val="none"/>
        </w:rPr>
        <w:t xml:space="preserve">（关键组件）</w:t>
      </w:r>
      <w:r>
        <w:rPr>
          <w:rFonts w:hint="eastAsia" w:ascii="仿宋" w:hAnsi="仿宋" w:eastAsia="仿宋"/>
          <w:color w:val="auto"/>
          <w:sz w:val="32"/>
          <w:szCs w:val="32"/>
          <w:highlight w:val="none"/>
        </w:rPr>
        <w:t xml:space="preserve">在中国境内生产。</w:t>
      </w:r>
      <w:r>
        <w:rPr>
          <w:rStyle w:val="886"/>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886"/>
          <w:rFonts w:hint="eastAsia" w:ascii="仿宋" w:hAnsi="仿宋" w:eastAsia="仿宋"/>
          <w:color w:val="auto"/>
          <w:sz w:val="32"/>
          <w:szCs w:val="32"/>
          <w:highlight w:val="none"/>
        </w:rPr>
        <w:t xml:space="preserve">（关键工序）</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color w:val="auto"/>
          <w:highlight w:val="none"/>
        </w:rPr>
      </w:pPr>
      <w:r>
        <w:rPr>
          <w:rFonts w:hint="eastAsia" w:ascii="仿宋" w:hAnsi="仿宋" w:eastAsia="仿宋"/>
          <w:color w:val="auto"/>
          <w:sz w:val="28"/>
          <w:szCs w:val="28"/>
          <w:highlight w:val="none"/>
        </w:rPr>
        <w:t xml:space="preserve">5.该产品的关键工序要求实施前，“关键工序”栏可不填，下同。</w:t>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等线">
    <w:panose1 w:val="02010600030101010101"/>
  </w:font>
  <w:font w:name="Symbol">
    <w:panose1 w:val="05050102010706020507"/>
  </w:font>
  <w:font w:name="Wingdings">
    <w:panose1 w:val="05000000000000000000"/>
  </w:font>
  <w:font w:name="方正仿宋_GB2312">
    <w:panose1 w:val="020B0503020202020204"/>
  </w:font>
  <w:font w:name="Calibri">
    <w:panose1 w:val="020F0502020204030204"/>
  </w:font>
  <w:font w:name="微软雅黑">
    <w:panose1 w:val="020B0503020204020204"/>
  </w:font>
  <w:font w:name="文鼎CS楷体">
    <w:panose1 w:val="020B050302020202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85"/>
      </w:rPr>
      <w:framePr w:wrap="around" w:vAnchor="text" w:hAnchor="margin" w:xAlign="center" w:y="1"/>
    </w:pPr>
    <w:r>
      <w:fldChar w:fldCharType="begin"/>
    </w:r>
    <w:r>
      <w:rPr>
        <w:rStyle w:val="885"/>
      </w:rPr>
      <w:instrText xml:space="preserve">PAGE  </w:instrText>
    </w:r>
    <w:r>
      <w:fldChar w:fldCharType="end"/>
    </w:r>
    <w:r/>
  </w:p>
  <w:p>
    <w:pPr>
      <w:pStyle w:val="8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85"/>
      </w:rPr>
      <w:framePr w:wrap="around" w:vAnchor="text" w:hAnchor="margin" w:xAlign="center" w:y="1"/>
    </w:pPr>
    <w:r>
      <w:fldChar w:fldCharType="begin"/>
    </w:r>
    <w:r>
      <w:rPr>
        <w:rStyle w:val="885"/>
      </w:rPr>
      <w:instrText xml:space="preserve">PAGE  </w:instrText>
    </w:r>
    <w:r>
      <w:fldChar w:fldCharType="separate"/>
    </w:r>
    <w:r>
      <w:rPr>
        <w:rStyle w:val="885"/>
      </w:rPr>
      <w:t xml:space="preserve">5</w:t>
    </w:r>
    <w:r>
      <w:fldChar w:fldCharType="end"/>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6">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66"/>
    <w:next w:val="866"/>
    <w:link w:val="696"/>
    <w:uiPriority w:val="9"/>
    <w:qFormat/>
    <w:pPr>
      <w:keepLines/>
      <w:keepNext/>
      <w:spacing w:before="480" w:after="200"/>
      <w:outlineLvl w:val="0"/>
    </w:pPr>
    <w:rPr>
      <w:rFonts w:ascii="Arial" w:hAnsi="Arial" w:eastAsia="Arial" w:cs="Arial"/>
      <w:sz w:val="40"/>
      <w:szCs w:val="40"/>
    </w:rPr>
  </w:style>
  <w:style w:type="character" w:styleId="696">
    <w:name w:val="Heading 1 Char"/>
    <w:basedOn w:val="867"/>
    <w:link w:val="695"/>
    <w:uiPriority w:val="9"/>
    <w:rPr>
      <w:rFonts w:ascii="Arial" w:hAnsi="Arial" w:eastAsia="Arial" w:cs="Arial"/>
      <w:sz w:val="40"/>
      <w:szCs w:val="40"/>
    </w:rPr>
  </w:style>
  <w:style w:type="paragraph" w:styleId="697">
    <w:name w:val="Heading 2"/>
    <w:basedOn w:val="866"/>
    <w:next w:val="866"/>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basedOn w:val="867"/>
    <w:link w:val="697"/>
    <w:uiPriority w:val="9"/>
    <w:rPr>
      <w:rFonts w:ascii="Arial" w:hAnsi="Arial" w:eastAsia="Arial" w:cs="Arial"/>
      <w:sz w:val="34"/>
    </w:rPr>
  </w:style>
  <w:style w:type="paragraph" w:styleId="699">
    <w:name w:val="Heading 3"/>
    <w:basedOn w:val="866"/>
    <w:next w:val="866"/>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basedOn w:val="867"/>
    <w:link w:val="699"/>
    <w:uiPriority w:val="9"/>
    <w:rPr>
      <w:rFonts w:ascii="Arial" w:hAnsi="Arial" w:eastAsia="Arial" w:cs="Arial"/>
      <w:sz w:val="30"/>
      <w:szCs w:val="30"/>
    </w:rPr>
  </w:style>
  <w:style w:type="paragraph" w:styleId="701">
    <w:name w:val="Heading 4"/>
    <w:basedOn w:val="866"/>
    <w:next w:val="866"/>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basedOn w:val="867"/>
    <w:link w:val="701"/>
    <w:uiPriority w:val="9"/>
    <w:rPr>
      <w:rFonts w:ascii="Arial" w:hAnsi="Arial" w:eastAsia="Arial" w:cs="Arial"/>
      <w:b/>
      <w:bCs/>
      <w:sz w:val="26"/>
      <w:szCs w:val="26"/>
    </w:rPr>
  </w:style>
  <w:style w:type="paragraph" w:styleId="703">
    <w:name w:val="Heading 5"/>
    <w:basedOn w:val="866"/>
    <w:next w:val="866"/>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67"/>
    <w:link w:val="703"/>
    <w:uiPriority w:val="9"/>
    <w:rPr>
      <w:rFonts w:ascii="Arial" w:hAnsi="Arial" w:eastAsia="Arial" w:cs="Arial"/>
      <w:b/>
      <w:bCs/>
      <w:sz w:val="24"/>
      <w:szCs w:val="24"/>
    </w:rPr>
  </w:style>
  <w:style w:type="paragraph" w:styleId="705">
    <w:name w:val="Heading 6"/>
    <w:basedOn w:val="866"/>
    <w:next w:val="866"/>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67"/>
    <w:link w:val="705"/>
    <w:uiPriority w:val="9"/>
    <w:rPr>
      <w:rFonts w:ascii="Arial" w:hAnsi="Arial" w:eastAsia="Arial" w:cs="Arial"/>
      <w:b/>
      <w:bCs/>
      <w:sz w:val="22"/>
      <w:szCs w:val="22"/>
    </w:rPr>
  </w:style>
  <w:style w:type="paragraph" w:styleId="707">
    <w:name w:val="Heading 7"/>
    <w:basedOn w:val="866"/>
    <w:next w:val="866"/>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67"/>
    <w:link w:val="707"/>
    <w:uiPriority w:val="9"/>
    <w:rPr>
      <w:rFonts w:ascii="Arial" w:hAnsi="Arial" w:eastAsia="Arial" w:cs="Arial"/>
      <w:b/>
      <w:bCs/>
      <w:i/>
      <w:iCs/>
      <w:sz w:val="22"/>
      <w:szCs w:val="22"/>
    </w:rPr>
  </w:style>
  <w:style w:type="paragraph" w:styleId="709">
    <w:name w:val="Heading 8"/>
    <w:basedOn w:val="866"/>
    <w:next w:val="866"/>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67"/>
    <w:link w:val="709"/>
    <w:uiPriority w:val="9"/>
    <w:rPr>
      <w:rFonts w:ascii="Arial" w:hAnsi="Arial" w:eastAsia="Arial" w:cs="Arial"/>
      <w:i/>
      <w:iCs/>
      <w:sz w:val="22"/>
      <w:szCs w:val="22"/>
    </w:rPr>
  </w:style>
  <w:style w:type="paragraph" w:styleId="711">
    <w:name w:val="Heading 9"/>
    <w:basedOn w:val="866"/>
    <w:next w:val="866"/>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67"/>
    <w:link w:val="711"/>
    <w:uiPriority w:val="9"/>
    <w:rPr>
      <w:rFonts w:ascii="Arial" w:hAnsi="Arial" w:eastAsia="Arial" w:cs="Arial"/>
      <w:i/>
      <w:iCs/>
      <w:sz w:val="21"/>
      <w:szCs w:val="21"/>
    </w:rPr>
  </w:style>
  <w:style w:type="paragraph" w:styleId="713">
    <w:name w:val="No Spacing"/>
    <w:uiPriority w:val="1"/>
    <w:qFormat/>
    <w:pPr>
      <w:spacing w:before="0" w:after="0" w:line="240" w:lineRule="auto"/>
    </w:pPr>
  </w:style>
  <w:style w:type="paragraph" w:styleId="714">
    <w:name w:val="Title"/>
    <w:basedOn w:val="866"/>
    <w:next w:val="866"/>
    <w:link w:val="715"/>
    <w:uiPriority w:val="10"/>
    <w:qFormat/>
    <w:pPr>
      <w:contextualSpacing/>
      <w:spacing w:before="300" w:after="200"/>
    </w:pPr>
    <w:rPr>
      <w:sz w:val="48"/>
      <w:szCs w:val="48"/>
    </w:rPr>
  </w:style>
  <w:style w:type="character" w:styleId="715">
    <w:name w:val="Title Char"/>
    <w:basedOn w:val="867"/>
    <w:link w:val="714"/>
    <w:uiPriority w:val="10"/>
    <w:rPr>
      <w:sz w:val="48"/>
      <w:szCs w:val="48"/>
    </w:rPr>
  </w:style>
  <w:style w:type="paragraph" w:styleId="716">
    <w:name w:val="Subtitle"/>
    <w:basedOn w:val="866"/>
    <w:next w:val="866"/>
    <w:link w:val="717"/>
    <w:uiPriority w:val="11"/>
    <w:qFormat/>
    <w:pPr>
      <w:spacing w:before="200" w:after="200"/>
    </w:pPr>
    <w:rPr>
      <w:sz w:val="24"/>
      <w:szCs w:val="24"/>
    </w:rPr>
  </w:style>
  <w:style w:type="character" w:styleId="717">
    <w:name w:val="Subtitle Char"/>
    <w:basedOn w:val="867"/>
    <w:link w:val="716"/>
    <w:uiPriority w:val="11"/>
    <w:rPr>
      <w:sz w:val="24"/>
      <w:szCs w:val="24"/>
    </w:rPr>
  </w:style>
  <w:style w:type="paragraph" w:styleId="718">
    <w:name w:val="Quote"/>
    <w:basedOn w:val="866"/>
    <w:next w:val="866"/>
    <w:link w:val="719"/>
    <w:uiPriority w:val="29"/>
    <w:qFormat/>
    <w:pPr>
      <w:ind w:left="720" w:right="720"/>
    </w:pPr>
    <w:rPr>
      <w:i/>
    </w:rPr>
  </w:style>
  <w:style w:type="character" w:styleId="719">
    <w:name w:val="Quote Char"/>
    <w:link w:val="718"/>
    <w:uiPriority w:val="29"/>
    <w:rPr>
      <w:i/>
    </w:rPr>
  </w:style>
  <w:style w:type="paragraph" w:styleId="720">
    <w:name w:val="Intense Quote"/>
    <w:basedOn w:val="866"/>
    <w:next w:val="866"/>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67"/>
    <w:link w:val="876"/>
    <w:uiPriority w:val="99"/>
  </w:style>
  <w:style w:type="character" w:styleId="723">
    <w:name w:val="Footer Char"/>
    <w:basedOn w:val="867"/>
    <w:link w:val="875"/>
    <w:uiPriority w:val="99"/>
  </w:style>
  <w:style w:type="paragraph" w:styleId="724">
    <w:name w:val="Caption"/>
    <w:basedOn w:val="866"/>
    <w:next w:val="866"/>
    <w:uiPriority w:val="35"/>
    <w:semiHidden/>
    <w:unhideWhenUsed/>
    <w:qFormat/>
    <w:pPr>
      <w:spacing w:line="276" w:lineRule="auto"/>
    </w:pPr>
    <w:rPr>
      <w:b/>
      <w:bCs/>
      <w:color w:val="4f81bd" w:themeColor="accent1"/>
      <w:sz w:val="18"/>
      <w:szCs w:val="18"/>
    </w:rPr>
  </w:style>
  <w:style w:type="character" w:styleId="725">
    <w:name w:val="Caption Char"/>
    <w:basedOn w:val="724"/>
    <w:link w:val="875"/>
    <w:uiPriority w:val="99"/>
  </w:style>
  <w:style w:type="table" w:styleId="726">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2">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3">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4">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5">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6">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7">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4">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7">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8">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9">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0">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1">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2">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4">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5">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6">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7">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8">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9">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8">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9">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0">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1">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2">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3">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5">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6">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7">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8">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9">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0">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2">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3">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4">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5">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6">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7">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9">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0">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1">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2">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3">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4">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1">
    <w:name w:val="footnote text"/>
    <w:basedOn w:val="866"/>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67"/>
    <w:uiPriority w:val="99"/>
    <w:unhideWhenUsed/>
    <w:rPr>
      <w:vertAlign w:val="superscript"/>
    </w:rPr>
  </w:style>
  <w:style w:type="paragraph" w:styleId="854">
    <w:name w:val="endnote text"/>
    <w:basedOn w:val="866"/>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67"/>
    <w:uiPriority w:val="99"/>
    <w:semiHidden/>
    <w:unhideWhenUsed/>
    <w:rPr>
      <w:vertAlign w:val="superscript"/>
    </w:r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867" w:default="1">
    <w:name w:val="Default Paragraph Font"/>
    <w:uiPriority w:val="0"/>
    <w:semiHidden/>
    <w:qFormat/>
  </w:style>
  <w:style w:type="table" w:styleId="868" w:default="1">
    <w:name w:val="Normal Table"/>
    <w:uiPriority w:val="0"/>
    <w:semiHidden/>
    <w:qFormat/>
    <w:tblPr>
      <w:tblCellMar>
        <w:left w:w="108" w:type="dxa"/>
        <w:top w:w="0" w:type="dxa"/>
        <w:right w:w="108" w:type="dxa"/>
        <w:bottom w:w="0" w:type="dxa"/>
      </w:tblCellMar>
    </w:tblPr>
  </w:style>
  <w:style w:type="paragraph" w:styleId="869">
    <w:name w:val="Normal Indent"/>
    <w:basedOn w:val="866"/>
    <w:uiPriority w:val="0"/>
    <w:qFormat/>
    <w:pPr>
      <w:ind w:firstLine="420"/>
    </w:pPr>
  </w:style>
  <w:style w:type="paragraph" w:styleId="870">
    <w:name w:val="Body Text"/>
    <w:basedOn w:val="866"/>
    <w:uiPriority w:val="0"/>
    <w:qFormat/>
    <w:pPr>
      <w:ind w:firstLine="560"/>
      <w:jc w:val="left"/>
      <w:spacing w:afterAutospacing="0" w:line="360" w:lineRule="auto"/>
    </w:pPr>
    <w:rPr>
      <w:rFonts w:ascii="宋体" w:hAnsi="宋体" w:eastAsia="宋体"/>
      <w:sz w:val="24"/>
      <w:szCs w:val="28"/>
    </w:rPr>
  </w:style>
  <w:style w:type="paragraph" w:styleId="871">
    <w:name w:val="Body Text Indent"/>
    <w:basedOn w:val="866"/>
    <w:next w:val="872"/>
    <w:uiPriority w:val="0"/>
    <w:qFormat/>
    <w:pPr>
      <w:ind w:left="420"/>
      <w:spacing w:after="120"/>
    </w:pPr>
  </w:style>
  <w:style w:type="paragraph" w:styleId="872">
    <w:name w:val="envelope return"/>
    <w:basedOn w:val="866"/>
    <w:uiPriority w:val="99"/>
    <w:unhideWhenUsed/>
    <w:qFormat/>
    <w:rPr>
      <w:rFonts w:ascii="Arial" w:hAnsi="Arial"/>
    </w:rPr>
  </w:style>
  <w:style w:type="paragraph" w:styleId="873">
    <w:name w:val="Plain Text"/>
    <w:basedOn w:val="866"/>
    <w:uiPriority w:val="0"/>
    <w:qFormat/>
    <w:pPr>
      <w:jc w:val="left"/>
      <w:spacing w:after="200" w:line="252" w:lineRule="auto"/>
      <w:widowControl/>
    </w:pPr>
    <w:rPr>
      <w:rFonts w:ascii="宋体" w:hAnsi="Courier New"/>
      <w:szCs w:val="20"/>
    </w:rPr>
  </w:style>
  <w:style w:type="paragraph" w:styleId="874">
    <w:name w:val="Date"/>
    <w:basedOn w:val="866"/>
    <w:next w:val="866"/>
    <w:uiPriority w:val="0"/>
    <w:qFormat/>
    <w:rPr>
      <w:sz w:val="24"/>
      <w:szCs w:val="20"/>
    </w:rPr>
  </w:style>
  <w:style w:type="paragraph" w:styleId="875">
    <w:name w:val="Footer"/>
    <w:basedOn w:val="866"/>
    <w:uiPriority w:val="0"/>
    <w:qFormat/>
    <w:pPr>
      <w:jc w:val="left"/>
      <w:tabs>
        <w:tab w:val="center" w:pos="4153" w:leader="none"/>
        <w:tab w:val="right" w:pos="8306" w:leader="none"/>
      </w:tabs>
    </w:pPr>
    <w:rPr>
      <w:sz w:val="18"/>
      <w:szCs w:val="18"/>
    </w:rPr>
  </w:style>
  <w:style w:type="paragraph" w:styleId="876">
    <w:name w:val="Header"/>
    <w:basedOn w:val="866"/>
    <w:uiPriority w:val="99"/>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66"/>
    <w:next w:val="866"/>
    <w:uiPriority w:val="0"/>
    <w:qFormat/>
  </w:style>
  <w:style w:type="paragraph" w:styleId="878">
    <w:name w:val="Body Text Indent 3"/>
    <w:basedOn w:val="866"/>
    <w:uiPriority w:val="0"/>
    <w:qFormat/>
    <w:pPr>
      <w:ind w:left="420"/>
      <w:spacing w:after="120"/>
    </w:pPr>
    <w:rPr>
      <w:sz w:val="16"/>
      <w:szCs w:val="16"/>
    </w:rPr>
  </w:style>
  <w:style w:type="paragraph" w:styleId="879">
    <w:name w:val="toc 2"/>
    <w:basedOn w:val="866"/>
    <w:next w:val="866"/>
    <w:uiPriority w:val="0"/>
    <w:qFormat/>
    <w:pPr>
      <w:ind w:left="420"/>
    </w:pPr>
  </w:style>
  <w:style w:type="paragraph" w:styleId="880">
    <w:name w:val="HTML Preformatted"/>
    <w:basedOn w:val="86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81">
    <w:name w:val="Normal (Web)"/>
    <w:basedOn w:val="866"/>
    <w:uiPriority w:val="99"/>
    <w:unhideWhenUsed/>
    <w:qFormat/>
    <w:pPr>
      <w:jc w:val="left"/>
      <w:spacing w:before="100" w:beforeAutospacing="1" w:after="100" w:afterAutospacing="1"/>
      <w:widowControl/>
    </w:pPr>
    <w:rPr>
      <w:rFonts w:ascii="宋体" w:hAnsi="宋体" w:cs="宋体"/>
      <w:sz w:val="24"/>
    </w:rPr>
  </w:style>
  <w:style w:type="paragraph" w:styleId="882">
    <w:name w:val="Body Text First Indent"/>
    <w:basedOn w:val="870"/>
    <w:uiPriority w:val="99"/>
    <w:qFormat/>
    <w:pPr>
      <w:ind w:firstLine="200"/>
      <w:spacing w:line="360" w:lineRule="auto"/>
    </w:pPr>
    <w:rPr>
      <w:rFonts w:ascii="仿宋_GB2312" w:eastAsia="仿宋_GB2312"/>
      <w:sz w:val="30"/>
      <w:szCs w:val="30"/>
    </w:rPr>
  </w:style>
  <w:style w:type="table" w:styleId="883">
    <w:name w:val="Table Grid"/>
    <w:basedOn w:val="8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name w:val="Strong"/>
    <w:basedOn w:val="867"/>
    <w:uiPriority w:val="0"/>
    <w:qFormat/>
    <w:rPr>
      <w:b/>
    </w:rPr>
  </w:style>
  <w:style w:type="character" w:styleId="885">
    <w:name w:val="page number"/>
    <w:basedOn w:val="867"/>
    <w:uiPriority w:val="0"/>
    <w:qFormat/>
  </w:style>
  <w:style w:type="character" w:styleId="886">
    <w:name w:val="Emphasis"/>
    <w:basedOn w:val="867"/>
    <w:uiPriority w:val="20"/>
    <w:qFormat/>
    <w:rPr>
      <w:i/>
      <w:iCs/>
    </w:rPr>
  </w:style>
  <w:style w:type="character" w:styleId="887">
    <w:name w:val="Hyperlink"/>
    <w:basedOn w:val="867"/>
    <w:uiPriority w:val="0"/>
    <w:qFormat/>
    <w:rPr>
      <w:color w:val="0000ff"/>
      <w:u w:val="single"/>
    </w:rPr>
  </w:style>
  <w:style w:type="paragraph" w:styleId="888" w:customStyle="1">
    <w:name w:val="索引 41"/>
    <w:basedOn w:val="866"/>
    <w:next w:val="866"/>
    <w:uiPriority w:val="0"/>
    <w:qFormat/>
    <w:pPr>
      <w:ind w:left="600"/>
      <w:jc w:val="both"/>
    </w:pPr>
    <w:rPr>
      <w:rFonts w:ascii="Calibri" w:hAnsi="Calibri" w:cs="Times New Roman"/>
      <w:sz w:val="21"/>
    </w:rPr>
  </w:style>
  <w:style w:type="paragraph" w:styleId="889" w:customStyle="1">
    <w:name w:val="style4"/>
    <w:basedOn w:val="866"/>
    <w:next w:val="890"/>
    <w:uiPriority w:val="0"/>
    <w:qFormat/>
    <w:pPr>
      <w:jc w:val="left"/>
      <w:spacing w:before="100" w:beforeAutospacing="1" w:after="100" w:afterAutospacing="1"/>
      <w:widowControl/>
    </w:pPr>
    <w:rPr>
      <w:rFonts w:ascii="Arial Unicode MS" w:hAnsi="Arial Unicode MS" w:eastAsia="Arial Unicode MS" w:cs="Arial Unicode MS"/>
      <w:color w:val="0000ff"/>
      <w:sz w:val="20"/>
    </w:rPr>
  </w:style>
  <w:style w:type="paragraph" w:styleId="890" w:customStyle="1">
    <w:name w:val="2"/>
    <w:next w:val="866"/>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91" w:customStyle="1">
    <w:name w:val="普通正文"/>
    <w:basedOn w:val="866"/>
    <w:uiPriority w:val="0"/>
    <w:qFormat/>
    <w:pPr>
      <w:ind w:firstLine="480"/>
      <w:jc w:val="left"/>
      <w:spacing w:before="120" w:after="120" w:line="360" w:lineRule="auto"/>
    </w:pPr>
    <w:rPr>
      <w:rFonts w:ascii="Arial" w:hAnsi="Arial"/>
      <w:sz w:val="24"/>
    </w:rPr>
  </w:style>
  <w:style w:type="paragraph" w:styleId="892" w:customStyle="1">
    <w:name w:val="*正文"/>
    <w:basedOn w:val="866"/>
    <w:uiPriority w:val="99"/>
    <w:qFormat/>
    <w:pPr>
      <w:ind w:firstLine="482"/>
      <w:spacing w:line="360" w:lineRule="auto"/>
    </w:pPr>
    <w:rPr>
      <w:rFonts w:eastAsia="仿宋_GB2312"/>
      <w:sz w:val="28"/>
    </w:rPr>
  </w:style>
  <w:style w:type="character" w:styleId="893" w:customStyle="1">
    <w:name w:val="font11"/>
    <w:basedOn w:val="867"/>
    <w:uiPriority w:val="0"/>
    <w:qFormat/>
    <w:rPr>
      <w:rFonts w:hint="eastAsia" w:ascii="方正仿宋_GB2312" w:hAnsi="方正仿宋_GB2312" w:eastAsia="方正仿宋_GB2312" w:cs="方正仿宋_GB2312"/>
      <w:color w:val="000000"/>
      <w:sz w:val="20"/>
      <w:szCs w:val="20"/>
      <w:u w:val="none"/>
    </w:rPr>
  </w:style>
  <w:style w:type="character" w:styleId="894" w:customStyle="1">
    <w:name w:val="font61"/>
    <w:basedOn w:val="867"/>
    <w:uiPriority w:val="0"/>
    <w:qFormat/>
    <w:rPr>
      <w:rFonts w:hint="eastAsia" w:ascii="方正仿宋_GB2312" w:hAnsi="方正仿宋_GB2312" w:eastAsia="方正仿宋_GB2312" w:cs="方正仿宋_GB2312"/>
      <w:color w:val="000000"/>
      <w:sz w:val="20"/>
      <w:szCs w:val="20"/>
      <w:u w:val="none"/>
    </w:rPr>
  </w:style>
  <w:style w:type="character" w:styleId="895" w:customStyle="1">
    <w:name w:val="font71"/>
    <w:basedOn w:val="867"/>
    <w:uiPriority w:val="0"/>
    <w:qFormat/>
    <w:rPr>
      <w:rFonts w:hint="default" w:ascii="Times New Roman" w:hAnsi="Times New Roman" w:cs="Times New Roman"/>
      <w:color w:val="000000"/>
      <w:sz w:val="20"/>
      <w:szCs w:val="20"/>
      <w:u w:val="none"/>
    </w:rPr>
  </w:style>
  <w:style w:type="paragraph" w:styleId="896" w:customStyle="1">
    <w:name w:val="首行缩进"/>
    <w:basedOn w:val="866"/>
    <w:uiPriority w:val="0"/>
    <w:qFormat/>
    <w:pPr>
      <w:ind w:firstLine="480"/>
      <w:jc w:val="left"/>
    </w:pPr>
    <w:rPr>
      <w:rFonts w:ascii="宋体" w:hAnsi="宋体"/>
    </w:rPr>
  </w:style>
  <w:style w:type="paragraph" w:styleId="897" w:customStyle="1">
    <w:name w:val="Char1"/>
    <w:basedOn w:val="866"/>
    <w:uiPriority w:val="0"/>
    <w:qFormat/>
    <w:pPr>
      <w:tabs>
        <w:tab w:val="left" w:pos="360" w:leader="none"/>
      </w:tabs>
    </w:pPr>
    <w:rPr>
      <w:color w:val="000000"/>
      <w:sz w:val="24"/>
    </w:rPr>
  </w:style>
  <w:style w:type="paragraph" w:styleId="898" w:customStyle="1">
    <w:name w:val="正文1"/>
    <w:basedOn w:val="866"/>
    <w:uiPriority w:val="0"/>
    <w:qFormat/>
    <w:pPr>
      <w:ind w:firstLine="361"/>
      <w:spacing w:line="360" w:lineRule="auto"/>
    </w:pPr>
    <w:rPr>
      <w:rFonts w:ascii="宋体" w:hAnsi="宋体" w:eastAsia="仿宋_GB2312"/>
    </w:rPr>
  </w:style>
  <w:style w:type="paragraph" w:styleId="899">
    <w:name w:val="List Paragraph"/>
    <w:basedOn w:val="866"/>
    <w:uiPriority w:val="34"/>
    <w:qFormat/>
    <w:pPr>
      <w:contextualSpacing/>
      <w:ind w:left="720"/>
    </w:pPr>
  </w:style>
  <w:style w:type="paragraph" w:styleId="900" w:customStyle="1">
    <w:name w:val="标准正文"/>
    <w:basedOn w:val="871"/>
    <w:uiPriority w:val="0"/>
    <w:qFormat/>
    <w:pPr>
      <w:ind w:firstLine="560"/>
      <w:spacing w:line="360" w:lineRule="auto"/>
    </w:pPr>
    <w:rPr>
      <w:sz w:val="24"/>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杨洁</cp:lastModifiedBy>
  <cp:revision>2</cp:revision>
  <dcterms:created xsi:type="dcterms:W3CDTF">2023-07-21T03:14:00Z</dcterms:created>
  <dcterms:modified xsi:type="dcterms:W3CDTF">2026-06-16T09:16:51Z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B2D6B2D3516E4DEB8E41CE28C8DCB199_13</vt:lpwstr>
  </property>
  <property fmtid="{D5CDD505-2E9C-101B-9397-08002B2CF9AE}" pid="4" name="KSOTemplateDocerSaveRecord">
    <vt:lpwstr>eyJoZGlkIjoiYmViMmMzOTZmM2RlY2U5YzgxYmVjYmVmOThmZDA4MzIiLCJ1c2VySWQiOiI2MzQ3ODY4MTAifQ==</vt:lpwstr>
  </property>
</Properties>
</file>