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81"/>
        <w:rPr>
          <w:rFonts w:hint="eastAsia"/>
        </w:rPr>
      </w:pPr>
      <w:r>
        <w:rPr>
          <w:rFonts w:hint="eastAsia"/>
        </w:rPr>
      </w:r>
      <w:r/>
    </w:p>
    <w:p>
      <w:pPr>
        <w:pStyle w:val="960"/>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69"/>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南京师范大学附属小学配套教室设备采购</w:t>
      </w:r>
      <w:r>
        <w:rPr>
          <w:rFonts w:eastAsia="宋体" w:cs="Times New Roman"/>
          <w:b/>
          <w:color w:val="000000"/>
          <w:sz w:val="30"/>
          <w:szCs w:val="30"/>
          <w:u w:val="single"/>
          <w:lang w:val="en-US" w:eastAsia="zh-CN"/>
        </w:rPr>
      </w:r>
      <w:r/>
    </w:p>
    <w:p>
      <w:pPr>
        <w:pStyle w:val="869"/>
        <w:ind w:firstLine="1506"/>
        <w:rPr>
          <w:rFonts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0170</w:t>
      </w:r>
      <w:r>
        <w:rPr>
          <w:rFonts w:eastAsia="宋体" w:cs="Times New Roman"/>
          <w:b/>
          <w:color w:val="000000"/>
          <w:sz w:val="30"/>
          <w:szCs w:val="30"/>
          <w:lang w:val="en-US" w:eastAsia="zh-CN"/>
        </w:rPr>
      </w:r>
      <w:r/>
    </w:p>
    <w:p>
      <w:pPr>
        <w:pStyle w:val="869"/>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0"/>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2026年6月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69"/>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20823272"/>
      <w:r/>
      <w:bookmarkStart w:id="2" w:name="_Toc523127445"/>
      <w:r/>
      <w:bookmarkStart w:id="3" w:name="_Toc479757206"/>
      <w:r/>
      <w:bookmarkStart w:id="4" w:name="_Toc16938516"/>
      <w:r/>
      <w:bookmarkStart w:id="5" w:name="_Toc513029200"/>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6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19</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38</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42</w:t>
      </w:r>
      <w:r>
        <w:rPr>
          <w:rFonts w:hint="eastAsia" w:ascii="黑体" w:hAnsi="宋体" w:eastAsia="黑体" w:cs="Times New Roman"/>
          <w:color w:val="000000"/>
          <w:sz w:val="36"/>
          <w:szCs w:val="21"/>
        </w:rPr>
      </w:r>
      <w:r/>
    </w:p>
    <w:p>
      <w:pPr>
        <w:pStyle w:val="869"/>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69"/>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869"/>
        <w:ind w:firstLine="480"/>
        <w:pageBreakBefore w:val="0"/>
        <w:spacing w:line="252" w:lineRule="auto"/>
        <w:widowControl w:val="off"/>
        <w:rPr>
          <w:rFonts w:ascii="宋体" w:hAnsi="宋体"/>
          <w:color w:val="000000"/>
          <w:sz w:val="24"/>
          <w:szCs w:val="24"/>
        </w:rPr>
      </w:pPr>
      <w:r/>
      <w:bookmarkStart w:id="6" w:name="_Toc35393621"/>
      <w:r/>
      <w:bookmarkStart w:id="7" w:name="_Toc28359002"/>
      <w:r/>
      <w:bookmarkStart w:id="8" w:name="_Toc28359079"/>
      <w:r/>
      <w:bookmarkStart w:id="9" w:name="_Toc35393790"/>
      <w:r/>
      <w:bookmarkStart w:id="10" w:name="_Toc38985263"/>
      <w:r/>
      <w:bookmarkStart w:id="11" w:name="_Hlk24379207"/>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南京市玄武区教育局</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w:t>
      </w:r>
      <w:r>
        <w:rPr>
          <w:rFonts w:hint="eastAsia" w:ascii="宋体" w:hAnsi="宋体"/>
          <w:b w:val="0"/>
          <w:bCs w:val="0"/>
          <w:color w:val="000000"/>
          <w:sz w:val="24"/>
          <w:szCs w:val="24"/>
          <w:lang w:eastAsia="zh-CN"/>
        </w:rPr>
        <w:t xml:space="preserve">南京市公共资源交易中心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南京师范大学附属小学配套教室设备采购</w:t>
      </w:r>
      <w:r>
        <w:rPr>
          <w:rFonts w:hint="eastAsia" w:ascii="宋体" w:hAnsi="宋体"/>
          <w:color w:val="000000"/>
          <w:sz w:val="24"/>
          <w:szCs w:val="24"/>
        </w:rPr>
        <w:t xml:space="preserve">进行公开招标采购</w:t>
      </w:r>
      <w:r>
        <w:rPr>
          <w:rFonts w:hint="eastAsia" w:ascii="宋体" w:hAnsi="宋体"/>
          <w:color w:val="000000"/>
          <w:sz w:val="24"/>
          <w:szCs w:val="24"/>
          <w:lang w:eastAsia="zh-CN"/>
        </w:rPr>
        <w:t xml:space="preserve">，</w:t>
      </w:r>
      <w:r>
        <w:rPr>
          <w:rFonts w:hint="eastAsia" w:ascii="宋体" w:hAnsi="宋体"/>
          <w:color w:val="000000"/>
          <w:sz w:val="24"/>
          <w:szCs w:val="24"/>
        </w:rPr>
        <w:t xml:space="preserve">欢迎符合条件的供应商投标。</w:t>
      </w:r>
      <w:r>
        <w:rPr>
          <w:rFonts w:ascii="宋体" w:hAnsi="宋体"/>
          <w:color w:val="000000"/>
          <w:sz w:val="24"/>
          <w:szCs w:val="24"/>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ascii="宋体" w:hAnsi="宋体"/>
          <w:color w:val="000000"/>
          <w:sz w:val="24"/>
          <w:szCs w:val="24"/>
        </w:rPr>
      </w:pPr>
      <w:r/>
      <w:bookmarkEnd w:id="11"/>
      <w:r/>
      <w:bookmarkStart w:id="12" w:name="_Toc28359080"/>
      <w:r/>
      <w:bookmarkStart w:id="13" w:name="_Toc38985264"/>
      <w:r/>
      <w:bookmarkStart w:id="14" w:name="_Toc35393791"/>
      <w:r/>
      <w:bookmarkStart w:id="15" w:name="_Toc35393622"/>
      <w:r/>
      <w:bookmarkStart w:id="16" w:name="_Toc28359003"/>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0170</w:t>
      </w:r>
      <w:r>
        <w:rPr>
          <w:rFonts w:hint="eastAsia" w:ascii="宋体" w:hAnsi="宋体" w:eastAsia="宋体" w:cs="Times New Roman"/>
          <w:color w:val="000000"/>
          <w:sz w:val="24"/>
          <w:szCs w:val="24"/>
          <w:lang w:eastAsia="zh-CN"/>
        </w:rPr>
        <w:t xml:space="preserve"> </w:t>
      </w:r>
      <w:r>
        <w:rPr>
          <w:rFonts w:ascii="宋体" w:hAnsi="宋体"/>
          <w:color w:val="000000"/>
          <w:sz w:val="24"/>
          <w:szCs w:val="24"/>
        </w:rPr>
      </w:r>
      <w:r/>
    </w:p>
    <w:p>
      <w:pPr>
        <w:pStyle w:val="869"/>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南京师范大学附属小学配套教室设备采购</w:t>
      </w:r>
      <w:r>
        <w:rPr>
          <w:rFonts w:hint="eastAsia" w:ascii="宋体" w:hAnsi="宋体" w:eastAsia="宋体"/>
          <w:color w:val="000000"/>
          <w:sz w:val="24"/>
          <w:szCs w:val="24"/>
          <w:lang w:eastAsia="zh-CN"/>
        </w:rPr>
      </w:r>
      <w:r/>
    </w:p>
    <w:p>
      <w:pPr>
        <w:pStyle w:val="869"/>
        <w:ind w:firstLine="480"/>
        <w:spacing w:line="400" w:lineRule="exact"/>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292</w:t>
      </w:r>
      <w:r>
        <w:rPr>
          <w:rFonts w:hint="eastAsia" w:ascii="宋体" w:hAnsi="宋体"/>
          <w:color w:val="000000"/>
          <w:sz w:val="24"/>
          <w:szCs w:val="24"/>
        </w:rPr>
        <w:t xml:space="preserve">万元</w:t>
      </w:r>
      <w:r>
        <w:rPr>
          <w:rFonts w:ascii="宋体" w:hAnsi="宋体"/>
          <w:color w:val="000000"/>
          <w:sz w:val="24"/>
          <w:szCs w:val="24"/>
        </w:rPr>
      </w:r>
      <w:r/>
    </w:p>
    <w:p>
      <w:pPr>
        <w:pStyle w:val="869"/>
        <w:ind w:firstLine="480"/>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rPr>
        <w:t xml:space="preserve">4.最高限价：</w:t>
      </w:r>
      <w:r>
        <w:rPr>
          <w:rFonts w:hint="eastAsia" w:ascii="宋体" w:hAnsi="宋体"/>
          <w:color w:val="000000"/>
          <w:sz w:val="24"/>
          <w:szCs w:val="24"/>
          <w:lang w:val="en-US" w:eastAsia="zh-CN"/>
        </w:rPr>
        <w:t xml:space="preserve">288</w:t>
      </w:r>
      <w:r>
        <w:rPr>
          <w:rFonts w:hint="eastAsia" w:ascii="宋体" w:hAnsi="宋体"/>
          <w:color w:val="000000"/>
          <w:sz w:val="24"/>
          <w:szCs w:val="24"/>
        </w:rPr>
        <w:t xml:space="preserve">万元</w:t>
      </w:r>
      <w:r>
        <w:rPr>
          <w:rFonts w:hint="eastAsia" w:ascii="宋体" w:hAnsi="宋体" w:eastAsia="宋体"/>
          <w:color w:val="000000"/>
          <w:sz w:val="24"/>
          <w:szCs w:val="24"/>
          <w:lang w:val="en-US" w:eastAsia="zh-CN"/>
        </w:rPr>
      </w:r>
      <w:r/>
    </w:p>
    <w:p>
      <w:pPr>
        <w:pStyle w:val="869"/>
        <w:ind w:firstLine="480"/>
        <w:pageBreakBefore w:val="0"/>
        <w:spacing w:line="252"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lang w:val="en-US" w:eastAsia="zh-CN"/>
        </w:rPr>
        <w:t xml:space="preserve">为</w:t>
      </w:r>
      <w:r>
        <w:rPr>
          <w:rFonts w:hint="eastAsia" w:ascii="宋体" w:hAnsi="宋体" w:eastAsia="宋体" w:cs="Times New Roman"/>
          <w:color w:val="000000"/>
          <w:sz w:val="24"/>
          <w:szCs w:val="24"/>
          <w:lang w:val="en-US" w:eastAsia="zh-CN"/>
        </w:rPr>
        <w:t xml:space="preserve">改善学校教学环境，满足学校教育教学需要，本项目拟为</w:t>
      </w:r>
      <w:r>
        <w:rPr>
          <w:rFonts w:hint="eastAsia" w:ascii="宋体" w:hAnsi="宋体"/>
          <w:color w:val="000000"/>
          <w:sz w:val="24"/>
          <w:szCs w:val="24"/>
          <w:lang w:val="en-US" w:eastAsia="zh-CN"/>
        </w:rPr>
        <w:t xml:space="preserve">南京师范大学附属小学</w:t>
      </w:r>
      <w:r>
        <w:rPr>
          <w:rFonts w:hint="eastAsia" w:ascii="宋体" w:hAnsi="宋体"/>
          <w:color w:val="000000"/>
          <w:sz w:val="24"/>
          <w:szCs w:val="24"/>
          <w:lang w:val="en-US" w:eastAsia="zh-CN"/>
        </w:rPr>
        <w:t xml:space="preserve">更换93寸激光智慧黑板、</w:t>
      </w:r>
      <w:r>
        <w:rPr>
          <w:rFonts w:hint="eastAsia" w:ascii="宋体" w:hAnsi="宋体"/>
          <w:color w:val="000000"/>
          <w:sz w:val="24"/>
          <w:szCs w:val="24"/>
          <w:lang w:val="en-US" w:eastAsia="zh-CN"/>
        </w:rPr>
        <w:t xml:space="preserve">功能教室</w:t>
      </w:r>
      <w:r>
        <w:rPr>
          <w:rFonts w:hint="eastAsia" w:ascii="宋体" w:hAnsi="宋体"/>
          <w:color w:val="000000"/>
          <w:sz w:val="24"/>
          <w:szCs w:val="24"/>
          <w:lang w:val="en-US" w:eastAsia="zh-CN"/>
        </w:rPr>
        <w:t xml:space="preserve">改造等</w:t>
      </w:r>
      <w:r>
        <w:rPr>
          <w:rFonts w:hint="eastAsia" w:ascii="宋体" w:hAnsi="宋体"/>
          <w:color w:val="000000"/>
          <w:sz w:val="24"/>
          <w:szCs w:val="24"/>
          <w:lang w:val="en-US" w:eastAsia="zh-CN"/>
        </w:rPr>
        <w:t xml:space="preserve">。</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869"/>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6.合同履行期限：</w:t>
      </w:r>
      <w:r>
        <w:rPr>
          <w:rFonts w:hint="eastAsia" w:ascii="宋体" w:hAnsi="宋体"/>
          <w:color w:val="000000"/>
          <w:sz w:val="24"/>
          <w:szCs w:val="24"/>
          <w:lang w:val="en-US" w:eastAsia="zh-CN"/>
        </w:rPr>
        <w:t xml:space="preserve">50天</w:t>
      </w:r>
      <w:r>
        <w:rPr>
          <w:rFonts w:hint="eastAsia" w:ascii="宋体" w:hAnsi="宋体" w:eastAsia="宋体"/>
          <w:color w:val="000000"/>
          <w:sz w:val="24"/>
          <w:szCs w:val="24"/>
          <w:lang w:eastAsia="zh-CN"/>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69"/>
        <w:ind w:firstLine="480"/>
        <w:spacing w:line="252" w:lineRule="auto"/>
        <w:rPr>
          <w:rFonts w:hint="eastAsia"/>
          <w:color w:val="000000"/>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color w:val="000000"/>
          <w:lang w:val="en-US" w:eastAsia="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cs="宋体"/>
          <w:b w:val="0"/>
          <w:bCs w:val="0"/>
          <w:sz w:val="24"/>
          <w:szCs w:val="24"/>
          <w:highlight w:val="none"/>
        </w:rPr>
      </w:pPr>
      <w:r/>
      <w:bookmarkStart w:id="17" w:name="_Toc35393623"/>
      <w:r/>
      <w:bookmarkStart w:id="18" w:name="_Toc28359081"/>
      <w:r/>
      <w:bookmarkStart w:id="19" w:name="_Toc28359004"/>
      <w:r/>
      <w:bookmarkStart w:id="20" w:name="_Toc38985265"/>
      <w:r/>
      <w:bookmarkStart w:id="21" w:name="_Toc35393792"/>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69"/>
        <w:ind w:firstLine="480"/>
        <w:pageBreakBefore w:val="0"/>
        <w:spacing w:line="252" w:lineRule="auto"/>
        <w:widowControl w:val="off"/>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sz w:val="24"/>
          <w:szCs w:val="24"/>
        </w:rPr>
        <w:t xml:space="preserve">并提供下列材料：</w:t>
      </w:r>
      <w:r>
        <w:rPr>
          <w:rFonts w:ascii="宋体" w:hAnsi="宋体"/>
          <w:sz w:val="24"/>
          <w:szCs w:val="24"/>
        </w:rPr>
      </w:r>
      <w:r/>
    </w:p>
    <w:p>
      <w:pPr>
        <w:pStyle w:val="869"/>
        <w:ind w:firstLine="480"/>
        <w:pageBreakBefore w:val="0"/>
        <w:spacing w:line="252"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rPr>
          <w:rFonts w:hint="eastAsia" w:ascii="宋体" w:hAnsi="宋体" w:eastAsia="宋体"/>
          <w:b w:val="0"/>
          <w:bCs w:val="0"/>
          <w:sz w:val="24"/>
          <w:szCs w:val="24"/>
          <w:highlight w:val="none"/>
          <w:lang w:eastAsia="zh-CN"/>
        </w:rPr>
      </w:r>
      <w:r/>
    </w:p>
    <w:p>
      <w:pPr>
        <w:pStyle w:val="869"/>
        <w:ind w:firstLine="480"/>
        <w:pageBreakBefore w:val="0"/>
        <w:spacing w:line="252" w:lineRule="auto"/>
        <w:widowControl w:val="off"/>
        <w:rPr>
          <w:rFonts w:ascii="宋体" w:hAnsi="宋体" w:eastAsia="宋体" w:cs="Times New Roman"/>
          <w:sz w:val="24"/>
          <w:szCs w:val="24"/>
          <w:lang w:val="en-US" w:eastAsia="zh-CN"/>
        </w:rPr>
      </w:pPr>
      <w:r>
        <w:rPr>
          <w:rFonts w:hint="eastAsia" w:ascii="宋体" w:hAnsi="宋体" w:eastAsia="宋体" w:cs="Times New Roman"/>
          <w:sz w:val="24"/>
          <w:szCs w:val="24"/>
        </w:rPr>
        <w:t xml:space="preserve">2.落实政府采购政策需满足的资格要求：</w:t>
      </w:r>
      <w:r>
        <w:rPr>
          <w:rFonts w:hint="eastAsia" w:ascii="宋体" w:hAnsi="宋体" w:eastAsia="宋体" w:cs="Times New Roman"/>
          <w:sz w:val="24"/>
          <w:szCs w:val="24"/>
          <w:lang w:val="en-US" w:eastAsia="zh-CN"/>
        </w:rPr>
        <w:t xml:space="preserve">无</w:t>
      </w:r>
      <w:r>
        <w:rPr>
          <w:rFonts w:hint="eastAsia" w:ascii="宋体" w:hAnsi="宋体" w:eastAsia="宋体" w:cs="Times New Roman"/>
          <w:sz w:val="24"/>
          <w:szCs w:val="24"/>
          <w:lang w:val="zh-CN" w:eastAsia="zh-CN"/>
        </w:rPr>
        <w:t xml:space="preserve">。</w:t>
      </w:r>
      <w:r>
        <w:rPr>
          <w:rFonts w:ascii="宋体" w:hAnsi="宋体" w:eastAsia="宋体" w:cs="Times New Roman"/>
          <w:sz w:val="24"/>
          <w:szCs w:val="24"/>
          <w:lang w:val="en-US" w:eastAsia="zh-CN"/>
        </w:rPr>
      </w:r>
      <w:r/>
    </w:p>
    <w:p>
      <w:pPr>
        <w:pStyle w:val="869"/>
        <w:ind w:firstLine="480"/>
        <w:pageBreakBefore w:val="0"/>
        <w:spacing w:line="252"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3.在</w:t>
      </w:r>
      <w:r>
        <w:rPr>
          <w:rFonts w:hint="eastAsia" w:ascii="宋体" w:hAnsi="宋体" w:eastAsia="宋体" w:cs="Times New Roman"/>
          <w:sz w:val="24"/>
          <w:szCs w:val="24"/>
        </w:rPr>
        <w:t xml:space="preserve">“信用中国”网站（www.creditchina.gov.cn）</w:t>
      </w:r>
      <w:r>
        <w:rPr>
          <w:rFonts w:hint="eastAsia" w:ascii="宋体" w:hAnsi="宋体" w:eastAsia="宋体" w:cs="Times New Roman"/>
          <w:sz w:val="24"/>
          <w:szCs w:val="24"/>
          <w:lang w:val="en-US" w:eastAsia="zh-CN"/>
        </w:rPr>
        <w:t xml:space="preserve">查询，不存在被</w:t>
      </w:r>
      <w:r>
        <w:rPr>
          <w:rFonts w:hint="eastAsia" w:ascii="宋体" w:hAnsi="宋体" w:eastAsia="宋体" w:cs="Times New Roman"/>
          <w:sz w:val="24"/>
          <w:szCs w:val="24"/>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sz w:val="24"/>
          <w:szCs w:val="24"/>
          <w:lang w:val="en-US" w:eastAsia="zh-CN"/>
        </w:rPr>
        <w:t xml:space="preserve">投标</w:t>
      </w:r>
      <w:r>
        <w:rPr>
          <w:rFonts w:hint="eastAsia" w:ascii="宋体" w:hAnsi="宋体" w:eastAsia="宋体" w:cs="Times New Roman"/>
          <w:sz w:val="24"/>
          <w:szCs w:val="24"/>
        </w:rPr>
        <w:t xml:space="preserve">文件中无需提供证明材料）</w:t>
      </w:r>
      <w:r>
        <w:rPr>
          <w:rFonts w:hint="eastAsia" w:ascii="宋体" w:hAnsi="宋体" w:eastAsia="宋体" w:cs="Times New Roman"/>
          <w:sz w:val="24"/>
          <w:szCs w:val="24"/>
        </w:rPr>
      </w:r>
      <w:r/>
    </w:p>
    <w:p>
      <w:pPr>
        <w:pStyle w:val="869"/>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（二）本项目特定资格要求</w:t>
      </w:r>
      <w:r>
        <w:rPr>
          <w:rFonts w:hint="eastAsia" w:ascii="宋体" w:hAnsi="宋体" w:eastAsia="宋体" w:cs="Times New Roman"/>
          <w:sz w:val="24"/>
          <w:szCs w:val="24"/>
          <w:lang w:eastAsia="zh-CN"/>
        </w:rPr>
        <w:t xml:space="preserve">：</w:t>
      </w:r>
      <w:r>
        <w:rPr>
          <w:rFonts w:ascii="SimSun" w:hAnsi="SimSun" w:eastAsia="SimSun" w:cs="SimSun"/>
          <w:color w:val="000000"/>
          <w:sz w:val="24"/>
        </w:rPr>
        <w:t xml:space="preserve">投标人具有有效期内建筑装修装饰工程专业承包二级及以上资质证书，或承诺涉及装修部分内容分包给具有有效期内建筑装修装饰工程专业承包二级及以上资质证书且经过采购人认可的供应商实施，提供《分包承诺书》（格式见第六章）。</w:t>
      </w:r>
      <w:r>
        <w:rPr>
          <w:rFonts w:hint="eastAsia" w:ascii="宋体" w:hAnsi="宋体" w:eastAsia="宋体" w:cs="Times New Roman"/>
          <w:sz w:val="24"/>
          <w:szCs w:val="24"/>
          <w:lang w:val="en-US" w:eastAsia="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ascii="宋体" w:hAnsi="宋体" w:cs="宋体"/>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869"/>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28359084"/>
      <w:r/>
      <w:bookmarkStart w:id="28" w:name="_Toc35393625"/>
      <w:r/>
      <w:bookmarkStart w:id="29" w:name="_Toc28359007"/>
      <w:r/>
      <w:bookmarkStart w:id="30" w:name="_Toc38985267"/>
      <w:r/>
      <w:bookmarkStart w:id="31" w:name="_Toc3539379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u w:val="none"/>
        </w:rPr>
        <w:t xml:space="preserve">年</w:t>
      </w:r>
      <w:r>
        <w:rPr>
          <w:rFonts w:hint="eastAsia" w:ascii="宋体" w:hAnsi="宋体" w:eastAsia="宋体" w:cs="宋体"/>
          <w:color w:val="000000" w:themeColor="text1"/>
          <w:sz w:val="24"/>
          <w:szCs w:val="24"/>
          <w:highlight w:val="none"/>
          <w:u w:val="none"/>
          <w:lang w:val="en-US" w:eastAsia="zh-CN"/>
        </w:rPr>
        <w:t xml:space="preserve">7</w:t>
      </w:r>
      <w:r>
        <w:rPr>
          <w:rFonts w:hint="eastAsia" w:ascii="宋体" w:hAnsi="宋体"/>
          <w:bCs/>
          <w:color w:val="000000" w:themeColor="text1"/>
          <w:sz w:val="24"/>
          <w:szCs w:val="24"/>
          <w:u w:val="none"/>
        </w:rPr>
        <w:t xml:space="preserve">月</w:t>
      </w:r>
      <w:r>
        <w:rPr>
          <w:rFonts w:hint="eastAsia" w:ascii="宋体" w:hAnsi="宋体" w:eastAsia="宋体" w:cs="宋体"/>
          <w:color w:val="000000" w:themeColor="text1"/>
          <w:sz w:val="24"/>
          <w:szCs w:val="24"/>
          <w:highlight w:val="none"/>
          <w:u w:val="none"/>
          <w:lang w:val="en-US" w:eastAsia="zh-CN"/>
        </w:rPr>
        <w:t xml:space="preserve">3</w:t>
      </w:r>
      <w:r>
        <w:rPr>
          <w:rFonts w:hint="eastAsia" w:ascii="宋体" w:hAnsi="宋体"/>
          <w:bCs/>
          <w:color w:val="000000" w:themeColor="text1"/>
          <w:sz w:val="24"/>
          <w:szCs w:val="24"/>
          <w:u w:val="none"/>
        </w:rPr>
        <w:t xml:space="preserve">日</w:t>
      </w:r>
      <w:r>
        <w:rPr>
          <w:rFonts w:hint="eastAsia" w:ascii="宋体" w:hAnsi="宋体" w:eastAsia="宋体" w:cs="宋体"/>
          <w:color w:val="000000" w:themeColor="text1"/>
          <w:sz w:val="24"/>
          <w:szCs w:val="24"/>
          <w:highlight w:val="none"/>
          <w:u w:val="none"/>
          <w:lang w:val="en-US" w:eastAsia="zh-CN"/>
        </w:rPr>
        <w:t xml:space="preserve">9</w:t>
      </w:r>
      <w:r>
        <w:rPr>
          <w:rFonts w:hint="eastAsia" w:ascii="Times New Roman" w:hAnsi="Times New Roman" w:eastAsia="宋体" w:cs="Times New Roman"/>
          <w:bCs/>
          <w:color w:val="000000" w:themeColor="text1"/>
          <w:sz w:val="24"/>
          <w:szCs w:val="24"/>
          <w:u w:val="none"/>
          <w:lang w:val="en-US" w:eastAsia="zh-CN"/>
        </w:rPr>
        <w:t xml:space="preserve">时30</w:t>
      </w:r>
      <w:r>
        <w:rPr>
          <w:rFonts w:hint="eastAsia" w:ascii="宋体" w:hAnsi="宋体"/>
          <w:bCs/>
          <w:color w:val="000000" w:themeColor="text1"/>
          <w:sz w:val="24"/>
          <w:szCs w:val="24"/>
          <w:u w:val="none"/>
        </w:rPr>
        <w:t xml:space="preserve">分</w:t>
      </w:r>
      <w:r>
        <w:rPr>
          <w:rFonts w:hint="eastAsia" w:ascii="宋体" w:hAnsi="宋体"/>
          <w:bCs/>
          <w:color w:val="000000" w:themeColor="text1"/>
          <w:sz w:val="24"/>
          <w:szCs w:val="24"/>
        </w:rPr>
        <w:t xml:space="preserve">（北</w:t>
      </w:r>
      <w:r>
        <w:rPr>
          <w:rFonts w:hint="eastAsia" w:ascii="宋体" w:hAnsi="宋体"/>
          <w:bCs/>
          <w:sz w:val="24"/>
          <w:szCs w:val="24"/>
        </w:rPr>
        <w:t xml:space="preserve">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69"/>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72"/>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869"/>
        <w:ind w:firstLine="480"/>
        <w:pageBreakBefore w:val="0"/>
        <w:spacing w:line="252" w:lineRule="auto"/>
        <w:widowControl w:val="off"/>
        <w:tabs>
          <w:tab w:val="left" w:pos="900" w:leader="none"/>
        </w:tabs>
        <w:rPr>
          <w:rFonts w:hint="eastAsia" w:ascii="宋体" w:hAnsi="宋体"/>
          <w:bCs/>
          <w:sz w:val="24"/>
          <w:szCs w:val="24"/>
        </w:rPr>
      </w:pPr>
      <w:r/>
      <w:bookmarkStart w:id="35" w:name="_Toc35393627"/>
      <w:r/>
      <w:bookmarkStart w:id="36" w:name="_Toc28359008"/>
      <w:r/>
      <w:bookmarkStart w:id="37" w:name="_Toc28359085"/>
      <w:r/>
      <w:bookmarkStart w:id="38" w:name="_Toc35393796"/>
      <w:r/>
      <w:bookmarkStart w:id="39" w:name="_Toc38985269"/>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69"/>
        <w:ind w:firstLine="480"/>
        <w:pageBreakBefore w:val="0"/>
        <w:spacing w:line="252" w:lineRule="auto"/>
        <w:widowControl w:val="off"/>
        <w:rPr>
          <w:rFonts w:hint="eastAsia" w:ascii="宋体" w:hAnsi="宋体" w:cs="宋体"/>
          <w:color w:val="000000"/>
          <w:sz w:val="24"/>
          <w:szCs w:val="24"/>
          <w:highlight w:val="none"/>
          <w:u w:val="none"/>
        </w:rPr>
      </w:pPr>
      <w:r>
        <w:rPr>
          <w:rFonts w:hint="eastAsia" w:ascii="宋体" w:hAnsi="宋体"/>
          <w:sz w:val="24"/>
          <w:szCs w:val="24"/>
        </w:rPr>
        <w:t xml:space="preserve">2.</w:t>
      </w:r>
      <w:r>
        <w:rPr>
          <w:rFonts w:hint="eastAsia" w:ascii="宋体" w:hAnsi="宋体" w:eastAsia="宋体" w:cs="宋体"/>
          <w:color w:val="000000"/>
          <w:sz w:val="24"/>
          <w:szCs w:val="24"/>
          <w:highlight w:val="none"/>
          <w:lang w:val="en-US" w:eastAsia="zh-CN"/>
        </w:rPr>
        <w:t xml:space="preserve">本项目组织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供应商代表携带加盖单位公章的营业执照复印件、法定代表人授权委托书、身份证参加。签到时间：2026年6月23日9时00</w:t>
      </w:r>
      <w:r>
        <w:rPr>
          <w:rFonts w:hint="eastAsia" w:ascii="宋体" w:hAnsi="宋体" w:eastAsia="宋体" w:cs="宋体"/>
          <w:color w:val="000000"/>
          <w:sz w:val="24"/>
          <w:szCs w:val="24"/>
          <w:highlight w:val="none"/>
          <w:lang w:eastAsia="zh-CN"/>
        </w:rPr>
        <w:t xml:space="preserve">分至</w:t>
      </w:r>
      <w:r>
        <w:rPr>
          <w:rFonts w:hint="eastAsia" w:ascii="宋体" w:hAnsi="宋体" w:eastAsia="宋体" w:cs="宋体"/>
          <w:color w:val="000000"/>
          <w:sz w:val="24"/>
          <w:szCs w:val="24"/>
          <w:highlight w:val="none"/>
          <w:lang w:val="en-US" w:eastAsia="zh-CN"/>
        </w:rPr>
        <w:t xml:space="preserve">9时10</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val="en-US" w:eastAsia="zh-CN"/>
        </w:rPr>
        <w:t xml:space="preserve">，地址：</w:t>
      </w:r>
      <w:r>
        <w:rPr>
          <w:rFonts w:hint="eastAsia" w:ascii="宋体" w:hAnsi="宋体" w:eastAsia="宋体" w:cs="宋体"/>
          <w:color w:val="000000"/>
          <w:sz w:val="24"/>
          <w:szCs w:val="24"/>
          <w:highlight w:val="none"/>
          <w:lang w:eastAsia="zh-CN"/>
        </w:rPr>
        <w:t xml:space="preserve">南京市玄武区梅园新村街道四牌楼4号</w:t>
      </w:r>
      <w:r>
        <w:rPr>
          <w:rFonts w:hint="eastAsia" w:ascii="宋体" w:hAnsi="宋体" w:eastAsia="宋体" w:cs="宋体"/>
          <w:color w:val="000000"/>
          <w:sz w:val="24"/>
          <w:szCs w:val="24"/>
          <w:highlight w:val="none"/>
          <w:lang w:val="en-US" w:eastAsia="zh-CN"/>
        </w:rPr>
        <w:t xml:space="preserve">，联系人：蔡老师，联系电话：025-84550122</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u w:val="none"/>
        </w:rPr>
      </w:r>
      <w:r/>
    </w:p>
    <w:p>
      <w:pPr>
        <w:pStyle w:val="869"/>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rPr>
          <w:rFonts w:hint="eastAsia" w:ascii="宋体" w:hAnsi="宋体" w:eastAsia="宋体" w:cs="宋体"/>
          <w:sz w:val="24"/>
          <w:szCs w:val="24"/>
          <w:highlight w:val="none"/>
          <w:lang w:eastAsia="zh-CN"/>
        </w:rPr>
      </w:r>
      <w:r/>
    </w:p>
    <w:p>
      <w:pPr>
        <w:pStyle w:val="869"/>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69"/>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9"/>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采购人《质疑函》收件人：蔡老师，收件地址：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玄武</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u w:val="none"/>
          <w:lang w:val="en-US" w:eastAsia="zh-CN"/>
        </w:rPr>
        <w:t xml:space="preserve">如意里20</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b w:val="0"/>
          <w:bCs w:val="0"/>
          <w:color w:val="000000"/>
          <w:sz w:val="24"/>
          <w:lang w:val="en-US" w:eastAsia="zh-CN"/>
        </w:rPr>
        <w:t xml:space="preserve">联系电话：025-84550122。</w:t>
      </w:r>
      <w:r>
        <w:rPr>
          <w:rFonts w:ascii="宋体" w:hAnsi="宋体" w:eastAsia="宋体" w:cs="Times New Roman"/>
          <w:b w:val="0"/>
          <w:bCs w:val="0"/>
          <w:color w:val="000000"/>
          <w:sz w:val="24"/>
          <w:lang w:val="en-US" w:eastAsia="zh-CN"/>
        </w:rPr>
      </w:r>
      <w:r/>
    </w:p>
    <w:p>
      <w:pPr>
        <w:pStyle w:val="869"/>
        <w:ind w:firstLine="480"/>
        <w:keepLines w:val="0"/>
        <w:keepNext w:val="0"/>
        <w:pageBreakBefore w:val="0"/>
        <w:spacing w:line="252"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w:t>
      </w:r>
      <w:r>
        <w:rPr>
          <w:rFonts w:hint="eastAsia" w:ascii="宋体" w:hAnsi="宋体" w:eastAsia="宋体" w:cs="Times New Roman"/>
          <w:b w:val="0"/>
          <w:bCs w:val="0"/>
          <w:color w:val="000000"/>
          <w:sz w:val="24"/>
          <w:lang w:val="en-US" w:eastAsia="zh-CN"/>
        </w:rPr>
        <w:t xml:space="preserve">建邺区</w:t>
      </w:r>
      <w:r>
        <w:rPr>
          <w:rFonts w:hint="eastAsia" w:ascii="宋体" w:hAnsi="宋体" w:eastAsia="宋体" w:cs="Times New Roman"/>
          <w:b w:val="0"/>
          <w:bCs w:val="0"/>
          <w:color w:val="000000"/>
          <w:sz w:val="24"/>
          <w:lang w:val="zh-CN"/>
        </w:rPr>
        <w:t xml:space="preserve">江东中路265号南京市公共资源交易中心北门，联系电话：025-68505926。</w:t>
      </w:r>
      <w:r>
        <w:rPr>
          <w:rFonts w:hint="eastAsia" w:ascii="宋体" w:hAnsi="宋体" w:eastAsia="宋体" w:cs="Times New Roman"/>
          <w:b w:val="0"/>
          <w:bCs w:val="0"/>
          <w:color w:val="000000"/>
          <w:sz w:val="24"/>
          <w:lang w:val="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86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lang w:val="en-US" w:eastAsia="zh-CN"/>
        </w:rPr>
        <w:t xml:space="preserve">南京市玄武区教育局</w:t>
      </w:r>
      <w:r>
        <w:rPr>
          <w:rFonts w:hint="eastAsia" w:ascii="宋体" w:hAnsi="宋体"/>
          <w:color w:val="000000"/>
          <w:sz w:val="24"/>
          <w:szCs w:val="24"/>
        </w:rPr>
        <w:t xml:space="preserve">          </w:t>
      </w:r>
      <w:r>
        <w:rPr>
          <w:rFonts w:hint="eastAsia" w:ascii="宋体" w:hAnsi="宋体"/>
          <w:color w:val="000000"/>
          <w:sz w:val="24"/>
          <w:szCs w:val="24"/>
        </w:rPr>
      </w:r>
      <w:r/>
    </w:p>
    <w:p>
      <w:pPr>
        <w:pStyle w:val="86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s="宋体"/>
          <w:color w:val="000000"/>
          <w:sz w:val="24"/>
          <w:szCs w:val="24"/>
          <w:lang w:val="en-US" w:eastAsia="zh-CN"/>
        </w:rPr>
        <w:t xml:space="preserve">玄武区</w:t>
      </w:r>
      <w:r>
        <w:rPr>
          <w:rFonts w:hint="eastAsia" w:ascii="宋体" w:hAnsi="宋体"/>
          <w:color w:val="000000"/>
          <w:sz w:val="24"/>
          <w:szCs w:val="24"/>
          <w:lang w:val="en-US" w:eastAsia="zh-CN"/>
        </w:rPr>
        <w:t xml:space="preserve">如意里20</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6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蔡老师</w:t>
      </w:r>
      <w:r>
        <w:rPr>
          <w:rFonts w:hint="eastAsia" w:ascii="宋体" w:hAnsi="宋体"/>
          <w:color w:val="000000"/>
          <w:sz w:val="24"/>
          <w:szCs w:val="24"/>
        </w:rPr>
        <w:t xml:space="preserve"> </w:t>
      </w:r>
      <w:r>
        <w:rPr>
          <w:rFonts w:hint="eastAsia" w:ascii="宋体" w:hAnsi="宋体"/>
          <w:color w:val="000000"/>
          <w:sz w:val="24"/>
          <w:szCs w:val="24"/>
        </w:rPr>
      </w:r>
      <w:r/>
    </w:p>
    <w:p>
      <w:pPr>
        <w:pStyle w:val="86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84550122</w:t>
      </w:r>
      <w:r>
        <w:rPr>
          <w:rFonts w:hint="eastAsia" w:ascii="宋体" w:hAnsi="宋体"/>
          <w:color w:val="000000"/>
          <w:sz w:val="24"/>
          <w:szCs w:val="24"/>
        </w:rPr>
        <w:t xml:space="preserve"> </w:t>
      </w:r>
      <w:bookmarkStart w:id="40" w:name="_Toc28359086"/>
      <w:r/>
      <w:bookmarkStart w:id="41" w:name="_Toc28359009"/>
      <w:r>
        <w:rPr>
          <w:rFonts w:hint="eastAsia" w:ascii="宋体" w:hAnsi="宋体"/>
          <w:color w:val="000000"/>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6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6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869"/>
        <w:ind w:right="0" w:firstLine="480"/>
        <w:jc w:val="both"/>
        <w:spacing w:line="252" w:lineRule="auto"/>
        <w:rPr>
          <w:rFonts w:hint="eastAsia" w:ascii="宋体" w:hAnsi="宋体" w:eastAsia="宋体" w:cs="Times New Roman"/>
          <w:color w:val="000000"/>
          <w:sz w:val="24"/>
          <w:szCs w:val="24"/>
          <w:u w:val="none"/>
          <w:lang w:val="en-US" w:eastAsia="zh-CN"/>
        </w:rPr>
        <w:outlineLvl w:val="9"/>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9"/>
        <w:ind w:right="0" w:firstLine="480"/>
        <w:jc w:val="center"/>
        <w:spacing w:line="252" w:lineRule="auto"/>
        <w:rPr>
          <w:rFonts w:hint="eastAsia" w:ascii="方正小标宋简体" w:hAnsi="方正小标宋简体" w:eastAsia="方正小标宋简体" w:cs="方正小标宋简体"/>
          <w:color w:val="000000"/>
          <w:sz w:val="36"/>
          <w:szCs w:val="36"/>
        </w:rPr>
        <w:outlineLvl w:val="9"/>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16938518"/>
      <w:r/>
      <w:bookmarkStart w:id="44" w:name="_Toc120614213"/>
      <w:r/>
      <w:bookmarkStart w:id="45" w:name="_Toc513029202"/>
      <w:r/>
      <w:bookmarkStart w:id="46" w:name="_Toc20823274"/>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513029203"/>
      <w:r/>
      <w:bookmarkStart w:id="48" w:name="_Toc120614214"/>
      <w:r/>
      <w:bookmarkStart w:id="49" w:name="_Toc20823275"/>
      <w:r/>
      <w:bookmarkStart w:id="50" w:name="_Toc16938519"/>
      <w:r/>
      <w:bookmarkStart w:id="51" w:name="_Toc120614221"/>
      <w:r/>
      <w:bookmarkStart w:id="52" w:name="_Toc513029242"/>
      <w:r/>
      <w:bookmarkStart w:id="53" w:name="_Toc16938558"/>
      <w:r/>
      <w:bookmarkStart w:id="54" w:name="_Toc479757207"/>
      <w:r/>
      <w:bookmarkStart w:id="55" w:name="_Toc20823314"/>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513029204"/>
      <w:r/>
      <w:bookmarkStart w:id="59" w:name="_Toc20823276"/>
      <w:r/>
      <w:bookmarkStart w:id="60" w:name="_Toc16938520"/>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61" w:name="_Toc513029205"/>
      <w:r/>
      <w:bookmarkStart w:id="62" w:name="_Toc16938521"/>
      <w:r/>
      <w:bookmarkStart w:id="63" w:name="_Toc208232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64" w:name="_Toc20823278"/>
      <w:r/>
      <w:bookmarkStart w:id="65" w:name="_Toc513029206"/>
      <w:r/>
      <w:bookmarkStart w:id="66" w:name="_Toc16938522"/>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67" w:name="_Toc513029207"/>
      <w:r/>
      <w:bookmarkStart w:id="68" w:name="_Toc16938523"/>
      <w:r/>
      <w:bookmarkStart w:id="69" w:name="_Toc20823279"/>
      <w:r/>
      <w:bookmarkStart w:id="70" w:name="_Toc46256406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513029209"/>
      <w:r/>
      <w:bookmarkStart w:id="72" w:name="_Toc120614215"/>
      <w:r/>
      <w:bookmarkStart w:id="73" w:name="_Toc16938525"/>
      <w:r/>
      <w:bookmarkStart w:id="74" w:name="_Toc20823281"/>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75" w:name="_Toc513029210"/>
      <w:r/>
      <w:bookmarkStart w:id="76" w:name="_Toc20823282"/>
      <w:r/>
      <w:bookmarkStart w:id="77" w:name="_Toc16938526"/>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78" w:name="_Toc462564070"/>
      <w:r/>
      <w:bookmarkStart w:id="79" w:name="_Toc513029211"/>
      <w:r/>
      <w:bookmarkStart w:id="80" w:name="_Toc16938527"/>
      <w:r/>
      <w:bookmarkStart w:id="81" w:name="_Toc20823283"/>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82" w:name="_Toc16938528"/>
      <w:r/>
      <w:bookmarkStart w:id="83" w:name="_Toc513029212"/>
      <w:r/>
      <w:bookmarkStart w:id="84" w:name="_Toc20823284"/>
      <w:r/>
      <w:bookmarkStart w:id="85" w:name="_Toc462564071"/>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16938529"/>
      <w:r/>
      <w:bookmarkStart w:id="87" w:name="_Toc120614216"/>
      <w:r/>
      <w:bookmarkStart w:id="88" w:name="_Toc20823285"/>
      <w:r/>
      <w:bookmarkStart w:id="89" w:name="_Toc513029213"/>
      <w:r/>
      <w:bookmarkStart w:id="90" w:name="_Toc462564072"/>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91" w:name="_Toc16938530"/>
      <w:r/>
      <w:bookmarkStart w:id="92" w:name="_Toc462564073"/>
      <w:r/>
      <w:bookmarkStart w:id="93" w:name="_Toc513029214"/>
      <w:r/>
      <w:bookmarkStart w:id="94" w:name="_Toc20823286"/>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95" w:name="_Toc513029215"/>
      <w:r/>
      <w:bookmarkStart w:id="96" w:name="_Toc20823287"/>
      <w:r/>
      <w:bookmarkStart w:id="97" w:name="_Toc462564074"/>
      <w:r/>
      <w:bookmarkStart w:id="98" w:name="_Toc16938531"/>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99" w:name="_Hlt26668975"/>
      <w:r/>
      <w:bookmarkEnd w:id="99"/>
      <w:r/>
      <w:bookmarkStart w:id="100" w:name="_Hlt26954838"/>
      <w:r/>
      <w:bookmarkEnd w:id="100"/>
      <w:r/>
      <w:bookmarkStart w:id="101" w:name="_Toc49090509"/>
      <w:r/>
      <w:bookmarkStart w:id="102" w:name="_Toc513029219"/>
      <w:r/>
      <w:bookmarkStart w:id="103" w:name="_Toc14577357"/>
      <w:r/>
      <w:bookmarkStart w:id="104" w:name="_Toc14577354"/>
      <w:r/>
      <w:bookmarkStart w:id="105" w:name="_Toc513029216"/>
      <w:r/>
      <w:bookmarkStart w:id="106" w:name="_Toc49090507"/>
      <w:r/>
      <w:bookmarkStart w:id="107" w:name="_Hlt26670360"/>
      <w:r/>
      <w:bookmarkEnd w:id="1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1"/>
      <w:r/>
      <w:bookmarkEnd w:id="102"/>
      <w:r/>
      <w:bookmarkEnd w:id="103"/>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End w:id="104"/>
      <w:r/>
      <w:bookmarkEnd w:id="105"/>
      <w:r/>
      <w:bookmarkEnd w:id="106"/>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13" w:name="_Hlt26668983"/>
      <w:r/>
      <w:bookmarkEnd w:id="113"/>
      <w:r/>
      <w:bookmarkStart w:id="114" w:name="_Hlt26670482"/>
      <w:r/>
      <w:bookmarkEnd w:id="114"/>
      <w:r/>
      <w:bookmarkStart w:id="115" w:name="_Hlt26954731"/>
      <w:r/>
      <w:bookmarkEnd w:id="115"/>
      <w:r/>
      <w:bookmarkStart w:id="116" w:name="_Hlt26670403"/>
      <w:r/>
      <w:bookmarkEnd w:id="116"/>
      <w:r/>
      <w:bookmarkStart w:id="117" w:name="_Hlt26670486"/>
      <w:r/>
      <w:bookmarkEnd w:id="117"/>
      <w:r/>
      <w:bookmarkStart w:id="118" w:name="_Hlt26954844"/>
      <w:r/>
      <w:bookmarkEnd w:id="118"/>
      <w:r/>
      <w:bookmarkStart w:id="119" w:name="_Hlt26954842"/>
      <w:r/>
      <w:bookmarkEnd w:id="119"/>
      <w:r/>
      <w:bookmarkStart w:id="120" w:name="_Hlt26954848"/>
      <w:r/>
      <w:bookmarkEnd w:id="120"/>
      <w:r/>
      <w:bookmarkStart w:id="121" w:name="_Hlt26954846"/>
      <w:r/>
      <w:bookmarkEnd w:id="121"/>
      <w:r/>
      <w:bookmarkStart w:id="122" w:name="_Hlt26670425"/>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23" w:name="_Toc49090510"/>
      <w:r/>
      <w:bookmarkStart w:id="124"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23"/>
      <w:r/>
      <w:bookmarkEnd w:id="124"/>
      <w:r/>
      <w:bookmarkStart w:id="125" w:name="_Hlt26670489"/>
      <w:r/>
      <w:bookmarkEnd w:id="125"/>
      <w:r/>
      <w:bookmarkStart w:id="126" w:name="_Hlt26954850"/>
      <w:r/>
      <w:bookmarkEnd w:id="126"/>
      <w:r/>
      <w:bookmarkStart w:id="127" w:name="_Hlt26954734"/>
      <w:r/>
      <w:bookmarkEnd w:id="127"/>
      <w:r/>
      <w:bookmarkStart w:id="128" w:name="_Toc49090511"/>
      <w:r/>
      <w:bookmarkStart w:id="129" w:name="_Toc14577360"/>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Toc513029224"/>
      <w:r/>
      <w:bookmarkStart w:id="131" w:name="_Toc16938540"/>
      <w:r/>
      <w:bookmarkStart w:id="132" w:name="_Toc20823296"/>
      <w:r/>
      <w:bookmarkStart w:id="133" w:name="_Hlt26954739"/>
      <w:r/>
      <w:bookmarkEnd w:id="133"/>
      <w:r/>
      <w:bookmarkStart w:id="134" w:name="_Toc120614217"/>
      <w:r/>
      <w:bookmarkStart w:id="135" w:name="_Hlt26954852"/>
      <w:r/>
      <w:bookmarkEnd w:id="135"/>
      <w:r>
        <w:rPr>
          <w:rFonts w:hint="eastAsia" w:ascii="方正黑体_GBK" w:hAnsi="方正黑体_GBK" w:eastAsia="方正黑体_GBK" w:cs="方正黑体_GBK"/>
          <w:b w:val="0"/>
          <w:bCs w:val="0"/>
          <w:color w:val="000000"/>
          <w:sz w:val="30"/>
          <w:szCs w:val="30"/>
        </w:rPr>
        <w:t xml:space="preserve">四、投标文件的递交</w:t>
      </w:r>
      <w:bookmarkEnd w:id="130"/>
      <w:r/>
      <w:bookmarkEnd w:id="131"/>
      <w:r/>
      <w:bookmarkEnd w:id="132"/>
      <w:r/>
      <w:bookmarkEnd w:id="134"/>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36" w:name="_Toc462564084"/>
      <w:r/>
      <w:bookmarkStart w:id="137" w:name="_Toc16938541"/>
      <w:r/>
      <w:bookmarkStart w:id="138" w:name="_Toc513029225"/>
      <w:r/>
      <w:bookmarkStart w:id="139"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16938542"/>
      <w:r/>
      <w:bookmarkStart w:id="141" w:name="_Toc513029226"/>
      <w:r/>
      <w:bookmarkStart w:id="142" w:name="_Toc20823298"/>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43" w:name="_Toc16938543"/>
      <w:r/>
      <w:bookmarkStart w:id="144" w:name="_Toc20823299"/>
      <w:r/>
      <w:bookmarkStart w:id="145"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46" w:name="_Toc20823300"/>
      <w:r/>
      <w:bookmarkStart w:id="147" w:name="_Toc16938544"/>
      <w:r/>
      <w:bookmarkStart w:id="148"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120614218"/>
      <w:r/>
      <w:bookmarkStart w:id="150" w:name="_Toc16938545"/>
      <w:r/>
      <w:bookmarkStart w:id="151" w:name="_Toc20823301"/>
      <w:r/>
      <w:bookmarkStart w:id="152" w:name="_Toc513029229"/>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53" w:name="_Toc20823302"/>
      <w:r/>
      <w:bookmarkStart w:id="154" w:name="_Toc513029230"/>
      <w:r/>
      <w:bookmarkStart w:id="155" w:name="_Toc1693854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56" w:name="_Toc513029231"/>
      <w:r/>
      <w:bookmarkStart w:id="157" w:name="_Toc20823303"/>
      <w:r/>
      <w:bookmarkStart w:id="158" w:name="_Toc1693854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59" w:name="_Toc513029232"/>
      <w:r/>
      <w:bookmarkStart w:id="160" w:name="_Toc20823304"/>
      <w:r/>
      <w:bookmarkStart w:id="161"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20823305"/>
      <w:r/>
      <w:bookmarkStart w:id="163" w:name="_Toc16938549"/>
      <w:r/>
      <w:bookmarkStart w:id="164"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20823306"/>
      <w:r/>
      <w:bookmarkStart w:id="166" w:name="_Toc513029234"/>
      <w:r/>
      <w:bookmarkStart w:id="167"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w:t>
      </w:r>
      <w:r>
        <w:rPr>
          <w:rFonts w:hint="eastAsia" w:ascii="宋体" w:hAnsi="宋体" w:eastAsia="宋体" w:cs="Times New Roman"/>
          <w:color w:val="000000"/>
          <w:sz w:val="24"/>
          <w:szCs w:val="22"/>
          <w:lang w:val="zh-CN"/>
        </w:rPr>
        <w:t xml:space="preserve">价平均值</w:t>
      </w:r>
      <w:r>
        <w:rPr>
          <w:rFonts w:hint="eastAsia" w:ascii="宋体" w:hAnsi="宋体" w:eastAsia="宋体" w:cs="Times New Roman"/>
          <w:color w:val="000000"/>
          <w:sz w:val="24"/>
          <w:szCs w:val="22"/>
          <w:lang w:val="en-US" w:eastAsia="zh-CN"/>
        </w:rPr>
        <w:t xml:space="preserve">50</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lang w:val="en-US" w:eastAsia="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lang w:val="en-US" w:eastAsia="zh-CN"/>
        </w:rPr>
        <w:t xml:space="preserve">50</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lang w:val="en-US" w:eastAsia="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lang w:val="en-US" w:eastAsia="zh-CN"/>
        </w:rPr>
        <w:t xml:space="preserve">45</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lang w:val="en-US" w:eastAsia="zh-CN"/>
        </w:rPr>
        <w:t xml:space="preserve">45</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9" w:name="_Toc20823307"/>
      <w:r/>
      <w:bookmarkStart w:id="170" w:name="_Toc513029235"/>
      <w:r/>
      <w:bookmarkStart w:id="171" w:name="_Toc16938551"/>
      <w:r/>
      <w:bookmarkStart w:id="172" w:name="_Toc12061421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szCs w:val="22"/>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9"/>
      <w:r/>
      <w:bookmarkEnd w:id="170"/>
      <w:r/>
      <w:bookmarkEnd w:id="171"/>
      <w:r>
        <w:rPr>
          <w:rFonts w:hint="eastAsia" w:ascii="方正黑体_GBK" w:hAnsi="方正黑体_GBK" w:eastAsia="方正黑体_GBK" w:cs="方正黑体_GBK"/>
          <w:b w:val="0"/>
          <w:bCs w:val="0"/>
          <w:color w:val="000000"/>
          <w:sz w:val="30"/>
          <w:szCs w:val="30"/>
        </w:rPr>
        <w:t xml:space="preserve">定标</w:t>
      </w:r>
      <w:bookmarkEnd w:id="172"/>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73" w:name="_Toc16938554"/>
      <w:r/>
      <w:bookmarkStart w:id="174" w:name="_Toc20823310"/>
      <w:r/>
      <w:bookmarkStart w:id="175" w:name="_Toc513029238"/>
      <w:r>
        <w:rPr>
          <w:rFonts w:hint="eastAsia" w:ascii="方正楷体_GBK" w:hAnsi="方正楷体_GBK" w:eastAsia="方正楷体_GBK" w:cs="方正楷体_GBK"/>
          <w:b/>
          <w:bCs/>
        </w:rPr>
        <w:t xml:space="preserve">2</w:t>
      </w:r>
      <w:bookmarkEnd w:id="175"/>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3"/>
      <w:r/>
      <w:bookmarkEnd w:id="174"/>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6"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7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7" w:name="_Toc120614220"/>
      <w:r/>
      <w:bookmarkStart w:id="178" w:name="_Toc513029236"/>
      <w:r/>
      <w:bookmarkStart w:id="179" w:name="_Toc20823308"/>
      <w:r/>
      <w:bookmarkStart w:id="180" w:name="_Toc16938552"/>
      <w:r>
        <w:rPr>
          <w:rFonts w:hint="eastAsia" w:ascii="方正黑体_GBK" w:hAnsi="方正黑体_GBK" w:eastAsia="方正黑体_GBK" w:cs="方正黑体_GBK"/>
          <w:b w:val="0"/>
          <w:bCs w:val="0"/>
          <w:color w:val="000000"/>
          <w:sz w:val="30"/>
          <w:szCs w:val="30"/>
        </w:rPr>
        <w:t xml:space="preserve">七、授予合同</w:t>
      </w:r>
      <w:bookmarkEnd w:id="177"/>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78"/>
      <w:r/>
      <w:bookmarkEnd w:id="179"/>
      <w:r/>
      <w:bookmarkEnd w:id="180"/>
      <w:r/>
      <w:bookmarkStart w:id="181" w:name="_Toc20823309"/>
      <w:r/>
      <w:bookmarkStart w:id="182" w:name="_Toc16938553"/>
      <w:r/>
      <w:bookmarkStart w:id="183" w:name="_Toc513029237"/>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81"/>
      <w:r/>
      <w:bookmarkEnd w:id="182"/>
      <w:r/>
      <w:bookmarkEnd w:id="183"/>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ff"/>
          <w:sz w:val="24"/>
          <w:szCs w:val="22"/>
          <w:lang w:val="zh-CN" w:eastAsia="zh-CN" w:bidi="ar-SA"/>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3"/>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9"/>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3"/>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3"/>
        <w:ind w:firstLine="420"/>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3"/>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9"/>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9"/>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69"/>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69"/>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88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1"/>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69"/>
        <w:ind w:firstLine="480"/>
        <w:keepLines w:val="0"/>
        <w:keepNext w:val="0"/>
        <w:pageBreakBefore w:val="0"/>
        <w:spacing w:line="264" w:lineRule="auto"/>
        <w:widowControl w:val="off"/>
        <w:rPr>
          <w:rFonts w:hint="eastAsia" w:ascii="宋体" w:hAnsi="宋体"/>
          <w:bCs/>
          <w:color w:val="000000"/>
          <w:sz w:val="24"/>
          <w:szCs w:val="21"/>
        </w:rPr>
      </w:pPr>
      <w:r/>
      <w:bookmarkStart w:id="184" w:name="_Toc16938559"/>
      <w:r/>
      <w:bookmarkStart w:id="185" w:name="_Toc20823315"/>
      <w:r/>
      <w:bookmarkStart w:id="186" w:name="_Toc513029243"/>
      <w:r/>
      <w:bookmarkStart w:id="187" w:name="_Toc462564139"/>
      <w:r/>
      <w:bookmarkStart w:id="188" w:name="_Hlt16619350"/>
      <w:r/>
      <w:bookmarkStart w:id="189" w:name="_Toc16938590"/>
      <w:r/>
      <w:bookmarkStart w:id="190" w:name="_Toc120614244"/>
      <w:r/>
      <w:bookmarkStart w:id="191" w:name="_Toc20823346"/>
      <w:r/>
      <w:bookmarkStart w:id="192"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69"/>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69"/>
        <w:spacing w:line="240" w:lineRule="auto"/>
        <w:rPr>
          <w:rFonts w:hint="eastAsia"/>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09"/>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除招标文件接受分包并经甲方同意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乙方可按分包意向协议分包情况外</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乙方不得将合同标的分包给他人履行。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color w:val="000000"/>
          <w:sz w:val="24"/>
          <w:szCs w:val="24"/>
          <w:highlight w:val="none"/>
          <w:lang w:val="en-US" w:eastAsia="zh-CN"/>
        </w:rPr>
        <w:t xml:space="preserve">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09"/>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09"/>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09"/>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2</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3</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spacing w:line="264" w:lineRule="auto"/>
        <w:rPr>
          <w:rFonts w:eastAsia="宋体"/>
          <w:lang w:val="en-US" w:eastAsia="zh-CN"/>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eastAsia="宋体"/>
          <w:lang w:val="en-US"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5%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single"/>
          <w:lang w:val="en-US" w:eastAsia="zh-CN"/>
        </w:rPr>
        <w:t xml:space="preserve">0.5%</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w:t>
      </w:r>
      <w:r>
        <w:rPr>
          <w:rFonts w:hint="eastAsia" w:ascii="宋体" w:hAnsi="宋体" w:eastAsia="宋体" w:cs="Courier New"/>
          <w:color w:val="000000"/>
          <w:sz w:val="24"/>
          <w:szCs w:val="24"/>
          <w:u w:val="single"/>
          <w:lang w:val="en-US" w:eastAsia="zh-CN"/>
        </w:rPr>
        <w:t xml:space="preserve">%</w:t>
      </w:r>
      <w:r>
        <w:rPr>
          <w:rFonts w:hint="eastAsia" w:ascii="宋体" w:hAnsi="宋体" w:eastAsia="宋体" w:cs="Courier New"/>
          <w:color w:val="000000"/>
          <w:sz w:val="24"/>
          <w:szCs w:val="24"/>
          <w:u w:val="single"/>
          <w:lang w:val="en-US" w:eastAsia="zh-CN"/>
        </w:rPr>
        <w:t xml:space="preserve"> </w:t>
      </w:r>
      <w:r>
        <w:rPr>
          <w:rFonts w:ascii="宋体" w:hAnsi="宋体" w:eastAsia="宋体" w:cs="宋体"/>
          <w:sz w:val="24"/>
          <w:szCs w:val="24"/>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single"/>
          <w:lang w:val="en-US" w:eastAsia="zh-CN"/>
        </w:rPr>
        <w:t xml:space="preserve">0.5%</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single"/>
          <w:lang w:val="en-US" w:eastAsia="zh-CN"/>
        </w:rPr>
        <w:t xml:space="preserve">30%</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09"/>
        <w:keepLines w:val="0"/>
        <w:keepNext w:val="0"/>
        <w:pageBreakBefore w:val="0"/>
        <w:spacing w:before="120" w:after="120" w:line="264" w:lineRule="auto"/>
        <w:widowControl w:val="off"/>
        <w:rPr>
          <w:rFonts w:hint="eastAsia" w:hAnsi="宋体" w:eastAsia="宋体" w:cs="Courier New"/>
          <w:sz w:val="24"/>
          <w:szCs w:val="24"/>
        </w:rPr>
      </w:pPr>
      <w:r/>
      <w:bookmarkEnd w:id="184"/>
      <w:r/>
      <w:bookmarkEnd w:id="185"/>
      <w:r/>
      <w:bookmarkEnd w:id="186"/>
      <w:r/>
      <w:bookmarkStart w:id="193" w:name="_Hlt16619369"/>
      <w:r/>
      <w:bookmarkEnd w:id="193"/>
      <w:r>
        <w:rPr>
          <w:rFonts w:hint="eastAsia" w:hAnsi="宋体" w:eastAsia="宋体" w:cs="Courier New"/>
          <w:sz w:val="24"/>
          <w:szCs w:val="24"/>
        </w:rPr>
        <w:t xml:space="preserve">  </w:t>
      </w:r>
      <w:r>
        <w:rPr>
          <w:rFonts w:hint="eastAsia" w:hAnsi="宋体" w:eastAsia="宋体" w:cs="Courier New"/>
          <w:sz w:val="24"/>
          <w:szCs w:val="24"/>
        </w:rPr>
      </w:r>
      <w:r/>
    </w:p>
    <w:p>
      <w:pPr>
        <w:pStyle w:val="909"/>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09"/>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09"/>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09"/>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09"/>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09"/>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69"/>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69"/>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09"/>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8"/>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9"/>
      <w:r/>
      <w:bookmarkEnd w:id="190"/>
      <w:r/>
      <w:bookmarkEnd w:id="191"/>
      <w:r>
        <w:rPr>
          <w:rFonts w:hint="eastAsia" w:ascii="方正小标宋简体" w:hAnsi="方正小标宋简体" w:eastAsia="方正小标宋简体" w:cs="方正小标宋简体"/>
          <w:color w:val="000000"/>
          <w:sz w:val="36"/>
          <w:szCs w:val="36"/>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4" w:name="_Toc49090575"/>
      <w:r/>
      <w:bookmarkStart w:id="195"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69"/>
        <w:ind w:firstLine="480"/>
        <w:keepLines w:val="0"/>
        <w:keepNext w:val="0"/>
        <w:pageBreakBefore w:val="0"/>
        <w:spacing w:line="288" w:lineRule="auto"/>
        <w:widowControl w:val="off"/>
        <w:rPr>
          <w:rFonts w:ascii="宋体" w:hAnsi="宋体" w:eastAsia="宋体" w:cs="Times New Roman"/>
          <w:color w:val="000000"/>
          <w:sz w:val="24"/>
          <w:szCs w:val="24"/>
          <w:lang w:val="en-US" w:eastAsia="zh-CN"/>
        </w:rPr>
      </w:pPr>
      <w:r>
        <w:rPr>
          <w:rFonts w:hint="eastAsia" w:ascii="宋体" w:hAnsi="宋体"/>
          <w:color w:val="000000"/>
          <w:sz w:val="24"/>
          <w:szCs w:val="24"/>
          <w:lang w:val="en-US" w:eastAsia="zh-CN"/>
        </w:rPr>
        <w:t xml:space="preserve">为</w:t>
      </w:r>
      <w:r>
        <w:rPr>
          <w:rFonts w:hint="eastAsia" w:ascii="宋体" w:hAnsi="宋体" w:eastAsia="宋体" w:cs="Times New Roman"/>
          <w:color w:val="000000"/>
          <w:sz w:val="24"/>
          <w:szCs w:val="24"/>
          <w:lang w:val="en-US" w:eastAsia="zh-CN"/>
        </w:rPr>
        <w:t xml:space="preserve">改善学校教学环境，满足学校教育教学需要，本项目拟为</w:t>
      </w:r>
      <w:r>
        <w:rPr>
          <w:rFonts w:hint="eastAsia" w:ascii="宋体" w:hAnsi="宋体"/>
          <w:color w:val="000000"/>
          <w:sz w:val="24"/>
          <w:szCs w:val="24"/>
          <w:lang w:val="en-US" w:eastAsia="zh-CN"/>
        </w:rPr>
        <w:t xml:space="preserve">南京师范大学附属小学更换93寸激光智慧黑板、功能教室改造等。</w:t>
      </w:r>
      <w:r>
        <w:rPr>
          <w:rFonts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（二）项目建设遵循标准</w:t>
      </w:r>
      <w:r>
        <w:rPr>
          <w:rFonts w:hint="eastAsia" w:ascii="宋体" w:hAnsi="宋体" w:eastAsia="宋体" w:cs="宋体"/>
          <w:bCs/>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rPr>
          <w:rFonts w:hint="eastAsia" w:ascii="宋体" w:hAnsi="宋体" w:eastAsia="宋体" w:cs="宋体"/>
          <w:bCs/>
          <w:color w:val="000000"/>
          <w:sz w:val="24"/>
          <w:szCs w:val="24"/>
          <w:lang w:eastAsia="zh-CN"/>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eastAsia="zh-CN"/>
        </w:rPr>
        <w:t xml:space="preserve">（三）</w:t>
      </w:r>
      <w:r>
        <w:rPr>
          <w:rFonts w:hint="eastAsia" w:ascii="宋体" w:hAnsi="宋体" w:eastAsia="宋体" w:cs="宋体"/>
          <w:bCs/>
          <w:color w:val="000000"/>
          <w:sz w:val="24"/>
          <w:szCs w:val="24"/>
          <w:lang w:val="en-US" w:eastAsia="zh-CN"/>
        </w:rPr>
        <w:t xml:space="preserve">资产配置标准</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符合《南京市市级行政事业单位资产配置标准》、《南京市中小学通用资产配置标准》要求。</w:t>
      </w:r>
      <w:r>
        <w:rPr>
          <w:rFonts w:hint="eastAsia" w:ascii="宋体" w:hAnsi="宋体" w:eastAsia="宋体" w:cs="宋体"/>
          <w:b w:val="0"/>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Style w:val="986"/>
        <w:tblW w:w="5188"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5"/>
        <w:gridCol w:w="2028"/>
        <w:gridCol w:w="752"/>
        <w:gridCol w:w="720"/>
        <w:gridCol w:w="1095"/>
        <w:gridCol w:w="1239"/>
        <w:gridCol w:w="1069"/>
        <w:gridCol w:w="1243"/>
        <w:gridCol w:w="1328"/>
      </w:tblGrid>
      <w:tr>
        <w:trPr>
          <w:trHeight w:val="470"/>
        </w:trPr>
        <w:tc>
          <w:tcPr>
            <w:tcW w:w="3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10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单价上限</w:t>
            </w:r>
            <w:r>
              <w:rPr>
                <w:rFonts w:hint="eastAsia" w:ascii="宋体" w:hAnsi="宋体" w:eastAsia="宋体" w:cs="宋体"/>
                <w:bCs/>
                <w:sz w:val="24"/>
                <w:szCs w:val="24"/>
                <w:lang w:eastAsia="zh-CN"/>
              </w:rPr>
            </w:r>
            <w:r/>
          </w:p>
          <w:p>
            <w:pPr>
              <w:pStyle w:val="869"/>
              <w:jc w:val="center"/>
              <w:spacing w:line="264"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属性</w:t>
            </w:r>
            <w:r>
              <w:rPr>
                <w:rFonts w:hint="eastAsia" w:ascii="宋体" w:hAnsi="宋体" w:eastAsia="宋体" w:cs="宋体"/>
                <w:bCs/>
                <w:sz w:val="24"/>
                <w:szCs w:val="24"/>
                <w:lang w:eastAsia="zh-CN"/>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政府强制采购节能产品</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美术教室讲台</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张</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2240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教师工作台</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张</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rPr>
            </w:r>
            <w:r/>
          </w:p>
        </w:tc>
        <w:tc>
          <w:tcPr>
            <w:tcW w:w="655"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bidi="ar-SA"/>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教师椅</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张</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450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ascii="宋体" w:hAnsi="宋体" w:eastAsia="宋体" w:cs="宋体"/>
                <w:bCs/>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学生美术桌</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24</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张</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ascii="宋体" w:hAnsi="宋体" w:eastAsia="宋体" w:cs="宋体"/>
                <w:bCs/>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学生凳1</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288</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张</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185</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ascii="宋体" w:hAnsi="宋体" w:eastAsia="宋体" w:cs="宋体"/>
                <w:bCs/>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学生凳2</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23</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张</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320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bCs/>
                <w:sz w:val="24"/>
                <w:szCs w:val="24"/>
                <w:lang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边柜</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8.5</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米</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水柜</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11.9</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米</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2200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水嘴1</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个</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是</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水嘴2</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个</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是</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高柜1</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组</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高柜2</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组</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2000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13</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书法讲台</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张</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3800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1328"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ff"/>
                <w:sz w:val="24"/>
                <w:szCs w:val="24"/>
                <w:highlight w:val="yellow"/>
                <w:lang w:val="en-US" w:eastAsia="zh-CN" w:bidi="ar-SA"/>
              </w:rPr>
            </w:pPr>
            <w:r>
              <w:rPr>
                <w:rFonts w:hint="eastAsia" w:ascii="宋体" w:hAnsi="宋体" w:eastAsia="宋体" w:cs="宋体"/>
                <w:bCs/>
                <w:color w:val="000000"/>
                <w:sz w:val="24"/>
                <w:szCs w:val="24"/>
                <w:lang w:val="en-US" w:eastAsia="zh-CN" w:bidi="ar-SA"/>
              </w:rPr>
              <w:t xml:space="preserve">否</w:t>
            </w:r>
            <w:r>
              <w:rPr>
                <w:rFonts w:ascii="宋体" w:hAnsi="宋体" w:eastAsia="宋体" w:cs="宋体"/>
                <w:bCs/>
                <w:color w:val="0000ff"/>
                <w:sz w:val="24"/>
                <w:szCs w:val="24"/>
                <w:highlight w:val="yellow"/>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14</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学生书法桌</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24</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张</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3500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1328"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Times New Roman"/>
                <w:bCs/>
                <w:color w:val="000000"/>
                <w:sz w:val="24"/>
                <w:szCs w:val="24"/>
                <w:highlight w:val="yellow"/>
                <w:lang w:val="en-US" w:eastAsia="zh-CN" w:bidi="ar-SA"/>
              </w:rPr>
            </w:pPr>
            <w:r>
              <w:rPr>
                <w:rFonts w:hint="eastAsia" w:ascii="宋体" w:hAnsi="宋体" w:eastAsia="宋体" w:cs="宋体"/>
                <w:bCs/>
                <w:color w:val="000000"/>
                <w:sz w:val="24"/>
                <w:szCs w:val="24"/>
                <w:lang w:val="en-US" w:eastAsia="zh-CN" w:bidi="ar-SA"/>
              </w:rPr>
              <w:t xml:space="preserve">否</w:t>
            </w:r>
            <w:r>
              <w:rPr>
                <w:rFonts w:ascii="宋体" w:hAnsi="宋体" w:eastAsia="宋体" w:cs="Times New Roman"/>
                <w:bCs/>
                <w:color w:val="000000"/>
                <w:sz w:val="24"/>
                <w:szCs w:val="24"/>
                <w:highlight w:val="yellow"/>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学生书法凳</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48</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张</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520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16</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书法边柜</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m</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17</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展示柜1</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组</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4600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18</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展示柜2</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组</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3200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19</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器材柜</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组</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货架</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组</w:t>
            </w:r>
            <w:r>
              <w:rPr>
                <w:rFonts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准备桌</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张</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2000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准备凳</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张</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320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23</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科学教室讲台</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张</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3800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24</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四人科学桌1</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张</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四人科学桌2</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36</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张</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2400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26</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组合科学桌-弧形桌</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张</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27</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组合科学桌-圆桌</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张</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1850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28</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移动讲台</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张</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29</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边桌</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张</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展示墙柜</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5.5</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米</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2200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31</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收纳高柜</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米</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2200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32</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木制边柜</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16.8</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米</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33</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激光智慧黑板</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46</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台</w:t>
            </w:r>
            <w:r>
              <w:rPr>
                <w:rFonts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18200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核心产品</w:t>
            </w:r>
            <w:r>
              <w:rPr>
                <w:rFonts w:ascii="宋体" w:hAnsi="宋体" w:eastAsia="宋体" w:cs="宋体"/>
                <w:bCs/>
                <w:sz w:val="24"/>
                <w:szCs w:val="24"/>
                <w:lang w:val="en-US" w:eastAsia="zh-CN"/>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壁挂展台</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46</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台</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35</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LED护眼黑板灯</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24</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盏</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450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36</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LED护眼教室灯</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63</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盏</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450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37</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吸顶风扇</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54</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台</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350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38</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室内顶部集成装置1</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486</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184</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bidi="ar-SA"/>
              </w:rPr>
            </w:r>
            <w:r/>
          </w:p>
        </w:tc>
        <w:tc>
          <w:tcPr>
            <w:tcW w:w="12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工程</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39</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室内顶部集成装置2</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168</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260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bidi="ar-SA"/>
              </w:rPr>
            </w:r>
            <w:r/>
          </w:p>
        </w:tc>
        <w:tc>
          <w:tcPr>
            <w:tcW w:w="12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工程</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40</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地面防水工艺1</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596</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194</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bidi="ar-SA"/>
              </w:rPr>
            </w:r>
            <w:r/>
          </w:p>
        </w:tc>
        <w:tc>
          <w:tcPr>
            <w:tcW w:w="12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工程</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41</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地面防水工艺2</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198</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230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bidi="ar-SA"/>
              </w:rPr>
            </w:r>
            <w:r/>
          </w:p>
        </w:tc>
        <w:tc>
          <w:tcPr>
            <w:tcW w:w="12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工程</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42</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室内拆除1</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2100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bidi="ar-SA"/>
              </w:rPr>
            </w:r>
            <w:r/>
          </w:p>
        </w:tc>
        <w:tc>
          <w:tcPr>
            <w:tcW w:w="12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工程</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43</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室内拆除2</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2500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bidi="ar-SA"/>
              </w:rPr>
            </w:r>
            <w:r/>
          </w:p>
        </w:tc>
        <w:tc>
          <w:tcPr>
            <w:tcW w:w="12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工程</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44</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墙面表层固化装置（防尘防裂）1</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542</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bidi="ar-SA"/>
              </w:rPr>
            </w:r>
            <w:r/>
          </w:p>
        </w:tc>
        <w:tc>
          <w:tcPr>
            <w:tcW w:w="12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工程</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45</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墙面表层固化装置（防尘防裂）2</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421</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bidi="ar-SA"/>
              </w:rPr>
            </w:r>
            <w:r/>
          </w:p>
        </w:tc>
        <w:tc>
          <w:tcPr>
            <w:tcW w:w="12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工程</w:t>
            </w:r>
            <w:r>
              <w:rPr>
                <w:rFonts w:hint="eastAsia" w:ascii="宋体" w:hAnsi="宋体" w:eastAsia="宋体" w:cs="宋体"/>
                <w:bCs/>
                <w:sz w:val="24"/>
                <w:szCs w:val="24"/>
                <w:lang w:val="en-US" w:eastAsia="zh-CN" w:bidi="ar-SA"/>
              </w:rPr>
            </w:r>
            <w:r/>
          </w:p>
        </w:tc>
        <w:tc>
          <w:tcPr>
            <w:tcW w:w="132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46</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布艺窗帘</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366</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t>
            </w:r>
            <w:r>
              <w:rPr>
                <w:rFonts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185</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132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47</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整室电路改造</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794</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68</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bidi="ar-SA"/>
              </w:rPr>
            </w:r>
            <w:r/>
          </w:p>
        </w:tc>
        <w:tc>
          <w:tcPr>
            <w:tcW w:w="12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工程</w:t>
            </w:r>
            <w:r>
              <w:rPr>
                <w:rFonts w:hint="eastAsia" w:ascii="宋体" w:hAnsi="宋体" w:eastAsia="宋体" w:cs="宋体"/>
                <w:bCs/>
                <w:sz w:val="24"/>
                <w:szCs w:val="24"/>
                <w:lang w:val="en-US" w:eastAsia="zh-CN" w:bidi="ar-SA"/>
              </w:rPr>
            </w:r>
            <w:r/>
          </w:p>
        </w:tc>
        <w:tc>
          <w:tcPr>
            <w:tcW w:w="1328"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highlight w:val="yellow"/>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highlight w:val="yellow"/>
                <w:lang w:val="en-US" w:eastAsia="zh-CN" w:bidi="ar-SA"/>
              </w:rPr>
            </w:r>
            <w:r/>
          </w:p>
        </w:tc>
      </w:tr>
      <w:tr>
        <w:trPr>
          <w:trHeight w:val="400"/>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48</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整室水路改造1</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2100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bidi="ar-SA"/>
              </w:rPr>
            </w:r>
            <w:r/>
          </w:p>
        </w:tc>
        <w:tc>
          <w:tcPr>
            <w:tcW w:w="12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工程</w:t>
            </w:r>
            <w:r>
              <w:rPr>
                <w:rFonts w:hint="eastAsia" w:ascii="宋体" w:hAnsi="宋体" w:eastAsia="宋体" w:cs="宋体"/>
                <w:bCs/>
                <w:sz w:val="24"/>
                <w:szCs w:val="24"/>
                <w:lang w:val="en-US" w:eastAsia="zh-CN" w:bidi="ar-SA"/>
              </w:rPr>
            </w:r>
            <w:r/>
          </w:p>
        </w:tc>
        <w:tc>
          <w:tcPr>
            <w:tcW w:w="1328"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highlight w:val="yellow"/>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highlight w:val="yellow"/>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49</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整室水路改造2</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bidi="ar-SA"/>
              </w:rPr>
            </w:r>
            <w:r/>
          </w:p>
        </w:tc>
        <w:tc>
          <w:tcPr>
            <w:tcW w:w="12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工程</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50</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整室水路改造3</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bidi="ar-SA"/>
              </w:rPr>
            </w:r>
            <w:r/>
          </w:p>
        </w:tc>
        <w:tc>
          <w:tcPr>
            <w:tcW w:w="12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工程</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51</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筒灯1</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35</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套</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65</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52</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筒灯2</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80</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套</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65</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53</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顶面表层固化装置（防尘防裂）</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398</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工程</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54</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窗帘盒</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103.5</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m</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125</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工程</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55</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吊装电源（电鼓）</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32</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个</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650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12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56</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教室后墙板1</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23.2</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650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12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57</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教室后墙板2</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30</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12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58</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教室后墙板3</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12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59</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人工智能基础套装</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25</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套</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4500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主要产品</w:t>
            </w:r>
            <w:r>
              <w:rPr>
                <w:rFonts w:hint="eastAsia" w:ascii="宋体" w:hAnsi="宋体" w:eastAsia="宋体" w:cs="宋体"/>
                <w:bCs/>
                <w:sz w:val="24"/>
                <w:szCs w:val="24"/>
                <w:lang w:val="en-US" w:eastAsia="zh-CN"/>
              </w:rPr>
            </w:r>
            <w:r/>
          </w:p>
        </w:tc>
        <w:tc>
          <w:tcPr>
            <w:tcW w:w="10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12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60</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充电坞</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25</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台</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12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61</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65寸一体机</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台</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9700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12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62</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一体机支架</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台</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12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63</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3D打印机</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台</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6800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12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64</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3D打印机耗材</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套</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2800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12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65</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吸顶空调</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台</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6980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12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66</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吸顶空调铜管</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135</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m</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12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67</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5p立式空调2</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台</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9800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12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68</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5p立式空调铜管2</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20</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m</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12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69</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10p立式空调</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台</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23800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70</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10p立式空调铜管</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58</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m</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71</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空调辅材</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72</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音乐讲台</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张</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73</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音乐凳</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144</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张</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360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74</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钢琴</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台</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12800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75</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音乐边柜</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26</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张</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76</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舞蹈把杆</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组</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77</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合唱台</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组</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4260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78</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墙面银镜</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t>
            </w:r>
            <w:r>
              <w:rPr>
                <w:rFonts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320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79</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智能云盒</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台</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12000</w:t>
            </w:r>
            <w:r>
              <w:rPr>
                <w:rFonts w:hint="eastAsia"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80</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多视窗交互系统软件（简化版）</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套</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13800</w:t>
            </w:r>
            <w:r>
              <w:rPr>
                <w:rFonts w:hint="eastAsia"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81</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10英寸有源全频音箱</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只</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4900</w:t>
            </w:r>
            <w:r>
              <w:rPr>
                <w:rFonts w:hint="eastAsia"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82</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调音台</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台</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2850</w:t>
            </w:r>
            <w:r>
              <w:rPr>
                <w:rFonts w:hint="eastAsia"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83</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无线手持话筒</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套</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2900</w:t>
            </w:r>
            <w:r>
              <w:rPr>
                <w:rFonts w:hint="eastAsia"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84</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无线头戴话筒（头戴）</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套</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3100</w:t>
            </w:r>
            <w:r>
              <w:rPr>
                <w:rFonts w:hint="eastAsia"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85</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机柜1</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台</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1600</w:t>
            </w:r>
            <w:r>
              <w:rPr>
                <w:rFonts w:hint="eastAsia"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86</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机柜2</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台</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1960</w:t>
            </w:r>
            <w:r>
              <w:rPr>
                <w:rFonts w:hint="eastAsia"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90"/>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87</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音箱</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只</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2800</w:t>
            </w:r>
            <w:r>
              <w:rPr>
                <w:rFonts w:hint="eastAsia"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83"/>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88</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音箱支架</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只</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200</w:t>
            </w:r>
            <w:r>
              <w:rPr>
                <w:rFonts w:hint="eastAsia"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89</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纯后级功放</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台</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3000</w:t>
            </w:r>
            <w:r>
              <w:rPr>
                <w:rFonts w:hint="eastAsia"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90</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电源时序器</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台</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1800</w:t>
            </w:r>
            <w:r>
              <w:rPr>
                <w:rFonts w:hint="eastAsia"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91</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音乐教室设备安装调试费1</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1700</w:t>
            </w:r>
            <w:r>
              <w:rPr>
                <w:rFonts w:hint="eastAsia"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92</w:t>
            </w:r>
            <w:r>
              <w:rPr>
                <w:rFonts w:ascii="宋体" w:hAnsi="宋体" w:eastAsia="宋体" w:cs="宋体"/>
                <w:sz w:val="24"/>
                <w:szCs w:val="24"/>
                <w:lang w:val="en-US" w:eastAsia="zh-CN"/>
              </w:rPr>
            </w:r>
            <w:r/>
          </w:p>
        </w:tc>
        <w:tc>
          <w:tcPr>
            <w:tcW w:w="100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音乐教室设备安装调试费2</w:t>
            </w:r>
            <w:r>
              <w:rPr>
                <w:rFonts w:hint="eastAsia"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2200</w:t>
            </w:r>
            <w:r>
              <w:rPr>
                <w:rFonts w:hint="eastAsia"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5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bl>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W w:w="10060"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100"/>
        <w:gridCol w:w="1518"/>
        <w:gridCol w:w="6782"/>
      </w:tblGrid>
      <w:tr>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11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
                <w:bCs w:val="0"/>
                <w:sz w:val="24"/>
                <w:szCs w:val="24"/>
                <w:lang w:eastAsia="zh-CN"/>
              </w:rPr>
            </w:pPr>
            <w:r>
              <w:rPr>
                <w:rFonts w:hint="eastAsia" w:ascii="宋体" w:hAnsi="宋体" w:eastAsia="宋体" w:cs="宋体"/>
                <w:b/>
                <w:bCs w:val="0"/>
                <w:sz w:val="24"/>
                <w:szCs w:val="24"/>
              </w:rPr>
              <w:t xml:space="preserve">产品</w:t>
            </w:r>
            <w:r>
              <w:rPr>
                <w:rFonts w:hint="eastAsia" w:ascii="宋体" w:hAnsi="宋体" w:eastAsia="宋体" w:cs="宋体"/>
                <w:b/>
                <w:bCs w:val="0"/>
                <w:sz w:val="24"/>
                <w:szCs w:val="24"/>
                <w:lang w:eastAsia="zh-CN"/>
              </w:rPr>
              <w:t xml:space="preserve">名称</w:t>
            </w:r>
            <w:r>
              <w:rPr>
                <w:rFonts w:hint="eastAsia" w:ascii="宋体" w:hAnsi="宋体" w:eastAsia="宋体" w:cs="宋体"/>
                <w:b/>
                <w:bCs w:val="0"/>
                <w:sz w:val="24"/>
                <w:szCs w:val="24"/>
                <w:lang w:eastAsia="zh-CN"/>
              </w:rPr>
            </w:r>
            <w:r/>
          </w:p>
        </w:tc>
        <w:tc>
          <w:tcPr>
            <w:tcW w:w="1518"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参考尺寸（mm）</w:t>
            </w:r>
            <w:r>
              <w:rPr>
                <w:rFonts w:ascii="宋体" w:hAnsi="宋体" w:eastAsia="宋体" w:cs="宋体"/>
                <w:b/>
                <w:bCs w:val="0"/>
                <w:sz w:val="24"/>
                <w:szCs w:val="24"/>
                <w:lang w:val="en-US" w:eastAsia="zh-CN"/>
              </w:rPr>
            </w:r>
            <w:r/>
          </w:p>
        </w:tc>
        <w:tc>
          <w:tcPr>
            <w:tcW w:w="678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功</w:t>
            </w:r>
            <w:r>
              <w:rPr>
                <w:rFonts w:hint="eastAsia" w:ascii="宋体" w:hAnsi="宋体" w:eastAsia="宋体" w:cs="宋体"/>
                <w:b/>
                <w:bCs w:val="0"/>
                <w:sz w:val="24"/>
                <w:szCs w:val="24"/>
              </w:rPr>
              <w:t xml:space="preserve">能、性能、配置要求</w:t>
            </w:r>
            <w:r>
              <w:rPr>
                <w:rFonts w:hint="eastAsia" w:ascii="宋体" w:hAnsi="宋体" w:eastAsia="宋体" w:cs="宋体"/>
                <w:b/>
                <w:bCs w:val="0"/>
                <w:sz w:val="24"/>
                <w:szCs w:val="24"/>
                <w:lang w:val="en-US" w:eastAsia="zh-CN"/>
              </w:rPr>
              <w:t xml:space="preserve">不低于以下要求</w:t>
            </w:r>
            <w:r>
              <w:rPr>
                <w:rFonts w:hint="eastAsia" w:ascii="宋体" w:hAnsi="宋体" w:eastAsia="宋体" w:cs="宋体"/>
                <w:b/>
                <w:bCs w:val="0"/>
                <w:sz w:val="24"/>
                <w:szCs w:val="24"/>
              </w:rPr>
            </w:r>
            <w:r/>
          </w:p>
        </w:tc>
      </w:tr>
      <w:tr>
        <w:trPr>
          <w:trHeight w:val="840"/>
        </w:trPr>
        <w:tc>
          <w:tcPr>
            <w:tcW w:w="66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bCs/>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美术教室讲台</w:t>
            </w:r>
            <w:r>
              <w:rPr>
                <w:rFonts w:hint="eastAsia" w:ascii="宋体" w:hAnsi="宋体" w:eastAsia="宋体" w:cs="宋体"/>
                <w:bCs/>
                <w:color w:val="000000"/>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1800*700*900mm±10mm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实木多层板。基材采用厚度≥18mm国家标准E1级实木多层板,面贴三聚氰胺纸，激光封边制作；台面四周倒圆角处理；五金件采用液压缓冲铰链和三节阻尼导轨；底脚采用ABS硬质工程塑料，螺纹旋转升降调节高度，底部配置防滑耐磨、静音减震橡胶垫；所有表面光滑平整无毛刺。功能：桌面前下方两侧为有门收纳柜，中间配备下隔板抽屉。</w:t>
            </w:r>
            <w:r>
              <w:rPr>
                <w:rFonts w:ascii="宋体" w:hAnsi="宋体" w:eastAsia="宋体" w:cs="宋体"/>
                <w:bCs/>
                <w:color w:val="000000"/>
                <w:sz w:val="24"/>
                <w:szCs w:val="24"/>
                <w:lang w:val="en-US" w:eastAsia="zh-CN" w:bidi="ar-SA"/>
              </w:rPr>
            </w:r>
            <w:r/>
          </w:p>
        </w:tc>
      </w:tr>
      <w:tr>
        <w:trPr>
          <w:trHeight w:val="985"/>
        </w:trPr>
        <w:tc>
          <w:tcPr>
            <w:tcW w:w="66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bCs/>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教师工作台</w:t>
            </w:r>
            <w:r>
              <w:rPr>
                <w:rFonts w:hint="eastAsia" w:ascii="宋体" w:hAnsi="宋体" w:eastAsia="宋体" w:cs="宋体"/>
                <w:bCs/>
                <w:color w:val="000000"/>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1200*600*760mm±10mm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实木多层板+钢架。基材采用厚度≥18mm国家标准E1级实木多层板,面贴三聚氰胺纸，激光封边制作；台面四周倒圆角处理；桌架采用满焊焊接钢架，桌腿：≥30*60*1.5mm，横梁：≥30*50*1.35mm，表面采用耐腐蚀高温粉体烤漆；底脚采用ABS硬质工程塑料，螺纹旋转升降调节高度，底部配置防滑耐磨、静音减震橡胶垫；所有表面光滑平整无毛刺。功能：桌面下方一侧背面设后衬挡板，设置有门收纳柜体，柜体上部配备下隔板抽屉。</w:t>
            </w:r>
            <w:r>
              <w:rPr>
                <w:rFonts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bCs/>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教师椅</w:t>
            </w:r>
            <w:r>
              <w:rPr>
                <w:rFonts w:hint="eastAsia" w:ascii="宋体" w:hAnsi="宋体" w:eastAsia="宋体" w:cs="宋体"/>
                <w:bCs/>
                <w:color w:val="000000"/>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590*630*980-1080mm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网布+实木多层板+PP+钢架。面料采用透气性强，手感舒适，回弹性好的网布；座板采用≥15mm厚国家标准E1级实木多层板；海绵采用高密度海绵制作，采用一次柱状发泡成型、发泡均匀、回弹性大、柔软性好、撕裂强度强、永久压缩变形小、高弹力海绵；扶手采用手感舒适PP扶手，扶手圆弧处理；椅架采用液压升降杆椅架，五星脚造型；所有表面光滑平整无毛刺。</w:t>
            </w:r>
            <w:r>
              <w:rPr>
                <w:rFonts w:hint="eastAsia" w:ascii="宋体" w:hAnsi="宋体" w:eastAsia="宋体" w:cs="宋体"/>
                <w:bCs/>
                <w:color w:val="000000"/>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bCs/>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学生美术桌</w:t>
            </w:r>
            <w:r>
              <w:rPr>
                <w:rFonts w:hint="eastAsia" w:ascii="宋体" w:hAnsi="宋体" w:eastAsia="宋体" w:cs="宋体"/>
                <w:bCs/>
                <w:color w:val="000000"/>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1200*800*760mm±10mm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实木多层板+钢架。桌面基材采用厚度≥18mm国家标准E1级实木多层板，面贴三聚氰胺纸，激光封边制作；桌面四周倒圆角处理；桌架采用满焊焊接钢架，桌腿：≥40*60*1.5mm，横梁：≥30*50*1.35mm，表面采用耐腐蚀高温粉体烤漆；底脚采用ABS硬质工程塑料，螺纹旋转升降调节高度，底部配置防滑耐磨、静音减震橡胶垫；所有表面光滑平整无毛刺。功能：桌面下设一层隔板。</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5</w:t>
            </w:r>
            <w:r>
              <w:rPr>
                <w:rFonts w:ascii="宋体" w:hAnsi="宋体" w:eastAsia="宋体" w:cs="宋体"/>
                <w:bCs/>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学生凳1</w:t>
            </w:r>
            <w:r>
              <w:rPr>
                <w:rFonts w:hint="eastAsia" w:ascii="宋体" w:hAnsi="宋体" w:eastAsia="宋体" w:cs="宋体"/>
                <w:bCs/>
                <w:color w:val="000000"/>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Φ300*450mm±10mm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ABS+钢管。工艺：凳面采用厚度≥4mmABS新料一体注塑成型，面板直径≥300mm；坐垫下须具备≥125*120*35mm可悬挂防滑凸条和防滑垫，中间有内弧造型塑料背盖；椅腿钢管尺寸：≥32*22*1.5mm，满焊焊接而成，表面采用耐腐蚀高温粉体烤漆；凳脚加防滑、耐用、耐摩擦PP纤维质塑胶一体成型≥75.5*50*17mm护垫；所有表面光滑平整无毛刺。功能：所有零部件采用不松散、脱落，永久性固定方式；凳子可悬挂于桌子上。</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bCs/>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学生凳2</w:t>
            </w:r>
            <w:r>
              <w:rPr>
                <w:rFonts w:hint="eastAsia" w:ascii="宋体" w:hAnsi="宋体" w:eastAsia="宋体" w:cs="宋体"/>
                <w:bCs/>
                <w:color w:val="000000"/>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435*435*550-450±10mm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PP+钢管。工艺：坐垫采用PP新料一体注塑成型；椅腿钢管尺寸：钢管直径≥22mm，壁厚≥1.8mm，满焊焊接而成，表面采用耐腐蚀高温粉体烤漆；凳脚加防滑、耐用、耐摩擦PP纤维质塑胶一体成型护垫；所有表面光滑平整无毛刺。功能：所有零部件采用不松散、脱落，永久性固定方式；凳子可悬挂于桌子上。</w:t>
            </w:r>
            <w:r>
              <w:rPr>
                <w:rFonts w:hint="eastAsia" w:ascii="宋体" w:hAnsi="宋体" w:eastAsia="宋体" w:cs="宋体"/>
                <w:bCs/>
                <w:color w:val="000000"/>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bCs/>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边柜</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延米*550*780mm±10mm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实木多层板。工艺：基材采用厚度≥18mm国家标准E1级实木多层板，面贴三聚氰胺纸，激光封边制作；台面四周倒圆角处理；所有表面光滑平整无毛刺。功能：柜体上方为敞开式储物格，中间穿插调色套格，下方双开门柜体。</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水柜</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延米*（550-600）*780mm±10mm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实木多层板+抗倍特板。工艺：台面采用耐80℃以上高温，防水抗倍特一体成型板：浸水24小时后的膨胀指数≤0.1mm，面板四周采用CNC修边，四周倒角，圆润光滑无任何毛边；柜体基材采用厚度≥18mm国家标准E1级实木多层板，面贴三聚氰胺纸，激光封边制作；五金件采用液压缓冲铰链；所有表面光滑平整无毛刺。功能：台面下方为双开门柜体；配置304不锈钢水槽。</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水嘴1</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材质：304不锈钢+陶瓷。工艺：基材采用耐腐蚀、防生锈镀铬304不锈钢；阀芯采用陶瓷阀芯。功能：开关出水流畅，无渗漏，灵活耐用；防喷溅单联控制。</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水嘴2</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结构：插壁式接水，L型单联，ABS手柄，鹅颈管可360°随意旋转。材质：主体黄铜材质，表面经高亮度环氧树脂喷涂，耐腐蚀，耐热，使用寿命开关≥50万次。功能：防喷溅单联水嘴。</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高柜1</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1000*450*1200mm±10mm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材质：实木多层板。基材采用厚度≥18mm国家标准E1级实木多层板,面贴三聚氰胺纸，激光封边制作；移门磁吸板外包装饰布，配置滑轨；所有表面光滑平整无毛刺。功能：移门具备吸音、展示作品、公布栏功能。</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高柜2</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1000*450*1200mm±10mm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材质：实木多层板。基材采用厚度≥18mm国家标准E1级实木多层板,面贴三聚氰胺纸，激光封边制作；五金件采用液压缓冲铰链；所有表面光滑平整无毛刺。功能：配备玻璃门，具备文件柜、储物柜等功能。</w:t>
            </w:r>
            <w:r>
              <w:rPr>
                <w:rFonts w:hint="eastAsia" w:ascii="宋体" w:hAnsi="宋体" w:eastAsia="宋体" w:cs="宋体"/>
                <w:bCs/>
                <w:color w:val="000000"/>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书法讲台</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1800*700*780mm±10mm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白蜡木。台面基材采用厚度≥25mm白蜡木；面层用天然木蜡油反复打磨、浸润、擦拭、上光；台面四周倒圆角处理；五金件采用三节阻尼导轨；底脚配置防滑耐磨、静音减震橡胶垫；所有表面光滑平整无毛刺。功能：台下一侧柜体为三个抽屉。</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学生书法桌</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1350*500*780mm±10mm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白蜡木。桌面基材采用厚度≥25mm白蜡木；面层用天然木蜡油反复打磨、浸润、擦拭、上光；桌脚≥60*40mm白蜡木，主梁≥30mm*30mm白蜡木，拉档≥40mm*30mm白蜡木；桌面四周倒圆角处理；底脚配置防滑耐磨、静音减震橡胶垫；所有表面光滑平整无毛刺。</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学生书法凳</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400*300*450mm±10mm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白蜡木。凳面基材采用厚度≥18mm白蜡木；面层用天然木蜡油反复打磨、浸润、擦拭、上光；主梁采用≥38*29mm方形白蜡木凳脚，横杆尺寸≥29*23mm方形白蜡木；凳面四周倒圆角处理；底脚配置防滑耐磨、静音减震橡胶垫；所有表面光滑平整无毛刺。</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书法边柜</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延米*550*780mm±10mm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实木多层板。基材采用厚度≥18mm国家标准E1级实木多层板,面贴三聚氰胺纸，激光封边制作；台面四周倒圆角处理；五金件采用三节阻尼导轨；所有表面光滑平整无毛刺。功能：柜体上部分为开放式隔板，下部分为三层抽屉。</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展示柜1</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2045*550*2000mm±10mm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实木多层板。基材采用厚度≥18mm国家标准E1级实木多层板,面贴三聚氰胺纸，激光封边制作；五金件采用液压缓冲铰链和三节阻尼导轨；所有表面光滑平整无毛刺。功能：柜体上部分为双开门，中间部分为开放式隔板，下部分为四层抽屉。</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展示柜2</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1400*550*2000mm±10mm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实木多层板。基材采用厚度≥18mm国家标准E1级实木多层板,面贴三聚氰胺纸，激光封边制作；五金件采用液压缓冲铰链和三节阻尼导轨；所有表面光滑平整无毛刺。功能：柜体上部分为双开门，中间部分为开放式隔板，下部分为四层抽屉。</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器材柜</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1000×500×2000mm±10mm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实木多层板。基材采用厚度≥18mm国家标准E1级实木多层板,面贴三聚氰胺纸，激光封边制作；五金件采用液压缓冲铰链；所有表面光滑平整无毛刺。功能：柜体上部分：实木多层框加厚度≥4mm钢化玻璃对开门，三层置物空间，下部分为双木门两层置物空间，层板高度可调节。</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货架</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1500*600*2000mm±10mm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材质：冷轧钢板。采用≥0.6mm厚冷轧钢板折弯成型，立柱采用≥80*40mmC型钢，横梁采用≥60*40mmP型钢，拼装式层板；表面经酸洗磷化喷塑处理，分四层、高度可调。</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准备桌</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1650*1000*750mm±10mm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实木多层板+钢架。基材采用厚度≥18mm国家标准E1级实木多层板,面贴三聚氰胺纸，激光封边制作；桌面四周倒圆角处理；桌架采用满焊焊接钢架，桌腿：≥55*55*1.5mm，横梁：≥40*40*1.5mm，表面采用耐腐蚀高温粉体烤漆；底脚采用ABS硬质工程塑料，螺纹旋转升降调节高度，底部配置防滑耐磨、静音减震橡胶垫；所有表面光滑平整无毛刺。</w:t>
            </w:r>
            <w:r>
              <w:rPr>
                <w:rFonts w:hint="eastAsia" w:ascii="宋体" w:hAnsi="宋体" w:eastAsia="宋体" w:cs="宋体"/>
                <w:bCs/>
                <w:color w:val="000000"/>
                <w:sz w:val="24"/>
                <w:szCs w:val="24"/>
                <w:lang w:val="en-US" w:eastAsia="zh-CN" w:bidi="ar-SA"/>
              </w:rPr>
            </w:r>
            <w:r/>
          </w:p>
        </w:tc>
      </w:tr>
      <w:tr>
        <w:trPr>
          <w:trHeight w:val="321"/>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准备凳</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435*435*550-450±10mm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PP+钢管。坐垫采用PP新料一体注塑成型；椅腿钢管尺寸：钢管直径≥22mm，壁厚≥1.8mm，满焊焊接而成，表面采用耐腐蚀高温粉体烤漆；凳脚加防滑、耐用、耐摩擦PP纤维质塑胶一体成型护垫；所有表面光滑平整无毛刺。功能：所有零部件采用不松散、脱落，永久性固定方式；凳子可悬挂于桌子上。</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23</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科学教室讲台</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1800*700*850mm±10mm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实木多层板。基材采用厚度≥18mm国家标准E1级实木多层板,面贴三聚氰胺纸，激光封边制作；台面四周倒圆角处理；五金件采用液压缓冲铰链和三节阻尼导轨；底脚采用ABS硬质工程塑料，螺纹旋转升降调节高度，底部配置防滑耐磨、静音减震橡胶垫；所有表面光滑平整无毛刺。功能：台面前下方左侧为两个抽屉和敞开式储物格，中间为敞开式储物格加一个抽屉，右侧为一个抽屉加双开门柜体。</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24</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四人科学桌1</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1200*800*760mm±10mm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实木多层板+钢架。桌面基材采用厚度≥18mm国家标准E1级实木多层板，面贴三聚氰胺纸，激光封边制作；桌面四周倒圆角处理；桌架采用满焊焊接钢架，桌腿：≥40*60*1.5mm，横梁：≥30*50*1.35mm，表面采用耐腐蚀高温粉体烤漆；底脚采用ABS硬质工程塑料，螺纹旋转升降调节高度，底部配置防滑耐磨、静音减震橡胶垫；所有表面光滑平整无毛刺。功能：桌面下设一层隔板。</w:t>
            </w:r>
            <w:r>
              <w:rPr>
                <w:rFonts w:hint="eastAsia" w:ascii="宋体" w:hAnsi="宋体" w:eastAsia="宋体" w:cs="宋体"/>
                <w:bCs/>
                <w:color w:val="000000"/>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四人科学桌2</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1200*800*760mm±10mm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实木多层板+钢架。基材采用厚度≥18mm国家标准E1级实木多层板,面贴三聚氰胺纸，激光封边制作；桌面四周倒圆角处理；桌架采用满焊焊接钢架，桌腿：≥30*60*1.5mm，横梁：≥30*50*1.35mm，表面采用耐腐蚀高温粉体烤漆；五金件采用三节阻尼导轨；底脚采用ABS硬质工程塑料，螺纹旋转升降调节高度，底部配置防滑耐磨、静音减震橡胶垫；所有表面光滑平整无毛刺。功能：桌下悬挂储物功能抽屉，导轨具备有防抽屉抽出锁定功能。</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组合科学桌-弧形桌</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1600*800*750mm±10mm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实木多层板+钢架。基材采用厚度≥18mm国家标准E1级实木多层板,面贴三聚氰胺纸，激光封边制作；桌面四周倒圆角处理；桌架采用满焊焊接钢架，横杆：20*40*1.5mm，桌脚直径：≥38*1.8mm钢管，表面采用耐腐蚀高温粉体烤漆；底脚采用ABS硬质工程塑料，螺纹旋转升降调节高度，底部配置防滑耐磨、静音减震橡胶垫；所有表面光滑平整无毛刺。</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27</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组合科学桌-圆桌</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1600*800*750mm±10mm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实木多层板+钢架。基材采用厚度≥18mm国家标准E1级实木多层板,面贴三聚氰胺纸，激光封边制作；桌面四周倒圆角处理；桌架采用满焊焊接钢架，横杆：20*40*1.5mm，桌脚直径：≥38*1.8mm钢管，表面采用耐腐蚀高温粉体烤漆；底脚采用ABS硬质工程塑料，螺纹旋转升降调节高度，底部配置防滑耐磨、静音减震橡胶垫；所有表面光滑平整无毛刺。</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28</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移动讲台</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680*480*680-1000mm±10mm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实木多层板+钢架。桌面基材采用厚度≥18mm国家标准E1级实木多层板,面贴三聚氰胺纸，激光封边制作；桌架采用满焊焊接钢架，上方铝外罩直径≥68*1mm，下铁管直径≥52*3mm，下方弧形铁管直径≥32mm*1.5mm，桌面连接铁皮厚≥3mm，表面采用耐腐蚀高温粉体烤漆；所有表面光滑平整无毛刺。功能：桌架内置液压可随意调整高度升降装置，桌架底部配置轮子。</w:t>
            </w:r>
            <w:r>
              <w:rPr>
                <w:rFonts w:hint="eastAsia" w:ascii="宋体" w:hAnsi="宋体" w:eastAsia="宋体" w:cs="宋体"/>
                <w:bCs/>
                <w:color w:val="000000"/>
                <w:sz w:val="24"/>
                <w:szCs w:val="24"/>
                <w:lang w:val="en-US" w:eastAsia="zh-CN" w:bidi="ar-SA"/>
              </w:rPr>
            </w:r>
            <w:r/>
          </w:p>
        </w:tc>
      </w:tr>
      <w:tr>
        <w:trPr>
          <w:trHeight w:val="281"/>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29</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边桌</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1200*550*750mm±10mm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实木多层板+钢架。桌面基材采用厚度≥18mm国家标准E1级实木多层板,面贴三聚氰胺纸，激光封边制作；桌架采用满焊焊接钢架，桌脚直径≥38*1.8mm钢管，表面采用耐腐蚀高温粉体烤漆；底脚采用ABS硬质工程塑料，螺纹旋转升降调节高度，底部配置防滑耐磨、静音减震橡胶垫；所有表面光滑平整无毛刺。功能：桌子配置收纳物品PP抽屉。</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展示墙柜</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延米*450*2200mm±10mm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实木多层板+磁吸书写板。基材采用厚度≥18mm国家标准E1级实木多层板,面贴三聚氰胺纸，激光封边制作；五金件采用液压缓冲铰链；所有表面光滑平整无毛刺。功能：下方为双开门柜体，上方两侧为展示柜，中间配置磁力纳米书写板。</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31</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收纳高柜</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延米*450*2200mm±10mm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实木多层板。基材采用厚度≥18mm国家标准E1级实木多层板,面贴三聚氰胺纸，激光封边制作；五金件采用液压缓冲铰链；所有表面光滑平整无毛刺。功能：柜体上部分为双开门，下部分为三层pp收纳盒和双开门柜体。</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32</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木制边柜</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延米*600*900mm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实木多层板。基材采用厚度≥18mm国家标准E1级实木多层板,面贴三聚氰胺纸，激光封边制作；台面四周倒圆角处理；五金件采用液压缓冲铰链；所有表面光滑平整无毛刺。功能：柜体上下部分配置PP收纳盒，中间为收纳各种教学用具双开门柜体。</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33</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激光智慧黑板</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整机采用一体化设计，外观尺寸长度≥4200mm，高≥1300mm。整机包含红外触控显示面板、激光显示单元、中控、电脑主机、功放、音箱、绿板等功能，集成在整个框架内。主屏采用红外触摸技术，显示屏可视尺寸及可触控尺寸≥93英寸，显示比例16：9，至少可支持20点触控。出音口正前方置顶设计，采用格栅阵列发声技术，声音无阻碍传播，完全覆盖整个教室，无声音盲区。整机前置接口至少</w:t>
            </w:r>
            <w:r>
              <w:rPr>
                <w:rFonts w:hint="eastAsia" w:ascii="宋体" w:hAnsi="宋体" w:eastAsia="宋体" w:cs="宋体"/>
                <w:i w:val="0"/>
                <w:iCs w:val="0"/>
                <w:color w:val="000000"/>
                <w:sz w:val="20"/>
                <w:szCs w:val="20"/>
                <w:u w:val="none"/>
                <w:lang w:val="en-US" w:eastAsia="zh-CN" w:bidi="ar"/>
              </w:rPr>
              <w:t xml:space="preserve">包含1路Type-C、1路TOUCHUSB、1路HDMI、3路USB3.0、USB3.0支持安卓与OPS双系统共享，且所有接口不占用显示面积。前置接口前采用铝合金翻转盖板。后置至少包含1个以下接口：RS232IN、RS232OUT、TFCARD、RJ45、MICIN、耳机、HDMIIN、HDMIOUT、TOUCHUSB、USB、ACIN。双侧副板支持多种书写笔书写，如粉笔、水溶性粉笔、水笔等、成膜笔等。内置安卓系统要求：安卓系统不低于14.0、内存≥4GB、存储≥32G。设备双侧具备双系统都可调用虚拟按键，</w:t>
            </w:r>
            <w:r>
              <w:rPr>
                <w:rFonts w:hint="eastAsia" w:ascii="宋体" w:hAnsi="宋体" w:eastAsia="宋体" w:cs="宋体"/>
                <w:i w:val="0"/>
                <w:iCs w:val="0"/>
                <w:color w:val="000000"/>
                <w:sz w:val="20"/>
                <w:szCs w:val="20"/>
                <w:u w:val="none"/>
                <w:lang w:val="en-US" w:eastAsia="zh-CN" w:bidi="ar"/>
              </w:rPr>
              <w:t xml:space="preserve">虚拟按键包括返回，主页，输入源，批注，小窗口，工具栏，任务栏；其中工具栏包含网络、蓝牙、截图、计时器、关机、信号源、文件快传、录屏、冻屏、投票器、护眼、聚光灯、放大镜、幕布、纸质护眼、音量调节、应用添加等。具有双系统均可实现快速进入的悬浮菜单功能，能够随意拖动，支持三指跟随。可在任意通道下打开悬浮菜单，菜单内容和项目可以根据需要自主添加和移除，可实现包括内置双系统切换、白板软件等快速进入功能。在不采用任何物理升降结构前提下，可实现全通道一键下移功能，下移后不影响正常使用，不接受第三方应用程序方式下实现屏幕下</w:t>
            </w:r>
            <w:r>
              <w:rPr>
                <w:rFonts w:hint="eastAsia" w:ascii="宋体" w:hAnsi="宋体" w:eastAsia="宋体" w:cs="宋体"/>
                <w:i w:val="0"/>
                <w:iCs w:val="0"/>
                <w:color w:val="000000"/>
                <w:sz w:val="20"/>
                <w:szCs w:val="20"/>
                <w:u w:val="none"/>
                <w:lang w:val="en-US" w:eastAsia="zh-CN" w:bidi="ar"/>
              </w:rPr>
              <w:t xml:space="preserve">移功能，下移后保证系统兼容性和稳定性。支持外接中控并设有专用接口，通过RS232连接线，外接中控可以控制整机开关机，信号通道，音量等。支持自定义开机默认通道，开机自动进入设置的信号通道界面，通道包含：安卓、OPS电脑、前置HDMI、HDMI1等。在任意界面下，通过手势，即可调出快捷菜单，菜单包含返回、主页、最近、信源、设置、降屏、书写白板、批注、截屏等按键。在OPS电脑通道显示界面下，无需切换到安卓系统，即可调用安卓系统悬浮球、双边虚拟快捷键等功能。嵌入系统下设备具备定时开关机功能，并可按照用户具体需求设置</w:t>
            </w:r>
            <w:r>
              <w:rPr>
                <w:rFonts w:hint="eastAsia" w:ascii="宋体" w:hAnsi="宋体" w:eastAsia="宋体" w:cs="宋体"/>
                <w:i w:val="0"/>
                <w:iCs w:val="0"/>
                <w:color w:val="000000"/>
                <w:sz w:val="20"/>
                <w:szCs w:val="20"/>
                <w:u w:val="none"/>
                <w:lang w:val="en-US" w:eastAsia="zh-CN" w:bidi="ar"/>
              </w:rPr>
              <w:t xml:space="preserve">开关机时间等方便用户使用。可设置信号源通道设置，具备智能识别、开机通道选择、信号源唤醒等。嵌入式系统支持投票功能，无需安装APP，通过移动端设备扫描二维码进行投票，可自动生成投票结果。整机全通道支持纸质护眼模式，可实现画面纹理的实时调整，支持纸质纹理效果，支持透明度调节以及色温调节。智慧黑板需具有前掀式免拆卸维护功能，整体向上掀起角度不小于35度。整体挂架：通过限位装置能快速对准拼缝接口，配置根据压力调节平整度及拼缝的按压式卡扣。安卓系统内置浏览器、文件管理、WPS、应用锁、计算器、日历、相机、硬件检测、内</w:t>
            </w:r>
            <w:r>
              <w:rPr>
                <w:rFonts w:hint="eastAsia" w:ascii="宋体" w:hAnsi="宋体" w:eastAsia="宋体" w:cs="宋体"/>
                <w:i w:val="0"/>
                <w:iCs w:val="0"/>
                <w:color w:val="000000"/>
                <w:sz w:val="20"/>
                <w:szCs w:val="20"/>
                <w:u w:val="none"/>
                <w:lang w:val="en-US" w:eastAsia="zh-CN" w:bidi="ar"/>
              </w:rPr>
              <w:t xml:space="preserve">存清理等软件功能。设备支持多种手势识别，支持多手指上下左右滑动手势操作，用户可自定义滑动调出息屏、桌面、批注、半屏模式、白板、悬浮菜跟随、长按息屏等功能。设备具备应用锁功能，可通过密码锁定客户指定的APP等相关锁定功能。支持文件快传功能，手机等移动设备无需安装任何软件APP，扫描整机二维码即可将移动设备上的图片、文档等直接发送至一体机。其它要求：至少支持数字密码、手势密码、U盘锁三种锁屏模式，至少支持上电开机、上电待机、上电记忆开机模式，支持无操作待机；用户可自定义1分钟、5分钟、10分钟、20分钟、30分</w:t>
            </w:r>
            <w:r>
              <w:rPr>
                <w:rFonts w:hint="eastAsia" w:ascii="宋体" w:hAnsi="宋体" w:eastAsia="宋体" w:cs="宋体"/>
                <w:i w:val="0"/>
                <w:iCs w:val="0"/>
                <w:color w:val="000000"/>
                <w:sz w:val="20"/>
                <w:szCs w:val="20"/>
                <w:u w:val="none"/>
                <w:lang w:val="en-US" w:eastAsia="zh-CN" w:bidi="ar"/>
              </w:rPr>
              <w:t xml:space="preserve">钟等无操作时长待机，支持文件快传，支持USB访问控制，通过数字等密码锁定解锁。支持壁纸、至少四种页面主题、色温调整，支持声音均衡器调节等功能。激光显示单元要求：分辨率：≥1920*1080、16：9、对比度：≥500000：1、投射比≤0.23、支持3D显示、散热方式：至少包括水冷+风冷、全封闭光路设计、无过滤网设计。激光显示单元需采用符合视觉工效和场景需求的亮度、色度高色域颜色还原技术。激光显示单元需具有环境温度、激光器高温检测报警提示功能。摄像头及麦克风：设备需配备≥1300万像素摄像头及8阵列麦克风。</w:t>
            </w:r>
            <w:r>
              <w:rPr>
                <w:rFonts w:hint="eastAsia" w:ascii="宋体" w:hAnsi="宋体" w:eastAsia="宋体" w:cs="宋体"/>
                <w:bCs/>
                <w:color w:val="000000"/>
                <w:sz w:val="24"/>
                <w:szCs w:val="24"/>
                <w:lang w:val="en-US" w:eastAsia="zh-CN" w:bidi="ar-SA"/>
              </w:rPr>
            </w:r>
            <w:r/>
          </w:p>
        </w:tc>
      </w:tr>
      <w:tr>
        <w:trPr>
          <w:trHeight w:val="103"/>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34</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壁挂展台</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1.像素：≥1100万像素（4224*3168）；变焦：≥10倍</w:t>
            </w:r>
            <w:r>
              <w:rPr>
                <w:rFonts w:hint="eastAsia" w:ascii="宋体" w:hAnsi="宋体" w:eastAsia="宋体" w:cs="宋体"/>
                <w:i w:val="0"/>
                <w:iCs w:val="0"/>
                <w:color w:val="000000"/>
                <w:sz w:val="20"/>
                <w:szCs w:val="20"/>
                <w:u w:val="none"/>
                <w:lang w:val="en-US" w:eastAsia="zh-CN" w:bidi="ar"/>
              </w:rPr>
              <w:t xml:space="preserve">数码变焦。支持幅面：A4；补光灯：触摸控制LED补光灯；电脑USB供电，无需外接电源；具备磁吸门收纳箱，壁挂式安装，无需气压拉杆，所有表面光滑平整无毛刺、边角圆角处理；展台软件支持10点以上触控，在画笔状态下支持同时10点以上流畅标注；展台软件须具备OCR框选识别文字功能，软件自动提取文字，支持直接插入Word、复制等操作；展台软件须具备对比教学功能，可以实现动态视频与静态图片的对比教学，每个对比展示区都支持双击局部放大，批注笔记与图片联动，展示区全屏切换等功能；方便老师针对不同学生试卷和作业进行对比教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▲2.展台软件具备保持文字始终都是正向展示的自动文字正向功能，同时实现展示文件自动居中。（签订合同时提供第三方检测报告）</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35</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LED护眼黑板灯</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黑板灯为一体式LED防眩灯具，尺寸≥900mm，灯具主体材料为不易变形抗氧化金属材质；经过科学匀光处理、视感舒适的照明灯具；隔离型恒流驱</w:t>
            </w:r>
            <w:r>
              <w:rPr>
                <w:rFonts w:hint="eastAsia" w:ascii="宋体" w:hAnsi="宋体" w:eastAsia="宋体" w:cs="宋体"/>
                <w:i w:val="0"/>
                <w:iCs w:val="0"/>
                <w:color w:val="000000"/>
                <w:sz w:val="20"/>
                <w:szCs w:val="20"/>
                <w:u w:val="none"/>
                <w:lang w:val="en-US" w:eastAsia="zh-CN" w:bidi="ar"/>
              </w:rPr>
              <w:t xml:space="preserve">动电源，电源有外壳并可靠固定；足够数量小功率LED灯珠，灯珠实际使用功率不超过额定功率的50%；功率＜45W；光效（或灯具效能）≥80lm/W；色温（或相关色温）4300K-5300K；显色指数Ra＞90、R9＞50；色容差（色品容差）≤5SDCM；蓝光危害等级为RG0（或0类危险）；频闪无危害或无显著影响或无频闪危害；具备IP40或以上灰尘防护等级；在大气压力≥80kPa，平均湿度≥30%RH及极值空气温度≥35℃的实地环境条件下至少持续运行200小时，至少依据《GB/T9468-2008》标准通过认证。</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36</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LED护眼教室灯</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额定功率≤36W；长度≥1000mm；为一</w:t>
            </w:r>
            <w:r>
              <w:rPr>
                <w:rFonts w:hint="eastAsia" w:ascii="宋体" w:hAnsi="宋体" w:eastAsia="宋体" w:cs="宋体"/>
                <w:i w:val="0"/>
                <w:iCs w:val="0"/>
                <w:color w:val="000000"/>
                <w:sz w:val="20"/>
                <w:szCs w:val="20"/>
                <w:u w:val="none"/>
                <w:lang w:val="en-US" w:eastAsia="zh-CN" w:bidi="ar"/>
              </w:rPr>
              <w:t xml:space="preserve">体式微晶防眩面板灯；色温（或相关色温）4300-5300K，显色指数Ra≥90、R9≥70，色容差≤5SDCM；色彩保真度Rf≥95；噪声≤18dB（A）；至少依据《GB/T26572-2011》标准通过电器电子产品认证；通过频闪无危害或无频闪危害或无显著影响认证；蓝光危害等级为RG0（或0类危险）；LED教室灯在大气压力≥80kPa，平均湿度≥30%RH及极值空气温度≥35℃的实地环境条件下至少持续运行100小时以上，至少依据《GB/T5700-2023》及《GB/T9468-2008》标准通过可靠认证。</w:t>
            </w:r>
            <w:r>
              <w:rPr>
                <w:rFonts w:hint="eastAsia" w:ascii="宋体" w:hAnsi="宋体" w:eastAsia="宋体" w:cs="宋体"/>
                <w:bCs/>
                <w:color w:val="000000"/>
                <w:sz w:val="24"/>
                <w:szCs w:val="24"/>
                <w:lang w:val="en-US" w:eastAsia="zh-CN" w:bidi="ar-SA"/>
              </w:rPr>
            </w:r>
            <w:r/>
          </w:p>
        </w:tc>
      </w:tr>
      <w:tr>
        <w:trPr>
          <w:trHeight w:val="230"/>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37</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吸顶风扇</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天花吸顶式风扇，导风/定向双从模式，可三档调节，风量：1500m³/h。</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38</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室内顶部集成装置1</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定制</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基材：基底为铝合金板，厚度≥0.9mm，铝扣板表面穿孔，采用防锈，防氧化喷塑涂层。施工：采用暗架系统卡扣式安装；吊杆间距不超过1.2米，宽度≥50mm主龙，三角龙骨与主龙垂直，放入扣板，保持平整。安装时要进行跳色处理，按比例喷刷二种颜色，需中标后与采购人确认跳色布局。</w:t>
            </w:r>
            <w:r>
              <w:rPr>
                <w:rFonts w:hint="eastAsia" w:ascii="宋体" w:hAnsi="宋体" w:eastAsia="宋体" w:cs="宋体"/>
                <w:bCs/>
                <w:color w:val="000000"/>
                <w:sz w:val="24"/>
                <w:szCs w:val="24"/>
                <w:lang w:val="en-US" w:eastAsia="zh-CN" w:bidi="ar-SA"/>
              </w:rPr>
            </w:r>
            <w:r/>
          </w:p>
        </w:tc>
      </w:tr>
      <w:tr>
        <w:trPr>
          <w:trHeight w:val="235"/>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39</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室内顶部集成装置2</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定制</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轻钢龙骨、纸面石膏板、多层板、木工板；龙骨间距，石膏板之间留4～6mm安装缝，用腻子嵌平，再贴牛皮纸；石膏板用自攻螺钉固定，并嵌入板面内2mm，螺钉帽做防锈处理；轻钢主龙骨间距≤800mm；轻钢副龙骨间距≤400-600mm；造型需中标后与采购人确认。</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地面防水工艺1</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定制</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地胶卷材：耐磨层厚度≥0.4mm；厚度≥2mm；含地面自流平及铺装损耗；室内地面找平；同材质墙面底脚防撞保护装置，地胶上墙高度≥60mm，窄铝合金收边条收边。</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41</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地面防水工艺2</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定制</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地胶卷材：耐磨层厚度≥0.8mm；厚度≥3.5mm；含地面自流平及铺装损耗；室内地面找平；同材质墙面底脚防撞保护装置，地胶上墙高度≥60mm，窄铝合金收边条收边。</w:t>
            </w:r>
            <w:r>
              <w:rPr>
                <w:rFonts w:hint="eastAsia" w:ascii="宋体" w:hAnsi="宋体" w:eastAsia="宋体" w:cs="宋体"/>
                <w:bCs/>
                <w:color w:val="000000"/>
                <w:sz w:val="24"/>
                <w:szCs w:val="24"/>
                <w:lang w:val="en-US" w:eastAsia="zh-CN" w:bidi="ar-SA"/>
              </w:rPr>
            </w:r>
            <w:r/>
          </w:p>
        </w:tc>
      </w:tr>
      <w:tr>
        <w:trPr>
          <w:trHeight w:val="260"/>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42</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室内拆除1</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定制</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原有室内灯具、黑板、风扇、空调、窗帘、家具、墙面文化拆除，包含搬迁安装及垃圾清运费用。</w:t>
            </w:r>
            <w:r>
              <w:rPr>
                <w:rFonts w:hint="eastAsia" w:ascii="宋体" w:hAnsi="宋体" w:eastAsia="宋体" w:cs="宋体"/>
                <w:bCs/>
                <w:color w:val="000000"/>
                <w:sz w:val="24"/>
                <w:szCs w:val="24"/>
                <w:lang w:val="en-US" w:eastAsia="zh-CN" w:bidi="ar-SA"/>
              </w:rPr>
            </w:r>
            <w:r/>
          </w:p>
        </w:tc>
      </w:tr>
      <w:tr>
        <w:trPr>
          <w:trHeight w:val="230"/>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43</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室内拆除2</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定制</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原有室内灯具、黑板、空调、窗帘、家具、墙面饰面板拆除，包含搬迁安装及垃圾清运费用。</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44</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墙面表层固化装置（防尘防裂）1</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定制</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材料说明：现调腻子或成品腻子和辅材，净味乳胶漆。工艺说明：清扫、配浆、批腻子、找补腻子、磨砂纸、刷乳胶漆、手刷工艺。墙面乳胶漆颜色需中标后与采购人确认。</w:t>
            </w:r>
            <w:r>
              <w:rPr>
                <w:rFonts w:hint="eastAsia" w:ascii="宋体" w:hAnsi="宋体" w:eastAsia="宋体" w:cs="宋体"/>
                <w:bCs/>
                <w:color w:val="000000"/>
                <w:sz w:val="24"/>
                <w:szCs w:val="24"/>
                <w:lang w:val="en-US" w:eastAsia="zh-CN" w:bidi="ar-SA"/>
              </w:rPr>
            </w:r>
            <w:r/>
          </w:p>
        </w:tc>
      </w:tr>
      <w:tr>
        <w:trPr>
          <w:trHeight w:val="295"/>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45</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墙面表层固化装置（防尘防裂）2</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定制</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材质：厚度≥8mm聚酯纤维板，基层清理后安装基层木线及木条，表面铺设聚酯纤维板。含铝型材金属收边线条等辅材。</w:t>
            </w:r>
            <w:r>
              <w:rPr>
                <w:rFonts w:hint="eastAsia" w:ascii="宋体" w:hAnsi="宋体" w:eastAsia="宋体" w:cs="宋体"/>
                <w:bCs/>
                <w:color w:val="000000"/>
                <w:sz w:val="24"/>
                <w:szCs w:val="24"/>
                <w:lang w:val="en-US" w:eastAsia="zh-CN" w:bidi="ar-SA"/>
              </w:rPr>
            </w:r>
            <w:r/>
          </w:p>
        </w:tc>
      </w:tr>
      <w:tr>
        <w:trPr>
          <w:trHeight w:val="342"/>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46</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布艺窗帘</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定制</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布艺窗帘，纯色全遮光窗帘，含轨道辅件等，褶皱系数2.0。颜色需中标后与采购人确认。</w:t>
            </w:r>
            <w:r>
              <w:rPr>
                <w:rFonts w:hint="eastAsia" w:ascii="宋体" w:hAnsi="宋体" w:eastAsia="宋体" w:cs="宋体"/>
                <w:bCs/>
                <w:color w:val="000000"/>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47</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整室电路改造</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定制</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改造范围：本工程涵盖建筑空间内墙面、地面、顶部区域的整体电路改造工程，采用暗敷工艺系统。墙面系统：各墙面均配置不少于3组须具备USB接口的五孔插座（暗装式），单相三线制布线，更换开关面板。顶面系统：独立回路供电，满足中央空调机组、吊装设备及智能照明系统用电需求。地面系统：预埋过线管路，保证全屋动线布管连贯性。线管系统：采用国标阻燃PVC管（Φ20，壁厚≥1.6mm），弯管曲率半径≥6D。</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线材规格：ZR-BV铜芯阻燃线，照明回路≥2.5mm²，大功率设备回路≥4mm²。工艺要求：穿线管填充率≤40%、强弱电间距≥300mm、绝缘电阻值≥0.5MΩ（500V兆欧表检测）、线盒安装垂直度偏差≤1.5mm。其他服务：含综合人工费、辅材消耗（含线管固定件、绝缘材料等）、墙面开槽修复及垃圾清运。</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整室水路改造1</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定制</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工程范围：本工程涵盖建筑室内外给排水系统整体改造，包含室外给水主管道接驳、室内（6个水位点）水管网敷设及生活排水系统改造。主给水管：PPR管，壁厚≥3.5mm。支管配置：DN20明装管件采用黄铜镀镍活接，暗埋管段无接头敷设。主排水管：PVC-U排水管（壁厚≥2.0mm），DN110主管道。支管系统：DN50排水支管，按区域设置存水弯及检修口。坡度控制：DN50管≥25‰，DN75管≥15‰，DN110管≥12‰。含施工人工、管件辅材（含管卡、密封胶圈等）、开槽修复及建筑垃圾清运。</w:t>
            </w:r>
            <w:r>
              <w:rPr>
                <w:rFonts w:hint="eastAsia" w:ascii="宋体" w:hAnsi="宋体" w:eastAsia="宋体" w:cs="宋体"/>
                <w:bCs/>
                <w:color w:val="000000"/>
                <w:sz w:val="24"/>
                <w:szCs w:val="24"/>
                <w:lang w:val="en-US" w:eastAsia="zh-CN" w:bidi="ar-SA"/>
              </w:rPr>
            </w:r>
            <w:r/>
          </w:p>
        </w:tc>
      </w:tr>
      <w:tr>
        <w:trPr>
          <w:trHeight w:val="184"/>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49</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整室水路改造2</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定制</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工程范围：本工程涵盖建筑室内外给排水系统整体改造，包含室外给水主管道接驳、室内（3个水位点）水管网敷设及生活排水系统改造。主给水管：PPR管，壁厚≥3.5mm。支管配置：DN20明装管件采用黄铜镀镍活接，暗埋管段无接头敷设。主排水管：PVC-U排水管（壁厚≥2.0mm），DN110主管道。支管系统：DN50排水支管，按区域设置存水弯及检修口。坡度控制：DN50管≥25‰，DN75管≥15‰，DN110管≥12‰。含施工人工、管件辅材（含管卡、密封胶圈等）、开槽修复及建筑垃圾清运。</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整室水路改造3</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定制</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工程范围：本工程涵盖建筑室内外给排水系统整体改造，包含室外给水主管道接驳、室内（1个水位点）水管网敷设及生活排水系统改造。主给水管：PPR管，壁厚≥3.5mm。支管配置：DN20明装管件采用黄铜镀镍活接，暗埋管段无接头敷设。主排水管：PVC-U排水管（壁厚≥2.0mm），DN110主管道。支管系统：DN50排水支管，按区域设置存水弯及检修口。坡度控制：DN50管≥25‰，DN75管≥15‰，DN110管≥12‰。含施工人工、管件辅材（含管卡、密封胶圈等）、开槽修复及建筑垃圾清运。</w:t>
            </w:r>
            <w:r>
              <w:rPr>
                <w:rFonts w:hint="eastAsia" w:ascii="宋体" w:hAnsi="宋体" w:eastAsia="宋体" w:cs="宋体"/>
                <w:bCs/>
                <w:color w:val="000000"/>
                <w:sz w:val="24"/>
                <w:szCs w:val="24"/>
                <w:lang w:val="en-US" w:eastAsia="zh-CN" w:bidi="ar-SA"/>
              </w:rPr>
            </w:r>
            <w:r/>
          </w:p>
        </w:tc>
      </w:tr>
      <w:tr>
        <w:trPr>
          <w:trHeight w:val="93"/>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51</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筒灯1</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灯体采用铝材加工，表面拉丝效果，采用光学透镜，防炫目，刺眼，6WLED光源。</w:t>
            </w:r>
            <w:r>
              <w:rPr>
                <w:rFonts w:hint="eastAsia" w:ascii="宋体" w:hAnsi="宋体" w:eastAsia="宋体" w:cs="宋体"/>
                <w:bCs/>
                <w:color w:val="000000"/>
                <w:sz w:val="24"/>
                <w:szCs w:val="24"/>
                <w:lang w:val="en-US" w:eastAsia="zh-CN" w:bidi="ar-SA"/>
              </w:rPr>
            </w:r>
            <w:r/>
          </w:p>
        </w:tc>
      </w:tr>
      <w:tr>
        <w:trPr>
          <w:trHeight w:val="214"/>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52</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筒灯2</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灯体采用铝材加工，表面拉丝效果，采用光学透镜，防炫目，刺眼，8WLED光源。</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53</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顶面表层固化装置（防尘防裂）</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定制</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材料说明：现调腻子或成品腻子和辅材，环保乳胶漆。工艺说明：清扫、配浆、批腻子、找补腻子、磨砂纸、刷乳胶漆、手刷工艺。顶面乳胶漆颜色需中标后与采购人确认。</w:t>
            </w:r>
            <w:r>
              <w:rPr>
                <w:rFonts w:hint="eastAsia" w:ascii="宋体" w:hAnsi="宋体" w:eastAsia="宋体" w:cs="宋体"/>
                <w:bCs/>
                <w:color w:val="000000"/>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54</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窗帘盒</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定制</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厚度15mm阻燃板做框架，厚度9mm石膏板封面，含批腻子刷乳胶漆。</w:t>
            </w:r>
            <w:r>
              <w:rPr>
                <w:rFonts w:hint="eastAsia" w:ascii="宋体" w:hAnsi="宋体" w:eastAsia="宋体" w:cs="宋体"/>
                <w:bCs/>
                <w:color w:val="000000"/>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55</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吊装电源（电鼓）</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手动单独控制升降，电鼓附须具备配有USB及Type-c插口的10A/16A嵌入式五孔插座，可拉伸距离≥10m。顶部配T型安装支架含布线及安装。</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56</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教室后墙板1</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定制</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实木木工板+毛毡板。基材采用国家标准E1级实木木工板，铺设造型线条；墙面采用高温热压成型，无异味，表面平整柔韧毛毡板5mm厚高密度聚酯纤维材质；定制造型、部分文字造型采用亚克力制作，具体内容需采购人确认。功能：可作为后墙文化装饰或粘贴学生作品。</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57</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教室后墙板2</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定制</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实木木工板+毛毡板+磁吸书写板。基材采用国家标准E1级实木木工板，铺设造型线条；墙面采用高温热压成型，无异味，表面平整柔韧毛毡板5mm厚高密度聚酯纤维材质；磁吸书写板采用耐高温、耐磨、耐酸碱、防火、粉笔和白板笔两用搪瓷面层，背面采用0.2mm镀锌钢板。功能：可作为后墙文化装饰或粘贴学生作品。</w:t>
            </w:r>
            <w:r>
              <w:rPr>
                <w:rFonts w:hint="eastAsia" w:ascii="宋体" w:hAnsi="宋体" w:eastAsia="宋体" w:cs="宋体"/>
                <w:bCs/>
                <w:color w:val="000000"/>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58</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教室后墙板3</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定制</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后墙定制PCV及亚力克音乐造型板，具体文化内容造型需中标后与采购人确认。</w:t>
            </w:r>
            <w:r>
              <w:rPr>
                <w:rFonts w:hint="eastAsia" w:ascii="宋体" w:hAnsi="宋体" w:eastAsia="宋体" w:cs="宋体"/>
                <w:bCs/>
                <w:color w:val="000000"/>
                <w:sz w:val="24"/>
                <w:szCs w:val="24"/>
                <w:lang w:val="en-US" w:eastAsia="zh-CN" w:bidi="ar-SA"/>
              </w:rPr>
            </w:r>
            <w:r/>
          </w:p>
        </w:tc>
      </w:tr>
      <w:tr>
        <w:trPr>
          <w:trHeight w:val="2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59</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人工智能基础套装</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材质：ABS；手提翻盖式；最大承重：30-35公斤；内部有保证每个器材都有对应的存放位置内衬；实验箱的箱体垒叠≥5箱；纽扣式锁合：前侧设置锁定箱子及实现箱子与箱子之间的锁合功能的锁止机构。主要配置：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智能主控（MagicCodeXW）*1</w:t>
            </w:r>
            <w:r>
              <w:rPr>
                <w:rFonts w:hint="eastAsia" w:ascii="宋体" w:hAnsi="宋体" w:eastAsia="宋体" w:cs="宋体"/>
                <w:i w:val="0"/>
                <w:iCs w:val="0"/>
                <w:color w:val="000000"/>
                <w:sz w:val="20"/>
                <w:szCs w:val="20"/>
                <w:u w:val="none"/>
                <w:lang w:val="en-US" w:eastAsia="zh-CN" w:bidi="ar"/>
              </w:rPr>
              <w:t xml:space="preserve">；无线基座（MagicLinkXW）*5；传感器＆执行器模块（MagicBlock）*20，分为可编程的传感器和执行器模块，（温度传感器*1、温湿度传感器*1、声强传感器*1、光强传感器*1、距离传感器*1、障碍检测传感器*1、颜色识别传感器*1、按钮传感器*1、旋钮传感器*1、摇杆传感器*1、倾斜传感器*1、蜂鸣器*1、MP3播放器*1、RGB灯*1、交通灯*1、点阵屏*1、四位数字数码管*1、时钟数码管*1、舵机-180°*1、电机*1。）；4结构件：多种可拼插模型塑料积木结构件，总数量不少于300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智能主控（MagicCodeXW）尺寸：95*95*27mm；材质：A</w:t>
            </w:r>
            <w:r>
              <w:rPr>
                <w:rFonts w:hint="eastAsia" w:ascii="宋体" w:hAnsi="宋体" w:eastAsia="宋体" w:cs="宋体"/>
                <w:i w:val="0"/>
                <w:iCs w:val="0"/>
                <w:color w:val="000000"/>
                <w:sz w:val="20"/>
                <w:szCs w:val="20"/>
                <w:u w:val="none"/>
                <w:lang w:val="en-US" w:eastAsia="zh-CN" w:bidi="ar"/>
              </w:rPr>
              <w:t xml:space="preserve">BS；连续使用时间：≥12小时；通讯距离：≥30m（空旷无遮挡）；最多支持连接19个无线基座（MagicLinkXW）同时工作；内存32GB；屏幕分辨率480*480。8.电池型号：锂电池、3000mAh；待机时间：6个月以上。无线基座（MagicLinkXW）尺寸：50*50*20mm；材质：ABS；连续使用时间：≥2小时（具体看搭配的传感器/执行器模块）；通讯距离：≥30m（空旷无遮挡）；电池型号：锂电池、500mAh。传感器＆执行器模块（MagicBlock）尺寸：50*50*10mm；材质：ABS。</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充电坞</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由充电坞主体和电源适配器构成。主体正面有8个适配无线基座的充电槽，2个USB接口、1个Type-C接口和电源接口。功能：支持无线基座（MagicLinkXW）、智能主控（MagicCodeXW）充电，支持最多10个设备同时充电，最大输出充电功率为36w；支持无线基座（MagicLinkXW）固件升级。材质：ABS；电源适配器：DC12V-3A。</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61</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65寸一体机</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整机尺寸≥65</w:t>
            </w:r>
            <w:r>
              <w:rPr>
                <w:rFonts w:hint="eastAsia" w:ascii="宋体" w:hAnsi="宋体" w:eastAsia="宋体" w:cs="宋体"/>
                <w:i w:val="0"/>
                <w:iCs w:val="0"/>
                <w:color w:val="000000"/>
                <w:sz w:val="20"/>
                <w:szCs w:val="20"/>
                <w:u w:val="none"/>
                <w:lang w:val="en-US" w:eastAsia="zh-CN" w:bidi="ar"/>
              </w:rPr>
              <w:t xml:space="preserve">英寸，屏幕采用超高清LED液晶显示屏，显示比例16：9，分辨率≥3840×2160；屏幕表面采用全物理钢化玻璃，支持防眩光功能，玻璃表面硬度≥9H。嵌入式系统版本不低于Android13，内存≥2GB，存储空间≥8GB。采用红外触控技术，支持各操作系统中进行40点或以上触控。整机内置2.2声道扬声器，位于设备上边框，顶置朝前发声，前朝向≥10W高音扬声器≥2个，上朝向≥20W中低音扬声器≥2个，额定总功率≥60W；采用缝隙发声技术，喇叭采用槽式开口设计≤5.8mm，扬声器在100%音量下，可做到1米处声压级</w:t>
            </w:r>
            <w:r>
              <w:rPr>
                <w:rFonts w:hint="eastAsia" w:ascii="宋体" w:hAnsi="宋体" w:eastAsia="宋体" w:cs="宋体"/>
                <w:i w:val="0"/>
                <w:iCs w:val="0"/>
                <w:color w:val="000000"/>
                <w:sz w:val="20"/>
                <w:szCs w:val="20"/>
                <w:u w:val="none"/>
                <w:lang w:val="en-US" w:eastAsia="zh-CN" w:bidi="ar"/>
              </w:rPr>
              <w:t xml:space="preserve">≥88db，10米处声压级≥79dB。整机内置非独立外扩展阵列麦克风，麦克风拾音距离≥12米。整机全通道支持纸质护眼模式，可实现画面纹理的实时调整；支持纸质纹理：至少包括牛皮纸、素描纸、宣纸、水彩纸、水纹纸；支持透明度调节；支持色温调节。整机支持≥5个自定义前置按键，至少包括“设置”、“音量-”，“音量+”，“录屏”“护眼”按键，可通过自定义设置实现前置面板功能按键一键启用任一全局小工具（包含批注、截屏、计时、降半屏、放大镜、倒数日、日历等）、快捷开关（包含节能模式、纸质护眼模式、经典护眼模式、自动亮度模式</w:t>
            </w:r>
            <w:r>
              <w:rPr>
                <w:rFonts w:hint="eastAsia" w:ascii="宋体" w:hAnsi="宋体" w:eastAsia="宋体" w:cs="宋体"/>
                <w:i w:val="0"/>
                <w:iCs w:val="0"/>
                <w:color w:val="000000"/>
                <w:sz w:val="20"/>
                <w:szCs w:val="20"/>
                <w:u w:val="none"/>
                <w:lang w:val="en-US" w:eastAsia="zh-CN" w:bidi="ar"/>
              </w:rPr>
              <w:t xml:space="preserve">等）。整机支持发出18kHz-22kHz声波信号，移动端接收后与一体机无需在同一局域网内，可实现配对，一键投屏，用户无需手动输入投屏码或扫码获取投屏码。整机支持蓝牙Bluetooth5.4标准，固件版本号HCI13.0/LMP13.0；Wi-Fi制式支持IEEE802.11a/b/g/n/ac/ax，支持版本Wi-Fi6，Wi-Fi及AP热点支持频段2.4GHz/5GHz。整机上边框内置非独立摄像头，采用一体化集成设计，摄像头运行时，有指示灯提示，可拍摄≥1300万像素数的照片，可拍摄输出4K分辨率的视频，</w:t>
            </w:r>
            <w:r>
              <w:rPr>
                <w:rFonts w:hint="eastAsia" w:ascii="宋体" w:hAnsi="宋体" w:eastAsia="宋体" w:cs="宋体"/>
                <w:i w:val="0"/>
                <w:iCs w:val="0"/>
                <w:color w:val="000000"/>
                <w:sz w:val="20"/>
                <w:szCs w:val="20"/>
                <w:u w:val="none"/>
                <w:lang w:val="en-US" w:eastAsia="zh-CN" w:bidi="ar"/>
              </w:rPr>
              <w:t xml:space="preserve">摄像头对角线视场角≥120度，支持人脸识别、清点人数、随机抽人；识别所有学生，显示标记，然后随机抽选，同时显示标记不少于60人，支持远程巡课。整机触控书写功能集成预测算法，在书写速度≥50cm/s，支持笔迹距离笔的距离小于20mm，书写触控延迟≤25ms，触摸响应≤4ms，触摸分辨率32768×32768。整机屏幕蓝光占比（有害蓝光415～455nm能量综合）/（整体蓝光400～500能量综合）＜50%；背光系统支持DC调光方式，多级亮度调节，支持白颜色背景下最暗亮度≤100nit，用于提升显示对比度。整机</w:t>
            </w:r>
            <w:r>
              <w:rPr>
                <w:rFonts w:hint="eastAsia" w:ascii="宋体" w:hAnsi="宋体" w:eastAsia="宋体" w:cs="宋体"/>
                <w:i w:val="0"/>
                <w:iCs w:val="0"/>
                <w:color w:val="000000"/>
                <w:sz w:val="20"/>
                <w:szCs w:val="20"/>
                <w:u w:val="none"/>
                <w:lang w:val="en-US" w:eastAsia="zh-CN" w:bidi="ar"/>
              </w:rPr>
              <w:t xml:space="preserve">内置传屏接收模块，整机不需要连接任何附加设备，可实现外部电脑、手机设备的音视频信号实时传输到整机上；当使用外部电脑传屏时，支持触摸回传，在屏幕上部显示传屏工具栏，可以进行触摸回传控制、勿扰模式、暂停投屏功能；开启勿扰模式时，不允许其他人在进行传屏；投屏时可以选择过滤特定应用窗口，如邮件应用窗口。支持外接信号输入时自动唤醒功能，整机处于关机通电状态，外接电脑显示信号通过HDMI传输线连接至整机时，整机可智能识别外接电脑设备信号输入并自动开机。整机全通道侧边栏快捷菜单包含如下小工具：批注、降半屏、截屏、放大镜、</w:t>
            </w:r>
            <w:r>
              <w:rPr>
                <w:rFonts w:hint="eastAsia" w:ascii="宋体" w:hAnsi="宋体" w:eastAsia="宋体" w:cs="宋体"/>
                <w:i w:val="0"/>
                <w:iCs w:val="0"/>
                <w:color w:val="000000"/>
                <w:sz w:val="20"/>
                <w:szCs w:val="20"/>
                <w:u w:val="none"/>
                <w:lang w:val="en-US" w:eastAsia="zh-CN" w:bidi="ar"/>
              </w:rPr>
              <w:t xml:space="preserve">倒计时、日历、聚光灯、秒表、冻屏、倒数日、答题、节拍器；快捷菜单小工具支持自定义，支持设置对应小工具的显示/隐藏。整机内置触摸中控菜单，在整机全信号源通道下通过手势在屏幕上调取该触摸菜单；支持信号源通道切换、护眼、声音调节功能；支持切换智能息屏、经典护眼模式、纸质护眼模式、自动亮度模式；并可支持调节音量、亮度，支持自动亮度模式，支持点击静音按钮静音。整机设备自须具备地震预警软件；支持在地震预警页面中获取位置，可以手动进行位置校准；支持在地震预警页面中选择提醒阈值；支持在地震预警界面中开启和关闭地震预警服务。</w:t>
            </w:r>
            <w:r>
              <w:rPr>
                <w:rFonts w:hint="eastAsia" w:ascii="宋体" w:hAnsi="宋体" w:eastAsia="宋体" w:cs="宋体"/>
                <w:bCs/>
                <w:color w:val="000000"/>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62</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一体机支架</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配套65寸一体机使用，移动钢制支架。</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63</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3D打印机</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成型技术：熔融沉积成型。机身最大尺寸≥392*406*478mm³，净重≥15.9kg；最大打印尺寸主热端单喷嘴模式≥256*256*260mm³,辅助热端单喷嘴模式≥235.5*256*256mm³；双喷嘴交集模式≥235.5*256*25</w:t>
            </w:r>
            <w:r>
              <w:rPr>
                <w:rFonts w:hint="eastAsia" w:ascii="宋体" w:hAnsi="宋体" w:eastAsia="宋体" w:cs="宋体"/>
                <w:i w:val="0"/>
                <w:iCs w:val="0"/>
                <w:color w:val="000000"/>
                <w:sz w:val="20"/>
                <w:szCs w:val="20"/>
                <w:u w:val="none"/>
                <w:lang w:val="en-US" w:eastAsia="zh-CN" w:bidi="ar"/>
              </w:rPr>
              <w:t xml:space="preserve">6mm³，双喷嘴并集模式≥256*256*260mm³。框架塑胶和钢材，外壳塑料和钢化玻璃。工具头：全金属热端、硬化钢挤出机齿轮、硬化钢喷嘴，陶瓷加热座，内置工具头切刀，喷嘴最高温度≥300℃，标配喷嘴直径0.2mm、0.4mm、0.6mm、0.8mm。双面纹理PEI打印面板，可扩展光面打印面板、低温增温打印板，热床最高温度≥120℃。工具头最大移动速度≥1000mm/s，工具头最大移动加速度≥20000mm/s²，普通热端最大流速≥40mm³/s。支持耗材类型：PLA、PETG、ABS、ASA、TPU、S</w:t>
            </w:r>
            <w:r>
              <w:rPr>
                <w:rFonts w:hint="eastAsia" w:ascii="宋体" w:hAnsi="宋体" w:eastAsia="宋体" w:cs="宋体"/>
                <w:i w:val="0"/>
                <w:iCs w:val="0"/>
                <w:color w:val="000000"/>
                <w:sz w:val="20"/>
                <w:szCs w:val="20"/>
                <w:u w:val="none"/>
                <w:lang w:val="en-US" w:eastAsia="zh-CN" w:bidi="ar"/>
              </w:rPr>
              <w:t xml:space="preserve">upportforPLA、SupportforPLA/PETG、SupportforABS、PET、PA、PC、PVA、PLA-CF、PETG-CF、ABS-GF、ASA-CF、PA6-CF、PA6-GF、PAHT-CF、PPA-CF、PET-CF等。支持热端快拆、主动振动补偿、主动流量补偿、自动热床调平等。配备高清摄像头，支持实时监控和延时摄影等。配备工具头摄像头，支持高精度喷嘴偏移校准、运动精度校准、打印板偏移检测、脏污自检等功能。支持AI首层检测、异物检测、裹头检测、废料滑梯堵塞检测、硬件配置扫描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耗材用量及余料检测，支持多色打印，最多支持不少于25色。支持开门检测、断料检测、缠料检测、断电续打等，具备监控打印机状态的健康管理系统。全闭环控制风扇系统。支持自适应空气循环，外吸风进气口；支持主动腔温控制，最高≥65℃；三级内循环空气过滤系统。触摸显示屏。全机≥31个传感器，覆盖送料路径、温控环境与安全状态等全方位监测。至少支持通过触摸显示屏、手机端APP、电脑端应用三种操作界面控制。支持Wi-Fi通讯，支持2.4GHz和5GHz，支持协议IEEE802.11a/b/g/n。</w:t>
            </w:r>
            <w:r>
              <w:rPr>
                <w:rFonts w:hint="eastAsia" w:ascii="宋体" w:hAnsi="宋体" w:eastAsia="宋体" w:cs="宋体"/>
                <w:bCs/>
                <w:color w:val="000000"/>
                <w:sz w:val="24"/>
                <w:szCs w:val="24"/>
                <w:lang w:val="en-US" w:eastAsia="zh-CN" w:bidi="ar-SA"/>
              </w:rPr>
            </w:r>
            <w:r/>
          </w:p>
        </w:tc>
      </w:tr>
      <w:tr>
        <w:trPr>
          <w:trHeight w:val="179"/>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64</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3D打印机耗材</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3d打印专用耗材；红黄蓝绿，黑白灰各3卷。</w:t>
            </w:r>
            <w:r>
              <w:rPr>
                <w:rFonts w:hint="eastAsia" w:ascii="宋体" w:hAnsi="宋体" w:eastAsia="宋体" w:cs="宋体"/>
                <w:bCs/>
                <w:color w:val="000000"/>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65</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吸顶空调</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匹数：3匹；变频/定频：变频；冷暖类型：冷暖；制冷量：7200W；制热量：8800W；额定电压：220V；循环风量：1200m³/H。</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66</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吸顶空调铜管</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采用高纯度紫铜内螺纹铜管，液管Φ6.4mm，气管Φ12.7mm，壁厚≥0.7mm,需具备换热效率高、耐高压、抗拉伸、不易开裂；表面光洁无氧化，适配长期使用R32环保冷媒等性能。</w:t>
            </w:r>
            <w:r>
              <w:rPr>
                <w:rFonts w:hint="eastAsia" w:ascii="宋体" w:hAnsi="宋体" w:eastAsia="宋体" w:cs="宋体"/>
                <w:bCs/>
                <w:color w:val="000000"/>
                <w:sz w:val="24"/>
                <w:szCs w:val="24"/>
                <w:lang w:val="en-US" w:eastAsia="zh-CN" w:bidi="ar-SA"/>
              </w:rPr>
            </w:r>
            <w:r/>
          </w:p>
        </w:tc>
      </w:tr>
      <w:tr>
        <w:trPr>
          <w:trHeight w:val="113"/>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67</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5p立式空调2</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匹数：5匹；变频/定频：变频；冷暖类型：冷暖；制冷量：12150w；制热量：13900W；额定电压：380V；循环风量：1860m²/H。</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68</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5p立式空调铜管2</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采用高纯度紫铜内螺纹铜管，液管Φ9.52mm，气管Φ15.88mm，壁厚≥0.7mm,内壁螺纹结构，需具备换热效率高、耐高压、抗拉伸、不易开裂；表面光洁无氧化，适配长期使用R32环保冷媒等性能。</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69</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10p立式空调</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匹数：10匹；变频/定频：变频；冷暖类型：冷暖；制冷量：25000w；制热量：26000W；额定电压：380V；</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循环风量：3700m²/H。</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70</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10p立式空调铜管</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采用高纯度紫铜内螺纹铜管，液管Φ9.52mm，气管Φ19.05mm，壁厚≥0.7mm,内壁螺纹结构，需具备换热效率高、耐高压、抗拉伸、不易开裂；表面光洁无氧化，适配长期使用R32环保冷媒等性能。</w:t>
            </w:r>
            <w:r>
              <w:rPr>
                <w:rFonts w:hint="eastAsia" w:ascii="宋体" w:hAnsi="宋体" w:eastAsia="宋体" w:cs="宋体"/>
                <w:bCs/>
                <w:color w:val="000000"/>
                <w:sz w:val="24"/>
                <w:szCs w:val="24"/>
                <w:lang w:val="en-US" w:eastAsia="zh-CN" w:bidi="ar-SA"/>
              </w:rPr>
            </w:r>
            <w:r/>
          </w:p>
        </w:tc>
      </w:tr>
      <w:tr>
        <w:trPr>
          <w:trHeight w:val="280"/>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71</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空调辅材</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管路保温棉：厚度≥15mm,B1级阻燃橡塑保温棉；冷凝排水管：国标加厚UPVC管，DN25管径；减震固定全套配件：镀锌吊杆、防震垫、铜纳子、密封五金；含安装及辅材。</w:t>
            </w:r>
            <w:r>
              <w:rPr>
                <w:rFonts w:hint="eastAsia" w:ascii="宋体" w:hAnsi="宋体" w:eastAsia="宋体" w:cs="宋体"/>
                <w:bCs/>
                <w:color w:val="000000"/>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72</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音乐讲台</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690×515×750-1080mm±10mm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实木多层板+钢架。基材采用厚度≥18mm国家标准E1级实木多层板,面贴三聚氰胺纸，激光封边制作；桌架采用铝合金圆形立柱和一体成型铸铝底座，表面采用耐腐蚀高温粉体烤漆；所有表面光滑平整无毛刺。功能：桌架采用阻尼气动助力升降，按压调节把手；桌架底部配置轮子。</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73</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音乐凳</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360*320*400±10mm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材质：橡胶木。基材采用厚度≥18mm橡胶木，榫卯结构；面层采环保木器漆，五遍底漆、三遍面漆工艺；凳面四周倒圆角处理；底脚配置防滑耐磨、静音减震橡胶垫；所有表面光滑平整无毛刺。</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74</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钢琴</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定制</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钢琴脚踏：原装3踏；外壳：选用中纤板芯饰以优质涂料；音板：用鱼鳞云杉制作的不等厚加强型复合音板，在各种不同的条件下均能保持优良的音色，音板设计符合钢琴共鸣系统的发生规律；琴弦：防滑防锈；击弦机：振动响应精准、迅速；能稳固击音、精准发音、自然传音；转动灵活，推行顺畅；踏板：不褪色精钢踏板；随琴配件：双人琴凳一张、擦琴手套、键盘布。</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75</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音乐边柜</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840*450*800mm±10mm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实木多层板。基材采用厚度≥18mm国家标准E1级实木多层板，面贴三聚氰胺纸，激光封边制作；台面四周倒圆角处理；五金件采用液压缓冲铰链；所有表面光滑平整无毛刺。功能：台面下方为下方双开门柜体。</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76</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舞蹈把杆</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3000*800-1200mm±10mm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实木把杆+金属支架。直径50mm±5mm硬实木把杆、内穿锰钢；表面采用环保木器清水漆，五遍底漆、三遍面漆工艺；支架采用镀锌七档升降立柱，表面酸洗磷化喷塑处理；落地加斜撑、膨胀镙丝固定地面；所有表面光滑平整无毛刺。</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77</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合唱台</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1220*1150*610mm±10mm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PE。模具一体成型吹塑制作，表面带有音乐元素；三层尺寸1220*1150*610±20mm；每层台阶高380±10mm，高200±20mm；转换成小舞台尺寸：1530*1220*300±20mm。功能：合唱台台阶可翻转，可调整为两层合唱台也可以变为小舞台，侧面安装轮子。</w:t>
            </w:r>
            <w:r>
              <w:rPr>
                <w:rFonts w:hint="eastAsia" w:ascii="宋体" w:hAnsi="宋体" w:eastAsia="宋体" w:cs="宋体"/>
                <w:bCs/>
                <w:color w:val="000000"/>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78</w:t>
            </w:r>
            <w:r>
              <w:rPr>
                <w:rFonts w:hint="eastAsia" w:ascii="宋体" w:hAnsi="宋体" w:eastAsia="宋体" w:cs="宋体"/>
                <w:sz w:val="24"/>
                <w:szCs w:val="24"/>
                <w:lang w:val="en-US" w:eastAsia="zh-CN" w:bidi="ar-SA"/>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墙面银镜</w:t>
            </w:r>
            <w:r>
              <w:rPr>
                <w:rFonts w:hint="eastAsia" w:ascii="宋体" w:hAnsi="宋体" w:eastAsia="宋体" w:cs="宋体"/>
                <w:bCs/>
                <w:sz w:val="24"/>
                <w:szCs w:val="24"/>
                <w:lang w:val="en-US" w:eastAsia="zh-CN" w:bidi="ar-SA"/>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定制</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厚度≥6mm银镜，基层清理后安装基层木楔固定，表面铺设银镜；含橡木色免漆板边框等辅材。</w:t>
            </w:r>
            <w:r>
              <w:rPr>
                <w:rFonts w:hint="eastAsia" w:ascii="宋体" w:hAnsi="宋体" w:eastAsia="宋体" w:cs="宋体"/>
                <w:bCs/>
                <w:color w:val="000000"/>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widowControl/>
              <w:rPr>
                <w:rFonts w:ascii="宋体" w:hAnsi="宋体" w:eastAsia="宋体" w:cs="宋体"/>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79</w:t>
            </w:r>
            <w:r>
              <w:rPr>
                <w:rFonts w:ascii="宋体" w:hAnsi="宋体" w:eastAsia="宋体" w:cs="宋体"/>
                <w:sz w:val="24"/>
                <w:szCs w:val="24"/>
                <w:lang w:val="en-US" w:eastAsia="zh-CN"/>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rPr>
              <w:suppressLineNumbers w:val="0"/>
            </w:pPr>
            <w:r>
              <w:rPr>
                <w:rFonts w:hint="eastAsia" w:ascii="宋体" w:hAnsi="宋体" w:eastAsia="宋体" w:cs="宋体"/>
                <w:i w:val="0"/>
                <w:iCs w:val="0"/>
                <w:color w:val="000000"/>
                <w:sz w:val="20"/>
                <w:szCs w:val="20"/>
                <w:u w:val="none"/>
                <w:lang w:val="en-US" w:eastAsia="zh-CN" w:bidi="ar"/>
              </w:rPr>
              <w:t xml:space="preserve">智能云盒</w:t>
            </w:r>
            <w:r>
              <w:rPr>
                <w:rFonts w:hint="eastAsia" w:ascii="宋体" w:hAnsi="宋体" w:eastAsia="宋体" w:cs="宋体"/>
                <w:bCs/>
                <w:sz w:val="24"/>
                <w:szCs w:val="24"/>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天线类型：内置天线；操作系统：嵌入式操作系统CPU：采用国产8nm制程工艺，不低于8核，主频≥2.4GHz；RAM：≥8GB；内置存储：≥32GB；内置硬盘：固态硬盘容量≥128GB，支持硬盘容量扩展，且扩展容量≥2TB，支持截屏图片、录制视频的存储与调用；物理按键：电源键*1，录制</w:t>
            </w:r>
            <w:r>
              <w:rPr>
                <w:rFonts w:hint="eastAsia" w:ascii="宋体" w:hAnsi="宋体" w:eastAsia="宋体" w:cs="宋体"/>
                <w:i w:val="0"/>
                <w:iCs w:val="0"/>
                <w:color w:val="000000"/>
                <w:sz w:val="20"/>
                <w:szCs w:val="20"/>
                <w:u w:val="none"/>
                <w:lang w:val="en-US" w:eastAsia="zh-CN" w:bidi="ar"/>
              </w:rPr>
              <w:t xml:space="preserve">键*1；指示灯：三色LED电源指示灯；HDMI输入接口：HDMI输入接口≥2个，支持电脑、摄像头、实物展台等外部设备的有线接入，输入画质最高可达3840x2160分辨率；HDMI输出接口：HDMI输出接口≥2个，支持输出到2个不同的大屏端，输出画质最高可达3840x2160分辨率；音频接口：LineIn接口≥1路，支持麦克风的连接；LineOut接口≥1路，支持音箱的连接；USB接口：USB 3.0 Type-A接口≥3路，支持U盘、鼠标、键盘、摄像机的接入；USB 2.0 Type-B接口≥1路，支持连接</w:t>
            </w:r>
            <w:r>
              <w:rPr>
                <w:rFonts w:hint="eastAsia" w:ascii="宋体" w:hAnsi="宋体" w:eastAsia="宋体" w:cs="宋体"/>
                <w:i w:val="0"/>
                <w:iCs w:val="0"/>
                <w:color w:val="000000"/>
                <w:sz w:val="20"/>
                <w:szCs w:val="20"/>
                <w:u w:val="none"/>
                <w:lang w:val="en-US" w:eastAsia="zh-CN" w:bidi="ar"/>
              </w:rPr>
              <w:t xml:space="preserve">电脑安装驱动；网络接口：以太网 RJ45 数据接口≥3个，其中2.5G Base-T(2500 Mbps)自适应网口≥1个，1000M Base-T(1000 Mbps)自适应网口≥2个；中控接口：RS232接口≥1个；无线AP：内置Wi-Fi6无线AP模块，WiFi支持：IEEE 802.11 a/b/g/n/ac/ax；工作频段：2.412G~2.467G/5.180G~5.825G；2.4G频段最大无线速率≥576Mbps；5G频段最大无线速率≥2.4GMbps；网络工作模式：支持路由、交换两种模式。</w:t>
            </w:r>
            <w:r>
              <w:rPr>
                <w:rFonts w:hint="eastAsia" w:ascii="宋体" w:hAnsi="宋体" w:eastAsia="宋体" w:cs="宋体"/>
                <w:bCs/>
                <w:color w:val="000000"/>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widowControl/>
              <w:rPr>
                <w:rFonts w:ascii="宋体" w:hAnsi="宋体" w:eastAsia="宋体" w:cs="宋体"/>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80</w:t>
            </w:r>
            <w:r>
              <w:rPr>
                <w:rFonts w:ascii="宋体" w:hAnsi="宋体" w:eastAsia="宋体" w:cs="宋体"/>
                <w:sz w:val="24"/>
                <w:szCs w:val="24"/>
                <w:lang w:val="en-US" w:eastAsia="zh-CN"/>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rPr>
              <w:suppressLineNumbers w:val="0"/>
            </w:pPr>
            <w:r>
              <w:rPr>
                <w:rFonts w:hint="eastAsia" w:ascii="宋体" w:hAnsi="宋体" w:eastAsia="宋体" w:cs="宋体"/>
                <w:i w:val="0"/>
                <w:iCs w:val="0"/>
                <w:color w:val="000000"/>
                <w:sz w:val="20"/>
                <w:szCs w:val="20"/>
                <w:u w:val="none"/>
                <w:lang w:val="en-US" w:eastAsia="zh-CN" w:bidi="ar"/>
              </w:rPr>
              <w:t xml:space="preserve">多视窗交互系统软件（简化版）</w:t>
            </w:r>
            <w:r>
              <w:rPr>
                <w:rFonts w:hint="eastAsia" w:ascii="宋体" w:hAnsi="宋体" w:eastAsia="宋体" w:cs="宋体"/>
                <w:bCs/>
                <w:sz w:val="24"/>
                <w:szCs w:val="24"/>
              </w:rPr>
            </w:r>
            <w:r/>
          </w:p>
        </w:tc>
        <w:tc>
          <w:tcPr>
            <w:tcW w:w="1518"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中英文切换：系统支持简体中文和英文两种语言模式，可快速进行中英文的切换，满足双语教学的要求。屏幕工具条：主要是指对设备进行控制操作的功能按钮区域，用户可直接在触控显示屏上触控操作，也可在设备上连接USB鼠标点击工具条上的功能来操作，具有截屏、录制、广播、切屏、布局、批注、白板、互动等功能按钮，并可以看到时间、设备状态等信息。支持用户自主选择工具条显示或隐藏，工具条隐藏</w:t>
            </w:r>
            <w:r>
              <w:rPr>
                <w:rFonts w:hint="eastAsia" w:ascii="宋体" w:hAnsi="宋体" w:eastAsia="宋体" w:cs="宋体"/>
                <w:i w:val="0"/>
                <w:iCs w:val="0"/>
                <w:color w:val="000000"/>
                <w:sz w:val="20"/>
                <w:szCs w:val="20"/>
                <w:u w:val="none"/>
                <w:lang w:val="en-US" w:eastAsia="zh-CN" w:bidi="ar"/>
              </w:rPr>
              <w:t xml:space="preserve">后支持一键点击隐藏按钮再次显示工具条，且无操作10秒钟后，工具条可再次自动隐藏。支持工具条按钮自定义，可以根据自己的教学需求，选择常用的功能按钮显示在工具条上；亦可添加自定义按钮，将某一路信号源显示在工具条上；工具条支持在大屏的左边和右边显示，满足不同习惯的老师教学使用；工具条具有下拉功能，可灵活调整按钮的高度。支持设备的有线接入：设备具有1路HDMI输入接口，支持电脑、摄像机、实物展台等外部设备的有线接入；具有1路HDMI输出接口；可通过USB口直接接入摄像头采集环境画面，支持通过USB口进行鼠标键盘的接</w:t>
            </w:r>
            <w:r>
              <w:rPr>
                <w:rFonts w:hint="eastAsia" w:ascii="宋体" w:hAnsi="宋体" w:eastAsia="宋体" w:cs="宋体"/>
                <w:i w:val="0"/>
                <w:iCs w:val="0"/>
                <w:color w:val="000000"/>
                <w:sz w:val="20"/>
                <w:szCs w:val="20"/>
                <w:u w:val="none"/>
                <w:lang w:val="en-US" w:eastAsia="zh-CN" w:bidi="ar"/>
              </w:rPr>
              <w:t xml:space="preserve">入，支持选择U盘中的文档、图片、视频等资料直接打开播放，也可对存储至U盘的资源进行预览、删除。支持三大类公有传输协议投屏：支持Air Play、Miracast、WIDI投射协议投屏，能够将iOS设备、macOS设备、Android设备不安装任何APP或者插件的前提下直接无线接入智能云盒进行投屏；通过外接USB发射器、扫码、安装App等方式投屏，均不符合要求。音频输入输出接口：设备支持3.5mm音频输入和3.5mm音频输出功能，可实现无线或有线3.5mm音频输入到设备中，通过3.5mm输出给功放、音响等设备</w:t>
            </w:r>
            <w:r>
              <w:rPr>
                <w:rFonts w:hint="eastAsia" w:ascii="宋体" w:hAnsi="宋体" w:eastAsia="宋体" w:cs="宋体"/>
                <w:i w:val="0"/>
                <w:iCs w:val="0"/>
                <w:color w:val="000000"/>
                <w:sz w:val="20"/>
                <w:szCs w:val="20"/>
                <w:u w:val="none"/>
                <w:lang w:val="en-US" w:eastAsia="zh-CN" w:bidi="ar"/>
              </w:rPr>
              <w:t xml:space="preserve">。支持16路投屏终端同步显示：支持4K高清视频播放，能够在显示终端上不少于4屏画面同时播放高清视频，并可自由拖动交换画面位置；支持对投屏终端单个或者全体音频音量控制；多屏画面布局下，支持对单一显示画面静音、翻转、循环播放、全屏或移出操作。投屏终端选择与切换：系统自动对有线接入设备和网络摄像机、无线接入设备、各小组的系统设备、U盘、手写板等设备分类。支持拖拽选择投屏设备的画面，支持对已连接的设备强行从列表中移除、重命名，并可设置常用设备置顶显示模式。支持对显示画面进行全屏缩放：通过遥控器APP或屏幕工具栏可控</w:t>
            </w:r>
            <w:r>
              <w:rPr>
                <w:rFonts w:hint="eastAsia" w:ascii="宋体" w:hAnsi="宋体" w:eastAsia="宋体" w:cs="宋体"/>
                <w:i w:val="0"/>
                <w:iCs w:val="0"/>
                <w:color w:val="000000"/>
                <w:sz w:val="20"/>
                <w:szCs w:val="20"/>
                <w:u w:val="none"/>
                <w:lang w:val="en-US" w:eastAsia="zh-CN" w:bidi="ar"/>
              </w:rPr>
              <w:t xml:space="preserve">制显示终端的投屏画面缩放显示，达到对文字或重点画面逐步放大的效果，能够对单屏或多屏画面进行最大400%放大。批注白板：批注提供选择画笔、颜色、图形、画笔粗细、板擦、撤销、清空、重做等工具；支持板擦手势擦除；支持选择某一区域进行聚焦讲解，聚焦内容可以以图片形式发送到指定的小组，亦可保存到本地硬盘，并可将当前显示区域截取到白板中进行重点批注讲解；关灯模式下可将当前显示区域以外的画面进行黑屏操作；支持白板界面下的随写板书写；教师可选择当前页面内容或选择课件中的多张内容，生成二维码；学生通过移动设备直接扫码，即可下</w:t>
            </w:r>
            <w:r>
              <w:rPr>
                <w:rFonts w:hint="eastAsia" w:ascii="宋体" w:hAnsi="宋体" w:eastAsia="宋体" w:cs="宋体"/>
                <w:i w:val="0"/>
                <w:iCs w:val="0"/>
                <w:color w:val="000000"/>
                <w:sz w:val="20"/>
                <w:szCs w:val="20"/>
                <w:u w:val="none"/>
                <w:lang w:val="en-US" w:eastAsia="zh-CN" w:bidi="ar"/>
              </w:rPr>
              <w:t xml:space="preserve">载课件内容。扫码设置支持公网模式和局域网模式。支持画面截屏：通过截屏功能，可一键截取当前显示的内容画面，支持通过遥控器APP分享到微信、微博、QQ等第三方应用程序，并支持存储在U盘或本地硬盘上。存储与图库：存储为用于显示内容的截屏和录制视频的保存，存储支持保存在U盘或本地硬盘；图库中可直接浏览截屏的图片和录制的视频内容。课堂互动：支持学生使用手写板、反馈器、微信小程序参与课堂答题互动，手写板与反馈器需要在后台绑定教师授课班级信息，设备与学生学号姓名绑定，便于答题数据的统计。学生可通过微信扫码签到，输入课程I</w:t>
            </w:r>
            <w:r>
              <w:rPr>
                <w:rFonts w:hint="eastAsia" w:ascii="宋体" w:hAnsi="宋体" w:eastAsia="宋体" w:cs="宋体"/>
                <w:i w:val="0"/>
                <w:iCs w:val="0"/>
                <w:color w:val="000000"/>
                <w:sz w:val="20"/>
                <w:szCs w:val="20"/>
                <w:u w:val="none"/>
                <w:lang w:val="en-US" w:eastAsia="zh-CN" w:bidi="ar"/>
              </w:rPr>
              <w:t xml:space="preserve">D号，加入教师创建的班级。对于迟到的学生，教师可随时再次发起签到，让学生加入到班级。课堂教学中，教师可以以当前界面显示内容为题目，直接发起答题。题型支持：单选题、多选题、判断题、算术题、投票、挑人、抢答、书写题、简答题等。通过微信答题时，题目内容与答题选项同步推送到学生微信小程序上。教师端可实时看到答题进度，可主动停止答题，答题结束之后，答题统计结果以图表形式实时展示。教师可不设置正确答案，让学生再次作答，两次作答结果可进行对比，便于教师了解学生对知识点的掌握情况。可统计整节课的课堂互动数据，生成报告，点击</w:t>
            </w:r>
            <w:r>
              <w:rPr>
                <w:rFonts w:hint="eastAsia" w:ascii="宋体" w:hAnsi="宋体" w:eastAsia="宋体" w:cs="宋体"/>
                <w:i w:val="0"/>
                <w:iCs w:val="0"/>
                <w:color w:val="000000"/>
                <w:sz w:val="20"/>
                <w:szCs w:val="20"/>
                <w:u w:val="none"/>
                <w:lang w:val="en-US" w:eastAsia="zh-CN" w:bidi="ar"/>
              </w:rPr>
              <w:t xml:space="preserve">下课。书签：支持添加多个教学平台网页链接保存为书签；课堂中，教师可任意选择一个书签，快速打开平台网页，直接调用网页资源进行授课，可在屏幕端同时展示多达16个书签。扩展屏：支持android等系统的移动终端设备安装扩展屏软件，并与智能云盒绑定，即可将智能云盒的视频流画面实时同步到移动终端上。智能云盒可设置选择接收视频流画面，支持：大屏画面、录制直播画面、同步课堂画面等。应用程序：支持将第三方应用程序预装到智能云盒，直接在教学主界面即可打开软件运行，通过快捷按钮可完成教学主界面和应用程序主界面的一键切换。安全策</w:t>
            </w:r>
            <w:r>
              <w:rPr>
                <w:rFonts w:hint="eastAsia" w:ascii="宋体" w:hAnsi="宋体" w:eastAsia="宋体" w:cs="宋体"/>
                <w:i w:val="0"/>
                <w:iCs w:val="0"/>
                <w:color w:val="000000"/>
                <w:sz w:val="20"/>
                <w:szCs w:val="20"/>
                <w:u w:val="none"/>
                <w:lang w:val="en-US" w:eastAsia="zh-CN" w:bidi="ar"/>
              </w:rPr>
              <w:t xml:space="preserve">略：支持设置随机PIN码和固定PIN码，移动端设备无线投屏或使用遥控器APP时均需输入对应的PIN码；还可支持设置管理员密码和密码提示信息，每次进入“设置”界面均需要输入管理员密码。欢迎主题：智能云盒支持用户自定义添加欢迎主题、欢迎词功能模块。可更换背景、添加文字、图片、分割线、背景音乐等，系统默认提供不小于10种设计模板供便捷选用，个性化的欢迎主题，让教学、会议更加高效便捷。为确保产品的操作便携性、易用性，以上功能参数要求必须为一个产品实现，不得通过多个产品组合拼凑。且系统支持连网自动检查更新，本地升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 软件遥控器：互动控制系统无需硬件遥控器或USB切换器，用户只需扫码下载遥控器APP，即可将移动终端作为控制端，支持Android、iOS等系统安装控制端软件。遥控器APP可支持批注、录制、截屏、切换设备、切换布局模式等功能；使用遥控器APP可拍摄多达8张照片或录制多达8段短视频上传至屏幕显示，亦可将遥控器（手机/平板/电脑端）本地的多达8个文件，上传至屏幕分屏显示。手写板：支持手写板通过Wif</w:t>
            </w:r>
            <w:r>
              <w:rPr>
                <w:rFonts w:hint="eastAsia" w:ascii="宋体" w:hAnsi="宋体" w:eastAsia="宋体" w:cs="宋体"/>
                <w:i w:val="0"/>
                <w:iCs w:val="0"/>
                <w:color w:val="000000"/>
                <w:sz w:val="20"/>
                <w:szCs w:val="20"/>
                <w:u w:val="none"/>
                <w:lang w:val="en-US" w:eastAsia="zh-CN" w:bidi="ar"/>
              </w:rPr>
              <w:t xml:space="preserve">i网络连接到智能云盒，手写板书写笔迹可实时通过智能云盒展示。支持不同手写板的对比模式，1屏、2屏、3屏、4屏、6屏、8屏、9屏、16屏等不同对比模式，允许教师自主选择不同学生手写板上屏展示，支持将已上屏的手写板画面截图保存至U盘或本地硬盘。支持手写板投屏画面旋转、全屏放大、从显示屏幕端直接移除当前学生手写板等操作。支持教师端对学生手写板清除笔迹，学生也可通过书写板上的“清除”按钮，一键清除手写板笔迹。多种画面布局显示：支持不少于16个投屏设备同时接入智能云盒，不少于同时8个画面显示，且支持Auto（自适应）</w:t>
            </w:r>
            <w:r>
              <w:rPr>
                <w:rFonts w:hint="eastAsia" w:ascii="宋体" w:hAnsi="宋体" w:eastAsia="宋体" w:cs="宋体"/>
                <w:i w:val="0"/>
                <w:iCs w:val="0"/>
                <w:color w:val="000000"/>
                <w:sz w:val="20"/>
                <w:szCs w:val="20"/>
                <w:u w:val="none"/>
                <w:lang w:val="en-US" w:eastAsia="zh-CN" w:bidi="ar"/>
              </w:rPr>
              <w:t xml:space="preserve">画面、1画面、2画面、3画面、4画面、6画面、8画面切换模式，不少于10种默认画面布局方式，画面支持多种对比模式（如均分屏幕、一大一小、一大两小、一大三小、画中画等）；只需一键点击，即可选择相应的布局。只需一键点击，即可选择相应的布局。布局内显示的投屏设备具有设备画面记忆功能，切换后各布局内的设备画面不会自动更改。界面布局支持：全屏模式、工具条显示模式、研讨模式等。研讨模式下，已连接的设备、文件资料能够自动罗列显示出来。布局还有：布局快照、清除主屏、清除副屏等功能按钮的选择。（签订合同时提供第三方检测报告）</w:t>
            </w:r>
            <w:r>
              <w:rPr>
                <w:rFonts w:hint="eastAsia" w:ascii="宋体" w:hAnsi="宋体" w:eastAsia="宋体" w:cs="宋体"/>
                <w:i w:val="0"/>
                <w:iCs w:val="0"/>
                <w:color w:val="000000"/>
                <w:sz w:val="20"/>
                <w:szCs w:val="20"/>
                <w:u w:val="none"/>
                <w:lang w:val="en-US" w:eastAsia="zh-CN" w:bidi="ar"/>
              </w:rPr>
            </w:r>
            <w:r/>
          </w:p>
        </w:tc>
      </w:tr>
      <w:tr>
        <w:trPr>
          <w:trHeight w:val="90"/>
        </w:trPr>
        <w:tc>
          <w:tcPr>
            <w:tcW w:w="660" w:type="dxa"/>
            <w:vAlign w:val="center"/>
            <w:textDirection w:val="lrTb"/>
            <w:noWrap w:val="false"/>
          </w:tcPr>
          <w:p>
            <w:pPr>
              <w:pStyle w:val="869"/>
              <w:jc w:val="center"/>
              <w:keepLines w:val="0"/>
              <w:keepNext w:val="0"/>
              <w:widowControl/>
              <w:rPr>
                <w:rFonts w:ascii="宋体" w:hAnsi="宋体" w:eastAsia="宋体" w:cs="宋体"/>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81</w:t>
            </w:r>
            <w:r>
              <w:rPr>
                <w:rFonts w:ascii="宋体" w:hAnsi="宋体" w:eastAsia="宋体" w:cs="宋体"/>
                <w:sz w:val="24"/>
                <w:szCs w:val="24"/>
                <w:lang w:val="en-US" w:eastAsia="zh-CN"/>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rPr>
              <w:suppressLineNumbers w:val="0"/>
            </w:pPr>
            <w:r>
              <w:rPr>
                <w:rFonts w:hint="eastAsia" w:ascii="宋体" w:hAnsi="宋体" w:eastAsia="宋体" w:cs="宋体"/>
                <w:i w:val="0"/>
                <w:iCs w:val="0"/>
                <w:color w:val="000000"/>
                <w:sz w:val="20"/>
                <w:szCs w:val="20"/>
                <w:u w:val="none"/>
                <w:lang w:val="en-US" w:eastAsia="zh-CN" w:bidi="ar"/>
              </w:rPr>
              <w:t xml:space="preserve">10英寸有源全频音箱</w:t>
            </w:r>
            <w:r>
              <w:rPr>
                <w:rFonts w:hint="eastAsia" w:ascii="宋体" w:hAnsi="宋体" w:eastAsia="宋体" w:cs="宋体"/>
                <w:bCs/>
                <w:sz w:val="24"/>
                <w:szCs w:val="24"/>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≥10英寸有源音箱，10英寸低音扬声器，压缩驱动器；功率：≥峰值1300W / 650W RMS；频率响应：≥52Hz至20KHz（-10dB）；65Hz至20KHz（-3dB）；最大声压级：≥125 dB；色散：≥水平110°，垂直60°；音频输入/输出：≥2个XLR组合接口，1个XLR直通接口；自动反馈抑制、闪避、100毫秒扬声器延迟、参数均衡器；内置三通道数字混音器；内置灯杆支架和通用轭架支架；可堆叠式橱柜。</w:t>
            </w:r>
            <w:r>
              <w:rPr>
                <w:rFonts w:hint="eastAsia" w:ascii="宋体" w:hAnsi="宋体" w:eastAsia="宋体" w:cs="宋体"/>
                <w:bCs/>
                <w:color w:val="000000"/>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widowControl/>
              <w:rPr>
                <w:rFonts w:ascii="宋体" w:hAnsi="宋体" w:eastAsia="宋体" w:cs="宋体"/>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82</w:t>
            </w:r>
            <w:r>
              <w:rPr>
                <w:rFonts w:ascii="宋体" w:hAnsi="宋体" w:eastAsia="宋体" w:cs="宋体"/>
                <w:sz w:val="24"/>
                <w:szCs w:val="24"/>
                <w:lang w:val="en-US" w:eastAsia="zh-CN"/>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rPr>
              <w:suppressLineNumbers w:val="0"/>
            </w:pPr>
            <w:r>
              <w:rPr>
                <w:rFonts w:hint="eastAsia" w:ascii="宋体" w:hAnsi="宋体" w:eastAsia="宋体" w:cs="宋体"/>
                <w:i w:val="0"/>
                <w:iCs w:val="0"/>
                <w:color w:val="000000"/>
                <w:sz w:val="20"/>
                <w:szCs w:val="20"/>
                <w:u w:val="none"/>
                <w:lang w:val="en-US" w:eastAsia="zh-CN" w:bidi="ar"/>
              </w:rPr>
              <w:t xml:space="preserve">调音台</w:t>
            </w:r>
            <w:r>
              <w:rPr>
                <w:rFonts w:hint="eastAsia" w:ascii="宋体" w:hAnsi="宋体" w:eastAsia="宋体" w:cs="宋体"/>
                <w:bCs/>
                <w:sz w:val="24"/>
                <w:szCs w:val="24"/>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≥8通道带效果模拟调音台，8个单声道和2个立体声输入；内置24比特效果器；配置GB30前置放大器；≥2路辅助输出，AUX发送全部可切换到推子前或推子后；满足48V幻象电源供电。</w:t>
            </w:r>
            <w:r>
              <w:rPr>
                <w:rFonts w:hint="eastAsia" w:ascii="宋体" w:hAnsi="宋体" w:eastAsia="宋体" w:cs="宋体"/>
                <w:bCs/>
                <w:color w:val="000000"/>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widowControl/>
              <w:rPr>
                <w:rFonts w:ascii="宋体" w:hAnsi="宋体" w:eastAsia="宋体" w:cs="宋体"/>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83</w:t>
            </w:r>
            <w:r>
              <w:rPr>
                <w:rFonts w:ascii="宋体" w:hAnsi="宋体" w:eastAsia="宋体" w:cs="宋体"/>
                <w:sz w:val="24"/>
                <w:szCs w:val="24"/>
                <w:lang w:val="en-US" w:eastAsia="zh-CN"/>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rPr>
              <w:suppressLineNumbers w:val="0"/>
            </w:pPr>
            <w:r>
              <w:rPr>
                <w:rFonts w:hint="eastAsia" w:ascii="宋体" w:hAnsi="宋体" w:eastAsia="宋体" w:cs="宋体"/>
                <w:i w:val="0"/>
                <w:iCs w:val="0"/>
                <w:color w:val="000000"/>
                <w:sz w:val="20"/>
                <w:szCs w:val="20"/>
                <w:u w:val="none"/>
                <w:lang w:val="en-US" w:eastAsia="zh-CN" w:bidi="ar"/>
              </w:rPr>
              <w:t xml:space="preserve">无线手持话筒</w:t>
            </w:r>
            <w:r>
              <w:rPr>
                <w:rFonts w:hint="eastAsia" w:ascii="宋体" w:hAnsi="宋体" w:eastAsia="宋体" w:cs="宋体"/>
                <w:bCs/>
                <w:sz w:val="24"/>
                <w:szCs w:val="24"/>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UHF频段，锁相环(PLL)频率合成；≥100×2个信道，信道间隔250KHz；真分集超外差二次变频设计；麦克风采用双升压设计；操作半径达80米以上；手持麦克风配置带液晶显示屏，铝合金的麦克风管体；具备4档可调发射功率。无线接收机频率范围：6</w:t>
            </w:r>
            <w:r>
              <w:rPr>
                <w:rFonts w:hint="eastAsia" w:ascii="宋体" w:hAnsi="宋体" w:eastAsia="宋体" w:cs="宋体"/>
                <w:i w:val="0"/>
                <w:iCs w:val="0"/>
                <w:color w:val="000000"/>
                <w:sz w:val="20"/>
                <w:szCs w:val="20"/>
                <w:u w:val="none"/>
                <w:lang w:val="en-US" w:eastAsia="zh-CN" w:bidi="ar"/>
              </w:rPr>
              <w:t xml:space="preserve">40-689.75MHz；可调信道数：100×2；振荡方式：锁相环频率合成（PLL）；频率稳定度：±10ppm；接收方式：真分集超外差二次变频；导频方式：数字导频；音频频响：60-13000Hz；谐波失真：≤0.5%；信噪比 ≥50dB；音频输出：平衡输出和混合输出；接收灵敏度：≤-95dBm；电源规格：：12VDC/2A。发射器频率范围：640-689.75MHz；可调信道数：200个；振荡方式：锁相环频率合成（PLL）；谐波抑制：-30dB；调制方式：调频（FM）；调频方式：红外对频；手持咪头为动圈式。</w:t>
            </w:r>
            <w:r>
              <w:rPr>
                <w:rFonts w:hint="eastAsia" w:ascii="宋体" w:hAnsi="宋体" w:eastAsia="宋体" w:cs="宋体"/>
                <w:bCs/>
                <w:color w:val="000000"/>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widowControl/>
              <w:rPr>
                <w:rFonts w:ascii="宋体" w:hAnsi="宋体" w:eastAsia="宋体" w:cs="宋体"/>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84</w:t>
            </w:r>
            <w:r>
              <w:rPr>
                <w:rFonts w:ascii="宋体" w:hAnsi="宋体" w:eastAsia="宋体" w:cs="宋体"/>
                <w:sz w:val="24"/>
                <w:szCs w:val="24"/>
                <w:lang w:val="en-US" w:eastAsia="zh-CN"/>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rPr>
              <w:suppressLineNumbers w:val="0"/>
            </w:pPr>
            <w:r>
              <w:rPr>
                <w:rFonts w:hint="eastAsia" w:ascii="宋体" w:hAnsi="宋体" w:eastAsia="宋体" w:cs="宋体"/>
                <w:i w:val="0"/>
                <w:iCs w:val="0"/>
                <w:color w:val="000000"/>
                <w:sz w:val="20"/>
                <w:szCs w:val="20"/>
                <w:u w:val="none"/>
                <w:lang w:val="en-US" w:eastAsia="zh-CN" w:bidi="ar"/>
              </w:rPr>
              <w:t xml:space="preserve">无线头戴话筒（头戴）</w:t>
            </w:r>
            <w:r>
              <w:rPr>
                <w:rFonts w:hint="eastAsia" w:ascii="宋体" w:hAnsi="宋体" w:eastAsia="宋体" w:cs="宋体"/>
                <w:bCs/>
                <w:sz w:val="24"/>
                <w:szCs w:val="24"/>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UHF频段，锁相环(PLL)频率合成；≥100×2个信道，信道间隔250KHz；真分集超外差二次变频设计；麦克风采用双升压设计；操作半径达80米以上；手持麦克风配置带液晶显示屏，铝合金的麦克风管体；具备4档可调发射功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无线接收机频率范围：640-689.75MHz；可调信道数：100×2；振荡方式：锁相环频率合成（PLL）；频率稳定度：±10ppm；接收方式：真分集超外差二次变频；导频方式：数字导频；谐波失真：≤0.5%；信噪比 ≥50dB。音频输出：平衡输出和混合输出；接收灵敏度：≤-95dBm；电源规格：：12VDC/2A。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发射器频率范围：640-689.75MHz；可调信道数：200个；振荡方式：锁相环频率合成（PLL）；谐波抑制：-30dB；调制方式：调频（FM）；调频方式：红外对频；头戴咪头为电容式。</w:t>
            </w:r>
            <w:r>
              <w:rPr>
                <w:rFonts w:hint="eastAsia" w:ascii="宋体" w:hAnsi="宋体" w:eastAsia="宋体" w:cs="宋体"/>
                <w:bCs/>
                <w:color w:val="000000"/>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widowControl/>
              <w:rPr>
                <w:rFonts w:ascii="宋体" w:hAnsi="宋体" w:eastAsia="宋体" w:cs="宋体"/>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85</w:t>
            </w:r>
            <w:r>
              <w:rPr>
                <w:rFonts w:ascii="宋体" w:hAnsi="宋体" w:eastAsia="宋体" w:cs="宋体"/>
                <w:sz w:val="24"/>
                <w:szCs w:val="24"/>
                <w:lang w:val="en-US" w:eastAsia="zh-CN"/>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rPr>
              <w:suppressLineNumbers w:val="0"/>
            </w:pPr>
            <w:r>
              <w:rPr>
                <w:rFonts w:hint="eastAsia" w:ascii="宋体" w:hAnsi="宋体" w:eastAsia="宋体" w:cs="宋体"/>
                <w:i w:val="0"/>
                <w:iCs w:val="0"/>
                <w:color w:val="000000"/>
                <w:sz w:val="20"/>
                <w:szCs w:val="20"/>
                <w:u w:val="none"/>
                <w:lang w:val="en-US" w:eastAsia="zh-CN" w:bidi="ar"/>
              </w:rPr>
              <w:t xml:space="preserve">机柜1</w:t>
            </w:r>
            <w:r>
              <w:rPr>
                <w:rFonts w:hint="eastAsia" w:ascii="宋体" w:hAnsi="宋体" w:eastAsia="宋体" w:cs="宋体"/>
                <w:bCs/>
                <w:sz w:val="24"/>
                <w:szCs w:val="24"/>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600*600*1200mm±10mm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材质：冷轧钢板。钢板厚度：立柱≥2.0mm, 框架≥1.2mm； 侧门采用≥0.8mm厚度钢化玻璃。</w:t>
            </w:r>
            <w:r>
              <w:rPr>
                <w:rFonts w:hint="eastAsia" w:ascii="宋体" w:hAnsi="宋体" w:eastAsia="宋体" w:cs="宋体"/>
                <w:bCs/>
                <w:color w:val="000000"/>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widowControl/>
              <w:rPr>
                <w:rFonts w:ascii="宋体" w:hAnsi="宋体" w:eastAsia="宋体" w:cs="宋体"/>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86</w:t>
            </w:r>
            <w:r>
              <w:rPr>
                <w:rFonts w:ascii="宋体" w:hAnsi="宋体" w:eastAsia="宋体" w:cs="宋体"/>
                <w:sz w:val="24"/>
                <w:szCs w:val="24"/>
                <w:lang w:val="en-US" w:eastAsia="zh-CN"/>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rPr>
              <w:suppressLineNumbers w:val="0"/>
            </w:pPr>
            <w:r>
              <w:rPr>
                <w:rFonts w:hint="eastAsia" w:ascii="宋体" w:hAnsi="宋体" w:eastAsia="宋体" w:cs="宋体"/>
                <w:i w:val="0"/>
                <w:iCs w:val="0"/>
                <w:color w:val="000000"/>
                <w:sz w:val="20"/>
                <w:szCs w:val="20"/>
                <w:u w:val="none"/>
                <w:lang w:val="en-US" w:eastAsia="zh-CN" w:bidi="ar"/>
              </w:rPr>
              <w:t xml:space="preserve">机柜2</w:t>
            </w:r>
            <w:r>
              <w:rPr>
                <w:rFonts w:hint="eastAsia" w:ascii="宋体" w:hAnsi="宋体" w:eastAsia="宋体" w:cs="宋体"/>
                <w:bCs/>
                <w:sz w:val="24"/>
                <w:szCs w:val="24"/>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600*600*1600mm+10mm</w:t>
            </w: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材质：冷轧钢板。钢板厚度：立柱≥2.0mm, 框架≥1.2mm； 侧门采用≥0.8mm厚度钢化玻璃。</w:t>
            </w:r>
            <w:r>
              <w:rPr>
                <w:rFonts w:hint="eastAsia" w:ascii="宋体" w:hAnsi="宋体" w:eastAsia="宋体" w:cs="宋体"/>
                <w:bCs/>
                <w:color w:val="000000"/>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widowControl/>
              <w:rPr>
                <w:rFonts w:ascii="宋体" w:hAnsi="宋体" w:eastAsia="宋体" w:cs="宋体"/>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87</w:t>
            </w:r>
            <w:r>
              <w:rPr>
                <w:rFonts w:ascii="宋体" w:hAnsi="宋体" w:eastAsia="宋体" w:cs="宋体"/>
                <w:sz w:val="24"/>
                <w:szCs w:val="24"/>
                <w:lang w:val="en-US" w:eastAsia="zh-CN"/>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rPr>
              <w:suppressLineNumbers w:val="0"/>
            </w:pPr>
            <w:r>
              <w:rPr>
                <w:rFonts w:hint="eastAsia" w:ascii="宋体" w:hAnsi="宋体" w:eastAsia="宋体" w:cs="宋体"/>
                <w:i w:val="0"/>
                <w:iCs w:val="0"/>
                <w:color w:val="000000"/>
                <w:sz w:val="20"/>
                <w:szCs w:val="20"/>
                <w:u w:val="none"/>
                <w:lang w:val="en-US" w:eastAsia="zh-CN" w:bidi="ar"/>
              </w:rPr>
              <w:t xml:space="preserve">音箱</w:t>
            </w:r>
            <w:r>
              <w:rPr>
                <w:rFonts w:hint="eastAsia" w:ascii="宋体" w:hAnsi="宋体" w:eastAsia="宋体" w:cs="宋体"/>
                <w:bCs/>
                <w:sz w:val="24"/>
                <w:szCs w:val="24"/>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≥6.5英寸，二分频设计，低频反射式；低频  驱动器： 1 x 6.5英寸低音单元（无压缩长纤维纸盆）；高频  驱动器： 2 x 3英寸锥形高音单元；工作范围 (-10dB)： 55 Hz – 19 kHz；灵敏度 (1W@1m)： ≥87 dB；额定阻抗： 8 欧姆；最大声压级 (SPL)：连续：≥ 107 dB；峰值：≥ 113 dB；额定输入连续功率： ≥100W；音乐信号功率： ≥200W。</w:t>
            </w:r>
            <w:r>
              <w:rPr>
                <w:rFonts w:hint="eastAsia" w:ascii="宋体" w:hAnsi="宋体" w:eastAsia="宋体" w:cs="宋体"/>
                <w:bCs/>
                <w:color w:val="000000"/>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widowControl/>
              <w:rPr>
                <w:rFonts w:ascii="宋体" w:hAnsi="宋体" w:eastAsia="宋体" w:cs="宋体"/>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88</w:t>
            </w:r>
            <w:r>
              <w:rPr>
                <w:rFonts w:ascii="宋体" w:hAnsi="宋体" w:eastAsia="宋体" w:cs="宋体"/>
                <w:sz w:val="24"/>
                <w:szCs w:val="24"/>
                <w:lang w:val="en-US" w:eastAsia="zh-CN"/>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rPr>
              <w:suppressLineNumbers w:val="0"/>
            </w:pPr>
            <w:r>
              <w:rPr>
                <w:rFonts w:hint="eastAsia" w:ascii="宋体" w:hAnsi="宋体" w:eastAsia="宋体" w:cs="宋体"/>
                <w:i w:val="0"/>
                <w:iCs w:val="0"/>
                <w:color w:val="000000"/>
                <w:sz w:val="20"/>
                <w:szCs w:val="20"/>
                <w:u w:val="none"/>
                <w:lang w:val="en-US" w:eastAsia="zh-CN" w:bidi="ar"/>
              </w:rPr>
              <w:t xml:space="preserve">音箱支架</w:t>
            </w:r>
            <w:r>
              <w:rPr>
                <w:rFonts w:hint="eastAsia" w:ascii="宋体" w:hAnsi="宋体" w:eastAsia="宋体" w:cs="宋体"/>
                <w:bCs/>
                <w:sz w:val="24"/>
                <w:szCs w:val="24"/>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多功能壁装支架。灵活可调角度，支持水平方向180°，垂直方向30º调整，满足音箱室内音场调整需求。</w:t>
            </w:r>
            <w:r>
              <w:rPr>
                <w:rFonts w:hint="eastAsia" w:ascii="宋体" w:hAnsi="宋体" w:eastAsia="宋体" w:cs="宋体"/>
                <w:bCs/>
                <w:color w:val="000000"/>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widowControl/>
              <w:rPr>
                <w:rFonts w:ascii="宋体" w:hAnsi="宋体" w:eastAsia="宋体" w:cs="宋体"/>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89</w:t>
            </w:r>
            <w:r>
              <w:rPr>
                <w:rFonts w:ascii="宋体" w:hAnsi="宋体" w:eastAsia="宋体" w:cs="宋体"/>
                <w:sz w:val="24"/>
                <w:szCs w:val="24"/>
                <w:lang w:val="en-US" w:eastAsia="zh-CN"/>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rPr>
              <w:suppressLineNumbers w:val="0"/>
            </w:pPr>
            <w:r>
              <w:rPr>
                <w:rFonts w:hint="eastAsia" w:ascii="宋体" w:hAnsi="宋体" w:eastAsia="宋体" w:cs="宋体"/>
                <w:i w:val="0"/>
                <w:iCs w:val="0"/>
                <w:color w:val="000000"/>
                <w:sz w:val="20"/>
                <w:szCs w:val="20"/>
                <w:u w:val="none"/>
                <w:lang w:val="en-US" w:eastAsia="zh-CN" w:bidi="ar"/>
              </w:rPr>
              <w:t xml:space="preserve">纯后级功放</w:t>
            </w:r>
            <w:r>
              <w:rPr>
                <w:rFonts w:hint="eastAsia" w:ascii="宋体" w:hAnsi="宋体" w:eastAsia="宋体" w:cs="宋体"/>
                <w:bCs/>
                <w:sz w:val="24"/>
                <w:szCs w:val="24"/>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双通道功率放大器，立体声输出400瓦8欧，610瓦4欧；桥接输出1200瓦8欧；灵敏度1.25V（4欧负载满功率输出时）；频率响应22Hz-20kHz，信噪比100dB；LED指示器，匀速双风扇，XLR平衡输入接口，Neutrik Speakon插座。</w:t>
            </w:r>
            <w:r>
              <w:rPr>
                <w:rFonts w:hint="eastAsia" w:ascii="宋体" w:hAnsi="宋体" w:eastAsia="宋体" w:cs="宋体"/>
                <w:bCs/>
                <w:color w:val="000000"/>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widowControl/>
              <w:rPr>
                <w:rFonts w:ascii="宋体" w:hAnsi="宋体" w:eastAsia="宋体" w:cs="宋体"/>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90</w:t>
            </w:r>
            <w:r>
              <w:rPr>
                <w:rFonts w:ascii="宋体" w:hAnsi="宋体" w:eastAsia="宋体" w:cs="宋体"/>
                <w:sz w:val="24"/>
                <w:szCs w:val="24"/>
                <w:lang w:val="en-US" w:eastAsia="zh-CN"/>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rPr>
              <w:suppressLineNumbers w:val="0"/>
            </w:pPr>
            <w:r>
              <w:rPr>
                <w:rFonts w:hint="eastAsia" w:ascii="宋体" w:hAnsi="宋体" w:eastAsia="宋体" w:cs="宋体"/>
                <w:i w:val="0"/>
                <w:iCs w:val="0"/>
                <w:color w:val="000000"/>
                <w:sz w:val="20"/>
                <w:szCs w:val="20"/>
                <w:u w:val="none"/>
                <w:lang w:val="en-US" w:eastAsia="zh-CN" w:bidi="ar"/>
              </w:rPr>
              <w:t xml:space="preserve">电源时序器</w:t>
            </w:r>
            <w:r>
              <w:rPr>
                <w:rFonts w:hint="eastAsia" w:ascii="宋体" w:hAnsi="宋体" w:eastAsia="宋体" w:cs="宋体"/>
                <w:bCs/>
                <w:sz w:val="24"/>
                <w:szCs w:val="24"/>
              </w:rPr>
            </w:r>
            <w:r/>
          </w:p>
        </w:tc>
        <w:tc>
          <w:tcPr>
            <w:tcW w:w="1518" w:type="dxa"/>
            <w:vAlign w:val="center"/>
            <w:textDirection w:val="lrTb"/>
            <w:noWrap w:val="false"/>
          </w:tcPr>
          <w:p>
            <w:pPr>
              <w:pStyle w:val="869"/>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路电源输出，每路最大可达2000W，16路总功率4500W；时序开关控制，间隔1秒顺序开启，反序关闭；时序控制增加控制口，短路信号输入，可将时序开关外接，方便与其他系统联动；可按键单独开启和关闭每一路电源输出；可与矩阵系统，网络广播系统等连接使用作为外设和功放电源控制；可任意级联，带RS232中控串口。</w:t>
            </w:r>
            <w:r>
              <w:rPr>
                <w:rFonts w:hint="eastAsia" w:ascii="宋体" w:hAnsi="宋体" w:eastAsia="宋体" w:cs="宋体"/>
                <w:i w:val="0"/>
                <w:iCs w:val="0"/>
                <w:color w:val="000000"/>
                <w:sz w:val="20"/>
                <w:szCs w:val="20"/>
                <w:u w:val="none"/>
                <w:lang w:val="en-US" w:eastAsia="zh-CN" w:bidi="ar"/>
              </w:rPr>
            </w:r>
            <w:r/>
          </w:p>
        </w:tc>
      </w:tr>
      <w:tr>
        <w:trPr>
          <w:trHeight w:val="90"/>
        </w:trPr>
        <w:tc>
          <w:tcPr>
            <w:tcW w:w="660" w:type="dxa"/>
            <w:vAlign w:val="center"/>
            <w:textDirection w:val="lrTb"/>
            <w:noWrap w:val="false"/>
          </w:tcPr>
          <w:p>
            <w:pPr>
              <w:pStyle w:val="869"/>
              <w:jc w:val="center"/>
              <w:keepLines w:val="0"/>
              <w:keepNext w:val="0"/>
              <w:widowControl/>
              <w:rPr>
                <w:rFonts w:ascii="宋体" w:hAnsi="宋体" w:eastAsia="宋体" w:cs="宋体"/>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91</w:t>
            </w:r>
            <w:r>
              <w:rPr>
                <w:rFonts w:ascii="宋体" w:hAnsi="宋体" w:eastAsia="宋体" w:cs="宋体"/>
                <w:sz w:val="24"/>
                <w:szCs w:val="24"/>
                <w:lang w:val="en-US" w:eastAsia="zh-CN"/>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rPr>
              <w:suppressLineNumbers w:val="0"/>
            </w:pPr>
            <w:r>
              <w:rPr>
                <w:rFonts w:hint="eastAsia" w:ascii="宋体" w:hAnsi="宋体" w:eastAsia="宋体" w:cs="宋体"/>
                <w:i w:val="0"/>
                <w:iCs w:val="0"/>
                <w:color w:val="000000"/>
                <w:sz w:val="20"/>
                <w:szCs w:val="20"/>
                <w:u w:val="none"/>
                <w:lang w:val="en-US" w:eastAsia="zh-CN" w:bidi="ar"/>
              </w:rPr>
              <w:t xml:space="preserve">音乐教室设备安装调试费1</w:t>
            </w:r>
            <w:r>
              <w:rPr>
                <w:rFonts w:hint="eastAsia" w:ascii="宋体" w:hAnsi="宋体" w:eastAsia="宋体" w:cs="宋体"/>
                <w:bCs/>
                <w:sz w:val="24"/>
                <w:szCs w:val="24"/>
              </w:rPr>
            </w:r>
            <w:r/>
          </w:p>
        </w:tc>
        <w:tc>
          <w:tcPr>
            <w:tcW w:w="1518" w:type="dxa"/>
            <w:vAlign w:val="center"/>
            <w:textDirection w:val="lrTb"/>
            <w:noWrap w:val="false"/>
          </w:tcPr>
          <w:p>
            <w:pPr>
              <w:pStyle w:val="869"/>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含音频设备所需PVC管、电源插头、电源线、音频线、HDMI线、网线、水晶头。含音频设备安装施工调试，满足现场安装调试。</w:t>
            </w:r>
            <w:r>
              <w:rPr>
                <w:rFonts w:hint="eastAsia" w:ascii="宋体" w:hAnsi="宋体" w:eastAsia="宋体" w:cs="宋体"/>
                <w:i w:val="0"/>
                <w:iCs w:val="0"/>
                <w:color w:val="000000"/>
                <w:sz w:val="20"/>
                <w:szCs w:val="20"/>
                <w:u w:val="none"/>
                <w:lang w:val="en-US" w:eastAsia="zh-CN" w:bidi="ar"/>
              </w:rPr>
            </w:r>
            <w:r/>
          </w:p>
        </w:tc>
      </w:tr>
      <w:tr>
        <w:trPr>
          <w:trHeight w:val="90"/>
        </w:trPr>
        <w:tc>
          <w:tcPr>
            <w:tcW w:w="660" w:type="dxa"/>
            <w:vAlign w:val="center"/>
            <w:textDirection w:val="lrTb"/>
            <w:noWrap w:val="false"/>
          </w:tcPr>
          <w:p>
            <w:pPr>
              <w:pStyle w:val="869"/>
              <w:jc w:val="center"/>
              <w:keepLines w:val="0"/>
              <w:keepNext w:val="0"/>
              <w:widowControl/>
              <w:rPr>
                <w:rFonts w:ascii="宋体" w:hAnsi="宋体" w:eastAsia="宋体" w:cs="宋体"/>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92</w:t>
            </w:r>
            <w:r>
              <w:rPr>
                <w:rFonts w:ascii="宋体" w:hAnsi="宋体" w:eastAsia="宋体" w:cs="宋体"/>
                <w:sz w:val="24"/>
                <w:szCs w:val="24"/>
                <w:lang w:val="en-US" w:eastAsia="zh-CN"/>
              </w:rPr>
            </w:r>
            <w:r/>
          </w:p>
        </w:tc>
        <w:tc>
          <w:tcPr>
            <w:tcW w:w="1100" w:type="dxa"/>
            <w:vAlign w:val="center"/>
            <w:textDirection w:val="lrTb"/>
            <w:noWrap w:val="false"/>
          </w:tcPr>
          <w:p>
            <w:pPr>
              <w:pStyle w:val="869"/>
              <w:jc w:val="center"/>
              <w:keepLines w:val="0"/>
              <w:keepNext w:val="0"/>
              <w:widowControl/>
              <w:rPr>
                <w:rFonts w:hint="eastAsia" w:ascii="宋体" w:hAnsi="宋体" w:eastAsia="宋体" w:cs="宋体"/>
                <w:bCs/>
                <w:sz w:val="24"/>
                <w:szCs w:val="24"/>
              </w:rPr>
              <w:suppressLineNumbers w:val="0"/>
            </w:pPr>
            <w:r>
              <w:rPr>
                <w:rFonts w:hint="eastAsia" w:ascii="宋体" w:hAnsi="宋体" w:eastAsia="宋体" w:cs="宋体"/>
                <w:i w:val="0"/>
                <w:iCs w:val="0"/>
                <w:color w:val="000000"/>
                <w:sz w:val="20"/>
                <w:szCs w:val="20"/>
                <w:u w:val="none"/>
                <w:lang w:val="en-US" w:eastAsia="zh-CN" w:bidi="ar"/>
              </w:rPr>
              <w:t xml:space="preserve">音乐教室设备安装调试费2</w:t>
            </w:r>
            <w:r>
              <w:rPr>
                <w:rFonts w:hint="eastAsia" w:ascii="宋体" w:hAnsi="宋体" w:eastAsia="宋体" w:cs="宋体"/>
                <w:bCs/>
                <w:sz w:val="24"/>
                <w:szCs w:val="24"/>
              </w:rPr>
            </w:r>
            <w:r/>
          </w:p>
        </w:tc>
        <w:tc>
          <w:tcPr>
            <w:tcW w:w="1518" w:type="dxa"/>
            <w:vAlign w:val="center"/>
            <w:textDirection w:val="lrTb"/>
            <w:noWrap w:val="false"/>
          </w:tcPr>
          <w:p>
            <w:pPr>
              <w:pStyle w:val="869"/>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782" w:type="dxa"/>
            <w:vAlign w:val="center"/>
            <w:textDirection w:val="lrTb"/>
            <w:noWrap w:val="false"/>
          </w:tcPr>
          <w:p>
            <w:pPr>
              <w:pStyle w:val="869"/>
              <w:jc w:val="left"/>
              <w:keepLines w:val="0"/>
              <w:keepNext w:val="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含云盒及音频设备所需PVC管、电源插头、电源线、音频线、HDMI线、网线、水晶头。含云盒及音频设备安装施工调试，满足现场安装调试。</w:t>
            </w:r>
            <w:r>
              <w:rPr>
                <w:rFonts w:hint="eastAsia" w:ascii="宋体" w:hAnsi="宋体" w:eastAsia="宋体" w:cs="宋体"/>
                <w:bCs/>
                <w:color w:val="000000"/>
                <w:sz w:val="24"/>
                <w:szCs w:val="24"/>
                <w:lang w:val="en-US" w:eastAsia="zh-CN" w:bidi="ar-SA"/>
              </w:rPr>
            </w:r>
            <w:r/>
          </w:p>
        </w:tc>
      </w:tr>
    </w:tbl>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（1）总体要求</w:t>
      </w:r>
      <w:r>
        <w:rPr>
          <w:rFonts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①供应商中标后提供设备安装日程计划。</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②供应商应及时与采购人联系，对本项目所有产品的规格尺寸、款式、颜色等要求进一步确认，得到采购人的签字盖章认可后方可生产，并确保产品质量。所有产品进场需要先向学校报备，签设备进场报验单。</w:t>
      </w:r>
      <w:r>
        <w:rPr>
          <w:rFonts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质量要求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所供产品必须是全新的原装正品，符合国家规定的质量标准，不得私自添加或更改，保证所有产品原材料及部件均是全新的纯正部件，不得以废、旧材料制作，产品必须符合家具行业设计及采购人的品质要求。交货时所有货物应完好，物品配件齐全，否则视为不合格产品。</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（3）验收要求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安装完毕后，供应商主动配合采购人组织的验收小组进行验收，提供制成品现场抽测的相关质量检测报告，如检测达不到质量和环保要求，采购人有权退货，供应商承担采购人由此而造成的相关损失。</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（4）质保（维保）及售后要求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val="en-US" w:eastAsia="zh-CN"/>
        </w:rPr>
        <w:t xml:space="preserve">质保期3年，</w:t>
      </w:r>
      <w:r>
        <w:rPr>
          <w:rFonts w:ascii="宋体" w:hAnsi="宋体" w:eastAsia="宋体" w:cs="宋体"/>
          <w:b w:val="0"/>
          <w:bCs w:val="0"/>
          <w:color w:val="000000"/>
          <w:sz w:val="24"/>
          <w:szCs w:val="24"/>
          <w:highlight w:val="none"/>
          <w:lang w:val="en-US" w:eastAsia="zh-CN"/>
        </w:rPr>
        <w:t xml:space="preserve">质保期内</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每年维护保养1次</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维护保养及更换损坏件的费用包含在投标总价中。</w:t>
      </w:r>
      <w:r>
        <w:rPr>
          <w:rFonts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②质保期内</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一旦产品发生质量问题</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供应商接到报修请求</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在2小时内响应</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12小时内维修人员到达现场进行修理、更换或退货</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费用由供应商负责。如供应商在接到通知后2小时内没有答复</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则视为承认质量问题并承担由此发生的一切费用。质保期内</w:t>
      </w:r>
      <w:r>
        <w:rPr>
          <w:rFonts w:hint="eastAsia" w:ascii="宋体" w:hAnsi="宋体" w:eastAsia="宋体" w:cs="宋体"/>
          <w:b w:val="0"/>
          <w:bCs w:val="0"/>
          <w:color w:val="000000"/>
          <w:sz w:val="24"/>
          <w:szCs w:val="24"/>
          <w:highlight w:val="none"/>
          <w:lang w:val="en-US" w:eastAsia="zh-CN"/>
        </w:rPr>
        <w:t xml:space="preserve">产品</w:t>
      </w:r>
      <w:r>
        <w:rPr>
          <w:rFonts w:ascii="宋体" w:hAnsi="宋体" w:eastAsia="宋体" w:cs="宋体"/>
          <w:b w:val="0"/>
          <w:bCs w:val="0"/>
          <w:color w:val="000000"/>
          <w:sz w:val="24"/>
          <w:szCs w:val="24"/>
          <w:highlight w:val="none"/>
          <w:lang w:val="en-US" w:eastAsia="zh-CN"/>
        </w:rPr>
        <w:t xml:space="preserve">的一切质量问题</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更换部件及</w:t>
      </w:r>
      <w:r>
        <w:rPr>
          <w:rFonts w:hint="eastAsia" w:ascii="宋体" w:hAnsi="宋体" w:eastAsia="宋体" w:cs="宋体"/>
          <w:b w:val="0"/>
          <w:bCs w:val="0"/>
          <w:color w:val="000000"/>
          <w:sz w:val="24"/>
          <w:szCs w:val="24"/>
          <w:highlight w:val="none"/>
          <w:lang w:val="en-US" w:eastAsia="zh-CN"/>
        </w:rPr>
        <w:t xml:space="preserve">产品</w:t>
      </w:r>
      <w:r>
        <w:rPr>
          <w:rFonts w:ascii="宋体" w:hAnsi="宋体" w:eastAsia="宋体" w:cs="宋体"/>
          <w:b w:val="0"/>
          <w:bCs w:val="0"/>
          <w:color w:val="000000"/>
          <w:sz w:val="24"/>
          <w:szCs w:val="24"/>
          <w:highlight w:val="none"/>
          <w:lang w:val="en-US" w:eastAsia="zh-CN"/>
        </w:rPr>
        <w:t xml:space="preserve">本身质量原因造成的直接经济损失全部由供应商负责。无法短时间完成维修的</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应向采购人提供应急备用产品。 </w:t>
      </w:r>
      <w:r>
        <w:rPr>
          <w:rFonts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fldChar w:fldCharType="begin"/>
      </w:r>
      <w:r>
        <w:rPr>
          <w:rFonts w:ascii="宋体" w:hAnsi="宋体" w:eastAsia="宋体" w:cs="宋体"/>
          <w:b w:val="0"/>
          <w:bCs w:val="0"/>
          <w:color w:val="000000"/>
          <w:sz w:val="24"/>
          <w:szCs w:val="24"/>
          <w:highlight w:val="none"/>
          <w:lang w:val="en-US" w:eastAsia="zh-CN"/>
        </w:rPr>
        <w:instrText xml:space="preserve"> = 3 \* GB3 \* MERGEFORMAT </w:instrText>
      </w:r>
      <w:r>
        <w:rPr>
          <w:rFonts w:ascii="宋体" w:hAnsi="宋体" w:eastAsia="宋体" w:cs="宋体"/>
          <w:b w:val="0"/>
          <w:bCs w:val="0"/>
          <w:color w:val="000000"/>
          <w:sz w:val="24"/>
          <w:szCs w:val="24"/>
          <w:highlight w:val="none"/>
          <w:lang w:val="en-US" w:eastAsia="zh-CN"/>
        </w:rPr>
        <w:fldChar w:fldCharType="separate"/>
      </w:r>
      <w:r>
        <w:rPr>
          <w:rFonts w:ascii="宋体" w:hAnsi="宋体" w:eastAsia="宋体" w:cs="宋体"/>
          <w:b w:val="0"/>
          <w:bCs w:val="0"/>
          <w:color w:val="000000"/>
          <w:sz w:val="24"/>
          <w:szCs w:val="24"/>
          <w:highlight w:val="none"/>
          <w:lang w:val="en-US" w:eastAsia="zh-CN"/>
        </w:rPr>
        <w:t xml:space="preserve">③</w:t>
      </w:r>
      <w:r>
        <w:rPr>
          <w:rFonts w:ascii="宋体" w:hAnsi="宋体" w:eastAsia="宋体" w:cs="宋体"/>
          <w:b w:val="0"/>
          <w:bCs w:val="0"/>
          <w:color w:val="000000"/>
          <w:sz w:val="24"/>
          <w:szCs w:val="24"/>
          <w:highlight w:val="none"/>
          <w:lang w:val="en-US" w:eastAsia="zh-CN"/>
        </w:rPr>
        <w:fldChar w:fldCharType="end"/>
      </w:r>
      <w:r>
        <w:rPr>
          <w:rFonts w:hint="eastAsia" w:ascii="宋体" w:hAnsi="宋体" w:eastAsia="宋体" w:cs="宋体"/>
          <w:b w:val="0"/>
          <w:bCs w:val="0"/>
          <w:color w:val="000000"/>
          <w:sz w:val="24"/>
          <w:szCs w:val="24"/>
          <w:highlight w:val="none"/>
          <w:lang w:val="en-US" w:eastAsia="zh-CN"/>
        </w:rPr>
        <w:t xml:space="preserve">质保期内维修（人为因素除外）费用包含在投标总价中，质保期外提供不高于市场价格的终身维护。中标后提供质保期外配件价格明细表。</w:t>
      </w:r>
      <w:r>
        <w:rPr>
          <w:rFonts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宋体"/>
          <w:bCs/>
          <w:color w:val="000000"/>
          <w:sz w:val="24"/>
          <w:szCs w:val="24"/>
          <w:highlight w:val="none"/>
          <w:lang w:val="en-US" w:eastAsia="zh-CN"/>
        </w:rPr>
        <w:t xml:space="preserve">50</w:t>
      </w:r>
      <w:r>
        <w:rPr>
          <w:rFonts w:ascii="宋体" w:hAnsi="宋体" w:eastAsia="宋体" w:cs="宋体"/>
          <w:color w:val="000000"/>
          <w:sz w:val="24"/>
          <w:szCs w:val="24"/>
        </w:rPr>
        <w:t xml:space="preserve">天内交付并完成安装调试及验收等相关工作</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color w:val="000000"/>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196"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bookmarkEnd w:id="196"/>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（三）视频</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69"/>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须将视频文件压缩为*.zip文件上传（</w:t>
      </w:r>
      <w:r>
        <w:rPr>
          <w:rFonts w:hint="eastAsia" w:ascii="宋体" w:hAnsi="宋体" w:eastAsia="宋体" w:cs="Times New Roman"/>
          <w:b w:val="0"/>
          <w:bCs w:val="0"/>
          <w:color w:val="000000"/>
          <w:spacing w:val="0"/>
          <w:sz w:val="24"/>
          <w:szCs w:val="24"/>
          <w:lang w:val="en-US" w:eastAsia="zh-CN"/>
        </w:rPr>
        <w:t xml:space="preserve">单个文件不得大于50M，大于50M的需分段压缩，所有文件合计不得大于300M</w:t>
      </w:r>
      <w:r>
        <w:rPr>
          <w:rFonts w:hint="eastAsia" w:ascii="宋体" w:hAnsi="宋体" w:eastAsia="宋体" w:cs="宋体"/>
          <w:color w:val="000000"/>
          <w:sz w:val="24"/>
          <w:szCs w:val="24"/>
        </w:rPr>
        <w:t xml:space="preserve">）。文件上传方式见</w:t>
      </w:r>
      <w:r>
        <w:rPr>
          <w:rFonts w:hint="eastAsia" w:ascii="宋体" w:hAnsi="宋体" w:eastAsia="宋体" w:cs="宋体"/>
          <w:color w:val="000000"/>
          <w:sz w:val="24"/>
          <w:szCs w:val="24"/>
          <w:lang w:val="en-US" w:eastAsia="zh-CN"/>
        </w:rPr>
        <w:t xml:space="preserve">苏采云系统操作指南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上传的演示视频将作为投标文件的组成部分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视频时长总计不超过</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rPr>
        <w:t xml:space="preserve">分钟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2.视频演示内容详见“第五章  评标方法与评标标准”。</w:t>
      </w:r>
      <w:r>
        <w:rPr>
          <w:rFonts w:hint="eastAsia" w:ascii="宋体" w:hAnsi="宋体" w:eastAsia="宋体" w:cs="Times New Roman"/>
          <w:color w:val="000000"/>
          <w:sz w:val="24"/>
          <w:szCs w:val="24"/>
          <w:lang w:val="en-US" w:eastAsia="zh-CN"/>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197" w:name="_Toc120614281"/>
      <w:r>
        <w:rPr>
          <w:rFonts w:hint="eastAsia" w:ascii="方正小标宋简体" w:hAnsi="方正小标宋简体" w:eastAsia="方正小标宋简体" w:cs="方正小标宋简体"/>
          <w:color w:val="000000"/>
          <w:sz w:val="36"/>
          <w:szCs w:val="36"/>
        </w:rPr>
      </w:r>
      <w:r/>
    </w:p>
    <w:p>
      <w:pPr>
        <w:pStyle w:val="869"/>
        <w:ind w:right="840"/>
        <w:jc w:val="both"/>
        <w:spacing w:before="0" w:after="0" w:line="240" w:lineRule="auto"/>
        <w:rPr>
          <w:rFonts w:ascii="宋体" w:hAnsi="宋体" w:eastAsia="宋体" w:cs="宋体"/>
          <w:b/>
          <w:bCs/>
          <w:color w:val="000000"/>
          <w:sz w:val="24"/>
          <w:szCs w:val="24"/>
          <w:lang w:val="en-US" w:eastAsia="zh-CN"/>
        </w:rPr>
        <w:outlineLvl w:val="0"/>
      </w:pPr>
      <w:r>
        <w:rPr>
          <w:rFonts w:hint="eastAsia" w:ascii="宋体" w:hAnsi="宋体" w:eastAsia="宋体" w:cs="宋体"/>
          <w:b/>
          <w:bCs/>
          <w:color w:val="000000"/>
          <w:sz w:val="24"/>
          <w:szCs w:val="24"/>
          <w:lang w:val="en-US" w:eastAsia="zh-CN"/>
        </w:rPr>
        <w:t xml:space="preserve">附件：南师附小教室框架图</w:t>
      </w:r>
      <w:r>
        <w:rPr>
          <w:rFonts w:ascii="宋体" w:hAnsi="宋体" w:eastAsia="宋体" w:cs="宋体"/>
          <w:b/>
          <w:bCs/>
          <w:color w:val="000000"/>
          <w:sz w:val="24"/>
          <w:szCs w:val="24"/>
          <w:lang w:val="en-US" w:eastAsia="zh-CN"/>
        </w:rPr>
      </w:r>
      <w:r/>
    </w:p>
    <w:p>
      <w:pPr>
        <w:pStyle w:val="869"/>
        <w:jc w:val="center"/>
        <w:rPr>
          <w:rFonts w:hint="eastAsia" w:ascii="方正小标宋简体" w:hAnsi="方正小标宋简体" w:eastAsia="方正小标宋简体" w:cs="方正小标宋简体"/>
          <w:color w:val="000000"/>
          <w:sz w:val="36"/>
          <w:szCs w:val="36"/>
        </w:rPr>
      </w:pPr>
      <w:r>
        <w:rPr>
          <w:rFonts w:hint="eastAsia" w:ascii="宋体" w:hAnsi="宋体" w:eastAsia="宋体" w:cs="宋体"/>
          <w:b/>
          <w:bCs/>
          <w:color w:val="000000"/>
          <w:sz w:val="24"/>
          <w:szCs w:val="24"/>
        </w:rPr>
        <w:object w:dxaOrig="1450" w:dyaOrig="131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2.5pt;height:65.5pt;mso-wrap-distance-left:0.0pt;mso-wrap-distance-top:0.0pt;mso-wrap-distance-right:0.0pt;mso-wrap-distance-bottom:0.0pt;" filled="f" stroked="f">
            <v:path textboxrect="0,0,0,0"/>
            <v:imagedata r:id="rId12" o:title=""/>
          </v:shape>
          <o:OLEObject DrawAspect="Content" r:id="rId13" ObjectID="_1525040" ProgID="Package" ShapeID="_x0000_i0" Type="Embed"/>
        </w:object>
      </w:r>
      <w:r>
        <w:rPr>
          <w:rFonts w:hint="eastAsia" w:ascii="宋体" w:hAnsi="宋体" w:eastAsia="宋体" w:cs="宋体"/>
          <w:b/>
          <w:bCs/>
          <w:color w:val="000000"/>
          <w:sz w:val="24"/>
          <w:szCs w:val="24"/>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w:t>
      </w:r>
      <w:r>
        <w:rPr>
          <w:rFonts w:hint="eastAsia" w:ascii="宋体" w:hAnsi="宋体" w:eastAsia="宋体" w:cs="宋体"/>
          <w:sz w:val="24"/>
          <w:szCs w:val="24"/>
          <w:lang w:eastAsia="zh-CN"/>
        </w:rPr>
        <w:t xml:space="preserve">标候选人。</w:t>
      </w:r>
      <w:r>
        <w:rPr>
          <w:rFonts w:hint="eastAsia" w:ascii="宋体" w:hAnsi="宋体" w:eastAsia="宋体" w:cs="宋体"/>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69"/>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69"/>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869"/>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shd w:val="clear" w:color="auto" w:fill="auto"/>
        </w:rPr>
      </w:r>
      <w:r/>
    </w:p>
    <w:p>
      <w:pPr>
        <w:pStyle w:val="869"/>
        <w:ind w:firstLine="420"/>
        <w:rPr>
          <w:rFonts w:hint="eastAsia" w:ascii="宋体" w:hAnsi="宋体" w:eastAsia="宋体" w:cs="Times New Roman"/>
          <w:b/>
          <w:bCs/>
          <w:color w:val="000000"/>
          <w:sz w:val="24"/>
          <w:szCs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r>
      <w:r/>
    </w:p>
    <w:p>
      <w:pPr>
        <w:pStyle w:val="869"/>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869"/>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w:t>
      </w:r>
      <w:r>
        <w:rPr>
          <w:rFonts w:hint="eastAsia" w:ascii="宋体" w:hAnsi="宋体" w:eastAsia="宋体" w:cs="宋体"/>
          <w:sz w:val="24"/>
          <w:szCs w:val="24"/>
        </w:rPr>
        <w:t xml:space="preserve">扣除，用扣除后的价格参与评审。</w:t>
      </w:r>
      <w:r>
        <w:rPr>
          <w:rFonts w:hint="eastAsia" w:ascii="宋体" w:hAnsi="宋体" w:eastAsia="宋体" w:cs="Times New Roman"/>
          <w:sz w:val="24"/>
          <w:szCs w:val="24"/>
          <w:highlight w:val="yellow"/>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86"/>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rPr>
        <w:tc>
          <w:tcPr>
            <w:tcW w:w="519" w:type="dxa"/>
            <w:vAlign w:val="center"/>
            <w:textDirection w:val="lrTb"/>
            <w:noWrap w:val="false"/>
          </w:tcPr>
          <w:p>
            <w:pPr>
              <w:pStyle w:val="869"/>
              <w:ind w:left="0" w:right="0"/>
              <w:jc w:val="center"/>
              <w:keepLines w:val="0"/>
              <w:keepNext w:val="0"/>
              <w:spacing w:before="122" w:beforeAutospacing="0" w:after="0" w:afterAutospacing="0" w:line="288" w:lineRule="auto"/>
              <w:widowControl w:val="off"/>
              <w:rPr>
                <w:rFonts w:hint="eastAsia" w:ascii="宋体" w:hAnsi="宋体" w:eastAsia="宋体" w:cs="宋体"/>
                <w:b/>
                <w:bCs/>
                <w:spacing w:val="-3"/>
                <w:sz w:val="21"/>
                <w:szCs w:val="21"/>
                <w:highlight w:val="none"/>
              </w:rPr>
              <w:suppressLineNumbers w:val="0"/>
            </w:pPr>
            <w:r>
              <w:rPr>
                <w:rFonts w:hint="eastAsia" w:ascii="宋体" w:hAnsi="宋体" w:eastAsia="宋体" w:cs="宋体"/>
                <w:b/>
                <w:bCs/>
                <w:spacing w:val="-3"/>
                <w:sz w:val="21"/>
                <w:szCs w:val="21"/>
                <w:highlight w:val="none"/>
                <w:lang w:val="en-US" w:eastAsia="zh-CN" w:bidi="ar"/>
              </w:rPr>
              <w:t xml:space="preserve">序号</w:t>
            </w:r>
            <w:r>
              <w:rPr>
                <w:rFonts w:hint="eastAsia" w:ascii="宋体" w:hAnsi="宋体" w:eastAsia="宋体" w:cs="宋体"/>
                <w:b/>
                <w:bCs/>
                <w:spacing w:val="-3"/>
                <w:sz w:val="21"/>
                <w:szCs w:val="21"/>
                <w:highlight w:val="none"/>
              </w:rPr>
            </w:r>
            <w:r/>
          </w:p>
        </w:tc>
        <w:tc>
          <w:tcPr>
            <w:tcW w:w="1179" w:type="dxa"/>
            <w:vAlign w:val="center"/>
            <w:textDirection w:val="lrTb"/>
            <w:noWrap w:val="false"/>
          </w:tcPr>
          <w:p>
            <w:pPr>
              <w:pStyle w:val="869"/>
              <w:ind w:left="0" w:right="0"/>
              <w:jc w:val="center"/>
              <w:keepLines w:val="0"/>
              <w:keepNext w:val="0"/>
              <w:spacing w:before="122" w:beforeAutospacing="0" w:after="0" w:afterAutospacing="0" w:line="288" w:lineRule="auto"/>
              <w:widowControl w:val="off"/>
              <w:rPr>
                <w:rFonts w:hint="eastAsia" w:ascii="宋体" w:hAnsi="宋体" w:eastAsia="宋体" w:cs="宋体"/>
                <w:b/>
                <w:bCs/>
                <w:spacing w:val="-3"/>
                <w:sz w:val="21"/>
                <w:szCs w:val="21"/>
                <w:highlight w:val="none"/>
              </w:rPr>
              <w:suppressLineNumbers w:val="0"/>
            </w:pPr>
            <w:r>
              <w:rPr>
                <w:rFonts w:hint="eastAsia" w:ascii="宋体" w:hAnsi="宋体" w:eastAsia="宋体" w:cs="宋体"/>
                <w:b/>
                <w:bCs/>
                <w:spacing w:val="-3"/>
                <w:sz w:val="21"/>
                <w:szCs w:val="21"/>
                <w:highlight w:val="none"/>
                <w:lang w:val="en-US" w:eastAsia="zh-CN" w:bidi="ar"/>
              </w:rPr>
              <w:t xml:space="preserve">评审因素</w:t>
            </w:r>
            <w:r>
              <w:rPr>
                <w:rFonts w:hint="eastAsia" w:ascii="宋体" w:hAnsi="宋体" w:eastAsia="宋体" w:cs="宋体"/>
                <w:b/>
                <w:bCs/>
                <w:spacing w:val="-3"/>
                <w:sz w:val="21"/>
                <w:szCs w:val="21"/>
                <w:highlight w:val="none"/>
              </w:rPr>
            </w:r>
            <w:r/>
          </w:p>
        </w:tc>
        <w:tc>
          <w:tcPr>
            <w:tcW w:w="6330" w:type="dxa"/>
            <w:vAlign w:val="center"/>
            <w:textDirection w:val="lrTb"/>
            <w:noWrap w:val="false"/>
          </w:tcPr>
          <w:p>
            <w:pPr>
              <w:pStyle w:val="869"/>
              <w:ind w:left="0" w:right="0"/>
              <w:jc w:val="center"/>
              <w:keepLines w:val="0"/>
              <w:keepNext w:val="0"/>
              <w:spacing w:before="122" w:beforeAutospacing="0" w:after="0" w:afterAutospacing="0" w:line="288" w:lineRule="auto"/>
              <w:widowControl w:val="off"/>
              <w:rPr>
                <w:rFonts w:hint="eastAsia" w:ascii="宋体" w:hAnsi="宋体" w:eastAsia="宋体" w:cs="宋体"/>
                <w:b/>
                <w:bCs/>
                <w:spacing w:val="-3"/>
                <w:sz w:val="21"/>
                <w:szCs w:val="21"/>
                <w:highlight w:val="none"/>
              </w:rPr>
              <w:suppressLineNumbers w:val="0"/>
            </w:pPr>
            <w:r>
              <w:rPr>
                <w:rFonts w:hint="eastAsia" w:ascii="宋体" w:hAnsi="宋体" w:eastAsia="宋体" w:cs="宋体"/>
                <w:b/>
                <w:bCs/>
                <w:spacing w:val="-3"/>
                <w:sz w:val="21"/>
                <w:szCs w:val="21"/>
                <w:highlight w:val="none"/>
                <w:lang w:val="en-US" w:eastAsia="zh-CN" w:bidi="ar"/>
              </w:rPr>
              <w:t xml:space="preserve">评审细则</w:t>
            </w:r>
            <w:r>
              <w:rPr>
                <w:rFonts w:hint="eastAsia" w:ascii="宋体" w:hAnsi="宋体" w:eastAsia="宋体" w:cs="宋体"/>
                <w:b/>
                <w:bCs/>
                <w:spacing w:val="-3"/>
                <w:sz w:val="21"/>
                <w:szCs w:val="21"/>
                <w:highlight w:val="none"/>
              </w:rPr>
            </w:r>
            <w:r/>
          </w:p>
        </w:tc>
        <w:tc>
          <w:tcPr>
            <w:tcW w:w="647" w:type="dxa"/>
            <w:vAlign w:val="center"/>
            <w:textDirection w:val="lrTb"/>
            <w:noWrap w:val="false"/>
          </w:tcPr>
          <w:p>
            <w:pPr>
              <w:pStyle w:val="869"/>
              <w:ind w:left="0" w:right="0"/>
              <w:jc w:val="center"/>
              <w:keepLines w:val="0"/>
              <w:keepNext w:val="0"/>
              <w:spacing w:before="122" w:beforeAutospacing="0" w:after="0" w:afterAutospacing="0" w:line="288" w:lineRule="auto"/>
              <w:widowControl w:val="off"/>
              <w:rPr>
                <w:rFonts w:hint="eastAsia" w:ascii="宋体" w:hAnsi="宋体" w:eastAsia="宋体" w:cs="宋体"/>
                <w:b/>
                <w:bCs/>
                <w:spacing w:val="-3"/>
                <w:sz w:val="21"/>
                <w:szCs w:val="21"/>
                <w:highlight w:val="none"/>
              </w:rPr>
              <w:suppressLineNumbers w:val="0"/>
            </w:pPr>
            <w:r>
              <w:rPr>
                <w:rFonts w:hint="eastAsia" w:ascii="宋体" w:hAnsi="宋体" w:eastAsia="宋体" w:cs="宋体"/>
                <w:b/>
                <w:bCs/>
                <w:spacing w:val="-3"/>
                <w:sz w:val="21"/>
                <w:szCs w:val="21"/>
                <w:highlight w:val="none"/>
                <w:lang w:val="en-US" w:eastAsia="zh-CN" w:bidi="ar"/>
              </w:rPr>
              <w:t xml:space="preserve">分值</w:t>
            </w:r>
            <w:r>
              <w:rPr>
                <w:rFonts w:hint="eastAsia" w:ascii="宋体" w:hAnsi="宋体" w:eastAsia="宋体" w:cs="宋体"/>
                <w:b/>
                <w:bCs/>
                <w:spacing w:val="-3"/>
                <w:sz w:val="21"/>
                <w:szCs w:val="21"/>
                <w:highlight w:val="none"/>
              </w:rPr>
            </w:r>
            <w:r/>
          </w:p>
        </w:tc>
        <w:tc>
          <w:tcPr>
            <w:tcW w:w="900" w:type="dxa"/>
            <w:vAlign w:val="center"/>
            <w:textDirection w:val="lrTb"/>
            <w:noWrap w:val="false"/>
          </w:tcPr>
          <w:p>
            <w:pPr>
              <w:pStyle w:val="869"/>
              <w:ind w:left="0" w:right="0"/>
              <w:jc w:val="center"/>
              <w:keepLines w:val="0"/>
              <w:keepNext w:val="0"/>
              <w:spacing w:before="122" w:beforeAutospacing="0" w:after="0" w:afterAutospacing="0" w:line="288" w:lineRule="auto"/>
              <w:widowControl w:val="off"/>
              <w:rPr>
                <w:rFonts w:hint="eastAsia" w:ascii="宋体" w:hAnsi="宋体" w:eastAsia="宋体" w:cs="宋体"/>
                <w:b/>
                <w:bCs/>
                <w:spacing w:val="-3"/>
                <w:sz w:val="21"/>
                <w:szCs w:val="21"/>
                <w:highlight w:val="none"/>
              </w:rPr>
              <w:suppressLineNumbers w:val="0"/>
            </w:pPr>
            <w:r>
              <w:rPr>
                <w:rFonts w:hint="eastAsia" w:ascii="宋体" w:hAnsi="宋体" w:eastAsia="宋体" w:cs="宋体"/>
                <w:b/>
                <w:bCs/>
                <w:spacing w:val="-3"/>
                <w:sz w:val="21"/>
                <w:szCs w:val="21"/>
                <w:highlight w:val="none"/>
                <w:lang w:val="en-US" w:eastAsia="zh-CN" w:bidi="ar"/>
              </w:rPr>
              <w:t xml:space="preserve">类型</w:t>
            </w:r>
            <w:r>
              <w:rPr>
                <w:rFonts w:hint="eastAsia" w:ascii="宋体" w:hAnsi="宋体" w:eastAsia="宋体" w:cs="宋体"/>
                <w:b/>
                <w:bCs/>
                <w:spacing w:val="-3"/>
                <w:sz w:val="21"/>
                <w:szCs w:val="21"/>
                <w:highlight w:val="none"/>
              </w:rPr>
            </w:r>
            <w:r/>
          </w:p>
        </w:tc>
      </w:tr>
      <w:tr>
        <w:trPr>
          <w:trHeight w:val="460"/>
        </w:trPr>
        <w:tc>
          <w:tcPr>
            <w:gridSpan w:val="5"/>
            <w:tcW w:w="9575" w:type="dxa"/>
            <w:vAlign w:val="top"/>
            <w:textDirection w:val="lrTb"/>
            <w:noWrap w:val="false"/>
          </w:tcPr>
          <w:p>
            <w:pPr>
              <w:pStyle w:val="869"/>
              <w:ind w:left="114" w:right="0"/>
              <w:jc w:val="both"/>
              <w:keepLines w:val="0"/>
              <w:keepNext w:val="0"/>
              <w:spacing w:before="122" w:beforeAutospacing="0" w:after="0" w:afterAutospacing="0" w:line="264"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b/>
                <w:bCs/>
                <w:spacing w:val="-3"/>
                <w:sz w:val="21"/>
                <w:szCs w:val="21"/>
                <w:highlight w:val="none"/>
                <w:lang w:val="en-US" w:eastAsia="zh-CN" w:bidi="ar"/>
              </w:rPr>
              <w:t xml:space="preserve">1.价</w:t>
            </w:r>
            <w:r>
              <w:rPr>
                <w:rFonts w:hint="eastAsia" w:ascii="宋体" w:hAnsi="宋体" w:eastAsia="宋体" w:cs="宋体"/>
                <w:b/>
                <w:bCs/>
                <w:spacing w:val="-2"/>
                <w:sz w:val="21"/>
                <w:szCs w:val="21"/>
                <w:highlight w:val="none"/>
                <w:lang w:val="en-US" w:eastAsia="zh-CN" w:bidi="ar"/>
              </w:rPr>
              <w:t xml:space="preserve">格</w:t>
            </w:r>
            <w:r>
              <w:rPr>
                <w:rFonts w:hint="eastAsia" w:ascii="宋体" w:hAnsi="宋体" w:eastAsia="宋体" w:cs="宋体"/>
                <w:sz w:val="21"/>
                <w:szCs w:val="21"/>
                <w:highlight w:val="none"/>
              </w:rPr>
            </w:r>
            <w:r/>
          </w:p>
        </w:tc>
      </w:tr>
      <w:tr>
        <w:trPr>
          <w:trHeight w:val="1030"/>
        </w:trPr>
        <w:tc>
          <w:tcPr>
            <w:tcW w:w="519"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1</w:t>
            </w:r>
            <w:r>
              <w:rPr>
                <w:rFonts w:hint="eastAsia" w:ascii="宋体" w:hAnsi="宋体" w:eastAsia="宋体" w:cs="宋体"/>
                <w:spacing w:val="-5"/>
                <w:sz w:val="21"/>
                <w:szCs w:val="21"/>
                <w:highlight w:val="none"/>
                <w:lang w:val="en-US" w:eastAsia="zh-CN" w:bidi="ar"/>
              </w:rPr>
              <w:t xml:space="preserve">.1</w:t>
            </w:r>
            <w:r>
              <w:rPr>
                <w:rFonts w:hint="eastAsia" w:ascii="宋体" w:hAnsi="宋体" w:eastAsia="宋体" w:cs="宋体"/>
                <w:sz w:val="21"/>
                <w:szCs w:val="21"/>
                <w:highlight w:val="none"/>
              </w:rPr>
            </w:r>
            <w:r/>
          </w:p>
        </w:tc>
        <w:tc>
          <w:tcPr>
            <w:tcW w:w="1179" w:type="dxa"/>
            <w:vAlign w:val="center"/>
            <w:textDirection w:val="lrTb"/>
            <w:noWrap w:val="false"/>
          </w:tcPr>
          <w:p>
            <w:pPr>
              <w:pStyle w:val="869"/>
              <w:ind w:left="0" w:right="0"/>
              <w:jc w:val="left"/>
              <w:keepLines w:val="0"/>
              <w:keepNext w:val="0"/>
              <w:spacing w:before="68" w:beforeAutospacing="0" w:after="0" w:afterAutospacing="0" w:line="264"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pacing w:val="-2"/>
                <w:sz w:val="21"/>
                <w:szCs w:val="21"/>
                <w:highlight w:val="none"/>
                <w:lang w:val="en-US" w:eastAsia="zh-CN" w:bidi="ar"/>
              </w:rPr>
              <w:t xml:space="preserve">价格分</w:t>
            </w:r>
            <w:r>
              <w:rPr>
                <w:rFonts w:hint="eastAsia" w:ascii="宋体" w:hAnsi="宋体" w:eastAsia="宋体" w:cs="宋体"/>
                <w:sz w:val="21"/>
                <w:szCs w:val="21"/>
                <w:highlight w:val="none"/>
              </w:rPr>
            </w:r>
            <w:r/>
          </w:p>
        </w:tc>
        <w:tc>
          <w:tcPr>
            <w:tcW w:w="6330" w:type="dxa"/>
            <w:vAlign w:val="center"/>
            <w:textDirection w:val="lrTb"/>
            <w:noWrap w:val="false"/>
          </w:tcPr>
          <w:p>
            <w:pPr>
              <w:pStyle w:val="869"/>
              <w:ind w:left="0" w:right="0"/>
              <w:jc w:val="left"/>
              <w:keepLines w:val="0"/>
              <w:keepNext w:val="0"/>
              <w:spacing w:before="0" w:beforeAutospacing="0" w:after="0" w:afterAutospacing="0" w:line="264"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pacing w:val="1"/>
                <w:sz w:val="21"/>
                <w:szCs w:val="21"/>
                <w:highlight w:val="none"/>
                <w:lang w:val="en-US" w:eastAsia="zh-CN" w:bidi="ar"/>
              </w:rPr>
              <w:t xml:space="preserve">采用低价优先</w:t>
            </w:r>
            <w:r>
              <w:rPr>
                <w:rFonts w:hint="eastAsia" w:ascii="宋体" w:hAnsi="宋体" w:eastAsia="宋体" w:cs="宋体"/>
                <w:sz w:val="21"/>
                <w:szCs w:val="21"/>
                <w:highlight w:val="none"/>
                <w:lang w:val="en-US" w:eastAsia="zh-CN" w:bidi="ar"/>
              </w:rPr>
              <w:t xml:space="preserve">法计算，即满足招标文件要求且投标价格最低的投标</w:t>
            </w:r>
            <w:r>
              <w:rPr>
                <w:rFonts w:hint="eastAsia" w:ascii="宋体" w:hAnsi="宋体" w:eastAsia="宋体" w:cs="宋体"/>
                <w:spacing w:val="1"/>
                <w:sz w:val="21"/>
                <w:szCs w:val="21"/>
                <w:highlight w:val="none"/>
                <w:lang w:val="en-US" w:eastAsia="zh-CN" w:bidi="ar"/>
              </w:rPr>
              <w:t xml:space="preserve">报价为评标基准</w:t>
            </w:r>
            <w:r>
              <w:rPr>
                <w:rFonts w:hint="eastAsia" w:ascii="宋体" w:hAnsi="宋体" w:eastAsia="宋体" w:cs="宋体"/>
                <w:sz w:val="21"/>
                <w:szCs w:val="21"/>
                <w:highlight w:val="none"/>
                <w:lang w:val="en-US" w:eastAsia="zh-CN" w:bidi="ar"/>
              </w:rPr>
              <w:t xml:space="preserve">价，其价格分为满分。其他投标人的价格分统一按</w:t>
            </w:r>
            <w:r>
              <w:rPr>
                <w:rFonts w:hint="eastAsia" w:ascii="宋体" w:hAnsi="宋体" w:eastAsia="宋体" w:cs="宋体"/>
                <w:spacing w:val="-1"/>
                <w:sz w:val="21"/>
                <w:szCs w:val="21"/>
                <w:highlight w:val="none"/>
                <w:lang w:val="en-US" w:eastAsia="zh-CN" w:bidi="ar"/>
              </w:rPr>
              <w:t xml:space="preserve">照下列公</w:t>
            </w:r>
            <w:r>
              <w:rPr>
                <w:rFonts w:hint="eastAsia" w:ascii="宋体" w:hAnsi="宋体" w:eastAsia="宋体" w:cs="宋体"/>
                <w:sz w:val="21"/>
                <w:szCs w:val="21"/>
                <w:highlight w:val="none"/>
                <w:lang w:val="en-US" w:eastAsia="zh-CN" w:bidi="ar"/>
              </w:rPr>
              <w:t xml:space="preserve">式计算：投标报价得分=(评标基准价/投标报价)×价格分值（小数点保留两位）</w:t>
            </w:r>
            <w:r>
              <w:rPr>
                <w:rFonts w:hint="eastAsia" w:ascii="宋体" w:hAnsi="宋体" w:eastAsia="宋体" w:cs="宋体"/>
                <w:sz w:val="21"/>
                <w:szCs w:val="21"/>
                <w:highlight w:val="none"/>
              </w:rPr>
            </w:r>
            <w:r/>
          </w:p>
        </w:tc>
        <w:tc>
          <w:tcPr>
            <w:tcW w:w="647" w:type="dxa"/>
            <w:vAlign w:val="center"/>
            <w:textDirection w:val="lrTb"/>
            <w:noWrap w:val="false"/>
          </w:tcPr>
          <w:p>
            <w:pPr>
              <w:pStyle w:val="869"/>
              <w:ind w:left="0" w:right="0"/>
              <w:jc w:val="center"/>
              <w:keepLines w:val="0"/>
              <w:keepNext w:val="0"/>
              <w:spacing w:before="0" w:beforeAutospacing="0" w:after="0" w:afterAutospacing="0" w:line="264"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30</w:t>
            </w:r>
            <w:r>
              <w:rPr>
                <w:rFonts w:hint="eastAsia" w:ascii="宋体" w:hAnsi="宋体" w:eastAsia="宋体" w:cs="宋体"/>
                <w:sz w:val="21"/>
                <w:szCs w:val="21"/>
                <w:highlight w:val="none"/>
              </w:rPr>
            </w:r>
            <w:r/>
          </w:p>
        </w:tc>
        <w:tc>
          <w:tcPr>
            <w:tcW w:w="900" w:type="dxa"/>
            <w:vAlign w:val="center"/>
            <w:textDirection w:val="lrTb"/>
            <w:noWrap w:val="false"/>
          </w:tcPr>
          <w:p>
            <w:pPr>
              <w:pStyle w:val="869"/>
              <w:ind w:left="0" w:right="0"/>
              <w:jc w:val="center"/>
              <w:keepLines w:val="0"/>
              <w:keepNext w:val="0"/>
              <w:spacing w:before="0" w:beforeAutospacing="0" w:after="0" w:afterAutospacing="0" w:line="264"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价格分</w:t>
            </w:r>
            <w:r>
              <w:rPr>
                <w:rFonts w:hint="eastAsia" w:ascii="宋体" w:hAnsi="宋体" w:eastAsia="宋体" w:cs="宋体"/>
                <w:sz w:val="21"/>
                <w:szCs w:val="21"/>
                <w:highlight w:val="none"/>
              </w:rPr>
            </w:r>
            <w:r/>
          </w:p>
        </w:tc>
      </w:tr>
      <w:tr>
        <w:trPr>
          <w:trHeight w:val="460"/>
        </w:trPr>
        <w:tc>
          <w:tcPr>
            <w:gridSpan w:val="5"/>
            <w:tcW w:w="9575" w:type="dxa"/>
            <w:vAlign w:val="top"/>
            <w:textDirection w:val="lrTb"/>
            <w:noWrap w:val="false"/>
          </w:tcPr>
          <w:p>
            <w:pPr>
              <w:pStyle w:val="869"/>
              <w:ind w:left="114" w:right="0"/>
              <w:jc w:val="both"/>
              <w:keepLines w:val="0"/>
              <w:keepNext w:val="0"/>
              <w:spacing w:before="123" w:beforeAutospacing="0" w:after="0" w:afterAutospacing="0" w:line="264"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b/>
                <w:bCs/>
                <w:spacing w:val="-3"/>
                <w:sz w:val="21"/>
                <w:szCs w:val="21"/>
                <w:highlight w:val="none"/>
                <w:lang w:val="en-US" w:eastAsia="zh-CN" w:bidi="ar"/>
              </w:rPr>
              <w:t xml:space="preserve">2.技术</w:t>
            </w:r>
            <w:r>
              <w:rPr>
                <w:rFonts w:hint="eastAsia" w:ascii="宋体" w:hAnsi="宋体" w:eastAsia="宋体" w:cs="宋体"/>
                <w:sz w:val="21"/>
                <w:szCs w:val="21"/>
                <w:highlight w:val="none"/>
              </w:rPr>
            </w:r>
            <w:r/>
          </w:p>
        </w:tc>
      </w:tr>
      <w:tr>
        <w:trPr>
          <w:trHeight w:val="891"/>
        </w:trPr>
        <w:tc>
          <w:tcPr>
            <w:tcW w:w="519"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hint="eastAsia" w:ascii="宋体" w:hAnsi="宋体" w:eastAsia="宋体" w:cs="宋体"/>
                <w:spacing w:val="-2"/>
                <w:sz w:val="21"/>
                <w:szCs w:val="21"/>
                <w:highlight w:val="none"/>
              </w:rPr>
              <w:suppressLineNumbers w:val="0"/>
            </w:pPr>
            <w:r>
              <w:rPr>
                <w:rFonts w:hint="eastAsia" w:ascii="宋体" w:hAnsi="宋体" w:eastAsia="宋体" w:cs="宋体"/>
                <w:spacing w:val="-2"/>
                <w:sz w:val="21"/>
                <w:szCs w:val="21"/>
                <w:highlight w:val="none"/>
                <w:lang w:val="en-US" w:eastAsia="zh-CN" w:bidi="ar"/>
              </w:rPr>
              <w:t xml:space="preserve">2.1</w:t>
            </w:r>
            <w:r>
              <w:rPr>
                <w:rFonts w:hint="eastAsia" w:ascii="宋体" w:hAnsi="宋体" w:eastAsia="宋体" w:cs="宋体"/>
                <w:spacing w:val="-2"/>
                <w:sz w:val="21"/>
                <w:szCs w:val="21"/>
                <w:highlight w:val="none"/>
              </w:rPr>
            </w:r>
            <w:r/>
          </w:p>
        </w:tc>
        <w:tc>
          <w:tcPr>
            <w:tcW w:w="1179" w:type="dxa"/>
            <w:vAlign w:val="center"/>
            <w:textDirection w:val="lrTb"/>
            <w:noWrap w:val="false"/>
          </w:tcPr>
          <w:p>
            <w:pPr>
              <w:pStyle w:val="869"/>
              <w:ind w:left="0" w:right="0"/>
              <w:jc w:val="left"/>
              <w:keepLines w:val="0"/>
              <w:keepNext w:val="0"/>
              <w:spacing w:before="68" w:beforeAutospacing="0" w:after="0" w:afterAutospacing="0" w:line="264" w:lineRule="auto"/>
              <w:widowControl w:val="off"/>
              <w:rPr>
                <w:rFonts w:hint="eastAsia" w:ascii="宋体" w:hAnsi="宋体" w:eastAsia="宋体" w:cs="宋体"/>
                <w:spacing w:val="-2"/>
                <w:sz w:val="21"/>
                <w:szCs w:val="21"/>
                <w:highlight w:val="none"/>
              </w:rPr>
              <w:suppressLineNumbers w:val="0"/>
            </w:pPr>
            <w:r>
              <w:rPr>
                <w:rFonts w:hint="eastAsia" w:ascii="宋体" w:hAnsi="宋体" w:eastAsia="宋体" w:cs="宋体"/>
                <w:spacing w:val="-2"/>
                <w:sz w:val="21"/>
                <w:szCs w:val="21"/>
                <w:highlight w:val="none"/>
                <w:lang w:val="en-US" w:eastAsia="zh-CN" w:bidi="ar"/>
              </w:rPr>
              <w:t xml:space="preserve">产品技术参数</w:t>
            </w:r>
            <w:r>
              <w:rPr>
                <w:rFonts w:hint="eastAsia" w:ascii="宋体" w:hAnsi="宋体" w:eastAsia="宋体" w:cs="宋体"/>
                <w:spacing w:val="-2"/>
                <w:sz w:val="21"/>
                <w:szCs w:val="21"/>
                <w:highlight w:val="none"/>
              </w:rPr>
            </w:r>
            <w:r/>
          </w:p>
        </w:tc>
        <w:tc>
          <w:tcPr>
            <w:tcW w:w="6330" w:type="dxa"/>
            <w:vAlign w:val="center"/>
            <w:textDirection w:val="lrTb"/>
            <w:noWrap w:val="false"/>
          </w:tcPr>
          <w:p>
            <w:pPr>
              <w:pStyle w:val="869"/>
              <w:ind w:left="0" w:right="0"/>
              <w:jc w:val="both"/>
              <w:keepLines w:val="0"/>
              <w:keepNext w:val="0"/>
              <w:spacing w:before="0" w:beforeAutospacing="0" w:after="0" w:afterAutospacing="0" w:line="264" w:lineRule="auto"/>
              <w:widowControl w:val="off"/>
              <w:rPr>
                <w:rFonts w:hint="eastAsia" w:ascii="宋体" w:hAnsi="宋体" w:eastAsia="宋体" w:cs="宋体"/>
                <w:spacing w:val="1"/>
                <w:sz w:val="21"/>
                <w:szCs w:val="21"/>
                <w:highlight w:val="none"/>
              </w:rPr>
              <w:suppressLineNumbers w:val="0"/>
            </w:pPr>
            <w:r>
              <w:rPr>
                <w:rFonts w:hint="eastAsia" w:ascii="宋体" w:hAnsi="宋体" w:eastAsia="宋体" w:cs="宋体"/>
                <w:sz w:val="21"/>
                <w:szCs w:val="21"/>
                <w:highlight w:val="none"/>
                <w:lang w:val="en-US" w:eastAsia="zh-CN" w:bidi="ar"/>
              </w:rPr>
              <w:t xml:space="preserve">产品技术参数全部满足招标要求的得满分，打★指标为必须满足项，如有负偏离将作为无效投标，打▲指标（共2项）项为重要指标，有1项负偏离扣2分，其余指标项有1项负偏离扣0.2分。</w:t>
            </w:r>
            <w:r>
              <w:rPr>
                <w:rFonts w:hint="eastAsia" w:ascii="宋体" w:hAnsi="宋体" w:eastAsia="宋体" w:cs="宋体"/>
                <w:spacing w:val="1"/>
                <w:sz w:val="21"/>
                <w:szCs w:val="21"/>
                <w:highlight w:val="none"/>
              </w:rPr>
            </w:r>
            <w:r/>
          </w:p>
        </w:tc>
        <w:tc>
          <w:tcPr>
            <w:tcW w:w="647"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23</w:t>
            </w:r>
            <w:r>
              <w:rPr>
                <w:rFonts w:ascii="宋体" w:hAnsi="宋体" w:eastAsia="宋体" w:cs="宋体"/>
                <w:sz w:val="21"/>
                <w:szCs w:val="21"/>
                <w:highlight w:val="none"/>
                <w:lang w:val="en-US"/>
              </w:rPr>
            </w:r>
            <w:r/>
          </w:p>
        </w:tc>
        <w:tc>
          <w:tcPr>
            <w:tcW w:w="900"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客</w:t>
            </w:r>
            <w:r>
              <w:rPr>
                <w:rFonts w:hint="eastAsia" w:ascii="宋体" w:hAnsi="宋体" w:eastAsia="宋体" w:cs="宋体"/>
                <w:spacing w:val="-4"/>
                <w:sz w:val="21"/>
                <w:szCs w:val="21"/>
                <w:highlight w:val="none"/>
                <w:lang w:val="en-US" w:eastAsia="zh-CN" w:bidi="ar"/>
              </w:rPr>
              <w:t xml:space="preserve">观分</w:t>
            </w:r>
            <w:r>
              <w:rPr>
                <w:rFonts w:hint="eastAsia" w:ascii="宋体" w:hAnsi="宋体" w:eastAsia="宋体" w:cs="宋体"/>
                <w:sz w:val="21"/>
                <w:szCs w:val="21"/>
                <w:highlight w:val="none"/>
              </w:rPr>
            </w:r>
            <w:r/>
          </w:p>
        </w:tc>
      </w:tr>
      <w:tr>
        <w:trPr>
          <w:trHeight w:val="889"/>
        </w:trPr>
        <w:tc>
          <w:tcPr>
            <w:tcW w:w="519"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hint="eastAsia" w:ascii="宋体" w:hAnsi="宋体" w:eastAsia="宋体" w:cs="宋体"/>
                <w:spacing w:val="-2"/>
                <w:sz w:val="21"/>
                <w:szCs w:val="21"/>
                <w:highlight w:val="none"/>
              </w:rPr>
              <w:suppressLineNumbers w:val="0"/>
            </w:pPr>
            <w:r>
              <w:rPr>
                <w:rFonts w:hint="eastAsia" w:ascii="宋体" w:hAnsi="宋体" w:eastAsia="宋体" w:cs="宋体"/>
                <w:spacing w:val="-2"/>
                <w:sz w:val="21"/>
                <w:szCs w:val="21"/>
                <w:highlight w:val="none"/>
                <w:lang w:val="en-US" w:eastAsia="zh-CN" w:bidi="ar"/>
              </w:rPr>
              <w:t xml:space="preserve">2.2</w:t>
            </w:r>
            <w:r>
              <w:rPr>
                <w:rFonts w:hint="eastAsia" w:ascii="宋体" w:hAnsi="宋体" w:eastAsia="宋体" w:cs="宋体"/>
                <w:spacing w:val="-2"/>
                <w:sz w:val="21"/>
                <w:szCs w:val="21"/>
                <w:highlight w:val="none"/>
              </w:rPr>
            </w:r>
            <w:r/>
          </w:p>
        </w:tc>
        <w:tc>
          <w:tcPr>
            <w:tcW w:w="1179" w:type="dxa"/>
            <w:vAlign w:val="center"/>
            <w:textDirection w:val="lrTb"/>
            <w:noWrap w:val="false"/>
          </w:tcPr>
          <w:p>
            <w:pPr>
              <w:pStyle w:val="869"/>
              <w:ind w:left="0" w:right="0"/>
              <w:jc w:val="left"/>
              <w:keepLines w:val="0"/>
              <w:keepNext w:val="0"/>
              <w:spacing w:before="68" w:beforeAutospacing="0" w:after="0" w:afterAutospacing="0" w:line="264" w:lineRule="auto"/>
              <w:widowControl w:val="off"/>
              <w:rPr>
                <w:rFonts w:hint="eastAsia" w:ascii="宋体" w:hAnsi="宋体" w:eastAsia="宋体" w:cs="宋体"/>
                <w:spacing w:val="0"/>
                <w:sz w:val="21"/>
                <w:szCs w:val="21"/>
                <w:highlight w:val="none"/>
              </w:rPr>
              <w:suppressLineNumbers w:val="0"/>
            </w:pPr>
            <w:r>
              <w:rPr>
                <w:rFonts w:hint="eastAsia" w:ascii="宋体" w:hAnsi="宋体" w:eastAsia="宋体" w:cs="宋体"/>
                <w:spacing w:val="0"/>
                <w:sz w:val="21"/>
                <w:szCs w:val="21"/>
                <w:highlight w:val="none"/>
                <w:lang w:val="en-US" w:eastAsia="zh-CN" w:bidi="ar"/>
              </w:rPr>
              <w:t xml:space="preserve">深化设计</w:t>
            </w:r>
            <w:r>
              <w:rPr>
                <w:rFonts w:hint="eastAsia" w:ascii="宋体" w:hAnsi="宋体" w:eastAsia="宋体" w:cs="宋体"/>
                <w:spacing w:val="0"/>
                <w:sz w:val="21"/>
                <w:szCs w:val="21"/>
                <w:highlight w:val="none"/>
              </w:rPr>
            </w:r>
            <w:r/>
          </w:p>
        </w:tc>
        <w:tc>
          <w:tcPr>
            <w:tcW w:w="6330" w:type="dxa"/>
            <w:vAlign w:val="center"/>
            <w:textDirection w:val="lrTb"/>
            <w:noWrap w:val="false"/>
          </w:tcPr>
          <w:p>
            <w:pPr>
              <w:pStyle w:val="869"/>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none"/>
              </w:rPr>
              <w:suppressLineNumbers w:val="0"/>
            </w:pPr>
            <w:r/>
            <w:bookmarkStart w:id="198" w:name="OLE_LINK5"/>
            <w:r>
              <w:rPr>
                <w:rFonts w:hint="eastAsia" w:ascii="宋体" w:hAnsi="宋体" w:eastAsia="宋体" w:cs="宋体"/>
                <w:sz w:val="21"/>
                <w:szCs w:val="21"/>
                <w:highlight w:val="none"/>
                <w:lang w:val="en-US" w:eastAsia="zh-CN" w:bidi="ar"/>
              </w:rPr>
              <w:t xml:space="preserve">根据本项目采购需求及相关要求编制方案，内容包含：</w:t>
            </w:r>
            <w:r>
              <w:rPr>
                <w:rFonts w:ascii="Times New Roman" w:hAnsi="Times New Roman" w:eastAsia="宋体" w:cs="Times New Roman"/>
                <w:sz w:val="21"/>
                <w:szCs w:val="21"/>
                <w:highlight w:val="none"/>
                <w:lang w:val="en-US" w:eastAsia="zh-CN" w:bidi="ar"/>
              </w:rPr>
              <w:t xml:space="preserve">1.</w:t>
            </w:r>
            <w:r>
              <w:rPr>
                <w:rFonts w:hint="eastAsia" w:ascii="宋体" w:hAnsi="宋体" w:eastAsia="宋体" w:cs="宋体"/>
                <w:sz w:val="21"/>
                <w:szCs w:val="21"/>
                <w:highlight w:val="none"/>
                <w:lang w:val="en-US" w:eastAsia="zh-CN" w:bidi="ar"/>
              </w:rPr>
              <w:t xml:space="preserve">科学教室效果图；</w:t>
            </w:r>
            <w:r>
              <w:rPr>
                <w:rFonts w:ascii="Times New Roman" w:hAnsi="Times New Roman" w:eastAsia="宋体" w:cs="Times New Roman"/>
                <w:sz w:val="21"/>
                <w:szCs w:val="21"/>
                <w:highlight w:val="none"/>
                <w:lang w:val="en-US" w:eastAsia="zh-CN" w:bidi="ar"/>
              </w:rPr>
              <w:t xml:space="preserve">2.</w:t>
            </w:r>
            <w:r>
              <w:rPr>
                <w:rFonts w:hint="eastAsia" w:ascii="宋体" w:hAnsi="宋体" w:eastAsia="宋体" w:cs="宋体"/>
                <w:sz w:val="21"/>
                <w:szCs w:val="21"/>
                <w:highlight w:val="none"/>
                <w:lang w:val="en-US" w:eastAsia="zh-CN" w:bidi="ar"/>
              </w:rPr>
              <w:t xml:space="preserve">美术教室效果图；</w:t>
            </w:r>
            <w:r>
              <w:rPr>
                <w:rFonts w:ascii="Times New Roman" w:hAnsi="Times New Roman" w:eastAsia="宋体" w:cs="Times New Roman"/>
                <w:sz w:val="21"/>
                <w:szCs w:val="21"/>
                <w:highlight w:val="none"/>
                <w:lang w:val="en-US" w:eastAsia="zh-CN" w:bidi="ar"/>
              </w:rPr>
              <w:t xml:space="preserve">3.</w:t>
            </w:r>
            <w:r>
              <w:rPr>
                <w:rFonts w:hint="eastAsia" w:ascii="宋体" w:hAnsi="宋体" w:eastAsia="宋体" w:cs="宋体"/>
                <w:sz w:val="21"/>
                <w:szCs w:val="21"/>
                <w:highlight w:val="none"/>
                <w:lang w:val="en-US" w:eastAsia="zh-CN" w:bidi="ar"/>
              </w:rPr>
              <w:t xml:space="preserve">书法教室效果图</w:t>
            </w:r>
            <w:bookmarkEnd w:id="198"/>
            <w:r>
              <w:rPr>
                <w:rFonts w:hint="eastAsia" w:ascii="宋体" w:hAnsi="宋体" w:eastAsia="宋体" w:cs="宋体"/>
                <w:sz w:val="21"/>
                <w:szCs w:val="21"/>
                <w:highlight w:val="none"/>
                <w:lang w:val="en-US" w:eastAsia="zh-CN" w:bidi="ar"/>
              </w:rPr>
              <w:t xml:space="preserve">。以上每项内容逐项评分：</w:t>
            </w:r>
            <w:r>
              <w:rPr>
                <w:rFonts w:hint="eastAsia" w:ascii="Times New Roman" w:hAnsi="Times New Roman" w:eastAsia="宋体" w:cs="Times New Roman"/>
                <w:sz w:val="21"/>
                <w:szCs w:val="21"/>
                <w:highlight w:val="none"/>
              </w:rPr>
            </w:r>
            <w:r/>
          </w:p>
          <w:p>
            <w:pPr>
              <w:pStyle w:val="869"/>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none"/>
              </w:rPr>
              <w:suppressLineNumbers w:val="0"/>
            </w:pPr>
            <w:r>
              <w:rPr>
                <w:rFonts w:hint="eastAsia" w:ascii="宋体" w:hAnsi="宋体" w:eastAsia="宋体" w:cs="宋体"/>
                <w:sz w:val="21"/>
                <w:szCs w:val="21"/>
                <w:highlight w:val="none"/>
                <w:lang w:val="en-US" w:eastAsia="zh-CN" w:bidi="ar"/>
              </w:rPr>
              <w:t xml:space="preserve">方案内容与提供的平面布置图对应，功能区域布局合理，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sz w:val="21"/>
                <w:szCs w:val="21"/>
                <w:highlight w:val="none"/>
              </w:rPr>
            </w:r>
            <w:r/>
          </w:p>
          <w:p>
            <w:pPr>
              <w:pStyle w:val="869"/>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none"/>
              </w:rPr>
              <w:suppressLineNumbers w:val="0"/>
            </w:pPr>
            <w:r>
              <w:rPr>
                <w:rFonts w:hint="eastAsia" w:ascii="宋体" w:hAnsi="宋体" w:eastAsia="宋体" w:cs="宋体"/>
                <w:sz w:val="21"/>
                <w:szCs w:val="21"/>
                <w:highlight w:val="none"/>
                <w:lang w:val="en-US" w:eastAsia="zh-CN" w:bidi="ar"/>
              </w:rPr>
              <w:t xml:space="preserve">上述每项内容符合得</w:t>
            </w:r>
            <w:r>
              <w:rPr>
                <w:rFonts w:ascii="Times New Roman" w:hAnsi="Times New Roman" w:eastAsia="宋体" w:cs="Times New Roman"/>
                <w:sz w:val="21"/>
                <w:szCs w:val="21"/>
                <w:highlight w:val="none"/>
                <w:lang w:val="en-US" w:eastAsia="zh-CN" w:bidi="ar"/>
              </w:rPr>
              <w:t xml:space="preserve">2</w:t>
            </w:r>
            <w:r>
              <w:rPr>
                <w:rFonts w:hint="eastAsia" w:ascii="宋体" w:hAnsi="宋体" w:eastAsia="宋体" w:cs="宋体"/>
                <w:sz w:val="21"/>
                <w:szCs w:val="21"/>
                <w:highlight w:val="none"/>
                <w:lang w:val="en-US" w:eastAsia="zh-CN" w:bidi="ar"/>
              </w:rPr>
              <w:t xml:space="preserve">分；部分符合得</w:t>
            </w:r>
            <w:r>
              <w:rPr>
                <w:rFonts w:ascii="Times New Roman" w:hAnsi="Times New Roman" w:eastAsia="宋体" w:cs="Times New Roman"/>
                <w:sz w:val="21"/>
                <w:szCs w:val="21"/>
                <w:highlight w:val="none"/>
                <w:lang w:val="en-US" w:eastAsia="zh-CN" w:bidi="ar"/>
              </w:rPr>
              <w:t xml:space="preserve">1</w:t>
            </w:r>
            <w:r>
              <w:rPr>
                <w:rFonts w:hint="eastAsia" w:ascii="宋体" w:hAnsi="宋体" w:eastAsia="宋体" w:cs="宋体"/>
                <w:sz w:val="21"/>
                <w:szCs w:val="21"/>
                <w:highlight w:val="none"/>
                <w:lang w:val="en-US" w:eastAsia="zh-CN" w:bidi="ar"/>
              </w:rPr>
              <w:t xml:space="preserve">分；不符合或不提供不得分。</w:t>
            </w:r>
            <w:r>
              <w:rPr>
                <w:rFonts w:hint="eastAsia" w:ascii="Times New Roman" w:hAnsi="Times New Roman" w:eastAsia="宋体" w:cs="Times New Roman"/>
                <w:sz w:val="21"/>
                <w:szCs w:val="21"/>
                <w:highlight w:val="none"/>
              </w:rPr>
            </w:r>
            <w:r/>
          </w:p>
        </w:tc>
        <w:tc>
          <w:tcPr>
            <w:tcW w:w="647"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6</w:t>
            </w:r>
            <w:r>
              <w:rPr>
                <w:rFonts w:hint="eastAsia" w:ascii="宋体" w:hAnsi="宋体" w:eastAsia="宋体" w:cs="宋体"/>
                <w:sz w:val="21"/>
                <w:szCs w:val="21"/>
                <w:highlight w:val="none"/>
              </w:rPr>
            </w:r>
            <w:r/>
          </w:p>
        </w:tc>
        <w:tc>
          <w:tcPr>
            <w:tcW w:w="900"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主观分</w:t>
            </w:r>
            <w:r>
              <w:rPr>
                <w:rFonts w:hint="eastAsia" w:ascii="宋体" w:hAnsi="宋体" w:eastAsia="宋体" w:cs="宋体"/>
                <w:sz w:val="21"/>
                <w:szCs w:val="21"/>
                <w:highlight w:val="none"/>
              </w:rPr>
            </w:r>
            <w:r/>
          </w:p>
        </w:tc>
      </w:tr>
      <w:tr>
        <w:trPr>
          <w:trHeight w:val="889"/>
        </w:trPr>
        <w:tc>
          <w:tcPr>
            <w:tcW w:w="519"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hint="eastAsia" w:ascii="宋体" w:hAnsi="宋体" w:eastAsia="宋体" w:cs="宋体"/>
                <w:spacing w:val="-2"/>
                <w:sz w:val="21"/>
                <w:szCs w:val="21"/>
                <w:highlight w:val="none"/>
              </w:rPr>
              <w:suppressLineNumbers w:val="0"/>
            </w:pPr>
            <w:r>
              <w:rPr>
                <w:rFonts w:hint="eastAsia" w:ascii="宋体" w:hAnsi="宋体" w:eastAsia="宋体" w:cs="宋体"/>
                <w:spacing w:val="-2"/>
                <w:sz w:val="21"/>
                <w:szCs w:val="21"/>
                <w:highlight w:val="none"/>
                <w:lang w:val="en-US" w:eastAsia="zh-CN" w:bidi="ar"/>
              </w:rPr>
              <w:t xml:space="preserve">2.3</w:t>
            </w:r>
            <w:r>
              <w:rPr>
                <w:rFonts w:hint="eastAsia" w:ascii="宋体" w:hAnsi="宋体" w:eastAsia="宋体" w:cs="宋体"/>
                <w:spacing w:val="-2"/>
                <w:sz w:val="21"/>
                <w:szCs w:val="21"/>
                <w:highlight w:val="none"/>
              </w:rPr>
            </w:r>
            <w:r/>
          </w:p>
        </w:tc>
        <w:tc>
          <w:tcPr>
            <w:tcW w:w="1179" w:type="dxa"/>
            <w:vAlign w:val="center"/>
            <w:textDirection w:val="lrTb"/>
            <w:noWrap w:val="false"/>
          </w:tcPr>
          <w:p>
            <w:pPr>
              <w:pStyle w:val="869"/>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none"/>
              </w:rPr>
              <w:suppressLineNumbers w:val="0"/>
            </w:pPr>
            <w:r>
              <w:rPr>
                <w:rFonts w:hint="eastAsia" w:ascii="宋体" w:hAnsi="宋体" w:eastAsia="宋体" w:cs="宋体"/>
                <w:sz w:val="21"/>
                <w:szCs w:val="21"/>
                <w:highlight w:val="none"/>
                <w:lang w:val="en-US" w:eastAsia="zh-CN" w:bidi="ar"/>
              </w:rPr>
              <w:t xml:space="preserve">成品检测报告</w:t>
            </w:r>
            <w:r>
              <w:rPr>
                <w:rFonts w:hint="eastAsia" w:ascii="Times New Roman" w:hAnsi="Times New Roman" w:eastAsia="宋体" w:cs="Times New Roman"/>
                <w:sz w:val="21"/>
                <w:szCs w:val="21"/>
                <w:highlight w:val="none"/>
              </w:rPr>
            </w:r>
            <w:r/>
          </w:p>
        </w:tc>
        <w:tc>
          <w:tcPr>
            <w:tcW w:w="6330" w:type="dxa"/>
            <w:vAlign w:val="center"/>
            <w:textDirection w:val="lrTb"/>
            <w:noWrap w:val="false"/>
          </w:tcPr>
          <w:p>
            <w:pPr>
              <w:pStyle w:val="869"/>
              <w:ind w:left="0" w:right="0"/>
              <w:jc w:val="both"/>
              <w:keepLines w:val="0"/>
              <w:keepNext w:val="0"/>
              <w:spacing w:before="0" w:beforeAutospacing="0" w:after="0" w:afterAutospacing="0"/>
              <w:widowControl w:val="off"/>
              <w:rPr>
                <w:rFonts w:hint="eastAsia" w:ascii="宋体" w:hAnsi="宋体" w:eastAsia="宋体" w:cs="宋体"/>
                <w:color w:val="000000"/>
                <w:sz w:val="21"/>
                <w:szCs w:val="21"/>
                <w:highlight w:val="none"/>
              </w:rPr>
              <w:suppressLineNumbers w:val="0"/>
            </w:pPr>
            <w:r>
              <w:rPr>
                <w:rStyle w:val="999"/>
                <w:rFonts w:hint="eastAsia" w:ascii="宋体" w:hAnsi="宋体" w:eastAsia="宋体" w:cs="宋体"/>
                <w:color w:val="000000"/>
                <w:sz w:val="21"/>
                <w:szCs w:val="21"/>
                <w:highlight w:val="none"/>
                <w:lang w:val="en-US" w:eastAsia="zh-CN" w:bidi="ar"/>
              </w:rPr>
              <w:t xml:space="preserve">投标人或所投产品制造商提供</w:t>
            </w:r>
            <w:r>
              <w:rPr>
                <w:rFonts w:hint="eastAsia" w:ascii="宋体" w:hAnsi="宋体" w:eastAsia="宋体" w:cs="宋体"/>
                <w:color w:val="000000"/>
                <w:sz w:val="21"/>
                <w:szCs w:val="21"/>
                <w:highlight w:val="none"/>
                <w:lang w:val="en-US" w:eastAsia="zh-CN" w:bidi="ar"/>
              </w:rPr>
              <w:t xml:space="preserve">以下产品第三方检测报告，检测内容</w:t>
            </w:r>
            <w:r>
              <w:rPr>
                <w:rStyle w:val="999"/>
                <w:rFonts w:hint="eastAsia" w:ascii="宋体" w:hAnsi="宋体" w:eastAsia="宋体" w:cs="宋体"/>
                <w:color w:val="000000"/>
                <w:sz w:val="21"/>
                <w:szCs w:val="21"/>
                <w:highlight w:val="none"/>
                <w:lang w:val="en-US" w:eastAsia="zh-CN" w:bidi="ar"/>
              </w:rPr>
              <w:t xml:space="preserve">如下</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rPr>
            </w:r>
            <w:r/>
          </w:p>
          <w:p>
            <w:pPr>
              <w:pStyle w:val="869"/>
              <w:ind w:left="0" w:right="0"/>
              <w:jc w:val="both"/>
              <w:keepLines w:val="0"/>
              <w:keepNext w:val="0"/>
              <w:spacing w:before="0" w:beforeAutospacing="0" w:after="0" w:afterAutospacing="0"/>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1、激光智慧黑板（产品清单33）</w:t>
            </w:r>
            <w:r>
              <w:rPr>
                <w:rFonts w:hint="eastAsia" w:ascii="宋体" w:hAnsi="宋体" w:eastAsia="宋体" w:cs="宋体"/>
                <w:color w:val="000000"/>
                <w:sz w:val="21"/>
                <w:szCs w:val="21"/>
                <w:highlight w:val="none"/>
              </w:rPr>
            </w:r>
            <w:r/>
          </w:p>
          <w:p>
            <w:pPr>
              <w:pStyle w:val="869"/>
              <w:ind w:left="0" w:right="0"/>
              <w:jc w:val="left"/>
              <w:keepLines w:val="0"/>
              <w:keepNext w:val="0"/>
              <w:spacing w:before="0" w:beforeAutospacing="0" w:after="0" w:afterAutospacing="0" w:line="264"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安装便捷精准，整机顶部中央位置竖直向下设置有安装插槽，搭配专用激光显示单元使用，激光显示单元底部设置有插入安装在插槽内的安装支架，方便使用者在安装过程中将激光显示单元直接插入安装插槽，即可完成安装，整机无需进行画面校准； </w:t>
            </w:r>
            <w:r>
              <w:rPr>
                <w:rFonts w:hint="eastAsia" w:ascii="宋体" w:hAnsi="宋体" w:eastAsia="宋体" w:cs="宋体"/>
                <w:color w:val="000000"/>
                <w:sz w:val="21"/>
                <w:szCs w:val="21"/>
                <w:highlight w:val="none"/>
              </w:rPr>
            </w:r>
            <w:r/>
          </w:p>
          <w:p>
            <w:pPr>
              <w:pStyle w:val="869"/>
              <w:ind w:left="0" w:right="0"/>
              <w:jc w:val="left"/>
              <w:keepLines w:val="0"/>
              <w:keepNext w:val="0"/>
              <w:spacing w:before="0" w:beforeAutospacing="0" w:after="0" w:afterAutospacing="0" w:line="264"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（2）整机具有不少于7个前置物理按键，物理按键具有不少于七种常用功能的操作，至少包含音量加、音量减、图像比例、录屏、护眼、设置、开关机等功能，且具备单独的隐藏针孔式电脑一键还原按钮；</w:t>
            </w:r>
            <w:r>
              <w:rPr>
                <w:rFonts w:hint="eastAsia" w:ascii="宋体" w:hAnsi="宋体" w:eastAsia="宋体" w:cs="宋体"/>
                <w:color w:val="000000"/>
                <w:sz w:val="21"/>
                <w:szCs w:val="21"/>
                <w:highlight w:val="none"/>
              </w:rPr>
            </w:r>
            <w:r/>
          </w:p>
          <w:p>
            <w:pPr>
              <w:pStyle w:val="869"/>
              <w:ind w:left="0" w:right="0"/>
              <w:jc w:val="left"/>
              <w:keepLines w:val="0"/>
              <w:keepNext w:val="0"/>
              <w:spacing w:before="0" w:beforeAutospacing="0" w:after="0" w:afterAutospacing="0" w:line="264"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（3）设备支持NFC投屏功能：可搭配具NFC功能的手机、平板等设备触碰设备上的NFC标签，实现设备碰一碰投屏，可实现包含音频及图像视频等投屏，且可以同时支持四画面投屏，方便对比及使用；</w:t>
            </w:r>
            <w:r>
              <w:rPr>
                <w:rFonts w:hint="eastAsia" w:ascii="宋体" w:hAnsi="宋体" w:eastAsia="宋体" w:cs="宋体"/>
                <w:color w:val="000000"/>
                <w:sz w:val="21"/>
                <w:szCs w:val="21"/>
                <w:highlight w:val="none"/>
              </w:rPr>
            </w:r>
            <w:r/>
          </w:p>
          <w:p>
            <w:pPr>
              <w:pStyle w:val="869"/>
              <w:ind w:left="0" w:right="0"/>
              <w:jc w:val="left"/>
              <w:keepLines w:val="0"/>
              <w:keepNext w:val="0"/>
              <w:spacing w:before="0" w:beforeAutospacing="0" w:after="0" w:afterAutospacing="0" w:line="264"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4）为了提高产品售后维护方便和维护人身安全，激光显示单元供电不得高于人身安全电压36V供电；强电部分电源模块位于黑板主机背部，激光黑板（含激光显示单元）供电只允许一路强电220V输入，不接受激光显示单元和黑板分开供电。</w:t>
            </w:r>
            <w:r>
              <w:rPr>
                <w:rFonts w:hint="eastAsia" w:ascii="宋体" w:hAnsi="宋体" w:eastAsia="宋体" w:cs="宋体"/>
                <w:color w:val="000000"/>
                <w:sz w:val="21"/>
                <w:szCs w:val="21"/>
                <w:highlight w:val="none"/>
              </w:rPr>
            </w:r>
            <w:r/>
          </w:p>
          <w:p>
            <w:pPr>
              <w:pStyle w:val="869"/>
              <w:ind w:left="0" w:right="0"/>
              <w:jc w:val="left"/>
              <w:keepLines w:val="0"/>
              <w:keepNext w:val="0"/>
              <w:spacing w:before="0" w:beforeAutospacing="0" w:after="0" w:afterAutospacing="0" w:line="264"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以上检测内容每项满足要求得1分，最多得4分。</w:t>
            </w:r>
            <w:r>
              <w:rPr>
                <w:rFonts w:hint="eastAsia" w:ascii="宋体" w:hAnsi="宋体" w:eastAsia="宋体" w:cs="宋体"/>
                <w:color w:val="000000"/>
                <w:sz w:val="21"/>
                <w:szCs w:val="21"/>
                <w:highlight w:val="none"/>
              </w:rPr>
            </w:r>
            <w:r/>
          </w:p>
          <w:p>
            <w:pPr>
              <w:pStyle w:val="869"/>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备注：所提供检测报告中“</w:t>
            </w:r>
            <w:r>
              <w:rPr>
                <w:rStyle w:val="999"/>
                <w:rFonts w:hint="eastAsia" w:ascii="宋体" w:hAnsi="宋体" w:eastAsia="宋体" w:cs="宋体"/>
                <w:color w:val="000000"/>
                <w:sz w:val="21"/>
                <w:szCs w:val="21"/>
                <w:highlight w:val="none"/>
                <w:lang w:val="en-US" w:eastAsia="zh-CN" w:bidi="ar"/>
              </w:rPr>
              <w:t xml:space="preserve">产品名称和</w:t>
            </w:r>
            <w:r>
              <w:rPr>
                <w:rFonts w:hint="eastAsia" w:ascii="宋体" w:hAnsi="宋体" w:eastAsia="宋体" w:cs="宋体"/>
                <w:color w:val="000000"/>
                <w:sz w:val="21"/>
                <w:szCs w:val="21"/>
                <w:highlight w:val="none"/>
                <w:lang w:val="en-US" w:eastAsia="zh-CN" w:bidi="ar"/>
              </w:rPr>
              <w:t xml:space="preserve">检测内容”与</w:t>
            </w:r>
            <w:r>
              <w:rPr>
                <w:rStyle w:val="999"/>
                <w:rFonts w:hint="eastAsia" w:ascii="宋体" w:hAnsi="宋体" w:eastAsia="宋体" w:cs="宋体"/>
                <w:color w:val="000000"/>
                <w:sz w:val="21"/>
                <w:szCs w:val="21"/>
                <w:highlight w:val="none"/>
                <w:lang w:val="en-US" w:eastAsia="zh-CN" w:bidi="ar"/>
              </w:rPr>
              <w:t xml:space="preserve">评分细则规定</w:t>
            </w:r>
            <w:r>
              <w:rPr>
                <w:rFonts w:hint="eastAsia" w:ascii="宋体" w:hAnsi="宋体" w:eastAsia="宋体" w:cs="宋体"/>
                <w:color w:val="000000"/>
                <w:sz w:val="21"/>
                <w:szCs w:val="21"/>
                <w:highlight w:val="none"/>
                <w:lang w:val="en-US" w:eastAsia="zh-CN" w:bidi="ar"/>
              </w:rPr>
              <w:t xml:space="preserve">不同时，应提供符合上述要求的内容（功能）说明及关键信息，否则不予认可。为方便评委评审，功能参数可用箭头、标红或下划线等进行明显标注。</w:t>
            </w:r>
            <w:r>
              <w:rPr>
                <w:rFonts w:hint="eastAsia" w:ascii="Times New Roman" w:hAnsi="Times New Roman" w:eastAsia="宋体" w:cs="Times New Roman"/>
                <w:sz w:val="21"/>
                <w:szCs w:val="21"/>
                <w:highlight w:val="none"/>
              </w:rPr>
            </w:r>
            <w:r/>
          </w:p>
        </w:tc>
        <w:tc>
          <w:tcPr>
            <w:tcW w:w="647"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w:t>
            </w:r>
            <w:r>
              <w:rPr>
                <w:rFonts w:hint="eastAsia" w:ascii="宋体" w:hAnsi="宋体" w:eastAsia="宋体" w:cs="宋体"/>
                <w:sz w:val="21"/>
                <w:szCs w:val="21"/>
                <w:highlight w:val="none"/>
              </w:rPr>
            </w:r>
            <w:r/>
          </w:p>
        </w:tc>
        <w:tc>
          <w:tcPr>
            <w:tcW w:w="900"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客</w:t>
            </w:r>
            <w:r>
              <w:rPr>
                <w:rFonts w:hint="eastAsia" w:ascii="宋体" w:hAnsi="宋体" w:eastAsia="宋体" w:cs="宋体"/>
                <w:spacing w:val="-4"/>
                <w:sz w:val="21"/>
                <w:szCs w:val="21"/>
                <w:highlight w:val="none"/>
                <w:lang w:val="en-US" w:eastAsia="zh-CN" w:bidi="ar"/>
              </w:rPr>
              <w:t xml:space="preserve">观分</w:t>
            </w:r>
            <w:r>
              <w:rPr>
                <w:rFonts w:hint="eastAsia" w:ascii="宋体" w:hAnsi="宋体" w:eastAsia="宋体" w:cs="宋体"/>
                <w:sz w:val="21"/>
                <w:szCs w:val="21"/>
                <w:highlight w:val="none"/>
              </w:rPr>
            </w:r>
            <w:r/>
          </w:p>
        </w:tc>
      </w:tr>
      <w:tr>
        <w:trPr>
          <w:trHeight w:val="889"/>
        </w:trPr>
        <w:tc>
          <w:tcPr>
            <w:tcW w:w="519"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hint="eastAsia" w:ascii="宋体" w:hAnsi="宋体" w:eastAsia="宋体" w:cs="宋体"/>
                <w:spacing w:val="-2"/>
                <w:sz w:val="21"/>
                <w:szCs w:val="21"/>
                <w:highlight w:val="none"/>
              </w:rPr>
              <w:suppressLineNumbers w:val="0"/>
            </w:pPr>
            <w:r>
              <w:rPr>
                <w:rFonts w:hint="eastAsia" w:ascii="宋体" w:hAnsi="宋体" w:eastAsia="宋体" w:cs="宋体"/>
                <w:spacing w:val="-2"/>
                <w:sz w:val="21"/>
                <w:szCs w:val="21"/>
                <w:highlight w:val="none"/>
                <w:lang w:val="en-US" w:eastAsia="zh-CN" w:bidi="ar"/>
              </w:rPr>
              <w:t xml:space="preserve">2.4</w:t>
            </w:r>
            <w:r>
              <w:rPr>
                <w:rFonts w:hint="eastAsia" w:ascii="宋体" w:hAnsi="宋体" w:eastAsia="宋体" w:cs="宋体"/>
                <w:spacing w:val="-2"/>
                <w:sz w:val="21"/>
                <w:szCs w:val="21"/>
                <w:highlight w:val="none"/>
              </w:rPr>
            </w:r>
            <w:r/>
          </w:p>
        </w:tc>
        <w:tc>
          <w:tcPr>
            <w:tcW w:w="1179" w:type="dxa"/>
            <w:vAlign w:val="center"/>
            <w:textDirection w:val="lrTb"/>
            <w:noWrap w:val="false"/>
          </w:tcPr>
          <w:p>
            <w:pPr>
              <w:pStyle w:val="869"/>
              <w:ind w:left="0" w:right="0"/>
              <w:jc w:val="left"/>
              <w:keepLines w:val="0"/>
              <w:keepNext w:val="0"/>
              <w:spacing w:before="68" w:beforeAutospacing="0" w:after="0" w:afterAutospacing="0" w:line="264" w:lineRule="auto"/>
              <w:widowControl w:val="off"/>
              <w:rPr>
                <w:rFonts w:ascii="宋体" w:hAnsi="宋体" w:eastAsia="宋体" w:cs="宋体"/>
                <w:spacing w:val="-2"/>
                <w:sz w:val="21"/>
                <w:szCs w:val="21"/>
                <w:highlight w:val="none"/>
                <w:lang w:val="en-US"/>
              </w:rPr>
              <w:suppressLineNumbers w:val="0"/>
            </w:pPr>
            <w:r>
              <w:rPr>
                <w:rFonts w:hint="eastAsia" w:ascii="宋体" w:hAnsi="宋体" w:eastAsia="宋体" w:cs="宋体"/>
                <w:spacing w:val="0"/>
                <w:sz w:val="21"/>
                <w:szCs w:val="21"/>
                <w:highlight w:val="none"/>
                <w:lang w:val="en-US" w:eastAsia="zh-CN" w:bidi="ar"/>
              </w:rPr>
              <w:t xml:space="preserve">视频演示1</w:t>
            </w:r>
            <w:r>
              <w:rPr>
                <w:rFonts w:ascii="宋体" w:hAnsi="宋体" w:eastAsia="宋体" w:cs="宋体"/>
                <w:spacing w:val="-2"/>
                <w:sz w:val="21"/>
                <w:szCs w:val="21"/>
                <w:highlight w:val="none"/>
                <w:lang w:val="en-US"/>
              </w:rPr>
            </w:r>
            <w:r/>
          </w:p>
        </w:tc>
        <w:tc>
          <w:tcPr>
            <w:tcW w:w="6330" w:type="dxa"/>
            <w:vAlign w:val="center"/>
            <w:textDirection w:val="lrTb"/>
            <w:noWrap w:val="false"/>
          </w:tcPr>
          <w:p>
            <w:pPr>
              <w:pStyle w:val="869"/>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评委根据投标人提供的人工智能基础套装（产品清</w:t>
            </w:r>
            <w:r>
              <w:rPr>
                <w:rFonts w:hint="eastAsia" w:ascii="宋体" w:hAnsi="宋体" w:eastAsia="宋体" w:cs="宋体"/>
                <w:color w:val="000000"/>
                <w:sz w:val="21"/>
                <w:szCs w:val="21"/>
                <w:highlight w:val="none"/>
                <w:lang w:val="en-US" w:eastAsia="zh-CN" w:bidi="ar"/>
              </w:rPr>
              <w:t xml:space="preserve">单59）</w:t>
            </w:r>
            <w:r>
              <w:rPr>
                <w:rFonts w:hint="eastAsia" w:ascii="宋体" w:hAnsi="宋体" w:eastAsia="宋体" w:cs="宋体"/>
                <w:sz w:val="21"/>
                <w:szCs w:val="21"/>
                <w:highlight w:val="none"/>
                <w:lang w:val="en-US" w:eastAsia="zh-CN" w:bidi="ar"/>
              </w:rPr>
              <w:t xml:space="preserve">产品视频演示情况综合评分（每家投标人视频时长总计不超过5分钟）：</w:t>
            </w:r>
            <w:r>
              <w:rPr>
                <w:rFonts w:hint="eastAsia" w:ascii="宋体" w:hAnsi="宋体" w:eastAsia="宋体" w:cs="宋体"/>
                <w:sz w:val="21"/>
                <w:szCs w:val="21"/>
                <w:highlight w:val="none"/>
              </w:rPr>
            </w:r>
            <w:r/>
          </w:p>
          <w:p>
            <w:pPr>
              <w:pStyle w:val="869"/>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1、人工智能基础套装-智能主控：</w:t>
            </w:r>
            <w:r>
              <w:rPr>
                <w:rFonts w:hint="eastAsia" w:ascii="宋体" w:hAnsi="宋体" w:eastAsia="宋体" w:cs="宋体"/>
                <w:sz w:val="21"/>
                <w:szCs w:val="21"/>
                <w:highlight w:val="none"/>
              </w:rPr>
            </w:r>
            <w:r/>
          </w:p>
          <w:p>
            <w:pPr>
              <w:pStyle w:val="869"/>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(1)演示智能主控开机界面，彩色显示，可清晰显示主控功能菜单，并且可以触摸控制；</w:t>
            </w:r>
            <w:r>
              <w:rPr>
                <w:rFonts w:hint="eastAsia" w:ascii="宋体" w:hAnsi="宋体" w:eastAsia="宋体" w:cs="宋体"/>
                <w:sz w:val="21"/>
                <w:szCs w:val="21"/>
                <w:highlight w:val="none"/>
              </w:rPr>
            </w:r>
            <w:r/>
          </w:p>
          <w:p>
            <w:pPr>
              <w:pStyle w:val="869"/>
              <w:ind w:left="0" w:right="0"/>
              <w:jc w:val="left"/>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(2)演示智能主控通过设备扫描键一键扫描附近的无线基座，至多可连接19个无线基座，并在主控屏幕上同时显示各无线基座的连接状态、电量及运行数据；                                               2、人工智能基础套装-无线基座</w:t>
            </w:r>
            <w:r>
              <w:rPr>
                <w:rFonts w:hint="eastAsia" w:ascii="宋体" w:hAnsi="宋体" w:eastAsia="宋体" w:cs="宋体"/>
                <w:sz w:val="21"/>
                <w:szCs w:val="21"/>
                <w:highlight w:val="none"/>
              </w:rPr>
            </w:r>
            <w:r/>
          </w:p>
          <w:p>
            <w:pPr>
              <w:pStyle w:val="869"/>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(1)演示无线基座通过磁吸接口与传感器&amp;执行器模块进行快速连接与拆卸，磁吸稳固，接触可靠，连接后模块数据可正常传输至主控；</w:t>
            </w:r>
            <w:r>
              <w:rPr>
                <w:rFonts w:hint="eastAsia" w:ascii="宋体" w:hAnsi="宋体" w:eastAsia="宋体" w:cs="宋体"/>
                <w:sz w:val="21"/>
                <w:szCs w:val="21"/>
                <w:highlight w:val="none"/>
              </w:rPr>
            </w:r>
            <w:r/>
          </w:p>
          <w:p>
            <w:pPr>
              <w:pStyle w:val="869"/>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(2)无线基座连接至智能主控上后，无线基座可以与传感器&amp;执行器模块随意组合。执行器模块磁吸至已连接的无线基座上后，长按按钮可以进入执行器测试指令;</w:t>
            </w:r>
            <w:r>
              <w:rPr>
                <w:rFonts w:hint="eastAsia" w:ascii="宋体" w:hAnsi="宋体" w:eastAsia="宋体" w:cs="宋体"/>
                <w:sz w:val="21"/>
                <w:szCs w:val="21"/>
                <w:highlight w:val="none"/>
              </w:rPr>
            </w:r>
            <w:r/>
          </w:p>
          <w:p>
            <w:pPr>
              <w:pStyle w:val="869"/>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3.人工智能基础套装-传感器&amp;执行器模块</w:t>
            </w:r>
            <w:r>
              <w:rPr>
                <w:rFonts w:hint="eastAsia" w:ascii="宋体" w:hAnsi="宋体" w:eastAsia="宋体" w:cs="宋体"/>
                <w:sz w:val="21"/>
                <w:szCs w:val="21"/>
                <w:highlight w:val="none"/>
              </w:rPr>
            </w:r>
            <w:r/>
          </w:p>
          <w:p>
            <w:pPr>
              <w:pStyle w:val="869"/>
              <w:ind w:left="0" w:right="0"/>
              <w:jc w:val="left"/>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（1）现场随机抽取温度、温湿度、声强、光强、距离5种传感器模块，分别通过磁吸连接无线基座后，连接上智能主控，在主控屏幕上可实时显示各传感器采集数值，数值随环境变化实时更新；    </w:t>
            </w:r>
            <w:r>
              <w:rPr>
                <w:rFonts w:hint="eastAsia" w:ascii="宋体" w:hAnsi="宋体" w:eastAsia="宋体" w:cs="宋体"/>
                <w:sz w:val="21"/>
                <w:szCs w:val="21"/>
                <w:highlight w:val="none"/>
              </w:rPr>
            </w:r>
            <w:r/>
          </w:p>
          <w:p>
            <w:pPr>
              <w:pStyle w:val="869"/>
              <w:ind w:left="0" w:right="0"/>
              <w:jc w:val="left"/>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(2)演示MP3播放器模块（内置1GB存储）可正常播放音频；演示四位数字数码管和时钟数码管分别显示数字和时间；演示电机模块正常转动;    </w:t>
            </w:r>
            <w:r>
              <w:rPr>
                <w:rFonts w:hint="eastAsia" w:ascii="宋体" w:hAnsi="宋体" w:eastAsia="宋体" w:cs="宋体"/>
                <w:sz w:val="21"/>
                <w:szCs w:val="21"/>
                <w:highlight w:val="none"/>
              </w:rPr>
            </w:r>
            <w:r/>
          </w:p>
          <w:p>
            <w:pPr>
              <w:pStyle w:val="869"/>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以上每成功演示1项功能得1分，最多6分。</w:t>
            </w:r>
            <w:r>
              <w:rPr>
                <w:rFonts w:hint="eastAsia" w:ascii="宋体" w:hAnsi="宋体" w:eastAsia="宋体" w:cs="宋体"/>
                <w:sz w:val="21"/>
                <w:szCs w:val="21"/>
                <w:highlight w:val="none"/>
              </w:rPr>
            </w:r>
            <w:r/>
          </w:p>
          <w:p>
            <w:pPr>
              <w:pStyle w:val="869"/>
              <w:ind w:left="0" w:right="0"/>
              <w:jc w:val="left"/>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注：投标人未提供视频文件或因投标人自身原因视频文件无法打开或视频画面不清晰无法辨认的不得分。</w:t>
            </w:r>
            <w:r>
              <w:rPr>
                <w:rFonts w:hint="eastAsia" w:ascii="宋体" w:hAnsi="宋体" w:eastAsia="宋体" w:cs="宋体"/>
                <w:sz w:val="21"/>
                <w:szCs w:val="21"/>
                <w:highlight w:val="none"/>
              </w:rPr>
            </w:r>
            <w:r/>
          </w:p>
        </w:tc>
        <w:tc>
          <w:tcPr>
            <w:tcW w:w="647"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6</w:t>
            </w:r>
            <w:r>
              <w:rPr>
                <w:rFonts w:hint="eastAsia" w:ascii="宋体" w:hAnsi="宋体" w:eastAsia="宋体" w:cs="宋体"/>
                <w:sz w:val="21"/>
                <w:szCs w:val="21"/>
                <w:highlight w:val="none"/>
              </w:rPr>
            </w:r>
            <w:r/>
          </w:p>
        </w:tc>
        <w:tc>
          <w:tcPr>
            <w:tcW w:w="900"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客观分</w:t>
            </w:r>
            <w:r>
              <w:rPr>
                <w:rFonts w:hint="eastAsia" w:ascii="宋体" w:hAnsi="宋体" w:eastAsia="宋体" w:cs="宋体"/>
                <w:spacing w:val="-6"/>
                <w:sz w:val="21"/>
                <w:szCs w:val="21"/>
                <w:highlight w:val="none"/>
              </w:rPr>
            </w:r>
            <w:r/>
          </w:p>
        </w:tc>
      </w:tr>
      <w:tr>
        <w:trPr>
          <w:trHeight w:val="889"/>
        </w:trPr>
        <w:tc>
          <w:tcPr>
            <w:tcW w:w="519"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ascii="宋体" w:hAnsi="宋体" w:eastAsia="宋体" w:cs="宋体"/>
                <w:spacing w:val="-2"/>
                <w:sz w:val="21"/>
                <w:szCs w:val="21"/>
                <w:highlight w:val="none"/>
                <w:lang w:val="en-US" w:eastAsia="zh-CN" w:bidi="ar"/>
              </w:rPr>
              <w:suppressLineNumbers w:val="0"/>
            </w:pPr>
            <w:r>
              <w:rPr>
                <w:rFonts w:hint="eastAsia" w:ascii="宋体" w:hAnsi="宋体" w:eastAsia="宋体" w:cs="宋体"/>
                <w:spacing w:val="-2"/>
                <w:sz w:val="21"/>
                <w:szCs w:val="21"/>
                <w:highlight w:val="none"/>
                <w:lang w:val="en-US" w:eastAsia="zh-CN" w:bidi="ar"/>
              </w:rPr>
              <w:t xml:space="preserve">2.5</w:t>
            </w:r>
            <w:r>
              <w:rPr>
                <w:rFonts w:ascii="宋体" w:hAnsi="宋体" w:eastAsia="宋体" w:cs="宋体"/>
                <w:spacing w:val="-2"/>
                <w:sz w:val="21"/>
                <w:szCs w:val="21"/>
                <w:highlight w:val="none"/>
                <w:lang w:val="en-US" w:eastAsia="zh-CN" w:bidi="ar"/>
              </w:rPr>
            </w:r>
            <w:r/>
          </w:p>
        </w:tc>
        <w:tc>
          <w:tcPr>
            <w:tcW w:w="1179" w:type="dxa"/>
            <w:vAlign w:val="center"/>
            <w:textDirection w:val="lrTb"/>
            <w:noWrap w:val="false"/>
          </w:tcPr>
          <w:p>
            <w:pPr>
              <w:pStyle w:val="869"/>
              <w:ind w:left="0" w:right="0"/>
              <w:jc w:val="left"/>
              <w:keepLines w:val="0"/>
              <w:keepNext w:val="0"/>
              <w:spacing w:before="68" w:beforeAutospacing="0" w:after="0" w:afterAutospacing="0" w:line="264" w:lineRule="auto"/>
              <w:widowControl w:val="off"/>
              <w:rPr>
                <w:rFonts w:ascii="宋体" w:hAnsi="宋体" w:eastAsia="宋体" w:cs="宋体"/>
                <w:spacing w:val="0"/>
                <w:sz w:val="21"/>
                <w:szCs w:val="21"/>
                <w:highlight w:val="none"/>
                <w:lang w:val="en-US" w:eastAsia="zh-CN" w:bidi="ar"/>
              </w:rPr>
              <w:suppressLineNumbers w:val="0"/>
            </w:pPr>
            <w:r>
              <w:rPr>
                <w:rFonts w:hint="eastAsia" w:ascii="宋体" w:hAnsi="宋体" w:eastAsia="宋体" w:cs="宋体"/>
                <w:spacing w:val="0"/>
                <w:sz w:val="21"/>
                <w:szCs w:val="21"/>
                <w:highlight w:val="none"/>
                <w:lang w:val="en-US" w:eastAsia="zh-CN" w:bidi="ar"/>
              </w:rPr>
              <w:t xml:space="preserve">视频演示2</w:t>
            </w:r>
            <w:r>
              <w:rPr>
                <w:rFonts w:ascii="宋体" w:hAnsi="宋体" w:eastAsia="宋体" w:cs="宋体"/>
                <w:spacing w:val="0"/>
                <w:sz w:val="21"/>
                <w:szCs w:val="21"/>
                <w:highlight w:val="none"/>
                <w:lang w:val="en-US" w:eastAsia="zh-CN" w:bidi="ar"/>
              </w:rPr>
            </w:r>
            <w:r/>
          </w:p>
        </w:tc>
        <w:tc>
          <w:tcPr>
            <w:tcW w:w="6330" w:type="dxa"/>
            <w:vAlign w:val="center"/>
            <w:textDirection w:val="lrTb"/>
            <w:noWrap w:val="false"/>
          </w:tcPr>
          <w:p>
            <w:pPr>
              <w:pStyle w:val="869"/>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评委根据投标人提供的实木多层板小样视频展示（所有的制作标准和要求与本次采购项目一致，每家投标人视频时长总计不超过2分钟）综合评分：</w:t>
            </w:r>
            <w:r>
              <w:rPr>
                <w:rFonts w:hint="eastAsia" w:ascii="宋体" w:hAnsi="宋体" w:eastAsia="宋体" w:cs="宋体"/>
                <w:sz w:val="21"/>
                <w:szCs w:val="21"/>
                <w:highlight w:val="none"/>
              </w:rPr>
            </w:r>
            <w:r/>
          </w:p>
          <w:p>
            <w:pPr>
              <w:pStyle w:val="869"/>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（1）工艺精湛，根据激光封边特写镜头，封边处理完善且表面平整度及光泽度高的得4 分；</w:t>
            </w:r>
            <w:r>
              <w:rPr>
                <w:rFonts w:hint="eastAsia" w:ascii="宋体" w:hAnsi="宋体" w:eastAsia="宋体" w:cs="宋体"/>
                <w:sz w:val="21"/>
                <w:szCs w:val="21"/>
                <w:highlight w:val="none"/>
              </w:rPr>
            </w:r>
            <w:r/>
          </w:p>
          <w:p>
            <w:pPr>
              <w:pStyle w:val="869"/>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（2）根据激光封边特写镜头，工艺、封边处理完善且表面较平整及有较高光泽度的得1分；</w:t>
            </w:r>
            <w:r>
              <w:rPr>
                <w:rFonts w:hint="eastAsia" w:ascii="宋体" w:hAnsi="宋体" w:eastAsia="宋体" w:cs="宋体"/>
                <w:sz w:val="21"/>
                <w:szCs w:val="21"/>
                <w:highlight w:val="none"/>
              </w:rPr>
            </w:r>
            <w:r/>
          </w:p>
          <w:p>
            <w:pPr>
              <w:pStyle w:val="869"/>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（3）不符合要求的不得分。</w:t>
            </w:r>
            <w:r>
              <w:rPr>
                <w:rFonts w:hint="eastAsia" w:ascii="宋体" w:hAnsi="宋体" w:eastAsia="宋体" w:cs="宋体"/>
                <w:sz w:val="21"/>
                <w:szCs w:val="21"/>
                <w:highlight w:val="none"/>
              </w:rPr>
            </w:r>
            <w:r/>
          </w:p>
          <w:p>
            <w:pPr>
              <w:pStyle w:val="869"/>
              <w:ind w:left="0" w:right="0"/>
              <w:jc w:val="left"/>
              <w:keepLines w:val="0"/>
              <w:keepNext w:val="0"/>
              <w:spacing w:before="0" w:beforeAutospacing="0" w:after="0" w:afterAutospacing="0"/>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投标人未提供视频文件或因投标人自身原因视频文件无法打开或视频画面不清晰无法辨认的不得分。</w:t>
            </w:r>
            <w:r>
              <w:rPr>
                <w:rFonts w:hint="eastAsia" w:ascii="宋体" w:hAnsi="宋体" w:eastAsia="宋体" w:cs="宋体"/>
                <w:sz w:val="21"/>
                <w:szCs w:val="21"/>
                <w:highlight w:val="none"/>
                <w:lang w:val="en-US" w:eastAsia="zh-CN" w:bidi="ar"/>
              </w:rPr>
            </w:r>
            <w:r/>
          </w:p>
        </w:tc>
        <w:tc>
          <w:tcPr>
            <w:tcW w:w="647"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4</w:t>
            </w:r>
            <w:r>
              <w:rPr>
                <w:rFonts w:ascii="宋体" w:hAnsi="宋体" w:eastAsia="宋体" w:cs="宋体"/>
                <w:sz w:val="21"/>
                <w:szCs w:val="21"/>
                <w:highlight w:val="none"/>
                <w:lang w:val="en-US" w:eastAsia="zh-CN" w:bidi="ar"/>
              </w:rPr>
            </w:r>
            <w:r/>
          </w:p>
        </w:tc>
        <w:tc>
          <w:tcPr>
            <w:tcW w:w="900"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ascii="宋体" w:hAnsi="宋体" w:eastAsia="宋体" w:cs="宋体"/>
                <w:spacing w:val="-6"/>
                <w:sz w:val="21"/>
                <w:szCs w:val="21"/>
                <w:highlight w:val="none"/>
                <w:lang w:val="en-US" w:eastAsia="zh-CN" w:bidi="ar"/>
              </w:rPr>
              <w:suppressLineNumbers w:val="0"/>
            </w:pPr>
            <w:r>
              <w:rPr>
                <w:rFonts w:hint="eastAsia" w:ascii="宋体" w:hAnsi="宋体" w:eastAsia="宋体" w:cs="宋体"/>
                <w:spacing w:val="-6"/>
                <w:sz w:val="21"/>
                <w:szCs w:val="21"/>
                <w:highlight w:val="none"/>
                <w:lang w:val="en-US" w:eastAsia="zh-CN" w:bidi="ar"/>
              </w:rPr>
              <w:t xml:space="preserve">主观分</w:t>
            </w:r>
            <w:r>
              <w:rPr>
                <w:rFonts w:ascii="宋体" w:hAnsi="宋体" w:eastAsia="宋体" w:cs="宋体"/>
                <w:spacing w:val="-6"/>
                <w:sz w:val="21"/>
                <w:szCs w:val="21"/>
                <w:highlight w:val="none"/>
                <w:lang w:val="en-US" w:eastAsia="zh-CN" w:bidi="ar"/>
              </w:rPr>
            </w:r>
            <w:r/>
          </w:p>
        </w:tc>
      </w:tr>
      <w:tr>
        <w:trPr>
          <w:trHeight w:val="472"/>
        </w:trPr>
        <w:tc>
          <w:tcPr>
            <w:gridSpan w:val="5"/>
            <w:tcW w:w="9575" w:type="dxa"/>
            <w:vAlign w:val="center"/>
            <w:textDirection w:val="lrTb"/>
            <w:noWrap w:val="false"/>
          </w:tcPr>
          <w:p>
            <w:pPr>
              <w:pStyle w:val="869"/>
              <w:ind w:left="0" w:right="0"/>
              <w:jc w:val="both"/>
              <w:keepLines w:val="0"/>
              <w:keepNext w:val="0"/>
              <w:spacing w:before="68" w:beforeAutospacing="0" w:after="0" w:afterAutospacing="0" w:line="264"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b/>
                <w:bCs/>
                <w:spacing w:val="-3"/>
                <w:sz w:val="21"/>
                <w:szCs w:val="21"/>
                <w:highlight w:val="none"/>
                <w:lang w:val="en-US" w:eastAsia="zh-CN" w:bidi="ar"/>
              </w:rPr>
              <w:t xml:space="preserve">3.服务</w:t>
            </w:r>
            <w:r>
              <w:rPr>
                <w:rFonts w:hint="eastAsia" w:ascii="宋体" w:hAnsi="宋体" w:eastAsia="宋体" w:cs="宋体"/>
                <w:sz w:val="21"/>
                <w:szCs w:val="21"/>
                <w:highlight w:val="none"/>
              </w:rPr>
            </w:r>
            <w:r/>
          </w:p>
        </w:tc>
      </w:tr>
      <w:tr>
        <w:trPr>
          <w:trHeight w:val="1083"/>
        </w:trPr>
        <w:tc>
          <w:tcPr>
            <w:tcW w:w="519"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hint="eastAsia" w:ascii="宋体" w:hAnsi="宋体" w:eastAsia="宋体" w:cs="宋体"/>
                <w:spacing w:val="-2"/>
                <w:sz w:val="21"/>
                <w:szCs w:val="21"/>
                <w:highlight w:val="none"/>
              </w:rPr>
              <w:suppressLineNumbers w:val="0"/>
            </w:pPr>
            <w:r>
              <w:rPr>
                <w:rFonts w:hint="eastAsia" w:ascii="宋体" w:hAnsi="宋体" w:eastAsia="宋体" w:cs="宋体"/>
                <w:spacing w:val="-2"/>
                <w:sz w:val="21"/>
                <w:szCs w:val="21"/>
                <w:highlight w:val="none"/>
                <w:lang w:val="en-US" w:eastAsia="zh-CN" w:bidi="ar"/>
              </w:rPr>
              <w:t xml:space="preserve">3.1</w:t>
            </w:r>
            <w:r>
              <w:rPr>
                <w:rFonts w:hint="eastAsia" w:ascii="宋体" w:hAnsi="宋体" w:eastAsia="宋体" w:cs="宋体"/>
                <w:spacing w:val="-2"/>
                <w:sz w:val="21"/>
                <w:szCs w:val="21"/>
                <w:highlight w:val="none"/>
              </w:rPr>
            </w:r>
            <w:r/>
          </w:p>
        </w:tc>
        <w:tc>
          <w:tcPr>
            <w:tcW w:w="1179" w:type="dxa"/>
            <w:vAlign w:val="center"/>
            <w:textDirection w:val="lrTb"/>
            <w:noWrap w:val="false"/>
          </w:tcPr>
          <w:p>
            <w:pPr>
              <w:pStyle w:val="869"/>
              <w:ind w:left="0" w:right="0"/>
              <w:jc w:val="left"/>
              <w:keepLines w:val="0"/>
              <w:keepNext w:val="0"/>
              <w:spacing w:before="68" w:beforeAutospacing="0" w:after="0" w:afterAutospacing="0" w:line="264" w:lineRule="auto"/>
              <w:widowControl w:val="off"/>
              <w:rPr>
                <w:rFonts w:hint="eastAsia" w:ascii="宋体" w:hAnsi="宋体" w:eastAsia="宋体" w:cs="宋体"/>
                <w:spacing w:val="0"/>
                <w:sz w:val="21"/>
                <w:szCs w:val="21"/>
                <w:highlight w:val="none"/>
              </w:rPr>
              <w:suppressLineNumbers w:val="0"/>
            </w:pPr>
            <w:r>
              <w:rPr>
                <w:rFonts w:hint="eastAsia" w:ascii="宋体" w:hAnsi="宋体" w:eastAsia="宋体" w:cs="宋体"/>
                <w:spacing w:val="0"/>
                <w:sz w:val="21"/>
                <w:szCs w:val="21"/>
                <w:highlight w:val="none"/>
                <w:lang w:val="en-US" w:eastAsia="zh-CN" w:bidi="ar"/>
              </w:rPr>
              <w:t xml:space="preserve">实施方案</w:t>
            </w:r>
            <w:r>
              <w:rPr>
                <w:rFonts w:hint="eastAsia" w:ascii="宋体" w:hAnsi="宋体" w:eastAsia="宋体" w:cs="宋体"/>
                <w:spacing w:val="0"/>
                <w:sz w:val="21"/>
                <w:szCs w:val="21"/>
                <w:highlight w:val="none"/>
              </w:rPr>
            </w:r>
            <w:r/>
          </w:p>
        </w:tc>
        <w:tc>
          <w:tcPr>
            <w:tcW w:w="6330" w:type="dxa"/>
            <w:vAlign w:val="center"/>
            <w:textDirection w:val="lrTb"/>
            <w:noWrap w:val="false"/>
          </w:tcPr>
          <w:p>
            <w:pPr>
              <w:pStyle w:val="99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根据本项目采购需求及相关要求编制方案，内容包含：1.</w:t>
            </w:r>
            <w:r>
              <w:rPr>
                <w:rFonts w:hint="eastAsia" w:ascii="宋体" w:hAnsi="宋体" w:eastAsia="宋体" w:cs="宋体"/>
                <w:sz w:val="21"/>
                <w:szCs w:val="21"/>
                <w:highlight w:val="none"/>
              </w:rPr>
              <w:t xml:space="preserve">供货进度保证措施；2.质量保证措施；3.协调配合措施；4.项目人员配置。</w:t>
            </w:r>
            <w:r>
              <w:rPr>
                <w:rFonts w:hint="eastAsia" w:ascii="宋体" w:hAnsi="宋体" w:eastAsia="宋体" w:cs="宋体"/>
                <w:sz w:val="21"/>
                <w:szCs w:val="21"/>
                <w:highlight w:val="none"/>
              </w:rPr>
              <w:t xml:space="preserve">以上每项内容逐条阐述。</w:t>
            </w:r>
            <w:r>
              <w:rPr>
                <w:rFonts w:hint="eastAsia" w:ascii="宋体" w:hAnsi="宋体" w:eastAsia="宋体" w:cs="宋体"/>
                <w:sz w:val="21"/>
                <w:szCs w:val="21"/>
                <w:highlight w:val="none"/>
              </w:rPr>
            </w:r>
            <w:r/>
          </w:p>
          <w:p>
            <w:pPr>
              <w:pStyle w:val="869"/>
              <w:ind w:left="0" w:right="0"/>
              <w:jc w:val="both"/>
              <w:keepLines w:val="0"/>
              <w:keepNext w:val="0"/>
              <w:spacing w:before="0" w:beforeAutospacing="0" w:after="0" w:afterAutospacing="0"/>
              <w:widowControl w:val="off"/>
              <w:rPr>
                <w:rFonts w:ascii="Times New Roman" w:hAnsi="Times New Roman" w:eastAsia="宋体" w:cs="Times New Roman"/>
                <w:sz w:val="21"/>
                <w:szCs w:val="21"/>
                <w:highlight w:val="none"/>
              </w:rPr>
              <w:suppressLineNumbers w:val="0"/>
            </w:pPr>
            <w:r>
              <w:rPr>
                <w:rFonts w:hint="eastAsia" w:ascii="宋体" w:hAnsi="宋体" w:eastAsia="宋体" w:cs="宋体"/>
                <w:sz w:val="21"/>
                <w:szCs w:val="21"/>
                <w:highlight w:val="none"/>
                <w:lang w:val="en-US" w:eastAsia="zh-CN" w:bidi="ar"/>
              </w:rPr>
              <w:t xml:space="preserve">方案内容完整详细，且专门针对本项目，契合采购需求视为符合；方案内容属于通用类，非专门针对本项目，部分契合采购需求视为部分符合；方案内容非专门针对本项目，脱离采购需求视为不符合。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sz w:val="21"/>
                <w:szCs w:val="21"/>
                <w:highlight w:val="none"/>
              </w:rPr>
            </w:r>
            <w:r/>
          </w:p>
          <w:p>
            <w:pPr>
              <w:pStyle w:val="869"/>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上述每项内容符合得</w:t>
            </w:r>
            <w:r>
              <w:rPr>
                <w:rFonts w:ascii="Times New Roman" w:hAnsi="Times New Roman" w:eastAsia="宋体" w:cs="Times New Roman"/>
                <w:sz w:val="21"/>
                <w:szCs w:val="21"/>
                <w:highlight w:val="none"/>
                <w:lang w:val="en-US" w:eastAsia="zh-CN" w:bidi="ar"/>
              </w:rPr>
              <w:t xml:space="preserve">1</w:t>
            </w:r>
            <w:r>
              <w:rPr>
                <w:rFonts w:hint="eastAsia" w:ascii="宋体" w:hAnsi="宋体" w:eastAsia="宋体" w:cs="宋体"/>
                <w:sz w:val="21"/>
                <w:szCs w:val="21"/>
                <w:highlight w:val="none"/>
                <w:lang w:val="en-US" w:eastAsia="zh-CN" w:bidi="ar"/>
              </w:rPr>
              <w:t xml:space="preserve">分；部分符合得</w:t>
            </w:r>
            <w:r>
              <w:rPr>
                <w:rFonts w:ascii="Times New Roman" w:hAnsi="Times New Roman" w:eastAsia="宋体" w:cs="Times New Roman"/>
                <w:sz w:val="21"/>
                <w:szCs w:val="21"/>
                <w:highlight w:val="none"/>
                <w:lang w:val="en-US" w:eastAsia="zh-CN" w:bidi="ar"/>
              </w:rPr>
              <w:t xml:space="preserve">0.5</w:t>
            </w:r>
            <w:r>
              <w:rPr>
                <w:rFonts w:hint="eastAsia" w:ascii="宋体" w:hAnsi="宋体" w:eastAsia="宋体" w:cs="宋体"/>
                <w:sz w:val="21"/>
                <w:szCs w:val="21"/>
                <w:highlight w:val="none"/>
                <w:lang w:val="en-US" w:eastAsia="zh-CN" w:bidi="ar"/>
              </w:rPr>
              <w:t xml:space="preserve">分；不符合或不提供不得分。</w:t>
            </w:r>
            <w:r>
              <w:rPr>
                <w:rFonts w:hint="eastAsia" w:ascii="宋体" w:hAnsi="宋体" w:eastAsia="宋体" w:cs="宋体"/>
                <w:sz w:val="21"/>
                <w:szCs w:val="21"/>
                <w:highlight w:val="none"/>
              </w:rPr>
            </w:r>
            <w:r/>
          </w:p>
        </w:tc>
        <w:tc>
          <w:tcPr>
            <w:tcW w:w="647"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w:t>
            </w:r>
            <w:r>
              <w:rPr>
                <w:rFonts w:hint="eastAsia" w:ascii="宋体" w:hAnsi="宋体" w:eastAsia="宋体" w:cs="宋体"/>
                <w:sz w:val="21"/>
                <w:szCs w:val="21"/>
                <w:highlight w:val="none"/>
              </w:rPr>
            </w:r>
            <w:r/>
          </w:p>
        </w:tc>
        <w:tc>
          <w:tcPr>
            <w:tcW w:w="900"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主观分</w:t>
            </w:r>
            <w:r>
              <w:rPr>
                <w:rFonts w:hint="eastAsia" w:ascii="宋体" w:hAnsi="宋体" w:eastAsia="宋体" w:cs="宋体"/>
                <w:spacing w:val="-6"/>
                <w:sz w:val="21"/>
                <w:szCs w:val="21"/>
                <w:highlight w:val="none"/>
              </w:rPr>
            </w:r>
            <w:r/>
          </w:p>
        </w:tc>
      </w:tr>
      <w:tr>
        <w:trPr>
          <w:trHeight w:val="133"/>
        </w:trPr>
        <w:tc>
          <w:tcPr>
            <w:tcW w:w="519"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hint="eastAsia" w:ascii="宋体" w:hAnsi="宋体" w:eastAsia="宋体" w:cs="宋体"/>
                <w:spacing w:val="-2"/>
                <w:sz w:val="21"/>
                <w:szCs w:val="21"/>
                <w:highlight w:val="none"/>
              </w:rPr>
              <w:suppressLineNumbers w:val="0"/>
            </w:pPr>
            <w:r>
              <w:rPr>
                <w:rFonts w:hint="eastAsia" w:ascii="宋体" w:hAnsi="宋体" w:eastAsia="宋体" w:cs="宋体"/>
                <w:spacing w:val="-2"/>
                <w:sz w:val="21"/>
                <w:szCs w:val="21"/>
                <w:highlight w:val="none"/>
                <w:lang w:val="en-US" w:eastAsia="zh-CN" w:bidi="ar"/>
              </w:rPr>
              <w:t xml:space="preserve">3.2</w:t>
            </w:r>
            <w:r>
              <w:rPr>
                <w:rFonts w:hint="eastAsia" w:ascii="宋体" w:hAnsi="宋体" w:eastAsia="宋体" w:cs="宋体"/>
                <w:spacing w:val="-2"/>
                <w:sz w:val="21"/>
                <w:szCs w:val="21"/>
                <w:highlight w:val="none"/>
              </w:rPr>
            </w:r>
            <w:r/>
          </w:p>
        </w:tc>
        <w:tc>
          <w:tcPr>
            <w:tcW w:w="1179" w:type="dxa"/>
            <w:vAlign w:val="center"/>
            <w:textDirection w:val="lrTb"/>
            <w:noWrap w:val="false"/>
          </w:tcPr>
          <w:p>
            <w:pPr>
              <w:pStyle w:val="869"/>
              <w:ind w:left="0" w:right="0"/>
              <w:jc w:val="both"/>
              <w:keepLines w:val="0"/>
              <w:keepNext w:val="0"/>
              <w:spacing w:before="0" w:beforeAutospacing="0" w:after="0" w:afterAutospacing="0" w:line="264" w:lineRule="auto"/>
              <w:widowControl w:val="off"/>
              <w:rPr>
                <w:rFonts w:hint="eastAsia" w:ascii="Times New Roman" w:hAnsi="Times New Roman" w:eastAsia="宋体" w:cs="Times New Roman"/>
                <w:color w:val="000000"/>
                <w:spacing w:val="0"/>
                <w:sz w:val="21"/>
                <w:szCs w:val="21"/>
                <w:highlight w:val="none"/>
              </w:rPr>
              <w:suppressLineNumbers w:val="0"/>
            </w:pPr>
            <w:r>
              <w:rPr>
                <w:rFonts w:hint="eastAsia" w:ascii="宋体" w:hAnsi="宋体" w:eastAsia="宋体" w:cs="宋体"/>
                <w:color w:val="000000"/>
                <w:spacing w:val="0"/>
                <w:sz w:val="21"/>
                <w:szCs w:val="21"/>
                <w:highlight w:val="none"/>
                <w:lang w:val="en-US" w:eastAsia="zh-CN" w:bidi="ar"/>
              </w:rPr>
              <w:t xml:space="preserve">售后服务方案</w:t>
            </w:r>
            <w:r>
              <w:rPr>
                <w:rFonts w:hint="eastAsia" w:ascii="Times New Roman" w:hAnsi="Times New Roman" w:eastAsia="宋体" w:cs="Times New Roman"/>
                <w:color w:val="000000"/>
                <w:spacing w:val="0"/>
                <w:sz w:val="21"/>
                <w:szCs w:val="21"/>
                <w:highlight w:val="none"/>
              </w:rPr>
            </w:r>
            <w:r/>
          </w:p>
        </w:tc>
        <w:tc>
          <w:tcPr>
            <w:tcW w:w="6330" w:type="dxa"/>
            <w:vAlign w:val="center"/>
            <w:textDirection w:val="lrTb"/>
            <w:noWrap w:val="false"/>
          </w:tcPr>
          <w:p>
            <w:pPr>
              <w:pStyle w:val="869"/>
              <w:ind w:left="0" w:right="0"/>
              <w:jc w:val="left"/>
              <w:keepLines w:val="0"/>
              <w:keepNext w:val="0"/>
              <w:spacing w:before="0" w:beforeAutospacing="0" w:after="0" w:afterAutospacing="0" w:line="264" w:lineRule="auto"/>
              <w:widowControl/>
              <w:rPr>
                <w:rFonts w:ascii="Times New Roman" w:hAnsi="Times New Roman" w:eastAsia="宋体" w:cs="Times New Roman"/>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根据本项目采购需求及相关要求编制方案，内容包括：</w:t>
            </w:r>
            <w:r>
              <w:rPr>
                <w:rFonts w:ascii="Times New Roman" w:hAnsi="Times New Roman" w:eastAsia="宋体" w:cs="Times New Roman"/>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售后服务内容；</w:t>
            </w:r>
            <w:r>
              <w:rPr>
                <w:rFonts w:ascii="Times New Roman" w:hAnsi="Times New Roman" w:eastAsia="宋体" w:cs="Times New Roman"/>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售后服务流程；</w:t>
            </w:r>
            <w:r>
              <w:rPr>
                <w:rFonts w:ascii="Times New Roman" w:hAnsi="Times New Roman" w:eastAsia="宋体" w:cs="Times New Roman"/>
                <w:color w:val="000000"/>
                <w:sz w:val="21"/>
                <w:szCs w:val="21"/>
                <w:highlight w:val="none"/>
                <w:lang w:val="en-US" w:eastAsia="zh-CN" w:bidi="ar"/>
              </w:rPr>
              <w:t xml:space="preserve">3.</w:t>
            </w:r>
            <w:r>
              <w:rPr>
                <w:rFonts w:hint="eastAsia" w:ascii="宋体" w:hAnsi="宋体" w:eastAsia="宋体" w:cs="宋体"/>
                <w:sz w:val="21"/>
                <w:szCs w:val="21"/>
                <w:highlight w:val="none"/>
                <w:lang w:val="en-US" w:eastAsia="zh-CN" w:bidi="ar"/>
              </w:rPr>
              <w:t xml:space="preserve">故障解决方案；4.</w:t>
            </w:r>
            <w:r>
              <w:rPr>
                <w:rFonts w:hint="eastAsia" w:ascii="宋体" w:hAnsi="宋体" w:eastAsia="宋体" w:cs="宋体"/>
                <w:color w:val="000000"/>
                <w:sz w:val="21"/>
                <w:szCs w:val="21"/>
                <w:highlight w:val="none"/>
                <w:lang w:val="en-US" w:eastAsia="zh-CN" w:bidi="ar"/>
              </w:rPr>
              <w:t xml:space="preserve">服务保障体系；</w:t>
            </w:r>
            <w:r>
              <w:rPr>
                <w:rFonts w:ascii="Times New Roman" w:hAnsi="Times New Roman" w:eastAsia="宋体" w:cs="Times New Roman"/>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val="en-US" w:eastAsia="zh-CN" w:bidi="ar"/>
              </w:rPr>
              <w:t xml:space="preserve">应急处置措施。以上每项内容逐条阐述。</w:t>
            </w:r>
            <w:r>
              <w:rPr>
                <w:rFonts w:ascii="Times New Roman" w:hAnsi="Times New Roman" w:eastAsia="宋体" w:cs="Times New Roman"/>
                <w:color w:val="000000"/>
                <w:sz w:val="21"/>
                <w:szCs w:val="21"/>
                <w:highlight w:val="none"/>
                <w:lang w:val="en-US" w:eastAsia="zh-CN" w:bidi="ar"/>
              </w:rPr>
              <w:t xml:space="preserve"> </w:t>
            </w:r>
            <w:r>
              <w:rPr>
                <w:rFonts w:ascii="Times New Roman" w:hAnsi="Times New Roman" w:eastAsia="宋体" w:cs="Times New Roman"/>
                <w:color w:val="000000"/>
                <w:sz w:val="21"/>
                <w:szCs w:val="21"/>
                <w:highlight w:val="none"/>
              </w:rPr>
            </w:r>
            <w:r/>
          </w:p>
          <w:p>
            <w:pPr>
              <w:pStyle w:val="869"/>
              <w:ind w:left="0" w:right="0"/>
              <w:jc w:val="both"/>
              <w:keepLines w:val="0"/>
              <w:keepNext w:val="0"/>
              <w:spacing w:before="0" w:beforeAutospacing="0" w:after="0" w:afterAutospacing="0"/>
              <w:widowControl w:val="off"/>
              <w:rPr>
                <w:rFonts w:ascii="Times New Roman" w:hAnsi="Times New Roman" w:eastAsia="宋体" w:cs="Times New Roman"/>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方案内容完整、合理性、操作性强，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highlight w:val="none"/>
              </w:rPr>
            </w:r>
            <w:r/>
          </w:p>
          <w:p>
            <w:pPr>
              <w:pStyle w:val="869"/>
              <w:ind w:left="0" w:right="0"/>
              <w:jc w:val="both"/>
              <w:keepLines w:val="0"/>
              <w:keepNext w:val="0"/>
              <w:spacing w:before="0" w:beforeAutospacing="0" w:after="0" w:afterAutospacing="0"/>
              <w:widowControl w:val="off"/>
              <w:rPr>
                <w:rFonts w:ascii="Calibri" w:hAnsi="Calibri" w:cs="宋体"/>
                <w:color w:val="000000"/>
                <w:sz w:val="20"/>
                <w:szCs w:val="20"/>
                <w:highlight w:val="none"/>
              </w:rPr>
              <w:suppressLineNumbers w:val="0"/>
            </w:pPr>
            <w:r>
              <w:rPr>
                <w:rFonts w:hint="eastAsia" w:ascii="宋体" w:hAnsi="宋体" w:eastAsia="宋体" w:cs="宋体"/>
                <w:color w:val="000000"/>
                <w:sz w:val="21"/>
                <w:szCs w:val="21"/>
                <w:highlight w:val="none"/>
                <w:lang w:val="en-US" w:eastAsia="zh-CN" w:bidi="ar"/>
              </w:rPr>
              <w:t xml:space="preserve">上述每项内容符合得</w:t>
            </w:r>
            <w:r>
              <w:rPr>
                <w:rFonts w:ascii="Times New Roman" w:hAnsi="Times New Roman" w:eastAsia="宋体" w:cs="Times New Roman"/>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分；部分符合得</w:t>
            </w:r>
            <w:r>
              <w:rPr>
                <w:rFonts w:ascii="Times New Roman" w:hAnsi="Times New Roman" w:eastAsia="宋体" w:cs="Times New Roman"/>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分；不符合或不提供不得分。</w:t>
            </w:r>
            <w:r>
              <w:rPr>
                <w:rFonts w:ascii="Calibri" w:hAnsi="Calibri" w:cs="宋体"/>
                <w:color w:val="000000"/>
                <w:sz w:val="20"/>
                <w:szCs w:val="20"/>
                <w:highlight w:val="none"/>
              </w:rPr>
            </w:r>
            <w:r/>
          </w:p>
        </w:tc>
        <w:tc>
          <w:tcPr>
            <w:tcW w:w="647"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w:t>
            </w:r>
            <w:r>
              <w:rPr>
                <w:rFonts w:hint="eastAsia" w:ascii="宋体" w:hAnsi="宋体" w:eastAsia="宋体" w:cs="宋体"/>
                <w:sz w:val="21"/>
                <w:szCs w:val="21"/>
                <w:highlight w:val="none"/>
              </w:rPr>
            </w:r>
            <w:r/>
          </w:p>
        </w:tc>
        <w:tc>
          <w:tcPr>
            <w:tcW w:w="900"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主观分</w:t>
            </w:r>
            <w:r>
              <w:rPr>
                <w:rFonts w:hint="eastAsia" w:ascii="宋体" w:hAnsi="宋体" w:eastAsia="宋体" w:cs="宋体"/>
                <w:spacing w:val="-6"/>
                <w:sz w:val="21"/>
                <w:szCs w:val="21"/>
                <w:highlight w:val="none"/>
              </w:rPr>
            </w:r>
            <w:r/>
          </w:p>
        </w:tc>
      </w:tr>
      <w:tr>
        <w:trPr>
          <w:trHeight w:val="90"/>
        </w:trPr>
        <w:tc>
          <w:tcPr>
            <w:tcW w:w="519"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hint="eastAsia" w:ascii="宋体" w:hAnsi="宋体" w:eastAsia="宋体" w:cs="宋体"/>
                <w:spacing w:val="-2"/>
                <w:sz w:val="21"/>
                <w:szCs w:val="21"/>
                <w:highlight w:val="none"/>
              </w:rPr>
              <w:suppressLineNumbers w:val="0"/>
            </w:pPr>
            <w:r>
              <w:rPr>
                <w:rFonts w:hint="eastAsia" w:ascii="宋体" w:hAnsi="宋体" w:eastAsia="宋体" w:cs="宋体"/>
                <w:spacing w:val="-2"/>
                <w:sz w:val="21"/>
                <w:szCs w:val="21"/>
                <w:highlight w:val="none"/>
                <w:lang w:val="en-US" w:eastAsia="zh-CN" w:bidi="ar"/>
              </w:rPr>
              <w:t xml:space="preserve">3.3</w:t>
            </w:r>
            <w:r>
              <w:rPr>
                <w:rFonts w:hint="eastAsia" w:ascii="宋体" w:hAnsi="宋体" w:eastAsia="宋体" w:cs="宋体"/>
                <w:spacing w:val="-2"/>
                <w:sz w:val="21"/>
                <w:szCs w:val="21"/>
                <w:highlight w:val="none"/>
              </w:rPr>
            </w:r>
            <w:r/>
          </w:p>
        </w:tc>
        <w:tc>
          <w:tcPr>
            <w:tcW w:w="1179" w:type="dxa"/>
            <w:vAlign w:val="center"/>
            <w:textDirection w:val="lrTb"/>
            <w:noWrap w:val="false"/>
          </w:tcPr>
          <w:p>
            <w:pPr>
              <w:pStyle w:val="869"/>
              <w:ind w:left="0" w:right="0"/>
              <w:jc w:val="left"/>
              <w:keepLines w:val="0"/>
              <w:keepNext w:val="0"/>
              <w:spacing w:before="68" w:beforeAutospacing="0" w:after="0" w:afterAutospacing="0"/>
              <w:widowControl w:val="off"/>
              <w:rPr>
                <w:rFonts w:hint="eastAsia" w:ascii="宋体" w:hAnsi="宋体" w:eastAsia="宋体" w:cs="宋体"/>
                <w:spacing w:val="-2"/>
                <w:sz w:val="21"/>
                <w:szCs w:val="21"/>
                <w:highlight w:val="none"/>
              </w:rPr>
              <w:suppressLineNumbers w:val="0"/>
            </w:pPr>
            <w:r>
              <w:rPr>
                <w:rFonts w:hint="eastAsia" w:ascii="宋体" w:hAnsi="宋体" w:eastAsia="宋体" w:cs="宋体"/>
                <w:spacing w:val="-2"/>
                <w:sz w:val="21"/>
                <w:szCs w:val="21"/>
                <w:highlight w:val="none"/>
                <w:lang w:val="en-US" w:eastAsia="zh-CN" w:bidi="ar"/>
              </w:rPr>
              <w:t xml:space="preserve">质保承诺</w:t>
            </w:r>
            <w:r>
              <w:rPr>
                <w:rFonts w:hint="eastAsia" w:ascii="宋体" w:hAnsi="宋体" w:eastAsia="宋体" w:cs="宋体"/>
                <w:spacing w:val="-2"/>
                <w:sz w:val="21"/>
                <w:szCs w:val="21"/>
                <w:highlight w:val="none"/>
              </w:rPr>
            </w:r>
            <w:r/>
          </w:p>
        </w:tc>
        <w:tc>
          <w:tcPr>
            <w:tcW w:w="6330" w:type="dxa"/>
            <w:vAlign w:val="center"/>
            <w:textDirection w:val="lrTb"/>
            <w:noWrap w:val="false"/>
          </w:tcPr>
          <w:p>
            <w:pPr>
              <w:pStyle w:val="869"/>
              <w:ind w:left="0" w:right="0"/>
              <w:jc w:val="left"/>
              <w:keepLines w:val="0"/>
              <w:keepNext w:val="0"/>
              <w:spacing w:before="68" w:beforeAutospacing="0" w:after="0" w:afterAutospacing="0"/>
              <w:widowControl w:val="off"/>
              <w:rPr>
                <w:rFonts w:hint="eastAsia" w:ascii="宋体" w:hAnsi="宋体" w:eastAsia="宋体" w:cs="宋体"/>
                <w:spacing w:val="-2"/>
                <w:sz w:val="21"/>
                <w:szCs w:val="21"/>
                <w:highlight w:val="none"/>
              </w:rPr>
              <w:suppressLineNumbers w:val="0"/>
            </w:pPr>
            <w:r>
              <w:rPr>
                <w:rFonts w:hint="eastAsia" w:ascii="宋体" w:hAnsi="宋体" w:eastAsia="宋体" w:cs="宋体"/>
                <w:spacing w:val="-2"/>
                <w:sz w:val="21"/>
                <w:szCs w:val="21"/>
                <w:highlight w:val="none"/>
                <w:lang w:val="en-US" w:eastAsia="zh-CN" w:bidi="ar"/>
              </w:rPr>
              <w:t xml:space="preserve">投标人承诺本项目在质保服务三年的基础上，每增加一年质保得1分，最高得3分，质保费用包含在投标总价中（提供承诺函，格式自拟）。</w:t>
            </w:r>
            <w:r>
              <w:rPr>
                <w:rFonts w:hint="eastAsia" w:ascii="宋体" w:hAnsi="宋体" w:eastAsia="宋体" w:cs="宋体"/>
                <w:spacing w:val="-2"/>
                <w:sz w:val="21"/>
                <w:szCs w:val="21"/>
                <w:highlight w:val="none"/>
              </w:rPr>
            </w:r>
            <w:r/>
          </w:p>
        </w:tc>
        <w:tc>
          <w:tcPr>
            <w:tcW w:w="647" w:type="dxa"/>
            <w:vAlign w:val="center"/>
            <w:textDirection w:val="lrTb"/>
            <w:noWrap w:val="false"/>
          </w:tcPr>
          <w:p>
            <w:pPr>
              <w:pStyle w:val="869"/>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w:t>
            </w:r>
            <w:r>
              <w:rPr>
                <w:rFonts w:hint="eastAsia" w:ascii="宋体" w:hAnsi="宋体" w:eastAsia="宋体" w:cs="宋体"/>
                <w:sz w:val="21"/>
                <w:szCs w:val="21"/>
                <w:highlight w:val="none"/>
              </w:rPr>
            </w:r>
            <w:r/>
          </w:p>
        </w:tc>
        <w:tc>
          <w:tcPr>
            <w:tcW w:w="900" w:type="dxa"/>
            <w:vAlign w:val="center"/>
            <w:textDirection w:val="lrTb"/>
            <w:noWrap w:val="false"/>
          </w:tcPr>
          <w:p>
            <w:pPr>
              <w:pStyle w:val="869"/>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客观分</w:t>
            </w:r>
            <w:r>
              <w:rPr>
                <w:rFonts w:hint="eastAsia" w:ascii="宋体" w:hAnsi="宋体" w:eastAsia="宋体" w:cs="宋体"/>
                <w:sz w:val="21"/>
                <w:szCs w:val="21"/>
                <w:highlight w:val="none"/>
              </w:rPr>
            </w:r>
            <w:r/>
          </w:p>
        </w:tc>
      </w:tr>
      <w:tr>
        <w:trPr>
          <w:trHeight w:val="356"/>
        </w:trPr>
        <w:tc>
          <w:tcPr>
            <w:tcW w:w="519"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hint="eastAsia" w:ascii="宋体" w:hAnsi="宋体" w:eastAsia="宋体" w:cs="宋体"/>
                <w:spacing w:val="-2"/>
                <w:sz w:val="21"/>
                <w:szCs w:val="21"/>
                <w:highlight w:val="none"/>
              </w:rPr>
              <w:suppressLineNumbers w:val="0"/>
            </w:pPr>
            <w:r>
              <w:rPr>
                <w:rFonts w:hint="eastAsia" w:ascii="宋体" w:hAnsi="宋体" w:eastAsia="宋体" w:cs="宋体"/>
                <w:spacing w:val="-2"/>
                <w:sz w:val="21"/>
                <w:szCs w:val="21"/>
                <w:highlight w:val="none"/>
                <w:lang w:val="en-US" w:eastAsia="zh-CN" w:bidi="ar"/>
              </w:rPr>
              <w:t xml:space="preserve">3.4</w:t>
            </w:r>
            <w:r>
              <w:rPr>
                <w:rFonts w:hint="eastAsia" w:ascii="宋体" w:hAnsi="宋体" w:eastAsia="宋体" w:cs="宋体"/>
                <w:spacing w:val="-2"/>
                <w:sz w:val="21"/>
                <w:szCs w:val="21"/>
                <w:highlight w:val="none"/>
              </w:rPr>
            </w:r>
            <w:r/>
          </w:p>
        </w:tc>
        <w:tc>
          <w:tcPr>
            <w:tcW w:w="1179" w:type="dxa"/>
            <w:vAlign w:val="center"/>
            <w:textDirection w:val="lrTb"/>
            <w:noWrap w:val="false"/>
          </w:tcPr>
          <w:p>
            <w:pPr>
              <w:pStyle w:val="869"/>
              <w:ind w:left="0" w:right="0"/>
              <w:jc w:val="left"/>
              <w:keepLines w:val="0"/>
              <w:keepNext w:val="0"/>
              <w:spacing w:before="68" w:beforeAutospacing="0" w:after="0" w:afterAutospacing="0"/>
              <w:widowControl w:val="off"/>
              <w:rPr>
                <w:rFonts w:hint="eastAsia" w:ascii="宋体" w:hAnsi="宋体" w:eastAsia="宋体" w:cs="宋体"/>
                <w:spacing w:val="-2"/>
                <w:sz w:val="21"/>
                <w:szCs w:val="21"/>
                <w:highlight w:val="none"/>
              </w:rPr>
              <w:suppressLineNumbers w:val="0"/>
            </w:pPr>
            <w:r>
              <w:rPr>
                <w:rFonts w:hint="eastAsia" w:ascii="宋体" w:hAnsi="宋体" w:eastAsia="宋体" w:cs="宋体"/>
                <w:spacing w:val="-2"/>
                <w:sz w:val="21"/>
                <w:szCs w:val="21"/>
                <w:highlight w:val="none"/>
                <w:lang w:val="en-US" w:eastAsia="zh-CN" w:bidi="ar"/>
              </w:rPr>
              <w:t xml:space="preserve">本地化服务</w:t>
            </w:r>
            <w:r>
              <w:rPr>
                <w:rFonts w:hint="eastAsia" w:ascii="宋体" w:hAnsi="宋体" w:eastAsia="宋体" w:cs="宋体"/>
                <w:spacing w:val="-2"/>
                <w:sz w:val="21"/>
                <w:szCs w:val="21"/>
                <w:highlight w:val="none"/>
              </w:rPr>
            </w:r>
            <w:r/>
          </w:p>
        </w:tc>
        <w:tc>
          <w:tcPr>
            <w:tcW w:w="6330" w:type="dxa"/>
            <w:vAlign w:val="center"/>
            <w:textDirection w:val="lrTb"/>
            <w:noWrap w:val="false"/>
          </w:tcPr>
          <w:p>
            <w:pPr>
              <w:pStyle w:val="869"/>
              <w:ind w:left="0" w:right="0"/>
              <w:jc w:val="left"/>
              <w:keepLines w:val="0"/>
              <w:keepNext w:val="0"/>
              <w:spacing w:before="68" w:beforeAutospacing="0" w:after="0" w:afterAutospacing="0"/>
              <w:widowControl w:val="off"/>
              <w:rPr>
                <w:rFonts w:hint="eastAsia" w:ascii="宋体" w:hAnsi="宋体" w:eastAsia="宋体" w:cs="宋体"/>
                <w:spacing w:val="-2"/>
                <w:sz w:val="21"/>
                <w:szCs w:val="21"/>
                <w:highlight w:val="none"/>
              </w:rPr>
              <w:suppressLineNumbers w:val="0"/>
            </w:pPr>
            <w:r>
              <w:rPr>
                <w:rFonts w:hint="eastAsia" w:ascii="宋体" w:hAnsi="宋体" w:eastAsia="宋体" w:cs="宋体"/>
                <w:spacing w:val="-2"/>
                <w:sz w:val="21"/>
                <w:szCs w:val="21"/>
                <w:highlight w:val="none"/>
                <w:lang w:val="en-US" w:eastAsia="zh-CN" w:bidi="ar"/>
              </w:rPr>
              <w:t xml:space="preserve">投标人具有本地化服务能力，得1分（提供承诺函和其他证明材料，承诺函格式自拟）。</w:t>
            </w:r>
            <w:r>
              <w:rPr>
                <w:rFonts w:hint="eastAsia" w:ascii="宋体" w:hAnsi="宋体" w:eastAsia="宋体" w:cs="宋体"/>
                <w:spacing w:val="-2"/>
                <w:sz w:val="21"/>
                <w:szCs w:val="21"/>
                <w:highlight w:val="none"/>
              </w:rPr>
            </w:r>
            <w:r/>
          </w:p>
        </w:tc>
        <w:tc>
          <w:tcPr>
            <w:tcW w:w="647" w:type="dxa"/>
            <w:vAlign w:val="center"/>
            <w:textDirection w:val="lrTb"/>
            <w:noWrap w:val="false"/>
          </w:tcPr>
          <w:p>
            <w:pPr>
              <w:pStyle w:val="869"/>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rPr>
                <w:rFonts w:hint="eastAsia" w:ascii="宋体" w:hAnsi="宋体" w:eastAsia="宋体" w:cs="宋体"/>
                <w:sz w:val="21"/>
                <w:szCs w:val="21"/>
                <w:highlight w:val="none"/>
              </w:rPr>
            </w:r>
            <w:r/>
          </w:p>
        </w:tc>
        <w:tc>
          <w:tcPr>
            <w:tcW w:w="900" w:type="dxa"/>
            <w:vAlign w:val="center"/>
            <w:textDirection w:val="lrTb"/>
            <w:noWrap w:val="false"/>
          </w:tcPr>
          <w:p>
            <w:pPr>
              <w:pStyle w:val="869"/>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客观分</w:t>
            </w:r>
            <w:r>
              <w:rPr>
                <w:rFonts w:hint="eastAsia" w:ascii="宋体" w:hAnsi="宋体" w:eastAsia="宋体" w:cs="宋体"/>
                <w:sz w:val="21"/>
                <w:szCs w:val="21"/>
                <w:highlight w:val="none"/>
              </w:rPr>
            </w:r>
            <w:r/>
          </w:p>
        </w:tc>
      </w:tr>
      <w:tr>
        <w:trPr>
          <w:trHeight w:val="455"/>
        </w:trPr>
        <w:tc>
          <w:tcPr>
            <w:gridSpan w:val="5"/>
            <w:tcW w:w="9575" w:type="dxa"/>
            <w:vAlign w:val="center"/>
            <w:textDirection w:val="lrTb"/>
            <w:noWrap w:val="false"/>
          </w:tcPr>
          <w:p>
            <w:pPr>
              <w:pStyle w:val="869"/>
              <w:ind w:left="0" w:right="0"/>
              <w:jc w:val="both"/>
              <w:keepLines w:val="0"/>
              <w:keepNext w:val="0"/>
              <w:spacing w:before="0" w:beforeAutospacing="0" w:after="0" w:afterAutospacing="0" w:line="264"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b/>
                <w:bCs/>
                <w:spacing w:val="-3"/>
                <w:sz w:val="21"/>
                <w:szCs w:val="21"/>
                <w:highlight w:val="none"/>
                <w:lang w:val="en-US" w:eastAsia="zh-CN" w:bidi="ar"/>
              </w:rPr>
              <w:t xml:space="preserve">4.业绩</w:t>
            </w:r>
            <w:r>
              <w:rPr>
                <w:rFonts w:hint="eastAsia" w:ascii="宋体" w:hAnsi="宋体" w:eastAsia="宋体" w:cs="宋体"/>
                <w:sz w:val="21"/>
                <w:szCs w:val="21"/>
                <w:highlight w:val="none"/>
              </w:rPr>
            </w:r>
            <w:r/>
          </w:p>
        </w:tc>
      </w:tr>
      <w:tr>
        <w:trPr>
          <w:trHeight w:val="371"/>
        </w:trPr>
        <w:tc>
          <w:tcPr>
            <w:tcW w:w="519"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hint="eastAsia" w:ascii="宋体" w:hAnsi="宋体" w:eastAsia="宋体" w:cs="宋体"/>
                <w:spacing w:val="-2"/>
                <w:sz w:val="21"/>
                <w:szCs w:val="21"/>
                <w:highlight w:val="none"/>
              </w:rPr>
              <w:suppressLineNumbers w:val="0"/>
            </w:pPr>
            <w:r>
              <w:rPr>
                <w:rFonts w:hint="eastAsia" w:ascii="宋体" w:hAnsi="宋体" w:eastAsia="宋体" w:cs="宋体"/>
                <w:spacing w:val="-2"/>
                <w:sz w:val="21"/>
                <w:szCs w:val="21"/>
                <w:highlight w:val="none"/>
                <w:lang w:val="en-US" w:eastAsia="zh-CN" w:bidi="ar"/>
              </w:rPr>
              <w:t xml:space="preserve">4.1</w:t>
            </w:r>
            <w:r>
              <w:rPr>
                <w:rFonts w:hint="eastAsia" w:ascii="宋体" w:hAnsi="宋体" w:eastAsia="宋体" w:cs="宋体"/>
                <w:spacing w:val="-2"/>
                <w:sz w:val="21"/>
                <w:szCs w:val="21"/>
                <w:highlight w:val="none"/>
              </w:rPr>
            </w:r>
            <w:r/>
          </w:p>
        </w:tc>
        <w:tc>
          <w:tcPr>
            <w:tcW w:w="1179" w:type="dxa"/>
            <w:vAlign w:val="center"/>
            <w:textDirection w:val="lrTb"/>
            <w:noWrap w:val="false"/>
          </w:tcPr>
          <w:p>
            <w:pPr>
              <w:pStyle w:val="869"/>
              <w:ind w:left="0" w:right="0"/>
              <w:jc w:val="both"/>
              <w:keepLines w:val="0"/>
              <w:keepNext w:val="0"/>
              <w:spacing w:before="69" w:beforeAutospacing="0" w:after="0" w:afterAutospacing="0" w:line="264" w:lineRule="auto"/>
              <w:widowControl w:val="off"/>
              <w:rPr>
                <w:rFonts w:hint="eastAsia" w:ascii="Times New Roman" w:hAnsi="Times New Roman" w:eastAsia="宋体" w:cs="Times New Roman"/>
                <w:sz w:val="21"/>
                <w:szCs w:val="21"/>
                <w:highlight w:val="none"/>
              </w:rPr>
              <w:suppressLineNumbers w:val="0"/>
            </w:pPr>
            <w:r>
              <w:rPr>
                <w:rFonts w:hint="eastAsia" w:ascii="宋体" w:hAnsi="宋体" w:eastAsia="宋体" w:cs="宋体"/>
                <w:spacing w:val="-1"/>
                <w:sz w:val="21"/>
                <w:szCs w:val="21"/>
                <w:highlight w:val="none"/>
                <w:lang w:val="en-US" w:eastAsia="zh-CN" w:bidi="ar"/>
              </w:rPr>
              <w:t xml:space="preserve">投标人业绩</w:t>
            </w:r>
            <w:r>
              <w:rPr>
                <w:rFonts w:hint="eastAsia" w:ascii="Times New Roman" w:hAnsi="Times New Roman" w:eastAsia="宋体" w:cs="Times New Roman"/>
                <w:sz w:val="21"/>
                <w:szCs w:val="21"/>
                <w:highlight w:val="none"/>
              </w:rPr>
            </w:r>
            <w:r/>
          </w:p>
        </w:tc>
        <w:tc>
          <w:tcPr>
            <w:tcW w:w="6330" w:type="dxa"/>
            <w:vAlign w:val="center"/>
            <w:textDirection w:val="lrTb"/>
            <w:noWrap w:val="false"/>
          </w:tcPr>
          <w:p>
            <w:pPr>
              <w:pStyle w:val="869"/>
              <w:ind w:left="0" w:right="0"/>
              <w:jc w:val="both"/>
              <w:keepLines w:val="0"/>
              <w:keepNext w:val="0"/>
              <w:spacing w:before="0" w:beforeAutospacing="0" w:after="0" w:afterAutospacing="0" w:line="264"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投标人提供2022年1月1日（含）以来类似项目业绩或产品业绩（至少含多媒体系统和功能室建设，内容缺项不得分），每提供1个得1分，最多得3分。（时间以合同签订时间为准，提供有效合同，合同页须清晰可见相应内容）</w:t>
            </w:r>
            <w:r>
              <w:rPr>
                <w:rFonts w:hint="eastAsia" w:ascii="宋体" w:hAnsi="宋体" w:eastAsia="宋体" w:cs="宋体"/>
                <w:sz w:val="21"/>
                <w:szCs w:val="21"/>
                <w:highlight w:val="none"/>
              </w:rPr>
            </w:r>
            <w:r/>
          </w:p>
          <w:p>
            <w:pPr>
              <w:pStyle w:val="869"/>
              <w:ind w:left="0" w:right="0"/>
              <w:jc w:val="both"/>
              <w:keepLines w:val="0"/>
              <w:keepNext w:val="0"/>
              <w:spacing w:before="0" w:beforeAutospacing="0" w:after="0" w:afterAutospacing="0" w:line="264"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备注：所提供业绩内容中包含的“</w:t>
            </w:r>
            <w:r>
              <w:rPr>
                <w:rStyle w:val="999"/>
                <w:rFonts w:hint="eastAsia" w:ascii="宋体" w:hAnsi="宋体" w:eastAsia="宋体" w:cs="宋体"/>
                <w:color w:val="000000"/>
                <w:sz w:val="21"/>
                <w:szCs w:val="21"/>
                <w:highlight w:val="none"/>
                <w:lang w:val="en-US" w:eastAsia="zh-CN" w:bidi="ar"/>
              </w:rPr>
              <w:t xml:space="preserve">产品名称</w:t>
            </w:r>
            <w:r>
              <w:rPr>
                <w:rFonts w:hint="eastAsia" w:ascii="宋体" w:hAnsi="宋体" w:eastAsia="宋体" w:cs="宋体"/>
                <w:sz w:val="21"/>
                <w:szCs w:val="21"/>
                <w:highlight w:val="none"/>
                <w:lang w:val="en-US" w:eastAsia="zh-CN" w:bidi="ar"/>
              </w:rPr>
              <w:t xml:space="preserve">”与</w:t>
            </w:r>
            <w:r>
              <w:rPr>
                <w:rStyle w:val="999"/>
                <w:rFonts w:hint="eastAsia" w:ascii="宋体" w:hAnsi="宋体" w:eastAsia="宋体" w:cs="宋体"/>
                <w:color w:val="000000"/>
                <w:sz w:val="21"/>
                <w:szCs w:val="21"/>
                <w:highlight w:val="none"/>
                <w:lang w:val="en-US" w:eastAsia="zh-CN" w:bidi="ar"/>
              </w:rPr>
              <w:t xml:space="preserve">评分细则规定</w:t>
            </w:r>
            <w:r>
              <w:rPr>
                <w:rFonts w:hint="eastAsia" w:ascii="宋体" w:hAnsi="宋体" w:eastAsia="宋体" w:cs="宋体"/>
                <w:sz w:val="21"/>
                <w:szCs w:val="21"/>
                <w:highlight w:val="none"/>
                <w:lang w:val="en-US" w:eastAsia="zh-CN" w:bidi="ar"/>
              </w:rPr>
              <w:t xml:space="preserve">不同时，应提供符合上述要求的内容（功能）说明及关键信息，否则不予认可。</w:t>
            </w:r>
            <w:r>
              <w:rPr>
                <w:rFonts w:hint="eastAsia" w:ascii="宋体" w:hAnsi="宋体" w:eastAsia="宋体" w:cs="宋体"/>
                <w:sz w:val="21"/>
                <w:szCs w:val="21"/>
                <w:highlight w:val="none"/>
              </w:rPr>
            </w:r>
            <w:r/>
          </w:p>
        </w:tc>
        <w:tc>
          <w:tcPr>
            <w:tcW w:w="647" w:type="dxa"/>
            <w:vAlign w:val="center"/>
            <w:textDirection w:val="lrTb"/>
            <w:noWrap w:val="false"/>
          </w:tcPr>
          <w:p>
            <w:pPr>
              <w:pStyle w:val="869"/>
              <w:ind w:left="0" w:right="0"/>
              <w:jc w:val="center"/>
              <w:keepLines w:val="0"/>
              <w:keepNext w:val="0"/>
              <w:spacing w:before="0" w:beforeAutospacing="0" w:after="0" w:afterAutospacing="0" w:line="264"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w:t>
            </w:r>
            <w:r>
              <w:rPr>
                <w:rFonts w:hint="eastAsia" w:ascii="宋体" w:hAnsi="宋体" w:eastAsia="宋体" w:cs="宋体"/>
                <w:sz w:val="21"/>
                <w:szCs w:val="21"/>
                <w:highlight w:val="none"/>
              </w:rPr>
            </w:r>
            <w:r/>
          </w:p>
        </w:tc>
        <w:tc>
          <w:tcPr>
            <w:tcW w:w="900"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客</w:t>
            </w:r>
            <w:r>
              <w:rPr>
                <w:rFonts w:hint="eastAsia" w:ascii="宋体" w:hAnsi="宋体" w:eastAsia="宋体" w:cs="宋体"/>
                <w:spacing w:val="-4"/>
                <w:sz w:val="21"/>
                <w:szCs w:val="21"/>
                <w:highlight w:val="none"/>
                <w:lang w:val="en-US" w:eastAsia="zh-CN" w:bidi="ar"/>
              </w:rPr>
              <w:t xml:space="preserve">观分</w:t>
            </w:r>
            <w:r>
              <w:rPr>
                <w:rFonts w:hint="eastAsia" w:ascii="宋体" w:hAnsi="宋体" w:eastAsia="宋体" w:cs="宋体"/>
                <w:sz w:val="21"/>
                <w:szCs w:val="21"/>
                <w:highlight w:val="none"/>
              </w:rPr>
            </w:r>
            <w:r/>
          </w:p>
        </w:tc>
      </w:tr>
      <w:tr>
        <w:trPr>
          <w:trHeight w:val="269"/>
        </w:trPr>
        <w:tc>
          <w:tcPr>
            <w:gridSpan w:val="5"/>
            <w:tcW w:w="9575" w:type="dxa"/>
            <w:vAlign w:val="top"/>
            <w:textDirection w:val="lrTb"/>
            <w:noWrap w:val="false"/>
          </w:tcPr>
          <w:p>
            <w:pPr>
              <w:pStyle w:val="869"/>
              <w:ind w:left="0" w:right="0"/>
              <w:jc w:val="both"/>
              <w:keepLines w:val="0"/>
              <w:keepNext w:val="0"/>
              <w:spacing w:before="123" w:beforeAutospacing="0" w:after="0" w:afterAutospacing="0" w:line="264"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b/>
                <w:bCs/>
                <w:spacing w:val="-3"/>
                <w:sz w:val="21"/>
                <w:szCs w:val="21"/>
                <w:highlight w:val="none"/>
                <w:lang w:val="en-US" w:eastAsia="zh-CN" w:bidi="ar"/>
              </w:rPr>
              <w:t xml:space="preserve">5.履约能力</w:t>
            </w:r>
            <w:r>
              <w:rPr>
                <w:rFonts w:hint="eastAsia" w:ascii="宋体" w:hAnsi="宋体" w:eastAsia="宋体" w:cs="宋体"/>
                <w:sz w:val="21"/>
                <w:szCs w:val="21"/>
                <w:highlight w:val="none"/>
              </w:rPr>
            </w:r>
            <w:r/>
          </w:p>
        </w:tc>
      </w:tr>
      <w:tr>
        <w:trPr>
          <w:trHeight w:val="387"/>
        </w:trPr>
        <w:tc>
          <w:tcPr>
            <w:tcW w:w="519"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hint="eastAsia" w:ascii="宋体" w:hAnsi="宋体" w:eastAsia="宋体" w:cs="宋体"/>
                <w:spacing w:val="-2"/>
                <w:sz w:val="21"/>
                <w:szCs w:val="21"/>
                <w:highlight w:val="none"/>
              </w:rPr>
              <w:suppressLineNumbers w:val="0"/>
            </w:pPr>
            <w:r>
              <w:rPr>
                <w:rFonts w:hint="eastAsia" w:ascii="宋体" w:hAnsi="宋体" w:eastAsia="宋体" w:cs="宋体"/>
                <w:spacing w:val="-2"/>
                <w:sz w:val="21"/>
                <w:szCs w:val="21"/>
                <w:highlight w:val="none"/>
                <w:lang w:val="en-US" w:eastAsia="zh-CN" w:bidi="ar"/>
              </w:rPr>
              <w:t xml:space="preserve">5.1</w:t>
            </w:r>
            <w:r>
              <w:rPr>
                <w:rFonts w:hint="eastAsia" w:ascii="宋体" w:hAnsi="宋体" w:eastAsia="宋体" w:cs="宋体"/>
                <w:spacing w:val="-2"/>
                <w:sz w:val="21"/>
                <w:szCs w:val="21"/>
                <w:highlight w:val="none"/>
              </w:rPr>
            </w:r>
            <w:r/>
          </w:p>
        </w:tc>
        <w:tc>
          <w:tcPr>
            <w:tcW w:w="1179" w:type="dxa"/>
            <w:vAlign w:val="center"/>
            <w:textDirection w:val="lrTb"/>
            <w:noWrap w:val="false"/>
          </w:tcPr>
          <w:p>
            <w:pPr>
              <w:pStyle w:val="869"/>
              <w:ind w:left="0" w:right="0"/>
              <w:jc w:val="both"/>
              <w:keepLines w:val="0"/>
              <w:keepNext w:val="0"/>
              <w:spacing w:before="69" w:beforeAutospacing="0" w:after="0" w:afterAutospacing="0" w:line="264" w:lineRule="auto"/>
              <w:widowControl w:val="off"/>
              <w:rPr>
                <w:rFonts w:hint="eastAsia" w:ascii="宋体" w:hAnsi="宋体" w:eastAsia="宋体" w:cs="宋体"/>
                <w:spacing w:val="-1"/>
                <w:sz w:val="21"/>
                <w:szCs w:val="21"/>
                <w:highlight w:val="none"/>
              </w:rPr>
              <w:suppressLineNumbers w:val="0"/>
            </w:pPr>
            <w:r>
              <w:rPr>
                <w:rFonts w:hint="eastAsia" w:ascii="宋体" w:hAnsi="宋体" w:eastAsia="宋体" w:cs="宋体"/>
                <w:spacing w:val="-1"/>
                <w:sz w:val="21"/>
                <w:szCs w:val="21"/>
                <w:highlight w:val="none"/>
                <w:lang w:val="en-US" w:eastAsia="zh-CN" w:bidi="ar"/>
              </w:rPr>
              <w:t xml:space="preserve">履约能力1</w:t>
            </w:r>
            <w:r>
              <w:rPr>
                <w:rFonts w:hint="eastAsia" w:ascii="宋体" w:hAnsi="宋体" w:eastAsia="宋体" w:cs="宋体"/>
                <w:spacing w:val="-1"/>
                <w:sz w:val="21"/>
                <w:szCs w:val="21"/>
                <w:highlight w:val="none"/>
              </w:rPr>
            </w:r>
            <w:r/>
          </w:p>
        </w:tc>
        <w:tc>
          <w:tcPr>
            <w:tcW w:w="6330" w:type="dxa"/>
            <w:vAlign w:val="center"/>
            <w:textDirection w:val="lrTb"/>
            <w:noWrap w:val="false"/>
          </w:tcPr>
          <w:p>
            <w:pPr>
              <w:pStyle w:val="869"/>
              <w:ind w:left="0" w:right="0"/>
              <w:jc w:val="both"/>
              <w:keepLines w:val="0"/>
              <w:keepNext w:val="0"/>
              <w:spacing w:before="0" w:beforeAutospacing="0" w:after="0" w:afterAutospacing="0" w:line="264" w:lineRule="auto"/>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投标人或所投核心产品制造商具有有效期内的中国环保产品认证证书（CQC），产品名称至少包含激光智慧黑板，完全满足要求得1分，认证范围不全或未提供的不得分。</w:t>
            </w:r>
            <w:r>
              <w:rPr>
                <w:rFonts w:hint="eastAsia" w:ascii="宋体" w:hAnsi="宋体" w:eastAsia="宋体" w:cs="宋体"/>
                <w:sz w:val="21"/>
                <w:szCs w:val="21"/>
                <w:highlight w:val="none"/>
                <w:lang w:val="en-US" w:eastAsia="zh-CN" w:bidi="ar"/>
              </w:rPr>
            </w:r>
            <w:r/>
          </w:p>
          <w:p>
            <w:pPr>
              <w:pStyle w:val="869"/>
              <w:ind w:left="0" w:right="0"/>
              <w:jc w:val="both"/>
              <w:keepLines w:val="0"/>
              <w:keepNext w:val="0"/>
              <w:spacing w:before="0" w:beforeAutospacing="0" w:after="0" w:afterAutospacing="0" w:line="264" w:lineRule="auto"/>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备注：</w:t>
            </w:r>
            <w:r>
              <w:rPr>
                <w:rStyle w:val="1000"/>
                <w:rFonts w:hint="eastAsia" w:ascii="宋体" w:hAnsi="宋体" w:eastAsia="宋体" w:cs="宋体"/>
                <w:b w:val="0"/>
                <w:bCs w:val="0"/>
                <w:color w:val="000000"/>
                <w:sz w:val="21"/>
                <w:szCs w:val="21"/>
                <w:highlight w:val="none"/>
                <w:lang w:val="en-US" w:eastAsia="zh-CN" w:bidi="ar"/>
              </w:rPr>
              <w:t xml:space="preserve">所提供认证证书中“认证产品”名称</w:t>
            </w:r>
            <w:r>
              <w:rPr>
                <w:rFonts w:hint="eastAsia" w:ascii="宋体" w:hAnsi="宋体" w:eastAsia="宋体" w:cs="宋体"/>
                <w:sz w:val="21"/>
                <w:szCs w:val="21"/>
                <w:highlight w:val="none"/>
                <w:lang w:val="en-US" w:eastAsia="zh-CN" w:bidi="ar"/>
              </w:rPr>
              <w:t xml:space="preserve">与评标标准给定名称不同时，应提供符合上述要求的内容（功能）说明及关键信息，否则不予认可。为方便评委评审，功能参数可用箭头、标红或下划线等进行明显标注。</w:t>
            </w:r>
            <w:r>
              <w:rPr>
                <w:rFonts w:hint="eastAsia" w:ascii="宋体" w:hAnsi="宋体" w:eastAsia="宋体" w:cs="宋体"/>
                <w:sz w:val="21"/>
                <w:szCs w:val="21"/>
                <w:highlight w:val="none"/>
                <w:lang w:val="en-US" w:eastAsia="zh-CN" w:bidi="ar"/>
              </w:rPr>
            </w:r>
            <w:r/>
          </w:p>
        </w:tc>
        <w:tc>
          <w:tcPr>
            <w:tcW w:w="647"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hint="eastAsia" w:ascii="宋体" w:hAnsi="宋体" w:eastAsia="宋体" w:cs="宋体"/>
                <w:spacing w:val="-2"/>
                <w:sz w:val="21"/>
                <w:szCs w:val="21"/>
                <w:highlight w:val="none"/>
              </w:rPr>
              <w:suppressLineNumbers w:val="0"/>
            </w:pPr>
            <w:r>
              <w:rPr>
                <w:rFonts w:hint="eastAsia" w:ascii="宋体" w:hAnsi="宋体" w:eastAsia="宋体" w:cs="宋体"/>
                <w:spacing w:val="-2"/>
                <w:sz w:val="21"/>
                <w:szCs w:val="21"/>
                <w:highlight w:val="none"/>
                <w:lang w:val="en-US" w:eastAsia="zh-CN" w:bidi="ar"/>
              </w:rPr>
              <w:t xml:space="preserve">1</w:t>
            </w:r>
            <w:r>
              <w:rPr>
                <w:rFonts w:hint="eastAsia" w:ascii="宋体" w:hAnsi="宋体" w:eastAsia="宋体" w:cs="宋体"/>
                <w:spacing w:val="-2"/>
                <w:sz w:val="21"/>
                <w:szCs w:val="21"/>
                <w:highlight w:val="none"/>
              </w:rPr>
            </w:r>
            <w:r/>
          </w:p>
        </w:tc>
        <w:tc>
          <w:tcPr>
            <w:tcW w:w="900"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hint="eastAsia" w:ascii="宋体" w:hAnsi="宋体" w:eastAsia="宋体" w:cs="宋体"/>
                <w:spacing w:val="-2"/>
                <w:sz w:val="21"/>
                <w:szCs w:val="21"/>
                <w:highlight w:val="none"/>
              </w:rPr>
              <w:suppressLineNumbers w:val="0"/>
            </w:pPr>
            <w:r>
              <w:rPr>
                <w:rFonts w:hint="eastAsia" w:ascii="宋体" w:hAnsi="宋体" w:eastAsia="宋体" w:cs="宋体"/>
                <w:spacing w:val="-2"/>
                <w:sz w:val="21"/>
                <w:szCs w:val="21"/>
                <w:highlight w:val="none"/>
                <w:lang w:val="en-US" w:eastAsia="zh-CN" w:bidi="ar"/>
              </w:rPr>
              <w:t xml:space="preserve">客观分</w:t>
            </w:r>
            <w:r>
              <w:rPr>
                <w:rFonts w:hint="eastAsia" w:ascii="宋体" w:hAnsi="宋体" w:eastAsia="宋体" w:cs="宋体"/>
                <w:spacing w:val="-2"/>
                <w:sz w:val="21"/>
                <w:szCs w:val="21"/>
                <w:highlight w:val="none"/>
              </w:rPr>
            </w:r>
            <w:r/>
          </w:p>
        </w:tc>
      </w:tr>
      <w:tr>
        <w:trPr>
          <w:trHeight w:val="383"/>
        </w:trPr>
        <w:tc>
          <w:tcPr>
            <w:tcW w:w="519"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hint="eastAsia" w:ascii="宋体" w:hAnsi="宋体" w:eastAsia="宋体" w:cs="宋体"/>
                <w:spacing w:val="-2"/>
                <w:sz w:val="21"/>
                <w:szCs w:val="21"/>
                <w:highlight w:val="none"/>
              </w:rPr>
              <w:suppressLineNumbers w:val="0"/>
            </w:pPr>
            <w:r>
              <w:rPr>
                <w:rFonts w:hint="eastAsia" w:ascii="宋体" w:hAnsi="宋体" w:eastAsia="宋体" w:cs="宋体"/>
                <w:spacing w:val="-2"/>
                <w:sz w:val="21"/>
                <w:szCs w:val="21"/>
                <w:highlight w:val="none"/>
                <w:lang w:val="en-US" w:eastAsia="zh-CN" w:bidi="ar"/>
              </w:rPr>
              <w:t xml:space="preserve">5.2</w:t>
            </w:r>
            <w:r>
              <w:rPr>
                <w:rFonts w:hint="eastAsia" w:ascii="宋体" w:hAnsi="宋体" w:eastAsia="宋体" w:cs="宋体"/>
                <w:spacing w:val="-2"/>
                <w:sz w:val="21"/>
                <w:szCs w:val="21"/>
                <w:highlight w:val="none"/>
              </w:rPr>
            </w:r>
            <w:r/>
          </w:p>
        </w:tc>
        <w:tc>
          <w:tcPr>
            <w:tcW w:w="1179" w:type="dxa"/>
            <w:vAlign w:val="center"/>
            <w:textDirection w:val="lrTb"/>
            <w:noWrap w:val="false"/>
          </w:tcPr>
          <w:p>
            <w:pPr>
              <w:pStyle w:val="869"/>
              <w:ind w:left="0" w:right="0"/>
              <w:jc w:val="both"/>
              <w:keepLines w:val="0"/>
              <w:keepNext w:val="0"/>
              <w:spacing w:before="69" w:beforeAutospacing="0" w:after="0" w:afterAutospacing="0" w:line="264" w:lineRule="auto"/>
              <w:widowControl w:val="off"/>
              <w:rPr>
                <w:rFonts w:hint="eastAsia" w:ascii="宋体" w:hAnsi="宋体" w:eastAsia="宋体" w:cs="宋体"/>
                <w:spacing w:val="-1"/>
                <w:sz w:val="21"/>
                <w:szCs w:val="21"/>
                <w:highlight w:val="none"/>
              </w:rPr>
              <w:suppressLineNumbers w:val="0"/>
            </w:pPr>
            <w:r>
              <w:rPr>
                <w:rFonts w:hint="eastAsia" w:ascii="宋体" w:hAnsi="宋体" w:eastAsia="宋体" w:cs="宋体"/>
                <w:spacing w:val="-1"/>
                <w:sz w:val="21"/>
                <w:szCs w:val="21"/>
                <w:highlight w:val="none"/>
                <w:lang w:val="en-US" w:eastAsia="zh-CN" w:bidi="ar"/>
              </w:rPr>
              <w:t xml:space="preserve">履约能力2</w:t>
            </w:r>
            <w:r>
              <w:rPr>
                <w:rFonts w:hint="eastAsia" w:ascii="宋体" w:hAnsi="宋体" w:eastAsia="宋体" w:cs="宋体"/>
                <w:spacing w:val="-1"/>
                <w:sz w:val="21"/>
                <w:szCs w:val="21"/>
                <w:highlight w:val="none"/>
              </w:rPr>
            </w:r>
            <w:r/>
          </w:p>
        </w:tc>
        <w:tc>
          <w:tcPr>
            <w:tcW w:w="6330" w:type="dxa"/>
            <w:vAlign w:val="center"/>
            <w:textDirection w:val="lrTb"/>
            <w:noWrap w:val="false"/>
          </w:tcPr>
          <w:p>
            <w:pPr>
              <w:pStyle w:val="869"/>
              <w:ind w:left="0" w:right="0"/>
              <w:jc w:val="both"/>
              <w:keepLines w:val="0"/>
              <w:keepNext w:val="0"/>
              <w:spacing w:before="0" w:beforeAutospacing="0" w:after="0" w:afterAutospacing="0" w:line="264" w:lineRule="auto"/>
              <w:widowControl w:val="off"/>
              <w:rPr>
                <w:rFonts w:hint="eastAsia" w:ascii="宋体" w:hAnsi="宋体" w:eastAsia="宋体" w:cs="宋体"/>
                <w:sz w:val="21"/>
                <w:szCs w:val="21"/>
                <w:highlight w:val="none"/>
                <w:lang w:val="en-US" w:eastAsia="zh-CN" w:bidi="ar"/>
              </w:rPr>
              <w:suppressLineNumbers w:val="0"/>
            </w:pPr>
            <w:r/>
            <w:bookmarkStart w:id="199" w:name="OLE_LINK3"/>
            <w:r>
              <w:rPr>
                <w:rFonts w:hint="eastAsia" w:ascii="宋体" w:hAnsi="宋体" w:eastAsia="宋体" w:cs="宋体"/>
                <w:sz w:val="21"/>
                <w:szCs w:val="21"/>
                <w:highlight w:val="none"/>
                <w:lang w:val="en-US" w:eastAsia="zh-CN" w:bidi="ar"/>
              </w:rPr>
              <w:t xml:space="preserve">投标人或所投核心产品或主要产品制造商具有有效期内的知识产权管理体系认证证书</w:t>
            </w:r>
            <w:bookmarkEnd w:id="199"/>
            <w:r>
              <w:rPr>
                <w:rFonts w:hint="eastAsia" w:ascii="宋体" w:hAnsi="宋体" w:eastAsia="宋体" w:cs="宋体"/>
                <w:sz w:val="21"/>
                <w:szCs w:val="21"/>
                <w:highlight w:val="none"/>
                <w:lang w:val="en-US" w:eastAsia="zh-CN" w:bidi="ar"/>
              </w:rPr>
              <w:t xml:space="preserve">，得1分，未提供的不得分。</w:t>
            </w:r>
            <w:r>
              <w:rPr>
                <w:rFonts w:hint="eastAsia" w:ascii="宋体" w:hAnsi="宋体" w:eastAsia="宋体" w:cs="宋体"/>
                <w:sz w:val="21"/>
                <w:szCs w:val="21"/>
                <w:highlight w:val="none"/>
                <w:lang w:val="en-US" w:eastAsia="zh-CN" w:bidi="ar"/>
              </w:rPr>
            </w:r>
            <w:r/>
          </w:p>
        </w:tc>
        <w:tc>
          <w:tcPr>
            <w:tcW w:w="647"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rPr>
                <w:rFonts w:hint="eastAsia" w:ascii="宋体" w:hAnsi="宋体" w:eastAsia="宋体" w:cs="宋体"/>
                <w:sz w:val="21"/>
                <w:szCs w:val="21"/>
                <w:highlight w:val="none"/>
              </w:rPr>
            </w:r>
            <w:r/>
          </w:p>
        </w:tc>
        <w:tc>
          <w:tcPr>
            <w:tcW w:w="900"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客</w:t>
            </w:r>
            <w:r>
              <w:rPr>
                <w:rFonts w:hint="eastAsia" w:ascii="宋体" w:hAnsi="宋体" w:eastAsia="宋体" w:cs="宋体"/>
                <w:spacing w:val="-4"/>
                <w:sz w:val="21"/>
                <w:szCs w:val="21"/>
                <w:highlight w:val="none"/>
                <w:lang w:val="en-US" w:eastAsia="zh-CN" w:bidi="ar"/>
              </w:rPr>
              <w:t xml:space="preserve">观分</w:t>
            </w:r>
            <w:r>
              <w:rPr>
                <w:rFonts w:hint="eastAsia" w:ascii="宋体" w:hAnsi="宋体" w:eastAsia="宋体" w:cs="宋体"/>
                <w:sz w:val="21"/>
                <w:szCs w:val="21"/>
                <w:highlight w:val="none"/>
              </w:rPr>
            </w:r>
            <w:r/>
          </w:p>
        </w:tc>
      </w:tr>
      <w:tr>
        <w:trPr>
          <w:trHeight w:val="431"/>
        </w:trPr>
        <w:tc>
          <w:tcPr>
            <w:gridSpan w:val="5"/>
            <w:tcW w:w="9575" w:type="dxa"/>
            <w:vAlign w:val="center"/>
            <w:textDirection w:val="lrTb"/>
            <w:noWrap w:val="false"/>
          </w:tcPr>
          <w:p>
            <w:pPr>
              <w:pStyle w:val="869"/>
              <w:ind w:left="0" w:right="0"/>
              <w:jc w:val="both"/>
              <w:keepLines w:val="0"/>
              <w:keepNext w:val="0"/>
              <w:spacing w:before="68" w:beforeAutospacing="0" w:after="0" w:afterAutospacing="0" w:line="264" w:lineRule="auto"/>
              <w:widowControl w:val="off"/>
              <w:rPr>
                <w:rFonts w:hint="eastAsia" w:ascii="宋体" w:hAnsi="宋体" w:eastAsia="宋体" w:cs="宋体"/>
                <w:spacing w:val="-6"/>
                <w:sz w:val="21"/>
                <w:szCs w:val="21"/>
                <w:highlight w:val="none"/>
              </w:rPr>
              <w:suppressLineNumbers w:val="0"/>
            </w:pPr>
            <w:r>
              <w:rPr>
                <w:rFonts w:hint="eastAsia" w:ascii="宋体" w:hAnsi="宋体" w:eastAsia="宋体" w:cs="宋体"/>
                <w:b/>
                <w:bCs/>
                <w:spacing w:val="-3"/>
                <w:sz w:val="21"/>
                <w:szCs w:val="21"/>
                <w:highlight w:val="none"/>
                <w:lang w:val="en-US" w:eastAsia="zh-CN" w:bidi="ar"/>
              </w:rPr>
              <w:t xml:space="preserve">6.节能环保</w:t>
            </w:r>
            <w:r>
              <w:rPr>
                <w:rFonts w:hint="eastAsia" w:ascii="宋体" w:hAnsi="宋体" w:eastAsia="宋体" w:cs="宋体"/>
                <w:spacing w:val="-6"/>
                <w:sz w:val="21"/>
                <w:szCs w:val="21"/>
                <w:highlight w:val="none"/>
              </w:rPr>
            </w:r>
            <w:r/>
          </w:p>
        </w:tc>
      </w:tr>
      <w:tr>
        <w:trPr>
          <w:trHeight w:val="676"/>
        </w:trPr>
        <w:tc>
          <w:tcPr>
            <w:tcW w:w="519"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hint="eastAsia" w:ascii="宋体" w:hAnsi="宋体" w:eastAsia="宋体" w:cs="宋体"/>
                <w:spacing w:val="-2"/>
                <w:sz w:val="21"/>
                <w:szCs w:val="21"/>
                <w:highlight w:val="none"/>
              </w:rPr>
              <w:suppressLineNumbers w:val="0"/>
            </w:pPr>
            <w:r>
              <w:rPr>
                <w:rFonts w:hint="eastAsia" w:ascii="宋体" w:hAnsi="宋体" w:eastAsia="宋体" w:cs="宋体"/>
                <w:spacing w:val="-2"/>
                <w:sz w:val="21"/>
                <w:szCs w:val="21"/>
                <w:highlight w:val="none"/>
                <w:lang w:val="en-US" w:eastAsia="zh-CN" w:bidi="ar"/>
              </w:rPr>
              <w:t xml:space="preserve">6.1</w:t>
            </w:r>
            <w:r>
              <w:rPr>
                <w:rFonts w:hint="eastAsia" w:ascii="宋体" w:hAnsi="宋体" w:eastAsia="宋体" w:cs="宋体"/>
                <w:spacing w:val="-2"/>
                <w:sz w:val="21"/>
                <w:szCs w:val="21"/>
                <w:highlight w:val="none"/>
              </w:rPr>
            </w:r>
            <w:r/>
          </w:p>
        </w:tc>
        <w:tc>
          <w:tcPr>
            <w:tcW w:w="1179" w:type="dxa"/>
            <w:vAlign w:val="center"/>
            <w:textDirection w:val="lrTb"/>
            <w:noWrap w:val="false"/>
          </w:tcPr>
          <w:p>
            <w:pPr>
              <w:pStyle w:val="869"/>
              <w:ind w:left="0" w:right="0"/>
              <w:jc w:val="both"/>
              <w:keepLines w:val="0"/>
              <w:keepNext w:val="0"/>
              <w:spacing w:before="69" w:beforeAutospacing="0" w:after="0" w:afterAutospacing="0" w:line="264" w:lineRule="auto"/>
              <w:widowControl w:val="off"/>
              <w:rPr>
                <w:rFonts w:hint="eastAsia" w:ascii="宋体" w:hAnsi="宋体" w:eastAsia="宋体" w:cs="宋体"/>
                <w:spacing w:val="-1"/>
                <w:sz w:val="21"/>
                <w:szCs w:val="21"/>
                <w:highlight w:val="none"/>
              </w:rPr>
              <w:suppressLineNumbers w:val="0"/>
            </w:pPr>
            <w:r>
              <w:rPr>
                <w:rFonts w:hint="eastAsia" w:ascii="宋体" w:hAnsi="宋体" w:eastAsia="宋体" w:cs="宋体"/>
                <w:spacing w:val="-1"/>
                <w:sz w:val="21"/>
                <w:szCs w:val="21"/>
                <w:highlight w:val="none"/>
                <w:lang w:val="en-US" w:eastAsia="zh-CN" w:bidi="ar"/>
              </w:rPr>
              <w:t xml:space="preserve">节能环保</w:t>
            </w:r>
            <w:r>
              <w:rPr>
                <w:rFonts w:hint="eastAsia" w:ascii="宋体" w:hAnsi="宋体" w:eastAsia="宋体" w:cs="宋体"/>
                <w:spacing w:val="-1"/>
                <w:sz w:val="21"/>
                <w:szCs w:val="21"/>
                <w:highlight w:val="none"/>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1.投标产品属于财政部、国家发改委公布的</w:t>
            </w:r>
            <w:r>
              <w:rPr>
                <w:rFonts w:ascii="宋体" w:hAnsi="宋体" w:eastAsia="宋体" w:cs="宋体"/>
                <w:szCs w:val="21"/>
              </w:rPr>
              <w:t xml:space="preserve">《节能产品政府采购品目清单》（财库〔2019〕19号）</w:t>
            </w:r>
            <w:r>
              <w:rPr>
                <w:rFonts w:hint="eastAsia" w:ascii="宋体" w:hAnsi="宋体" w:eastAsia="宋体" w:cs="宋体"/>
                <w:szCs w:val="21"/>
                <w:lang w:val="en-US" w:eastAsia="zh-CN"/>
              </w:rPr>
              <w:t xml:space="preserve">范围内</w:t>
            </w:r>
            <w:r>
              <w:rPr>
                <w:rFonts w:hint="eastAsia" w:ascii="宋体" w:hAnsi="宋体" w:eastAsia="宋体" w:cs="宋体"/>
                <w:sz w:val="21"/>
                <w:szCs w:val="21"/>
                <w:lang w:val="en-US" w:eastAsia="zh-CN"/>
              </w:rPr>
              <w:t xml:space="preserve">（政府强制采购产品除外）</w:t>
            </w:r>
            <w:r>
              <w:rPr>
                <w:rFonts w:hint="eastAsia" w:ascii="宋体" w:hAnsi="宋体" w:eastAsia="宋体" w:cs="宋体"/>
                <w:szCs w:val="21"/>
                <w:lang w:val="en-US" w:eastAsia="zh-CN"/>
              </w:rPr>
              <w:t xml:space="preserve">的，投标人提供国家确定的认证机构出具的、处于有效期之内的该节能产品认证证书的，有1个得1分，最多得2分。</w:t>
            </w:r>
            <w:r>
              <w:rPr>
                <w:rFonts w:hint="eastAsia" w:ascii="宋体" w:hAnsi="宋体" w:eastAsia="宋体" w:cs="宋体"/>
                <w:szCs w:val="21"/>
                <w:lang w:val="en-US" w:eastAsia="zh-CN"/>
              </w:rPr>
            </w:r>
            <w:r/>
          </w:p>
          <w:p>
            <w:pPr>
              <w:pStyle w:val="869"/>
              <w:jc w:val="both"/>
              <w:keepLines w:val="0"/>
              <w:keepNext w:val="0"/>
              <w:pageBreakBefore w:val="0"/>
              <w:spacing w:line="264" w:lineRule="auto"/>
              <w:widowControl w:val="off"/>
              <w:rPr>
                <w:rFonts w:hint="eastAsia" w:ascii="宋体" w:hAnsi="宋体" w:eastAsia="宋体" w:cs="宋体"/>
                <w:sz w:val="21"/>
                <w:szCs w:val="21"/>
                <w:highlight w:val="none"/>
              </w:rPr>
            </w:pPr>
            <w:r>
              <w:rPr>
                <w:rFonts w:hint="eastAsia" w:ascii="宋体" w:hAnsi="宋体" w:eastAsia="宋体" w:cs="宋体"/>
                <w:szCs w:val="21"/>
                <w:lang w:val="en-US" w:eastAsia="zh-CN"/>
              </w:rPr>
              <w:t xml:space="preserve">2.投标产品属于财政部、生态环境部公布的《环境</w:t>
            </w:r>
            <w:r>
              <w:rPr>
                <w:rFonts w:ascii="宋体" w:hAnsi="宋体" w:eastAsia="宋体" w:cs="宋体"/>
                <w:szCs w:val="21"/>
                <w:lang w:val="en-US" w:eastAsia="zh-CN"/>
              </w:rPr>
              <w:t xml:space="preserve">标志产品品目清单</w:t>
            </w:r>
            <w:r>
              <w:rPr>
                <w:rFonts w:hint="eastAsia" w:ascii="宋体" w:hAnsi="宋体" w:eastAsia="宋体" w:cs="宋体"/>
                <w:szCs w:val="21"/>
                <w:lang w:val="en-US" w:eastAsia="zh-CN"/>
              </w:rPr>
              <w:t xml:space="preserve">》</w:t>
            </w:r>
            <w:r>
              <w:rPr>
                <w:rFonts w:ascii="宋体" w:hAnsi="宋体" w:eastAsia="宋体" w:cs="宋体"/>
                <w:szCs w:val="21"/>
              </w:rPr>
              <w:t xml:space="preserve">（财库〔2019〕1</w:t>
            </w:r>
            <w:r>
              <w:rPr>
                <w:rFonts w:hint="eastAsia" w:ascii="宋体" w:hAnsi="宋体" w:eastAsia="宋体" w:cs="宋体"/>
                <w:szCs w:val="21"/>
                <w:lang w:val="en-US" w:eastAsia="zh-CN"/>
              </w:rPr>
              <w:t xml:space="preserve">8</w:t>
            </w:r>
            <w:r>
              <w:rPr>
                <w:rFonts w:ascii="宋体" w:hAnsi="宋体" w:eastAsia="宋体" w:cs="宋体"/>
                <w:szCs w:val="21"/>
              </w:rPr>
              <w:t xml:space="preserve">号）</w:t>
            </w:r>
            <w:r>
              <w:rPr>
                <w:rFonts w:hint="eastAsia" w:ascii="宋体" w:hAnsi="宋体" w:eastAsia="宋体" w:cs="宋体"/>
                <w:szCs w:val="21"/>
                <w:lang w:val="en-US" w:eastAsia="zh-CN"/>
              </w:rPr>
              <w:t xml:space="preserve">范围内的，投标人提供国家确定的认证机构出具的、处于有效期内的该环境标志产品认证证书的，有1个得1分，最多得2分。</w:t>
            </w:r>
            <w:r>
              <w:rPr>
                <w:rFonts w:hint="eastAsia" w:ascii="宋体" w:hAnsi="宋体" w:eastAsia="宋体" w:cs="宋体"/>
                <w:sz w:val="21"/>
                <w:szCs w:val="21"/>
                <w:highlight w:val="none"/>
              </w:rPr>
            </w:r>
            <w:r/>
          </w:p>
        </w:tc>
        <w:tc>
          <w:tcPr>
            <w:tcW w:w="647" w:type="dxa"/>
            <w:vAlign w:val="center"/>
            <w:textDirection w:val="lrTb"/>
            <w:noWrap w:val="false"/>
          </w:tcPr>
          <w:p>
            <w:pPr>
              <w:pStyle w:val="869"/>
              <w:ind w:left="0" w:right="0"/>
              <w:jc w:val="center"/>
              <w:keepLines w:val="0"/>
              <w:keepNext w:val="0"/>
              <w:spacing w:before="0" w:beforeAutospacing="0" w:after="0" w:afterAutospacing="0" w:line="264"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w:t>
            </w:r>
            <w:r>
              <w:rPr>
                <w:rFonts w:hint="eastAsia" w:ascii="宋体" w:hAnsi="宋体" w:eastAsia="宋体" w:cs="宋体"/>
                <w:sz w:val="21"/>
                <w:szCs w:val="21"/>
                <w:highlight w:val="none"/>
              </w:rPr>
            </w:r>
            <w:r/>
          </w:p>
        </w:tc>
        <w:tc>
          <w:tcPr>
            <w:tcW w:w="900" w:type="dxa"/>
            <w:vAlign w:val="center"/>
            <w:textDirection w:val="lrTb"/>
            <w:noWrap w:val="false"/>
          </w:tcPr>
          <w:p>
            <w:pPr>
              <w:pStyle w:val="869"/>
              <w:ind w:left="0" w:right="0"/>
              <w:jc w:val="center"/>
              <w:keepLines w:val="0"/>
              <w:keepNext w:val="0"/>
              <w:spacing w:before="68" w:beforeAutospacing="0" w:after="0" w:afterAutospacing="0" w:line="264" w:lineRule="auto"/>
              <w:widowControl w:val="off"/>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客观分</w:t>
            </w:r>
            <w:r>
              <w:rPr>
                <w:rFonts w:hint="eastAsia" w:ascii="宋体" w:hAnsi="宋体" w:eastAsia="宋体" w:cs="宋体"/>
                <w:spacing w:val="-6"/>
                <w:sz w:val="21"/>
                <w:szCs w:val="21"/>
                <w:highlight w:val="none"/>
              </w:rPr>
            </w:r>
            <w:r/>
          </w:p>
        </w:tc>
      </w:tr>
      <w:tr>
        <w:trPr>
          <w:trHeight w:val="464"/>
        </w:trPr>
        <w:tc>
          <w:tcPr>
            <w:tcW w:w="519" w:type="dxa"/>
            <w:vAlign w:val="center"/>
            <w:textDirection w:val="lrTb"/>
            <w:noWrap w:val="false"/>
          </w:tcPr>
          <w:p>
            <w:pPr>
              <w:pStyle w:val="869"/>
              <w:ind w:left="0" w:right="0"/>
              <w:jc w:val="center"/>
              <w:keepLines w:val="0"/>
              <w:keepNext w:val="0"/>
              <w:spacing w:before="0" w:beforeAutospacing="0" w:after="0" w:afterAutospacing="0" w:line="264" w:lineRule="auto"/>
              <w:widowControl w:val="off"/>
              <w:rPr>
                <w:rFonts w:hint="eastAsia" w:ascii="宋体" w:hAnsi="宋体" w:eastAsia="宋体" w:cs="宋体"/>
                <w:color w:val="ff0000"/>
                <w:sz w:val="21"/>
                <w:szCs w:val="21"/>
                <w:highlight w:val="none"/>
              </w:rPr>
              <w:suppressLineNumbers w:val="0"/>
            </w:pPr>
            <w:r>
              <w:rPr>
                <w:rFonts w:hint="eastAsia" w:ascii="宋体" w:hAnsi="宋体" w:eastAsia="宋体" w:cs="宋体"/>
                <w:spacing w:val="-3"/>
                <w:sz w:val="21"/>
                <w:szCs w:val="21"/>
                <w:highlight w:val="none"/>
                <w:lang w:val="en-US" w:eastAsia="zh-CN" w:bidi="ar"/>
              </w:rPr>
              <w:t xml:space="preserve">合</w:t>
            </w:r>
            <w:r>
              <w:rPr>
                <w:rFonts w:hint="eastAsia" w:ascii="宋体" w:hAnsi="宋体" w:eastAsia="宋体" w:cs="宋体"/>
                <w:spacing w:val="-2"/>
                <w:sz w:val="21"/>
                <w:szCs w:val="21"/>
                <w:highlight w:val="none"/>
                <w:lang w:val="en-US" w:eastAsia="zh-CN" w:bidi="ar"/>
              </w:rPr>
              <w:t xml:space="preserve">计</w:t>
            </w:r>
            <w:r>
              <w:rPr>
                <w:rFonts w:hint="eastAsia" w:ascii="宋体" w:hAnsi="宋体" w:eastAsia="宋体" w:cs="宋体"/>
                <w:color w:val="ff0000"/>
                <w:sz w:val="21"/>
                <w:szCs w:val="21"/>
                <w:highlight w:val="none"/>
              </w:rPr>
            </w:r>
            <w:r/>
          </w:p>
        </w:tc>
        <w:tc>
          <w:tcPr>
            <w:gridSpan w:val="2"/>
            <w:tcW w:w="7509" w:type="dxa"/>
            <w:vAlign w:val="center"/>
            <w:textDirection w:val="lrTb"/>
            <w:noWrap w:val="false"/>
          </w:tcPr>
          <w:p>
            <w:pPr>
              <w:pStyle w:val="869"/>
              <w:ind w:left="172" w:right="0"/>
              <w:jc w:val="center"/>
              <w:keepLines w:val="0"/>
              <w:keepNext w:val="0"/>
              <w:spacing w:before="123" w:beforeAutospacing="0" w:after="0" w:afterAutospacing="0" w:line="264" w:lineRule="auto"/>
              <w:widowControl w:val="off"/>
              <w:rPr>
                <w:rFonts w:hint="eastAsia" w:ascii="宋体" w:hAnsi="宋体" w:eastAsia="宋体" w:cs="宋体"/>
                <w:color w:val="ff0000"/>
                <w:spacing w:val="-2"/>
                <w:sz w:val="21"/>
                <w:szCs w:val="21"/>
                <w:highlight w:val="none"/>
              </w:rPr>
              <w:suppressLineNumbers w:val="0"/>
            </w:pPr>
            <w:r>
              <w:rPr>
                <w:rFonts w:hint="eastAsia" w:ascii="宋体" w:hAnsi="宋体" w:eastAsia="宋体" w:cs="宋体"/>
                <w:color w:val="ff0000"/>
                <w:spacing w:val="-2"/>
                <w:sz w:val="21"/>
                <w:szCs w:val="21"/>
                <w:highlight w:val="none"/>
              </w:rPr>
            </w:r>
            <w:r/>
          </w:p>
        </w:tc>
        <w:tc>
          <w:tcPr>
            <w:gridSpan w:val="2"/>
            <w:tcW w:w="1547" w:type="dxa"/>
            <w:vAlign w:val="center"/>
            <w:textDirection w:val="lrTb"/>
            <w:noWrap w:val="false"/>
          </w:tcPr>
          <w:p>
            <w:pPr>
              <w:pStyle w:val="869"/>
              <w:ind w:left="0" w:right="0"/>
              <w:jc w:val="center"/>
              <w:keepLines w:val="0"/>
              <w:keepNext w:val="0"/>
              <w:spacing w:before="0" w:beforeAutospacing="0" w:after="0" w:afterAutospacing="0" w:line="264"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pacing w:val="-11"/>
                <w:sz w:val="21"/>
                <w:szCs w:val="21"/>
                <w:highlight w:val="none"/>
                <w:lang w:val="en-US" w:eastAsia="zh-CN" w:bidi="ar"/>
              </w:rPr>
              <w:t xml:space="preserve">100分</w:t>
            </w:r>
            <w:r>
              <w:rPr>
                <w:rFonts w:hint="eastAsia" w:ascii="宋体" w:hAnsi="宋体" w:eastAsia="宋体" w:cs="宋体"/>
                <w:sz w:val="21"/>
                <w:szCs w:val="21"/>
                <w:highlight w:val="none"/>
              </w:rPr>
            </w:r>
            <w:r/>
          </w:p>
        </w:tc>
      </w:tr>
    </w:tbl>
    <w:p>
      <w:pPr>
        <w:pStyle w:val="869"/>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69"/>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39"/>
        <w:rPr>
          <w:rFonts w:hint="eastAsia"/>
          <w:lang w:val="en-US" w:eastAsia="zh-CN"/>
        </w:rPr>
      </w:pPr>
      <w:r>
        <w:rPr>
          <w:rFonts w:hint="eastAsia"/>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3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lang w:val="en-US" w:eastAsia="zh-CN"/>
        </w:rPr>
      </w:pPr>
      <w:r>
        <w:rPr>
          <w:rFonts w:hint="eastAsia"/>
          <w:lang w:val="en-US" w:eastAsia="zh-CN"/>
        </w:rPr>
      </w:r>
      <w:r/>
    </w:p>
    <w:p>
      <w:pPr>
        <w:pStyle w:val="93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93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93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93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39"/>
        <w:rPr>
          <w:rFonts w:hint="eastAsia"/>
          <w:lang w:val="en-US" w:eastAsia="zh-CN"/>
        </w:rPr>
      </w:pPr>
      <w:r>
        <w:rPr>
          <w:rFonts w:hint="eastAsia"/>
          <w:lang w:val="en-US" w:eastAsia="zh-CN"/>
        </w:rPr>
      </w:r>
      <w:r/>
    </w:p>
    <w:p>
      <w:pPr>
        <w:pStyle w:val="869"/>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197"/>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69"/>
        <w:jc w:val="center"/>
        <w:rPr>
          <w:rFonts w:hint="eastAsia" w:ascii="宋体" w:hAnsi="宋体"/>
          <w:b/>
          <w:color w:val="000000"/>
          <w:sz w:val="72"/>
          <w:szCs w:val="21"/>
        </w:rPr>
      </w:pPr>
      <w:r/>
      <w:bookmarkStart w:id="200" w:name="_Hlt26671244"/>
      <w:r/>
      <w:bookmarkEnd w:id="200"/>
      <w:r/>
      <w:bookmarkStart w:id="201" w:name="_Hlt26955039"/>
      <w:r/>
      <w:bookmarkEnd w:id="201"/>
      <w:r/>
      <w:bookmarkStart w:id="202" w:name="_Toc120614282"/>
      <w:r/>
      <w:bookmarkStart w:id="203" w:name="_Toc26554094"/>
      <w:r/>
      <w:bookmarkStart w:id="204" w:name="_Toc49090576"/>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69"/>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spacing w:line="440" w:lineRule="exact"/>
        <w:rPr>
          <w:rFonts w:ascii="宋体" w:hAnsi="宋体"/>
          <w:color w:val="000000"/>
          <w:szCs w:val="21"/>
        </w:rPr>
      </w:pPr>
      <w:r>
        <w:rPr>
          <w:rFonts w:ascii="宋体" w:hAnsi="宋体"/>
          <w:color w:val="000000"/>
          <w:szCs w:val="21"/>
        </w:rPr>
      </w:r>
      <w:r/>
    </w:p>
    <w:p>
      <w:pPr>
        <w:pStyle w:val="869"/>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87"/>
      <w:r/>
      <w:bookmarkEnd w:id="192"/>
      <w:r/>
      <w:bookmarkEnd w:id="202"/>
      <w:r/>
      <w:bookmarkEnd w:id="203"/>
      <w:r/>
      <w:bookmarkEnd w:id="204"/>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5"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869"/>
        <w:ind w:firstLine="560"/>
        <w:spacing w:line="600" w:lineRule="exact"/>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rPr>
          <w:rFonts w:hint="eastAsia" w:ascii="宋体" w:hAnsi="宋体" w:eastAsia="宋体" w:cs="宋体"/>
          <w:b w:val="0"/>
          <w:bCs w:val="0"/>
          <w:i w:val="0"/>
          <w:sz w:val="28"/>
          <w:szCs w:val="28"/>
          <w:u w:val="none"/>
          <w:lang w:val="en-US" w:eastAsia="zh-CN"/>
        </w:rPr>
      </w:r>
      <w:r/>
    </w:p>
    <w:p>
      <w:pPr>
        <w:pStyle w:val="869"/>
        <w:ind w:firstLine="560"/>
        <w:spacing w:line="600" w:lineRule="exact"/>
        <w:rPr>
          <w:rFonts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十四、分包承诺书（如有）</w:t>
      </w:r>
      <w:r>
        <w:rPr>
          <w:rFonts w:ascii="宋体" w:hAnsi="宋体" w:eastAsia="宋体" w:cs="宋体"/>
          <w:b w:val="0"/>
          <w:bCs w:val="0"/>
          <w:i w:val="0"/>
          <w:sz w:val="28"/>
          <w:szCs w:val="28"/>
          <w:u w:val="none"/>
          <w:lang w:val="en-US" w:eastAsia="zh-CN"/>
        </w:rPr>
      </w:r>
      <w:r/>
    </w:p>
    <w:p>
      <w:pPr>
        <w:pStyle w:val="869"/>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987"/>
        <w:rPr>
          <w:rFonts w:ascii="宋体" w:hAnsi="宋体"/>
          <w:sz w:val="24"/>
        </w:rPr>
      </w:pPr>
      <w:r>
        <w:rPr>
          <w:rFonts w:ascii="宋体" w:hAnsi="宋体"/>
          <w:sz w:val="24"/>
        </w:rPr>
      </w:r>
      <w:r/>
    </w:p>
    <w:p>
      <w:pPr>
        <w:pStyle w:val="987"/>
        <w:rPr>
          <w:rFonts w:ascii="宋体" w:hAnsi="宋体"/>
          <w:sz w:val="24"/>
        </w:rPr>
      </w:pPr>
      <w:r>
        <w:rPr>
          <w:rFonts w:ascii="宋体" w:hAnsi="宋体"/>
          <w:sz w:val="24"/>
        </w:rPr>
      </w:r>
      <w:r/>
    </w:p>
    <w:p>
      <w:pPr>
        <w:pStyle w:val="987"/>
        <w:rPr>
          <w:rFonts w:ascii="宋体" w:hAnsi="宋体"/>
          <w:sz w:val="24"/>
        </w:rPr>
      </w:pPr>
      <w:r>
        <w:rPr>
          <w:rFonts w:ascii="宋体" w:hAnsi="宋体"/>
          <w:sz w:val="24"/>
        </w:rPr>
      </w:r>
      <w:r/>
    </w:p>
    <w:p>
      <w:pPr>
        <w:pStyle w:val="987"/>
        <w:rPr>
          <w:rFonts w:ascii="宋体" w:hAnsi="宋体"/>
          <w:sz w:val="24"/>
        </w:rPr>
      </w:pPr>
      <w:r>
        <w:rPr>
          <w:rFonts w:ascii="宋体" w:hAnsi="宋体"/>
          <w:sz w:val="24"/>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8"/>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58"/>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89"/>
        <w:rPr>
          <w:rFonts w:hint="eastAsia"/>
        </w:rPr>
      </w:pPr>
      <w:r>
        <w:rPr>
          <w:rFonts w:hint="eastAsia"/>
        </w:rPr>
      </w:r>
      <w:r/>
    </w:p>
    <w:p>
      <w:pPr>
        <w:pStyle w:val="869"/>
        <w:rPr>
          <w:rFonts w:hint="eastAsia"/>
        </w:rPr>
      </w:pPr>
      <w:r>
        <w:rPr>
          <w:rFonts w:hint="eastAsia"/>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69"/>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69"/>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58"/>
        <w:ind w:firstLine="480"/>
        <w:spacing w:line="420" w:lineRule="exact"/>
        <w:tabs>
          <w:tab w:val="left" w:pos="360" w:leader="none"/>
        </w:tabs>
        <w:rPr>
          <w:rFonts w:hint="eastAsia"/>
          <w:sz w:val="24"/>
          <w:szCs w:val="24"/>
        </w:rPr>
      </w:pPr>
      <w:r>
        <w:rPr>
          <w:rFonts w:hint="eastAsia"/>
          <w:sz w:val="24"/>
          <w:szCs w:val="24"/>
        </w:rPr>
      </w:r>
      <w:r/>
    </w:p>
    <w:p>
      <w:pPr>
        <w:pStyle w:val="958"/>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58"/>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58"/>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58"/>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5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8"/>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8"/>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6" w:name="_格式3__银行出具的资信证明"/>
      <w:r/>
      <w:bookmarkEnd w:id="206"/>
      <w:r/>
      <w:bookmarkStart w:id="207" w:name="_Hlt26955070"/>
      <w:r/>
      <w:bookmarkEnd w:id="207"/>
      <w:r/>
      <w:bookmarkStart w:id="208" w:name="_Hlt26671380"/>
      <w:r/>
      <w:bookmarkEnd w:id="208"/>
      <w:r>
        <w:rPr>
          <w:rFonts w:hint="eastAsia"/>
          <w:sz w:val="24"/>
          <w:szCs w:val="24"/>
        </w:rPr>
      </w:r>
      <w:r/>
    </w:p>
    <w:p>
      <w:pPr>
        <w:pStyle w:val="885"/>
        <w:rPr>
          <w:rFonts w:hint="eastAsia"/>
          <w:i/>
          <w:sz w:val="24"/>
          <w:szCs w:val="24"/>
          <w:u w:val="single"/>
        </w:rPr>
      </w:pPr>
      <w:r>
        <w:rPr>
          <w:rFonts w:hint="eastAsia"/>
          <w:i/>
          <w:sz w:val="24"/>
          <w:szCs w:val="24"/>
          <w:u w:val="single"/>
        </w:rPr>
      </w:r>
      <w:r/>
    </w:p>
    <w:p>
      <w:pPr>
        <w:pStyle w:val="885"/>
        <w:rPr>
          <w:rFonts w:hint="eastAsia"/>
          <w:i/>
          <w:sz w:val="24"/>
          <w:szCs w:val="24"/>
          <w:u w:val="single"/>
        </w:rPr>
      </w:pPr>
      <w:r>
        <w:rPr>
          <w:rFonts w:hint="eastAsia"/>
          <w:i/>
          <w:sz w:val="24"/>
          <w:szCs w:val="24"/>
          <w:u w:val="single"/>
        </w:rPr>
      </w:r>
      <w:r/>
    </w:p>
    <w:p>
      <w:pPr>
        <w:pStyle w:val="885"/>
        <w:rPr>
          <w:rFonts w:hint="eastAsia"/>
          <w:i/>
          <w:sz w:val="24"/>
          <w:szCs w:val="24"/>
          <w:u w:val="single"/>
        </w:rPr>
      </w:pPr>
      <w:r>
        <w:rPr>
          <w:rFonts w:hint="eastAsia"/>
          <w:i/>
          <w:sz w:val="24"/>
          <w:szCs w:val="24"/>
          <w:u w:val="single"/>
        </w:rPr>
      </w:r>
      <w:r/>
    </w:p>
    <w:p>
      <w:pPr>
        <w:pStyle w:val="885"/>
        <w:rPr>
          <w:rFonts w:hint="eastAsia"/>
          <w:i/>
          <w:sz w:val="24"/>
          <w:szCs w:val="24"/>
          <w:u w:val="single"/>
        </w:rPr>
      </w:pPr>
      <w:r>
        <w:rPr>
          <w:rFonts w:hint="eastAsia"/>
          <w:i/>
          <w:sz w:val="24"/>
          <w:szCs w:val="24"/>
          <w:u w:val="single"/>
        </w:rPr>
      </w:r>
      <w:r/>
    </w:p>
    <w:p>
      <w:pPr>
        <w:pStyle w:val="885"/>
        <w:rPr>
          <w:rFonts w:hint="eastAsia"/>
          <w:i/>
          <w:sz w:val="24"/>
          <w:szCs w:val="24"/>
          <w:u w:val="single"/>
        </w:rPr>
      </w:pPr>
      <w:r>
        <w:rPr>
          <w:rFonts w:hint="eastAsia"/>
          <w:i/>
          <w:sz w:val="24"/>
          <w:szCs w:val="24"/>
          <w:u w:val="single"/>
        </w:rPr>
      </w:r>
      <w:r/>
    </w:p>
    <w:p>
      <w:pPr>
        <w:pStyle w:val="885"/>
        <w:rPr>
          <w:rFonts w:hint="eastAsia"/>
          <w:i/>
          <w:sz w:val="24"/>
          <w:szCs w:val="24"/>
          <w:u w:val="single"/>
        </w:rPr>
      </w:pPr>
      <w:r>
        <w:rPr>
          <w:rFonts w:hint="eastAsia"/>
          <w:i/>
          <w:sz w:val="24"/>
          <w:szCs w:val="24"/>
          <w:u w:val="single"/>
        </w:rPr>
      </w:r>
      <w:r/>
    </w:p>
    <w:p>
      <w:pPr>
        <w:pStyle w:val="885"/>
        <w:ind w:firstLine="0"/>
        <w:rPr>
          <w:rFonts w:hint="eastAsia"/>
        </w:rPr>
      </w:pPr>
      <w:r>
        <w:rPr>
          <w:rFonts w:hint="eastAsia"/>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0"/>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0"/>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0"/>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6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96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96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96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869"/>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39"/>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60"/>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0"/>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0"/>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0"/>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69"/>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0"/>
        <w:rPr>
          <w:sz w:val="24"/>
          <w:szCs w:val="24"/>
        </w:rPr>
      </w:pPr>
      <w:r>
        <w:rPr>
          <w:rFonts w:hint="eastAsia" w:ascii="宋体" w:hAnsi="宋体"/>
          <w:sz w:val="24"/>
          <w:szCs w:val="24"/>
        </w:rPr>
        <w:t xml:space="preserve">项目名称：</w:t>
      </w:r>
      <w:r>
        <w:rPr>
          <w:sz w:val="24"/>
          <w:szCs w:val="24"/>
        </w:rPr>
      </w:r>
      <w:r/>
    </w:p>
    <w:p>
      <w:pPr>
        <w:pStyle w:val="869"/>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0"/>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rPr>
          <w:rFonts w:ascii="宋体" w:hAnsi="宋体"/>
          <w:sz w:val="24"/>
          <w:szCs w:val="24"/>
        </w:rPr>
      </w:pPr>
      <w:r>
        <w:rPr>
          <w:rFonts w:ascii="宋体" w:hAnsi="宋体"/>
          <w:sz w:val="24"/>
          <w:szCs w:val="24"/>
        </w:rPr>
      </w:r>
      <w:r/>
    </w:p>
    <w:p>
      <w:pPr>
        <w:pStyle w:val="869"/>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69"/>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69"/>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69"/>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69"/>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869"/>
        <w:ind w:firstLine="0"/>
        <w:rPr>
          <w:sz w:val="24"/>
          <w:szCs w:val="24"/>
        </w:rPr>
      </w:pPr>
      <w:r>
        <w:rPr>
          <w:rFonts w:hint="eastAsia" w:ascii="宋体" w:hAnsi="宋体"/>
          <w:sz w:val="24"/>
          <w:szCs w:val="24"/>
        </w:rPr>
        <w:t xml:space="preserve">项目名称：</w:t>
      </w:r>
      <w:r>
        <w:rPr>
          <w:sz w:val="24"/>
          <w:szCs w:val="24"/>
        </w:rPr>
      </w:r>
      <w:r/>
    </w:p>
    <w:p>
      <w:pPr>
        <w:pStyle w:val="869"/>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69"/>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69"/>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r>
        <w:trPr>
          <w:cantSplit/>
          <w:trHeight w:val="654"/>
        </w:trPr>
        <w:tc>
          <w:tcPr>
            <w:gridSpan w:val="9"/>
            <w:tcW w:w="9871" w:type="dxa"/>
            <w:vAlign w:val="center"/>
            <w:textDirection w:val="lrTb"/>
            <w:noWrap w:val="false"/>
          </w:tcPr>
          <w:p>
            <w:pPr>
              <w:pStyle w:val="869"/>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rPr>
            </w:r>
            <w:r/>
          </w:p>
        </w:tc>
      </w:tr>
    </w:tbl>
    <w:p>
      <w:pPr>
        <w:pStyle w:val="869"/>
        <w:ind w:firstLine="0"/>
        <w:rPr>
          <w:rFonts w:hint="eastAsia" w:ascii="宋体" w:hAnsi="宋体"/>
          <w:sz w:val="24"/>
          <w:szCs w:val="24"/>
        </w:rPr>
      </w:pP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33"/>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p>
    <w:p>
      <w:pPr>
        <w:pStyle w:val="869"/>
        <w:spacing w:line="480" w:lineRule="exact"/>
        <w:rPr>
          <w:rFonts w:ascii="宋体" w:hAnsi="宋体"/>
          <w:sz w:val="24"/>
          <w:szCs w:val="24"/>
          <w:highlight w:val="none"/>
          <w:lang w:eastAsia="zh-CN"/>
        </w:rPr>
      </w:pPr>
      <w:r>
        <w:rPr>
          <w:rFonts w:ascii="宋体" w:hAnsi="宋体"/>
          <w:sz w:val="24"/>
          <w:szCs w:val="24"/>
          <w:highlight w:val="none"/>
          <w:lang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3"/>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3"/>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lang w:val="en-US" w:eastAsia="zh-CN"/>
        </w:rPr>
      </w:pPr>
      <w:r>
        <w:rPr>
          <w:rFonts w:hint="eastAsia"/>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9"/>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spacing w:line="480" w:lineRule="auto"/>
        <w:rPr>
          <w:rFonts w:hint="eastAsia" w:ascii="宋体" w:hAnsi="宋体"/>
          <w:color w:val="000000"/>
          <w:sz w:val="24"/>
          <w:szCs w:val="21"/>
        </w:rPr>
      </w:pPr>
      <w:r>
        <w:rPr>
          <w:rFonts w:hint="eastAsia" w:ascii="宋体" w:hAnsi="宋体"/>
          <w:color w:val="000000"/>
          <w:sz w:val="24"/>
          <w:szCs w:val="21"/>
        </w:rPr>
      </w:r>
      <w:r/>
    </w:p>
    <w:p>
      <w:pPr>
        <w:pStyle w:val="869"/>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81"/>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rPr>
          <w:rFonts w:hint="eastAsia"/>
          <w:lang w:val="en-US" w:eastAsia="zh-CN"/>
        </w:rPr>
      </w:pPr>
      <w:r>
        <w:rPr>
          <w:rFonts w:hint="eastAsia"/>
          <w:lang w:val="en-US" w:eastAsia="zh-CN"/>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69"/>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9"/>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881"/>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36" w:lineRule="auto"/>
        <w:widowControl w:val="off"/>
        <w:rPr>
          <w:rFonts w:hint="eastAsia"/>
          <w:lang w:eastAsia="zh-CN"/>
        </w:rPr>
      </w:pPr>
      <w:r>
        <w:rPr>
          <w:rFonts w:hint="eastAsia"/>
          <w:lang w:eastAsia="zh-CN"/>
        </w:rPr>
      </w:r>
      <w:r/>
    </w:p>
    <w:p>
      <w:pPr>
        <w:pStyle w:val="869"/>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869"/>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869"/>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69"/>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869"/>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881"/>
        <w:rPr>
          <w:rFonts w:hint="eastAsia" w:ascii="宋体" w:hAnsi="宋体"/>
          <w:sz w:val="24"/>
          <w:szCs w:val="24"/>
          <w:lang w:eastAsia="zh-CN"/>
        </w:rPr>
      </w:pPr>
      <w:r>
        <w:rPr>
          <w:rFonts w:hint="eastAsia" w:ascii="宋体" w:hAnsi="宋体"/>
          <w:sz w:val="24"/>
          <w:szCs w:val="24"/>
          <w:lang w:eastAsia="zh-CN"/>
        </w:rPr>
      </w:r>
      <w:r/>
    </w:p>
    <w:p>
      <w:pPr>
        <w:pStyle w:val="869"/>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spacing w:line="588" w:lineRule="exact"/>
        <w:rPr>
          <w:rFonts w:hint="eastAsia" w:ascii="宋体" w:hAnsi="宋体"/>
          <w:sz w:val="24"/>
        </w:rPr>
      </w:pPr>
      <w:r>
        <w:rPr>
          <w:rFonts w:hint="eastAsia" w:ascii="宋体" w:hAnsi="宋体"/>
          <w:sz w:val="24"/>
        </w:rPr>
      </w:r>
      <w:r/>
    </w:p>
    <w:p>
      <w:pPr>
        <w:pStyle w:val="869"/>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69"/>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69"/>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87"/>
      </w:pPr>
      <w:r/>
      <w:r/>
    </w:p>
    <w:p>
      <w:pPr>
        <w:pStyle w:val="869"/>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869"/>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9"/>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69"/>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69"/>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869"/>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9"/>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9"/>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69"/>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869"/>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69"/>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69"/>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69"/>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869"/>
        <w:numPr>
          <w:ilvl w:val="0"/>
          <w:numId w:val="0"/>
        </w:numPr>
        <w:jc w:val="left"/>
        <w:spacing w:line="360" w:lineRule="auto"/>
        <w:rPr>
          <w:rFonts w:hint="eastAsia" w:ascii="宋体" w:hAnsi="宋体" w:eastAsia="宋体" w:cs="Times New Roman"/>
          <w:sz w:val="24"/>
          <w:lang w:val="en-US" w:eastAsia="zh-CN"/>
        </w:rPr>
      </w:pPr>
      <w:r>
        <w:rPr>
          <w:rFonts w:hint="eastAsia" w:ascii="宋体" w:hAnsi="宋体" w:eastAsia="宋体" w:cs="Times New Roman"/>
          <w:sz w:val="24"/>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rPr>
          <w:rFonts w:hint="eastAsia" w:ascii="宋体" w:hAnsi="宋体" w:eastAsia="宋体" w:cs="Times New Roman"/>
          <w:sz w:val="24"/>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33"/>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3"/>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45"/>
          <w:rFonts w:hint="eastAsia"/>
          <w:i w:val="0"/>
          <w:u w:val="single"/>
          <w:shd w:val="clear" w:color="auto" w:fill="ffffff"/>
        </w:rPr>
        <w:t xml:space="preserve">（产品名称1）</w:t>
      </w:r>
      <w:r>
        <w:rPr>
          <w:rStyle w:val="945"/>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5"/>
          <w:rFonts w:hint="eastAsia"/>
          <w:i w:val="0"/>
          <w:u w:val="single"/>
          <w:shd w:val="clear" w:color="auto" w:fill="ffffff"/>
        </w:rPr>
        <w:t xml:space="preserve">（厂名）</w:t>
      </w:r>
      <w:r>
        <w:rPr>
          <w:rStyle w:val="945"/>
          <w:rFonts w:hint="eastAsia"/>
          <w:i w:val="0"/>
          <w:shd w:val="clear" w:color="auto" w:fill="ffffff"/>
          <w:vertAlign w:val="superscript"/>
        </w:rPr>
        <w:t xml:space="preserve">2</w:t>
      </w:r>
      <w:r>
        <w:rPr>
          <w:rFonts w:hint="eastAsia"/>
          <w:shd w:val="clear" w:color="auto" w:fill="ffffff"/>
        </w:rPr>
        <w:t xml:space="preserve">，厂址为</w:t>
      </w:r>
      <w:r>
        <w:rPr>
          <w:rStyle w:val="945"/>
          <w:rFonts w:hint="eastAsia"/>
          <w:i w:val="0"/>
          <w:u w:val="single"/>
          <w:shd w:val="clear" w:color="auto" w:fill="ffffff"/>
        </w:rPr>
        <w:t xml:space="preserve">（生产厂址）</w:t>
      </w:r>
      <w:r>
        <w:rPr>
          <w:rFonts w:hint="eastAsia"/>
          <w:shd w:val="clear" w:color="auto" w:fill="ffffff"/>
        </w:rPr>
        <w:t xml:space="preserve">。</w:t>
      </w:r>
      <w:r>
        <w:rPr>
          <w:rStyle w:val="945"/>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945"/>
          <w:rFonts w:hint="eastAsia"/>
          <w:i/>
          <w:strike w:val="0"/>
          <w:u w:val="single"/>
          <w:shd w:val="clear" w:color="auto" w:fill="ffffff"/>
        </w:rPr>
        <w:t xml:space="preserve">（规定比例）</w:t>
      </w:r>
      <w:r>
        <w:rPr>
          <w:rStyle w:val="945"/>
          <w:rFonts w:hint="eastAsia"/>
          <w:i w:val="0"/>
          <w:shd w:val="clear" w:color="auto" w:fill="ffffff"/>
          <w:vertAlign w:val="superscript"/>
        </w:rPr>
        <w:t xml:space="preserve">3</w:t>
      </w:r>
      <w:r>
        <w:rPr>
          <w:rFonts w:hint="eastAsia"/>
          <w:strike w:val="0"/>
          <w:shd w:val="clear" w:color="auto" w:fill="ffffff"/>
        </w:rPr>
        <w:t xml:space="preserve">。</w:t>
      </w:r>
      <w:r>
        <w:rPr>
          <w:rStyle w:val="945"/>
          <w:rFonts w:hint="eastAsia"/>
          <w:i/>
          <w:strike w:val="0"/>
          <w:u w:val="single"/>
          <w:shd w:val="clear" w:color="auto" w:fill="ffffff"/>
        </w:rPr>
        <w:t xml:space="preserve">（产品名称1）</w:t>
      </w:r>
      <w:r>
        <w:rPr>
          <w:rFonts w:hint="eastAsia"/>
          <w:strike w:val="0"/>
          <w:shd w:val="clear" w:color="auto" w:fill="ffffff"/>
        </w:rPr>
        <w:t xml:space="preserve">的</w:t>
      </w:r>
      <w:r>
        <w:rPr>
          <w:rStyle w:val="945"/>
          <w:rFonts w:hint="eastAsia"/>
          <w:i/>
          <w:strike w:val="0"/>
          <w:u w:val="single"/>
          <w:shd w:val="clear" w:color="auto" w:fill="ffffff"/>
        </w:rPr>
        <w:t xml:space="preserve">（关键组件）</w:t>
      </w:r>
      <w:r>
        <w:rPr>
          <w:rStyle w:val="945"/>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945"/>
          <w:rFonts w:hint="eastAsia"/>
          <w:i/>
          <w:strike w:val="0"/>
          <w:u w:val="single"/>
          <w:shd w:val="clear" w:color="auto" w:fill="ffffff"/>
        </w:rPr>
        <w:t xml:space="preserve">（产品名称1）</w:t>
      </w:r>
      <w:r>
        <w:rPr>
          <w:rFonts w:hint="eastAsia"/>
          <w:strike w:val="0"/>
          <w:shd w:val="clear" w:color="auto" w:fill="ffffff"/>
        </w:rPr>
        <w:t xml:space="preserve">的</w:t>
      </w:r>
      <w:r>
        <w:rPr>
          <w:rStyle w:val="945"/>
          <w:rFonts w:hint="eastAsia"/>
          <w:i/>
          <w:strike w:val="0"/>
          <w:u w:val="single"/>
          <w:shd w:val="clear" w:color="auto" w:fill="ffffff"/>
        </w:rPr>
        <w:t xml:space="preserve">（关键工序）</w:t>
      </w:r>
      <w:r>
        <w:rPr>
          <w:rStyle w:val="945"/>
          <w:rFonts w:hint="eastAsia"/>
          <w:i w:val="0"/>
          <w:shd w:val="clear" w:color="auto" w:fill="ffffff"/>
          <w:vertAlign w:val="superscript"/>
        </w:rPr>
        <w:t xml:space="preserve">5</w:t>
      </w:r>
      <w:r>
        <w:rPr>
          <w:rFonts w:hint="eastAsia"/>
          <w:strike w:val="0"/>
          <w:shd w:val="clear" w:color="auto" w:fill="ffffff"/>
        </w:rPr>
        <w:t xml:space="preserve">在中国境内完成。</w:t>
      </w:r>
      <w:r>
        <w:rPr>
          <w:rFonts w:hint="eastAsia"/>
        </w:rPr>
      </w:r>
      <w:r/>
    </w:p>
    <w:p>
      <w:pPr>
        <w:pStyle w:val="933"/>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945"/>
          <w:rFonts w:hint="eastAsia"/>
          <w:i w:val="0"/>
          <w:u w:val="single"/>
          <w:shd w:val="clear" w:color="auto" w:fill="ffffff"/>
        </w:rPr>
        <w:t xml:space="preserve">（产品名称2）</w:t>
      </w:r>
      <w:r>
        <w:rPr>
          <w:rFonts w:hint="eastAsia"/>
          <w:shd w:val="clear" w:color="auto" w:fill="ffffff"/>
        </w:rPr>
        <w:t xml:space="preserve">，生产厂为</w:t>
      </w:r>
      <w:r>
        <w:rPr>
          <w:rStyle w:val="945"/>
          <w:rFonts w:hint="eastAsia"/>
          <w:i w:val="0"/>
          <w:u w:val="single"/>
          <w:shd w:val="clear" w:color="auto" w:fill="ffffff"/>
        </w:rPr>
        <w:t xml:space="preserve">（厂名）</w:t>
      </w:r>
      <w:r>
        <w:rPr>
          <w:rFonts w:hint="eastAsia"/>
          <w:shd w:val="clear" w:color="auto" w:fill="ffffff"/>
        </w:rPr>
        <w:t xml:space="preserve">，厂址为</w:t>
      </w:r>
      <w:r>
        <w:rPr>
          <w:rStyle w:val="945"/>
          <w:rFonts w:hint="eastAsia"/>
          <w:i w:val="0"/>
          <w:u w:val="single"/>
          <w:shd w:val="clear" w:color="auto" w:fill="ffffff"/>
        </w:rPr>
        <w:t xml:space="preserve">（生产厂址）</w:t>
      </w:r>
      <w:r>
        <w:rPr>
          <w:rFonts w:hint="eastAsia"/>
          <w:shd w:val="clear" w:color="auto" w:fill="ffffff"/>
        </w:rPr>
        <w:t xml:space="preserve">。</w:t>
      </w:r>
      <w:r>
        <w:rPr>
          <w:rStyle w:val="945"/>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945"/>
          <w:rFonts w:hint="eastAsia"/>
          <w:i/>
          <w:strike w:val="0"/>
          <w:u w:val="single"/>
          <w:shd w:val="clear" w:color="auto" w:fill="ffffff"/>
        </w:rPr>
        <w:t xml:space="preserve">（规定比例）</w:t>
      </w:r>
      <w:r>
        <w:rPr>
          <w:rFonts w:hint="eastAsia"/>
          <w:strike w:val="0"/>
          <w:shd w:val="clear" w:color="auto" w:fill="ffffff"/>
        </w:rPr>
        <w:t xml:space="preserve">。</w:t>
      </w:r>
      <w:r>
        <w:rPr>
          <w:rStyle w:val="945"/>
          <w:rFonts w:hint="eastAsia"/>
          <w:i/>
          <w:strike w:val="0"/>
          <w:u w:val="single"/>
          <w:shd w:val="clear" w:color="auto" w:fill="ffffff"/>
        </w:rPr>
        <w:t xml:space="preserve">（产品名称2）</w:t>
      </w:r>
      <w:r>
        <w:rPr>
          <w:rFonts w:hint="eastAsia"/>
          <w:strike w:val="0"/>
          <w:shd w:val="clear" w:color="auto" w:fill="ffffff"/>
        </w:rPr>
        <w:t xml:space="preserve">的</w:t>
      </w:r>
      <w:r>
        <w:rPr>
          <w:rStyle w:val="945"/>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945"/>
          <w:rFonts w:hint="eastAsia"/>
          <w:i/>
          <w:strike w:val="0"/>
          <w:u w:val="single"/>
          <w:shd w:val="clear" w:color="auto" w:fill="ffffff"/>
        </w:rPr>
        <w:t xml:space="preserve">（产品名称2）</w:t>
      </w:r>
      <w:r>
        <w:rPr>
          <w:rFonts w:hint="eastAsia"/>
          <w:strike w:val="0"/>
          <w:shd w:val="clear" w:color="auto" w:fill="ffffff"/>
        </w:rPr>
        <w:t xml:space="preserve">的</w:t>
      </w:r>
      <w:r>
        <w:rPr>
          <w:rStyle w:val="945"/>
          <w:rFonts w:hint="eastAsia"/>
          <w:i/>
          <w:strike w:val="0"/>
          <w:u w:val="single"/>
          <w:shd w:val="clear" w:color="auto" w:fill="ffffff"/>
        </w:rPr>
        <w:t xml:space="preserve">（关键工序）</w:t>
      </w:r>
      <w:r>
        <w:rPr>
          <w:rFonts w:hint="eastAsia"/>
          <w:strike w:val="0"/>
          <w:shd w:val="clear" w:color="auto" w:fill="ffffff"/>
        </w:rPr>
        <w:t xml:space="preserve">在中国境内完成。</w:t>
      </w:r>
      <w:r>
        <w:rPr>
          <w:rFonts w:hint="eastAsia"/>
          <w:strike w:val="0"/>
        </w:rPr>
      </w:r>
      <w:r/>
    </w:p>
    <w:p>
      <w:pPr>
        <w:pStyle w:val="933"/>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33"/>
        <w:ind w:firstLine="420"/>
        <w:spacing w:before="24" w:beforeAutospacing="0" w:after="24" w:afterAutospacing="0" w:line="360" w:lineRule="auto"/>
        <w:shd w:val="clear" w:color="auto" w:fill="ffffff"/>
        <w:rPr>
          <w:rFonts w:hint="eastAsia"/>
        </w:rPr>
      </w:pPr>
      <w:r/>
      <w:bookmarkStart w:id="209" w:name="OLE_LINK6"/>
      <w:r>
        <w:rPr>
          <w:rFonts w:hint="eastAsia"/>
          <w:shd w:val="clear" w:color="auto" w:fill="ffffff"/>
        </w:rPr>
        <w:t xml:space="preserve">本公司（单位）</w:t>
      </w:r>
      <w:bookmarkEnd w:id="209"/>
      <w:r>
        <w:rPr>
          <w:rFonts w:hint="eastAsia"/>
          <w:shd w:val="clear" w:color="auto" w:fill="ffffff"/>
        </w:rPr>
        <w:t xml:space="preserve">对上述声明内容的真实性负责。如有虚假，愿承担相应法律责任。</w:t>
      </w:r>
      <w:r>
        <w:rPr>
          <w:rFonts w:hint="eastAsia"/>
        </w:rPr>
      </w:r>
      <w:r/>
    </w:p>
    <w:p>
      <w:pPr>
        <w:pStyle w:val="933"/>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33"/>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33"/>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3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3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33"/>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rPr>
          <w:rFonts w:hint="eastAsia"/>
          <w:b w:val="0"/>
          <w:bCs w:val="0"/>
          <w:sz w:val="21"/>
          <w:szCs w:val="21"/>
        </w:rPr>
      </w:r>
      <w:r/>
    </w:p>
    <w:p>
      <w:pPr>
        <w:pStyle w:val="933"/>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rPr>
          <w:rFonts w:hint="eastAsia"/>
          <w:b w:val="0"/>
          <w:bCs w:val="0"/>
          <w:sz w:val="21"/>
          <w:szCs w:val="21"/>
          <w:shd w:val="clear" w:color="auto" w:fill="ffffff"/>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b w:val="0"/>
          <w:bCs w:val="0"/>
          <w:sz w:val="21"/>
          <w:szCs w:val="21"/>
          <w:shd w:val="clear" w:color="auto" w:fill="ffffff"/>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869"/>
        <w:jc w:val="both"/>
        <w:rPr>
          <w:rFonts w:hint="eastAsia" w:ascii="黑体" w:hAnsi="黑体" w:eastAsia="黑体" w:cs="Times New Roman"/>
          <w:i w:val="0"/>
          <w:iCs w:val="0"/>
          <w:sz w:val="32"/>
          <w:szCs w:val="32"/>
          <w:u w:val="none"/>
          <w:lang w:val="en-US" w:eastAsia="zh-CN"/>
        </w:rPr>
      </w:pPr>
      <w:r>
        <w:br w:type="page" w:clear="all"/>
      </w:r>
      <w:bookmarkEnd w:id="205"/>
      <w:r>
        <w:rPr>
          <w:rFonts w:hint="eastAsia" w:ascii="黑体" w:hAnsi="黑体" w:eastAsia="黑体" w:cs="Times New Roman"/>
          <w:i w:val="0"/>
          <w:iCs w:val="0"/>
          <w:sz w:val="32"/>
          <w:szCs w:val="32"/>
          <w:u w:val="none"/>
          <w:lang w:val="en-US" w:eastAsia="zh-CN"/>
        </w:rPr>
        <w:t xml:space="preserve">十四、分包承诺书</w:t>
      </w:r>
      <w:r>
        <w:rPr>
          <w:rFonts w:hint="eastAsia" w:ascii="黑体" w:hAnsi="黑体" w:eastAsia="黑体" w:cs="Times New Roman"/>
          <w:i w:val="0"/>
          <w:iCs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eastAsia="zh-CN"/>
        </w:rPr>
      </w:pPr>
      <w:r>
        <w:rPr>
          <w:rFonts w:hint="eastAsia" w:ascii="方正小标宋简体" w:hAnsi="方正小标宋简体" w:eastAsia="方正小标宋简体" w:cs="方正小标宋简体"/>
          <w:color w:val="000000"/>
          <w:sz w:val="32"/>
          <w:szCs w:val="32"/>
          <w:lang w:val="zh-CN" w:eastAsia="zh-CN"/>
        </w:rPr>
        <w:t xml:space="preserve">分包承诺书</w:t>
      </w:r>
      <w:r>
        <w:rPr>
          <w:rFonts w:hint="eastAsia" w:ascii="方正小标宋简体" w:hAnsi="方正小标宋简体" w:eastAsia="方正小标宋简体" w:cs="方正小标宋简体"/>
          <w:color w:val="000000"/>
          <w:sz w:val="32"/>
          <w:szCs w:val="32"/>
          <w:lang w:val="zh-CN" w:eastAsia="zh-CN"/>
        </w:rPr>
      </w:r>
      <w:r/>
    </w:p>
    <w:p>
      <w:pPr>
        <w:pStyle w:val="869"/>
        <w:spacing w:line="588" w:lineRule="exact"/>
        <w:rPr>
          <w:rFonts w:hint="eastAsia" w:ascii="宋体" w:hAnsi="宋体" w:eastAsia="宋体" w:cs="Times New Roman"/>
          <w:sz w:val="24"/>
        </w:rPr>
      </w:pPr>
      <w:r>
        <w:rPr>
          <w:rFonts w:hint="eastAsia" w:ascii="宋体" w:hAnsi="宋体" w:eastAsia="宋体" w:cs="Times New Roman"/>
          <w:sz w:val="24"/>
          <w:u w:val="single"/>
        </w:rPr>
        <w:t xml:space="preserve">                            </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采购人名称</w:t>
      </w:r>
      <w:r>
        <w:rPr>
          <w:rFonts w:hint="eastAsia" w:ascii="宋体" w:hAnsi="宋体" w:eastAsia="宋体" w:cs="Times New Roman"/>
          <w:sz w:val="24"/>
          <w:lang w:eastAsia="zh-CN"/>
        </w:rPr>
        <w:t xml:space="preserve">）</w:t>
      </w:r>
      <w:r>
        <w:rPr>
          <w:rFonts w:hint="eastAsia" w:ascii="宋体" w:hAnsi="宋体" w:eastAsia="宋体" w:cs="Times New Roman"/>
          <w:sz w:val="24"/>
        </w:rPr>
      </w:r>
      <w:r/>
    </w:p>
    <w:p>
      <w:pPr>
        <w:pStyle w:val="869"/>
        <w:ind w:firstLine="480"/>
        <w:spacing w:line="588" w:lineRule="exact"/>
        <w:rPr>
          <w:rFonts w:hint="eastAsia" w:ascii="宋体" w:hAnsi="宋体" w:eastAsia="宋体" w:cs="Times New Roman"/>
          <w:sz w:val="24"/>
        </w:rPr>
      </w:pPr>
      <w:r>
        <w:rPr>
          <w:rFonts w:hint="eastAsia" w:ascii="宋体" w:hAnsi="宋体" w:eastAsia="宋体" w:cs="Times New Roman"/>
          <w:sz w:val="24"/>
        </w:rPr>
        <w:t xml:space="preserve">我公司 </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（供应商名称）郑重承诺：</w:t>
      </w:r>
      <w:r>
        <w:rPr>
          <w:rFonts w:hint="eastAsia" w:ascii="宋体" w:hAnsi="宋体" w:eastAsia="宋体" w:cs="Times New Roman"/>
          <w:sz w:val="24"/>
        </w:rPr>
      </w:r>
      <w:r/>
    </w:p>
    <w:p>
      <w:pPr>
        <w:pStyle w:val="869"/>
        <w:ind w:firstLine="480"/>
        <w:spacing w:line="588" w:lineRule="exact"/>
        <w:rPr>
          <w:rFonts w:hint="eastAsia" w:ascii="宋体" w:hAnsi="宋体" w:eastAsia="宋体" w:cs="Times New Roman"/>
          <w:sz w:val="24"/>
        </w:rPr>
      </w:pPr>
      <w:r>
        <w:rPr>
          <w:rFonts w:hint="eastAsia" w:ascii="宋体" w:hAnsi="宋体" w:eastAsia="宋体" w:cs="Times New Roman"/>
          <w:sz w:val="24"/>
        </w:rPr>
        <w:t xml:space="preserve">如果我公司中标（成交）</w:t>
      </w:r>
      <w:r>
        <w:rPr>
          <w:rFonts w:hint="eastAsia" w:ascii="宋体" w:hAnsi="宋体" w:eastAsia="宋体" w:cs="Times New Roman"/>
          <w:sz w:val="24"/>
          <w:u w:val="single"/>
        </w:rPr>
        <w:t xml:space="preserve">                            </w:t>
      </w:r>
      <w:r>
        <w:rPr>
          <w:rFonts w:hint="eastAsia" w:ascii="宋体" w:hAnsi="宋体" w:eastAsia="宋体" w:cs="Times New Roman"/>
          <w:sz w:val="24"/>
          <w:lang w:val="en-US" w:eastAsia="zh-CN"/>
        </w:rPr>
        <w:t xml:space="preserve">（项目名称）</w:t>
      </w: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拟将项目中的</w:t>
      </w:r>
      <w:r>
        <w:rPr>
          <w:rFonts w:hint="eastAsia" w:ascii="宋体" w:hAnsi="宋体" w:eastAsia="宋体" w:cs="Times New Roman"/>
          <w:sz w:val="24"/>
          <w:u w:val="single"/>
          <w:lang w:val="en-US" w:eastAsia="zh-CN"/>
        </w:rPr>
        <w:t xml:space="preserve">建筑装修装饰</w:t>
      </w:r>
      <w:r>
        <w:rPr>
          <w:rFonts w:hint="eastAsia" w:ascii="宋体" w:hAnsi="宋体" w:eastAsia="宋体" w:cs="Times New Roman"/>
          <w:sz w:val="24"/>
        </w:rPr>
        <w:t xml:space="preserve">建设内容，分包给具有相应资质证书且经采购人认可的供应商实施。</w:t>
      </w:r>
      <w:r>
        <w:rPr>
          <w:rFonts w:hint="eastAsia" w:ascii="宋体" w:hAnsi="宋体" w:eastAsia="宋体" w:cs="Times New Roman"/>
          <w:sz w:val="24"/>
        </w:rPr>
      </w:r>
      <w:r/>
    </w:p>
    <w:p>
      <w:pPr>
        <w:pStyle w:val="869"/>
        <w:ind w:firstLine="480"/>
        <w:spacing w:line="588" w:lineRule="exact"/>
        <w:rPr>
          <w:rFonts w:hint="eastAsia" w:ascii="宋体" w:hAnsi="宋体" w:eastAsia="宋体" w:cs="Times New Roman"/>
          <w:sz w:val="24"/>
        </w:rPr>
      </w:pPr>
      <w:r>
        <w:rPr>
          <w:rFonts w:hint="eastAsia" w:ascii="宋体" w:hAnsi="宋体" w:eastAsia="宋体" w:cs="Times New Roman"/>
          <w:sz w:val="24"/>
        </w:rPr>
      </w:r>
      <w:r/>
    </w:p>
    <w:p>
      <w:pPr>
        <w:pStyle w:val="869"/>
        <w:ind w:right="180" w:firstLine="360"/>
        <w:jc w:val="right"/>
        <w:spacing w:line="560" w:lineRule="exact"/>
        <w:rPr>
          <w:rFonts w:hint="eastAsia" w:ascii="宋体" w:hAnsi="宋体"/>
          <w:sz w:val="24"/>
          <w:szCs w:val="24"/>
        </w:rPr>
      </w:pPr>
      <w:r>
        <w:rPr>
          <w:rFonts w:hint="eastAsia" w:ascii="宋体" w:hAnsi="宋体" w:eastAsia="宋体" w:cs="Times New Roman"/>
          <w:sz w:val="24"/>
        </w:rPr>
        <w:t xml:space="preserve">                          </w:t>
      </w:r>
      <w:r>
        <w:rPr>
          <w:rFonts w:hint="eastAsia" w:ascii="宋体" w:hAnsi="宋体" w:eastAsia="宋体" w:cs="Times New Roman"/>
          <w:sz w:val="24"/>
          <w:lang w:val="en-US" w:eastAsia="zh-CN"/>
        </w:rPr>
        <w:t xml:space="preserve">      </w:t>
      </w:r>
      <w:r>
        <w:rPr>
          <w:rFonts w:hint="eastAsia" w:ascii="宋体" w:hAnsi="宋体" w:eastAsia="宋体" w:cs="Times New Roman"/>
          <w:sz w:val="24"/>
        </w:rPr>
        <w:t xml:space="preserve"> </w:t>
      </w: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240"/>
        <w:spacing w:line="336"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jc w:val="both"/>
        <w:rPr>
          <w:lang w:val="en-US" w:eastAsia="zh-CN"/>
        </w:rPr>
      </w:pPr>
      <w:r>
        <w:rPr>
          <w:lang w:val="en-US" w:eastAsia="zh-CN"/>
        </w:rPr>
      </w:r>
      <w:r/>
    </w:p>
    <w:p>
      <w:pPr>
        <w:pStyle w:val="869"/>
        <w:jc w:val="center"/>
      </w:pPr>
      <w:r/>
      <w:r/>
    </w:p>
    <w:p>
      <w:pPr>
        <w:pStyle w:val="869"/>
        <w:jc w:val="center"/>
      </w:pPr>
      <w:r/>
      <w:r/>
    </w:p>
    <w:p>
      <w:pPr>
        <w:pStyle w:val="869"/>
        <w:jc w:val="center"/>
      </w:pPr>
      <w:r/>
      <w:r/>
    </w:p>
    <w:p>
      <w:pPr>
        <w:pStyle w:val="881"/>
      </w:pPr>
      <w:r/>
      <w:r/>
    </w:p>
    <w:p>
      <w:pPr>
        <w:pStyle w:val="869"/>
      </w:pPr>
      <w:r/>
      <w:r/>
    </w:p>
    <w:p>
      <w:pPr>
        <w:pStyle w:val="881"/>
      </w:pPr>
      <w:r/>
      <w:r/>
    </w:p>
    <w:p>
      <w:pPr>
        <w:pStyle w:val="869"/>
      </w:pPr>
      <w:r/>
      <w:r/>
    </w:p>
    <w:p>
      <w:pPr>
        <w:pStyle w:val="881"/>
      </w:pPr>
      <w:r/>
      <w:r/>
    </w:p>
    <w:p>
      <w:pPr>
        <w:pStyle w:val="869"/>
      </w:pPr>
      <w:r/>
      <w:r/>
    </w:p>
    <w:p>
      <w:pPr>
        <w:pStyle w:val="881"/>
      </w:pPr>
      <w:r/>
      <w:r/>
    </w:p>
    <w:p>
      <w:pPr>
        <w:pStyle w:val="869"/>
        <w:jc w:val="center"/>
      </w:pPr>
      <w:r/>
      <w:r/>
    </w:p>
    <w:p>
      <w:pPr>
        <w:pStyle w:val="869"/>
        <w:jc w:val="center"/>
      </w:pPr>
      <w:r/>
      <w:r/>
    </w:p>
    <w:p>
      <w:pPr>
        <w:pStyle w:val="869"/>
        <w:jc w:val="center"/>
      </w:pPr>
      <w:r/>
      <w:r/>
    </w:p>
    <w:p>
      <w:pPr>
        <w:pStyle w:val="869"/>
        <w:jc w:val="center"/>
      </w:pPr>
      <w:r/>
      <w:r/>
    </w:p>
    <w:p>
      <w:pPr>
        <w:pStyle w:val="881"/>
      </w:pPr>
      <w:r/>
      <w:r/>
    </w:p>
    <w:p>
      <w:pPr>
        <w:pStyle w:val="869"/>
      </w:pPr>
      <w:r/>
      <w:r/>
    </w:p>
    <w:p>
      <w:pPr>
        <w:pStyle w:val="881"/>
      </w:pPr>
      <w:r/>
      <w:r/>
    </w:p>
    <w:p>
      <w:pPr>
        <w:pStyle w:val="869"/>
      </w:pPr>
      <w:r/>
      <w:r/>
    </w:p>
    <w:p>
      <w:pPr>
        <w:pStyle w:val="881"/>
      </w:pPr>
      <w:r/>
      <w:r/>
    </w:p>
    <w:p>
      <w:pPr>
        <w:pStyle w:val="869"/>
      </w:pPr>
      <w:r/>
      <w:r/>
    </w:p>
    <w:p>
      <w:pPr>
        <w:pStyle w:val="881"/>
      </w:pPr>
      <w:r/>
      <w:r/>
    </w:p>
    <w:p>
      <w:pPr>
        <w:pStyle w:val="869"/>
      </w:pPr>
      <w:r/>
      <w:r/>
    </w:p>
    <w:p>
      <w:pPr>
        <w:pStyle w:val="881"/>
      </w:pPr>
      <w:r/>
      <w:r/>
    </w:p>
    <w:p>
      <w:pPr>
        <w:pStyle w:val="869"/>
      </w:pPr>
      <w:r/>
      <w:r/>
    </w:p>
    <w:p>
      <w:pPr>
        <w:pStyle w:val="881"/>
      </w:pPr>
      <w:r/>
      <w:r/>
    </w:p>
    <w:p>
      <w:pPr>
        <w:pStyle w:val="869"/>
      </w:pPr>
      <w:r/>
      <w:r/>
    </w:p>
    <w:p>
      <w:pPr>
        <w:pStyle w:val="881"/>
      </w:p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9"/>
        <w:spacing w:line="480" w:lineRule="exact"/>
        <w:rPr>
          <w:rFonts w:hint="eastAsia" w:ascii="宋体" w:hAnsi="宋体"/>
          <w:b w:val="0"/>
          <w:bCs/>
          <w:sz w:val="24"/>
          <w:szCs w:val="24"/>
        </w:rPr>
      </w:pPr>
      <w:r>
        <w:rPr>
          <w:rFonts w:hint="eastAsia" w:ascii="宋体" w:hAnsi="宋体"/>
          <w:b w:val="0"/>
          <w:bCs/>
          <w:sz w:val="24"/>
          <w:szCs w:val="24"/>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69"/>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４２</w:t>
    </w:r>
    <w:r>
      <w:rPr>
        <w:rFonts w:ascii="宋体" w:hAnsi="宋体"/>
      </w:rPr>
      <w:fldChar w:fldCharType="end"/>
    </w:r>
    <w:r>
      <w:rPr>
        <w:rStyle w:val="943"/>
        <w:rFonts w:ascii="宋体" w:hAnsi="宋体"/>
      </w:rPr>
    </w:r>
    <w:r/>
  </w:p>
  <w:p>
    <w:pPr>
      <w:pStyle w:val="91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2"/>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9"/>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2"/>
    <w:qFormat/>
    <w:pPr>
      <w:jc w:val="center"/>
      <w:keepNext/>
      <w:outlineLvl w:val="0"/>
    </w:pPr>
    <w:rPr>
      <w:rFonts w:ascii="楷体_GB2312" w:hAnsi="Times New Roman" w:eastAsia="楷体_GB2312" w:cs="Times New Roman"/>
      <w:sz w:val="28"/>
      <w:szCs w:val="28"/>
    </w:rPr>
  </w:style>
  <w:style w:type="paragraph" w:styleId="871">
    <w:name w:val="标题 2"/>
    <w:basedOn w:val="869"/>
    <w:next w:val="869"/>
    <w:link w:val="883"/>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5"/>
    <w:link w:val="884"/>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5"/>
    <w:link w:val="887"/>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5"/>
    <w:link w:val="888"/>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8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2"/>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1">
    <w:name w:val="索引 41"/>
    <w:basedOn w:val="869"/>
    <w:next w:val="869"/>
    <w:link w:val="869"/>
    <w:semiHidden/>
    <w:qFormat/>
    <w:pPr>
      <w:ind w:left="1260"/>
    </w:pPr>
    <w:rPr>
      <w:rFonts w:ascii="Calibri" w:hAnsi="Calibri" w:eastAsia="Calibri" w:cs="宋体"/>
      <w:sz w:val="20"/>
      <w:lang w:val="zh-CN"/>
    </w:rPr>
  </w:style>
  <w:style w:type="character" w:styleId="882">
    <w:name w:val="标题 1 Char"/>
    <w:next w:val="882"/>
    <w:link w:val="870"/>
    <w:rPr>
      <w:rFonts w:ascii="楷体_GB2312" w:hAnsi="Times New Roman" w:eastAsia="楷体_GB2312" w:cs="Times New Roman"/>
      <w:sz w:val="28"/>
      <w:szCs w:val="28"/>
    </w:rPr>
  </w:style>
  <w:style w:type="character" w:styleId="883">
    <w:name w:val="标题 2 Char"/>
    <w:next w:val="883"/>
    <w:link w:val="871"/>
    <w:rPr>
      <w:rFonts w:ascii="Arial" w:hAnsi="Arial" w:eastAsia="幼圆" w:cs="Arial"/>
      <w:b/>
      <w:bCs/>
      <w:sz w:val="44"/>
      <w:szCs w:val="44"/>
    </w:rPr>
  </w:style>
  <w:style w:type="character" w:styleId="884">
    <w:name w:val="标题 3 Char"/>
    <w:next w:val="884"/>
    <w:link w:val="872"/>
    <w:rPr>
      <w:rFonts w:ascii="Times New Roman" w:hAnsi="Times New Roman" w:eastAsia="宋体" w:cs="Times New Roman"/>
      <w:b/>
      <w:bCs/>
      <w:sz w:val="32"/>
      <w:szCs w:val="32"/>
    </w:rPr>
  </w:style>
  <w:style w:type="paragraph" w:styleId="885">
    <w:name w:val="正文缩进"/>
    <w:basedOn w:val="869"/>
    <w:next w:val="885"/>
    <w:link w:val="886"/>
    <w:pPr>
      <w:ind w:firstLine="420"/>
    </w:pPr>
    <w:rPr>
      <w:szCs w:val="21"/>
    </w:rPr>
  </w:style>
  <w:style w:type="character" w:styleId="886">
    <w:name w:val="正文缩进 Char"/>
    <w:next w:val="886"/>
    <w:link w:val="885"/>
    <w:rPr>
      <w:szCs w:val="21"/>
    </w:rPr>
  </w:style>
  <w:style w:type="character" w:styleId="887">
    <w:name w:val="标题 4 Char"/>
    <w:next w:val="887"/>
    <w:link w:val="873"/>
    <w:rPr>
      <w:rFonts w:ascii="Arial" w:hAnsi="Arial" w:eastAsia="黑体" w:cs="Arial"/>
      <w:b/>
      <w:bCs/>
      <w:sz w:val="28"/>
      <w:szCs w:val="28"/>
    </w:rPr>
  </w:style>
  <w:style w:type="character" w:styleId="888">
    <w:name w:val="标题 5 Char"/>
    <w:next w:val="888"/>
    <w:link w:val="874"/>
    <w:rPr>
      <w:rFonts w:ascii="宋体" w:hAnsi="Times New Roman" w:eastAsia="宋体" w:cs="Times New Roman"/>
      <w:color w:val="000000"/>
      <w:sz w:val="28"/>
      <w:szCs w:val="28"/>
    </w:rPr>
  </w:style>
  <w:style w:type="character" w:styleId="889">
    <w:name w:val="标题 6 Char"/>
    <w:next w:val="889"/>
    <w:link w:val="875"/>
    <w:rPr>
      <w:rFonts w:ascii="Arial" w:hAnsi="Arial" w:eastAsia="黑体" w:cs="Times New Roman"/>
      <w:b/>
      <w:bCs/>
      <w:sz w:val="24"/>
      <w:szCs w:val="24"/>
    </w:rPr>
  </w:style>
  <w:style w:type="character" w:styleId="890">
    <w:name w:val="标题 7 Char"/>
    <w:next w:val="890"/>
    <w:link w:val="876"/>
    <w:rPr>
      <w:rFonts w:ascii="Times New Roman" w:hAnsi="Times New Roman" w:eastAsia="宋体" w:cs="Times New Roman"/>
      <w:b/>
      <w:bCs/>
      <w:sz w:val="24"/>
      <w:szCs w:val="24"/>
    </w:rPr>
  </w:style>
  <w:style w:type="character" w:styleId="891">
    <w:name w:val="标题 8 Char"/>
    <w:next w:val="891"/>
    <w:link w:val="877"/>
    <w:rPr>
      <w:rFonts w:ascii="Arial" w:hAnsi="Arial" w:eastAsia="黑体" w:cs="Times New Roman"/>
      <w:sz w:val="24"/>
      <w:szCs w:val="24"/>
    </w:rPr>
  </w:style>
  <w:style w:type="character" w:styleId="892">
    <w:name w:val="标题 9 Char"/>
    <w:next w:val="892"/>
    <w:link w:val="878"/>
    <w:rPr>
      <w:rFonts w:ascii="Arial" w:hAnsi="Arial" w:eastAsia="黑体" w:cs="Times New Roman"/>
      <w:szCs w:val="21"/>
    </w:rPr>
  </w:style>
  <w:style w:type="paragraph" w:styleId="893">
    <w:name w:val="列表 3"/>
    <w:basedOn w:val="869"/>
    <w:next w:val="893"/>
    <w:link w:val="869"/>
    <w:pPr>
      <w:ind w:left="100" w:hanging="200"/>
    </w:pPr>
    <w:rPr>
      <w:rFonts w:ascii="Times New Roman" w:hAnsi="Times New Roman" w:eastAsia="宋体" w:cs="Times New Roman"/>
      <w:szCs w:val="21"/>
    </w:rPr>
  </w:style>
  <w:style w:type="paragraph" w:styleId="894">
    <w:name w:val="目录 7"/>
    <w:basedOn w:val="869"/>
    <w:next w:val="869"/>
    <w:link w:val="869"/>
    <w:semiHidden/>
    <w:pPr>
      <w:ind w:left="1260"/>
      <w:jc w:val="left"/>
    </w:pPr>
    <w:rPr>
      <w:rFonts w:ascii="Times New Roman" w:hAnsi="Times New Roman" w:eastAsia="宋体" w:cs="Times New Roman"/>
      <w:szCs w:val="21"/>
    </w:rPr>
  </w:style>
  <w:style w:type="paragraph" w:styleId="895">
    <w:name w:val="文档结构图"/>
    <w:basedOn w:val="869"/>
    <w:next w:val="895"/>
    <w:link w:val="896"/>
    <w:semiHidden/>
    <w:pPr>
      <w:shd w:val="clear" w:color="auto" w:fill="000080"/>
    </w:pPr>
    <w:rPr>
      <w:rFonts w:ascii="Times New Roman" w:hAnsi="Times New Roman" w:eastAsia="宋体" w:cs="Times New Roman"/>
      <w:szCs w:val="21"/>
    </w:rPr>
  </w:style>
  <w:style w:type="character" w:styleId="896">
    <w:name w:val="文档结构图 Char"/>
    <w:next w:val="896"/>
    <w:link w:val="895"/>
    <w:semiHidden/>
    <w:rPr>
      <w:rFonts w:ascii="Times New Roman" w:hAnsi="Times New Roman" w:eastAsia="宋体" w:cs="Times New Roman"/>
      <w:szCs w:val="21"/>
      <w:shd w:val="clear" w:color="auto" w:fill="000080"/>
    </w:rPr>
  </w:style>
  <w:style w:type="paragraph" w:styleId="897">
    <w:name w:val="批注文字"/>
    <w:basedOn w:val="869"/>
    <w:next w:val="897"/>
    <w:link w:val="898"/>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898">
    <w:name w:val="批注文字 Char"/>
    <w:basedOn w:val="879"/>
    <w:next w:val="898"/>
    <w:link w:val="897"/>
    <w:uiPriority w:val="99"/>
    <w:semiHidden/>
  </w:style>
  <w:style w:type="paragraph" w:styleId="899">
    <w:name w:val="正文文本 3"/>
    <w:basedOn w:val="869"/>
    <w:next w:val="899"/>
    <w:link w:val="900"/>
    <w:rPr>
      <w:rFonts w:ascii="仿宋_GB2312" w:hAnsi="Arial" w:eastAsia="仿宋_GB2312" w:cs="Times New Roman"/>
      <w:sz w:val="32"/>
      <w:szCs w:val="32"/>
    </w:rPr>
  </w:style>
  <w:style w:type="character" w:styleId="900">
    <w:name w:val="正文文本 3 Char"/>
    <w:next w:val="900"/>
    <w:link w:val="899"/>
    <w:rPr>
      <w:rFonts w:ascii="仿宋_GB2312" w:hAnsi="Arial" w:eastAsia="仿宋_GB2312" w:cs="Times New Roman"/>
      <w:sz w:val="32"/>
      <w:szCs w:val="32"/>
    </w:rPr>
  </w:style>
  <w:style w:type="paragraph" w:styleId="901">
    <w:name w:val="正文文本"/>
    <w:basedOn w:val="869"/>
    <w:next w:val="901"/>
    <w:link w:val="902"/>
    <w:rPr>
      <w:rFonts w:ascii="楷体_GB2312" w:hAnsi="Arial" w:eastAsia="楷体_GB2312" w:cs="Times New Roman"/>
      <w:sz w:val="28"/>
      <w:szCs w:val="28"/>
    </w:rPr>
  </w:style>
  <w:style w:type="character" w:styleId="902">
    <w:name w:val="正文文本 Char"/>
    <w:next w:val="902"/>
    <w:link w:val="901"/>
    <w:rPr>
      <w:rFonts w:ascii="楷体_GB2312" w:hAnsi="Arial" w:eastAsia="楷体_GB2312" w:cs="Times New Roman"/>
      <w:sz w:val="28"/>
      <w:szCs w:val="28"/>
    </w:rPr>
  </w:style>
  <w:style w:type="paragraph" w:styleId="903">
    <w:name w:val="正文文本缩进"/>
    <w:basedOn w:val="869"/>
    <w:next w:val="905"/>
    <w:link w:val="904"/>
    <w:unhideWhenUsed/>
    <w:pPr>
      <w:ind w:left="420"/>
      <w:spacing w:after="120"/>
    </w:pPr>
  </w:style>
  <w:style w:type="character" w:styleId="904">
    <w:name w:val="正文文本缩进 Char"/>
    <w:basedOn w:val="879"/>
    <w:next w:val="904"/>
    <w:link w:val="903"/>
    <w:uiPriority w:val="99"/>
    <w:semiHidden/>
  </w:style>
  <w:style w:type="paragraph" w:styleId="905">
    <w:name w:val="寄信人地址"/>
    <w:basedOn w:val="869"/>
    <w:next w:val="905"/>
    <w:link w:val="869"/>
    <w:qFormat/>
    <w:rPr>
      <w:rFonts w:ascii="Arial" w:hAnsi="Arial" w:eastAsia="宋体" w:cs="宋体"/>
    </w:rPr>
  </w:style>
  <w:style w:type="paragraph" w:styleId="906">
    <w:name w:val="列表 2"/>
    <w:basedOn w:val="869"/>
    <w:next w:val="906"/>
    <w:link w:val="869"/>
    <w:pPr>
      <w:ind w:left="100" w:hanging="200"/>
    </w:pPr>
    <w:rPr>
      <w:rFonts w:ascii="Times New Roman" w:hAnsi="Times New Roman" w:eastAsia="宋体" w:cs="Times New Roman"/>
      <w:szCs w:val="21"/>
    </w:rPr>
  </w:style>
  <w:style w:type="paragraph" w:styleId="907">
    <w:name w:val="目录 5"/>
    <w:basedOn w:val="869"/>
    <w:next w:val="869"/>
    <w:link w:val="869"/>
    <w:semiHidden/>
    <w:pPr>
      <w:ind w:left="840"/>
      <w:jc w:val="left"/>
    </w:pPr>
    <w:rPr>
      <w:rFonts w:ascii="Times New Roman" w:hAnsi="Times New Roman" w:eastAsia="宋体" w:cs="Times New Roman"/>
      <w:szCs w:val="21"/>
    </w:rPr>
  </w:style>
  <w:style w:type="paragraph" w:styleId="908">
    <w:name w:val="目录 3"/>
    <w:basedOn w:val="869"/>
    <w:next w:val="869"/>
    <w:link w:val="869"/>
    <w:semiHidden/>
    <w:pPr>
      <w:ind w:left="420"/>
      <w:jc w:val="left"/>
    </w:pPr>
    <w:rPr>
      <w:rFonts w:ascii="Times New Roman" w:hAnsi="Times New Roman" w:eastAsia="宋体" w:cs="Times New Roman"/>
      <w:i/>
      <w:iCs/>
      <w:szCs w:val="24"/>
    </w:rPr>
  </w:style>
  <w:style w:type="paragraph" w:styleId="909">
    <w:name w:val="纯文本"/>
    <w:basedOn w:val="869"/>
    <w:next w:val="909"/>
    <w:link w:val="910"/>
    <w:rPr>
      <w:rFonts w:ascii="宋体" w:hAnsi="Courier New" w:eastAsia="宋体" w:cs="Courier New"/>
      <w:szCs w:val="21"/>
    </w:rPr>
  </w:style>
  <w:style w:type="character" w:styleId="910">
    <w:name w:val="纯文本 Char"/>
    <w:next w:val="910"/>
    <w:link w:val="909"/>
    <w:rPr>
      <w:rFonts w:ascii="宋体" w:hAnsi="Courier New" w:eastAsia="宋体" w:cs="Courier New"/>
      <w:szCs w:val="21"/>
    </w:rPr>
  </w:style>
  <w:style w:type="paragraph" w:styleId="911">
    <w:name w:val="目录 8"/>
    <w:basedOn w:val="869"/>
    <w:next w:val="869"/>
    <w:link w:val="869"/>
    <w:semiHidden/>
    <w:pPr>
      <w:ind w:left="1470"/>
      <w:jc w:val="left"/>
    </w:pPr>
    <w:rPr>
      <w:rFonts w:ascii="Times New Roman" w:hAnsi="Times New Roman" w:eastAsia="宋体" w:cs="Times New Roman"/>
      <w:szCs w:val="21"/>
    </w:rPr>
  </w:style>
  <w:style w:type="paragraph" w:styleId="912">
    <w:name w:val="日期"/>
    <w:basedOn w:val="869"/>
    <w:next w:val="869"/>
    <w:link w:val="913"/>
    <w:rPr>
      <w:rFonts w:ascii="Times New Roman" w:hAnsi="Times New Roman" w:eastAsia="宋体" w:cs="Times New Roman"/>
      <w:sz w:val="24"/>
      <w:szCs w:val="24"/>
    </w:rPr>
  </w:style>
  <w:style w:type="character" w:styleId="913">
    <w:name w:val="日期 Char"/>
    <w:next w:val="913"/>
    <w:link w:val="912"/>
    <w:rPr>
      <w:rFonts w:ascii="Times New Roman" w:hAnsi="Times New Roman" w:eastAsia="宋体" w:cs="Times New Roman"/>
      <w:sz w:val="24"/>
      <w:szCs w:val="24"/>
    </w:rPr>
  </w:style>
  <w:style w:type="paragraph" w:styleId="914">
    <w:name w:val="正文文本缩进 2"/>
    <w:basedOn w:val="869"/>
    <w:next w:val="914"/>
    <w:link w:val="915"/>
    <w:pPr>
      <w:ind w:left="630" w:firstLine="645"/>
    </w:pPr>
    <w:rPr>
      <w:rFonts w:ascii="Arial" w:hAnsi="Arial" w:eastAsia="仿宋_GB2312" w:cs="Arial"/>
      <w:sz w:val="32"/>
      <w:szCs w:val="32"/>
    </w:rPr>
  </w:style>
  <w:style w:type="character" w:styleId="915">
    <w:name w:val="正文文本缩进 2 Char"/>
    <w:next w:val="915"/>
    <w:link w:val="914"/>
    <w:rPr>
      <w:rFonts w:ascii="Arial" w:hAnsi="Arial" w:eastAsia="仿宋_GB2312" w:cs="Arial"/>
      <w:sz w:val="32"/>
      <w:szCs w:val="32"/>
    </w:rPr>
  </w:style>
  <w:style w:type="paragraph" w:styleId="916">
    <w:name w:val="批注框文本"/>
    <w:basedOn w:val="869"/>
    <w:next w:val="916"/>
    <w:link w:val="917"/>
    <w:semiHidden/>
    <w:rPr>
      <w:rFonts w:ascii="Times New Roman" w:hAnsi="Times New Roman" w:eastAsia="宋体" w:cs="Times New Roman"/>
      <w:sz w:val="18"/>
      <w:szCs w:val="18"/>
    </w:rPr>
  </w:style>
  <w:style w:type="character" w:styleId="917">
    <w:name w:val="批注框文本 Char"/>
    <w:next w:val="917"/>
    <w:link w:val="916"/>
    <w:semiHidden/>
    <w:rPr>
      <w:rFonts w:ascii="Times New Roman" w:hAnsi="Times New Roman" w:eastAsia="宋体" w:cs="Times New Roman"/>
      <w:sz w:val="18"/>
      <w:szCs w:val="18"/>
    </w:rPr>
  </w:style>
  <w:style w:type="paragraph" w:styleId="918">
    <w:name w:val="页脚"/>
    <w:basedOn w:val="869"/>
    <w:next w:val="918"/>
    <w:link w:val="919"/>
    <w:pPr>
      <w:jc w:val="left"/>
      <w:tabs>
        <w:tab w:val="center" w:pos="4153" w:leader="none"/>
        <w:tab w:val="right" w:pos="8306" w:leader="none"/>
      </w:tabs>
    </w:pPr>
    <w:rPr>
      <w:rFonts w:ascii="Times New Roman" w:hAnsi="Times New Roman" w:eastAsia="宋体" w:cs="Times New Roman"/>
      <w:sz w:val="18"/>
      <w:szCs w:val="18"/>
    </w:rPr>
  </w:style>
  <w:style w:type="character" w:styleId="919">
    <w:name w:val="页脚 Char"/>
    <w:next w:val="919"/>
    <w:link w:val="918"/>
    <w:rPr>
      <w:rFonts w:ascii="Times New Roman" w:hAnsi="Times New Roman" w:eastAsia="宋体" w:cs="Times New Roman"/>
      <w:sz w:val="18"/>
      <w:szCs w:val="18"/>
    </w:rPr>
  </w:style>
  <w:style w:type="paragraph" w:styleId="920">
    <w:name w:val="页眉"/>
    <w:basedOn w:val="869"/>
    <w:next w:val="920"/>
    <w:link w:val="92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1">
    <w:name w:val="页眉 Char"/>
    <w:next w:val="921"/>
    <w:link w:val="920"/>
    <w:rPr>
      <w:rFonts w:ascii="Times New Roman" w:hAnsi="Times New Roman" w:eastAsia="宋体" w:cs="Times New Roman"/>
      <w:sz w:val="18"/>
      <w:szCs w:val="18"/>
    </w:rPr>
  </w:style>
  <w:style w:type="paragraph" w:styleId="922">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3">
    <w:name w:val="目录 4"/>
    <w:basedOn w:val="869"/>
    <w:next w:val="869"/>
    <w:link w:val="869"/>
    <w:semiHidden/>
    <w:pPr>
      <w:ind w:left="630"/>
      <w:jc w:val="left"/>
    </w:pPr>
    <w:rPr>
      <w:rFonts w:ascii="Times New Roman" w:hAnsi="Times New Roman" w:eastAsia="宋体" w:cs="Times New Roman"/>
      <w:szCs w:val="21"/>
    </w:rPr>
  </w:style>
  <w:style w:type="paragraph" w:styleId="924">
    <w:name w:val="列表"/>
    <w:basedOn w:val="869"/>
    <w:next w:val="924"/>
    <w:link w:val="869"/>
    <w:pPr>
      <w:ind w:left="200" w:hanging="200"/>
    </w:pPr>
    <w:rPr>
      <w:rFonts w:ascii="Times New Roman" w:hAnsi="Times New Roman" w:eastAsia="宋体" w:cs="Times New Roman"/>
      <w:szCs w:val="21"/>
    </w:rPr>
  </w:style>
  <w:style w:type="paragraph" w:styleId="925">
    <w:name w:val="目录 6"/>
    <w:basedOn w:val="869"/>
    <w:next w:val="869"/>
    <w:link w:val="869"/>
    <w:semiHidden/>
    <w:pPr>
      <w:ind w:left="1050"/>
      <w:jc w:val="left"/>
    </w:pPr>
    <w:rPr>
      <w:rFonts w:ascii="Times New Roman" w:hAnsi="Times New Roman" w:eastAsia="宋体" w:cs="Times New Roman"/>
      <w:szCs w:val="21"/>
    </w:rPr>
  </w:style>
  <w:style w:type="paragraph" w:styleId="926">
    <w:name w:val="正文文本缩进 3"/>
    <w:basedOn w:val="869"/>
    <w:next w:val="926"/>
    <w:link w:val="927"/>
    <w:pPr>
      <w:ind w:left="645" w:firstLine="645"/>
    </w:pPr>
    <w:rPr>
      <w:rFonts w:ascii="Arial" w:hAnsi="Arial" w:eastAsia="仿宋_GB2312" w:cs="Arial"/>
      <w:color w:val="ffff00"/>
      <w:sz w:val="32"/>
      <w:szCs w:val="32"/>
    </w:rPr>
  </w:style>
  <w:style w:type="character" w:styleId="927">
    <w:name w:val="正文文本缩进 3 Char"/>
    <w:next w:val="927"/>
    <w:link w:val="926"/>
    <w:rPr>
      <w:rFonts w:ascii="Arial" w:hAnsi="Arial" w:eastAsia="仿宋_GB2312" w:cs="Arial"/>
      <w:color w:val="ffff00"/>
      <w:sz w:val="32"/>
      <w:szCs w:val="32"/>
    </w:rPr>
  </w:style>
  <w:style w:type="paragraph" w:styleId="928">
    <w:name w:val="图表目录"/>
    <w:basedOn w:val="869"/>
    <w:next w:val="869"/>
    <w:link w:val="869"/>
    <w:semiHidden/>
    <w:pPr>
      <w:ind w:left="840" w:hanging="420"/>
    </w:pPr>
    <w:rPr>
      <w:rFonts w:ascii="Times New Roman" w:hAnsi="Times New Roman" w:eastAsia="宋体" w:cs="Times New Roman"/>
      <w:szCs w:val="21"/>
    </w:rPr>
  </w:style>
  <w:style w:type="paragraph" w:styleId="929">
    <w:name w:val="目录 2"/>
    <w:basedOn w:val="869"/>
    <w:next w:val="869"/>
    <w:link w:val="869"/>
    <w:semiHidden/>
    <w:pPr>
      <w:ind w:left="210"/>
      <w:jc w:val="left"/>
    </w:pPr>
    <w:rPr>
      <w:rFonts w:ascii="Times New Roman" w:hAnsi="Times New Roman" w:eastAsia="宋体" w:cs="Times New Roman"/>
      <w:smallCaps/>
      <w:szCs w:val="24"/>
    </w:rPr>
  </w:style>
  <w:style w:type="paragraph" w:styleId="930">
    <w:name w:val="目录 9"/>
    <w:basedOn w:val="869"/>
    <w:next w:val="869"/>
    <w:link w:val="869"/>
    <w:semiHidden/>
    <w:pPr>
      <w:ind w:left="1680"/>
      <w:jc w:val="left"/>
    </w:pPr>
    <w:rPr>
      <w:rFonts w:ascii="Times New Roman" w:hAnsi="Times New Roman" w:eastAsia="宋体" w:cs="Times New Roman"/>
      <w:szCs w:val="21"/>
    </w:rPr>
  </w:style>
  <w:style w:type="paragraph" w:styleId="931">
    <w:name w:val="正文文本 2"/>
    <w:basedOn w:val="869"/>
    <w:next w:val="931"/>
    <w:link w:val="932"/>
    <w:pPr>
      <w:jc w:val="center"/>
      <w:widowControl/>
    </w:pPr>
    <w:rPr>
      <w:rFonts w:ascii="楷体_GB2312" w:hAnsi="Times New Roman" w:eastAsia="楷体_GB2312" w:cs="Times New Roman"/>
      <w:sz w:val="28"/>
      <w:szCs w:val="28"/>
    </w:rPr>
  </w:style>
  <w:style w:type="character" w:styleId="932">
    <w:name w:val="正文文本 2 Char"/>
    <w:next w:val="932"/>
    <w:link w:val="931"/>
    <w:rPr>
      <w:rFonts w:ascii="楷体_GB2312" w:hAnsi="Times New Roman" w:eastAsia="楷体_GB2312" w:cs="Times New Roman"/>
      <w:sz w:val="28"/>
      <w:szCs w:val="28"/>
    </w:rPr>
  </w:style>
  <w:style w:type="paragraph" w:styleId="933">
    <w:name w:val="普通(网站)"/>
    <w:basedOn w:val="869"/>
    <w:next w:val="933"/>
    <w:link w:val="869"/>
    <w:uiPriority w:val="99"/>
    <w:pPr>
      <w:jc w:val="left"/>
      <w:spacing w:before="100" w:beforeAutospacing="1" w:after="100" w:afterAutospacing="1"/>
      <w:widowControl/>
    </w:pPr>
    <w:rPr>
      <w:rFonts w:ascii="宋体" w:hAnsi="宋体" w:eastAsia="宋体" w:cs="宋体"/>
      <w:sz w:val="24"/>
      <w:szCs w:val="24"/>
    </w:rPr>
  </w:style>
  <w:style w:type="paragraph" w:styleId="934">
    <w:name w:val="索引 1"/>
    <w:basedOn w:val="869"/>
    <w:next w:val="869"/>
    <w:link w:val="869"/>
    <w:semiHidden/>
    <w:pPr>
      <w:spacing w:line="240" w:lineRule="atLeast"/>
    </w:pPr>
    <w:rPr>
      <w:rFonts w:ascii="Times New Roman" w:hAnsi="Times New Roman" w:eastAsia="宋体" w:cs="Times New Roman"/>
      <w:b/>
      <w:bCs/>
      <w:szCs w:val="21"/>
    </w:rPr>
  </w:style>
  <w:style w:type="paragraph" w:styleId="935">
    <w:name w:val="批注主题"/>
    <w:basedOn w:val="897"/>
    <w:next w:val="897"/>
    <w:link w:val="936"/>
    <w:semiHidden/>
    <w:rPr>
      <w:rFonts w:ascii="Times New Roman" w:hAnsi="Times New Roman" w:eastAsia="宋体" w:cs="Times New Roman"/>
      <w:b/>
      <w:bCs/>
      <w:szCs w:val="21"/>
    </w:rPr>
  </w:style>
  <w:style w:type="character" w:styleId="936">
    <w:name w:val="批注主题 Char"/>
    <w:next w:val="936"/>
    <w:link w:val="935"/>
    <w:semiHidden/>
    <w:rPr>
      <w:rFonts w:ascii="Times New Roman" w:hAnsi="Times New Roman" w:eastAsia="宋体" w:cs="Times New Roman"/>
      <w:b/>
      <w:bCs/>
      <w:szCs w:val="21"/>
    </w:rPr>
  </w:style>
  <w:style w:type="paragraph" w:styleId="937">
    <w:name w:val="正文首行缩进"/>
    <w:basedOn w:val="869"/>
    <w:next w:val="937"/>
    <w:link w:val="938"/>
    <w:pPr>
      <w:ind w:firstLine="200"/>
      <w:spacing w:line="360" w:lineRule="auto"/>
    </w:pPr>
    <w:rPr>
      <w:rFonts w:ascii="仿宋_GB2312" w:hAnsi="Times New Roman" w:eastAsia="仿宋_GB2312" w:cs="Times New Roman"/>
      <w:sz w:val="30"/>
      <w:szCs w:val="30"/>
    </w:rPr>
  </w:style>
  <w:style w:type="character" w:styleId="938">
    <w:name w:val="正文首行缩进 Char"/>
    <w:next w:val="938"/>
    <w:link w:val="937"/>
    <w:rPr>
      <w:rFonts w:ascii="仿宋_GB2312" w:hAnsi="Times New Roman" w:eastAsia="仿宋_GB2312" w:cs="Times New Roman"/>
      <w:sz w:val="30"/>
      <w:szCs w:val="30"/>
    </w:rPr>
  </w:style>
  <w:style w:type="paragraph" w:styleId="939">
    <w:name w:val="正文首行缩进 2"/>
    <w:basedOn w:val="903"/>
    <w:next w:val="869"/>
    <w:link w:val="940"/>
    <w:pPr>
      <w:ind w:left="0" w:firstLine="420"/>
      <w:spacing w:after="0" w:line="360" w:lineRule="auto"/>
    </w:pPr>
    <w:rPr>
      <w:rFonts w:ascii="宋体" w:hAnsi="宋体" w:eastAsia="宋体" w:cs="Times New Roman"/>
      <w:szCs w:val="20"/>
    </w:rPr>
  </w:style>
  <w:style w:type="character" w:styleId="940">
    <w:name w:val="正文首行缩进 2 Char"/>
    <w:next w:val="940"/>
    <w:link w:val="939"/>
    <w:rPr>
      <w:rFonts w:ascii="宋体" w:hAnsi="宋体" w:eastAsia="宋体" w:cs="Times New Roman"/>
      <w:szCs w:val="20"/>
    </w:rPr>
  </w:style>
  <w:style w:type="table" w:styleId="941">
    <w:name w:val="网格型"/>
    <w:basedOn w:val="880"/>
    <w:next w:val="941"/>
    <w:link w:val="869"/>
    <w:pPr>
      <w:jc w:val="both"/>
      <w:widowControl w:val="off"/>
    </w:pPr>
    <w:rPr>
      <w:rFonts w:ascii="Times New Roman" w:hAnsi="Times New Roman" w:eastAsia="宋体" w:cs="Times New Roman"/>
      <w:sz w:val="20"/>
      <w:szCs w:val="20"/>
    </w:rPr>
    <w:tblPr/>
  </w:style>
  <w:style w:type="character" w:styleId="942">
    <w:name w:val="要点"/>
    <w:next w:val="942"/>
    <w:link w:val="869"/>
    <w:qFormat/>
    <w:rPr>
      <w:b/>
      <w:bCs/>
    </w:rPr>
  </w:style>
  <w:style w:type="character" w:styleId="943">
    <w:name w:val="页码"/>
    <w:next w:val="943"/>
    <w:link w:val="869"/>
  </w:style>
  <w:style w:type="character" w:styleId="944">
    <w:name w:val="已访问的超链接"/>
    <w:next w:val="944"/>
    <w:link w:val="869"/>
    <w:rPr>
      <w:color w:val="800080"/>
      <w:u w:val="single"/>
    </w:rPr>
  </w:style>
  <w:style w:type="character" w:styleId="945">
    <w:name w:val="强调"/>
    <w:next w:val="945"/>
    <w:link w:val="869"/>
    <w:qFormat/>
    <w:rPr>
      <w:i/>
    </w:rPr>
  </w:style>
  <w:style w:type="character" w:styleId="946">
    <w:name w:val="超链接"/>
    <w:next w:val="946"/>
    <w:link w:val="869"/>
    <w:rPr>
      <w:color w:val="0000ff"/>
      <w:u w:val="single"/>
    </w:rPr>
  </w:style>
  <w:style w:type="character" w:styleId="947">
    <w:name w:val="批注引用"/>
    <w:next w:val="947"/>
    <w:link w:val="869"/>
    <w:semiHidden/>
    <w:rPr>
      <w:sz w:val="21"/>
      <w:szCs w:val="21"/>
    </w:rPr>
  </w:style>
  <w:style w:type="character" w:styleId="948">
    <w:name w:val="批注文字 字符"/>
    <w:basedOn w:val="879"/>
    <w:next w:val="948"/>
    <w:link w:val="897"/>
    <w:rPr>
      <w:rFonts w:ascii="Calibri" w:hAnsi="Calibri" w:eastAsia="宋体" w:cs="Times New Roman"/>
      <w:sz w:val="21"/>
      <w:szCs w:val="24"/>
    </w:rPr>
  </w:style>
  <w:style w:type="character" w:styleId="949">
    <w:name w:val="默认段落字体1"/>
    <w:next w:val="949"/>
    <w:link w:val="869"/>
    <w:uiPriority w:val="1"/>
    <w:unhideWhenUsed/>
    <w:qFormat/>
    <w:rPr>
      <w:sz w:val="21"/>
      <w:szCs w:val="22"/>
      <w:lang w:val="en-US" w:eastAsia="zh-CN" w:bidi="ar-SA"/>
    </w:rPr>
  </w:style>
  <w:style w:type="character" w:styleId="950">
    <w:name w:val="font5 Char"/>
    <w:next w:val="950"/>
    <w:link w:val="869"/>
    <w:rPr>
      <w:rFonts w:ascii="宋体" w:hAnsi="宋体" w:eastAsia="宋体"/>
      <w:sz w:val="28"/>
      <w:szCs w:val="28"/>
      <w:lang w:val="en-US" w:eastAsia="zh-CN" w:bidi="ar-SA"/>
    </w:rPr>
  </w:style>
  <w:style w:type="character" w:styleId="951">
    <w:name w:val="二级目录 Char"/>
    <w:next w:val="951"/>
    <w:link w:val="952"/>
    <w:rPr>
      <w:b/>
      <w:sz w:val="30"/>
      <w:szCs w:val="28"/>
    </w:rPr>
  </w:style>
  <w:style w:type="paragraph" w:styleId="952">
    <w:name w:val="二级目录"/>
    <w:next w:val="869"/>
    <w:link w:val="951"/>
    <w:pPr>
      <w:numPr>
        <w:ilvl w:val="0"/>
        <w:numId w:val="2"/>
      </w:numPr>
      <w:tabs>
        <w:tab w:val="left" w:pos="907" w:leader="none"/>
        <w:tab w:val="left" w:pos="1145" w:leader="none"/>
      </w:tabs>
      <w:outlineLvl w:val="1"/>
    </w:pPr>
    <w:rPr>
      <w:b/>
      <w:sz w:val="30"/>
      <w:szCs w:val="28"/>
      <w:lang w:val="en-US" w:eastAsia="zh-CN" w:bidi="ar-SA"/>
    </w:rPr>
  </w:style>
  <w:style w:type="character" w:styleId="953">
    <w:name w:val="列出段落 Char,Bullet List Char,numbered Char,FooterText Char,List Paragraph1 Char,Paragraphe de liste1 Char"/>
    <w:next w:val="953"/>
    <w:link w:val="954"/>
    <w:rPr>
      <w:rFonts w:ascii="Calibri" w:hAnsi="Calibri"/>
      <w:sz w:val="24"/>
      <w:szCs w:val="24"/>
      <w:lang w:eastAsia="en-US" w:bidi="en-US"/>
    </w:rPr>
  </w:style>
  <w:style w:type="paragraph" w:styleId="954">
    <w:name w:val="列出段落1"/>
    <w:basedOn w:val="869"/>
    <w:next w:val="954"/>
    <w:link w:val="953"/>
    <w:qFormat/>
    <w:pPr>
      <w:contextualSpacing/>
      <w:ind w:left="720"/>
      <w:jc w:val="left"/>
      <w:widowControl/>
    </w:pPr>
    <w:rPr>
      <w:rFonts w:ascii="Calibri" w:hAnsi="Calibri"/>
      <w:sz w:val="24"/>
      <w:szCs w:val="24"/>
      <w:lang w:eastAsia="en-US" w:bidi="en-US"/>
    </w:rPr>
  </w:style>
  <w:style w:type="paragraph" w:styleId="955">
    <w:name w:val="Body Text(ch)"/>
    <w:basedOn w:val="869"/>
    <w:next w:val="901"/>
    <w:link w:val="869"/>
    <w:pPr>
      <w:spacing w:after="120"/>
    </w:pPr>
    <w:rPr>
      <w:rFonts w:ascii="宋体" w:hAnsi="Arial" w:eastAsia="宋体" w:cs="Times New Roman"/>
      <w:bCs/>
      <w:iCs/>
      <w:szCs w:val="24"/>
    </w:rPr>
  </w:style>
  <w:style w:type="paragraph" w:styleId="956">
    <w:name w:val="xl27"/>
    <w:basedOn w:val="869"/>
    <w:next w:val="956"/>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xl26"/>
    <w:basedOn w:val="869"/>
    <w:next w:val="957"/>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Char"/>
    <w:basedOn w:val="869"/>
    <w:next w:val="958"/>
    <w:link w:val="869"/>
    <w:pPr>
      <w:ind w:firstLine="200"/>
      <w:tabs>
        <w:tab w:val="left" w:pos="360" w:leader="none"/>
      </w:tabs>
    </w:pPr>
    <w:rPr>
      <w:rFonts w:ascii="Times New Roman" w:hAnsi="Times New Roman" w:eastAsia="宋体" w:cs="Times New Roman"/>
      <w:sz w:val="28"/>
      <w:szCs w:val="30"/>
    </w:rPr>
  </w:style>
  <w:style w:type="paragraph" w:styleId="959">
    <w:name w:val=" Char"/>
    <w:basedOn w:val="895"/>
    <w:next w:val="959"/>
    <w:link w:val="869"/>
    <w:rPr>
      <w:rFonts w:ascii="Tahoma" w:hAnsi="Tahoma"/>
      <w:sz w:val="24"/>
      <w:szCs w:val="24"/>
    </w:rPr>
  </w:style>
  <w:style w:type="paragraph" w:styleId="960">
    <w:name w:val="普通正文"/>
    <w:basedOn w:val="869"/>
    <w:next w:val="960"/>
    <w:link w:val="869"/>
    <w:pPr>
      <w:ind w:firstLine="480"/>
      <w:jc w:val="left"/>
      <w:spacing w:before="120" w:after="120" w:line="360" w:lineRule="auto"/>
    </w:pPr>
    <w:rPr>
      <w:rFonts w:ascii="Arial" w:hAnsi="Arial" w:eastAsia="宋体" w:cs="Times New Roman"/>
      <w:sz w:val="24"/>
      <w:szCs w:val="24"/>
    </w:rPr>
  </w:style>
  <w:style w:type="paragraph" w:styleId="961">
    <w:name w:val="table_lines"/>
    <w:basedOn w:val="869"/>
    <w:next w:val="961"/>
    <w:link w:val="869"/>
    <w:pPr>
      <w:jc w:val="left"/>
      <w:widowControl/>
    </w:pPr>
    <w:rPr>
      <w:rFonts w:ascii="Times New Roman" w:hAnsi="Times New Roman" w:eastAsia="宋体" w:cs="Times New Roman"/>
      <w:sz w:val="20"/>
      <w:szCs w:val="20"/>
      <w:lang w:val="de-DE" w:eastAsia="de-DE"/>
    </w:rPr>
  </w:style>
  <w:style w:type="paragraph" w:styleId="962">
    <w:name w:val="附录1"/>
    <w:next w:val="962"/>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3">
    <w:name w:val="font7"/>
    <w:basedOn w:val="869"/>
    <w:next w:val="963"/>
    <w:link w:val="869"/>
    <w:pPr>
      <w:jc w:val="left"/>
      <w:spacing w:before="100" w:beforeAutospacing="1" w:after="100" w:afterAutospacing="1"/>
      <w:widowControl/>
    </w:pPr>
    <w:rPr>
      <w:rFonts w:hint="eastAsia" w:ascii="宋体" w:hAnsi="宋体" w:eastAsia="宋体" w:cs="Times New Roman"/>
      <w:sz w:val="18"/>
      <w:szCs w:val="18"/>
    </w:rPr>
  </w:style>
  <w:style w:type="paragraph" w:styleId="964">
    <w:name w:val=" Char Char Char Char"/>
    <w:basedOn w:val="895"/>
    <w:next w:val="964"/>
    <w:link w:val="869"/>
    <w:pPr>
      <w:spacing w:line="360" w:lineRule="auto"/>
    </w:pPr>
    <w:rPr>
      <w:rFonts w:ascii="Tahoma" w:hAnsi="Tahoma"/>
      <w:sz w:val="24"/>
      <w:szCs w:val="24"/>
    </w:rPr>
  </w:style>
  <w:style w:type="paragraph" w:styleId="965">
    <w:name w:val="列出段落"/>
    <w:basedOn w:val="869"/>
    <w:next w:val="965"/>
    <w:link w:val="869"/>
    <w:qFormat/>
    <w:pPr>
      <w:contextualSpacing/>
      <w:ind w:left="720"/>
      <w:jc w:val="left"/>
      <w:widowControl/>
    </w:pPr>
    <w:rPr>
      <w:rFonts w:ascii="Calibri" w:hAnsi="Calibri" w:eastAsia="宋体" w:cs="Times New Roman"/>
      <w:sz w:val="24"/>
      <w:szCs w:val="24"/>
      <w:lang w:eastAsia="en-US" w:bidi="en-US"/>
    </w:rPr>
  </w:style>
  <w:style w:type="paragraph" w:styleId="966">
    <w:name w:val="4"/>
    <w:basedOn w:val="869"/>
    <w:next w:val="926"/>
    <w:link w:val="869"/>
    <w:pPr>
      <w:ind w:firstLine="420"/>
      <w:spacing w:line="360" w:lineRule="auto"/>
    </w:pPr>
    <w:rPr>
      <w:rFonts w:ascii="Times New Roman" w:hAnsi="Times New Roman" w:eastAsia="宋体" w:cs="Times New Roman"/>
      <w:color w:val="ff0000"/>
      <w:sz w:val="24"/>
      <w:szCs w:val="24"/>
    </w:rPr>
  </w:style>
  <w:style w:type="paragraph" w:styleId="967">
    <w:name w:val="普通 (Web)"/>
    <w:basedOn w:val="869"/>
    <w:next w:val="967"/>
    <w:link w:val="869"/>
    <w:pPr>
      <w:jc w:val="left"/>
      <w:spacing w:before="100" w:beforeAutospacing="1" w:after="100" w:afterAutospacing="1"/>
      <w:widowControl/>
    </w:pPr>
    <w:rPr>
      <w:rFonts w:ascii="宋体" w:hAnsi="宋体" w:eastAsia="宋体" w:cs="Times New Roman"/>
      <w:sz w:val="24"/>
      <w:szCs w:val="24"/>
    </w:rPr>
  </w:style>
  <w:style w:type="paragraph" w:styleId="968">
    <w:name w:val=" Char Char Char Char Char Char Char Char Char Char"/>
    <w:basedOn w:val="869"/>
    <w:next w:val="968"/>
    <w:link w:val="869"/>
    <w:pPr>
      <w:spacing w:line="360" w:lineRule="auto"/>
    </w:pPr>
    <w:rPr>
      <w:rFonts w:ascii="Times New Roman" w:hAnsi="Times New Roman" w:eastAsia="宋体" w:cs="Times New Roman"/>
      <w:sz w:val="24"/>
      <w:szCs w:val="20"/>
    </w:rPr>
  </w:style>
  <w:style w:type="paragraph" w:styleId="969">
    <w:name w:val="样式1"/>
    <w:basedOn w:val="869"/>
    <w:next w:val="969"/>
    <w:link w:val="869"/>
    <w:pPr>
      <w:numPr>
        <w:ilvl w:val="0"/>
        <w:numId w:val="3"/>
      </w:numPr>
      <w:tabs>
        <w:tab w:val="left" w:pos="709" w:leader="none"/>
      </w:tabs>
    </w:pPr>
    <w:rPr>
      <w:rFonts w:ascii="宋体" w:hAnsi="宋体" w:eastAsia="宋体" w:cs="Times New Roman"/>
      <w:szCs w:val="21"/>
    </w:rPr>
  </w:style>
  <w:style w:type="paragraph" w:styleId="970">
    <w:name w:val="font6"/>
    <w:basedOn w:val="869"/>
    <w:next w:val="970"/>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1">
    <w:name w:val="xl25"/>
    <w:basedOn w:val="869"/>
    <w:next w:val="971"/>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3">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4">
    <w:name w:val="xl24"/>
    <w:basedOn w:val="869"/>
    <w:next w:val="974"/>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name w:val="xl29"/>
    <w:basedOn w:val="869"/>
    <w:next w:val="975"/>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6">
    <w:name w:val="Char Char Char Char Char Char Char Char"/>
    <w:basedOn w:val="869"/>
    <w:next w:val="976"/>
    <w:link w:val="869"/>
    <w:pPr>
      <w:jc w:val="left"/>
      <w:spacing w:after="160" w:line="240" w:lineRule="exact"/>
      <w:widowControl/>
    </w:pPr>
    <w:rPr>
      <w:rFonts w:ascii="Verdana" w:hAnsi="Verdana" w:eastAsia="宋体" w:cs="Times New Roman"/>
      <w:sz w:val="20"/>
      <w:szCs w:val="20"/>
      <w:lang w:eastAsia="en-US"/>
    </w:rPr>
  </w:style>
  <w:style w:type="paragraph" w:styleId="977">
    <w:name w:val="xl28"/>
    <w:basedOn w:val="869"/>
    <w:next w:val="977"/>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8">
    <w:name w:val=" Char Char Char Char Char Char Char Char"/>
    <w:basedOn w:val="869"/>
    <w:next w:val="978"/>
    <w:link w:val="869"/>
    <w:pPr>
      <w:jc w:val="left"/>
      <w:spacing w:after="160" w:line="240" w:lineRule="exact"/>
      <w:widowControl/>
    </w:pPr>
    <w:rPr>
      <w:rFonts w:ascii="Verdana" w:hAnsi="Verdana" w:eastAsia="宋体" w:cs="Times New Roman"/>
      <w:sz w:val="20"/>
      <w:szCs w:val="20"/>
      <w:lang w:eastAsia="en-US"/>
    </w:rPr>
  </w:style>
  <w:style w:type="paragraph" w:styleId="979">
    <w:name w:val="xl30"/>
    <w:basedOn w:val="869"/>
    <w:next w:val="979"/>
    <w:link w:val="869"/>
    <w:pPr>
      <w:jc w:val="center"/>
      <w:spacing w:before="100" w:beforeAutospacing="1" w:after="100" w:afterAutospacing="1"/>
      <w:widowControl/>
    </w:pPr>
    <w:rPr>
      <w:rFonts w:ascii="宋体" w:hAnsi="宋体" w:eastAsia="宋体" w:cs="Times New Roman"/>
      <w:b/>
      <w:bCs/>
      <w:sz w:val="36"/>
      <w:szCs w:val="36"/>
    </w:rPr>
  </w:style>
  <w:style w:type="paragraph" w:styleId="980">
    <w:name w:val="Char Char Char Char"/>
    <w:basedOn w:val="895"/>
    <w:next w:val="980"/>
    <w:link w:val="869"/>
    <w:pPr>
      <w:spacing w:line="360" w:lineRule="auto"/>
    </w:pPr>
    <w:rPr>
      <w:rFonts w:ascii="Tahoma" w:hAnsi="Tahoma"/>
      <w:sz w:val="24"/>
      <w:szCs w:val="24"/>
    </w:rPr>
  </w:style>
  <w:style w:type="paragraph" w:styleId="981">
    <w:name w:val="table_1stline"/>
    <w:basedOn w:val="869"/>
    <w:next w:val="981"/>
    <w:link w:val="869"/>
    <w:pPr>
      <w:jc w:val="left"/>
      <w:spacing w:before="120"/>
      <w:widowControl/>
    </w:pPr>
    <w:rPr>
      <w:rFonts w:ascii="Times New Roman" w:hAnsi="Times New Roman" w:eastAsia="宋体" w:cs="Times New Roman"/>
      <w:bCs/>
      <w:sz w:val="20"/>
      <w:szCs w:val="20"/>
      <w:lang w:val="de-DE" w:eastAsia="de-DE"/>
    </w:rPr>
  </w:style>
  <w:style w:type="paragraph" w:styleId="982">
    <w:name w:val="font5"/>
    <w:basedOn w:val="869"/>
    <w:next w:val="982"/>
    <w:link w:val="869"/>
    <w:pPr>
      <w:jc w:val="left"/>
      <w:spacing w:before="100" w:beforeAutospacing="1" w:after="100" w:afterAutospacing="1"/>
      <w:widowControl/>
    </w:pPr>
    <w:rPr>
      <w:rFonts w:hint="eastAsia" w:ascii="宋体" w:hAnsi="宋体" w:eastAsia="宋体" w:cs="Times New Roman"/>
      <w:sz w:val="28"/>
      <w:szCs w:val="28"/>
    </w:rPr>
  </w:style>
  <w:style w:type="paragraph" w:styleId="983">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4">
    <w:name w:val="修订"/>
    <w:next w:val="984"/>
    <w:link w:val="869"/>
    <w:uiPriority w:val="99"/>
    <w:semiHidden/>
    <w:rPr>
      <w:rFonts w:ascii="Times New Roman" w:hAnsi="Times New Roman"/>
      <w:sz w:val="21"/>
      <w:szCs w:val="21"/>
      <w:lang w:val="en-US" w:eastAsia="zh-CN" w:bidi="ar-SA"/>
    </w:rPr>
  </w:style>
  <w:style w:type="paragraph" w:styleId="985">
    <w:name w:val="无间隔"/>
    <w:next w:val="985"/>
    <w:link w:val="869"/>
    <w:uiPriority w:val="99"/>
    <w:qFormat/>
    <w:pPr>
      <w:jc w:val="both"/>
      <w:widowControl w:val="off"/>
    </w:pPr>
    <w:rPr>
      <w:rFonts w:ascii="Times New Roman" w:hAnsi="Times New Roman"/>
      <w:sz w:val="21"/>
      <w:szCs w:val="21"/>
      <w:lang w:val="en-US" w:eastAsia="zh-CN" w:bidi="ar-SA"/>
    </w:rPr>
  </w:style>
  <w:style w:type="table" w:styleId="986">
    <w:name w:val="Table Normal"/>
    <w:next w:val="986"/>
    <w:link w:val="869"/>
    <w:qFormat/>
    <w:tblPr/>
  </w:style>
  <w:style w:type="paragraph" w:styleId="987">
    <w:name w:val="正文文本12"/>
    <w:basedOn w:val="869"/>
    <w:next w:val="987"/>
    <w:link w:val="869"/>
    <w:uiPriority w:val="1"/>
    <w:qFormat/>
    <w:pPr>
      <w:ind w:left="120"/>
    </w:pPr>
    <w:rPr>
      <w:rFonts w:ascii="宋体" w:hAnsi="宋体" w:eastAsia="宋体" w:cs="宋体"/>
      <w:sz w:val="21"/>
      <w:szCs w:val="21"/>
      <w:lang w:val="zh-CN" w:eastAsia="zh-CN" w:bidi="zh-CN"/>
    </w:rPr>
  </w:style>
  <w:style w:type="paragraph" w:styleId="988">
    <w:name w:val="正文文本 211"/>
    <w:basedOn w:val="869"/>
    <w:next w:val="988"/>
    <w:link w:val="869"/>
    <w:uiPriority w:val="99"/>
    <w:qFormat/>
    <w:pPr>
      <w:jc w:val="center"/>
    </w:pPr>
    <w:rPr>
      <w:b/>
      <w:bCs/>
      <w:sz w:val="20"/>
      <w:szCs w:val="20"/>
    </w:rPr>
  </w:style>
  <w:style w:type="paragraph" w:styleId="989">
    <w:name w:val="正文文本1"/>
    <w:basedOn w:val="869"/>
    <w:next w:val="869"/>
    <w:link w:val="869"/>
    <w:semiHidden/>
    <w:qFormat/>
    <w:rPr>
      <w:rFonts w:ascii="Arial" w:hAnsi="Arial" w:eastAsia="Arial" w:cs="Arial"/>
      <w:sz w:val="21"/>
      <w:szCs w:val="21"/>
      <w:lang w:val="en-US" w:eastAsia="en-US" w:bidi="ar-SA"/>
    </w:rPr>
  </w:style>
  <w:style w:type="paragraph" w:styleId="990">
    <w:name w:val="Table Paragraph"/>
    <w:basedOn w:val="869"/>
    <w:next w:val="990"/>
    <w:link w:val="869"/>
    <w:uiPriority w:val="1"/>
    <w:qFormat/>
    <w:pPr>
      <w:jc w:val="left"/>
    </w:pPr>
    <w:rPr>
      <w:rFonts w:ascii="宋体" w:hAnsi="宋体" w:eastAsia="宋体" w:cs="宋体"/>
      <w:sz w:val="22"/>
      <w:szCs w:val="22"/>
      <w:lang w:val="zh-CN" w:bidi="zh-CN"/>
    </w:rPr>
  </w:style>
  <w:style w:type="table" w:styleId="991">
    <w:name w:val="网格型1"/>
    <w:basedOn w:val="992"/>
    <w:next w:val="991"/>
    <w:link w:val="869"/>
    <w:qFormat/>
    <w:pPr>
      <w:jc w:val="both"/>
      <w:widowControl w:val="off"/>
    </w:pPr>
    <w:tblPr/>
  </w:style>
  <w:style w:type="table" w:styleId="992">
    <w:name w:val="普通表格1"/>
    <w:next w:val="992"/>
    <w:link w:val="869"/>
    <w:uiPriority w:val="99"/>
    <w:unhideWhenUsed/>
    <w:qFormat/>
    <w:tblPr/>
  </w:style>
  <w:style w:type="paragraph" w:styleId="993">
    <w:name w:val="正文文本缩进1"/>
    <w:basedOn w:val="869"/>
    <w:next w:val="994"/>
    <w:link w:val="869"/>
    <w:unhideWhenUsed/>
    <w:qFormat/>
    <w:pPr>
      <w:ind w:left="420"/>
      <w:spacing w:after="120"/>
    </w:pPr>
  </w:style>
  <w:style w:type="paragraph" w:styleId="994">
    <w:name w:val="正文文本首行缩进 2"/>
    <w:basedOn w:val="993"/>
    <w:next w:val="994"/>
    <w:link w:val="869"/>
    <w:qFormat/>
    <w:pPr>
      <w:ind w:left="0" w:firstLine="420"/>
      <w:spacing w:after="0" w:line="360" w:lineRule="auto"/>
    </w:pPr>
    <w:rPr>
      <w:rFonts w:ascii="宋体" w:hAnsi="宋体"/>
      <w:sz w:val="20"/>
      <w:szCs w:val="20"/>
      <w:lang w:val="en-US" w:eastAsia="en-US"/>
    </w:rPr>
  </w:style>
  <w:style w:type="table" w:styleId="995">
    <w:name w:val="Table Normal_0"/>
    <w:next w:val="995"/>
    <w:link w:val="869"/>
    <w:qFormat/>
    <w:tblPr/>
  </w:style>
  <w:style w:type="paragraph" w:styleId="996">
    <w:name w:val="正文首行缩进 211"/>
    <w:basedOn w:val="997"/>
    <w:next w:val="869"/>
    <w:link w:val="869"/>
    <w:qFormat/>
    <w:pPr>
      <w:ind w:left="0" w:firstLine="420"/>
      <w:spacing w:after="0" w:line="360" w:lineRule="auto"/>
    </w:pPr>
    <w:rPr>
      <w:rFonts w:ascii="宋体" w:hAnsi="宋体" w:eastAsia="宋体" w:cs="Times New Roman"/>
      <w:szCs w:val="20"/>
    </w:rPr>
  </w:style>
  <w:style w:type="paragraph" w:styleId="997">
    <w:name w:val="正文文本缩进11"/>
    <w:basedOn w:val="869"/>
    <w:next w:val="998"/>
    <w:link w:val="869"/>
    <w:unhideWhenUsed/>
    <w:qFormat/>
    <w:pPr>
      <w:ind w:left="420"/>
      <w:spacing w:after="120"/>
    </w:pPr>
  </w:style>
  <w:style w:type="paragraph" w:styleId="998">
    <w:name w:val="寄信人地址1"/>
    <w:basedOn w:val="869"/>
    <w:next w:val="998"/>
    <w:link w:val="869"/>
    <w:qFormat/>
    <w:rPr>
      <w:rFonts w:ascii="Arial" w:hAnsi="Arial" w:eastAsia="宋体" w:cs="宋体"/>
    </w:rPr>
  </w:style>
  <w:style w:type="character" w:styleId="999">
    <w:name w:val="15"/>
    <w:basedOn w:val="879"/>
    <w:next w:val="999"/>
    <w:link w:val="869"/>
    <w:rPr>
      <w:rFonts w:ascii="Calibri" w:hAnsi="Calibri" w:cs="Calibri"/>
      <w:sz w:val="21"/>
      <w:szCs w:val="21"/>
    </w:rPr>
  </w:style>
  <w:style w:type="character" w:styleId="1000">
    <w:name w:val="font61"/>
    <w:basedOn w:val="879"/>
    <w:next w:val="1000"/>
    <w:link w:val="869"/>
    <w:qFormat/>
    <w:rPr>
      <w:rFonts w:hint="eastAsia" w:ascii="等线" w:hAnsi="等线" w:eastAsia="等线" w:cs="等线"/>
      <w:color w:val="ff0000"/>
      <w:sz w:val="21"/>
      <w:szCs w:val="21"/>
      <w:u w:val="none"/>
    </w:rPr>
  </w:style>
  <w:style w:type="character" w:styleId="1001">
    <w:name w:val="font81"/>
    <w:basedOn w:val="879"/>
    <w:next w:val="1001"/>
    <w:link w:val="869"/>
    <w:rPr>
      <w:rFonts w:hint="eastAsia" w:ascii="宋体" w:hAnsi="宋体" w:eastAsia="宋体" w:cs="宋体"/>
      <w:i w:val="0"/>
      <w:iCs w:val="0"/>
      <w:color w:val="000000"/>
      <w:sz w:val="18"/>
      <w:szCs w:val="18"/>
      <w:u w:val="none"/>
    </w:rPr>
  </w:style>
  <w:style w:type="character" w:styleId="1002">
    <w:name w:val="font112"/>
    <w:basedOn w:val="879"/>
    <w:next w:val="1002"/>
    <w:link w:val="869"/>
    <w:rPr>
      <w:rFonts w:hint="eastAsia" w:ascii="宋体" w:hAnsi="宋体" w:eastAsia="宋体" w:cs="宋体"/>
      <w:i w:val="0"/>
      <w:iCs w:val="0"/>
      <w:color w:val="e54c5e"/>
      <w:sz w:val="18"/>
      <w:szCs w:val="18"/>
      <w:u w:val="none"/>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5</cp:revision>
  <dcterms:created xsi:type="dcterms:W3CDTF">2023-03-16T02:13:00Z</dcterms:created>
  <dcterms:modified xsi:type="dcterms:W3CDTF">2026-06-12T06:22:08Z</dcterms:modified>
</cp:coreProperties>
</file>