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_GB2312" w:hAnsi="仿宋_GB2312" w:eastAsia="仿宋_GB2312" w:cs="仿宋_GB2312"/>
          <w:b/>
          <w:color w:val="auto"/>
          <w:spacing w:val="76"/>
          <w:sz w:val="24"/>
        </w:rPr>
      </w:pPr>
      <w:r>
        <w:rPr>
          <w:rFonts w:hint="eastAsia" w:ascii="仿宋_GB2312" w:hAnsi="仿宋_GB2312" w:eastAsia="仿宋_GB2312" w:cs="仿宋_GB2312"/>
          <w:b/>
          <w:color w:val="auto"/>
          <w:spacing w:val="76"/>
          <w:sz w:val="24"/>
        </w:rPr>
      </w:r>
      <w:r/>
    </w:p>
    <w:p>
      <w:pPr>
        <w:pStyle w:val="820"/>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820"/>
        <w:jc w:val="center"/>
        <w:spacing w:line="920" w:lineRule="exact"/>
        <w:rPr>
          <w:rFonts w:hint="eastAsia" w:ascii="仿宋_GB2312" w:hAnsi="仿宋_GB2312" w:eastAsia="仿宋_GB2312" w:cs="仿宋_GB2312"/>
          <w:b/>
          <w:color w:val="auto"/>
          <w:spacing w:val="-20"/>
          <w:sz w:val="72"/>
          <w:szCs w:val="72"/>
          <w:highlight w:val="none"/>
        </w:rPr>
      </w:pPr>
      <w:r>
        <w:rPr>
          <w:rFonts w:hint="eastAsia" w:ascii="仿宋_GB2312" w:hAnsi="仿宋_GB2312" w:eastAsia="仿宋_GB2312" w:cs="仿宋_GB2312"/>
          <w:b/>
          <w:color w:val="auto"/>
          <w:sz w:val="72"/>
          <w:szCs w:val="72"/>
          <w:highlight w:val="none"/>
        </w:rPr>
        <w:t xml:space="preserve">竞争性磋商文件</w:t>
      </w:r>
      <w:r>
        <w:rPr>
          <w:rFonts w:hint="eastAsia" w:ascii="仿宋_GB2312" w:hAnsi="仿宋_GB2312" w:eastAsia="仿宋_GB2312" w:cs="仿宋_GB2312"/>
          <w:b/>
          <w:color w:val="auto"/>
          <w:spacing w:val="-20"/>
          <w:sz w:val="72"/>
          <w:szCs w:val="72"/>
          <w:highlight w:val="none"/>
        </w:rPr>
        <w:t xml:space="preserve"> </w:t>
      </w:r>
      <w:r/>
    </w:p>
    <w:p>
      <w:pPr>
        <w:pStyle w:val="820"/>
        <w:jc w:val="left"/>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83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820"/>
        <w:jc w:val="left"/>
        <w:spacing w:line="9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1337310</wp:posOffset>
                </wp:positionH>
                <wp:positionV relativeFrom="paragraph">
                  <wp:posOffset>110490</wp:posOffset>
                </wp:positionV>
                <wp:extent cx="2657475" cy="2209800"/>
                <wp:effectExtent l="0" t="0" r="9525" b="0"/>
                <wp:wrapTopAndBottom/>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16"/>
                        <a:stretch/>
                      </pic:blipFill>
                      <pic:spPr bwMode="auto">
                        <a:xfrm>
                          <a:off x="0" y="0"/>
                          <a:ext cx="2657475" cy="220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05.3pt;mso-position-horizontal:absolute;mso-position-vertical-relative:text;margin-top:8.7pt;mso-position-vertical:absolute;width:209.2pt;height:174.0pt;mso-wrap-distance-left:9.0pt;mso-wrap-distance-top:0.0pt;mso-wrap-distance-right:9.0pt;mso-wrap-distance-bottom:0.0pt;" stroked="f">
                <v:path textboxrect="0,0,0,0"/>
                <w10:wrap type="topAndBottom"/>
                <v:imagedata r:id="rId16" o:title=""/>
              </v:shape>
            </w:pict>
          </mc:Fallback>
        </mc:AlternateContent>
      </w:r>
      <w:r/>
    </w:p>
    <w:p>
      <w:pPr>
        <w:pStyle w:val="832"/>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r>
      <w:r/>
    </w:p>
    <w:p>
      <w:pPr>
        <w:pStyle w:val="820"/>
        <w:ind w:firstLine="2380"/>
        <w:spacing w:line="960" w:lineRule="exact"/>
        <w:rPr>
          <w:rFonts w:hint="eastAsia" w:ascii="仿宋_GB2312" w:hAnsi="仿宋_GB2312" w:eastAsia="仿宋_GB2312" w:cs="仿宋_GB2312"/>
          <w:color w:val="auto"/>
          <w:sz w:val="24"/>
        </w:rPr>
      </w:pPr>
      <w:r>
        <w:rPr>
          <w:rFonts w:hint="eastAsia" w:ascii="仿宋_GB2312" w:hAnsi="仿宋_GB2312" w:eastAsia="仿宋_GB2312" w:cs="仿宋_GB2312"/>
          <w:bCs/>
          <w:color w:val="auto"/>
          <w:sz w:val="32"/>
          <w:szCs w:val="32"/>
          <w:highlight w:val="none"/>
          <w:lang w:val="en-US" w:eastAsia="zh-CN"/>
        </w:rPr>
        <w:t xml:space="preserve"> </w:t>
      </w:r>
      <w:r/>
    </w:p>
    <w:p>
      <w:pPr>
        <w:pStyle w:val="1002"/>
        <w:ind w:firstLine="48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1002"/>
        <w:ind w:firstLine="48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1205"/>
        <w:jc w:val="left"/>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项目编号：</w:t>
      </w:r>
      <w:bookmarkStart w:id="0" w:name="OLE_LINK1"/>
      <w:r>
        <w:rPr>
          <w:rFonts w:hint="eastAsia" w:ascii="仿宋_GB2312" w:hAnsi="仿宋_GB2312" w:eastAsia="仿宋_GB2312" w:cs="仿宋_GB2312"/>
          <w:b/>
          <w:bCs/>
          <w:color w:val="auto"/>
          <w:sz w:val="30"/>
          <w:szCs w:val="30"/>
          <w:lang w:val="en-US" w:eastAsia="zh-CN"/>
        </w:rPr>
        <w:t xml:space="preserve">JSZC-320381-TYDL-C2026-0002</w:t>
      </w:r>
      <w:bookmarkEnd w:id="0"/>
      <w:r/>
      <w:r/>
    </w:p>
    <w:p>
      <w:pPr>
        <w:ind w:firstLine="1205"/>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30"/>
          <w:szCs w:val="30"/>
          <w:lang w:val="en-US" w:eastAsia="zh-CN"/>
        </w:rPr>
        <w:t xml:space="preserve">项目名称：</w:t>
      </w:r>
      <w:bookmarkStart w:id="1" w:name="OLE_LINK8"/>
      <w:r>
        <w:rPr>
          <w:rFonts w:hint="eastAsia" w:ascii="仿宋_GB2312" w:hAnsi="仿宋_GB2312" w:eastAsia="仿宋_GB2312" w:cs="仿宋_GB2312"/>
          <w:b/>
          <w:bCs/>
          <w:color w:val="auto"/>
          <w:sz w:val="30"/>
          <w:szCs w:val="30"/>
          <w:lang w:val="en-US" w:eastAsia="zh-CN"/>
        </w:rPr>
        <w:t xml:space="preserve">新沂市环境空气质量提升技术服务项目</w:t>
      </w:r>
      <w:bookmarkEnd w:id="1"/>
      <w:r/>
      <w:r/>
    </w:p>
    <w:p>
      <w:pPr>
        <w:ind w:firstLine="1205"/>
        <w:jc w:val="left"/>
        <w:spacing w:line="360" w:lineRule="auto"/>
        <w:rPr>
          <w:rFonts w:hint="eastAsia" w:ascii="仿宋_GB2312" w:hAnsi="仿宋_GB2312" w:eastAsia="仿宋_GB2312" w:cs="仿宋_GB2312"/>
          <w:b/>
          <w:bCs/>
          <w:color w:val="auto"/>
          <w:sz w:val="30"/>
          <w:szCs w:val="30"/>
          <w:lang w:eastAsia="zh-CN"/>
        </w:rPr>
      </w:pPr>
      <w:r>
        <w:rPr>
          <w:rFonts w:hint="eastAsia" w:ascii="仿宋_GB2312" w:hAnsi="仿宋_GB2312" w:eastAsia="仿宋_GB2312" w:cs="仿宋_GB2312"/>
          <w:b/>
          <w:bCs/>
          <w:color w:val="auto"/>
          <w:sz w:val="30"/>
          <w:szCs w:val="30"/>
        </w:rPr>
        <w:t xml:space="preserve">采 购 人：</w:t>
      </w:r>
      <w:r>
        <w:rPr>
          <w:rFonts w:hint="eastAsia" w:ascii="仿宋_GB2312" w:hAnsi="仿宋_GB2312" w:eastAsia="仿宋_GB2312" w:cs="仿宋_GB2312"/>
          <w:b/>
          <w:bCs/>
          <w:color w:val="auto"/>
          <w:sz w:val="30"/>
          <w:szCs w:val="30"/>
          <w:lang w:eastAsia="zh-CN"/>
        </w:rPr>
        <w:t xml:space="preserve">徐州市新沂生态环境局</w:t>
      </w:r>
      <w:r/>
    </w:p>
    <w:p>
      <w:pPr>
        <w:ind w:firstLine="1205"/>
        <w:jc w:val="left"/>
        <w:spacing w:line="360" w:lineRule="auto"/>
        <w:rPr>
          <w:rFonts w:hint="eastAsia" w:ascii="仿宋_GB2312" w:hAnsi="仿宋_GB2312" w:eastAsia="仿宋_GB2312" w:cs="仿宋_GB2312"/>
          <w:b/>
          <w:bCs/>
          <w:color w:val="auto"/>
          <w:sz w:val="30"/>
          <w:szCs w:val="30"/>
          <w:lang w:eastAsia="zh-CN"/>
        </w:rPr>
      </w:pPr>
      <w:r>
        <w:rPr>
          <w:rFonts w:hint="eastAsia" w:ascii="仿宋_GB2312" w:hAnsi="仿宋_GB2312" w:eastAsia="仿宋_GB2312" w:cs="仿宋_GB2312"/>
          <w:b/>
          <w:bCs/>
          <w:color w:val="auto"/>
          <w:sz w:val="30"/>
          <w:szCs w:val="30"/>
        </w:rPr>
        <w:t xml:space="preserve">代理机构：</w:t>
      </w:r>
      <w:r>
        <w:rPr>
          <w:rFonts w:hint="eastAsia" w:ascii="仿宋_GB2312" w:hAnsi="仿宋_GB2312" w:eastAsia="仿宋_GB2312" w:cs="仿宋_GB2312"/>
          <w:b/>
          <w:bCs/>
          <w:color w:val="auto"/>
          <w:sz w:val="30"/>
          <w:szCs w:val="30"/>
          <w:lang w:eastAsia="zh-CN"/>
        </w:rPr>
        <w:t xml:space="preserve">江苏天元房地产评估造价集团有限公司</w:t>
      </w:r>
      <w:r/>
    </w:p>
    <w:p>
      <w:pPr>
        <w:ind w:firstLine="1205"/>
        <w:jc w:val="left"/>
        <w:spacing w:line="360" w:lineRule="auto"/>
        <w:rPr>
          <w:rFonts w:hint="eastAsia" w:ascii="仿宋_GB2312" w:hAnsi="仿宋_GB2312" w:eastAsia="仿宋_GB2312" w:cs="仿宋_GB2312"/>
          <w:color w:val="auto"/>
        </w:rPr>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仿宋_GB2312" w:hAnsi="仿宋_GB2312" w:eastAsia="仿宋_GB2312" w:cs="仿宋_GB2312"/>
          <w:b/>
          <w:bCs/>
          <w:color w:val="auto"/>
          <w:sz w:val="30"/>
          <w:szCs w:val="30"/>
        </w:rPr>
        <w:t xml:space="preserve">编制时间：</w:t>
      </w:r>
      <w:r>
        <w:rPr>
          <w:rFonts w:hint="eastAsia" w:ascii="仿宋_GB2312" w:hAnsi="仿宋_GB2312" w:eastAsia="仿宋_GB2312" w:cs="仿宋_GB2312"/>
          <w:b/>
          <w:bCs/>
          <w:color w:val="auto"/>
          <w:sz w:val="30"/>
          <w:szCs w:val="30"/>
          <w:lang w:val="en-US" w:eastAsia="zh-CN"/>
        </w:rPr>
        <w:t xml:space="preserve">二零二六年七月</w:t>
      </w:r>
      <w:r>
        <w:rPr>
          <w:rFonts w:hint="eastAsia" w:ascii="仿宋_GB2312" w:hAnsi="仿宋_GB2312" w:eastAsia="仿宋_GB2312" w:cs="仿宋_GB2312"/>
          <w:color w:val="auto"/>
        </w:rPr>
        <w:br w:type="page" w:clear="all"/>
      </w:r>
      <w:r/>
    </w:p>
    <w:p>
      <w:pPr>
        <w:pStyle w:val="836"/>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44"/>
          <w:szCs w:val="44"/>
        </w:rPr>
        <w:t xml:space="preserve">竞争性磋商文件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按照《中华人民共和国政府采购法》、《中华人民共和国政府采购法实施条例》及《政府采购非招标采购方式管理办法》的规定,受</w:t>
      </w:r>
      <w:r>
        <w:rPr>
          <w:rFonts w:hint="eastAsia" w:ascii="仿宋_GB2312" w:hAnsi="仿宋_GB2312" w:eastAsia="仿宋_GB2312" w:cs="仿宋_GB2312"/>
          <w:color w:val="auto"/>
          <w:sz w:val="24"/>
          <w:lang w:eastAsia="zh-CN"/>
        </w:rPr>
        <w:t xml:space="preserve">徐州市新沂生态环境局</w:t>
      </w:r>
      <w:r>
        <w:rPr>
          <w:rFonts w:hint="eastAsia" w:ascii="仿宋_GB2312" w:hAnsi="仿宋_GB2312" w:eastAsia="仿宋_GB2312" w:cs="仿宋_GB2312"/>
          <w:color w:val="auto"/>
          <w:sz w:val="24"/>
        </w:rPr>
        <w:t xml:space="preserve">委托，</w:t>
      </w:r>
      <w:r>
        <w:rPr>
          <w:rFonts w:hint="eastAsia" w:ascii="仿宋_GB2312" w:hAnsi="仿宋_GB2312" w:eastAsia="仿宋_GB2312" w:cs="仿宋_GB2312"/>
          <w:color w:val="auto"/>
          <w:sz w:val="24"/>
          <w:lang w:eastAsia="zh-CN"/>
        </w:rPr>
        <w:t xml:space="preserve">江苏天元房地产评估造价集团有限公司</w:t>
      </w:r>
      <w:r>
        <w:rPr>
          <w:rFonts w:hint="eastAsia" w:ascii="仿宋_GB2312" w:hAnsi="仿宋_GB2312" w:eastAsia="仿宋_GB2312" w:cs="仿宋_GB2312"/>
          <w:color w:val="auto"/>
          <w:sz w:val="24"/>
        </w:rPr>
        <w:t xml:space="preserve">对</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eastAsia="zh-CN"/>
        </w:rPr>
        <w:t xml:space="preserve">新沂市环境空气质量提升技术服务项目</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采取竞争性磋商发布公告方式进行采购。如贵单位有意与本单位合作，请按以下要求参加磋商。</w:t>
      </w:r>
      <w:r/>
    </w:p>
    <w:p>
      <w:pPr>
        <w:pStyle w:val="83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第一章 项目说明</w:t>
      </w:r>
      <w:r/>
    </w:p>
    <w:p>
      <w:pPr>
        <w:ind w:firstLine="472"/>
        <w:spacing w:line="360" w:lineRule="auto"/>
        <w:rPr>
          <w:rFonts w:hint="eastAsia" w:ascii="仿宋_GB2312" w:hAnsi="仿宋_GB2312" w:eastAsia="仿宋_GB2312" w:cs="仿宋_GB2312"/>
          <w:b/>
          <w:color w:val="auto"/>
          <w:sz w:val="24"/>
          <w:lang w:eastAsia="zh-CN"/>
        </w:rPr>
      </w:pPr>
      <w:r>
        <w:rPr>
          <w:rFonts w:hint="eastAsia" w:ascii="仿宋_GB2312" w:hAnsi="仿宋_GB2312" w:eastAsia="仿宋_GB2312" w:cs="仿宋_GB2312"/>
          <w:b/>
          <w:color w:val="auto"/>
          <w:sz w:val="24"/>
        </w:rPr>
        <w:t xml:space="preserve">一、采购人：</w:t>
      </w:r>
      <w:r>
        <w:rPr>
          <w:rFonts w:hint="eastAsia" w:ascii="仿宋_GB2312" w:hAnsi="仿宋_GB2312" w:eastAsia="仿宋_GB2312" w:cs="仿宋_GB2312"/>
          <w:b/>
          <w:color w:val="auto"/>
          <w:sz w:val="24"/>
          <w:lang w:eastAsia="zh-CN"/>
        </w:rPr>
        <w:t xml:space="preserve">徐州市新沂生态环境局</w:t>
      </w:r>
      <w:r/>
    </w:p>
    <w:p>
      <w:pPr>
        <w:ind w:firstLine="472"/>
        <w:spacing w:line="360" w:lineRule="auto"/>
        <w:rPr>
          <w:rFonts w:hint="eastAsia" w:ascii="仿宋_GB2312" w:hAnsi="仿宋_GB2312" w:eastAsia="仿宋_GB2312" w:cs="仿宋_GB2312"/>
          <w:b/>
          <w:color w:val="auto"/>
          <w:sz w:val="24"/>
          <w:lang w:eastAsia="zh-CN"/>
        </w:rPr>
      </w:pPr>
      <w:r>
        <w:rPr>
          <w:rFonts w:hint="eastAsia" w:ascii="仿宋_GB2312" w:hAnsi="仿宋_GB2312" w:eastAsia="仿宋_GB2312" w:cs="仿宋_GB2312"/>
          <w:b/>
          <w:color w:val="auto"/>
          <w:sz w:val="24"/>
        </w:rPr>
        <w:t xml:space="preserve">二、项目名称：</w:t>
      </w:r>
      <w:r>
        <w:rPr>
          <w:rFonts w:hint="eastAsia" w:ascii="仿宋_GB2312" w:hAnsi="仿宋_GB2312" w:eastAsia="仿宋_GB2312" w:cs="仿宋_GB2312"/>
          <w:b/>
          <w:color w:val="auto"/>
          <w:sz w:val="24"/>
          <w:lang w:eastAsia="zh-CN"/>
        </w:rPr>
        <w:t xml:space="preserve">新沂市环境空气质量提升技术服务项目</w:t>
      </w:r>
      <w:r/>
    </w:p>
    <w:p>
      <w:pPr>
        <w:ind w:firstLine="472"/>
        <w:spacing w:line="360" w:lineRule="auto"/>
        <w:rPr>
          <w:rFonts w:hint="eastAsia" w:ascii="仿宋_GB2312" w:hAnsi="仿宋_GB2312" w:eastAsia="仿宋_GB2312" w:cs="仿宋_GB2312"/>
          <w:b/>
          <w:color w:val="auto"/>
          <w:sz w:val="24"/>
          <w:highlight w:val="yellow"/>
          <w:lang w:eastAsia="zh-CN"/>
        </w:rPr>
      </w:pPr>
      <w:r>
        <w:rPr>
          <w:rFonts w:hint="eastAsia" w:ascii="仿宋_GB2312" w:hAnsi="仿宋_GB2312" w:eastAsia="仿宋_GB2312" w:cs="仿宋_GB2312"/>
          <w:b/>
          <w:color w:val="auto"/>
          <w:sz w:val="24"/>
        </w:rPr>
        <w:t xml:space="preserve">三、项目编号：</w:t>
      </w:r>
      <w:r>
        <w:rPr>
          <w:rFonts w:hint="eastAsia" w:ascii="仿宋_GB2312" w:hAnsi="仿宋_GB2312" w:eastAsia="仿宋_GB2312" w:cs="仿宋_GB2312"/>
          <w:b/>
          <w:color w:val="auto"/>
          <w:sz w:val="24"/>
          <w:lang w:eastAsia="zh-CN"/>
        </w:rPr>
        <w:t xml:space="preserve">JSZC-320381-TYDL-C2026-0002</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四、采购方式：本项目采用竞争性磋商采购。</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五、供应商资格条件：</w:t>
      </w:r>
      <w:r/>
    </w:p>
    <w:p>
      <w:pPr>
        <w:pStyle w:val="1003"/>
        <w:ind w:firstLine="472"/>
        <w:spacing w:line="460" w:lineRule="exact"/>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 xml:space="preserve">5.1符合《中华人民共和国政府采购法》第二十二条的规定</w:t>
      </w:r>
      <w:r>
        <w:rPr>
          <w:rFonts w:hint="eastAsia" w:ascii="仿宋_GB2312" w:hAnsi="仿宋_GB2312" w:eastAsia="仿宋_GB2312" w:cs="仿宋_GB2312"/>
          <w:color w:val="auto"/>
          <w:sz w:val="24"/>
          <w:szCs w:val="24"/>
          <w:lang w:eastAsia="zh-CN"/>
        </w:rPr>
        <w:t xml:space="preserve">。</w:t>
      </w:r>
      <w:r/>
    </w:p>
    <w:p>
      <w:pPr>
        <w:pStyle w:val="1003"/>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5.2 采购项目需要落实的政府采购政策：此项目属于专门面向中小微企业采购的项目</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rPr>
        <w:t xml:space="preserve">供应商应为中小微企业、监狱企业、残疾人福利性单位。</w:t>
      </w:r>
      <w:r/>
    </w:p>
    <w:p>
      <w:pPr>
        <w:pStyle w:val="1003"/>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5.3（一）投标人基本条件</w:t>
      </w:r>
      <w:r/>
    </w:p>
    <w:p>
      <w:pPr>
        <w:pStyle w:val="1003"/>
        <w:numPr>
          <w:ilvl w:val="0"/>
          <w:numId w:val="0"/>
        </w:numPr>
        <w:ind w:firstLine="480"/>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 xml:space="preserve">1.</w:t>
      </w:r>
      <w:r>
        <w:rPr>
          <w:rFonts w:hint="eastAsia" w:ascii="仿宋_GB2312" w:hAnsi="仿宋_GB2312" w:eastAsia="仿宋_GB2312" w:cs="仿宋_GB2312"/>
          <w:color w:val="auto"/>
          <w:sz w:val="24"/>
          <w:szCs w:val="24"/>
        </w:rPr>
        <w:t xml:space="preserve">具有独立承担民事责任的能力；</w:t>
      </w:r>
      <w:r/>
    </w:p>
    <w:p>
      <w:pPr>
        <w:pStyle w:val="1003"/>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2.具有良好的商业信誉和健全的财务会计制度；</w:t>
      </w:r>
      <w:r/>
    </w:p>
    <w:p>
      <w:pPr>
        <w:pStyle w:val="1003"/>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3.具有履行合同所必需的设备和专业技术能力；</w:t>
      </w:r>
      <w:r/>
    </w:p>
    <w:p>
      <w:pPr>
        <w:pStyle w:val="1003"/>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4.有依法缴纳税收和社会保障资金的良好记录；</w:t>
      </w:r>
      <w:r/>
    </w:p>
    <w:p>
      <w:pPr>
        <w:pStyle w:val="1003"/>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5.参加投标活动前三年内，在经营活动中没有重大违法记录；</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6.法律、行政法规规定的其他条件。</w:t>
      </w:r>
      <w:r/>
    </w:p>
    <w:p>
      <w:pPr>
        <w:ind w:firstLine="708"/>
        <w:jc w:val="left"/>
        <w:spacing w:line="400" w:lineRule="exact"/>
        <w:widowControl/>
        <w:rPr>
          <w:rFonts w:hint="eastAsia" w:ascii="仿宋_GB2312" w:hAnsi="仿宋_GB2312" w:eastAsia="仿宋_GB2312" w:cs="仿宋_GB2312"/>
          <w:b/>
          <w:color w:val="auto"/>
          <w:sz w:val="24"/>
        </w:rPr>
      </w:pPr>
      <w:r>
        <w:rPr>
          <w:rFonts w:hint="eastAsia" w:ascii="仿宋_GB2312" w:hAnsi="仿宋_GB2312" w:eastAsia="仿宋_GB2312" w:cs="仿宋_GB2312"/>
          <w:color w:val="auto"/>
          <w:sz w:val="24"/>
        </w:rPr>
        <w:t xml:space="preserve">（二）项目要求投标人具备的特定条件</w:t>
      </w:r>
      <w:r/>
    </w:p>
    <w:p>
      <w:pPr>
        <w:contextualSpacing/>
        <w:ind w:firstLine="472"/>
        <w:jc w:val="left"/>
        <w:spacing w:line="440" w:lineRule="exact"/>
        <w:widowControl/>
        <w:rPr>
          <w:rFonts w:hint="eastAsia" w:ascii="仿宋_GB2312" w:hAnsi="仿宋_GB2312" w:eastAsia="仿宋_GB2312" w:cs="仿宋_GB2312"/>
          <w:color w:val="auto"/>
          <w:sz w:val="24"/>
          <w:highlight w:val="yellow"/>
        </w:rPr>
      </w:pPr>
      <w:r>
        <w:rPr>
          <w:rFonts w:hint="eastAsia" w:ascii="仿宋_GB2312" w:hAnsi="仿宋_GB2312" w:eastAsia="仿宋_GB2312" w:cs="仿宋_GB2312"/>
          <w:color w:val="auto"/>
          <w:sz w:val="24"/>
          <w:highlight w:val="none"/>
        </w:rPr>
        <w:t xml:space="preserve">投标人须具有</w:t>
      </w:r>
      <w:r>
        <w:rPr>
          <w:rFonts w:hint="eastAsia" w:ascii="仿宋_GB2312" w:hAnsi="仿宋_GB2312" w:eastAsia="仿宋_GB2312" w:cs="仿宋_GB2312"/>
          <w:color w:val="auto"/>
          <w:sz w:val="24"/>
          <w:highlight w:val="none"/>
          <w:lang w:val="en-US" w:eastAsia="zh-CN"/>
        </w:rPr>
        <w:t xml:space="preserve">测绘行政主管部门颁发的乙级及以上测绘资质证书（</w:t>
      </w:r>
      <w:r>
        <w:rPr>
          <w:rFonts w:hint="eastAsia" w:ascii="仿宋_GB2312" w:hAnsi="仿宋_GB2312" w:eastAsia="仿宋_GB2312" w:cs="仿宋_GB2312"/>
          <w:color w:val="auto"/>
          <w:sz w:val="24"/>
          <w:szCs w:val="24"/>
          <w:highlight w:val="none"/>
          <w:lang w:val="en-US" w:eastAsia="zh-CN" w:bidi="ar"/>
        </w:rPr>
        <w:t xml:space="preserve">专业范围同时包括地理信息系统工程和</w:t>
      </w:r>
      <w:r>
        <w:rPr>
          <w:rFonts w:hint="eastAsia" w:ascii="仿宋_GB2312" w:hAnsi="仿宋_GB2312" w:eastAsia="仿宋_GB2312" w:cs="仿宋_GB2312"/>
          <w:color w:val="auto"/>
          <w:sz w:val="24"/>
          <w:highlight w:val="none"/>
          <w:lang w:val="en-US" w:eastAsia="zh-CN"/>
        </w:rPr>
        <w:t xml:space="preserve">界线与不动产测绘</w:t>
      </w:r>
      <w:r>
        <w:rPr>
          <w:rFonts w:hint="eastAsia" w:ascii="仿宋_GB2312" w:hAnsi="仿宋_GB2312" w:eastAsia="仿宋_GB2312" w:cs="仿宋_GB2312"/>
          <w:color w:val="auto"/>
          <w:sz w:val="24"/>
          <w:szCs w:val="24"/>
          <w:highlight w:val="none"/>
          <w:lang w:val="en-US" w:eastAsia="zh-CN" w:bidi="ar"/>
        </w:rPr>
        <w:t xml:space="preserve">）。</w:t>
      </w:r>
      <w:r/>
    </w:p>
    <w:p>
      <w:pPr>
        <w:contextualSpacing/>
        <w:ind w:firstLine="472"/>
        <w:jc w:val="left"/>
        <w:spacing w:line="440" w:lineRule="exact"/>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eastAsia="zh-CN"/>
        </w:rPr>
        <w:t xml:space="preserve">（</w:t>
      </w:r>
      <w:r>
        <w:rPr>
          <w:rFonts w:hint="eastAsia" w:ascii="仿宋_GB2312" w:hAnsi="仿宋_GB2312" w:eastAsia="仿宋_GB2312" w:cs="仿宋_GB2312"/>
          <w:color w:val="auto"/>
          <w:sz w:val="24"/>
          <w:lang w:val="en-US" w:eastAsia="zh-CN"/>
        </w:rPr>
        <w:t xml:space="preserve">三</w:t>
      </w:r>
      <w:r>
        <w:rPr>
          <w:rFonts w:hint="eastAsia" w:ascii="仿宋_GB2312" w:hAnsi="仿宋_GB2312" w:eastAsia="仿宋_GB2312" w:cs="仿宋_GB2312"/>
          <w:color w:val="auto"/>
          <w:sz w:val="24"/>
          <w:lang w:eastAsia="zh-CN"/>
        </w:rPr>
        <w:t xml:space="preserve">）</w:t>
      </w:r>
      <w:r>
        <w:rPr>
          <w:rFonts w:hint="eastAsia" w:ascii="仿宋_GB2312" w:hAnsi="仿宋_GB2312" w:eastAsia="仿宋_GB2312" w:cs="仿宋_GB2312"/>
          <w:color w:val="auto"/>
          <w:sz w:val="24"/>
        </w:rPr>
        <w:t xml:space="preserve">本项目不接受联合体投标。</w:t>
      </w:r>
      <w:r/>
    </w:p>
    <w:p>
      <w:pPr>
        <w:contextualSpacing/>
        <w:ind w:firstLine="480"/>
        <w:jc w:val="left"/>
        <w:spacing w:line="440" w:lineRule="exact"/>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5.4.查询及使用供应商信用记录：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（1）由采购人查询信用信息；</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（2）查询渠道包括：</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①“信用中国”网（www.creditchina.gov.cn）；</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②“中国政府采购”网（www.ccgp.gov.cn）；</w:t>
      </w:r>
      <w:r/>
    </w:p>
    <w:p>
      <w:pPr>
        <w:ind w:firstLine="472"/>
        <w:spacing w:line="360" w:lineRule="auto"/>
        <w:rPr>
          <w:rFonts w:hint="eastAsia" w:ascii="仿宋_GB2312" w:hAnsi="仿宋_GB2312" w:eastAsia="仿宋_GB2312" w:cs="仿宋_GB2312"/>
          <w:color w:val="auto"/>
          <w:sz w:val="24"/>
          <w:highlight w:val="red"/>
        </w:rPr>
      </w:pPr>
      <w:r>
        <w:rPr>
          <w:rFonts w:hint="eastAsia" w:ascii="仿宋_GB2312" w:hAnsi="仿宋_GB2312" w:eastAsia="仿宋_GB2312" w:cs="仿宋_GB2312"/>
          <w:color w:val="auto"/>
          <w:sz w:val="24"/>
        </w:rPr>
        <w:t xml:space="preserve">③“信用江苏”网（http://credit.jiangsu.gov.cn/）；</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④“信用中国(江苏徐州)”网（</w:t>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"http://www.xuzhoucredit.gov.cn"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sz w:val="24"/>
        </w:rPr>
        <w:t xml:space="preserve">http://www.xuzhoucredit.gov.cn</w:t>
      </w:r>
      <w:r>
        <w:rPr>
          <w:rFonts w:hint="eastAsia" w:ascii="仿宋_GB2312" w:hAnsi="仿宋_GB2312" w:eastAsia="仿宋_GB2312" w:cs="仿宋_GB2312"/>
          <w:color w:val="auto"/>
          <w:sz w:val="24"/>
        </w:rPr>
        <w:fldChar w:fldCharType="end"/>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（3）截止时点（查询环节）：磋商结束前；</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（4）信用信息查询记录和证据留存方式：网页截屏打印，与其他采购文件一并保存；</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（5）信用信息的使用规则：</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六、项目预算金额：</w:t>
      </w:r>
      <w:r>
        <w:rPr>
          <w:rFonts w:hint="eastAsia" w:ascii="仿宋_GB2312" w:hAnsi="仿宋_GB2312" w:eastAsia="仿宋_GB2312" w:cs="仿宋_GB2312"/>
          <w:b/>
          <w:color w:val="auto"/>
          <w:sz w:val="24"/>
          <w:lang w:val="en-US" w:eastAsia="zh-CN"/>
        </w:rPr>
        <w:t xml:space="preserve">210</w:t>
      </w:r>
      <w:r>
        <w:rPr>
          <w:rFonts w:hint="eastAsia" w:ascii="仿宋_GB2312" w:hAnsi="仿宋_GB2312" w:eastAsia="仿宋_GB2312" w:cs="仿宋_GB2312"/>
          <w:b/>
          <w:color w:val="auto"/>
          <w:sz w:val="24"/>
        </w:rPr>
        <w:t xml:space="preserve">万元，本项目不接受超过</w:t>
      </w:r>
      <w:r>
        <w:rPr>
          <w:rFonts w:hint="eastAsia" w:ascii="仿宋_GB2312" w:hAnsi="仿宋_GB2312" w:eastAsia="仿宋_GB2312" w:cs="仿宋_GB2312"/>
          <w:b/>
          <w:color w:val="auto"/>
          <w:sz w:val="24"/>
          <w:lang w:val="en-US" w:eastAsia="zh-CN"/>
        </w:rPr>
        <w:t xml:space="preserve">210</w:t>
      </w:r>
      <w:r>
        <w:rPr>
          <w:rFonts w:hint="eastAsia" w:ascii="仿宋_GB2312" w:hAnsi="仿宋_GB2312" w:eastAsia="仿宋_GB2312" w:cs="仿宋_GB2312"/>
          <w:b/>
          <w:color w:val="auto"/>
          <w:sz w:val="24"/>
        </w:rPr>
        <w:t xml:space="preserve">万元以上报价。</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七、采购需求：详见《磋商文件》第八章附件《采购需求》，采购人确定的采购项目属性为服务。</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八、合同草案条款：详见《磋商文件》第八章附件《合同草案条款》。</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九、报价要求：</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1、供应商报价为要约，采购人无承诺表示时视为未成交，采购人认为必要时可重新进行竞争性磋商采购或采取其它方式采购。</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2、按照《磋商报价表》要求填写首次报价：详见《磋商文件》第八章附件《磋商报价表》。</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3、报价包含本项目范围内的全部费用。供应商有漏报或不报的，采购人将视为有关费用已包括在本项目的报价中而不予支付。采购人不支付报价以外的任何费用。</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lang w:val="en-US" w:eastAsia="zh-CN"/>
        </w:rPr>
        <w:t xml:space="preserve">    </w:t>
      </w:r>
      <w:r>
        <w:rPr>
          <w:rFonts w:hint="eastAsia" w:ascii="仿宋_GB2312" w:hAnsi="仿宋_GB2312" w:eastAsia="仿宋_GB2312" w:cs="仿宋_GB2312"/>
          <w:b/>
          <w:color w:val="auto"/>
          <w:sz w:val="24"/>
        </w:rPr>
        <w:t xml:space="preserve">第二章 招标代理服务费</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十、成交供应商在领取成交通知书前，缴纳招标代理服务费，收取标准见附件。</w:t>
      </w:r>
      <w:r/>
    </w:p>
    <w:p>
      <w:pPr>
        <w:pStyle w:val="83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第三章 响应文件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color w:val="auto"/>
          <w:sz w:val="24"/>
        </w:rPr>
        <w:t xml:space="preserve">十一、响应文件编制要求</w:t>
      </w:r>
      <w:r/>
    </w:p>
    <w:p>
      <w:pPr>
        <w:pStyle w:val="83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第一部分 基本要求</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1、供应商应当按照《磋商文件》的要求编制响应文件，并对其提交的响应文件的真实性、合法性承担法律责任。</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2、电子响应文件要求</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（2）供应商应对 CA 证书妥善保管，如被他人盗用投标，因此带来的结果均由供应商自行承担。</w:t>
      </w:r>
      <w:r/>
    </w:p>
    <w:p>
      <w:pPr>
        <w:ind w:firstLine="472"/>
        <w:spacing w:line="360" w:lineRule="auto"/>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color w:val="auto"/>
          <w:sz w:val="24"/>
        </w:rPr>
        <w:t xml:space="preserve">（3）投标人应凭CA数字证书以及自备的能够登录“苏采云”系统的笔记本电脑，在达到开标时间</w:t>
      </w:r>
      <w:r>
        <w:rPr>
          <w:rFonts w:hint="eastAsia" w:ascii="仿宋_GB2312" w:hAnsi="仿宋_GB2312" w:eastAsia="仿宋_GB2312" w:cs="仿宋_GB2312"/>
          <w:color w:val="auto"/>
          <w:sz w:val="24"/>
          <w:highlight w:val="none"/>
        </w:rPr>
        <w:t xml:space="preserve">后，使用CA数字证书解密各自投标文件。因此带来的结果均由供应商自行承担。</w:t>
      </w:r>
      <w:r>
        <w:rPr>
          <w:rFonts w:hint="eastAsia" w:ascii="仿宋_GB2312" w:hAnsi="仿宋_GB2312" w:eastAsia="仿宋_GB2312" w:cs="仿宋_GB2312"/>
          <w:b/>
          <w:bCs/>
          <w:color w:val="auto"/>
          <w:sz w:val="24"/>
          <w:highlight w:val="none"/>
        </w:rPr>
        <w:t xml:space="preserve">本项目开标时间为：</w:t>
      </w:r>
      <w:r>
        <w:rPr>
          <w:rFonts w:hint="eastAsia" w:ascii="仿宋_GB2312" w:hAnsi="仿宋_GB2312" w:eastAsia="仿宋_GB2312" w:cs="仿宋_GB2312"/>
          <w:b/>
          <w:bCs/>
          <w:color w:val="auto"/>
          <w:sz w:val="24"/>
          <w:highlight w:val="none"/>
          <w:lang w:eastAsia="zh-CN"/>
        </w:rPr>
        <w:t xml:space="preserve">202</w:t>
      </w:r>
      <w:r>
        <w:rPr>
          <w:rFonts w:hint="eastAsia" w:ascii="仿宋_GB2312" w:hAnsi="仿宋_GB2312" w:eastAsia="仿宋_GB2312" w:cs="仿宋_GB2312"/>
          <w:b/>
          <w:bCs/>
          <w:color w:val="auto"/>
          <w:sz w:val="24"/>
          <w:highlight w:val="none"/>
          <w:lang w:val="en-US" w:eastAsia="zh-CN"/>
        </w:rPr>
        <w:t xml:space="preserve">6</w:t>
      </w:r>
      <w:r>
        <w:rPr>
          <w:rFonts w:hint="eastAsia" w:ascii="仿宋_GB2312" w:hAnsi="仿宋_GB2312" w:eastAsia="仿宋_GB2312" w:cs="仿宋_GB2312"/>
          <w:b/>
          <w:bCs/>
          <w:color w:val="auto"/>
          <w:sz w:val="24"/>
          <w:highlight w:val="none"/>
          <w:lang w:eastAsia="zh-CN"/>
        </w:rPr>
        <w:t xml:space="preserve">年</w:t>
      </w:r>
      <w:bookmarkStart w:id="2" w:name="OLE_LINK2"/>
      <w:r>
        <w:rPr>
          <w:rFonts w:hint="eastAsia" w:ascii="仿宋_GB2312" w:hAnsi="仿宋_GB2312" w:eastAsia="仿宋_GB2312" w:cs="仿宋_GB2312"/>
          <w:b/>
          <w:bCs/>
          <w:color w:val="auto"/>
          <w:sz w:val="24"/>
          <w:highlight w:val="none"/>
          <w:lang w:val="en-US" w:eastAsia="zh-CN"/>
        </w:rPr>
        <w:t xml:space="preserve">08</w:t>
      </w:r>
      <w:r>
        <w:rPr>
          <w:rFonts w:hint="eastAsia" w:ascii="仿宋_GB2312" w:hAnsi="仿宋_GB2312" w:eastAsia="仿宋_GB2312" w:cs="仿宋_GB2312"/>
          <w:b/>
          <w:bCs/>
          <w:color w:val="auto"/>
          <w:sz w:val="24"/>
          <w:highlight w:val="none"/>
          <w:lang w:eastAsia="zh-CN"/>
        </w:rPr>
        <w:t xml:space="preserve">月</w:t>
      </w:r>
      <w:r>
        <w:rPr>
          <w:rFonts w:hint="eastAsia" w:ascii="仿宋_GB2312" w:hAnsi="仿宋_GB2312" w:eastAsia="仿宋_GB2312" w:cs="仿宋_GB2312"/>
          <w:b/>
          <w:bCs/>
          <w:color w:val="auto"/>
          <w:sz w:val="24"/>
          <w:highlight w:val="none"/>
          <w:lang w:val="en-US" w:eastAsia="zh-CN"/>
        </w:rPr>
        <w:t xml:space="preserve">10</w:t>
      </w:r>
      <w:r>
        <w:rPr>
          <w:rFonts w:hint="eastAsia" w:ascii="仿宋_GB2312" w:hAnsi="仿宋_GB2312" w:eastAsia="仿宋_GB2312" w:cs="仿宋_GB2312"/>
          <w:b/>
          <w:bCs/>
          <w:color w:val="auto"/>
          <w:sz w:val="24"/>
          <w:highlight w:val="none"/>
          <w:lang w:eastAsia="zh-CN"/>
        </w:rPr>
        <w:t xml:space="preserve">日</w:t>
      </w:r>
      <w:bookmarkEnd w:id="2"/>
      <w:r>
        <w:rPr>
          <w:rFonts w:hint="eastAsia" w:ascii="仿宋_GB2312" w:hAnsi="仿宋_GB2312" w:eastAsia="仿宋_GB2312" w:cs="仿宋_GB2312"/>
          <w:b/>
          <w:bCs/>
          <w:color w:val="auto"/>
          <w:sz w:val="24"/>
          <w:highlight w:val="none"/>
        </w:rPr>
        <w:t xml:space="preserve">北京时间上午09：30分。 </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（4）供应商应当对《磋商文件》提出的要求和条件作出实质性响应，并在电子投标系统逐条应答。</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（5）供应商应对要求提供的资格证明文件（如资质证书、资格证书）、技术资料（如白皮书、彩页、手册、检测报告等）原件扫描上传。</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3、获取竞争性磋商文件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（1）潜在供应商访问电子招标投标交易平台的网络地址和方法：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①登录 http://jszfcg.jsczt.cn/ ，或进入徐州政府采购网--业务工作--用户登录，点击“苏采云”进入系统。</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"http://218.3.177.171:8088/Home/HomeDetails?type=13&amp;articleid=48474397-614b-4e09-ba87-56241d82e743" \t "http://218.3.177.171:8088/Home/_blank" \o "“苏采云”系统政务CA办理材料、操作手册及控件下载"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sz w:val="24"/>
        </w:rPr>
        <w:t xml:space="preserve">“苏采云”系统政务CA办理材料、操作手册及控件下载</w:t>
      </w:r>
      <w:r>
        <w:rPr>
          <w:rFonts w:hint="eastAsia" w:ascii="仿宋_GB2312" w:hAnsi="仿宋_GB2312" w:eastAsia="仿宋_GB2312" w:cs="仿宋_GB2312"/>
          <w:color w:val="auto"/>
          <w:sz w:val="24"/>
        </w:rPr>
        <w:fldChar w:fldCharType="end"/>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（2）采购代理机构将数据电文形式的采购文件加载至电子招标投标交易平台，供潜在供应商下载或者查阅。</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（3）售价：免费。</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（4）技术支持</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如有疑问，请联系客服人员。（工作时间：法定工作日9:00-17:00）</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进入政府采购交易系统，遇到任何问题，请联系</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电话：0516-67669051 、0516-67669158</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附：</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 江苏省政府采购管理交易系统（苏采云）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4、有下列情形之一的，其投标无效：</w:t>
      </w:r>
      <w:r/>
    </w:p>
    <w:p>
      <w:pPr>
        <w:ind w:left="0" w:firstLine="480"/>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w:t>
      </w:r>
      <w:r>
        <w:rPr>
          <w:rFonts w:hint="eastAsia" w:ascii="仿宋_GB2312" w:hAnsi="仿宋_GB2312" w:eastAsia="仿宋_GB2312" w:cs="仿宋_GB2312"/>
          <w:color w:val="auto"/>
          <w:sz w:val="24"/>
          <w:lang w:val="en-US" w:eastAsia="zh-CN"/>
        </w:rPr>
        <w:t xml:space="preserve">1</w:t>
      </w:r>
      <w:r>
        <w:rPr>
          <w:rFonts w:hint="eastAsia" w:ascii="仿宋_GB2312" w:hAnsi="仿宋_GB2312" w:eastAsia="仿宋_GB2312" w:cs="仿宋_GB2312"/>
          <w:color w:val="auto"/>
          <w:sz w:val="24"/>
        </w:rPr>
        <w:t xml:space="preserve">)电子响应文件未按规定期限投标的；</w:t>
      </w:r>
      <w:r/>
    </w:p>
    <w:p>
      <w:pPr>
        <w:ind w:left="0" w:firstLine="480"/>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(2)电子响应文件未按磋商文件要求签章的； </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(3)供应商未在规定时间内解密电子响应文件的；</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(4)不同供应商响应文件内容存在非正常一致、项目组成员出现同一人、响应文件中错误（或异常）一致或雷同、电子文档信息一致或雷同的、报价呈规律性差异的。</w:t>
      </w:r>
      <w:r/>
    </w:p>
    <w:p>
      <w:pPr>
        <w:pStyle w:val="83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第二部分 响应文件的组成</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（一）《承诺书》（加盖</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（二）《磋商报价表》（加盖</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（三）其他文件，包括：</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rPr>
        <w:t xml:space="preserve">1、供应商的资格证明文件（必须提供，否则投标将被拒绝）</w:t>
      </w:r>
      <w:r/>
    </w:p>
    <w:p>
      <w:pPr>
        <w:ind w:firstLine="472"/>
        <w:spacing w:line="360" w:lineRule="auto"/>
        <w:rPr>
          <w:rFonts w:hint="eastAsia" w:ascii="仿宋_GB2312" w:hAnsi="仿宋_GB2312" w:eastAsia="仿宋_GB2312" w:cs="仿宋_GB2312"/>
          <w:b w:val="0"/>
          <w:bCs w:val="0"/>
          <w:color w:val="auto"/>
          <w:sz w:val="24"/>
        </w:rPr>
      </w:pPr>
      <w:r/>
      <w:bookmarkStart w:id="3" w:name="OLE_LINK7"/>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1</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具有独立承担民事责任的能力，提供投标人合法有效的法人的营业执照或其他组织应提供合法证明文件的原件扫描件(加盖电子签章)。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2</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财务状况报告，至少提供：即提供投标人的本项目开标时间前6个月内任何1月（不含开标当月）的资产负债表原件的扫描件1份；投标人的本项目开标时间前6个月内任何1月（不含开标当月）利润表月报表原件的扫描件1份(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3</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4</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具备履行合同所必需的设备和专业技术能力的证明材料提供具备履行合同所必需的设备和专业技术能力的书面声明（加盖电子签章，格式见《磋商文件》附件）；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5</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投标人参加政府采购活动前3年内在经营活动中没有重大违法记录的书面声明（加盖电子签章，格式见《磋商文件》附件）。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6</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此项目属于专门面向中小微企业采购的项目，供应商应为中小微企业、监狱企业、残疾人福利性单位。提供《中小企业声明函》（必须提供，填写完整，加盖电子签章，如不填写完整，视为无效，格式见《磋商文件》附件）。</w:t>
      </w:r>
      <w:bookmarkEnd w:id="3"/>
      <w:r/>
      <w:r/>
    </w:p>
    <w:p>
      <w:pPr>
        <w:ind w:firstLine="472"/>
        <w:spacing w:line="360" w:lineRule="auto"/>
        <w:rPr>
          <w:rFonts w:hint="eastAsia" w:ascii="仿宋_GB2312" w:hAnsi="仿宋_GB2312" w:eastAsia="仿宋_GB2312" w:cs="仿宋_GB2312"/>
          <w:b w:val="0"/>
          <w:bCs w:val="0"/>
          <w:color w:val="auto"/>
          <w:sz w:val="24"/>
          <w:highlight w:val="none"/>
          <w:lang w:val="en-US" w:eastAsia="zh-CN"/>
        </w:rPr>
      </w:pP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lang w:val="en-US" w:eastAsia="zh-CN"/>
        </w:rPr>
        <w:t xml:space="preserve">7</w:t>
      </w:r>
      <w:r>
        <w:rPr>
          <w:rFonts w:hint="eastAsia" w:ascii="仿宋_GB2312" w:hAnsi="仿宋_GB2312" w:eastAsia="仿宋_GB2312" w:cs="仿宋_GB2312"/>
          <w:b w:val="0"/>
          <w:bCs w:val="0"/>
          <w:color w:val="auto"/>
          <w:sz w:val="24"/>
          <w:highlight w:val="none"/>
        </w:rPr>
        <w:t xml:space="preserve">）</w:t>
      </w:r>
      <w:r>
        <w:rPr>
          <w:rFonts w:hint="eastAsia" w:ascii="仿宋_GB2312" w:hAnsi="仿宋_GB2312" w:eastAsia="仿宋_GB2312" w:cs="仿宋_GB2312"/>
          <w:b w:val="0"/>
          <w:bCs w:val="0"/>
          <w:color w:val="auto"/>
          <w:sz w:val="24"/>
          <w:highlight w:val="none"/>
          <w:shd w:val="clear" w:color="auto" w:fill="auto"/>
        </w:rPr>
        <w:t xml:space="preserve">投标人须具有测绘行政主管部门颁发的</w:t>
      </w:r>
      <w:r>
        <w:rPr>
          <w:rFonts w:hint="eastAsia" w:ascii="仿宋_GB2312" w:hAnsi="仿宋_GB2312" w:eastAsia="仿宋_GB2312" w:cs="仿宋_GB2312"/>
          <w:color w:val="auto"/>
          <w:sz w:val="24"/>
          <w:highlight w:val="none"/>
          <w:lang w:val="en-US" w:eastAsia="zh-CN"/>
        </w:rPr>
        <w:t xml:space="preserve">乙级及以上测绘资质证书（</w:t>
      </w:r>
      <w:r>
        <w:rPr>
          <w:rFonts w:hint="eastAsia" w:ascii="仿宋_GB2312" w:hAnsi="仿宋_GB2312" w:eastAsia="仿宋_GB2312" w:cs="仿宋_GB2312"/>
          <w:color w:val="auto"/>
          <w:sz w:val="24"/>
          <w:szCs w:val="24"/>
          <w:highlight w:val="none"/>
          <w:lang w:val="en-US" w:eastAsia="zh-CN" w:bidi="ar"/>
        </w:rPr>
        <w:t xml:space="preserve">专业范围同时包括地理信息系统工程和</w:t>
      </w:r>
      <w:r>
        <w:rPr>
          <w:rFonts w:hint="eastAsia" w:ascii="仿宋_GB2312" w:hAnsi="仿宋_GB2312" w:eastAsia="仿宋_GB2312" w:cs="仿宋_GB2312"/>
          <w:color w:val="auto"/>
          <w:sz w:val="24"/>
          <w:highlight w:val="none"/>
          <w:lang w:val="en-US" w:eastAsia="zh-CN"/>
        </w:rPr>
        <w:t xml:space="preserve">界线与不动产测绘</w:t>
      </w:r>
      <w:r>
        <w:rPr>
          <w:rFonts w:hint="eastAsia" w:ascii="仿宋_GB2312" w:hAnsi="仿宋_GB2312" w:eastAsia="仿宋_GB2312" w:cs="仿宋_GB2312"/>
          <w:color w:val="auto"/>
          <w:sz w:val="24"/>
          <w:szCs w:val="24"/>
          <w:highlight w:val="none"/>
          <w:lang w:val="en-US" w:eastAsia="zh-CN" w:bidi="ar"/>
        </w:rPr>
        <w:t xml:space="preserve">）。</w:t>
      </w:r>
      <w:r>
        <w:rPr>
          <w:rFonts w:hint="eastAsia" w:ascii="仿宋_GB2312" w:hAnsi="仿宋_GB2312" w:eastAsia="仿宋_GB2312" w:cs="仿宋_GB2312"/>
          <w:b w:val="0"/>
          <w:bCs w:val="0"/>
          <w:color w:val="auto"/>
          <w:sz w:val="24"/>
          <w:highlight w:val="none"/>
          <w:lang w:val="en-US" w:eastAsia="zh-CN"/>
        </w:rPr>
        <w:t xml:space="preserve">（原件扫描上传</w:t>
      </w:r>
      <w:r>
        <w:rPr>
          <w:rFonts w:hint="eastAsia" w:ascii="仿宋_GB2312" w:hAnsi="仿宋_GB2312" w:eastAsia="仿宋_GB2312" w:cs="仿宋_GB2312"/>
          <w:b w:val="0"/>
          <w:bCs w:val="0"/>
          <w:color w:val="auto"/>
          <w:sz w:val="24"/>
          <w:highlight w:val="none"/>
        </w:rPr>
        <w:t xml:space="preserve">并加盖电子签章</w:t>
      </w:r>
      <w:r>
        <w:rPr>
          <w:rFonts w:hint="eastAsia" w:ascii="仿宋_GB2312" w:hAnsi="仿宋_GB2312" w:eastAsia="仿宋_GB2312" w:cs="仿宋_GB2312"/>
          <w:b w:val="0"/>
          <w:bCs w:val="0"/>
          <w:color w:val="auto"/>
          <w:sz w:val="24"/>
          <w:highlight w:val="none"/>
          <w:lang w:val="en-US" w:eastAsia="zh-CN"/>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2、授权委托书</w:t>
      </w:r>
      <w:r>
        <w:rPr>
          <w:rFonts w:hint="eastAsia" w:ascii="仿宋_GB2312" w:hAnsi="仿宋_GB2312" w:eastAsia="仿宋_GB2312" w:cs="仿宋_GB2312"/>
          <w:color w:val="auto"/>
          <w:sz w:val="24"/>
        </w:rPr>
        <w:t xml:space="preserve">（原件扫描上传并加盖电子签章，格式见《磋商文件》附件）；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3、偏离表</w:t>
      </w:r>
      <w:r>
        <w:rPr>
          <w:rFonts w:hint="eastAsia" w:ascii="仿宋_GB2312" w:hAnsi="仿宋_GB2312" w:eastAsia="仿宋_GB2312" w:cs="仿宋_GB2312"/>
          <w:color w:val="auto"/>
          <w:sz w:val="24"/>
        </w:rPr>
        <w:t xml:space="preserve">（上传并加盖电子签章，格式见《磋商文件》附件）；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4、投标所要求的其他证明材料等（如有）</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5、供应商为监狱企业的，提供省级以上监狱管理局、戒毒管理局（含新疆生产建设兵团）出具的属于监狱企业的证明文件原件扫描上传并加盖电子签章。</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注：具体以《财政部司法部关于政府采购支持监狱企业发展有关问题的通知》（财库〔2014〕68号）的规定为准(非必须提供）。</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6、供应商如为中小企业（含中型、小型、微型企业，下同）的，需提供《中小企业声明函》（上传并加盖电子签章，填写完整。格式见《磋商文件》附件）。《中小企业声明函》查询渠道参考工业和信息化部发布的中小企业规模自测小程序。</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注：中小微企业，应当符合以下条件：</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投标人为残疾人福利性单位的，视同小微企业，提供《残疾人福利性单位声明函》（原件扫描并加盖电子签章，格式见《磋商文件》附件）。具体以《关于促进残疾人就业政府采购政策的通知》（财库〔2017〕141号）的规定为准。</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投标人为监狱企业的，视同小微企业，提供省级以上监狱管理局、戒毒管理局（含新疆生产建设兵团）出具的属于监狱企业的证明文件原件扫描上传并加盖电子签章。具体以《财政部 司法部关于政府采购支持监狱企业发展有关问题的通知》（财库〔2014〕68号）的规定为准。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7、供应商为享受政府采购支持政策的残疾人福利性单位的，提供《残疾人福利性单位声明函》（上传并加盖电子签章，格式见《磋商文件》附件，非必须提供）。</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享受政府采购支持政策的残疾人福利性单位应当同时满足以下条件：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（一）安置的残疾人占本单位在职职工人数的比例不低于25%（含25%），并且安置的残疾人人数不少于10人（含10人）；</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（二）依法与安置的每位残疾人签订了一年以上（含一年）的劳动合同或服务协议；</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（三）为安置的每位残疾人按月足额缴纳了基本养老保险、基本医疗保险、失业保险、工伤保险和生育保险等社会保险费；</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（四）通过银行等金融机构向安置的每位残疾人，按月支付了不低于单位所在区县适用的经省级人民政府批准的月最低工资标准的工资；</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（五）提供本单位制造的货物、承担的工程或者服务（以下简称产品），或者提供其他残疾人福利性单位制造的货物（不包括使用非残疾人福利性单位注册商标的货物）。</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具体以《三部门联合发布关于促进残疾人就业政府采购政策的通知》（财库〔2017〕141号）规定为准。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8、“环境标志产品” 有关证明材料（如有）。</w:t>
      </w:r>
      <w:r/>
    </w:p>
    <w:p>
      <w:pPr>
        <w:ind w:firstLine="708"/>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所选用的产品列入中华人民共和国财政部、中华人民共和国环境保护部发布的“环境标志产品政府采购清单”，且在有效时间内（即“首次响应文件开启时间”当天在“认证证书有效截止日期”内）的，提供环境标志产品” 有关证明材料原件扫描上传并加盖电子签章。</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9、“节能产品” 有关证明材料（如有）。</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所选用的产品列入中华人民共和国财政部、中华人民共和国国家发展和改革委员会发布的“节能产品政府采购清单”，且在有效时间内（即首次响应文件开启时间”当天在“认证证书有效截止日期”内）的，提供“节能产品” 有关证明材料原件扫描上传并加盖电子签章。</w:t>
      </w:r>
      <w:r/>
    </w:p>
    <w:p>
      <w:pPr>
        <w:pStyle w:val="83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第四章 磋商相关说明</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十二、评审程序：</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color w:val="auto"/>
          <w:sz w:val="24"/>
        </w:rPr>
        <w:t xml:space="preserve">磋商方式：</w:t>
      </w:r>
      <w:r>
        <w:rPr>
          <w:rFonts w:hint="eastAsia" w:ascii="仿宋" w:hAnsi="仿宋" w:eastAsia="仿宋" w:cs="仿宋"/>
          <w:bCs/>
          <w:color w:val="auto"/>
          <w:sz w:val="24"/>
          <w:szCs w:val="24"/>
          <w:highlight w:val="none"/>
        </w:rPr>
        <w:t xml:space="preserve">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b/>
          <w:color w:val="auto"/>
          <w:sz w:val="24"/>
          <w:szCs w:val="24"/>
          <w:highlight w:val="none"/>
          <w:lang w:eastAsia="zh-CN"/>
        </w:rPr>
        <w:t xml:space="preserve">，磋商结束后，请及时对磋商进行磋商函响应，未响应的视同放弃</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_GB2312" w:hAnsi="仿宋_GB2312" w:eastAsia="仿宋_GB2312" w:cs="仿宋_GB2312"/>
          <w:b/>
          <w:bCs/>
          <w:color w:val="auto"/>
          <w:sz w:val="24"/>
        </w:rPr>
        <w:t xml:space="preserve">本项目报价采用二轮报价，投标人应凭CA数字证书以及自备的能够登录“苏采云”系统的电脑在规定时间内进行二轮报价，如未报价，视为响应无效，将不参与后续评标。</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注：评审过程中出现下列情形之一的，评审委员会应当启动异常低价投标（响应）审查程序：</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①投标（响应）报价低于采购项目预算50%的，即投标（响应）报价&lt;采购项目预算×50%；</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②投标（响应）报价低于最高限价45%的，即投标（响应）报价&lt;采购项目预算×45%；</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③评审委员会认定的供应商报价过低、有可能影响产品质量或者不能诚信履约的其他情形。</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十三、评审方法和评审标准：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1、评审方法：综合评分法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十四、磋商过程中可能实质性变动的内容：</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在磋商过程中，磋商小组可以根据《磋商文件》和磋商情况实质性变动采购需求中的技术、服务要求以及合同草案条款。</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十五、</w:t>
      </w:r>
      <w:r>
        <w:rPr>
          <w:rFonts w:hint="eastAsia" w:ascii="仿宋_GB2312" w:hAnsi="仿宋_GB2312" w:eastAsia="仿宋_GB2312" w:cs="仿宋_GB2312"/>
          <w:color w:val="auto"/>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6"/>
        <w:rPr>
          <w:rFonts w:hint="eastAsia" w:ascii="仿宋_GB2312" w:hAnsi="仿宋_GB2312" w:eastAsia="仿宋_GB2312" w:cs="仿宋_GB2312"/>
          <w:bCs w:val="0"/>
          <w:color w:val="auto"/>
          <w:sz w:val="24"/>
          <w:szCs w:val="24"/>
        </w:rPr>
      </w:pPr>
      <w:r>
        <w:rPr>
          <w:rFonts w:hint="eastAsia" w:ascii="仿宋_GB2312" w:hAnsi="仿宋_GB2312" w:eastAsia="仿宋_GB2312" w:cs="仿宋_GB2312"/>
          <w:color w:val="auto"/>
          <w:sz w:val="24"/>
          <w:szCs w:val="24"/>
        </w:rPr>
        <w:t xml:space="preserve">第五章 确定成交供应商及合同签订等</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十六、成交结果确认：</w:t>
      </w:r>
      <w:r/>
    </w:p>
    <w:p>
      <w:pPr>
        <w:ind w:firstLine="472"/>
        <w:spacing w:line="360" w:lineRule="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仿宋_GB2312" w:hAnsi="仿宋_GB2312" w:eastAsia="仿宋_GB2312" w:cs="仿宋_GB2312"/>
          <w:bCs/>
          <w:color w:val="auto"/>
          <w:sz w:val="24"/>
        </w:rPr>
      </w:pPr>
      <w:r>
        <w:rPr>
          <w:rFonts w:hint="eastAsia" w:ascii="仿宋_GB2312" w:hAnsi="仿宋_GB2312" w:eastAsia="仿宋_GB2312" w:cs="仿宋_GB2312"/>
          <w:b/>
          <w:color w:val="auto"/>
          <w:sz w:val="24"/>
        </w:rPr>
        <w:t xml:space="preserve">十七、</w:t>
      </w:r>
      <w:r>
        <w:rPr>
          <w:rFonts w:hint="eastAsia" w:ascii="仿宋_GB2312" w:hAnsi="仿宋_GB2312" w:eastAsia="仿宋_GB2312" w:cs="仿宋_GB2312"/>
          <w:bCs/>
          <w:color w:val="auto"/>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72"/>
        <w:spacing w:line="360" w:lineRule="auto"/>
        <w:rPr>
          <w:rFonts w:hint="eastAsia" w:ascii="仿宋_GB2312" w:hAnsi="仿宋_GB2312" w:eastAsia="仿宋_GB2312" w:cs="仿宋_GB2312"/>
          <w:bCs/>
          <w:color w:val="auto"/>
          <w:sz w:val="24"/>
        </w:rPr>
      </w:pPr>
      <w:r>
        <w:rPr>
          <w:rFonts w:hint="eastAsia" w:ascii="仿宋_GB2312" w:hAnsi="仿宋_GB2312" w:eastAsia="仿宋_GB2312" w:cs="仿宋_GB2312"/>
          <w:b/>
          <w:color w:val="auto"/>
          <w:sz w:val="24"/>
        </w:rPr>
        <w:t xml:space="preserve">十八、</w:t>
      </w:r>
      <w:r>
        <w:rPr>
          <w:rFonts w:hint="eastAsia" w:ascii="仿宋_GB2312" w:hAnsi="仿宋_GB2312" w:eastAsia="仿宋_GB2312" w:cs="仿宋_GB2312"/>
          <w:bCs/>
          <w:color w:val="auto"/>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十九、成交结果公告</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自在采购结果确认后，采购代理机构将在法定网站发布成交公告，将采购结果告知采购当事人，成交结果在</w:t>
      </w:r>
      <w:r>
        <w:rPr>
          <w:rFonts w:hint="eastAsia" w:ascii="仿宋_GB2312" w:hAnsi="仿宋_GB2312" w:eastAsia="仿宋_GB2312" w:cs="仿宋_GB2312"/>
          <w:b/>
          <w:color w:val="auto"/>
          <w:sz w:val="24"/>
        </w:rPr>
        <w:t xml:space="preserve">徐州政府采购网https://czj.xz.gov.cn/zfcg/index.html</w:t>
      </w:r>
      <w:r>
        <w:rPr>
          <w:rFonts w:hint="eastAsia" w:ascii="仿宋_GB2312" w:hAnsi="仿宋_GB2312" w:eastAsia="仿宋_GB2312" w:cs="仿宋_GB2312"/>
          <w:color w:val="auto"/>
          <w:sz w:val="24"/>
        </w:rPr>
        <w:t xml:space="preserve">上公布。</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采购人：</w:t>
      </w:r>
      <w:r>
        <w:rPr>
          <w:rFonts w:hint="eastAsia" w:ascii="仿宋_GB2312" w:hAnsi="仿宋_GB2312" w:eastAsia="仿宋_GB2312" w:cs="仿宋_GB2312"/>
          <w:color w:val="auto"/>
          <w:sz w:val="24"/>
          <w:lang w:eastAsia="zh-CN"/>
        </w:rPr>
        <w:t xml:space="preserve">徐州市新沂生态环境局</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联系人：</w:t>
      </w:r>
      <w:r>
        <w:rPr>
          <w:rFonts w:ascii="仿宋" w:hAnsi="仿宋" w:eastAsia="仿宋" w:cs="仿宋"/>
          <w:i w:val="0"/>
          <w:caps w:val="0"/>
          <w:color w:val="auto"/>
          <w:spacing w:val="0"/>
          <w:sz w:val="24"/>
          <w:szCs w:val="24"/>
          <w:shd w:val="clear" w:color="auto" w:fill="ffffff"/>
        </w:rPr>
        <w:t xml:space="preserve">王可</w:t>
      </w:r>
      <w:r/>
    </w:p>
    <w:p>
      <w:pPr>
        <w:ind w:firstLine="472"/>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 xml:space="preserve">联系电话：</w:t>
      </w:r>
      <w:r>
        <w:rPr>
          <w:rFonts w:ascii="仿宋" w:hAnsi="仿宋" w:eastAsia="仿宋" w:cs="仿宋"/>
          <w:i w:val="0"/>
          <w:caps w:val="0"/>
          <w:color w:val="auto"/>
          <w:spacing w:val="0"/>
          <w:sz w:val="24"/>
          <w:szCs w:val="24"/>
          <w:shd w:val="clear" w:color="auto" w:fill="ffffff"/>
        </w:rPr>
        <w:t xml:space="preserve">15852291330</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采购代理公司：江苏天元房地产评估造价集团有限公司</w:t>
      </w:r>
      <w:r/>
    </w:p>
    <w:p>
      <w:pPr>
        <w:ind w:firstLine="472"/>
        <w:spacing w:line="360" w:lineRule="auto"/>
        <w:rPr>
          <w:rFonts w:hint="eastAsia" w:ascii="仿宋_GB2312" w:hAnsi="仿宋_GB2312" w:eastAsia="仿宋_GB2312" w:cs="仿宋_GB2312"/>
          <w:color w:val="auto"/>
          <w:sz w:val="24"/>
          <w:lang w:val="en-US" w:eastAsia="zh-CN"/>
        </w:rPr>
      </w:pPr>
      <w:r/>
      <w:bookmarkStart w:id="4" w:name="OLE_LINK3"/>
      <w:r>
        <w:rPr>
          <w:rFonts w:hint="eastAsia" w:ascii="仿宋_GB2312" w:hAnsi="仿宋_GB2312" w:eastAsia="仿宋_GB2312" w:cs="仿宋_GB2312"/>
          <w:color w:val="auto"/>
          <w:sz w:val="24"/>
          <w:lang w:eastAsia="zh-CN"/>
        </w:rPr>
        <w:t xml:space="preserve">联系人：</w:t>
      </w:r>
      <w:bookmarkStart w:id="5" w:name="OLE_LINK4"/>
      <w:r>
        <w:rPr>
          <w:rFonts w:hint="eastAsia" w:ascii="仿宋_GB2312" w:hAnsi="仿宋_GB2312" w:eastAsia="仿宋_GB2312" w:cs="仿宋_GB2312"/>
          <w:color w:val="auto"/>
          <w:sz w:val="24"/>
          <w:lang w:val="en-US" w:eastAsia="zh-CN"/>
        </w:rPr>
        <w:t xml:space="preserve">张楚涵</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电  话：</w:t>
      </w:r>
      <w:bookmarkEnd w:id="4"/>
      <w:r>
        <w:rPr>
          <w:rFonts w:hint="eastAsia" w:ascii="仿宋_GB2312" w:hAnsi="仿宋_GB2312" w:eastAsia="仿宋_GB2312" w:cs="仿宋_GB2312"/>
          <w:color w:val="auto"/>
          <w:sz w:val="24"/>
          <w:lang w:val="en-US" w:eastAsia="zh-CN"/>
        </w:rPr>
        <w:t xml:space="preserve">18020559535</w:t>
      </w:r>
      <w:bookmarkEnd w:id="5"/>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联系地址：</w:t>
      </w:r>
      <w:r>
        <w:rPr>
          <w:rFonts w:hint="eastAsia" w:ascii="仿宋_GB2312" w:hAnsi="仿宋_GB2312" w:eastAsia="仿宋_GB2312" w:cs="仿宋_GB2312"/>
          <w:color w:val="auto"/>
          <w:sz w:val="24"/>
          <w:lang w:val="en-US" w:eastAsia="zh-CN"/>
        </w:rPr>
        <w:t xml:space="preserve">新沂市公园路天元咨询</w:t>
      </w:r>
      <w:r/>
    </w:p>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br w:type="page" w:clear="all"/>
      </w:r>
      <w:r/>
    </w:p>
    <w:p>
      <w:pPr>
        <w:pStyle w:val="836"/>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第六章 磋商文件的澄清或者修改</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二十、《磋商文件》的澄清或者修改：</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3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第七章 询问和质疑</w:t>
      </w:r>
      <w:r/>
    </w:p>
    <w:p>
      <w:pPr>
        <w:ind w:firstLine="472"/>
        <w:spacing w:line="360" w:lineRule="auto"/>
        <w:widowControl/>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二十一、询问和质疑：</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 xml:space="preserve">质疑接收人：</w:t>
      </w:r>
      <w:r>
        <w:rPr>
          <w:rFonts w:hint="eastAsia" w:ascii="仿宋_GB2312" w:hAnsi="仿宋_GB2312" w:eastAsia="仿宋_GB2312" w:cs="仿宋_GB2312"/>
          <w:color w:val="auto"/>
          <w:sz w:val="24"/>
          <w:lang w:val="en-US" w:eastAsia="zh-CN"/>
        </w:rPr>
        <w:t xml:space="preserve">张楚涵</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电  话：</w:t>
      </w:r>
      <w:r>
        <w:rPr>
          <w:rFonts w:hint="eastAsia" w:ascii="仿宋_GB2312" w:hAnsi="仿宋_GB2312" w:eastAsia="仿宋_GB2312" w:cs="仿宋_GB2312"/>
          <w:color w:val="auto"/>
          <w:sz w:val="24"/>
          <w:lang w:val="en-US" w:eastAsia="zh-CN"/>
        </w:rPr>
        <w:t xml:space="preserve">18020559535</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地址：</w:t>
      </w:r>
      <w:r>
        <w:rPr>
          <w:rFonts w:hint="eastAsia" w:ascii="仿宋_GB2312" w:hAnsi="仿宋_GB2312" w:eastAsia="仿宋_GB2312" w:cs="仿宋_GB2312"/>
          <w:color w:val="auto"/>
          <w:sz w:val="24"/>
          <w:lang w:val="en-US" w:eastAsia="zh-CN"/>
        </w:rPr>
        <w:t xml:space="preserve">新沂市公园路天元咨询</w:t>
      </w:r>
      <w:r/>
    </w:p>
    <w:p>
      <w:pPr>
        <w:pStyle w:val="836"/>
        <w:numPr>
          <w:ilvl w:val="0"/>
          <w:numId w:val="1"/>
        </w:num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br w:type="page" w:clear="all"/>
      </w:r>
      <w:r>
        <w:rPr>
          <w:rFonts w:hint="eastAsia" w:ascii="仿宋_GB2312" w:hAnsi="仿宋_GB2312" w:eastAsia="仿宋_GB2312" w:cs="仿宋_GB2312"/>
          <w:color w:val="auto"/>
          <w:sz w:val="24"/>
          <w:szCs w:val="24"/>
        </w:rPr>
        <w:t xml:space="preserve">附  件</w:t>
      </w:r>
      <w:r/>
    </w:p>
    <w:p>
      <w:pPr>
        <w:ind w:firstLine="472"/>
        <w:spacing w:line="360" w:lineRule="auto"/>
        <w:widowControl/>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二十二、附件：附后</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1、《评分细则》</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2、《采购需求》</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3、《磋商报价表》</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4、《偏离表》</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5、《承诺书》</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6、《法人授权委托书》</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7、《供应商参加政府采购活动前3年内在经营活动中没有重大违法记录的书面声明》</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8、《中小企业声明函》</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9、《残疾人福利性单位声明函》</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10、《方案》</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11、《合同草案条款》</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12、《具备履行合同所必需的设备和专业技术能力的书面声明》</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13、《招标代理服务收费标准》</w:t>
      </w:r>
      <w:r/>
    </w:p>
    <w:p>
      <w:pPr>
        <w:pStyle w:val="100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br w:type="page" w:clear="all"/>
      </w:r>
      <w:r/>
    </w:p>
    <w:p>
      <w:pPr>
        <w:ind w:firstLine="480"/>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1、评分细则</w:t>
      </w:r>
      <w:bookmarkStart w:id="6" w:name="第六章__采购需求"/>
      <w:r/>
      <w:bookmarkEnd w:id="6"/>
      <w:r/>
      <w:r/>
    </w:p>
    <w:p>
      <w:pPr>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tbl>
      <w:tblPr>
        <w:tblStyle w:val="750"/>
        <w:tblW w:w="93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275"/>
        <w:gridCol w:w="7052"/>
      </w:tblGrid>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0"/>
              <w:jc w:val="center"/>
              <w:keepLines w:val="0"/>
              <w:keepNext w:val="0"/>
              <w:pageBreakBefore w:val="0"/>
              <w:spacing w:before="93" w:line="240"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项目</w:t>
            </w:r>
            <w:r/>
          </w:p>
        </w:tc>
        <w:tc>
          <w:tcPr>
            <w:gridSpan w:val="2"/>
            <w:tcBorders>
              <w:top w:val="single" w:color="000000" w:sz="4" w:space="0"/>
              <w:left w:val="single" w:color="000000" w:sz="4" w:space="0"/>
              <w:bottom w:val="single" w:color="000000" w:sz="4" w:space="0"/>
              <w:right w:val="single" w:color="000000" w:sz="4" w:space="0"/>
            </w:tcBorders>
            <w:tcW w:w="8327" w:type="dxa"/>
            <w:vAlign w:val="center"/>
            <w:textDirection w:val="lrTb"/>
            <w:noWrap w:val="false"/>
          </w:tcPr>
          <w:p>
            <w:pPr>
              <w:ind w:firstLine="0"/>
              <w:jc w:val="center"/>
              <w:keepLines w:val="0"/>
              <w:keepNext w:val="0"/>
              <w:pageBreakBefore w:val="0"/>
              <w:spacing w:before="93" w:line="240"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评分办法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b/>
                <w:bCs/>
                <w:color w:val="auto"/>
                <w:sz w:val="24"/>
              </w:rPr>
              <w:outlineLvl w:val="9"/>
            </w:pPr>
            <w:r>
              <w:rPr>
                <w:rFonts w:hint="eastAsia" w:ascii="仿宋" w:hAnsi="仿宋" w:eastAsia="仿宋" w:cs="仿宋"/>
                <w:color w:val="auto"/>
                <w:sz w:val="24"/>
              </w:rPr>
              <w:t xml:space="preserve">价格（</w:t>
            </w:r>
            <w:r>
              <w:rPr>
                <w:rFonts w:hint="eastAsia" w:ascii="仿宋" w:hAnsi="仿宋" w:eastAsia="仿宋" w:cs="仿宋"/>
                <w:color w:val="auto"/>
                <w:sz w:val="24"/>
                <w:lang w:val="zh-CN"/>
              </w:rPr>
              <w:t xml:space="preserve">1</w:t>
            </w:r>
            <w:r>
              <w:rPr>
                <w:rFonts w:hint="eastAsia" w:ascii="仿宋" w:hAnsi="仿宋" w:eastAsia="仿宋" w:cs="仿宋"/>
                <w:color w:val="auto"/>
                <w:sz w:val="24"/>
              </w:rPr>
              <w:t xml:space="preserve">0</w:t>
            </w:r>
            <w:r>
              <w:rPr>
                <w:rFonts w:hint="eastAsia" w:ascii="仿宋" w:hAnsi="仿宋" w:eastAsia="仿宋" w:cs="仿宋"/>
                <w:color w:val="auto"/>
                <w:sz w:val="24"/>
                <w:lang w:val="zh-CN"/>
              </w:rPr>
              <w:t xml:space="preserve">分</w:t>
            </w:r>
            <w:r>
              <w:rPr>
                <w:rFonts w:hint="eastAsia" w:ascii="仿宋" w:hAnsi="仿宋" w:eastAsia="仿宋" w:cs="仿宋"/>
                <w:color w:val="auto"/>
                <w:sz w:val="24"/>
              </w:rPr>
              <w:t xml:space="preserve">）</w:t>
            </w:r>
            <w:r/>
          </w:p>
        </w:tc>
        <w:tc>
          <w:tcPr>
            <w:gridSpan w:val="2"/>
            <w:tcBorders>
              <w:top w:val="single" w:color="000000" w:sz="4" w:space="0"/>
              <w:left w:val="single" w:color="000000" w:sz="4" w:space="0"/>
              <w:bottom w:val="single" w:color="000000" w:sz="4" w:space="0"/>
              <w:right w:val="single" w:color="000000" w:sz="4" w:space="0"/>
            </w:tcBorders>
            <w:tcW w:w="8327"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bookmarkStart w:id="7" w:name="OLE_LINK13"/>
            <w:r>
              <w:rPr>
                <w:rFonts w:hint="eastAsia" w:ascii="仿宋" w:hAnsi="仿宋" w:eastAsia="仿宋" w:cs="仿宋"/>
                <w:color w:val="auto"/>
                <w:sz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bookmarkEnd w:id="7"/>
            <w:r/>
            <w:r/>
          </w:p>
        </w:tc>
      </w:tr>
      <w:tr>
        <w:trPr>
          <w:jc w:val="center"/>
          <w:trHeight w:val="1656"/>
        </w:trPr>
        <w:tc>
          <w:tcPr>
            <w:tcBorders>
              <w:top w:val="single" w:color="000000" w:sz="4" w:space="0"/>
              <w:left w:val="single" w:color="000000" w:sz="4" w:space="0"/>
              <w:right w:val="single" w:color="000000" w:sz="4" w:space="0"/>
            </w:tcBorders>
            <w:tcW w:w="988" w:type="dxa"/>
            <w:vAlign w:val="center"/>
            <w:vMerge w:val="restart"/>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lang w:val="en-US" w:eastAsia="zh-CN"/>
              </w:rPr>
              <w:outlineLvl w:val="9"/>
            </w:pPr>
            <w:r>
              <w:rPr>
                <w:rFonts w:hint="eastAsia" w:ascii="仿宋" w:hAnsi="仿宋" w:eastAsia="仿宋" w:cs="仿宋"/>
                <w:color w:val="auto"/>
                <w:sz w:val="24"/>
                <w:lang w:val="en-US" w:eastAsia="zh-CN"/>
              </w:rPr>
              <w:t xml:space="preserve">商务部分（36分）</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auto"/>
                <w:sz w:val="24"/>
                <w:highlight w:val="none"/>
              </w:rPr>
              <w:outlineLvl w:val="9"/>
            </w:pPr>
            <w:r/>
            <w:bookmarkStart w:id="8" w:name="OLE_LINK21"/>
            <w:r>
              <w:rPr>
                <w:rFonts w:hint="eastAsia" w:ascii="仿宋" w:hAnsi="仿宋" w:eastAsia="仿宋" w:cs="仿宋"/>
                <w:color w:val="auto"/>
                <w:sz w:val="24"/>
                <w:highlight w:val="none"/>
              </w:rPr>
              <w:t xml:space="preserve">业绩</w:t>
            </w:r>
            <w:bookmarkEnd w:id="8"/>
            <w:r/>
            <w:r/>
          </w:p>
          <w:p>
            <w:pPr>
              <w:ind w:firstLine="0"/>
              <w:jc w:val="center"/>
              <w:keepLines w:val="0"/>
              <w:keepNext w:val="0"/>
              <w:pageBreakBefore w:val="0"/>
              <w:spacing w:line="24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highlight w:val="none"/>
                <w:lang w:val="en-US" w:eastAsia="zh-CN"/>
              </w:rPr>
              <w:outlineLvl w:val="9"/>
            </w:pPr>
            <w:r/>
            <w:bookmarkStart w:id="9" w:name="OLE_LINK22"/>
            <w:r>
              <w:rPr>
                <w:rFonts w:hint="eastAsia" w:ascii="仿宋" w:hAnsi="仿宋" w:eastAsia="仿宋" w:cs="仿宋"/>
                <w:color w:val="auto"/>
                <w:sz w:val="24"/>
                <w:highlight w:val="none"/>
              </w:rPr>
              <w:t xml:space="preserve">投标人具备大气污染精准排查溯源及整治能力，自202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年0</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月01日以来，投标人承担过类似</w:t>
            </w:r>
            <w:r>
              <w:rPr>
                <w:rFonts w:hint="eastAsia" w:ascii="仿宋" w:hAnsi="仿宋" w:eastAsia="仿宋" w:cs="仿宋"/>
                <w:color w:val="auto"/>
                <w:sz w:val="24"/>
                <w:highlight w:val="none"/>
                <w:lang w:val="en-US" w:eastAsia="zh-CN"/>
              </w:rPr>
              <w:t xml:space="preserve">区域空气环境质量提升服务项目的，每有一项得1分，最高得4分。</w:t>
            </w:r>
            <w:r>
              <w:rPr>
                <w:rFonts w:hint="eastAsia" w:ascii="仿宋" w:hAnsi="仿宋" w:eastAsia="仿宋" w:cs="仿宋"/>
                <w:color w:val="auto"/>
                <w:sz w:val="24"/>
                <w:highlight w:val="none"/>
              </w:rPr>
              <w:t xml:space="preserve">以合同签订时间为准。</w:t>
            </w:r>
            <w:r/>
          </w:p>
          <w:p>
            <w:pPr>
              <w:ind w:firstLine="0"/>
              <w:keepLines w:val="0"/>
              <w:keepNext w:val="0"/>
              <w:pageBreakBefore w:val="0"/>
              <w:spacing w:line="240" w:lineRule="auto"/>
              <w:rPr>
                <w:rFonts w:hint="eastAsia" w:ascii="仿宋" w:hAnsi="仿宋" w:eastAsia="仿宋" w:cs="仿宋"/>
                <w:color w:val="auto"/>
                <w:sz w:val="24"/>
                <w:highlight w:val="none"/>
                <w:lang w:eastAsia="zh-CN"/>
              </w:rPr>
              <w:outlineLvl w:val="9"/>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提供合同原件扫描件</w:t>
            </w:r>
            <w:r>
              <w:rPr>
                <w:rFonts w:hint="eastAsia" w:ascii="仿宋" w:hAnsi="仿宋" w:eastAsia="仿宋" w:cs="仿宋"/>
                <w:b/>
                <w:bCs/>
                <w:color w:val="auto"/>
                <w:sz w:val="24"/>
                <w:highlight w:val="none"/>
                <w:lang w:val="en-US" w:eastAsia="zh-CN"/>
              </w:rPr>
              <w:t xml:space="preserve">并加盖电子签章</w:t>
            </w:r>
            <w:r>
              <w:rPr>
                <w:rFonts w:hint="eastAsia" w:ascii="仿宋" w:hAnsi="仿宋" w:eastAsia="仿宋" w:cs="仿宋"/>
                <w:b/>
                <w:bCs/>
                <w:color w:val="auto"/>
                <w:sz w:val="24"/>
                <w:highlight w:val="none"/>
              </w:rPr>
              <w:t xml:space="preserve">，未提供或提供不全不得分</w:t>
            </w:r>
            <w:r>
              <w:rPr>
                <w:rFonts w:hint="eastAsia" w:ascii="仿宋" w:hAnsi="仿宋" w:eastAsia="仿宋" w:cs="仿宋"/>
                <w:b/>
                <w:bCs/>
                <w:color w:val="auto"/>
                <w:sz w:val="24"/>
                <w:highlight w:val="none"/>
                <w:lang w:eastAsia="zh-CN"/>
              </w:rPr>
              <w:t xml:space="preserve">。</w:t>
            </w:r>
            <w:bookmarkEnd w:id="9"/>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rPr>
              <w:outlineLvl w:val="9"/>
            </w:pPr>
            <w:r/>
            <w:bookmarkStart w:id="10" w:name="OLE_LINK23"/>
            <w:r>
              <w:rPr>
                <w:rFonts w:hint="eastAsia" w:ascii="仿宋" w:hAnsi="仿宋" w:eastAsia="仿宋" w:cs="仿宋"/>
                <w:color w:val="auto"/>
                <w:sz w:val="24"/>
                <w:lang w:val="en-US" w:eastAsia="zh-CN"/>
              </w:rPr>
              <w:t xml:space="preserve">仪器设备</w:t>
            </w:r>
            <w:bookmarkEnd w:id="10"/>
            <w:r>
              <w:rPr>
                <w:rFonts w:hint="eastAsia" w:ascii="仿宋" w:hAnsi="仿宋" w:eastAsia="仿宋" w:cs="仿宋"/>
                <w:color w:val="auto"/>
                <w:sz w:val="24"/>
              </w:rPr>
              <w:t xml:space="preserve">（21分）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投标人提供的走航监测设备指标全部满足招标文件要求的得18分，带“▲”项每有一项不满足的扣2分，非带“▲”项每有一项不满足的扣1分，扣完为止。</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color w:val="auto"/>
                <w:sz w:val="24"/>
                <w:lang w:val="en-US" w:eastAsia="zh-CN"/>
              </w:rPr>
              <w:t xml:space="preserve">注：</w:t>
            </w:r>
            <w:r>
              <w:rPr>
                <w:rFonts w:hint="eastAsia" w:ascii="仿宋" w:hAnsi="仿宋" w:eastAsia="仿宋" w:cs="仿宋"/>
                <w:b/>
                <w:bCs/>
                <w:color w:val="auto"/>
                <w:sz w:val="24"/>
              </w:rPr>
              <w:t xml:space="preserve">带“▲”参数要求提供相关技术支撑材料，包括权威机构出具的认证证书或第三方检测机构出具的监测报告或相关软件功能截图等，否则不得分。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bookmarkStart w:id="11" w:name="OLE_LINK24"/>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供应商自身具备现场采样或核查能力，拥有VOCs、PM</w:t>
            </w:r>
            <w:r>
              <w:rPr>
                <w:rFonts w:hint="eastAsia" w:ascii="仿宋" w:hAnsi="仿宋" w:eastAsia="仿宋" w:cs="仿宋"/>
                <w:color w:val="auto"/>
                <w:sz w:val="24"/>
                <w:vertAlign w:val="subscript"/>
              </w:rPr>
              <w:t xml:space="preserve">2.5</w:t>
            </w:r>
            <w:r>
              <w:rPr>
                <w:rFonts w:hint="eastAsia" w:ascii="仿宋" w:hAnsi="仿宋" w:eastAsia="仿宋" w:cs="仿宋"/>
                <w:color w:val="auto"/>
                <w:sz w:val="24"/>
              </w:rPr>
              <w:t xml:space="preserve">便携式监测设备，有1套（VOCs和PM</w:t>
            </w:r>
            <w:r>
              <w:rPr>
                <w:rFonts w:hint="eastAsia" w:ascii="仿宋" w:hAnsi="仿宋" w:eastAsia="仿宋" w:cs="仿宋"/>
                <w:color w:val="auto"/>
                <w:sz w:val="24"/>
                <w:vertAlign w:val="subscript"/>
              </w:rPr>
              <w:t xml:space="preserve">2.5</w:t>
            </w:r>
            <w:r>
              <w:rPr>
                <w:rFonts w:hint="eastAsia" w:ascii="仿宋" w:hAnsi="仿宋" w:eastAsia="仿宋" w:cs="仿宋"/>
                <w:color w:val="auto"/>
                <w:sz w:val="24"/>
              </w:rPr>
              <w:t xml:space="preserve">便携式监测设备）得1分，最高得3分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color w:val="auto"/>
                <w:sz w:val="24"/>
              </w:rPr>
              <w:t xml:space="preserve">注：须提供设备购买合同、发票或其他相关证明材料，不提供不得分。</w:t>
            </w:r>
            <w:bookmarkEnd w:id="11"/>
            <w:r/>
            <w:r/>
          </w:p>
        </w:tc>
      </w:tr>
      <w:tr>
        <w:trPr>
          <w:jc w:val="center"/>
          <w:trHeight w:val="3995"/>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bookmarkStart w:id="12" w:name="OLE_LINK25"/>
            <w:r>
              <w:rPr>
                <w:rFonts w:hint="eastAsia" w:ascii="仿宋" w:hAnsi="仿宋" w:eastAsia="仿宋" w:cs="仿宋"/>
                <w:color w:val="auto"/>
                <w:sz w:val="24"/>
              </w:rPr>
              <w:t xml:space="preserve">人员配置</w:t>
            </w:r>
            <w:bookmarkEnd w:id="12"/>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11</w:t>
            </w:r>
            <w:r>
              <w:rPr>
                <w:rFonts w:hint="eastAsia" w:ascii="仿宋" w:hAnsi="仿宋" w:eastAsia="仿宋" w:cs="仿宋"/>
                <w:color w:val="auto"/>
                <w:sz w:val="24"/>
              </w:rPr>
              <w:t xml:space="preserve">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bookmarkStart w:id="13" w:name="OLE_LINK26"/>
            <w:r>
              <w:rPr>
                <w:rFonts w:hint="eastAsia" w:ascii="仿宋" w:hAnsi="仿宋" w:eastAsia="仿宋" w:cs="仿宋"/>
                <w:color w:val="auto"/>
                <w:sz w:val="24"/>
              </w:rPr>
              <w:t xml:space="preserve">项目负责人：</w:t>
            </w:r>
            <w:r/>
          </w:p>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1、具备环保类正高级职称（研究员级高级工程师）的得2分，本项最高得2分</w:t>
            </w:r>
            <w:r/>
          </w:p>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2、具备注册环保工程师证书得1分，具备注册环境影响评价工程师证书得1分，本项最高得4分。</w:t>
            </w:r>
            <w:r/>
          </w:p>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团队人员（项目负责人除外）：</w:t>
            </w:r>
            <w:r/>
          </w:p>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1、具备环保类高级及以上职称证书的，每人1分；具有环保类中级职称证书的，每人得0.5分。本项最高得2分；</w:t>
            </w:r>
            <w:r/>
          </w:p>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2、具备环境监测总站颁发的环境监测人员培训合格证书的每人得0.5分，本项最高1分；</w:t>
            </w:r>
            <w:r/>
          </w:p>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注：根据得分要求提供学历证书、职称证书或相关证明材料原件的扫描件并加盖电子签章，提供</w:t>
            </w:r>
            <w:r>
              <w:rPr>
                <w:rFonts w:hint="eastAsia" w:ascii="仿宋" w:hAnsi="仿宋" w:eastAsia="仿宋" w:cs="仿宋"/>
                <w:color w:val="auto"/>
                <w:sz w:val="24"/>
                <w:lang w:val="en-US" w:eastAsia="zh-CN"/>
              </w:rPr>
              <w:t xml:space="preserve">相关</w:t>
            </w:r>
            <w:r>
              <w:rPr>
                <w:rFonts w:hint="eastAsia" w:ascii="仿宋" w:hAnsi="仿宋" w:eastAsia="仿宋" w:cs="仿宋"/>
                <w:color w:val="auto"/>
                <w:sz w:val="24"/>
              </w:rPr>
              <w:t xml:space="preserve">证明材料，否则不得分。</w:t>
            </w:r>
            <w:bookmarkEnd w:id="13"/>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技术部分</w:t>
            </w:r>
            <w:r/>
          </w:p>
          <w:p>
            <w:pPr>
              <w:ind w:firstLine="0"/>
              <w:jc w:val="center"/>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54</w:t>
            </w:r>
            <w:r>
              <w:rPr>
                <w:rFonts w:hint="eastAsia" w:ascii="仿宋" w:hAnsi="仿宋" w:eastAsia="仿宋" w:cs="仿宋"/>
                <w:color w:val="auto"/>
                <w:sz w:val="24"/>
                <w:lang w:val="zh-CN"/>
              </w:rPr>
              <w:t xml:space="preserve">分</w:t>
            </w:r>
            <w:r>
              <w:rPr>
                <w:rFonts w:hint="eastAsia" w:ascii="仿宋" w:hAnsi="仿宋" w:eastAsia="仿宋" w:cs="仿宋"/>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rPr>
              <w:outlineLvl w:val="9"/>
            </w:pPr>
            <w:r/>
            <w:bookmarkStart w:id="14" w:name="OLE_LINK14"/>
            <w:r>
              <w:rPr>
                <w:rFonts w:hint="eastAsia" w:ascii="仿宋" w:hAnsi="仿宋" w:eastAsia="仿宋" w:cs="仿宋"/>
                <w:color w:val="auto"/>
                <w:sz w:val="24"/>
              </w:rPr>
              <w:t xml:space="preserve">大气精准管控综合驻场服务方案：（1</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w:t>
            </w:r>
            <w:bookmarkEnd w:id="14"/>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根据供应商针对本项目的技术制定详细的设计方案、服务方案进行综合评分：设计方案能够结合国家、省市以及本地大气污染防治需求综合考量，结合问题难点进行梳理并形成技术路线；服务方案结合本地实际理清服务思路，制定工作机制，阐明驻场人员污染源巡查服务、数据分析服务等详细内容。</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（1）以上内容不存在瑕疵：1</w:t>
            </w:r>
            <w:r>
              <w:rPr>
                <w:rFonts w:hint="eastAsia" w:ascii="仿宋" w:hAnsi="仿宋" w:eastAsia="仿宋" w:cs="仿宋"/>
                <w:sz w:val="24"/>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（2）以上内容存在1处瑕疵：1</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bookmarkStart w:id="15" w:name="OLE_LINK16"/>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bookmarkEnd w:id="15"/>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lang w:val="zh-CN"/>
              </w:rPr>
              <w:t xml:space="preserve">VOCs和颗粒物走航监测服务方案：（</w:t>
            </w: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r>
              <w:rPr>
                <w:rFonts w:hint="eastAsia" w:ascii="仿宋" w:hAnsi="仿宋" w:eastAsia="仿宋" w:cs="仿宋"/>
                <w:color w:val="auto"/>
                <w:sz w:val="24"/>
                <w:lang w:val="zh-CN"/>
              </w:rPr>
              <w:t xml:space="preserve">）</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根据供应商针对本项目需求提供VOCs、颗粒物走航服务方案的合理性、可行性等情况进行综合评审。</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w:t>
            </w:r>
            <w:r>
              <w:rPr>
                <w:rFonts w:hint="eastAsia" w:ascii="仿宋" w:hAnsi="仿宋" w:eastAsia="仿宋" w:cs="仿宋"/>
                <w:sz w:val="24"/>
                <w:lang w:val="en-US" w:eastAsia="zh-CN"/>
              </w:rPr>
              <w:t xml:space="preserve">13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w:t>
            </w:r>
            <w:r>
              <w:rPr>
                <w:rFonts w:hint="eastAsia" w:ascii="仿宋" w:hAnsi="仿宋" w:eastAsia="仿宋" w:cs="仿宋"/>
                <w:sz w:val="24"/>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bookmarkStart w:id="16" w:name="OLE_LINK15"/>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bookmarkEnd w:id="16"/>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bookmarkStart w:id="17" w:name="OLE_LINK17"/>
            <w:r>
              <w:rPr>
                <w:rFonts w:hint="eastAsia" w:ascii="仿宋" w:hAnsi="仿宋" w:eastAsia="仿宋" w:cs="仿宋"/>
                <w:color w:val="auto"/>
                <w:sz w:val="24"/>
              </w:rPr>
              <w:t xml:space="preserve">VOCs</w:t>
            </w:r>
            <w:bookmarkEnd w:id="17"/>
            <w:r>
              <w:rPr>
                <w:rFonts w:hint="eastAsia" w:ascii="仿宋" w:hAnsi="仿宋" w:eastAsia="仿宋" w:cs="仿宋"/>
                <w:color w:val="auto"/>
                <w:sz w:val="24"/>
              </w:rPr>
              <w:t xml:space="preserve">废气排放企业专项核查：（1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根据</w:t>
            </w:r>
            <w:r>
              <w:rPr>
                <w:rFonts w:hint="eastAsia" w:ascii="仿宋" w:hAnsi="仿宋" w:eastAsia="仿宋" w:cs="仿宋"/>
                <w:color w:val="auto"/>
                <w:sz w:val="24"/>
              </w:rPr>
              <w:t xml:space="preserve">供应商</w:t>
            </w:r>
            <w:r>
              <w:rPr>
                <w:rFonts w:hint="eastAsia" w:ascii="仿宋" w:hAnsi="仿宋" w:eastAsia="仿宋" w:cs="仿宋"/>
                <w:color w:val="auto"/>
                <w:sz w:val="24"/>
                <w:lang w:val="zh-CN"/>
              </w:rPr>
              <w:t xml:space="preserve">针对本项目需求提供</w:t>
            </w:r>
            <w:r>
              <w:rPr>
                <w:rFonts w:hint="eastAsia" w:ascii="仿宋" w:hAnsi="仿宋" w:eastAsia="仿宋" w:cs="仿宋"/>
                <w:color w:val="auto"/>
                <w:sz w:val="24"/>
              </w:rPr>
              <w:t xml:space="preserve">VOCs</w:t>
            </w:r>
            <w:r>
              <w:rPr>
                <w:rFonts w:hint="eastAsia" w:ascii="仿宋" w:hAnsi="仿宋" w:eastAsia="仿宋" w:cs="仿宋"/>
                <w:color w:val="auto"/>
                <w:sz w:val="24"/>
                <w:lang w:val="zh-CN"/>
              </w:rPr>
              <w:t xml:space="preserve">废气排放企业排查方案的合理性、可行性等情况进行综合评审。</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w:t>
            </w:r>
            <w:r>
              <w:rPr>
                <w:rFonts w:hint="eastAsia" w:ascii="仿宋" w:hAnsi="仿宋" w:eastAsia="仿宋" w:cs="仿宋"/>
                <w:sz w:val="24"/>
                <w:lang w:val="en-US" w:eastAsia="zh-CN"/>
              </w:rPr>
              <w:t xml:space="preserve">13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w:t>
            </w:r>
            <w:r>
              <w:rPr>
                <w:rFonts w:hint="eastAsia" w:ascii="仿宋" w:hAnsi="仿宋" w:eastAsia="仿宋" w:cs="仿宋"/>
                <w:sz w:val="24"/>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服务保障措施：（1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根据供应商对质量、进度、安全相关保障措施进行综合评审。</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w:t>
            </w:r>
            <w:r>
              <w:rPr>
                <w:rFonts w:hint="eastAsia" w:ascii="仿宋" w:hAnsi="仿宋" w:eastAsia="仿宋" w:cs="仿宋"/>
                <w:sz w:val="24"/>
                <w:lang w:val="en-US" w:eastAsia="zh-CN"/>
              </w:rPr>
              <w:t xml:space="preserve">13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w:t>
            </w:r>
            <w:r>
              <w:rPr>
                <w:rFonts w:hint="eastAsia" w:ascii="仿宋" w:hAnsi="仿宋" w:eastAsia="仿宋" w:cs="仿宋"/>
                <w:sz w:val="24"/>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758"/>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2、采购需求</w:t>
      </w:r>
      <w:r/>
    </w:p>
    <w:p>
      <w:pPr>
        <w:spacing w:line="360" w:lineRule="auto"/>
        <w:rPr>
          <w:rFonts w:hint="eastAsia" w:ascii="仿宋" w:hAnsi="仿宋" w:eastAsia="仿宋" w:cs="仿宋"/>
          <w:b/>
          <w:bCs/>
          <w:color w:val="auto"/>
          <w:sz w:val="24"/>
        </w:rPr>
      </w:pPr>
      <w:r/>
      <w:bookmarkStart w:id="18" w:name="OLE_LINK20"/>
      <w:r>
        <w:rPr>
          <w:rFonts w:hint="eastAsia" w:ascii="仿宋" w:hAnsi="仿宋" w:eastAsia="仿宋" w:cs="仿宋"/>
          <w:b/>
          <w:bCs/>
          <w:color w:val="auto"/>
          <w:sz w:val="24"/>
        </w:rPr>
        <w:t xml:space="preserve">一、项目名称：</w:t>
      </w:r>
      <w:bookmarkStart w:id="19" w:name="OLE_LINK11"/>
      <w:r>
        <w:rPr>
          <w:rFonts w:hint="eastAsia" w:ascii="仿宋" w:hAnsi="仿宋" w:eastAsia="仿宋" w:cs="仿宋"/>
          <w:b/>
          <w:bCs/>
          <w:color w:val="auto"/>
          <w:sz w:val="24"/>
          <w:lang w:eastAsia="zh-CN"/>
        </w:rPr>
        <w:t xml:space="preserve">新沂市环境空气质量提升技术服务项目</w:t>
      </w:r>
      <w:bookmarkEnd w:id="19"/>
      <w:r>
        <w:rPr>
          <w:rFonts w:hint="eastAsia" w:ascii="仿宋" w:hAnsi="仿宋" w:eastAsia="仿宋" w:cs="仿宋"/>
          <w:b/>
          <w:bCs/>
          <w:color w:val="auto"/>
          <w:sz w:val="24"/>
        </w:rPr>
        <w:t xml:space="preserve"> </w:t>
      </w:r>
      <w:r/>
    </w:p>
    <w:p>
      <w:pPr>
        <w:spacing w:line="360" w:lineRule="auto"/>
        <w:rPr>
          <w:rFonts w:hint="eastAsia" w:ascii="仿宋" w:hAnsi="仿宋" w:eastAsia="仿宋" w:cs="仿宋"/>
          <w:color w:val="auto"/>
          <w:sz w:val="24"/>
        </w:rPr>
      </w:pPr>
      <w:r>
        <w:rPr>
          <w:rFonts w:hint="eastAsia" w:ascii="仿宋" w:hAnsi="仿宋" w:eastAsia="仿宋" w:cs="仿宋"/>
          <w:b/>
          <w:bCs/>
          <w:color w:val="auto"/>
          <w:sz w:val="24"/>
        </w:rPr>
        <w:t xml:space="preserve">二、项目预算：</w:t>
      </w:r>
      <w:r>
        <w:rPr>
          <w:rFonts w:hint="eastAsia" w:ascii="仿宋" w:hAnsi="仿宋" w:eastAsia="仿宋" w:cs="仿宋"/>
          <w:bCs/>
          <w:color w:val="auto"/>
          <w:sz w:val="24"/>
        </w:rPr>
        <w:t xml:space="preserve">本项目</w:t>
      </w:r>
      <w:r>
        <w:rPr>
          <w:rFonts w:hint="eastAsia" w:ascii="仿宋" w:hAnsi="仿宋" w:eastAsia="仿宋" w:cs="仿宋"/>
          <w:color w:val="auto"/>
          <w:sz w:val="24"/>
        </w:rPr>
        <w:t xml:space="preserve">不接受超过</w:t>
      </w:r>
      <w:r>
        <w:rPr>
          <w:rFonts w:hint="eastAsia" w:ascii="仿宋" w:hAnsi="仿宋" w:eastAsia="仿宋" w:cs="仿宋"/>
          <w:b/>
          <w:bCs/>
          <w:color w:val="auto"/>
          <w:sz w:val="24"/>
          <w:lang w:val="en-US" w:eastAsia="zh-CN"/>
        </w:rPr>
        <w:t xml:space="preserve">210</w:t>
      </w:r>
      <w:r>
        <w:rPr>
          <w:rFonts w:hint="eastAsia" w:ascii="仿宋" w:hAnsi="仿宋" w:eastAsia="仿宋" w:cs="仿宋"/>
          <w:color w:val="auto"/>
          <w:sz w:val="24"/>
        </w:rPr>
        <w:t xml:space="preserve">万元的投标报价</w:t>
      </w:r>
      <w:r>
        <w:rPr>
          <w:rFonts w:hint="eastAsia" w:ascii="仿宋" w:hAnsi="仿宋" w:eastAsia="仿宋" w:cs="仿宋"/>
          <w:bCs/>
          <w:color w:val="auto"/>
          <w:sz w:val="24"/>
        </w:rPr>
        <w:t xml:space="preserve">。</w:t>
      </w:r>
      <w:r/>
    </w:p>
    <w:p>
      <w:pPr>
        <w:pStyle w:val="1013"/>
        <w:ind w:firstLine="480"/>
        <w:keepLines w:val="0"/>
        <w:keepNext w:val="0"/>
        <w:pageBreakBefore w:val="0"/>
        <w:spacing w:before="0" w:beforeAutospacing="0" w:after="0" w:afterAutospacing="0" w:line="360" w:lineRule="auto"/>
        <w:widowControl/>
        <w:rPr>
          <w:rFonts w:hint="eastAsia" w:ascii="仿宋" w:hAnsi="仿宋" w:eastAsia="仿宋" w:cs="仿宋"/>
          <w:b/>
          <w:bCs/>
          <w:color w:val="auto"/>
        </w:rPr>
        <w:outlineLvl w:val="9"/>
      </w:pPr>
      <w:r>
        <w:rPr>
          <w:rFonts w:hint="eastAsia" w:ascii="仿宋" w:hAnsi="仿宋" w:eastAsia="仿宋" w:cs="仿宋"/>
          <w:color w:val="auto"/>
        </w:rPr>
        <w:t xml:space="preserve">服务周期：合同签订后180个自然日</w:t>
      </w:r>
      <w:r>
        <w:rPr>
          <w:rFonts w:hint="eastAsia" w:ascii="仿宋" w:hAnsi="仿宋" w:eastAsia="仿宋" w:cs="仿宋"/>
          <w:b/>
          <w:bCs/>
          <w:color w:val="auto"/>
        </w:rPr>
        <w:t xml:space="preserve">。</w:t>
      </w:r>
      <w:r/>
    </w:p>
    <w:p>
      <w:pPr>
        <w:ind w:right="359"/>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三、</w:t>
      </w:r>
      <w:r>
        <w:rPr>
          <w:rFonts w:hint="eastAsia" w:ascii="仿宋" w:hAnsi="仿宋" w:eastAsia="仿宋" w:cs="仿宋"/>
          <w:b/>
          <w:color w:val="auto"/>
          <w:sz w:val="24"/>
        </w:rPr>
        <w:t xml:space="preserve">项目概况</w:t>
      </w:r>
      <w:r/>
    </w:p>
    <w:p>
      <w:pPr>
        <w:ind w:right="359"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本项目通过引入专业驻场团队，深入一线，结合科学解析结果和大气污染防治工作要求，提出切实可行的管控措施，溯源分析、群众身边突出环境问题，为大气污染防治工作提供科学有效的技术指导和可靠的基础保障。 </w:t>
      </w:r>
      <w:r/>
    </w:p>
    <w:p>
      <w:pPr>
        <w:ind w:right="359"/>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四、服务内容及要求</w:t>
      </w:r>
      <w:bookmarkEnd w:id="18"/>
      <w:r/>
      <w:r/>
    </w:p>
    <w:p>
      <w:pPr>
        <w:ind w:right="359" w:firstLine="480"/>
        <w:spacing w:line="360" w:lineRule="auto"/>
        <w:rPr>
          <w:rFonts w:hint="default" w:ascii="仿宋" w:hAnsi="仿宋" w:eastAsia="仿宋" w:cs="仿宋"/>
          <w:bCs/>
          <w:color w:val="auto"/>
          <w:sz w:val="24"/>
        </w:rPr>
      </w:pPr>
      <w:r/>
      <w:bookmarkStart w:id="20" w:name="OLE_LINK12"/>
      <w:r>
        <w:rPr>
          <w:rFonts w:hint="default" w:ascii="仿宋" w:hAnsi="仿宋" w:eastAsia="仿宋" w:cs="仿宋"/>
          <w:bCs/>
          <w:color w:val="auto"/>
          <w:sz w:val="24"/>
        </w:rPr>
        <w:t xml:space="preserve">新沂市环境空气质量提升技术服务项目，服务包括大气精准管控综合驻场服务、VOCs和颗粒物走航监测、涉VOCs废气排放企业专项核查服务等。</w:t>
      </w:r>
      <w:bookmarkEnd w:id="20"/>
      <w:r/>
      <w:r/>
    </w:p>
    <w:p>
      <w:pPr>
        <w:ind w:right="359" w:firstLine="480"/>
        <w:spacing w:line="360" w:lineRule="auto"/>
        <w:rPr>
          <w:rFonts w:hint="default" w:ascii="仿宋" w:hAnsi="仿宋" w:eastAsia="仿宋" w:cs="仿宋"/>
          <w:bCs/>
          <w:color w:val="auto"/>
          <w:sz w:val="24"/>
        </w:rPr>
      </w:pPr>
      <w:r>
        <w:rPr>
          <w:rFonts w:hint="default" w:ascii="仿宋" w:hAnsi="仿宋" w:eastAsia="仿宋" w:cs="仿宋"/>
          <w:bCs/>
          <w:color w:val="auto"/>
          <w:sz w:val="24"/>
        </w:rPr>
        <w:t xml:space="preserve">1、服务内容清单</w:t>
      </w:r>
      <w:r/>
    </w:p>
    <w:tbl>
      <w:tblPr>
        <w:tblStyle w:val="750"/>
        <w:tblW w:w="8972"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82"/>
        <w:gridCol w:w="1039"/>
        <w:gridCol w:w="1817"/>
        <w:gridCol w:w="934"/>
        <w:gridCol w:w="4500"/>
      </w:tblGrid>
      <w:tr>
        <w:trPr>
          <w:jc w:val="center"/>
          <w:trHeight w:val="567"/>
        </w:trPr>
        <w:tc>
          <w:tcPr>
            <w:tcW w:w="682" w:type="dxa"/>
            <w:vAlign w:val="center"/>
            <w:textDirection w:val="lrTb"/>
            <w:noWrap w:val="false"/>
          </w:tcPr>
          <w:p>
            <w:pPr>
              <w:jc w:val="center"/>
              <w:rPr>
                <w:rFonts w:hint="eastAsia" w:ascii="仿宋" w:hAnsi="仿宋" w:eastAsia="仿宋" w:cs="仿宋"/>
                <w:b/>
                <w:bCs/>
                <w:color w:val="auto"/>
                <w:szCs w:val="21"/>
              </w:rPr>
            </w:pPr>
            <w:r/>
            <w:bookmarkStart w:id="21" w:name="_Hlk141342734"/>
            <w:r>
              <w:rPr>
                <w:rFonts w:hint="eastAsia" w:ascii="仿宋" w:hAnsi="仿宋" w:eastAsia="仿宋" w:cs="仿宋"/>
                <w:b/>
                <w:bCs/>
                <w:color w:val="auto"/>
                <w:szCs w:val="21"/>
              </w:rPr>
              <w:t xml:space="preserve">序号</w:t>
            </w:r>
            <w:r/>
          </w:p>
        </w:tc>
        <w:tc>
          <w:tcPr>
            <w:gridSpan w:val="2"/>
            <w:tcW w:w="2856" w:type="dxa"/>
            <w:vAlign w:val="center"/>
            <w:textDirection w:val="lrTb"/>
            <w:noWrap w:val="false"/>
          </w:tcPr>
          <w:p>
            <w:pPr>
              <w:jc w:val="center"/>
              <w:rPr>
                <w:rFonts w:hint="eastAsia" w:ascii="仿宋" w:hAnsi="仿宋" w:eastAsia="仿宋" w:cs="仿宋"/>
                <w:b/>
                <w:bCs/>
                <w:color w:val="auto"/>
                <w:szCs w:val="21"/>
                <w:lang w:eastAsia="zh-CN"/>
              </w:rPr>
            </w:pPr>
            <w:r>
              <w:rPr>
                <w:rFonts w:hint="eastAsia" w:ascii="仿宋" w:hAnsi="仿宋" w:eastAsia="仿宋" w:cs="仿宋"/>
                <w:b/>
                <w:bCs/>
                <w:color w:val="auto"/>
                <w:szCs w:val="21"/>
              </w:rPr>
              <w:t xml:space="preserve">服务</w:t>
            </w:r>
            <w:r>
              <w:rPr>
                <w:rFonts w:hint="eastAsia" w:ascii="仿宋" w:hAnsi="仿宋" w:eastAsia="仿宋" w:cs="仿宋"/>
                <w:b/>
                <w:bCs/>
                <w:color w:val="auto"/>
                <w:szCs w:val="21"/>
                <w:lang w:val="en-US" w:eastAsia="zh-CN"/>
              </w:rPr>
              <w:t xml:space="preserve">名称</w:t>
            </w:r>
            <w:r/>
          </w:p>
        </w:tc>
        <w:tc>
          <w:tcPr>
            <w:tcW w:w="934" w:type="dxa"/>
            <w:vAlign w:val="center"/>
            <w:textDirection w:val="lrTb"/>
            <w:noWrap w:val="false"/>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 xml:space="preserve">数量</w:t>
            </w:r>
            <w:r/>
          </w:p>
        </w:tc>
        <w:tc>
          <w:tcPr>
            <w:tcW w:w="4500" w:type="dxa"/>
            <w:vAlign w:val="center"/>
            <w:textDirection w:val="lrTb"/>
            <w:noWrap w:val="false"/>
          </w:tcPr>
          <w:p>
            <w:pPr>
              <w:jc w:val="center"/>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 xml:space="preserve">服务内容</w:t>
            </w:r>
            <w:r/>
          </w:p>
        </w:tc>
      </w:tr>
      <w:tr>
        <w:trPr>
          <w:jc w:val="center"/>
          <w:trHeight w:val="567"/>
        </w:trPr>
        <w:tc>
          <w:tcPr>
            <w:tcW w:w="682"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1</w:t>
            </w:r>
            <w:r/>
          </w:p>
        </w:tc>
        <w:tc>
          <w:tcPr>
            <w:tcW w:w="1039"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大气污染源现场巡查服务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驻场分析服务</w:t>
            </w:r>
            <w:r/>
          </w:p>
        </w:tc>
        <w:tc>
          <w:tcPr>
            <w:tcW w:w="934"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210</w:t>
            </w:r>
            <w:r>
              <w:rPr>
                <w:rFonts w:hint="eastAsia" w:ascii="仿宋" w:hAnsi="仿宋" w:eastAsia="仿宋" w:cs="仿宋"/>
                <w:color w:val="auto"/>
                <w:szCs w:val="21"/>
              </w:rPr>
              <w:t xml:space="preserve">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提供驻场巡查人员</w:t>
            </w:r>
            <w:r>
              <w:rPr>
                <w:rFonts w:hint="eastAsia" w:ascii="仿宋" w:hAnsi="仿宋" w:eastAsia="仿宋" w:cs="仿宋"/>
                <w:color w:val="auto"/>
                <w:szCs w:val="21"/>
                <w:lang w:val="en-US" w:eastAsia="zh-CN"/>
              </w:rPr>
              <w:t xml:space="preserve">4</w:t>
            </w:r>
            <w:r>
              <w:rPr>
                <w:rFonts w:hint="eastAsia" w:ascii="仿宋" w:hAnsi="仿宋" w:eastAsia="仿宋" w:cs="仿宋"/>
                <w:color w:val="auto"/>
                <w:szCs w:val="21"/>
              </w:rPr>
              <w:t xml:space="preserve">名（至少</w:t>
            </w:r>
            <w:r>
              <w:rPr>
                <w:rFonts w:hint="eastAsia" w:ascii="仿宋" w:hAnsi="仿宋" w:eastAsia="仿宋" w:cs="仿宋"/>
                <w:color w:val="auto"/>
                <w:szCs w:val="21"/>
                <w:lang w:val="en-US" w:eastAsia="zh-CN"/>
              </w:rPr>
              <w:t xml:space="preserve">具有</w:t>
            </w:r>
            <w:r>
              <w:rPr>
                <w:rFonts w:hint="eastAsia" w:ascii="仿宋" w:hAnsi="仿宋" w:eastAsia="仿宋" w:cs="仿宋"/>
                <w:color w:val="auto"/>
                <w:szCs w:val="21"/>
              </w:rPr>
              <w:t xml:space="preserve">一名环保类副高</w:t>
            </w:r>
            <w:r>
              <w:rPr>
                <w:rFonts w:hint="eastAsia" w:ascii="仿宋" w:hAnsi="仿宋" w:eastAsia="仿宋" w:cs="仿宋"/>
                <w:color w:val="auto"/>
                <w:szCs w:val="21"/>
                <w:lang w:val="en-US" w:eastAsia="zh-CN"/>
              </w:rPr>
              <w:t xml:space="preserve">及以上</w:t>
            </w:r>
            <w:r>
              <w:rPr>
                <w:rFonts w:hint="eastAsia" w:ascii="仿宋" w:hAnsi="仿宋" w:eastAsia="仿宋" w:cs="仿宋"/>
                <w:color w:val="auto"/>
                <w:szCs w:val="21"/>
              </w:rPr>
              <w:t xml:space="preserve">职称）、1台便携式颗粒物监测仪、1台便携式PID、1台无人机、1辆巡查车辆（含车载灵嗅），现场驻厂人员每天按照工作要求提供空气质量预报预警和数据分析服务，监测数据异常时段组织人员进行排查分析。</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大气污染物精准监测服务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激光雷达立体扫描服务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使用颗粒物雷达扫描设备在站点周边监测，分析颗粒物高值区的污染排放，形成报告。</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移动式超级监测站（方舱）应急与专题监测服务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20天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现场手工采样检测及移动监测方舱开展连续驻点监测相结合，开展精准溯源，形成专题报告，为环境执法与治理效果评估提供铁证。</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精准走航与动态巡查管控服务体系</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VOCs走航监测与前体物精细化溯源</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利用VOCs走航监测车对重点区域开展网格化走航监测，支撑VOCs精细化管控。</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颗粒物激光雷达走航监测</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利用颗粒物雷达走航监测系统，按照要求开展各类走航监测，结合不同工作模式获得污染因子污染强度分布地图，掌握区域污染排放特征和排放规律，对区域污染源进行精准溯源。</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臭氧分析管控服务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臭氧污染期间，定性定量分析出新沂市臭氧污染主要污染源，并提出管控建议。</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颗粒物和臭氧源解析服务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颗粒物与常规气态污染物解析</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通过近地面空气质量走航监测，判断污染来源类型如工业排放、机动车尾气、扬尘等，为现场执法与应急管控提供即时、精确的靶向指引。对监测站和城南站分别出具源解析报告，明确工业、生活、交通、农业、扬尘等行业污染占比，分析本地污染源和输入性污染源占比，并提出针对性管理建议。</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臭氧前体物解析</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通过走航，绘制出</w:t>
            </w:r>
            <w:bookmarkStart w:id="22" w:name="OLE_LINK18"/>
            <w:r>
              <w:rPr>
                <w:rFonts w:hint="eastAsia" w:ascii="仿宋" w:hAnsi="仿宋" w:eastAsia="仿宋" w:cs="仿宋"/>
                <w:color w:val="auto"/>
                <w:szCs w:val="21"/>
              </w:rPr>
              <w:t xml:space="preserve">VOCs</w:t>
            </w:r>
            <w:bookmarkEnd w:id="22"/>
            <w:r>
              <w:rPr>
                <w:rFonts w:hint="eastAsia" w:ascii="仿宋" w:hAnsi="仿宋" w:eastAsia="仿宋" w:cs="仿宋"/>
                <w:color w:val="auto"/>
                <w:szCs w:val="21"/>
              </w:rPr>
              <w:t xml:space="preserve">物种谱系空间分布图、臭氧生成潜势（OFP）热点图以及VOCs/NOx比值空间分布图。</w:t>
            </w:r>
            <w:r/>
          </w:p>
          <w:p>
            <w:pPr>
              <w:rPr>
                <w:rFonts w:hint="eastAsia" w:ascii="仿宋" w:hAnsi="仿宋" w:eastAsia="仿宋" w:cs="仿宋"/>
                <w:color w:val="auto"/>
                <w:szCs w:val="21"/>
              </w:rPr>
            </w:pPr>
            <w:r>
              <w:rPr>
                <w:rFonts w:hint="eastAsia" w:ascii="仿宋" w:hAnsi="仿宋" w:eastAsia="仿宋" w:cs="仿宋"/>
                <w:color w:val="auto"/>
                <w:szCs w:val="21"/>
              </w:rPr>
              <w:t xml:space="preserve">VOCs来源解析，臭氧生成潜势分析，优控组分来源解析，确定首要管控VOCs物种以及来源，指导管控方案的制定。</w:t>
            </w:r>
            <w:r/>
          </w:p>
        </w:tc>
      </w:tr>
      <w:tr>
        <w:trPr>
          <w:jc w:val="center"/>
          <w:trHeight w:val="875"/>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5</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涉VOCs废气排放企业专项核查服务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工业企业大气污染治理提升服务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30家</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开展30家重点放企业专项核查行动，推进大气污染防治提升。</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储罐呼吸阀排查服务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lang w:eastAsia="zh-CN"/>
              </w:rPr>
            </w:pPr>
            <w:r>
              <w:rPr>
                <w:rFonts w:hint="eastAsia" w:ascii="仿宋" w:hAnsi="仿宋" w:eastAsia="仿宋" w:cs="仿宋"/>
                <w:color w:val="auto"/>
                <w:szCs w:val="21"/>
              </w:rPr>
              <w:t xml:space="preserve">对新沂市30家涉呼吸阀企业专项核查，提出整治意见</w:t>
            </w:r>
            <w:r>
              <w:rPr>
                <w:rFonts w:hint="eastAsia" w:ascii="仿宋" w:hAnsi="仿宋" w:eastAsia="仿宋" w:cs="仿宋"/>
                <w:color w:val="auto"/>
                <w:szCs w:val="21"/>
                <w:lang w:eastAsia="zh-CN"/>
              </w:rPr>
              <w:t xml:space="preserve">。</w:t>
            </w:r>
            <w:r/>
          </w:p>
        </w:tc>
      </w:tr>
      <w:tr>
        <w:trPr>
          <w:jc w:val="center"/>
          <w:trHeight w:val="567"/>
        </w:trPr>
        <w:tc>
          <w:tcPr>
            <w:tcW w:w="682"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6</w:t>
            </w:r>
            <w:r/>
          </w:p>
        </w:tc>
        <w:tc>
          <w:tcPr>
            <w:tcW w:w="1039"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大气污染治理方案</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新沂市大气污染提升工作方案</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1份</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根据前期排查分析以及后期源解析等工作，从产业结构、能源结构、交通运输结构、用地结构以及污染物源解析等层面分析新沂市大气污染主要原因，制定出一份新沂市大气污染提升工作方案。</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生态环境问题排查</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城南异味问题核查</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针对新沂市城南异味突出生态环境问题，建立新沂市化工企业特征污染物图谱，排查分析出新沂市城南异味突出问题原因。2.城区恶臭溯源排查，监测分析城区污染源原因（如有）。</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突出生态环境问题排查</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次应急事故专家指导（如有），</w:t>
            </w: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次固体废物治理方案，</w:t>
            </w: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次生态环境损害评估鉴定服务。</w:t>
            </w:r>
            <w:bookmarkEnd w:id="21"/>
            <w:r/>
            <w:r/>
          </w:p>
        </w:tc>
      </w:tr>
    </w:tbl>
    <w:p>
      <w:pPr>
        <w:pStyle w:val="852"/>
        <w:ind w:firstLine="0"/>
        <w:spacing w:line="360" w:lineRule="auto"/>
        <w:rPr>
          <w:rFonts w:hint="default" w:ascii="Times New Roman" w:hAnsi="Times New Roman" w:cs="Times New Roman"/>
          <w:bCs/>
          <w:color w:val="auto"/>
          <w:sz w:val="24"/>
        </w:rPr>
      </w:pPr>
      <w:r>
        <w:rPr>
          <w:rFonts w:hint="default" w:ascii="Times New Roman" w:hAnsi="Times New Roman" w:cs="Times New Roman"/>
          <w:bCs/>
          <w:color w:val="auto"/>
          <w:sz w:val="24"/>
        </w:rPr>
      </w:r>
      <w:r/>
    </w:p>
    <w:p>
      <w:pPr>
        <w:pStyle w:val="852"/>
        <w:ind w:left="0" w:firstLine="0"/>
        <w:spacing w:line="360" w:lineRule="auto"/>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2、项目人员配置要求</w:t>
      </w:r>
      <w:r/>
    </w:p>
    <w:tbl>
      <w:tblPr>
        <w:tblStyle w:val="750"/>
        <w:tblW w:w="8967" w:type="dxa"/>
        <w:tblInd w:w="10" w:type="dxa"/>
        <w:tblLayout w:type="fixed"/>
        <w:tblCellMar>
          <w:left w:w="108" w:type="dxa"/>
          <w:top w:w="15" w:type="dxa"/>
          <w:right w:w="108" w:type="dxa"/>
          <w:bottom w:w="0" w:type="dxa"/>
        </w:tblCellMar>
        <w:tblLook w:val="04A0" w:firstRow="1" w:lastRow="0" w:firstColumn="1" w:lastColumn="0" w:noHBand="0" w:noVBand="1"/>
      </w:tblPr>
      <w:tblGrid>
        <w:gridCol w:w="1550"/>
        <w:gridCol w:w="850"/>
        <w:gridCol w:w="6331"/>
        <w:gridCol w:w="236"/>
      </w:tblGrid>
      <w:tr>
        <w:trPr>
          <w:gridAfter w:val="1"/>
          <w:trHeight w:val="340"/>
        </w:trPr>
        <w:tc>
          <w:tcPr>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jc w:val="left"/>
              <w:rPr>
                <w:rFonts w:hint="eastAsia" w:ascii="仿宋" w:hAnsi="仿宋" w:eastAsia="仿宋" w:cs="仿宋"/>
                <w:b/>
                <w:bCs/>
                <w:color w:val="auto"/>
                <w:szCs w:val="21"/>
              </w:rPr>
            </w:pPr>
            <w:r>
              <w:rPr>
                <w:rFonts w:hint="eastAsia" w:ascii="仿宋" w:hAnsi="仿宋" w:eastAsia="仿宋" w:cs="仿宋"/>
                <w:b/>
                <w:bCs/>
                <w:color w:val="auto"/>
                <w:szCs w:val="21"/>
              </w:rPr>
              <w:t xml:space="preserve">角色</w:t>
            </w:r>
            <w:r/>
          </w:p>
        </w:tc>
        <w:tc>
          <w:tcPr>
            <w:tcBorders>
              <w:top w:val="single" w:color="000000" w:sz="8" w:space="0"/>
              <w:bottom w:val="single" w:color="000000" w:sz="8" w:space="0"/>
              <w:right w:val="single" w:color="000000" w:sz="8" w:space="0"/>
            </w:tcBorders>
            <w:tcW w:w="850" w:type="dxa"/>
            <w:vAlign w:val="center"/>
            <w:textDirection w:val="lrTb"/>
            <w:noWrap w:val="false"/>
          </w:tcPr>
          <w:p>
            <w:pPr>
              <w:jc w:val="left"/>
              <w:rPr>
                <w:rFonts w:hint="eastAsia" w:ascii="仿宋" w:hAnsi="仿宋" w:eastAsia="仿宋" w:cs="仿宋"/>
                <w:b/>
                <w:bCs/>
                <w:color w:val="auto"/>
                <w:szCs w:val="21"/>
              </w:rPr>
            </w:pPr>
            <w:r>
              <w:rPr>
                <w:rFonts w:hint="eastAsia" w:ascii="仿宋" w:hAnsi="仿宋" w:eastAsia="仿宋" w:cs="仿宋"/>
                <w:b/>
                <w:bCs/>
                <w:color w:val="auto"/>
                <w:szCs w:val="21"/>
              </w:rPr>
              <w:t xml:space="preserve">数量</w:t>
            </w:r>
            <w:r/>
          </w:p>
        </w:tc>
        <w:tc>
          <w:tcPr>
            <w:tcBorders>
              <w:top w:val="single" w:color="000000" w:sz="8" w:space="0"/>
              <w:bottom w:val="single" w:color="000000" w:sz="8" w:space="0"/>
              <w:right w:val="single" w:color="000000" w:sz="8" w:space="0"/>
            </w:tcBorders>
            <w:tcW w:w="6331" w:type="dxa"/>
            <w:vAlign w:val="center"/>
            <w:textDirection w:val="lrTb"/>
            <w:noWrap w:val="false"/>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 xml:space="preserve">岗位职责</w:t>
            </w:r>
            <w:r/>
          </w:p>
        </w:tc>
      </w:tr>
      <w:tr>
        <w:trPr>
          <w:gridAfter w:val="1"/>
          <w:trHeight w:val="1201"/>
        </w:trPr>
        <w:tc>
          <w:tcPr>
            <w:tcBorders>
              <w:left w:val="single" w:color="000000" w:sz="8" w:space="0"/>
              <w:bottom w:val="single" w:color="000000" w:sz="8" w:space="0"/>
              <w:right w:val="single" w:color="000000" w:sz="8" w:space="0"/>
            </w:tcBorders>
            <w:tcW w:w="15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项目经理</w:t>
            </w:r>
            <w:r/>
          </w:p>
        </w:tc>
        <w:tc>
          <w:tcPr>
            <w:tcBorders>
              <w:bottom w:val="single" w:color="000000" w:sz="8" w:space="0"/>
              <w:right w:val="single" w:color="000000" w:sz="8" w:space="0"/>
            </w:tcBorders>
            <w:tcW w:w="8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1人</w:t>
            </w:r>
            <w:r/>
          </w:p>
        </w:tc>
        <w:tc>
          <w:tcPr>
            <w:tcBorders>
              <w:bottom w:val="single" w:color="000000" w:sz="8" w:space="0"/>
              <w:right w:val="single" w:color="000000" w:sz="8" w:space="0"/>
            </w:tcBorders>
            <w:tcW w:w="6331"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主要负责项目日常管理，配合政府组织并参加大气污染防治研判及专家讨论等会议，并调度公司相关资源提供技术支持，开展重点污染源日常巡查工作。</w:t>
            </w:r>
            <w:r>
              <w:rPr>
                <w:rFonts w:hint="eastAsia" w:ascii="仿宋" w:hAnsi="仿宋" w:eastAsia="仿宋" w:cs="仿宋"/>
                <w:color w:val="auto"/>
                <w:szCs w:val="21"/>
                <w:lang w:val="en-US" w:eastAsia="zh-CN"/>
              </w:rPr>
              <w:t xml:space="preserve">按需驻场</w:t>
            </w:r>
            <w:r>
              <w:rPr>
                <w:rFonts w:hint="eastAsia" w:ascii="仿宋" w:hAnsi="仿宋" w:eastAsia="仿宋" w:cs="仿宋"/>
                <w:color w:val="auto"/>
                <w:szCs w:val="21"/>
              </w:rPr>
              <w:t xml:space="preserve">现场。</w:t>
            </w:r>
            <w:r/>
          </w:p>
        </w:tc>
      </w:tr>
      <w:tr>
        <w:trPr>
          <w:gridAfter w:val="1"/>
          <w:trHeight w:val="1164"/>
        </w:trPr>
        <w:tc>
          <w:tcPr>
            <w:tcBorders>
              <w:left w:val="single" w:color="000000" w:sz="8" w:space="0"/>
              <w:bottom w:val="single" w:color="000000" w:sz="8" w:space="0"/>
              <w:right w:val="single" w:color="000000" w:sz="8" w:space="0"/>
            </w:tcBorders>
            <w:tcW w:w="15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环境分析驻场人员</w:t>
            </w:r>
            <w:r/>
          </w:p>
        </w:tc>
        <w:tc>
          <w:tcPr>
            <w:tcBorders>
              <w:bottom w:val="single" w:color="000000" w:sz="8" w:space="0"/>
              <w:right w:val="single" w:color="000000" w:sz="8" w:space="0"/>
            </w:tcBorders>
            <w:tcW w:w="8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1人</w:t>
            </w:r>
            <w:r/>
          </w:p>
        </w:tc>
        <w:tc>
          <w:tcPr>
            <w:tcBorders>
              <w:bottom w:val="single" w:color="000000" w:sz="8" w:space="0"/>
              <w:right w:val="single" w:color="000000" w:sz="8" w:space="0"/>
            </w:tcBorders>
            <w:tcW w:w="6331"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结合省/市空气站、在线污染源、网格化监测、气象等数据进行综合分析，对城市空气质量进行分析及研判，提出环境管控建议并提供相应专用报告。常驻现场。</w:t>
            </w:r>
            <w:r/>
          </w:p>
        </w:tc>
      </w:tr>
      <w:tr>
        <w:trPr>
          <w:gridAfter w:val="1"/>
          <w:trHeight w:val="854"/>
        </w:trPr>
        <w:tc>
          <w:tcPr>
            <w:tcBorders>
              <w:left w:val="single" w:color="000000" w:sz="8" w:space="0"/>
              <w:bottom w:val="single" w:color="000000" w:sz="8" w:space="0"/>
              <w:right w:val="single" w:color="000000" w:sz="8" w:space="0"/>
            </w:tcBorders>
            <w:tcW w:w="15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巡查人员</w:t>
            </w:r>
            <w:r/>
          </w:p>
        </w:tc>
        <w:tc>
          <w:tcPr>
            <w:tcBorders>
              <w:bottom w:val="single" w:color="000000" w:sz="8" w:space="0"/>
              <w:right w:val="single" w:color="000000" w:sz="8" w:space="0"/>
            </w:tcBorders>
            <w:tcW w:w="8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2人</w:t>
            </w:r>
            <w:r/>
          </w:p>
        </w:tc>
        <w:tc>
          <w:tcPr>
            <w:tcBorders>
              <w:bottom w:val="single" w:color="000000" w:sz="8" w:space="0"/>
              <w:right w:val="single" w:color="000000" w:sz="8" w:space="0"/>
            </w:tcBorders>
            <w:tcW w:w="6331"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完成日常及特殊污染事件巡查任务，对现场进行拍照取证并提交巡查报告。常驻现场。</w:t>
            </w:r>
            <w:r/>
          </w:p>
        </w:tc>
      </w:tr>
      <w:tr>
        <w:trPr>
          <w:gridAfter w:val="1"/>
          <w:trHeight w:val="960"/>
        </w:trPr>
        <w:tc>
          <w:tcPr>
            <w:tcBorders>
              <w:left w:val="single" w:color="000000" w:sz="8" w:space="0"/>
              <w:bottom w:val="single" w:color="000000" w:sz="8" w:space="0"/>
              <w:right w:val="single" w:color="000000" w:sz="8" w:space="0"/>
            </w:tcBorders>
            <w:tcW w:w="1550"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其他人员</w:t>
            </w:r>
            <w:r/>
          </w:p>
        </w:tc>
        <w:tc>
          <w:tcPr>
            <w:tcBorders>
              <w:left w:val="single" w:color="000000" w:sz="8" w:space="0"/>
              <w:bottom w:val="single" w:color="000000" w:sz="8" w:space="0"/>
              <w:right w:val="single" w:color="000000" w:sz="8" w:space="0"/>
            </w:tcBorders>
            <w:tcW w:w="850"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按需提供</w:t>
            </w:r>
            <w:r/>
          </w:p>
        </w:tc>
        <w:tc>
          <w:tcPr>
            <w:tcBorders>
              <w:left w:val="single" w:color="000000" w:sz="8" w:space="0"/>
              <w:bottom w:val="single" w:color="000000" w:sz="8" w:space="0"/>
              <w:right w:val="single" w:color="000000" w:sz="8" w:space="0"/>
            </w:tcBorders>
            <w:tcW w:w="6331" w:type="dxa"/>
            <w:vAlign w:val="center"/>
            <w:vMerge w:val="restart"/>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根据项目需要，随时安排专业技术人员及驾驶员进行移动监测、排查、分析相关工作并出具报告，共计开展VOCs走航监测</w:t>
            </w: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0次、颗粒物走航监测</w:t>
            </w:r>
            <w:r>
              <w:rPr>
                <w:rFonts w:hint="eastAsia" w:ascii="仿宋" w:hAnsi="仿宋" w:eastAsia="仿宋" w:cs="仿宋"/>
                <w:color w:val="auto"/>
                <w:szCs w:val="21"/>
                <w:lang w:val="en-US" w:eastAsia="zh-CN"/>
              </w:rPr>
              <w:t xml:space="preserve">2</w:t>
            </w:r>
            <w:r>
              <w:rPr>
                <w:rFonts w:hint="eastAsia" w:ascii="仿宋" w:hAnsi="仿宋" w:eastAsia="仿宋" w:cs="仿宋"/>
                <w:color w:val="auto"/>
                <w:szCs w:val="21"/>
              </w:rPr>
              <w:t xml:space="preserve">0次</w:t>
            </w:r>
            <w:r>
              <w:rPr>
                <w:rFonts w:hint="eastAsia" w:ascii="仿宋" w:hAnsi="仿宋" w:eastAsia="仿宋" w:cs="仿宋"/>
                <w:color w:val="auto"/>
                <w:szCs w:val="21"/>
                <w:lang w:eastAsia="zh-CN"/>
              </w:rPr>
              <w:t xml:space="preserve">、</w:t>
            </w:r>
            <w:r>
              <w:rPr>
                <w:rFonts w:hint="eastAsia" w:ascii="仿宋" w:hAnsi="仿宋" w:eastAsia="仿宋" w:cs="仿宋"/>
                <w:color w:val="auto"/>
                <w:szCs w:val="21"/>
                <w:lang w:val="en-US" w:eastAsia="zh-CN"/>
              </w:rPr>
              <w:t xml:space="preserve">尘负荷走航监测6次</w:t>
            </w:r>
            <w:r>
              <w:rPr>
                <w:rFonts w:hint="eastAsia" w:ascii="仿宋" w:hAnsi="仿宋" w:eastAsia="仿宋" w:cs="仿宋"/>
                <w:color w:val="auto"/>
                <w:szCs w:val="21"/>
              </w:rPr>
              <w:t xml:space="preserve">。 </w:t>
            </w:r>
            <w:r/>
          </w:p>
        </w:tc>
      </w:tr>
      <w:tr>
        <w:trPr>
          <w:trHeight w:val="320"/>
        </w:trPr>
        <w:tc>
          <w:tcPr>
            <w:tcBorders>
              <w:left w:val="single" w:color="000000" w:sz="8" w:space="0"/>
              <w:bottom w:val="single" w:color="000000" w:sz="8" w:space="0"/>
              <w:right w:val="single" w:color="000000" w:sz="8" w:space="0"/>
            </w:tcBorders>
            <w:tcW w:w="15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8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6331"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W w:w="236"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r>
      <w:tr>
        <w:trPr>
          <w:trHeight w:val="90"/>
        </w:trPr>
        <w:tc>
          <w:tcPr>
            <w:tcBorders>
              <w:left w:val="single" w:color="000000" w:sz="8" w:space="0"/>
              <w:bottom w:val="single" w:color="000000" w:sz="8" w:space="0"/>
              <w:right w:val="single" w:color="000000" w:sz="8" w:space="0"/>
            </w:tcBorders>
            <w:tcW w:w="15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8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6331"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W w:w="236"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r>
    </w:tbl>
    <w:p>
      <w:pPr>
        <w:pStyle w:val="852"/>
        <w:ind w:firstLine="0"/>
        <w:spacing w:line="360" w:lineRule="auto"/>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r>
      <w:r/>
    </w:p>
    <w:p>
      <w:pPr>
        <w:pStyle w:val="852"/>
        <w:ind w:firstLine="0"/>
        <w:spacing w:line="360" w:lineRule="auto"/>
        <w:rPr>
          <w:rFonts w:hint="eastAsia" w:ascii="仿宋" w:hAnsi="仿宋" w:eastAsia="仿宋" w:cs="仿宋"/>
          <w:bCs/>
          <w:color w:val="auto"/>
          <w:sz w:val="24"/>
        </w:rPr>
      </w:pPr>
      <w:r>
        <w:rPr>
          <w:rFonts w:hint="eastAsia" w:ascii="仿宋" w:hAnsi="仿宋" w:eastAsia="仿宋" w:cs="仿宋"/>
          <w:bCs/>
          <w:color w:val="auto"/>
          <w:sz w:val="24"/>
          <w:lang w:val="en-US" w:eastAsia="zh-CN"/>
        </w:rPr>
        <w:t xml:space="preserve">3</w:t>
      </w:r>
      <w:r>
        <w:rPr>
          <w:rFonts w:hint="eastAsia" w:ascii="仿宋" w:hAnsi="仿宋" w:eastAsia="仿宋" w:cs="仿宋"/>
          <w:bCs/>
          <w:color w:val="auto"/>
          <w:sz w:val="24"/>
        </w:rPr>
        <w:t xml:space="preserve">、服务要求</w:t>
      </w:r>
      <w:r/>
    </w:p>
    <w:p>
      <w:pPr>
        <w:ind w:firstLine="480"/>
        <w:spacing w:line="360" w:lineRule="auto"/>
        <w:rPr>
          <w:rFonts w:hint="eastAsia" w:ascii="仿宋" w:hAnsi="仿宋" w:eastAsia="仿宋" w:cs="仿宋"/>
          <w:color w:val="auto"/>
          <w:sz w:val="24"/>
        </w:rPr>
      </w:pPr>
      <w:r/>
      <w:bookmarkStart w:id="23" w:name="_Toc22129"/>
      <w:r/>
      <w:bookmarkStart w:id="24" w:name="_Toc30901"/>
      <w:r/>
      <w:bookmarkStart w:id="25" w:name="_Toc9645"/>
      <w:r>
        <w:rPr>
          <w:rFonts w:hint="eastAsia" w:ascii="仿宋" w:hAnsi="仿宋" w:eastAsia="仿宋" w:cs="仿宋"/>
          <w:color w:val="auto"/>
          <w:sz w:val="24"/>
        </w:rPr>
        <w:t xml:space="preserve">（一）大气精准管控综合驻场服务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1、日常数据监控分析服务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现场分析组对空气质量监测数据平台数据进行监控，及时发现并汇报点位数据突高情况，快速分析各污染物分布特点，结合气象状况，当地污染源状况、周边情况，综合研判污染成因及潜在污染源。给出管控建议。</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2、日常大气污染源巡查服务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①通过专业驻场巡查人员进行日常巡查工作，包括省控站点周边污染源现场排查、辖区内重点源排查、典型时段专项巡查、大气污染管控期间的入户核查等，实现精准溯源。</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②查找区域内污染排放单位，更新大气污染源台账，指导相关部门对污染源进行强力监管、整改，协助开展区域内的异常污染源核查工作，减少区域内大气污染排放，以期实现区域环境空气质量改善的目的。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③专业驻场巡查人员需提供便携式检测设备及巡查车辆对重点区域内污染源每日进行巡督查服务。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3、污染源地图精细化管控服务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制定各站点污染防控地图和清单，完善更新区域内的污染污染源台账，厘清周边风险源分布及产排特点。并制定特殊时段管控方案，划定重点管控区域，减少区域内大气污染排放，实现区域环境空气质量改善的目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4、动态更新达标任务服务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对驻地空气质量月、年完成情况进行动态达标统计，分析实测值与目标值间的差距，实时掌控重点监测指标的达标情况及剩余时间段的控制目标，实现驻地空气质量达标任务的动态管理。</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5、空气质量研判及预报预警服务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参考模型预报结果提供未来7天趋势预报，对未来的污染形势进行研判分析，为大气污染管控和重污染应急提供技术支持。</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6、数据分析服务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利用现有的监控平台数据，结合走航监测数据、网格化微型站监测数据等多源数据，通过对历史数据分析、区域排名变化分析，结合气象条件、污染源分布情况，运用多种技术手段，对监测数据进行综合分析；同时结合周边城市周边监测数据、周边城市重点排放源数据联合分析等。包括污染过程分析、大气重污染成因分析、月报、年报等分析内容，全面分析污染现状、成因、污染特征等。</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（二）VOCs和颗粒物走航监测</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建立针对性的走航方法，实施走航监测，必要时深入企业，锁定污染源头，实现精准溯源，精准管控。监测期间每日提供走航日报。</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1、VOCs走航监测系统</w:t>
      </w:r>
      <w:r/>
    </w:p>
    <w:p>
      <w:pPr>
        <w:ind w:firstLine="480"/>
        <w:spacing w:line="360" w:lineRule="auto"/>
        <w:rPr>
          <w:rFonts w:hint="eastAsia" w:ascii="仿宋" w:hAnsi="仿宋" w:eastAsia="仿宋" w:cs="仿宋"/>
          <w:color w:val="auto"/>
          <w:sz w:val="24"/>
        </w:rPr>
      </w:pPr>
      <w:r/>
      <w:bookmarkStart w:id="26" w:name="_Hlk54975045"/>
      <w:r>
        <w:rPr>
          <w:rFonts w:hint="eastAsia" w:ascii="仿宋" w:hAnsi="仿宋" w:eastAsia="仿宋" w:cs="仿宋"/>
          <w:color w:val="auto"/>
          <w:sz w:val="24"/>
        </w:rPr>
        <w:t xml:space="preserve">①总体要求</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利</w:t>
      </w:r>
      <w:bookmarkStart w:id="27" w:name="_Hlk106718519"/>
      <w:r>
        <w:rPr>
          <w:rFonts w:hint="eastAsia" w:ascii="仿宋" w:hAnsi="仿宋" w:eastAsia="仿宋" w:cs="仿宋"/>
          <w:color w:val="auto"/>
          <w:sz w:val="24"/>
        </w:rPr>
        <w:t xml:space="preserve">用VOCs走航监测车进行网格化走航监测，结合不同工作模式获得VOCs 污染状况图，掌握污染源的排放特征和排放规律。通过VOCs走航监测快速找出问题点位，确定VOCs超标排放责任主体及问题点。</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服务期间，</w:t>
      </w:r>
      <w:bookmarkStart w:id="28" w:name="OLE_LINK19"/>
      <w:r>
        <w:rPr>
          <w:rFonts w:hint="eastAsia" w:ascii="仿宋" w:hAnsi="仿宋" w:eastAsia="仿宋" w:cs="仿宋"/>
          <w:color w:val="auto"/>
          <w:sz w:val="24"/>
        </w:rPr>
        <w:t xml:space="preserve">VOCs</w:t>
      </w:r>
      <w:bookmarkEnd w:id="28"/>
      <w:r>
        <w:rPr>
          <w:rFonts w:hint="eastAsia" w:ascii="仿宋" w:hAnsi="仿宋" w:eastAsia="仿宋" w:cs="仿宋"/>
          <w:color w:val="auto"/>
          <w:sz w:val="24"/>
        </w:rPr>
        <w:t xml:space="preserve">走航车根据实际情况按需进行驻场服务。VOCs走航监测不少于</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0天。</w:t>
      </w:r>
      <w:bookmarkEnd w:id="26"/>
      <w:r/>
      <w:bookmarkEnd w:id="27"/>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②监测系统的技术参数</w:t>
      </w:r>
      <w:r/>
    </w:p>
    <w:tbl>
      <w:tblPr>
        <w:tblStyle w:val="750"/>
        <w:tblW w:w="83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2"/>
      </w:tblGrid>
      <w:tr>
        <w:trPr>
          <w:jc w:val="center"/>
        </w:trPr>
        <w:tc>
          <w:tcPr>
            <w:tcW w:w="8302" w:type="dxa"/>
            <w:vAlign w:val="top"/>
            <w:textDirection w:val="lrTb"/>
            <w:noWrap w:val="false"/>
          </w:tcPr>
          <w:p>
            <w:pPr>
              <w:ind w:firstLine="480"/>
              <w:spacing w:line="360" w:lineRule="auto"/>
              <w:rPr>
                <w:rFonts w:hint="eastAsia" w:ascii="仿宋" w:hAnsi="仿宋" w:eastAsia="仿宋" w:cs="仿宋"/>
                <w:color w:val="auto"/>
                <w:sz w:val="24"/>
              </w:rPr>
            </w:pPr>
            <w:r/>
            <w:bookmarkStart w:id="29" w:name="_Hlk54972812"/>
            <w:r>
              <w:rPr>
                <w:rFonts w:hint="eastAsia" w:ascii="仿宋" w:hAnsi="仿宋" w:eastAsia="仿宋" w:cs="仿宋"/>
                <w:color w:val="auto"/>
                <w:sz w:val="24"/>
              </w:rPr>
              <w:t xml:space="preserve">技术参数</w:t>
            </w:r>
            <w:bookmarkEnd w:id="29"/>
            <w:r/>
            <w:r/>
          </w:p>
        </w:tc>
      </w:tr>
      <w:tr>
        <w:trPr>
          <w:jc w:val="center"/>
        </w:trPr>
        <w:tc>
          <w:tcPr>
            <w:tcW w:w="8302" w:type="dxa"/>
            <w:vAlign w:val="top"/>
            <w:textDirection w:val="lrTb"/>
            <w:noWrap w:val="false"/>
          </w:tcPr>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▲1）监测原理: 利用飞行时间质谱对</w:t>
            </w:r>
            <w:r>
              <w:rPr>
                <w:rFonts w:hint="eastAsia" w:ascii="仿宋" w:hAnsi="仿宋" w:eastAsia="仿宋" w:cs="仿宋"/>
                <w:color w:val="auto"/>
                <w:sz w:val="24"/>
              </w:rPr>
              <w:t xml:space="preserve">VOCs</w:t>
            </w:r>
            <w:r>
              <w:rPr>
                <w:rFonts w:hint="eastAsia" w:ascii="仿宋" w:hAnsi="仿宋" w:eastAsia="仿宋" w:cs="仿宋"/>
                <w:color w:val="auto"/>
                <w:sz w:val="24"/>
                <w:highlight w:val="none"/>
              </w:rPr>
              <w:t xml:space="preserve">进行定性和定量分析。（提供设备彩页或官网截图或检测报告或其他证明材料）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2）可测物种：烃类、芳香烃类、醛酮类、酯类、羧酸类、醇类、烷类等。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3）质量检测范围：最高可达600Th。</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4）质量分辨率 (FWHM) ：质量分辨率不低于300Th/Th。</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▲5）离子源：使用反应试剂离子 H3O+，还可搭配其他反应离子，例如 O2+。（提供第三方检验检测机构出具的测试报告复印件）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▲6）响应时间:检测丙烯响应时间&lt;0.2s。（提供第三方检验检测机构出具的测试报告复印件）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▲7）检出限: LOD&lt;4 ppbv/min (丙烯,1min积分时间)。（提供第三方检验检测机构出具的测试报告复印件）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▲8）质量精度：质量精度&lt;0.005 amu。（提供第三方检验检测机构出具的测试报告复印件）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▲9）走航车具备高空采样装置，对10~20m的高空气体进行监测（提供设备照片或其他证明材料）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10）构造坚固，所有部件内置于金属框架和面板中，各角有橡胶垫，可以任何方向放置。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11）电源电压：100-240VAC，50/60Hz</w:t>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2、颗粒物走航监测系统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使用六参数仪器或激光雷达开展颗粒物走航工作。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①总体要求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利用空气质量走航监测技术进行移动监测和溯源，结合不同工作模式获得污染因子污染强度分布地图，掌握区域污染排放特征和排放规律，对区域污染源进行精准溯源。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服务期间，颗粒物走航车根据实际情况按需进行驻场服务。颗粒物走航监测不少于30天。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②监测系统的技术参数</w:t>
      </w:r>
      <w:r/>
    </w:p>
    <w:tbl>
      <w:tblPr>
        <w:tblStyle w:val="750"/>
        <w:tblW w:w="88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jc w:val="center"/>
          <w:trHeight w:val="466"/>
        </w:trPr>
        <w:tc>
          <w:tcPr>
            <w:tcW w:w="8860" w:type="dxa"/>
            <w:vAlign w:val="top"/>
            <w:textDirection w:val="lrTb"/>
            <w:noWrap w:val="false"/>
          </w:tcPr>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激光雷达技术参数</w:t>
            </w:r>
            <w:r/>
          </w:p>
        </w:tc>
      </w:tr>
      <w:tr>
        <w:trPr>
          <w:jc w:val="center"/>
          <w:trHeight w:val="5110"/>
        </w:trPr>
        <w:tc>
          <w:tcPr>
            <w:tcW w:w="8860" w:type="dxa"/>
            <w:vAlign w:val="top"/>
            <w:textDirection w:val="lrTb"/>
            <w:noWrap w:val="false"/>
          </w:tcPr>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（1）总体指标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1）探测距离：垂直探测最大高度可达10km以上，水平探测最大距离可达6km以上；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2）空间分辨率：1.5m～300m，至少包括十个档位可调；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3）时间分辨率：≤30min，可调节；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4）盲区距离：≤75m；</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5）扫描方式：用顶载固定云台扫描模式，激光雷达主机放置在云台顶端进行扫描，能够连续旋转无线缆缠绕；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6）扫描旋转速度：0～30°/s可调，角度分辨率≤0.1°（可调节设置）；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7）扫描角度：水平扫描0～360°，垂直扫描0～180°，可无限旋转扫描；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水平扫描观测时间效率：可调节，完成一次0°～360°水平扫描（角度分辨率不低于2°，累计廓线条数≥180条，单条廓线累计平均脉冲不低于12000发脉冲），最快8分钟内完成，每小时至少可提供7幅完整水平扫描图谱；</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▲9）数据相关性：具备比对修正功能，在70m垂直高度内的小时监测数据与地面标准空气站（包含PM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10</w:t>
            </w:r>
            <w:r>
              <w:rPr>
                <w:rFonts w:hint="eastAsia" w:ascii="仿宋" w:hAnsi="仿宋" w:eastAsia="仿宋" w:cs="仿宋"/>
                <w:color w:val="auto"/>
                <w:sz w:val="24"/>
                <w:highlight w:val="none"/>
              </w:rPr>
              <w:t xml:space="preserve">因子）监测数据的相关性≥95%（24小时）（提供省级或以上具有CNAS或CMA资质的第三方检验机构出具的检验报告复印件）；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激光安全性：按照GB18217-2000激光安全标志和GB7274.1-2012中4类产品规定满足Class3B类以上的标准，贴有激光警告标记、说明标记、激光窗口标志以及有关文字说明提高使用人眼安全性，具体参考GB7247.1-2012中的5.6的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自检功能：激光雷达主机及云台具备上电自检功能，在初始通电运行后能够对包括激光器等组件的状态进行检测，对运行异常部分进行自动报警提示，最后水平360°旋转自检并自动归零和垂直180°自检并自动归零（提供省级或以上具有CNAS或CMA资质的第三方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（2）发射单元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1）激光发射波长：532nm；</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▲2）波长偏差：≤0.2nm（提供省级或以上具有CMA资质的激光器件质量检验机构出具的检验报告复印件）；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3）激光重复频率：1kHz~100kHz之间任意可调；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4）单脉冲能量：常规设定为10μJ～1000μJ之间，可调节，最大可大于1mJ以上。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（3）接收单元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1）探测口径：≥160mm；</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2）采用卡塞格林光学接收系统，避免太阳高度角对探测器及系统的损伤，同时主机具有望远镜保护窗口，可防止灰尘和水汽进入，有利于光学系统清洁维护并防止划伤，不影响光学镀膜；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▲3）信噪比：总体信噪比≥100dB，白天夜晚均能满足3km以下不小于150dB，3km-6km不小于120dB，6km以上不小于100dB（提供省级或以上具有CNAS或CMA资质的第三方检验机构出具的检验报告复印件）；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（4）采集控制软件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1）数据显示与报警：能够对设备工作状态（激光器温度、激光器电流、探测器高压值、联网通信串口、采集卡、云台等）进行实时监视与显示，并在设备状态出现异常时报警；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2）工作状态：能够绘制设备工作状态数据的时间曲线并支持保存功能，以监测系统的运行状态，可以通过相关方式对用户进行及时提示与报警；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软件支持定时扫描功能，可以设置定时扫描的类型（水平扫描、垂直扫描、固定斜程）、定时周期、定时频率、执行日期及时间、扫描角度等参数进行运行周期的配置，并支持多个定时扫描任务的配置和执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模式自动切换功能：具备自动模式切换功能，可实现水平扫描和垂直观测连续自动交替运行，软件支持固定垂直监测、固定斜程监测、固定扫描监测、移动走航监测等不同监测模式的动态切换，软件设置定时扫描功能后，多种监测模式可自动交替进行，无需重启软件即可进行监测模式的切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日志查询：能够进行详细的系统日志及操作日志记录和查询，并且用户可以对这些日记信息进行历史信息查询，包括激光器出停光时间、设备壳体温度、晶体温度、内外部湿度、频率触发方式、故障码信息等，以便对相关问题进行追溯查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6）强制恢复：具有强制恢复监测功能，能够在设备故障重启后使用上一次有效监测模式进行监测。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（5）分析软件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1）软件能实现对雷达数据的图谱及曲线解析与显示，可生成相关参数的时间空间解析图，软件可识别球形粒子及非球形粒子，同时输出颗粒物浓度（PM</w:t>
            </w:r>
            <w:r>
              <w:rPr>
                <w:rFonts w:hint="eastAsia" w:ascii="仿宋" w:hAnsi="仿宋" w:eastAsia="仿宋" w:cs="仿宋"/>
                <w:color w:val="auto"/>
                <w:sz w:val="24"/>
                <w:highlight w:val="none"/>
                <w:vertAlign w:val="subscript"/>
              </w:rPr>
              <w:t xml:space="preserve">10</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）、消光系数、退偏比、能见度、光学厚度、大气边界层高度、云层数及高度、底层云高度等大气特征；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2）软件能够以伪彩图的方式呈现颗粒物（PM</w:t>
            </w:r>
            <w:r>
              <w:rPr>
                <w:rFonts w:hint="eastAsia" w:ascii="仿宋" w:hAnsi="仿宋" w:eastAsia="仿宋" w:cs="仿宋"/>
                <w:color w:val="auto"/>
                <w:sz w:val="24"/>
                <w:highlight w:val="none"/>
                <w:vertAlign w:val="subscript"/>
              </w:rPr>
              <w:t xml:space="preserve">10</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）浓度数据，可鼠标点击伪彩图不同区域，查看特定时间点的颗粒物浓度和特定高度的颗粒物浓度变化曲线图；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3）软件平台具备区域激光雷达数据组网展示能力，包含激光雷达水平观测和垂直观测组网展示；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4）软件平台具备信息安全性、可靠性、可移植性和可维护性等要求，方便用户应用，且原始数据为二进制文本文件，便于读取、存储和二次开发。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5）软件平台具备扫描热点的后端自动标绘功能，能够对扫描热点进行自动识别，并对扫描热点的频次进行统计，形成热点频次排名和热力图，并通过短信或者手机APP端进行推送相关标绘的热点信息；</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6）软件支持数据的自动上传，包括监测结果和过程参数，支持软件脱机运行，支持导入、管理水平扫描、剖面扫描、锥形扫描等探测数据，能够同时进行伪彩图、廓线图和曲线图的查看。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（6）激光雷达数据质控</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为保障激光雷达设备数据的质量，投标产品须有完善的质控体系，包括但不限于如下建设内容：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1）提供激光雷达电子学信号测试方案；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2）提供光学系统接收后向大气瑞利散射信号的标定测试方案；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3）提供望远镜四象限一致性测试方案；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4）提供过渡区几何因子校正服务，具有相应的校准装置，校准原理基于气溶胶成像激光探测或其他原理。</w:t>
            </w:r>
            <w:r/>
          </w:p>
        </w:tc>
      </w:tr>
    </w:tbl>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bookmarkEnd w:id="23"/>
      <w:r/>
      <w:bookmarkEnd w:id="24"/>
      <w:r/>
      <w:bookmarkEnd w:id="25"/>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（三）涉VOCs废气排放企业专项核查服务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通过对企业VOCs废气排放及治理现状进行调查，依据存在的问题提出有针对性的VOCs废气整治建议，包括企业目前的生产状况，污染防治情况，存在的主要问题，建议采取的整治措施等。调查企业不少于30家。</w:t>
      </w:r>
      <w:r/>
    </w:p>
    <w:p>
      <w:pPr>
        <w:ind w:right="359"/>
        <w:spacing w:line="360" w:lineRule="auto"/>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五、付款方式</w:t>
      </w:r>
      <w:r/>
    </w:p>
    <w:p>
      <w:pPr>
        <w:ind w:firstLine="480"/>
        <w:jc w:val="left"/>
        <w:keepLines w:val="0"/>
        <w:keepNext w:val="0"/>
        <w:pageBreakBefore w:val="0"/>
        <w:spacing w:line="360" w:lineRule="auto"/>
        <w:widowControl w:val="off"/>
        <w:rPr>
          <w:rFonts w:hint="eastAsia" w:ascii="仿宋" w:hAnsi="仿宋" w:eastAsia="仿宋" w:cs="仿宋"/>
          <w:b/>
          <w:color w:val="auto"/>
          <w:sz w:val="24"/>
          <w:highlight w:val="none"/>
          <w:lang w:val="en-US" w:eastAsia="zh-CN"/>
        </w:rPr>
        <w:outlineLvl w:val="9"/>
      </w:pPr>
      <w:r>
        <w:rPr>
          <w:rFonts w:hint="eastAsia" w:ascii="仿宋" w:hAnsi="仿宋" w:eastAsia="仿宋" w:cs="仿宋"/>
          <w:color w:val="auto"/>
          <w:sz w:val="24"/>
        </w:rPr>
        <w:t xml:space="preserve">合同签订后，甲方自收到乙方发票之日起15日内支付合同金额的30%为预付款；合同签订3个月后，甲方向乙方支付合同总额的40%；</w:t>
      </w:r>
      <w:r>
        <w:rPr>
          <w:rFonts w:hint="eastAsia" w:ascii="仿宋" w:hAnsi="仿宋" w:eastAsia="仿宋" w:cs="仿宋"/>
          <w:color w:val="auto"/>
          <w:sz w:val="24"/>
          <w:lang w:val="en-US" w:eastAsia="zh-CN"/>
        </w:rPr>
        <w:t xml:space="preserve">合同总额的2</w:t>
      </w:r>
      <w:r>
        <w:rPr>
          <w:rFonts w:hint="eastAsia" w:ascii="仿宋" w:hAnsi="仿宋" w:eastAsia="仿宋" w:cs="仿宋"/>
          <w:color w:val="auto"/>
          <w:sz w:val="24"/>
        </w:rPr>
        <w:t xml:space="preserve">0%为考核款，具体考核细则由甲乙双方共同协商确认</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项目结束后经验收确认考核情况后支付剩余款项。</w:t>
      </w:r>
      <w:r/>
    </w:p>
    <w:p>
      <w:pPr>
        <w:pStyle w:val="758"/>
        <w:ind w:left="0" w:firstLine="0"/>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3、（一）磋商报价表</w:t>
      </w:r>
      <w:r/>
    </w:p>
    <w:p>
      <w:pPr>
        <w:jc w:val="center"/>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（首次报价）</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货币单位：人民币元</w:t>
      </w:r>
      <w:r/>
    </w:p>
    <w:tbl>
      <w:tblPr>
        <w:tblStyle w:val="750"/>
        <w:tblW w:w="881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259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报价（小写）</w:t>
            </w:r>
            <w:r/>
          </w:p>
        </w:tc>
        <w:tc>
          <w:tcPr>
            <w:tcW w:w="2590" w:type="dxa"/>
            <w:vAlign w:val="center"/>
            <w:textDirection w:val="lrTb"/>
            <w:noWrap w:val="false"/>
          </w:tcPr>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新沂市环境空气质量提升技术服务项目</w:t>
            </w:r>
            <w:r/>
          </w:p>
        </w:tc>
        <w:tc>
          <w:tcPr>
            <w:tcW w:w="4065"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2590"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报价（大写）：</w:t>
            </w:r>
            <w:r/>
          </w:p>
        </w:tc>
        <w:tc>
          <w:tcPr>
            <w:gridSpan w:val="2"/>
            <w:tcW w:w="6655"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r>
    </w:tbl>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供应商承诺：本报价（总价）为供应商本企业提供的服务。</w:t>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报价说明：</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2、报价以总价为准，大小写不一致以大写为准；</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3、偏离说明：详见《偏离表》；</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4、如最后报价未列明单价，则最后所报各项单价计算方法为：（最后总价/最初总价）*各项最初报价的单价。</w:t>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供应商名称：</w:t>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法定代表人(负责人)或授权代表（签字或盖章）：</w:t>
      </w:r>
      <w:r/>
    </w:p>
    <w:p>
      <w:pPr>
        <w:ind w:firstLine="472"/>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pStyle w:val="1001"/>
        <w:ind w:left="0" w:firstLine="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jc w:val="center"/>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jc w:val="center"/>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30"/>
          <w:szCs w:val="30"/>
          <w:lang w:val="en-US" w:eastAsia="zh-CN"/>
        </w:rPr>
        <w:t xml:space="preserve">4、偏离表</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p>
    <w:tbl>
      <w:tblPr>
        <w:tblStyle w:val="750"/>
        <w:tblW w:w="8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jc w:val="center"/>
          <w:trHeight w:val="414"/>
        </w:trPr>
        <w:tc>
          <w:tcPr>
            <w:tcW w:w="959"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序号</w:t>
            </w:r>
            <w:r/>
          </w:p>
        </w:tc>
        <w:tc>
          <w:tcPr>
            <w:tcW w:w="1273"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内容</w:t>
            </w:r>
            <w:r/>
          </w:p>
        </w:tc>
        <w:tc>
          <w:tcPr>
            <w:tcW w:w="1356"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说明</w:t>
            </w:r>
            <w:r/>
          </w:p>
        </w:tc>
      </w:tr>
      <w:tr>
        <w:trPr>
          <w:jc w:val="center"/>
          <w:trHeight w:val="794"/>
        </w:trPr>
        <w:tc>
          <w:tcPr>
            <w:tcW w:w="959"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273"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356"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765"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595"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980"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bl>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供应商名称： </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法定代表人(负责人)或授权代表（签字或盖章）：</w:t>
      </w:r>
      <w:r/>
    </w:p>
    <w:p>
      <w:pPr>
        <w:ind w:firstLine="472"/>
        <w:spacing w:line="360" w:lineRule="auto"/>
        <w:rPr>
          <w:rStyle w:val="997"/>
          <w:rFonts w:hint="eastAsia" w:ascii="仿宋_GB2312" w:hAnsi="仿宋_GB2312" w:eastAsia="仿宋_GB2312" w:cs="仿宋_GB2312"/>
          <w:b w:val="0"/>
          <w:bCs w:val="0"/>
          <w:color w:val="auto"/>
          <w:sz w:val="24"/>
          <w:szCs w:val="24"/>
        </w:rPr>
      </w:pPr>
      <w:r>
        <w:rPr>
          <w:rStyle w:val="997"/>
          <w:rFonts w:hint="eastAsia" w:ascii="仿宋_GB2312" w:hAnsi="仿宋_GB2312" w:eastAsia="仿宋_GB2312" w:cs="仿宋_GB2312"/>
          <w:b w:val="0"/>
          <w:bCs w:val="0"/>
          <w:color w:val="auto"/>
          <w:sz w:val="24"/>
          <w:szCs w:val="24"/>
        </w:rPr>
        <w:t xml:space="preserve">日期：    年   月   日</w:t>
      </w:r>
      <w:r/>
    </w:p>
    <w:p>
      <w:pPr>
        <w:jc w:val="center"/>
        <w:spacing w:line="360" w:lineRule="auto"/>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832"/>
        <w:ind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spacing w:line="360" w:lineRule="auto"/>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5、承诺书</w:t>
      </w:r>
      <w:r/>
    </w:p>
    <w:p>
      <w:pPr>
        <w:ind w:firstLine="472"/>
        <w:widowControl/>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致：</w:t>
      </w:r>
      <w:r>
        <w:rPr>
          <w:rFonts w:hint="eastAsia" w:ascii="仿宋_GB2312" w:hAnsi="仿宋_GB2312" w:eastAsia="仿宋_GB2312" w:cs="仿宋_GB2312"/>
          <w:color w:val="auto"/>
          <w:sz w:val="24"/>
          <w:lang w:eastAsia="zh-CN"/>
        </w:rPr>
        <w:t xml:space="preserve">江苏天元房地产评估造价集团有限公司</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根据贵方</w:t>
      </w:r>
      <w:r>
        <w:rPr>
          <w:rFonts w:hint="eastAsia" w:ascii="仿宋_GB2312" w:hAnsi="仿宋_GB2312" w:eastAsia="仿宋_GB2312" w:cs="仿宋_GB2312"/>
          <w:color w:val="auto"/>
          <w:sz w:val="24"/>
          <w:u w:val="single"/>
          <w:lang w:eastAsia="zh-CN"/>
        </w:rPr>
        <w:t xml:space="preserve">新沂市环境空气质量提升技术服务项目</w:t>
      </w:r>
      <w:r>
        <w:rPr>
          <w:rFonts w:hint="eastAsia" w:ascii="仿宋_GB2312" w:hAnsi="仿宋_GB2312" w:eastAsia="仿宋_GB2312" w:cs="仿宋_GB2312"/>
          <w:color w:val="auto"/>
          <w:sz w:val="24"/>
        </w:rPr>
        <w:t xml:space="preserve">《竞争性磋商文件》（项目编号：</w:t>
      </w:r>
      <w:r>
        <w:rPr>
          <w:rFonts w:hint="eastAsia" w:ascii="仿宋_GB2312" w:hAnsi="仿宋_GB2312" w:eastAsia="仿宋_GB2312" w:cs="仿宋_GB2312"/>
          <w:color w:val="auto"/>
          <w:sz w:val="24"/>
          <w:lang w:eastAsia="zh-CN"/>
        </w:rPr>
        <w:t xml:space="preserve">JSZC-320381-TYDL-C2026-0002</w:t>
      </w:r>
      <w:r>
        <w:rPr>
          <w:rFonts w:hint="eastAsia" w:ascii="仿宋_GB2312" w:hAnsi="仿宋_GB2312" w:eastAsia="仿宋_GB2312" w:cs="仿宋_GB2312"/>
          <w:color w:val="auto"/>
          <w:sz w:val="24"/>
        </w:rPr>
        <w:t xml:space="preserve">）要求，本供应商正式提交以下首次响应文件。</w:t>
      </w:r>
      <w:r/>
    </w:p>
    <w:p>
      <w:pPr>
        <w:ind w:firstLine="472"/>
        <w:widowControl/>
        <w:rPr>
          <w:rFonts w:hint="eastAsia" w:ascii="仿宋_GB2312" w:hAnsi="仿宋_GB2312" w:eastAsia="仿宋_GB2312" w:cs="仿宋_GB2312"/>
          <w:color w:val="auto"/>
        </w:rPr>
      </w:pP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color w:val="auto"/>
          <w:sz w:val="24"/>
        </w:rPr>
        <w:t xml:space="preserve">（1）承诺书；</w:t>
      </w:r>
      <w:r/>
    </w:p>
    <w:p>
      <w:pPr>
        <w:ind w:firstLine="472"/>
        <w:widowControl/>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（2）磋商报价表；</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（3）偏离表；</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（4）磋商文件要求提供的其他响应文件。</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我单位符合《中华人民共和国政府采购法》第二十二条的规定，符合本项目供应商资格要求。</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我单位按照磋商文件的要求编制响应文件，并对其提交的响应文件的真实性、合法性承担法律责任。</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供应商兹宣布同意如下: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color w:val="auto"/>
          <w:sz w:val="24"/>
        </w:rPr>
        <w:t xml:space="preserve">一、完全承担根据《磋商文件》规定完成合同的责任和义务（如有偏离，将全部填写在偏离表中）。</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color w:val="auto"/>
          <w:sz w:val="24"/>
        </w:rPr>
        <w:t xml:space="preserve">二、保证所提供的响应文件及所有材料的真实、合法、有效，并对其负责。</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三、已详细审核竞争性磋商文件（含竞争性磋商文件的澄清或者修改），本供应商完全理解并同意放弃对这方面不明及误解的权利。</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四、所供服务保证符合国家有关产品质量、性能和安全标准，无权利瑕疵。</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五、同意向贵方提供贵方可能要求的与本次磋商采购有关的任何证据或资料。</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六、</w:t>
      </w:r>
      <w:r>
        <w:rPr>
          <w:rFonts w:hint="eastAsia" w:ascii="仿宋_GB2312" w:hAnsi="仿宋_GB2312" w:eastAsia="仿宋_GB2312" w:cs="仿宋_GB2312"/>
          <w:color w:val="auto"/>
          <w:sz w:val="24"/>
          <w:lang w:eastAsia="zh-CN"/>
        </w:rPr>
        <w:t xml:space="preserve">江苏天元房地产评估造价集团有限公司</w:t>
      </w:r>
      <w:r>
        <w:rPr>
          <w:rFonts w:hint="eastAsia" w:ascii="仿宋_GB2312" w:hAnsi="仿宋_GB2312" w:eastAsia="仿宋_GB2312" w:cs="仿宋_GB2312"/>
          <w:color w:val="auto"/>
          <w:sz w:val="24"/>
        </w:rPr>
        <w:t xml:space="preserve">有权将我单位本项目的《磋商报价表》予以公示，公示的方式由</w:t>
      </w:r>
      <w:r>
        <w:rPr>
          <w:rFonts w:hint="eastAsia" w:ascii="仿宋_GB2312" w:hAnsi="仿宋_GB2312" w:eastAsia="仿宋_GB2312" w:cs="仿宋_GB2312"/>
          <w:color w:val="auto"/>
          <w:sz w:val="24"/>
          <w:lang w:eastAsia="zh-CN"/>
        </w:rPr>
        <w:t xml:space="preserve">江苏天元房地产评估造价集团有限公司</w:t>
      </w:r>
      <w:r>
        <w:rPr>
          <w:rFonts w:hint="eastAsia" w:ascii="仿宋_GB2312" w:hAnsi="仿宋_GB2312" w:eastAsia="仿宋_GB2312" w:cs="仿宋_GB2312"/>
          <w:color w:val="auto"/>
          <w:sz w:val="24"/>
        </w:rPr>
        <w:t xml:space="preserve">确定。</w:t>
      </w:r>
      <w:r/>
    </w:p>
    <w:p>
      <w:pPr>
        <w:ind w:firstLine="472"/>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八、同意在收到成交通知书后，按照有关规定支付代理服务费。</w:t>
      </w:r>
      <w:r/>
    </w:p>
    <w:p>
      <w:pPr>
        <w:ind w:firstLine="472"/>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法定代表人(负责人)或授权代表（签字或盖章）：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联系电话：</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w:t>
      </w:r>
      <w:r/>
    </w:p>
    <w:p>
      <w:pPr>
        <w:pStyle w:val="832"/>
        <w:ind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5"/>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6、法人授权委托书</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委托人（全称）：</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地  址：</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法人营业执照注册号（统一社会信用代码）：</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受托人：                  先生（女士）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联系电话：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身份证号：</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兹委托（           ）全权代表我企业（公司）参与</w:t>
      </w:r>
      <w:r>
        <w:rPr>
          <w:rFonts w:hint="eastAsia" w:ascii="仿宋_GB2312" w:hAnsi="仿宋_GB2312" w:eastAsia="仿宋_GB2312" w:cs="仿宋_GB2312"/>
          <w:color w:val="auto"/>
          <w:sz w:val="24"/>
          <w:u w:val="single"/>
          <w:lang w:eastAsia="zh-CN"/>
        </w:rPr>
        <w:t xml:space="preserve">新沂市环境空气质量提升技术服务项目</w:t>
      </w: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rPr>
          <w:rFonts w:hint="eastAsia" w:ascii="仿宋_GB2312" w:hAnsi="仿宋_GB2312" w:eastAsia="仿宋_GB2312" w:cs="仿宋_GB2312"/>
          <w:color w:val="auto"/>
          <w:sz w:val="24"/>
        </w:rPr>
        <w:t xml:space="preserve">]的磋商活动。（           ）以我单位名义所为的行为及签署的文件，我单位均予以认可。有关法律责任均由我单位承担。（           ）无转委托权。</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委托期限自     年   月  日起至    年   月   日止。</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委托人（</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法定代表人（签字或盖章）：</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受托人（签字）：</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(受托人身份证正反面附后)</w:t>
      </w:r>
      <w:r/>
    </w:p>
    <w:p>
      <w:pPr>
        <w:jc w:val="center"/>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rPr>
        <w:br w:type="page" w:clear="all"/>
      </w:r>
      <w:r>
        <w:rPr>
          <w:rFonts w:hint="eastAsia" w:ascii="仿宋_GB2312" w:hAnsi="仿宋_GB2312" w:eastAsia="仿宋_GB2312" w:cs="仿宋_GB2312"/>
          <w:b/>
          <w:bCs/>
          <w:color w:val="auto"/>
          <w:sz w:val="30"/>
          <w:szCs w:val="30"/>
          <w:lang w:val="en-US" w:eastAsia="zh-CN"/>
        </w:rPr>
        <w:t xml:space="preserve">7、供应商参加政府采购活动前3年内在经营活动中没有重大违法记录的书面声明</w:t>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我单位在参加</w:t>
      </w:r>
      <w:r>
        <w:rPr>
          <w:rFonts w:hint="eastAsia" w:ascii="仿宋_GB2312" w:hAnsi="仿宋_GB2312" w:eastAsia="仿宋_GB2312" w:cs="仿宋_GB2312"/>
          <w:color w:val="auto"/>
          <w:sz w:val="24"/>
          <w:lang w:eastAsia="zh-CN"/>
        </w:rPr>
        <w:t xml:space="preserve">新沂市环境空气质量提升技术服务项目</w:t>
      </w: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rPr>
          <w:rFonts w:hint="eastAsia" w:ascii="仿宋_GB2312" w:hAnsi="仿宋_GB2312" w:eastAsia="仿宋_GB2312" w:cs="仿宋_GB2312"/>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我单位对上述声明的真实性负责。如有虚假，将依法承担相应责任。</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法定代表人或授权代表（签字或盖章）：</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供应商名称：</w:t>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pStyle w:val="82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br w:type="page" w:clear="all"/>
      </w:r>
      <w:r>
        <w:rPr>
          <w:rFonts w:hint="eastAsia" w:ascii="仿宋_GB2312" w:hAnsi="仿宋_GB2312" w:eastAsia="仿宋_GB2312" w:cs="仿宋_GB2312"/>
          <w:b/>
          <w:bCs/>
          <w:color w:val="auto"/>
          <w:sz w:val="30"/>
          <w:szCs w:val="30"/>
          <w:lang w:val="en-US" w:eastAsia="zh-CN"/>
        </w:rPr>
        <w:t xml:space="preserve">8、中小企业声明函</w:t>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项目名称：</w:t>
      </w:r>
      <w:r>
        <w:rPr>
          <w:rFonts w:hint="eastAsia" w:ascii="仿宋_GB2312" w:hAnsi="仿宋_GB2312" w:eastAsia="仿宋_GB2312" w:cs="仿宋_GB2312"/>
          <w:color w:val="auto"/>
          <w:sz w:val="24"/>
          <w:lang w:eastAsia="zh-CN"/>
        </w:rPr>
        <w:t xml:space="preserve">新沂市环境空气质量提升技术服务项目</w:t>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p>
    <w:p>
      <w:pPr>
        <w:ind w:firstLine="472"/>
        <w:spacing w:line="48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本公司（联合体）郑重声明，根据《政府采购促进中小企业发展管理办法》（财库﹝2020﹞46 号）的规定，本公司（联合体）参加</w:t>
      </w:r>
      <w:r>
        <w:rPr>
          <w:rFonts w:hint="eastAsia" w:ascii="仿宋_GB2312" w:hAnsi="仿宋_GB2312" w:eastAsia="仿宋_GB2312" w:cs="仿宋_GB2312"/>
          <w:color w:val="auto"/>
          <w:sz w:val="24"/>
          <w:u w:val="single"/>
        </w:rPr>
        <w:t xml:space="preserve">（单位名称）</w:t>
      </w:r>
      <w:r>
        <w:rPr>
          <w:rFonts w:hint="eastAsia" w:ascii="仿宋_GB2312" w:hAnsi="仿宋_GB2312" w:eastAsia="仿宋_GB2312" w:cs="仿宋_GB2312"/>
          <w:color w:val="auto"/>
          <w:sz w:val="24"/>
        </w:rPr>
        <w:t xml:space="preserve">的</w:t>
      </w:r>
      <w:r>
        <w:rPr>
          <w:rFonts w:hint="eastAsia" w:ascii="仿宋_GB2312" w:hAnsi="仿宋_GB2312" w:eastAsia="仿宋_GB2312" w:cs="仿宋_GB2312"/>
          <w:color w:val="auto"/>
          <w:sz w:val="24"/>
          <w:u w:val="single"/>
        </w:rPr>
        <w:t xml:space="preserve">（项目名称）</w:t>
      </w:r>
      <w:r>
        <w:rPr>
          <w:rFonts w:hint="eastAsia" w:ascii="仿宋_GB2312" w:hAnsi="仿宋_GB2312" w:eastAsia="仿宋_GB2312" w:cs="仿宋_GB2312"/>
          <w:color w:val="auto"/>
          <w:sz w:val="24"/>
        </w:rPr>
        <w:t xml:space="preserve">采购活动，服务全部由符合政策要求的中小企业承接。相关企业（含联合体中的中小企业、签订分包意向协议的中小企业）的具体情况如下：</w:t>
      </w:r>
      <w:r/>
    </w:p>
    <w:p>
      <w:pPr>
        <w:ind w:firstLine="472"/>
        <w:spacing w:line="48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w:t>
      </w:r>
      <w:r>
        <w:rPr>
          <w:rFonts w:hint="eastAsia" w:ascii="仿宋_GB2312" w:hAnsi="仿宋_GB2312" w:eastAsia="仿宋_GB2312" w:cs="仿宋_GB2312"/>
          <w:color w:val="auto"/>
          <w:sz w:val="24"/>
          <w:u w:val="single"/>
        </w:rPr>
        <w:t xml:space="preserve">（标的名称）</w:t>
      </w:r>
      <w:r>
        <w:rPr>
          <w:rFonts w:hint="eastAsia" w:ascii="仿宋_GB2312" w:hAnsi="仿宋_GB2312" w:eastAsia="仿宋_GB2312" w:cs="仿宋_GB2312"/>
          <w:color w:val="auto"/>
          <w:sz w:val="24"/>
        </w:rPr>
        <w:t xml:space="preserve"> ，属于</w:t>
      </w:r>
      <w:r>
        <w:rPr>
          <w:rFonts w:hint="eastAsia" w:ascii="仿宋_GB2312" w:hAnsi="仿宋_GB2312" w:eastAsia="仿宋_GB2312" w:cs="仿宋_GB2312"/>
          <w:color w:val="auto"/>
          <w:sz w:val="24"/>
          <w:u w:val="single"/>
        </w:rPr>
        <w:t xml:space="preserve">（技术服务业）</w:t>
      </w:r>
      <w:r>
        <w:rPr>
          <w:rFonts w:hint="eastAsia" w:ascii="仿宋_GB2312" w:hAnsi="仿宋_GB2312" w:eastAsia="仿宋_GB2312" w:cs="仿宋_GB2312"/>
          <w:color w:val="auto"/>
          <w:sz w:val="24"/>
        </w:rPr>
        <w:t xml:space="preserve">； 承建（承接）企业为</w:t>
      </w:r>
      <w:r>
        <w:rPr>
          <w:rFonts w:hint="eastAsia" w:ascii="仿宋_GB2312" w:hAnsi="仿宋_GB2312" w:eastAsia="仿宋_GB2312" w:cs="仿宋_GB2312"/>
          <w:color w:val="auto"/>
          <w:sz w:val="24"/>
          <w:u w:val="single"/>
        </w:rPr>
        <w:t xml:space="preserve">（企业名称）</w:t>
      </w:r>
      <w:r>
        <w:rPr>
          <w:rFonts w:hint="eastAsia" w:ascii="仿宋_GB2312" w:hAnsi="仿宋_GB2312" w:eastAsia="仿宋_GB2312" w:cs="仿宋_GB2312"/>
          <w:color w:val="auto"/>
          <w:sz w:val="24"/>
        </w:rPr>
        <w:t xml:space="preserve">，从业人员</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人，营业收入为</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万元，资产总额为</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万元 ，属于</w:t>
      </w:r>
      <w:r>
        <w:rPr>
          <w:rFonts w:hint="eastAsia" w:ascii="仿宋_GB2312" w:hAnsi="仿宋_GB2312" w:eastAsia="仿宋_GB2312" w:cs="仿宋_GB2312"/>
          <w:color w:val="auto"/>
          <w:sz w:val="24"/>
          <w:u w:val="single"/>
        </w:rPr>
        <w:t xml:space="preserve">    （中型企业、 小型企业、微型企业）</w:t>
      </w:r>
      <w:r>
        <w:rPr>
          <w:rFonts w:hint="eastAsia" w:ascii="仿宋_GB2312" w:hAnsi="仿宋_GB2312" w:eastAsia="仿宋_GB2312" w:cs="仿宋_GB2312"/>
          <w:color w:val="auto"/>
          <w:sz w:val="24"/>
        </w:rPr>
        <w:t xml:space="preserve">；</w:t>
      </w:r>
      <w:r/>
    </w:p>
    <w:p>
      <w:pPr>
        <w:ind w:firstLine="472"/>
        <w:rPr>
          <w:rFonts w:hint="eastAsia" w:ascii="仿宋_GB2312" w:hAnsi="仿宋_GB2312" w:eastAsia="仿宋_GB2312" w:cs="仿宋_GB2312"/>
          <w:color w:val="auto"/>
          <w:sz w:val="24"/>
        </w:rPr>
      </w:pPr>
      <w:r>
        <w:rPr>
          <w:rFonts w:hint="eastAsia" w:ascii="仿宋_GB2312" w:hAnsi="仿宋_GB2312" w:eastAsia="仿宋_GB2312" w:cs="仿宋_GB2312"/>
          <w:b/>
          <w:color w:val="auto"/>
          <w:sz w:val="24"/>
        </w:rPr>
        <w:t xml:space="preserve">.........</w:t>
      </w:r>
      <w:r>
        <w:rPr>
          <w:rFonts w:hint="eastAsia" w:ascii="仿宋_GB2312" w:hAnsi="仿宋_GB2312" w:eastAsia="仿宋_GB2312" w:cs="仿宋_GB2312"/>
          <w:color w:val="auto"/>
          <w:sz w:val="24"/>
        </w:rPr>
        <w:t xml:space="preserve"> </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本企业对上述声明内容的真实性负责。如有虚假，将依法承担相应责任。 </w:t>
      </w:r>
      <w:r/>
    </w:p>
    <w:p>
      <w:pPr>
        <w:jc w:val="cente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企业名称（</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 </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日 期：   年  月  日</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说明：如提供虚假中小企业声明函的，则采购人有权取消投标、中标候选或中标资格，有权终止合同，并报政府采购监管部门。</w:t>
      </w:r>
      <w:r/>
    </w:p>
    <w:p>
      <w:pPr>
        <w:jc w:val="center"/>
        <w:rPr>
          <w:rStyle w:val="997"/>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825"/>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pacing w:val="8"/>
          <w:sz w:val="33"/>
          <w:szCs w:val="33"/>
          <w:shd w:val="clear" w:color="auto" w:fill="ffffff"/>
        </w:rPr>
        <w:br w:type="page" w:clear="all"/>
      </w:r>
      <w:r/>
    </w:p>
    <w:p>
      <w:pPr>
        <w:jc w:val="cente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9、残疾人福利性单位声明函</w:t>
      </w:r>
      <w:r/>
    </w:p>
    <w:p>
      <w:pPr>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项目名称：</w:t>
      </w:r>
      <w:r>
        <w:rPr>
          <w:rFonts w:hint="eastAsia" w:ascii="仿宋_GB2312" w:hAnsi="仿宋_GB2312" w:eastAsia="仿宋_GB2312" w:cs="仿宋_GB2312"/>
          <w:color w:val="auto"/>
          <w:sz w:val="24"/>
          <w:lang w:eastAsia="zh-CN"/>
        </w:rPr>
        <w:t xml:space="preserve">新沂市环境空气质量提升技术服务项目</w:t>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单位的</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本单位对上述声明的真实性负责。如有虚假，将依法承担相应责任。</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法定代表人或授权代表（签字或盖章）：</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pStyle w:val="991"/>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br w:type="page" w:clear="all"/>
      </w:r>
      <w:r>
        <w:rPr>
          <w:rFonts w:hint="eastAsia" w:ascii="仿宋_GB2312" w:hAnsi="仿宋_GB2312" w:eastAsia="仿宋_GB2312" w:cs="仿宋_GB2312"/>
          <w:b/>
          <w:bCs/>
          <w:color w:val="auto"/>
          <w:sz w:val="30"/>
          <w:szCs w:val="30"/>
          <w:lang w:val="en-US" w:eastAsia="zh-CN"/>
        </w:rPr>
        <w:t xml:space="preserve">10、方案</w:t>
      </w:r>
      <w:r/>
    </w:p>
    <w:p>
      <w:pPr>
        <w:pStyle w:val="1005"/>
        <w:ind w:left="1275" w:firstLine="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1005"/>
        <w:ind w:left="0" w:firstLine="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w:t>
      </w:r>
      <w:r>
        <w:rPr>
          <w:rFonts w:hint="eastAsia" w:ascii="仿宋_GB2312" w:hAnsi="仿宋_GB2312" w:cs="仿宋_GB2312"/>
          <w:color w:val="auto"/>
          <w:sz w:val="28"/>
          <w:szCs w:val="28"/>
          <w:lang w:eastAsia="zh-CN"/>
        </w:rPr>
        <w:t xml:space="preserve">参照评分细则，格式自拟</w:t>
      </w:r>
      <w:r>
        <w:rPr>
          <w:rFonts w:hint="eastAsia" w:ascii="仿宋_GB2312" w:hAnsi="仿宋_GB2312" w:eastAsia="仿宋_GB2312" w:cs="仿宋_GB2312"/>
          <w:color w:val="auto"/>
          <w:sz w:val="28"/>
          <w:szCs w:val="28"/>
        </w:rPr>
        <w:t xml:space="preserve">）</w:t>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1005"/>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jc w:val="both"/>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numPr>
          <w:ilvl w:val="0"/>
          <w:numId w:val="2"/>
        </w:numPr>
        <w:jc w:val="cente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合同草案条款</w:t>
      </w:r>
      <w:r/>
    </w:p>
    <w:p>
      <w:pPr>
        <w:pStyle w:val="758"/>
        <w:numPr>
          <w:ilvl w:val="0"/>
          <w:numId w:val="0"/>
        </w:numPr>
        <w:ind w:left="880" w:right="6"/>
        <w:rPr>
          <w:rFonts w:hint="eastAsia"/>
          <w:color w:val="auto"/>
          <w:lang w:val="en-US" w:eastAsia="zh-CN"/>
        </w:rPr>
      </w:pPr>
      <w:r>
        <w:rPr>
          <w:rFonts w:hint="eastAsia"/>
          <w:color w:val="auto"/>
          <w:lang w:val="en-US" w:eastAsia="zh-CN"/>
        </w:rPr>
      </w:r>
      <w:r/>
    </w:p>
    <w:p>
      <w:pPr>
        <w:spacing w:line="40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合同编号：</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822"/>
        <w:jc w:val="center"/>
        <w:rPr>
          <w:rFonts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政府采购合同</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项目名称：                               </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委托方（甲方）：                              </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受托方（乙方）：                    </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签订地点：</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签订日期：   年   月  日</w:t>
      </w:r>
      <w:r/>
    </w:p>
    <w:p>
      <w:pPr>
        <w:pStyle w:val="820"/>
        <w:keepLines w:val="0"/>
        <w:keepNext w:val="0"/>
        <w:pageBreakBefore w:val="0"/>
        <w:spacing w:line="40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color w:val="auto"/>
          <w:sz w:val="24"/>
        </w:rPr>
        <w:t xml:space="preserve">有效期限：   年   月  日至    年  月  日</w:t>
      </w:r>
      <w:r/>
    </w:p>
    <w:p>
      <w:pPr>
        <w:pStyle w:val="820"/>
        <w:keepLines w:val="0"/>
        <w:keepNext w:val="0"/>
        <w:pageBreakBefore w:val="0"/>
        <w:spacing w:line="40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color w:val="auto"/>
          <w:sz w:val="24"/>
        </w:rPr>
      </w:r>
      <w:r/>
    </w:p>
    <w:p>
      <w:pPr>
        <w:pStyle w:val="820"/>
        <w:keepLines w:val="0"/>
        <w:keepNext w:val="0"/>
        <w:pageBreakBefore w:val="0"/>
        <w:spacing w:line="40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color w:val="auto"/>
          <w:sz w:val="24"/>
        </w:rPr>
      </w:r>
      <w:r/>
    </w:p>
    <w:p>
      <w:pPr>
        <w:pStyle w:val="820"/>
        <w:ind w:firstLine="480"/>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820"/>
        <w:ind w:firstLine="562"/>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20"/>
        <w:ind w:firstLine="480"/>
        <w:keepLines w:val="0"/>
        <w:keepNext w:val="0"/>
        <w:pageBreakBefore w:val="0"/>
        <w:spacing w:line="400" w:lineRule="exact"/>
        <w:widowControl w:val="off"/>
        <w:rPr>
          <w:rFonts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本合同买方委托卖方就</w:t>
      </w:r>
      <w:r>
        <w:rPr>
          <w:rFonts w:hint="eastAsia" w:ascii="仿宋" w:hAnsi="仿宋" w:eastAsia="仿宋" w:cs="仿宋"/>
          <w:color w:val="auto"/>
          <w:sz w:val="24"/>
          <w:szCs w:val="24"/>
          <w:highlight w:val="none"/>
          <w:lang w:eastAsia="zh-CN"/>
        </w:rPr>
        <w:t xml:space="preserve">新沂市环境空气质量提升技术服务项目</w:t>
      </w:r>
      <w:r>
        <w:rPr>
          <w:rFonts w:hint="eastAsia" w:ascii="仿宋" w:hAnsi="仿宋" w:eastAsia="仿宋" w:cs="仿宋"/>
          <w:color w:val="auto"/>
          <w:sz w:val="24"/>
          <w:szCs w:val="24"/>
          <w:highlight w:val="none"/>
        </w:rPr>
        <w:t xml:space="preserve">进行安全技术服务，并支付相应技术服务报酬。双方经过平等协商，在真实、充分地表达各自意愿的基础上，根据《中华人民共和国政府采购法》、《中华人民共和国民法典》的规定，达成如下协议，并由双方共同恪守。</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甲方：</w:t>
      </w:r>
      <w:r>
        <w:rPr>
          <w:rFonts w:hint="eastAsia" w:ascii="仿宋" w:hAnsi="仿宋" w:eastAsia="仿宋" w:cs="仿宋"/>
          <w:color w:val="auto"/>
          <w:sz w:val="24"/>
          <w:u w:val="single"/>
        </w:rPr>
        <w:t xml:space="preserve">   徐州市新沂生态环境局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乙方：</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根据《中华人民共和国政府采购法》、《中华人民共和国民法典》等法律法规的规定，甲乙双方本着平等、互利、协作的原则，经协商达成协议如下：</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第一条 合同文件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下列与本次采购活动有关的文件及附件是本合同不可分割的组成部分，与本合同具有同等法律效力，这些文件包括但不限于：</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1.招标采购文件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2.投标文件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3.乙方在投标时的书面承诺</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4.中标通知书或成交通知书</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5.合同补充条款或说明</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6.保密协议或条款</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7.相关附件、图纸及电子版资料</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第二条  合同内容</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服务内容：详见招标文件及乙方投标文件。</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第三条  合同总金额</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本合同总金额人民币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（小写：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元）。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本合同总价款包括服务期间必须的设备、日常易耗品、工具、调试费、培训费等相关费用。</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本合同执行期内因工作量变化而引起的服务费用的变动，在双方事先协商一致的前提下签订补充合同。</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第四条  权利义务和质量保证</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第五条  付款方式</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1.本合同项下所有款项均以人民币支付。</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2.乙方向甲方提交下列文件材料，经甲方审核无误后支付采购资金：</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（1）经甲方确认的发票；</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（2）经甲乙双方确认签订的服务项目考核目标；</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（3）其他材料。</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3.款项的支付进度以招标采购文件的有关规定为准。如招标采购文件未作特别规定，则付款进度应符合如下约定：</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合同签订后，甲方自收到乙方发票之日起15日内支付合同金额的30%为预付款；合同签订6个月后，甲方向乙方支付合同总额的60%；项目结束并通过验收后，甲方向乙方支付合同总额的10%</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（2）结算方式：转账结算（银行转账）。</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付款方：徐州市新沂生态环境局</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甲方： 徐州市新沂生态环境局</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收款方：</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乙方帐户信息：</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公司： </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税号：</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银行: </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账号：</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电话：</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第六条  交货与验收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zh-CN"/>
        </w:rPr>
        <w:t xml:space="preserve">乙方应当在合同签订后</w:t>
      </w:r>
      <w:r>
        <w:rPr>
          <w:rFonts w:hint="eastAsia" w:ascii="仿宋" w:hAnsi="仿宋" w:eastAsia="仿宋" w:cs="仿宋"/>
          <w:color w:val="auto"/>
          <w:sz w:val="24"/>
          <w:u w:val="single"/>
        </w:rPr>
        <w:t xml:space="preserve">  5  </w:t>
      </w:r>
      <w:r>
        <w:rPr>
          <w:rFonts w:hint="eastAsia" w:ascii="仿宋" w:hAnsi="仿宋" w:eastAsia="仿宋" w:cs="仿宋"/>
          <w:color w:val="auto"/>
          <w:sz w:val="24"/>
          <w:lang w:val="zh-CN"/>
        </w:rPr>
        <w:t xml:space="preserve">天内</w:t>
      </w:r>
      <w:r>
        <w:rPr>
          <w:rFonts w:hint="eastAsia" w:ascii="仿宋" w:hAnsi="仿宋" w:eastAsia="仿宋" w:cs="仿宋"/>
          <w:color w:val="auto"/>
          <w:sz w:val="24"/>
        </w:rPr>
        <w:t xml:space="preserve">设备人员进场</w:t>
      </w:r>
      <w:r>
        <w:rPr>
          <w:rFonts w:hint="eastAsia" w:ascii="仿宋" w:hAnsi="仿宋" w:eastAsia="仿宋" w:cs="仿宋"/>
          <w:color w:val="auto"/>
          <w:sz w:val="24"/>
          <w:lang w:val="zh-CN"/>
        </w:rPr>
        <w:t xml:space="preserve">，地点由甲方指定。招标文件有约定的，从其约定。</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2.服务期限：</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日至</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80"/>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服务地点：</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验收时间：</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验收地点：</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 乙方应对提供的服务成果作出全面自查和整理，并列出清单，作为甲方验收和使用的服务条件依据，清单应随提供的服务成果交给甲方。</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验收时，甲乙双方必须同时在场，乙方所提供的服务不符合合同内容规定的，甲方有权拒绝验收。乙方应及时按本合同内容规定和甲方的书面通知要求免费进行整改，直至验收合格，方视为乙方按本合同规定完成服务。验收合格的，由双方共同签订《验收报告》。</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5.甲方可以视项目规模或复杂情况聘请专业人员参与验收，大型或复杂项目，以及涉及专业服务内容的应当邀请国家认可的第三方质量检测机构参与验收。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6.如项目实施情况需要分阶段验收，则根据实际情况分阶段出具《验收报告》。</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第七条  项目管理服务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乙方要指定不少于一人全权全程负责本项目服务的落实，包括服务的咨询、执行和后续工作。</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项目负责人姓名：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第八条  售后服务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1.乙方提供服务的质量保证期为自服务通过最终验收起24个月。若国家有明确规定的质量保证期高于此质量保证期的，执行国家规定。</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服务期内，乙方应提供相关服务支持。对甲方所反映的任何服务问题在1小时之内做出及时响应，在2小时之内赶到现场实地解决问题。若问题在1个工作日后仍无法解决，乙方应在2日内免费提供服务的补偿、替换方案，直至服务恢复正常。</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3.乙方必须遵守甲方的有关管理制度、操作规程。对于乙方违规操作造成甲方损失的，由乙方按照本合同第十二条的约定承担赔偿责任。</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第九条  分包</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乙方不得分包、转包其应履行的合同义务。</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第十条  合同的生效</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1.本合同经甲乙双方授权代表签字并加盖公章或合同专用章后生效。</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2.生效后，除《政府采购法》第49条、第50条第二款规定的情形外，甲乙双方不得擅自变更、中止或终止合同。</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第十一条  违约责任</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1.乙方所交付服务成果不符合本合同规定的，甲方有权拒收，乙方在得到甲方书面通知之日起个</w:t>
      </w:r>
      <w:r>
        <w:rPr>
          <w:rFonts w:hint="eastAsia" w:ascii="仿宋" w:hAnsi="仿宋" w:eastAsia="仿宋" w:cs="仿宋"/>
          <w:color w:val="auto"/>
          <w:sz w:val="24"/>
          <w:u w:val="single"/>
        </w:rPr>
        <w:t xml:space="preserve"> 5 </w:t>
      </w:r>
      <w:r>
        <w:rPr>
          <w:rFonts w:hint="eastAsia" w:ascii="仿宋" w:hAnsi="仿宋" w:eastAsia="仿宋" w:cs="仿宋"/>
          <w:color w:val="auto"/>
          <w:sz w:val="24"/>
        </w:rPr>
        <w:t xml:space="preserve">工作日内采取补救措施，逾期仍未采取有效措施的，甲方有权要求乙方赔偿因此造成的损失。</w:t>
      </w:r>
      <w:r/>
    </w:p>
    <w:p>
      <w:pPr>
        <w:ind w:firstLine="24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2.甲方无正当理由拒收服务，甲方应向乙方偿付拒付服务费用</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％的违约金。</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3.乙方无正当理由逾期交付服务的，每逾期1天，乙方向甲方偿付合同总额的</w:t>
      </w:r>
      <w:r>
        <w:rPr>
          <w:rFonts w:hint="eastAsia" w:ascii="仿宋" w:hAnsi="仿宋" w:eastAsia="仿宋" w:cs="仿宋"/>
          <w:color w:val="auto"/>
          <w:sz w:val="24"/>
          <w:u w:val="single"/>
        </w:rPr>
        <w:t xml:space="preserve"> 0.01 </w:t>
      </w:r>
      <w:r>
        <w:rPr>
          <w:rFonts w:hint="eastAsia" w:ascii="仿宋" w:hAnsi="仿宋" w:eastAsia="仿宋" w:cs="仿宋"/>
          <w:color w:val="auto"/>
          <w:sz w:val="24"/>
        </w:rPr>
        <w:t xml:space="preserve">‰的违约金。如乙方逾期达</w:t>
      </w:r>
      <w:r>
        <w:rPr>
          <w:rFonts w:hint="eastAsia" w:ascii="仿宋" w:hAnsi="仿宋" w:eastAsia="仿宋" w:cs="仿宋"/>
          <w:color w:val="auto"/>
          <w:sz w:val="24"/>
          <w:u w:val="single"/>
        </w:rPr>
        <w:t xml:space="preserve"> 20 </w:t>
      </w:r>
      <w:r>
        <w:rPr>
          <w:rFonts w:hint="eastAsia" w:ascii="仿宋" w:hAnsi="仿宋" w:eastAsia="仿宋" w:cs="仿宋"/>
          <w:color w:val="auto"/>
          <w:sz w:val="24"/>
        </w:rPr>
        <w:t xml:space="preserve">天，甲方有权解除合同，甲方解除合同的通知自到达乙方时生效。在此情况下，乙方给甲方造成的实际损失高于违约金的，对高出违约金的部分乙方应予以赔偿。</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4.甲方未按合同规定的期限向乙方支付合同款的，每逾期1天甲方向乙方偿付欠款总额的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‰违约金，但累计违约金总额不超过</w:t>
      </w:r>
      <w:bookmarkStart w:id="34" w:name="_GoBack"/>
      <w:r/>
      <w:bookmarkEnd w:id="34"/>
      <w:r>
        <w:rPr>
          <w:rFonts w:hint="eastAsia" w:ascii="仿宋" w:hAnsi="仿宋" w:eastAsia="仿宋" w:cs="仿宋"/>
          <w:color w:val="auto"/>
          <w:sz w:val="24"/>
        </w:rPr>
        <w:t xml:space="preserve">欠款总额的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5.其它未尽事宜，以《中华人民共和国政府采购法》和《中华人民共和国民法典》等有关法律法规规定为准，无相关规定的，双方协商解决。</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第十二条  不可抗力</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第十三条  争议的解决方式</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1.因服务质量问题发生争议的，应当邀请国家认可的质量检测机构对服务进行鉴定。服务符合标准的，鉴定费由甲方承担；不符合质量标准的，鉴定费由乙方承担。</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2.在解释或者执行本合同的过程中发生争议时，双方应通过协商方式解决。</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3.经协商不能解决的争议，双方可选择以下第</w:t>
      </w:r>
      <w:r>
        <w:rPr>
          <w:rFonts w:hint="eastAsia" w:ascii="仿宋" w:hAnsi="仿宋" w:eastAsia="仿宋" w:cs="仿宋"/>
          <w:color w:val="auto"/>
          <w:sz w:val="24"/>
          <w:u w:val="single"/>
        </w:rPr>
        <w:t xml:space="preserve"> ① </w:t>
      </w:r>
      <w:r>
        <w:rPr>
          <w:rFonts w:hint="eastAsia" w:ascii="仿宋" w:hAnsi="仿宋" w:eastAsia="仿宋" w:cs="仿宋"/>
          <w:color w:val="auto"/>
          <w:sz w:val="24"/>
        </w:rPr>
        <w:t xml:space="preserve">种方式解决：</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①向徐州市有管辖权的法院提起诉讼；</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②向徐州仲裁委员会提出仲裁。</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4.在法院审理和仲裁期间，除有争议部分外，本合同其他部分可以履行的仍应按合同条款继续履行。</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第十四条  其他</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1．本协议自签字盖章之日起生效，协议未尽事宜由双方协商解决。本协议一式</w:t>
      </w:r>
      <w:r>
        <w:rPr>
          <w:rFonts w:hint="eastAsia" w:ascii="仿宋" w:hAnsi="仿宋" w:eastAsia="仿宋" w:cs="仿宋"/>
          <w:color w:val="auto"/>
          <w:sz w:val="24"/>
          <w:u w:val="single"/>
        </w:rPr>
        <w:t xml:space="preserve">陆</w:t>
      </w:r>
      <w:r>
        <w:rPr>
          <w:rFonts w:hint="eastAsia" w:ascii="仿宋" w:hAnsi="仿宋" w:eastAsia="仿宋" w:cs="仿宋"/>
          <w:color w:val="auto"/>
          <w:sz w:val="24"/>
        </w:rPr>
        <w:t xml:space="preserve">份，具有同等法律效力，甲方</w:t>
      </w:r>
      <w:bookmarkStart w:id="30" w:name="OLE_LINK6"/>
      <w:r/>
      <w:bookmarkStart w:id="31" w:name="OLE_LINK5"/>
      <w:r>
        <w:rPr>
          <w:rFonts w:hint="eastAsia" w:ascii="仿宋" w:hAnsi="仿宋" w:eastAsia="仿宋" w:cs="仿宋"/>
          <w:color w:val="auto"/>
          <w:sz w:val="24"/>
          <w:u w:val="single"/>
        </w:rPr>
        <w:t xml:space="preserve">贰</w:t>
      </w:r>
      <w:bookmarkEnd w:id="30"/>
      <w:r/>
      <w:bookmarkEnd w:id="31"/>
      <w:r>
        <w:rPr>
          <w:rFonts w:hint="eastAsia" w:ascii="仿宋" w:hAnsi="仿宋" w:eastAsia="仿宋" w:cs="仿宋"/>
          <w:color w:val="auto"/>
          <w:sz w:val="24"/>
        </w:rPr>
        <w:t xml:space="preserve">份，乙方</w:t>
      </w:r>
      <w:r>
        <w:rPr>
          <w:rFonts w:hint="eastAsia" w:ascii="仿宋" w:hAnsi="仿宋" w:eastAsia="仿宋" w:cs="仿宋"/>
          <w:color w:val="auto"/>
          <w:sz w:val="24"/>
          <w:u w:val="single"/>
        </w:rPr>
        <w:t xml:space="preserve">贰</w:t>
      </w:r>
      <w:r>
        <w:rPr>
          <w:rFonts w:hint="eastAsia" w:ascii="仿宋" w:hAnsi="仿宋" w:eastAsia="仿宋" w:cs="仿宋"/>
          <w:color w:val="auto"/>
          <w:sz w:val="24"/>
        </w:rPr>
        <w:t xml:space="preserve">份，徐州市政府采购中心存档</w:t>
      </w:r>
      <w:r>
        <w:rPr>
          <w:rFonts w:hint="eastAsia" w:ascii="仿宋" w:hAnsi="仿宋" w:eastAsia="仿宋" w:cs="仿宋"/>
          <w:color w:val="auto"/>
          <w:sz w:val="24"/>
          <w:u w:val="single"/>
        </w:rPr>
        <w:t xml:space="preserve">壹</w:t>
      </w:r>
      <w:r>
        <w:rPr>
          <w:rFonts w:hint="eastAsia" w:ascii="仿宋" w:hAnsi="仿宋" w:eastAsia="仿宋" w:cs="仿宋"/>
          <w:color w:val="auto"/>
          <w:sz w:val="24"/>
        </w:rPr>
        <w:t xml:space="preserve">份，政府采购监督管理部门备案</w:t>
      </w:r>
      <w:r>
        <w:rPr>
          <w:rFonts w:hint="eastAsia" w:ascii="仿宋" w:hAnsi="仿宋" w:eastAsia="仿宋" w:cs="仿宋"/>
          <w:color w:val="auto"/>
          <w:sz w:val="24"/>
          <w:u w:val="single"/>
        </w:rPr>
        <w:t xml:space="preserve">壹</w:t>
      </w:r>
      <w:r>
        <w:rPr>
          <w:rFonts w:hint="eastAsia" w:ascii="仿宋" w:hAnsi="仿宋" w:eastAsia="仿宋" w:cs="仿宋"/>
          <w:color w:val="auto"/>
          <w:sz w:val="24"/>
        </w:rPr>
        <w:t xml:space="preserve">份。</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 本合同应按照中华人民共和国的现行法律进行解释。</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以下无正文，后附签署页。</w:t>
      </w:r>
      <w:r/>
    </w:p>
    <w:tbl>
      <w:tblPr>
        <w:tblStyle w:val="750"/>
        <w:tblW w:w="8528" w:type="dxa"/>
        <w:tblInd w:w="0" w:type="dxa"/>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2022"/>
        </w:trPr>
        <w:tc>
          <w:tcPr>
            <w:tcW w:w="8528" w:type="dxa"/>
            <w:textDirection w:val="lrTb"/>
            <w:noWrap w:val="false"/>
          </w:tcPr>
          <w:p>
            <w:pPr>
              <w:ind w:left="7200" w:hanging="72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甲方全称（盖章）：徐州市新沂生态环境局 乙方全称（盖章）:</w:t>
            </w:r>
            <w:r>
              <w:rPr>
                <w:rFonts w:hint="eastAsia" w:ascii="仿宋" w:hAnsi="仿宋" w:eastAsia="仿宋" w:cs="仿宋"/>
                <w:color w:val="auto"/>
              </w:rPr>
              <w:t xml:space="preserve"> </w:t>
            </w:r>
            <w:r/>
          </w:p>
          <w:p>
            <w:pPr>
              <w:ind w:left="5760" w:hanging="5760"/>
              <w:rPr>
                <w:rFonts w:hint="eastAsia" w:ascii="仿宋" w:hAnsi="仿宋" w:eastAsia="仿宋" w:cs="仿宋"/>
                <w:color w:val="auto"/>
                <w:sz w:val="24"/>
              </w:rPr>
            </w:pPr>
            <w:r>
              <w:rPr>
                <w:rFonts w:hint="eastAsia" w:ascii="仿宋" w:hAnsi="仿宋" w:eastAsia="仿宋" w:cs="仿宋"/>
                <w:color w:val="auto"/>
                <w:sz w:val="24"/>
              </w:rPr>
              <w:t xml:space="preserve">地址：                                 地址：</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签订日期：                             签订日期：</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邮编：                                 邮编：</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电话：                                 电话：</w:t>
            </w:r>
            <w:r/>
          </w:p>
        </w:tc>
      </w:tr>
    </w:tbl>
    <w:p>
      <w:pPr>
        <w:rPr>
          <w:color w:val="auto"/>
        </w:rPr>
      </w:pPr>
      <w:r>
        <w:rPr>
          <w:color w:val="auto"/>
        </w:rPr>
      </w:r>
      <w:r/>
    </w:p>
    <w:p>
      <w:pPr>
        <w:ind w:firstLine="240"/>
        <w:spacing w:line="36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12、具备履行合同所必需的设备和专业技术能力的书面声明</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lang w:eastAsia="zh-CN"/>
        </w:rPr>
      </w:pPr>
      <w:r/>
      <w:bookmarkStart w:id="32" w:name="OLE_LINK9"/>
      <w:r>
        <w:rPr>
          <w:rFonts w:hint="eastAsia" w:ascii="仿宋_GB2312" w:hAnsi="仿宋_GB2312" w:eastAsia="仿宋_GB2312" w:cs="仿宋_GB2312"/>
          <w:color w:val="auto"/>
          <w:sz w:val="24"/>
        </w:rPr>
        <w:t xml:space="preserve">项目名称：</w:t>
      </w:r>
      <w:r>
        <w:rPr>
          <w:rFonts w:hint="eastAsia" w:ascii="仿宋_GB2312" w:hAnsi="仿宋_GB2312" w:eastAsia="仿宋_GB2312" w:cs="仿宋_GB2312"/>
          <w:color w:val="auto"/>
          <w:sz w:val="24"/>
          <w:lang w:eastAsia="zh-CN"/>
        </w:rPr>
        <w:t xml:space="preserve">新沂市环境空气质量提升技术服务项目</w:t>
      </w:r>
      <w:r/>
    </w:p>
    <w:p>
      <w:pPr>
        <w:ind w:firstLine="480"/>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我单位郑重声明：我单位具备履行合同（项目名称：</w:t>
      </w:r>
      <w:r>
        <w:rPr>
          <w:rFonts w:hint="eastAsia" w:ascii="仿宋_GB2312" w:hAnsi="仿宋_GB2312" w:eastAsia="仿宋_GB2312" w:cs="仿宋_GB2312"/>
          <w:color w:val="auto"/>
          <w:sz w:val="24"/>
          <w:lang w:eastAsia="zh-CN"/>
        </w:rPr>
        <w:t xml:space="preserve">新沂市环境空气质量提升技术服务项目</w:t>
      </w: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JSZC-320381-TYDL-C2026-0002</w:t>
      </w:r>
      <w:r>
        <w:rPr>
          <w:rFonts w:hint="eastAsia" w:ascii="仿宋_GB2312" w:hAnsi="仿宋_GB2312" w:eastAsia="仿宋_GB2312" w:cs="仿宋_GB2312"/>
          <w:color w:val="auto"/>
          <w:sz w:val="24"/>
        </w:rPr>
        <w:t xml:space="preserve">）所必需的设备和专业技术能力。</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特此声明。</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我单位对上述声明的真实性负责。如有虚假，将依法承担相应责任。</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80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bookmarkEnd w:id="32"/>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31"/>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4"/>
        <w:rPr>
          <w:rFonts w:hint="eastAsia"/>
          <w:color w:val="auto"/>
        </w:rPr>
      </w:pPr>
      <w:r>
        <w:rPr>
          <w:rFonts w:hint="eastAsia"/>
          <w:color w:val="auto"/>
        </w:rPr>
      </w:r>
      <w:r/>
    </w:p>
    <w:p>
      <w:pPr>
        <w:pStyle w:val="842"/>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2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73"/>
        <w:ind w:left="0" w:right="0"/>
        <w:jc w:val="center"/>
        <w:keepLines w:val="0"/>
        <w:keepNext w:val="0"/>
        <w:pageBreakBefore w:val="0"/>
        <w:spacing w:before="0" w:beforeAutospacing="0" w:after="0" w:afterAutospacing="0" w:line="460" w:lineRule="exact"/>
        <w:widowControl w:val="off"/>
        <w:rPr>
          <w:rFonts w:hint="eastAsia" w:ascii="仿宋_GB2312" w:hAnsi="仿宋_GB2312" w:eastAsia="仿宋_GB2312" w:cs="仿宋_GB2312"/>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auto"/>
          <w:sz w:val="30"/>
          <w:szCs w:val="30"/>
          <w:lang w:val="en-US" w:eastAsia="zh-CN" w:bidi="ar-SA"/>
        </w:rPr>
        <w:t xml:space="preserve">13.</w:t>
      </w:r>
      <w:bookmarkStart w:id="33" w:name="OLE_LINK10"/>
      <w:r>
        <w:rPr>
          <w:rFonts w:hint="eastAsia" w:ascii="仿宋_GB2312" w:hAnsi="仿宋_GB2312" w:eastAsia="仿宋_GB2312" w:cs="仿宋_GB2312"/>
          <w:b/>
          <w:bCs/>
          <w:color w:val="auto"/>
          <w:sz w:val="30"/>
          <w:szCs w:val="30"/>
          <w:lang w:val="en-US" w:eastAsia="zh-CN" w:bidi="ar-SA"/>
        </w:rPr>
        <w:t xml:space="preserve">招标代理服务收费标准</w:t>
      </w:r>
      <w:r/>
    </w:p>
    <w:p>
      <w:pPr>
        <w:pStyle w:val="773"/>
        <w:ind w:left="0" w:right="0"/>
        <w:jc w:val="center"/>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 江苏省政府采购代理常规服务收费指导价</w:t>
      </w:r>
      <w:r>
        <w:rPr>
          <w:rFonts w:hint="eastAsia" w:ascii="仿宋" w:hAnsi="仿宋" w:eastAsia="仿宋" w:cs="仿宋"/>
          <w:color w:val="auto"/>
          <w:sz w:val="24"/>
          <w:szCs w:val="24"/>
          <w:lang w:eastAsia="zh-CN"/>
        </w:rPr>
        <w:t xml:space="preserve">（苏政采协【2024】20号）</w:t>
      </w:r>
      <w:r/>
    </w:p>
    <w:p>
      <w:pPr>
        <w:pStyle w:val="773"/>
        <w:jc w:val="both"/>
        <w:keepLines w:val="0"/>
        <w:keepNext w:val="0"/>
        <w:pageBreakBefore w:val="0"/>
        <w:spacing w:before="0" w:beforeAutospacing="0" w:after="0" w:afterAutospacing="0" w:line="460" w:lineRule="exact"/>
        <w:widowControl w:val="off"/>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r>
      <w:r/>
    </w:p>
    <w:tbl>
      <w:tblPr>
        <w:tblStyle w:val="750"/>
        <w:tblW w:w="8780" w:type="dxa"/>
        <w:tblCellSpacing w:w="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5"/>
        <w:gridCol w:w="2755"/>
      </w:tblGrid>
      <w:tr>
        <w:trPr>
          <w:tblCellSpacing w:w="0" w:type="dxa"/>
          <w:trHeight w:val="492"/>
        </w:trPr>
        <w:tc>
          <w:tcPr>
            <w:shd w:val="clear" w:color="auto" w:fill="auto"/>
            <w:tcW w:w="602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中标或成交金额</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费率</w:t>
            </w:r>
            <w:r/>
          </w:p>
        </w:tc>
      </w:tr>
      <w:tr>
        <w:trPr>
          <w:tblCellSpacing w:w="0" w:type="dxa"/>
          <w:trHeight w:val="502"/>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最低收费金额(每个委托项目)</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5000元</w:t>
            </w:r>
            <w:r/>
          </w:p>
        </w:tc>
      </w:tr>
      <w:tr>
        <w:trPr>
          <w:tblCellSpacing w:w="0" w:type="dxa"/>
          <w:trHeight w:val="492"/>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50万元以</w:t>
            </w:r>
            <w:r>
              <w:rPr>
                <w:rFonts w:hint="eastAsia" w:ascii="仿宋" w:hAnsi="仿宋" w:eastAsia="仿宋" w:cs="仿宋"/>
                <w:b w:val="0"/>
                <w:bCs w:val="0"/>
                <w:color w:val="auto"/>
                <w:sz w:val="24"/>
                <w:szCs w:val="24"/>
                <w:lang w:val="en-US" w:eastAsia="zh-CN"/>
              </w:rPr>
              <w:t xml:space="preserve">下</w:t>
            </w:r>
            <w:r>
              <w:rPr>
                <w:rFonts w:hint="eastAsia" w:ascii="仿宋" w:hAnsi="仿宋" w:eastAsia="仿宋" w:cs="仿宋"/>
                <w:b w:val="0"/>
                <w:bCs w:val="0"/>
                <w:color w:val="auto"/>
                <w:sz w:val="24"/>
                <w:szCs w:val="24"/>
              </w:rPr>
              <w:t xml:space="preserve">（含50万元）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1.60%</w:t>
            </w:r>
            <w:r/>
          </w:p>
        </w:tc>
      </w:tr>
      <w:tr>
        <w:trPr>
          <w:tblCellSpacing w:w="0" w:type="dxa"/>
          <w:trHeight w:val="492"/>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50-400万元以上（含400万元）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1.50%</w:t>
            </w:r>
            <w:r/>
          </w:p>
        </w:tc>
      </w:tr>
      <w:tr>
        <w:trPr>
          <w:tblCellSpacing w:w="0" w:type="dxa"/>
          <w:trHeight w:val="612"/>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400-1000万元以上（含1000万元）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1.10%</w:t>
            </w:r>
            <w:r/>
          </w:p>
        </w:tc>
      </w:tr>
      <w:tr>
        <w:trPr>
          <w:tblCellSpacing w:w="0" w:type="dxa"/>
          <w:trHeight w:val="494"/>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1000-5000万元以上（含5000万元）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0.80%</w:t>
            </w:r>
            <w:r/>
          </w:p>
        </w:tc>
      </w:tr>
      <w:tr>
        <w:trPr>
          <w:tblCellSpacing w:w="0" w:type="dxa"/>
          <w:trHeight w:val="499"/>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5000-1亿元以上（含1亿元）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0.25%</w:t>
            </w:r>
            <w:r/>
          </w:p>
        </w:tc>
      </w:tr>
      <w:tr>
        <w:trPr>
          <w:tblCellSpacing w:w="0" w:type="dxa"/>
          <w:trHeight w:val="494"/>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1-10亿以上（含10亿元）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0.05%</w:t>
            </w:r>
            <w:r/>
          </w:p>
        </w:tc>
      </w:tr>
      <w:tr>
        <w:trPr>
          <w:tblCellSpacing w:w="0" w:type="dxa"/>
          <w:trHeight w:val="494"/>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10-50亿元以上（含50亿元）</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0.01%</w:t>
            </w:r>
            <w:r/>
          </w:p>
        </w:tc>
      </w:tr>
      <w:tr>
        <w:trPr>
          <w:tblCellSpacing w:w="0" w:type="dxa"/>
          <w:trHeight w:val="513"/>
        </w:trPr>
        <w:tc>
          <w:tcPr>
            <w:shd w:val="clear" w:color="auto" w:fill="auto"/>
            <w:tcW w:w="6025" w:type="dxa"/>
            <w:vAlign w:val="center"/>
            <w:textDirection w:val="lrTb"/>
            <w:noWrap w:val="false"/>
          </w:tcPr>
          <w:p>
            <w:pPr>
              <w:pStyle w:val="773"/>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50亿元以上</w:t>
            </w:r>
            <w:r/>
          </w:p>
        </w:tc>
        <w:tc>
          <w:tcPr>
            <w:shd w:val="clear" w:color="auto" w:fill="auto"/>
            <w:tcW w:w="2755" w:type="dxa"/>
            <w:vAlign w:val="center"/>
            <w:textDirection w:val="lrTb"/>
            <w:noWrap w:val="false"/>
          </w:tcPr>
          <w:p>
            <w:pPr>
              <w:pStyle w:val="773"/>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0.01%</w:t>
            </w:r>
            <w:r/>
          </w:p>
        </w:tc>
      </w:tr>
    </w:tbl>
    <w:p>
      <w:pPr>
        <w:pStyle w:val="773"/>
        <w:ind w:left="0" w:firstLine="2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说明：</w:t>
      </w:r>
      <w:r/>
    </w:p>
    <w:p>
      <w:pPr>
        <w:pStyle w:val="773"/>
        <w:ind w:left="0" w:firstLine="56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1.按上表计算的收费为代理服务全过程的收费金额。各社会代理机构不另外收取采购文件制作售卖费用。</w:t>
      </w:r>
      <w:r/>
    </w:p>
    <w:p>
      <w:pPr>
        <w:pStyle w:val="773"/>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2.代理服务费按差额定率累进法计算。</w:t>
      </w:r>
      <w:r/>
    </w:p>
    <w:p>
      <w:pPr>
        <w:pStyle w:val="773"/>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3.代理服务费基准金额（按差额定率累进法计算的）=中标金额（按差额定率累进法计算的）* 费率（%）</w:t>
      </w:r>
      <w:r/>
    </w:p>
    <w:p>
      <w:pPr>
        <w:pStyle w:val="773"/>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4.代理服务费应收取金额=代理服务费基准金额（按差额定率累进法计算的）的合计数。</w:t>
      </w:r>
      <w:r/>
    </w:p>
    <w:p>
      <w:pPr>
        <w:pStyle w:val="773"/>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5.计算出的代理服务费应收取金额如低于5千元，按5千元收取；</w:t>
      </w:r>
      <w:r/>
    </w:p>
    <w:p>
      <w:pPr>
        <w:pStyle w:val="773"/>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6.定点类等无金额或事先不能计算出价格总额的项目，按中标（成交）金额100万元计算服务费。</w:t>
      </w:r>
      <w:r/>
    </w:p>
    <w:p>
      <w:pPr>
        <w:pStyle w:val="773"/>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rPr>
      </w:r>
      <w:bookmarkEnd w:id="33"/>
      <w:r/>
      <w:r/>
    </w:p>
    <w:p>
      <w:pPr>
        <w:pageBreakBefore w:val="0"/>
        <w:spacing w:line="460" w:lineRule="exact"/>
        <w:rPr>
          <w:rFonts w:hint="eastAsia"/>
          <w:color w:val="auto"/>
          <w:highlight w:val="none"/>
        </w:rPr>
      </w:pPr>
      <w:r>
        <w:rPr>
          <w:rFonts w:hint="eastAsia"/>
          <w:color w:val="auto"/>
          <w:highlight w:val="none"/>
        </w:rPr>
      </w:r>
      <w:r/>
    </w:p>
    <w:p>
      <w:pPr>
        <w:spacing w:line="48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PMingLiU">
    <w:panose1 w:val="02020500000000000000"/>
  </w:font>
  <w:font w:name="Cambria">
    <w:panose1 w:val="02040503050406030204"/>
  </w:font>
  <w:font w:name="黑体">
    <w:panose1 w:val="02010609060101010101"/>
  </w:font>
  <w:font w:name="仿宋_GB2312">
    <w:panose1 w:val="02010609060101010101"/>
  </w:font>
  <w:font w:name="Calibri">
    <w:panose1 w:val="020F0502020204030204"/>
  </w:font>
  <w:font w:name="微软雅黑">
    <w:panose1 w:val="020B0503020204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p>
  <w:p>
    <w:pPr>
      <w:pStyle w:val="10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840"/>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link w:val="1076"/>
    <w:uiPriority w:val="1"/>
    <w:qFormat/>
    <w:pPr>
      <w:ind w:left="1373"/>
      <w:jc w:val="left"/>
      <w:spacing w:before="59"/>
      <w:outlineLvl w:val="0"/>
    </w:pPr>
    <w:rPr>
      <w:rFonts w:ascii="仿宋" w:hAnsi="仿宋" w:eastAsia="仿宋" w:cs="仿宋"/>
      <w:b/>
      <w:bCs/>
      <w:sz w:val="30"/>
      <w:szCs w:val="30"/>
      <w:lang w:val="zh-CN" w:bidi="zh-CN"/>
    </w:rPr>
  </w:style>
  <w:style w:type="paragraph" w:styleId="741">
    <w:name w:val="Heading 2"/>
    <w:basedOn w:val="739"/>
    <w:next w:val="739"/>
    <w:link w:val="844"/>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45"/>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46"/>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47"/>
    <w:uiPriority w:val="9"/>
    <w:unhideWhenUsed/>
    <w:qFormat/>
    <w:pPr>
      <w:keepLines/>
      <w:keepNext/>
      <w:spacing w:before="320" w:after="200"/>
      <w:outlineLvl w:val="4"/>
    </w:pPr>
    <w:rPr>
      <w:rFonts w:ascii="Arial" w:hAnsi="Arial" w:eastAsia="Arial" w:cs="Arial"/>
      <w:b/>
      <w:bCs/>
      <w:sz w:val="24"/>
    </w:rPr>
  </w:style>
  <w:style w:type="paragraph" w:styleId="745">
    <w:name w:val="Heading 6"/>
    <w:basedOn w:val="739"/>
    <w:next w:val="739"/>
    <w:link w:val="848"/>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50"/>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851"/>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Layout w:type="fixed"/>
      <w:tblCellMar>
        <w:left w:w="108" w:type="dxa"/>
        <w:top w:w="0" w:type="dxa"/>
        <w:right w:w="108" w:type="dxa"/>
        <w:bottom w:w="0" w:type="dxa"/>
      </w:tblCellMar>
    </w:tblPr>
  </w:style>
  <w:style w:type="paragraph" w:styleId="751">
    <w:name w:val="Body Text"/>
    <w:basedOn w:val="739"/>
    <w:next w:val="739"/>
    <w:uiPriority w:val="99"/>
    <w:semiHidden/>
    <w:unhideWhenUsed/>
    <w:qFormat/>
    <w:pPr>
      <w:spacing w:after="120"/>
    </w:pPr>
  </w:style>
  <w:style w:type="paragraph" w:styleId="752">
    <w:name w:val="toc 7"/>
    <w:basedOn w:val="739"/>
    <w:next w:val="739"/>
    <w:uiPriority w:val="39"/>
    <w:unhideWhenUsed/>
    <w:qFormat/>
    <w:pPr>
      <w:ind w:left="1701"/>
      <w:spacing w:after="57"/>
    </w:pPr>
  </w:style>
  <w:style w:type="paragraph" w:styleId="753">
    <w:name w:val="Body Text First Indent"/>
    <w:basedOn w:val="751"/>
    <w:next w:val="754"/>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54">
    <w:name w:val="toc 6"/>
    <w:basedOn w:val="739"/>
    <w:next w:val="739"/>
    <w:uiPriority w:val="39"/>
    <w:unhideWhenUsed/>
    <w:qFormat/>
    <w:pPr>
      <w:ind w:left="1417"/>
      <w:spacing w:after="57"/>
    </w:pPr>
  </w:style>
  <w:style w:type="paragraph" w:styleId="755">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Body Text Indent"/>
    <w:basedOn w:val="739"/>
    <w:next w:val="757"/>
    <w:uiPriority w:val="0"/>
    <w:qFormat/>
    <w:pPr>
      <w:ind w:firstLine="567"/>
      <w:spacing w:line="500" w:lineRule="exact"/>
      <w:tabs>
        <w:tab w:val="left" w:pos="0" w:leader="none"/>
        <w:tab w:val="left" w:pos="993" w:leader="none"/>
        <w:tab w:val="left" w:pos="1134" w:leader="none"/>
      </w:tabs>
    </w:pPr>
    <w:rPr>
      <w:rFonts w:ascii="宋体"/>
    </w:rPr>
  </w:style>
  <w:style w:type="paragraph" w:styleId="757">
    <w:name w:val="envelope return"/>
    <w:basedOn w:val="739"/>
    <w:uiPriority w:val="0"/>
    <w:qFormat/>
    <w:pPr>
      <w:spacing w:after="200"/>
    </w:pPr>
    <w:rPr>
      <w:rFonts w:ascii="Arial" w:hAnsi="Arial" w:eastAsia="微软雅黑"/>
      <w:sz w:val="22"/>
      <w:szCs w:val="22"/>
    </w:rPr>
  </w:style>
  <w:style w:type="paragraph" w:styleId="758">
    <w:name w:val="Block Text"/>
    <w:basedOn w:val="739"/>
    <w:uiPriority w:val="0"/>
    <w:qFormat/>
    <w:pPr>
      <w:ind w:left="256" w:right="6" w:firstLine="624"/>
    </w:pPr>
    <w:rPr>
      <w:rFonts w:eastAsia="仿宋_GB2312"/>
      <w:sz w:val="28"/>
      <w:szCs w:val="20"/>
    </w:rPr>
  </w:style>
  <w:style w:type="paragraph" w:styleId="759">
    <w:name w:val="toc 5"/>
    <w:basedOn w:val="739"/>
    <w:next w:val="739"/>
    <w:uiPriority w:val="39"/>
    <w:unhideWhenUsed/>
    <w:qFormat/>
    <w:pPr>
      <w:ind w:left="1134"/>
      <w:spacing w:after="57"/>
    </w:pPr>
  </w:style>
  <w:style w:type="paragraph" w:styleId="760">
    <w:name w:val="toc 3"/>
    <w:basedOn w:val="739"/>
    <w:next w:val="739"/>
    <w:uiPriority w:val="39"/>
    <w:unhideWhenUsed/>
    <w:qFormat/>
    <w:pPr>
      <w:ind w:left="567"/>
      <w:spacing w:after="57"/>
    </w:pPr>
  </w:style>
  <w:style w:type="paragraph" w:styleId="761">
    <w:name w:val="toc 8"/>
    <w:basedOn w:val="739"/>
    <w:next w:val="739"/>
    <w:uiPriority w:val="39"/>
    <w:unhideWhenUsed/>
    <w:qFormat/>
    <w:pPr>
      <w:ind w:left="1984"/>
      <w:spacing w:after="57"/>
    </w:pPr>
  </w:style>
  <w:style w:type="paragraph" w:styleId="762">
    <w:name w:val="endnote text"/>
    <w:basedOn w:val="739"/>
    <w:link w:val="989"/>
    <w:uiPriority w:val="99"/>
    <w:semiHidden/>
    <w:unhideWhenUsed/>
    <w:qFormat/>
    <w:rPr>
      <w:sz w:val="20"/>
    </w:rPr>
  </w:style>
  <w:style w:type="paragraph" w:styleId="763">
    <w:name w:val="Footer"/>
    <w:basedOn w:val="739"/>
    <w:link w:val="862"/>
    <w:uiPriority w:val="99"/>
    <w:unhideWhenUsed/>
    <w:qFormat/>
    <w:pPr>
      <w:tabs>
        <w:tab w:val="center" w:pos="7143" w:leader="none"/>
        <w:tab w:val="right" w:pos="14287" w:leader="none"/>
      </w:tabs>
    </w:pPr>
  </w:style>
  <w:style w:type="paragraph" w:styleId="764">
    <w:name w:val="Body Text First Indent 2"/>
    <w:basedOn w:val="756"/>
    <w:next w:val="739"/>
    <w:uiPriority w:val="0"/>
    <w:qFormat/>
    <w:pPr>
      <w:ind w:left="420" w:firstLine="420"/>
      <w:spacing w:after="120" w:line="240" w:lineRule="auto"/>
    </w:pPr>
    <w:rPr>
      <w:rFonts w:ascii="Times New Roman"/>
    </w:rPr>
  </w:style>
  <w:style w:type="paragraph" w:styleId="765">
    <w:name w:val="Header"/>
    <w:basedOn w:val="739"/>
    <w:link w:val="860"/>
    <w:uiPriority w:val="99"/>
    <w:unhideWhenUsed/>
    <w:qFormat/>
    <w:pPr>
      <w:tabs>
        <w:tab w:val="center" w:pos="7143" w:leader="none"/>
        <w:tab w:val="right" w:pos="14287" w:leader="none"/>
      </w:tabs>
    </w:pPr>
  </w:style>
  <w:style w:type="paragraph" w:styleId="766">
    <w:name w:val="toc 1"/>
    <w:basedOn w:val="739"/>
    <w:next w:val="739"/>
    <w:uiPriority w:val="39"/>
    <w:unhideWhenUsed/>
    <w:qFormat/>
    <w:pPr>
      <w:spacing w:after="57"/>
    </w:pPr>
  </w:style>
  <w:style w:type="paragraph" w:styleId="767">
    <w:name w:val="toc 4"/>
    <w:basedOn w:val="739"/>
    <w:next w:val="739"/>
    <w:uiPriority w:val="39"/>
    <w:unhideWhenUsed/>
    <w:qFormat/>
    <w:pPr>
      <w:ind w:left="850"/>
      <w:spacing w:after="57"/>
    </w:pPr>
  </w:style>
  <w:style w:type="paragraph" w:styleId="768">
    <w:name w:val="Subtitle"/>
    <w:basedOn w:val="739"/>
    <w:next w:val="739"/>
    <w:link w:val="855"/>
    <w:uiPriority w:val="11"/>
    <w:qFormat/>
    <w:pPr>
      <w:spacing w:before="200" w:after="200"/>
    </w:pPr>
    <w:rPr>
      <w:sz w:val="24"/>
    </w:rPr>
  </w:style>
  <w:style w:type="paragraph" w:styleId="769">
    <w:name w:val="footnote text"/>
    <w:basedOn w:val="739"/>
    <w:link w:val="988"/>
    <w:uiPriority w:val="99"/>
    <w:semiHidden/>
    <w:unhideWhenUsed/>
    <w:qFormat/>
    <w:pPr>
      <w:spacing w:after="40"/>
    </w:pPr>
    <w:rPr>
      <w:sz w:val="18"/>
    </w:rPr>
  </w:style>
  <w:style w:type="paragraph" w:styleId="770">
    <w:name w:val="table of figures"/>
    <w:basedOn w:val="739"/>
    <w:next w:val="739"/>
    <w:uiPriority w:val="99"/>
    <w:unhideWhenUsed/>
    <w:qFormat/>
  </w:style>
  <w:style w:type="paragraph" w:styleId="771">
    <w:name w:val="toc 2"/>
    <w:basedOn w:val="739"/>
    <w:next w:val="739"/>
    <w:uiPriority w:val="39"/>
    <w:unhideWhenUsed/>
    <w:qFormat/>
    <w:pPr>
      <w:ind w:left="283"/>
      <w:spacing w:after="57"/>
    </w:pPr>
  </w:style>
  <w:style w:type="paragraph" w:styleId="772">
    <w:name w:val="toc 9"/>
    <w:basedOn w:val="739"/>
    <w:next w:val="739"/>
    <w:uiPriority w:val="39"/>
    <w:unhideWhenUsed/>
    <w:qFormat/>
    <w:pPr>
      <w:ind w:left="2268"/>
      <w:spacing w:after="57"/>
    </w:pPr>
  </w:style>
  <w:style w:type="paragraph" w:styleId="773">
    <w:name w:val="Normal (Web)"/>
    <w:basedOn w:val="739"/>
    <w:uiPriority w:val="99"/>
    <w:semiHidden/>
    <w:unhideWhenUsed/>
    <w:qFormat/>
    <w:rPr>
      <w:sz w:val="24"/>
    </w:rPr>
  </w:style>
  <w:style w:type="paragraph" w:styleId="774">
    <w:name w:val="Title"/>
    <w:basedOn w:val="739"/>
    <w:next w:val="739"/>
    <w:link w:val="854"/>
    <w:uiPriority w:val="10"/>
    <w:qFormat/>
    <w:pPr>
      <w:contextualSpacing/>
      <w:spacing w:before="300" w:after="200"/>
    </w:pPr>
    <w:rPr>
      <w:sz w:val="48"/>
      <w:szCs w:val="48"/>
    </w:rPr>
  </w:style>
  <w:style w:type="character" w:styleId="775">
    <w:name w:val="endnote reference"/>
    <w:uiPriority w:val="99"/>
    <w:semiHidden/>
    <w:unhideWhenUsed/>
    <w:qFormat/>
    <w:rPr>
      <w:vertAlign w:val="superscript"/>
    </w:rPr>
  </w:style>
  <w:style w:type="character" w:styleId="776">
    <w:name w:val="FollowedHyperlink"/>
    <w:basedOn w:val="749"/>
    <w:uiPriority w:val="99"/>
    <w:semiHidden/>
    <w:unhideWhenUsed/>
    <w:qFormat/>
    <w:rPr>
      <w:color w:val="333333"/>
      <w:u w:val="none"/>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0" w:customStyle="1">
    <w:name w:val="style4"/>
    <w:basedOn w:val="781"/>
    <w:next w:val="782"/>
    <w:uiPriority w:val="0"/>
    <w:qFormat/>
    <w:pPr>
      <w:spacing w:before="280" w:after="280"/>
      <w:widowControl/>
    </w:pPr>
    <w:rPr>
      <w:rFonts w:ascii="宋体"/>
      <w:sz w:val="18"/>
    </w:rPr>
  </w:style>
  <w:style w:type="paragraph" w:styleId="781" w:customStyle="1">
    <w:name w:val="正文_0"/>
    <w:next w:val="753"/>
    <w:uiPriority w:val="0"/>
    <w:qFormat/>
    <w:pPr>
      <w:jc w:val="both"/>
      <w:widowControl w:val="off"/>
    </w:pPr>
    <w:rPr>
      <w:rFonts w:hint="default" w:ascii="Calibri" w:hAnsi="Calibri" w:eastAsia="宋体" w:cs="Times New Roman"/>
      <w:sz w:val="21"/>
      <w:szCs w:val="24"/>
    </w:rPr>
  </w:style>
  <w:style w:type="paragraph" w:styleId="782" w:customStyle="1">
    <w:name w:val="2"/>
    <w:next w:val="739"/>
    <w:uiPriority w:val="0"/>
    <w:qFormat/>
    <w:pPr>
      <w:jc w:val="both"/>
      <w:widowControl w:val="off"/>
    </w:pPr>
    <w:rPr>
      <w:rFonts w:hint="default" w:ascii="Times New Roman" w:hAnsi="Times New Roman" w:eastAsia="宋体" w:cs="Times New Roman"/>
      <w:sz w:val="21"/>
      <w:szCs w:val="22"/>
    </w:rPr>
  </w:style>
  <w:style w:type="character" w:styleId="783" w:customStyle="1">
    <w:name w:val="Heading 2 Char"/>
    <w:basedOn w:val="749"/>
    <w:uiPriority w:val="9"/>
    <w:qFormat/>
    <w:rPr>
      <w:rFonts w:ascii="Arial" w:hAnsi="Arial" w:eastAsia="Arial" w:cs="Arial"/>
      <w:sz w:val="34"/>
    </w:rPr>
  </w:style>
  <w:style w:type="character" w:styleId="784" w:customStyle="1">
    <w:name w:val="Heading 3 Char"/>
    <w:basedOn w:val="749"/>
    <w:uiPriority w:val="9"/>
    <w:qFormat/>
    <w:rPr>
      <w:rFonts w:ascii="Arial" w:hAnsi="Arial" w:eastAsia="Arial" w:cs="Arial"/>
      <w:sz w:val="30"/>
      <w:szCs w:val="30"/>
    </w:rPr>
  </w:style>
  <w:style w:type="character" w:styleId="785" w:customStyle="1">
    <w:name w:val="Heading 4 Char"/>
    <w:basedOn w:val="749"/>
    <w:uiPriority w:val="9"/>
    <w:qFormat/>
    <w:rPr>
      <w:rFonts w:ascii="Arial" w:hAnsi="Arial" w:eastAsia="Arial" w:cs="Arial"/>
      <w:b/>
      <w:bCs/>
      <w:sz w:val="26"/>
      <w:szCs w:val="26"/>
    </w:rPr>
  </w:style>
  <w:style w:type="character" w:styleId="786" w:customStyle="1">
    <w:name w:val="Heading 5 Char"/>
    <w:basedOn w:val="749"/>
    <w:uiPriority w:val="9"/>
    <w:qFormat/>
    <w:rPr>
      <w:rFonts w:ascii="Arial" w:hAnsi="Arial" w:eastAsia="Arial" w:cs="Arial"/>
      <w:b/>
      <w:bCs/>
      <w:sz w:val="24"/>
      <w:szCs w:val="24"/>
    </w:rPr>
  </w:style>
  <w:style w:type="character" w:styleId="787" w:customStyle="1">
    <w:name w:val="Heading 6 Char"/>
    <w:basedOn w:val="749"/>
    <w:uiPriority w:val="9"/>
    <w:qFormat/>
    <w:rPr>
      <w:rFonts w:ascii="Arial" w:hAnsi="Arial" w:eastAsia="Arial" w:cs="Arial"/>
      <w:b/>
      <w:bCs/>
      <w:sz w:val="22"/>
      <w:szCs w:val="22"/>
    </w:rPr>
  </w:style>
  <w:style w:type="character" w:styleId="788" w:customStyle="1">
    <w:name w:val="Heading 7 Char"/>
    <w:basedOn w:val="749"/>
    <w:uiPriority w:val="9"/>
    <w:qFormat/>
    <w:rPr>
      <w:rFonts w:ascii="Arial" w:hAnsi="Arial" w:eastAsia="Arial" w:cs="Arial"/>
      <w:b/>
      <w:bCs/>
      <w:i/>
      <w:iCs/>
      <w:sz w:val="22"/>
      <w:szCs w:val="22"/>
    </w:rPr>
  </w:style>
  <w:style w:type="character" w:styleId="789" w:customStyle="1">
    <w:name w:val="Heading 8 Char"/>
    <w:basedOn w:val="749"/>
    <w:uiPriority w:val="9"/>
    <w:qFormat/>
    <w:rPr>
      <w:rFonts w:ascii="Arial" w:hAnsi="Arial" w:eastAsia="Arial" w:cs="Arial"/>
      <w:i/>
      <w:iCs/>
      <w:sz w:val="22"/>
      <w:szCs w:val="22"/>
    </w:rPr>
  </w:style>
  <w:style w:type="character" w:styleId="790" w:customStyle="1">
    <w:name w:val="Heading 9 Char"/>
    <w:basedOn w:val="749"/>
    <w:uiPriority w:val="9"/>
    <w:qFormat/>
    <w:rPr>
      <w:rFonts w:ascii="Arial" w:hAnsi="Arial" w:eastAsia="Arial" w:cs="Arial"/>
      <w:i/>
      <w:iCs/>
      <w:sz w:val="21"/>
      <w:szCs w:val="21"/>
    </w:rPr>
  </w:style>
  <w:style w:type="character" w:styleId="791" w:customStyle="1">
    <w:name w:val="Title Char"/>
    <w:basedOn w:val="749"/>
    <w:uiPriority w:val="10"/>
    <w:qFormat/>
    <w:rPr>
      <w:sz w:val="48"/>
      <w:szCs w:val="48"/>
    </w:rPr>
  </w:style>
  <w:style w:type="character" w:styleId="792" w:customStyle="1">
    <w:name w:val="Subtitle Char"/>
    <w:basedOn w:val="749"/>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49"/>
    <w:uiPriority w:val="99"/>
    <w:qFormat/>
  </w:style>
  <w:style w:type="character" w:styleId="796" w:customStyle="1">
    <w:name w:val="Caption Char"/>
    <w:uiPriority w:val="99"/>
    <w:qFormat/>
  </w:style>
  <w:style w:type="table" w:styleId="797"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50"/>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Heading"/>
    <w:uiPriority w:val="39"/>
    <w:unhideWhenUsed/>
    <w:qFormat/>
    <w:rPr>
      <w:rFonts w:hint="default" w:ascii="Times New Roman" w:hAnsi="Times New Roman" w:eastAsia="宋体" w:cs="Times New Roman"/>
    </w:rPr>
  </w:style>
  <w:style w:type="paragraph" w:styleId="819" w:customStyle="1">
    <w:name w:val="段"/>
    <w:basedOn w:val="820"/>
    <w:next w:val="820"/>
    <w:uiPriority w:val="99"/>
    <w:qFormat/>
    <w:pPr>
      <w:ind w:firstLine="200"/>
      <w:widowControl/>
    </w:pPr>
    <w:rPr>
      <w:rFonts w:ascii="宋体"/>
      <w:sz w:val="20"/>
      <w:szCs w:val="20"/>
    </w:rPr>
  </w:style>
  <w:style w:type="paragraph" w:styleId="820" w:customStyle="1">
    <w:name w:val="正文11"/>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首行缩进11"/>
    <w:basedOn w:val="822"/>
    <w:next w:val="827"/>
    <w:uiPriority w:val="0"/>
    <w:qFormat/>
    <w:pPr>
      <w:ind w:firstLine="200"/>
      <w:spacing w:line="360" w:lineRule="auto"/>
      <w:tabs>
        <w:tab w:val="left" w:pos="420" w:leader="none"/>
      </w:tabs>
    </w:pPr>
    <w:rPr>
      <w:rFonts w:ascii="仿宋_GB2312" w:hAnsi="Calibri" w:eastAsia="仿宋_GB2312"/>
      <w:sz w:val="30"/>
      <w:szCs w:val="30"/>
    </w:rPr>
  </w:style>
  <w:style w:type="paragraph" w:styleId="822" w:customStyle="1">
    <w:name w:val="正文文本1"/>
    <w:basedOn w:val="823"/>
    <w:next w:val="829"/>
    <w:uiPriority w:val="0"/>
    <w:qFormat/>
    <w:pPr>
      <w:tabs>
        <w:tab w:val="left" w:pos="420" w:leader="none"/>
      </w:tabs>
    </w:pPr>
    <w:rPr>
      <w:rFonts w:eastAsia="黑体"/>
      <w:bCs/>
      <w:spacing w:val="20"/>
      <w:sz w:val="56"/>
    </w:rPr>
  </w:style>
  <w:style w:type="paragraph" w:styleId="823" w:customStyle="1">
    <w:name w:val="正文13"/>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正文首行缩进1"/>
    <w:basedOn w:val="825"/>
    <w:next w:val="827"/>
    <w:uiPriority w:val="0"/>
    <w:qFormat/>
    <w:pPr>
      <w:ind w:firstLine="100"/>
      <w:tabs>
        <w:tab w:val="left" w:pos="180" w:leader="none"/>
      </w:tabs>
    </w:pPr>
  </w:style>
  <w:style w:type="paragraph" w:styleId="825" w:customStyle="1">
    <w:name w:val="正文文本11"/>
    <w:basedOn w:val="826"/>
    <w:next w:val="820"/>
    <w:uiPriority w:val="0"/>
    <w:qFormat/>
    <w:pPr>
      <w:spacing w:after="120"/>
    </w:pPr>
  </w:style>
  <w:style w:type="paragraph" w:styleId="826" w:customStyle="1">
    <w:name w:val="正文112"/>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首行缩进 211"/>
    <w:basedOn w:val="828"/>
    <w:uiPriority w:val="0"/>
    <w:qFormat/>
    <w:pPr>
      <w:ind w:left="0" w:firstLine="420"/>
      <w:spacing w:after="0"/>
    </w:pPr>
    <w:rPr>
      <w:sz w:val="24"/>
    </w:rPr>
  </w:style>
  <w:style w:type="paragraph" w:styleId="828" w:customStyle="1">
    <w:name w:val="正文文本缩进11"/>
    <w:basedOn w:val="826"/>
    <w:next w:val="826"/>
    <w:uiPriority w:val="0"/>
    <w:qFormat/>
    <w:pPr>
      <w:ind w:left="420"/>
      <w:spacing w:after="120"/>
    </w:pPr>
  </w:style>
  <w:style w:type="paragraph" w:styleId="829" w:customStyle="1">
    <w:name w:val="一级条标题"/>
    <w:basedOn w:val="830"/>
    <w:next w:val="819"/>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30" w:customStyle="1">
    <w:name w:val="章标题"/>
    <w:next w:val="739"/>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31" w:customStyle="1">
    <w:name w:val="正文11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首行缩进 21"/>
    <w:basedOn w:val="833"/>
    <w:next w:val="831"/>
    <w:uiPriority w:val="0"/>
    <w:qFormat/>
    <w:pPr>
      <w:ind w:left="0" w:firstLine="420"/>
      <w:spacing w:after="0" w:line="360" w:lineRule="auto"/>
    </w:pPr>
    <w:rPr>
      <w:rFonts w:ascii="宋体" w:hAnsi="宋体"/>
      <w:sz w:val="20"/>
      <w:szCs w:val="20"/>
    </w:rPr>
  </w:style>
  <w:style w:type="paragraph" w:styleId="833" w:customStyle="1">
    <w:name w:val="正文文本缩进1"/>
    <w:basedOn w:val="820"/>
    <w:next w:val="834"/>
    <w:uiPriority w:val="0"/>
    <w:qFormat/>
    <w:pPr>
      <w:ind w:left="420"/>
      <w:spacing w:after="120"/>
    </w:pPr>
  </w:style>
  <w:style w:type="paragraph" w:styleId="834" w:customStyle="1">
    <w:name w:val="寄信人地址1"/>
    <w:basedOn w:val="739"/>
    <w:uiPriority w:val="99"/>
    <w:unhideWhenUsed/>
    <w:qFormat/>
    <w:rPr>
      <w:rFonts w:ascii="Arial" w:hAnsi="Arial"/>
    </w:rPr>
  </w:style>
  <w:style w:type="paragraph" w:styleId="835" w:customStyle="1">
    <w:name w:val="正文1"/>
    <w:basedOn w:val="739"/>
    <w:next w:val="836"/>
    <w:uiPriority w:val="0"/>
    <w:qFormat/>
    <w:pPr>
      <w:ind w:firstLine="432"/>
      <w:spacing w:line="360" w:lineRule="auto"/>
      <w:tabs>
        <w:tab w:val="left" w:pos="420" w:leader="none"/>
      </w:tabs>
    </w:pPr>
    <w:rPr>
      <w:rFonts w:ascii="宋体" w:hAnsi="宋体"/>
      <w:b/>
      <w:sz w:val="24"/>
    </w:rPr>
  </w:style>
  <w:style w:type="paragraph" w:styleId="836" w:customStyle="1">
    <w:name w:val="标题 21"/>
    <w:basedOn w:val="739"/>
    <w:next w:val="820"/>
    <w:link w:val="997"/>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37" w:customStyle="1">
    <w:name w:val="正文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列出段落1"/>
    <w:basedOn w:val="839"/>
    <w:next w:val="840"/>
    <w:uiPriority w:val="0"/>
    <w:qFormat/>
    <w:pPr>
      <w:ind w:left="480"/>
      <w:jc w:val="left"/>
    </w:pPr>
    <w:rPr>
      <w:rFonts w:eastAsia="PMingLiU"/>
      <w:sz w:val="24"/>
      <w:szCs w:val="20"/>
      <w:lang w:eastAsia="zh-TW"/>
    </w:rPr>
  </w:style>
  <w:style w:type="paragraph" w:styleId="839"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标题 71"/>
    <w:basedOn w:val="826"/>
    <w:next w:val="826"/>
    <w:uiPriority w:val="0"/>
    <w:qFormat/>
    <w:pPr>
      <w:numPr>
        <w:ilvl w:val="6"/>
        <w:numId w:val="1"/>
      </w:numPr>
      <w:keepLines/>
      <w:keepNext/>
      <w:spacing w:before="240" w:after="64" w:line="320" w:lineRule="auto"/>
      <w:outlineLvl w:val="6"/>
    </w:pPr>
    <w:rPr>
      <w:b/>
      <w:bCs/>
      <w:sz w:val="24"/>
    </w:rPr>
  </w:style>
  <w:style w:type="paragraph" w:styleId="841" w:customStyle="1">
    <w:name w:val="寄信人地址11"/>
    <w:basedOn w:val="739"/>
    <w:uiPriority w:val="99"/>
    <w:unhideWhenUsed/>
    <w:qFormat/>
    <w:rPr>
      <w:rFonts w:ascii="Arial" w:hAnsi="Arial"/>
    </w:rPr>
  </w:style>
  <w:style w:type="paragraph" w:styleId="842" w:customStyle="1">
    <w:name w:val="正文缩进1"/>
    <w:basedOn w:val="739"/>
    <w:next w:val="820"/>
    <w:uiPriority w:val="99"/>
    <w:unhideWhenUsed/>
    <w:qFormat/>
    <w:pPr>
      <w:ind w:firstLine="420"/>
    </w:pPr>
  </w:style>
  <w:style w:type="character" w:styleId="843" w:customStyle="1">
    <w:name w:val="Heading 1 Char"/>
    <w:uiPriority w:val="9"/>
    <w:qFormat/>
    <w:rPr>
      <w:rFonts w:ascii="Arial" w:hAnsi="Arial" w:eastAsia="Arial" w:cs="Arial"/>
      <w:sz w:val="40"/>
      <w:szCs w:val="40"/>
    </w:rPr>
  </w:style>
  <w:style w:type="character" w:styleId="844" w:customStyle="1">
    <w:name w:val="标题 2 字符"/>
    <w:link w:val="741"/>
    <w:uiPriority w:val="9"/>
    <w:qFormat/>
    <w:rPr>
      <w:rFonts w:ascii="Arial" w:hAnsi="Arial" w:eastAsia="Arial" w:cs="Arial"/>
      <w:sz w:val="34"/>
    </w:rPr>
  </w:style>
  <w:style w:type="character" w:styleId="845" w:customStyle="1">
    <w:name w:val="标题 3 字符"/>
    <w:link w:val="742"/>
    <w:uiPriority w:val="9"/>
    <w:qFormat/>
    <w:rPr>
      <w:rFonts w:ascii="Arial" w:hAnsi="Arial" w:eastAsia="Arial" w:cs="Arial"/>
      <w:sz w:val="30"/>
      <w:szCs w:val="30"/>
    </w:rPr>
  </w:style>
  <w:style w:type="character" w:styleId="846" w:customStyle="1">
    <w:name w:val="标题 4 字符"/>
    <w:link w:val="743"/>
    <w:uiPriority w:val="9"/>
    <w:qFormat/>
    <w:rPr>
      <w:rFonts w:ascii="Arial" w:hAnsi="Arial" w:eastAsia="Arial" w:cs="Arial"/>
      <w:b/>
      <w:bCs/>
      <w:sz w:val="26"/>
      <w:szCs w:val="26"/>
    </w:rPr>
  </w:style>
  <w:style w:type="character" w:styleId="847" w:customStyle="1">
    <w:name w:val="标题 5 字符"/>
    <w:link w:val="744"/>
    <w:uiPriority w:val="9"/>
    <w:qFormat/>
    <w:rPr>
      <w:rFonts w:ascii="Arial" w:hAnsi="Arial" w:eastAsia="Arial" w:cs="Arial"/>
      <w:b/>
      <w:bCs/>
      <w:sz w:val="24"/>
      <w:szCs w:val="24"/>
    </w:rPr>
  </w:style>
  <w:style w:type="character" w:styleId="848" w:customStyle="1">
    <w:name w:val="标题 6 字符"/>
    <w:link w:val="745"/>
    <w:uiPriority w:val="9"/>
    <w:qFormat/>
    <w:rPr>
      <w:rFonts w:ascii="Arial" w:hAnsi="Arial" w:eastAsia="Arial" w:cs="Arial"/>
      <w:b/>
      <w:bCs/>
      <w:sz w:val="22"/>
      <w:szCs w:val="22"/>
    </w:rPr>
  </w:style>
  <w:style w:type="character" w:styleId="849" w:customStyle="1">
    <w:name w:val="标题 7 字符"/>
    <w:link w:val="746"/>
    <w:uiPriority w:val="9"/>
    <w:qFormat/>
    <w:rPr>
      <w:rFonts w:ascii="Arial" w:hAnsi="Arial" w:eastAsia="Arial" w:cs="Arial"/>
      <w:b/>
      <w:bCs/>
      <w:i/>
      <w:iCs/>
      <w:sz w:val="22"/>
      <w:szCs w:val="22"/>
    </w:rPr>
  </w:style>
  <w:style w:type="character" w:styleId="850" w:customStyle="1">
    <w:name w:val="标题 8 字符"/>
    <w:link w:val="747"/>
    <w:uiPriority w:val="9"/>
    <w:qFormat/>
    <w:rPr>
      <w:rFonts w:ascii="Arial" w:hAnsi="Arial" w:eastAsia="Arial" w:cs="Arial"/>
      <w:i/>
      <w:iCs/>
      <w:sz w:val="22"/>
      <w:szCs w:val="22"/>
    </w:rPr>
  </w:style>
  <w:style w:type="character" w:styleId="851" w:customStyle="1">
    <w:name w:val="标题 9 字符"/>
    <w:link w:val="748"/>
    <w:uiPriority w:val="9"/>
    <w:qFormat/>
    <w:rPr>
      <w:rFonts w:ascii="Arial" w:hAnsi="Arial" w:eastAsia="Arial" w:cs="Arial"/>
      <w:i/>
      <w:iCs/>
      <w:sz w:val="21"/>
      <w:szCs w:val="21"/>
    </w:rPr>
  </w:style>
  <w:style w:type="paragraph" w:styleId="852">
    <w:name w:val="List Paragraph"/>
    <w:basedOn w:val="739"/>
    <w:uiPriority w:val="34"/>
    <w:qFormat/>
    <w:pPr>
      <w:contextualSpacing/>
      <w:ind w:left="720"/>
    </w:pPr>
  </w:style>
  <w:style w:type="paragraph" w:styleId="853">
    <w:name w:val="No Spacing"/>
    <w:uiPriority w:val="1"/>
    <w:qFormat/>
    <w:rPr>
      <w:rFonts w:hint="default" w:ascii="Times New Roman" w:hAnsi="Times New Roman" w:eastAsia="宋体" w:cs="Times New Roman"/>
      <w:lang w:val="en-US" w:eastAsia="zh-CN" w:bidi="ar-SA"/>
    </w:rPr>
  </w:style>
  <w:style w:type="character" w:styleId="854" w:customStyle="1">
    <w:name w:val="标题 字符"/>
    <w:link w:val="774"/>
    <w:uiPriority w:val="10"/>
    <w:qFormat/>
    <w:rPr>
      <w:sz w:val="48"/>
      <w:szCs w:val="48"/>
    </w:rPr>
  </w:style>
  <w:style w:type="character" w:styleId="855" w:customStyle="1">
    <w:name w:val="副标题 字符"/>
    <w:link w:val="768"/>
    <w:uiPriority w:val="11"/>
    <w:qFormat/>
    <w:rPr>
      <w:sz w:val="24"/>
      <w:szCs w:val="24"/>
    </w:rPr>
  </w:style>
  <w:style w:type="paragraph" w:styleId="856">
    <w:name w:val="Quote"/>
    <w:basedOn w:val="739"/>
    <w:next w:val="739"/>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39"/>
    <w:next w:val="739"/>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眉 字符"/>
    <w:link w:val="765"/>
    <w:uiPriority w:val="99"/>
    <w:qFormat/>
  </w:style>
  <w:style w:type="character" w:styleId="861" w:customStyle="1">
    <w:name w:val="Footer Char"/>
    <w:uiPriority w:val="99"/>
    <w:qFormat/>
  </w:style>
  <w:style w:type="character" w:styleId="862" w:customStyle="1">
    <w:name w:val="页脚 字符"/>
    <w:link w:val="763"/>
    <w:uiPriority w:val="99"/>
    <w:qFormat/>
  </w:style>
  <w:style w:type="table" w:styleId="8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字符"/>
    <w:link w:val="769"/>
    <w:uiPriority w:val="99"/>
    <w:qFormat/>
    <w:rPr>
      <w:sz w:val="18"/>
    </w:rPr>
  </w:style>
  <w:style w:type="character" w:styleId="989" w:customStyle="1">
    <w:name w:val="尾注文本 字符"/>
    <w:link w:val="762"/>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paragraph" w:styleId="991" w:customStyle="1">
    <w:name w:val="标题 11"/>
    <w:basedOn w:val="739"/>
    <w:next w:val="739"/>
    <w:link w:val="996"/>
    <w:uiPriority w:val="0"/>
    <w:qFormat/>
    <w:pPr>
      <w:keepLines/>
      <w:keepNext/>
      <w:spacing w:before="340" w:after="330" w:line="576" w:lineRule="auto"/>
      <w:outlineLvl w:val="0"/>
    </w:pPr>
    <w:rPr>
      <w:b/>
      <w:sz w:val="44"/>
      <w:szCs w:val="20"/>
    </w:rPr>
  </w:style>
  <w:style w:type="paragraph" w:styleId="992" w:customStyle="1">
    <w:name w:val="标题 31"/>
    <w:basedOn w:val="739"/>
    <w:next w:val="739"/>
    <w:uiPriority w:val="1"/>
    <w:qFormat/>
    <w:pPr>
      <w:ind w:left="50" w:right="31"/>
      <w:jc w:val="center"/>
      <w:spacing w:before="39"/>
      <w:outlineLvl w:val="2"/>
    </w:pPr>
    <w:rPr>
      <w:sz w:val="30"/>
      <w:szCs w:val="30"/>
    </w:rPr>
  </w:style>
  <w:style w:type="paragraph" w:styleId="993" w:customStyle="1">
    <w:name w:val="标题 411"/>
    <w:basedOn w:val="739"/>
    <w:next w:val="739"/>
    <w:uiPriority w:val="0"/>
    <w:qFormat/>
    <w:pPr>
      <w:keepLines/>
      <w:keepNext/>
      <w:spacing w:before="280" w:after="290" w:line="376" w:lineRule="auto"/>
      <w:outlineLvl w:val="3"/>
    </w:pPr>
    <w:rPr>
      <w:rFonts w:ascii="Cambria" w:hAnsi="Cambria"/>
      <w:b/>
      <w:bCs/>
      <w:sz w:val="28"/>
      <w:szCs w:val="28"/>
    </w:rPr>
  </w:style>
  <w:style w:type="character" w:styleId="994" w:customStyle="1">
    <w:name w:val="默认段落字体1"/>
    <w:uiPriority w:val="0"/>
    <w:qFormat/>
    <w:rPr>
      <w:rFonts w:ascii="Times New Roman" w:hAnsi="Times New Roman" w:eastAsia="宋体" w:cs="Times New Roman"/>
    </w:rPr>
  </w:style>
  <w:style w:type="table" w:styleId="995" w:customStyle="1">
    <w:name w:val="普通表格1"/>
    <w:uiPriority w:val="0"/>
    <w:qFormat/>
    <w:tblPr>
      <w:tblLayout w:type="fixed"/>
      <w:tblCellMar>
        <w:left w:w="0" w:type="dxa"/>
        <w:top w:w="0" w:type="dxa"/>
        <w:right w:w="0" w:type="dxa"/>
        <w:bottom w:w="0" w:type="dxa"/>
      </w:tblCellMar>
    </w:tblPr>
  </w:style>
  <w:style w:type="character" w:styleId="996" w:customStyle="1">
    <w:name w:val="标题 1 Char"/>
    <w:link w:val="991"/>
    <w:uiPriority w:val="0"/>
    <w:qFormat/>
    <w:rPr>
      <w:b/>
      <w:sz w:val="44"/>
    </w:rPr>
  </w:style>
  <w:style w:type="character" w:styleId="997" w:customStyle="1">
    <w:name w:val="标题 2 Char"/>
    <w:link w:val="836"/>
    <w:uiPriority w:val="0"/>
    <w:qFormat/>
    <w:rPr>
      <w:rFonts w:ascii="Cambria" w:hAnsi="Cambria" w:eastAsia="宋体" w:cs="Times New Roman"/>
      <w:b/>
      <w:bCs/>
      <w:sz w:val="28"/>
      <w:szCs w:val="32"/>
    </w:rPr>
  </w:style>
  <w:style w:type="paragraph" w:styleId="998" w:customStyle="1">
    <w:name w:val="索引 51"/>
    <w:basedOn w:val="739"/>
    <w:next w:val="739"/>
    <w:uiPriority w:val="0"/>
    <w:qFormat/>
    <w:pPr>
      <w:ind w:left="798"/>
      <w:jc w:val="left"/>
    </w:pPr>
    <w:rPr>
      <w:rFonts w:ascii="Calibri" w:hAnsi="Calibri"/>
    </w:rPr>
  </w:style>
  <w:style w:type="paragraph" w:styleId="999" w:customStyle="1">
    <w:name w:val="批注文字1"/>
    <w:basedOn w:val="739"/>
    <w:link w:val="1000"/>
    <w:uiPriority w:val="0"/>
    <w:qFormat/>
    <w:pPr>
      <w:jc w:val="left"/>
    </w:pPr>
  </w:style>
  <w:style w:type="character" w:styleId="1000" w:customStyle="1">
    <w:name w:val="批注文字 Char"/>
    <w:link w:val="999"/>
    <w:uiPriority w:val="0"/>
    <w:qFormat/>
    <w:rPr>
      <w:rFonts w:ascii="Times New Roman" w:hAnsi="Times New Roman" w:eastAsia="宋体" w:cs="Times New Roman"/>
      <w:sz w:val="21"/>
      <w:szCs w:val="24"/>
    </w:rPr>
  </w:style>
  <w:style w:type="paragraph" w:styleId="1001" w:customStyle="1">
    <w:name w:val="列表 21"/>
    <w:basedOn w:val="739"/>
    <w:uiPriority w:val="0"/>
    <w:qFormat/>
    <w:pPr>
      <w:ind w:left="100" w:hanging="200"/>
    </w:pPr>
  </w:style>
  <w:style w:type="paragraph" w:styleId="1002" w:customStyle="1">
    <w:name w:val="文本块1"/>
    <w:basedOn w:val="739"/>
    <w:next w:val="739"/>
    <w:uiPriority w:val="0"/>
    <w:qFormat/>
    <w:pPr>
      <w:ind w:left="256" w:right="6" w:firstLine="624"/>
    </w:pPr>
    <w:rPr>
      <w:rFonts w:eastAsia="仿宋_GB2312"/>
      <w:sz w:val="28"/>
      <w:szCs w:val="20"/>
    </w:rPr>
  </w:style>
  <w:style w:type="paragraph" w:styleId="1003" w:customStyle="1">
    <w:name w:val="纯文本1"/>
    <w:basedOn w:val="739"/>
    <w:link w:val="1004"/>
    <w:uiPriority w:val="0"/>
    <w:qFormat/>
    <w:rPr>
      <w:rFonts w:ascii="宋体" w:hAnsi="Courier New"/>
      <w:szCs w:val="21"/>
    </w:rPr>
  </w:style>
  <w:style w:type="character" w:styleId="1004" w:customStyle="1">
    <w:name w:val="纯文本 Char"/>
    <w:link w:val="1003"/>
    <w:uiPriority w:val="0"/>
    <w:qFormat/>
    <w:rPr>
      <w:rFonts w:ascii="宋体" w:hAnsi="Courier New" w:eastAsia="宋体" w:cs="Times New Roman"/>
      <w:sz w:val="21"/>
      <w:szCs w:val="21"/>
      <w:lang w:bidi="ar-SA"/>
    </w:rPr>
  </w:style>
  <w:style w:type="paragraph" w:styleId="1005" w:customStyle="1">
    <w:name w:val="正文文本缩进 21"/>
    <w:basedOn w:val="739"/>
    <w:uiPriority w:val="99"/>
    <w:qFormat/>
    <w:pPr>
      <w:ind w:left="630" w:firstLine="645"/>
    </w:pPr>
    <w:rPr>
      <w:rFonts w:ascii="Arial" w:hAnsi="Arial" w:eastAsia="仿宋_GB2312" w:cs="Arial"/>
      <w:sz w:val="32"/>
      <w:szCs w:val="32"/>
    </w:rPr>
  </w:style>
  <w:style w:type="paragraph" w:styleId="1006" w:customStyle="1">
    <w:name w:val="批注框文本1"/>
    <w:basedOn w:val="739"/>
    <w:link w:val="1007"/>
    <w:uiPriority w:val="0"/>
    <w:qFormat/>
    <w:rPr>
      <w:sz w:val="18"/>
      <w:szCs w:val="18"/>
    </w:rPr>
  </w:style>
  <w:style w:type="character" w:styleId="1007" w:customStyle="1">
    <w:name w:val="批注框文本 Char"/>
    <w:link w:val="1006"/>
    <w:uiPriority w:val="0"/>
    <w:qFormat/>
    <w:rPr>
      <w:rFonts w:ascii="Times New Roman" w:hAnsi="Times New Roman" w:eastAsia="宋体" w:cs="Times New Roman"/>
      <w:sz w:val="18"/>
      <w:szCs w:val="18"/>
    </w:rPr>
  </w:style>
  <w:style w:type="paragraph" w:styleId="1008" w:customStyle="1">
    <w:name w:val="页脚1"/>
    <w:basedOn w:val="739"/>
    <w:link w:val="1009"/>
    <w:uiPriority w:val="99"/>
    <w:qFormat/>
    <w:pPr>
      <w:jc w:val="left"/>
      <w:tabs>
        <w:tab w:val="center" w:pos="4153" w:leader="none"/>
        <w:tab w:val="right" w:pos="8306" w:leader="none"/>
      </w:tabs>
    </w:pPr>
    <w:rPr>
      <w:sz w:val="18"/>
      <w:szCs w:val="18"/>
    </w:rPr>
  </w:style>
  <w:style w:type="character" w:styleId="1009" w:customStyle="1">
    <w:name w:val="页脚 Char"/>
    <w:link w:val="1008"/>
    <w:uiPriority w:val="99"/>
    <w:qFormat/>
    <w:rPr>
      <w:sz w:val="18"/>
      <w:szCs w:val="18"/>
    </w:rPr>
  </w:style>
  <w:style w:type="paragraph" w:styleId="1010" w:customStyle="1">
    <w:name w:val="页眉1"/>
    <w:basedOn w:val="739"/>
    <w:link w:val="1011"/>
    <w:uiPriority w:val="99"/>
    <w:qFormat/>
    <w:pPr>
      <w:jc w:val="center"/>
      <w:tabs>
        <w:tab w:val="center" w:pos="4153" w:leader="none"/>
        <w:tab w:val="right" w:pos="8306" w:leader="none"/>
      </w:tabs>
      <w:pBdr>
        <w:bottom w:val="single" w:color="000000" w:sz="6" w:space="1"/>
      </w:pBdr>
    </w:pPr>
    <w:rPr>
      <w:sz w:val="18"/>
      <w:szCs w:val="18"/>
    </w:rPr>
  </w:style>
  <w:style w:type="character" w:styleId="1011" w:customStyle="1">
    <w:name w:val="页眉 Char"/>
    <w:link w:val="1010"/>
    <w:uiPriority w:val="99"/>
    <w:qFormat/>
    <w:rPr>
      <w:sz w:val="18"/>
      <w:szCs w:val="18"/>
    </w:rPr>
  </w:style>
  <w:style w:type="paragraph" w:styleId="1012" w:customStyle="1">
    <w:name w:val="脚注文本1"/>
    <w:basedOn w:val="739"/>
    <w:next w:val="998"/>
    <w:uiPriority w:val="0"/>
    <w:qFormat/>
    <w:pPr>
      <w:jc w:val="left"/>
    </w:pPr>
    <w:rPr>
      <w:rFonts w:ascii="宋体" w:eastAsia="Times New Roman"/>
      <w:sz w:val="18"/>
      <w:szCs w:val="18"/>
    </w:rPr>
  </w:style>
  <w:style w:type="paragraph" w:styleId="1013" w:customStyle="1">
    <w:name w:val="普通(网站)1"/>
    <w:basedOn w:val="739"/>
    <w:uiPriority w:val="0"/>
    <w:qFormat/>
    <w:pPr>
      <w:jc w:val="left"/>
      <w:spacing w:before="100" w:beforeAutospacing="1" w:after="100" w:afterAutospacing="1"/>
      <w:widowControl/>
    </w:pPr>
    <w:rPr>
      <w:rFonts w:ascii="宋体" w:hAnsi="宋体" w:cs="宋体"/>
      <w:sz w:val="24"/>
    </w:rPr>
  </w:style>
  <w:style w:type="paragraph" w:styleId="1014" w:customStyle="1">
    <w:name w:val="标题1"/>
    <w:basedOn w:val="739"/>
    <w:next w:val="739"/>
    <w:uiPriority w:val="10"/>
    <w:qFormat/>
    <w:pPr>
      <w:jc w:val="center"/>
      <w:spacing w:before="240" w:after="60"/>
      <w:outlineLvl w:val="0"/>
    </w:pPr>
    <w:rPr>
      <w:rFonts w:ascii="Cambria" w:hAnsi="Cambria"/>
      <w:b/>
      <w:bCs/>
      <w:sz w:val="32"/>
      <w:szCs w:val="32"/>
    </w:rPr>
  </w:style>
  <w:style w:type="paragraph" w:styleId="1015" w:customStyle="1">
    <w:name w:val="批注主题1"/>
    <w:basedOn w:val="999"/>
    <w:next w:val="999"/>
    <w:link w:val="1016"/>
    <w:uiPriority w:val="0"/>
    <w:qFormat/>
    <w:rPr>
      <w:b/>
      <w:bCs/>
    </w:rPr>
  </w:style>
  <w:style w:type="character" w:styleId="1016" w:customStyle="1">
    <w:name w:val="批注主题 Char"/>
    <w:link w:val="1015"/>
    <w:uiPriority w:val="0"/>
    <w:qFormat/>
    <w:rPr>
      <w:rFonts w:ascii="Times New Roman" w:hAnsi="Times New Roman" w:eastAsia="宋体" w:cs="Times New Roman"/>
      <w:b/>
      <w:bCs/>
      <w:sz w:val="21"/>
      <w:szCs w:val="24"/>
    </w:rPr>
  </w:style>
  <w:style w:type="table" w:styleId="1017" w:customStyle="1">
    <w:name w:val="网格型1"/>
    <w:basedOn w:val="995"/>
    <w:uiPriority w:val="0"/>
    <w:qFormat/>
    <w:tblPr>
      <w:tblLayout w:type="fixed"/>
      <w:tblCellMar>
        <w:left w:w="0" w:type="dxa"/>
        <w:top w:w="0" w:type="dxa"/>
        <w:right w:w="0" w:type="dxa"/>
        <w:bottom w:w="0" w:type="dxa"/>
      </w:tblCellMar>
    </w:tblPr>
  </w:style>
  <w:style w:type="character" w:styleId="1018" w:customStyle="1">
    <w:name w:val="页码1"/>
    <w:basedOn w:val="994"/>
    <w:uiPriority w:val="0"/>
    <w:qFormat/>
    <w:rPr>
      <w:rFonts w:ascii="Times New Roman" w:hAnsi="Times New Roman" w:eastAsia="宋体" w:cs="Times New Roman"/>
    </w:rPr>
  </w:style>
  <w:style w:type="character" w:styleId="1019" w:customStyle="1">
    <w:name w:val="已访问的超链接1"/>
    <w:uiPriority w:val="0"/>
    <w:qFormat/>
    <w:rPr>
      <w:color w:val="771caa"/>
      <w:u w:val="none"/>
    </w:rPr>
  </w:style>
  <w:style w:type="character" w:styleId="1020" w:customStyle="1">
    <w:name w:val="强调1"/>
    <w:uiPriority w:val="0"/>
    <w:qFormat/>
    <w:rPr>
      <w:color w:val="f73131"/>
    </w:rPr>
  </w:style>
  <w:style w:type="character" w:styleId="1021" w:customStyle="1">
    <w:name w:val="超链接1"/>
    <w:uiPriority w:val="99"/>
    <w:unhideWhenUsed/>
    <w:qFormat/>
    <w:rPr>
      <w:color w:val="2440b3"/>
      <w:u w:val="none"/>
    </w:rPr>
  </w:style>
  <w:style w:type="character" w:styleId="1022" w:customStyle="1">
    <w:name w:val="批注引用1"/>
    <w:uiPriority w:val="0"/>
    <w:qFormat/>
    <w:rPr>
      <w:rFonts w:ascii="Times New Roman" w:hAnsi="Times New Roman" w:eastAsia="宋体" w:cs="Times New Roman"/>
      <w:sz w:val="21"/>
      <w:szCs w:val="21"/>
    </w:rPr>
  </w:style>
  <w:style w:type="character" w:styleId="1023" w:customStyle="1">
    <w:name w:val="HTML 引文1"/>
    <w:uiPriority w:val="0"/>
    <w:qFormat/>
    <w:rPr>
      <w:color w:val="008000"/>
    </w:rPr>
  </w:style>
  <w:style w:type="paragraph" w:styleId="1024" w:customStyle="1">
    <w:name w:val="样式 正文文本缩进 + 首行缩进:  2 字符 行距: 1.5 倍行距"/>
    <w:basedOn w:val="833"/>
    <w:uiPriority w:val="0"/>
    <w:qFormat/>
    <w:pPr>
      <w:ind w:firstLine="645"/>
      <w:spacing w:before="156"/>
    </w:pPr>
    <w:rPr>
      <w:rFonts w:ascii="Calibri" w:hAnsi="Calibri" w:cs="宋体"/>
      <w:sz w:val="28"/>
    </w:rPr>
  </w:style>
  <w:style w:type="paragraph" w:styleId="1025" w:customStyle="1">
    <w:name w:val="首行缩进"/>
    <w:basedOn w:val="739"/>
    <w:next w:val="739"/>
    <w:uiPriority w:val="0"/>
    <w:qFormat/>
    <w:pPr>
      <w:ind w:firstLine="480"/>
      <w:spacing w:line="360" w:lineRule="auto"/>
    </w:pPr>
    <w:rPr>
      <w:rFonts w:ascii="宋体" w:hAnsi="宋体" w:cs="宋体"/>
      <w:sz w:val="24"/>
    </w:rPr>
  </w:style>
  <w:style w:type="paragraph" w:styleId="1026" w:customStyle="1">
    <w:name w:val="表格文字"/>
    <w:basedOn w:val="739"/>
    <w:next w:val="825"/>
    <w:uiPriority w:val="0"/>
    <w:qFormat/>
    <w:pPr>
      <w:jc w:val="left"/>
    </w:pPr>
    <w:rPr>
      <w:bCs/>
      <w:spacing w:val="10"/>
      <w:szCs w:val="20"/>
    </w:rPr>
  </w:style>
  <w:style w:type="character" w:styleId="1027" w:customStyle="1">
    <w:name w:val="无间隔 Char"/>
    <w:link w:val="1028"/>
    <w:uiPriority w:val="1"/>
    <w:qFormat/>
    <w:rPr>
      <w:sz w:val="22"/>
      <w:szCs w:val="22"/>
      <w:lang w:val="en-US" w:eastAsia="zh-CN" w:bidi="ar-SA"/>
    </w:rPr>
  </w:style>
  <w:style w:type="paragraph" w:styleId="1028" w:customStyle="1">
    <w:name w:val="无间隔1"/>
    <w:link w:val="1027"/>
    <w:uiPriority w:val="1"/>
    <w:qFormat/>
    <w:rPr>
      <w:rFonts w:hint="default" w:ascii="Times New Roman" w:hAnsi="Times New Roman" w:eastAsia="宋体" w:cs="Times New Roman"/>
      <w:sz w:val="22"/>
      <w:szCs w:val="22"/>
      <w:lang w:val="en-US" w:eastAsia="zh-CN" w:bidi="ar-SA"/>
    </w:rPr>
  </w:style>
  <w:style w:type="paragraph" w:styleId="1029" w:customStyle="1">
    <w:name w:val="Table Paragraph"/>
    <w:basedOn w:val="739"/>
    <w:uiPriority w:val="1"/>
    <w:qFormat/>
    <w:pPr>
      <w:jc w:val="left"/>
    </w:pPr>
    <w:rPr>
      <w:rFonts w:ascii="仿宋" w:hAnsi="仿宋" w:eastAsia="仿宋" w:cs="仿宋"/>
      <w:sz w:val="22"/>
      <w:szCs w:val="22"/>
      <w:lang w:val="zh-CN" w:bidi="zh-CN"/>
    </w:rPr>
  </w:style>
  <w:style w:type="paragraph" w:styleId="1030" w:customStyle="1">
    <w:name w:val="+正文"/>
    <w:basedOn w:val="739"/>
    <w:uiPriority w:val="0"/>
    <w:qFormat/>
    <w:pPr>
      <w:ind w:firstLine="200"/>
      <w:jc w:val="left"/>
      <w:spacing w:line="500" w:lineRule="exact"/>
    </w:pPr>
    <w:rPr>
      <w:sz w:val="24"/>
      <w:szCs w:val="28"/>
    </w:rPr>
  </w:style>
  <w:style w:type="paragraph" w:styleId="1031" w:customStyle="1">
    <w:name w:val="Char"/>
    <w:basedOn w:val="739"/>
    <w:uiPriority w:val="0"/>
    <w:qFormat/>
    <w:pPr>
      <w:tabs>
        <w:tab w:val="left" w:pos="360" w:leader="none"/>
      </w:tabs>
    </w:pPr>
    <w:rPr>
      <w:sz w:val="24"/>
    </w:rPr>
  </w:style>
  <w:style w:type="paragraph" w:styleId="1032" w:customStyle="1">
    <w:name w:val="默认段落字体 Para Char Char Char Char Char Char Char"/>
    <w:basedOn w:val="739"/>
    <w:uiPriority w:val="0"/>
    <w:qFormat/>
    <w:rPr>
      <w:rFonts w:ascii="Tahoma" w:hAnsi="Tahoma"/>
      <w:sz w:val="24"/>
      <w:szCs w:val="20"/>
    </w:rPr>
  </w:style>
  <w:style w:type="paragraph" w:styleId="1033" w:customStyle="1">
    <w:name w:val="表格3"/>
    <w:basedOn w:val="739"/>
    <w:uiPriority w:val="0"/>
    <w:qFormat/>
    <w:pPr>
      <w:jc w:val="center"/>
    </w:pPr>
  </w:style>
  <w:style w:type="paragraph" w:styleId="1034" w:customStyle="1">
    <w:name w:val="列出段落"/>
    <w:basedOn w:val="739"/>
    <w:next w:val="739"/>
    <w:uiPriority w:val="34"/>
    <w:qFormat/>
    <w:pPr>
      <w:ind w:firstLine="420"/>
      <w:jc w:val="left"/>
      <w:spacing w:line="360" w:lineRule="atLeast"/>
    </w:pPr>
    <w:rPr>
      <w:sz w:val="24"/>
    </w:rPr>
  </w:style>
  <w:style w:type="table" w:styleId="1035" w:customStyle="1">
    <w:name w:val="Table Normal"/>
    <w:uiPriority w:val="2"/>
    <w:unhideWhenUsed/>
    <w:qFormat/>
    <w:pPr>
      <w:widowControl w:val="off"/>
    </w:pPr>
    <w:rPr>
      <w:sz w:val="22"/>
      <w:szCs w:val="22"/>
      <w:lang w:eastAsia="en-US"/>
    </w:rPr>
    <w:tblPr>
      <w:tblLayout w:type="fixed"/>
      <w:tblCellMar>
        <w:left w:w="0" w:type="dxa"/>
        <w:top w:w="0" w:type="dxa"/>
        <w:right w:w="0" w:type="dxa"/>
        <w:bottom w:w="0" w:type="dxa"/>
      </w:tblCellMar>
    </w:tblPr>
  </w:style>
  <w:style w:type="paragraph" w:styleId="1036" w:customStyle="1">
    <w:name w:val="样式"/>
    <w:basedOn w:val="739"/>
    <w:uiPriority w:val="0"/>
    <w:qFormat/>
    <w:pPr>
      <w:jc w:val="left"/>
    </w:pPr>
    <w:rPr>
      <w:rFonts w:ascii="宋体" w:hAnsi="宋体" w:cs="宋体"/>
      <w:sz w:val="24"/>
    </w:rPr>
  </w:style>
  <w:style w:type="character" w:styleId="1037" w:customStyle="1">
    <w:name w:val="c-icon"/>
    <w:uiPriority w:val="0"/>
    <w:qFormat/>
  </w:style>
  <w:style w:type="character" w:styleId="1038" w:customStyle="1">
    <w:name w:val="hover24"/>
    <w:uiPriority w:val="0"/>
    <w:qFormat/>
    <w:rPr>
      <w:color w:val="315efb"/>
    </w:rPr>
  </w:style>
  <w:style w:type="character" w:styleId="1039" w:customStyle="1">
    <w:name w:val="hover25"/>
    <w:uiPriority w:val="0"/>
    <w:qFormat/>
  </w:style>
  <w:style w:type="character" w:styleId="1040" w:customStyle="1">
    <w:name w:val="hover26"/>
    <w:uiPriority w:val="0"/>
    <w:qFormat/>
  </w:style>
  <w:style w:type="character" w:styleId="1041" w:customStyle="1">
    <w:name w:val="hover27"/>
    <w:uiPriority w:val="0"/>
    <w:qFormat/>
    <w:rPr>
      <w:color w:val="315efb"/>
    </w:rPr>
  </w:style>
  <w:style w:type="character" w:styleId="1042" w:customStyle="1">
    <w:name w:val="c-icon30"/>
    <w:uiPriority w:val="0"/>
    <w:qFormat/>
  </w:style>
  <w:style w:type="character" w:styleId="1043" w:customStyle="1">
    <w:name w:val="page-cur"/>
    <w:uiPriority w:val="0"/>
    <w:qFormat/>
    <w:rPr>
      <w:color w:val="999999"/>
      <w:u w:val="none"/>
      <w:shd w:val="clear" w:color="auto" w:fill="fafafa"/>
    </w:rPr>
  </w:style>
  <w:style w:type="character" w:styleId="1044" w:customStyle="1">
    <w:name w:val="page-start"/>
    <w:uiPriority w:val="0"/>
    <w:qFormat/>
    <w:rPr>
      <w:color w:val="999999"/>
      <w:u w:val="none"/>
      <w:shd w:val="clear" w:color="auto" w:fill="fafafa"/>
    </w:rPr>
  </w:style>
  <w:style w:type="character" w:styleId="1045" w:customStyle="1">
    <w:name w:val="chewduserlogo"/>
    <w:uiPriority w:val="0"/>
    <w:qFormat/>
  </w:style>
  <w:style w:type="character" w:styleId="1046" w:customStyle="1">
    <w:name w:val="font11"/>
    <w:basedOn w:val="994"/>
    <w:uiPriority w:val="0"/>
    <w:qFormat/>
    <w:rPr>
      <w:rFonts w:hint="eastAsia" w:ascii="宋体" w:hAnsi="宋体" w:eastAsia="宋体" w:cs="宋体"/>
      <w:color w:val="000000"/>
      <w:sz w:val="28"/>
      <w:szCs w:val="28"/>
      <w:u w:val="none"/>
      <w:vertAlign w:val="superscript"/>
    </w:rPr>
  </w:style>
  <w:style w:type="character" w:styleId="1047" w:customStyle="1">
    <w:name w:val="awspan"/>
    <w:uiPriority w:val="0"/>
    <w:qFormat/>
  </w:style>
  <w:style w:type="paragraph" w:styleId="1048" w:customStyle="1">
    <w:name w:val="表格文本"/>
    <w:basedOn w:val="739"/>
    <w:uiPriority w:val="0"/>
    <w:qFormat/>
    <w:pPr>
      <w:jc w:val="center"/>
    </w:pPr>
    <w:rPr>
      <w:rFonts w:ascii="宋体" w:hAnsi="宋体"/>
      <w:bCs/>
      <w:szCs w:val="21"/>
    </w:rPr>
  </w:style>
  <w:style w:type="character" w:styleId="1049" w:customStyle="1">
    <w:name w:val="awspan1"/>
    <w:uiPriority w:val="0"/>
    <w:qFormat/>
    <w:rPr>
      <w:color w:val="000000"/>
      <w:sz w:val="24"/>
      <w:szCs w:val="24"/>
    </w:rPr>
  </w:style>
  <w:style w:type="paragraph" w:styleId="1050" w:customStyle="1">
    <w:name w:val="[基本段落]"/>
    <w:basedOn w:val="739"/>
    <w:uiPriority w:val="99"/>
    <w:qFormat/>
    <w:pPr>
      <w:spacing w:line="288" w:lineRule="auto"/>
    </w:pPr>
    <w:rPr>
      <w:rFonts w:ascii="宋体" w:cs="宋体"/>
      <w:color w:val="000000"/>
      <w:sz w:val="24"/>
      <w:lang w:val="zh-CN"/>
    </w:rPr>
  </w:style>
  <w:style w:type="character" w:styleId="1051" w:customStyle="1">
    <w:name w:val="font01"/>
    <w:uiPriority w:val="0"/>
    <w:qFormat/>
    <w:rPr>
      <w:rFonts w:hint="eastAsia" w:ascii="宋体" w:hAnsi="宋体" w:eastAsia="宋体" w:cs="宋体"/>
      <w:color w:val="000000"/>
      <w:sz w:val="18"/>
      <w:szCs w:val="18"/>
      <w:u w:val="none"/>
    </w:rPr>
  </w:style>
  <w:style w:type="paragraph" w:styleId="1052" w:customStyle="1">
    <w:name w:val="列表段落1"/>
    <w:basedOn w:val="739"/>
    <w:uiPriority w:val="0"/>
    <w:qFormat/>
    <w:pPr>
      <w:ind w:firstLine="420"/>
    </w:pPr>
    <w:rPr>
      <w:rFonts w:ascii="Calibri" w:hAnsi="Calibri"/>
      <w:szCs w:val="22"/>
    </w:rPr>
  </w:style>
  <w:style w:type="paragraph" w:styleId="1053" w:customStyle="1">
    <w:name w:val="样式 首行缩进:  2 字符"/>
    <w:basedOn w:val="739"/>
    <w:uiPriority w:val="0"/>
    <w:qFormat/>
    <w:pPr>
      <w:ind w:firstLine="200"/>
      <w:spacing w:line="400" w:lineRule="exact"/>
    </w:pPr>
    <w:rPr>
      <w:rFonts w:ascii="Calibri" w:hAnsi="Calibri" w:cs="宋体"/>
      <w:sz w:val="24"/>
    </w:rPr>
  </w:style>
  <w:style w:type="paragraph" w:styleId="1054" w:customStyle="1">
    <w:name w:val="标题 41"/>
    <w:basedOn w:val="837"/>
    <w:next w:val="837"/>
    <w:uiPriority w:val="0"/>
    <w:qFormat/>
    <w:pPr>
      <w:keepLines/>
      <w:keepNext/>
      <w:spacing w:before="280" w:after="290" w:line="376" w:lineRule="auto"/>
      <w:outlineLvl w:val="3"/>
    </w:pPr>
    <w:rPr>
      <w:rFonts w:ascii="Cambria" w:hAnsi="Cambria"/>
      <w:b/>
      <w:bCs/>
      <w:sz w:val="28"/>
      <w:szCs w:val="28"/>
    </w:rPr>
  </w:style>
  <w:style w:type="character" w:styleId="1055" w:customStyle="1">
    <w:name w:val="NormalCharacter1"/>
    <w:uiPriority w:val="0"/>
    <w:qFormat/>
    <w:rPr>
      <w:sz w:val="21"/>
      <w:szCs w:val="24"/>
      <w:lang w:val="en-US" w:eastAsia="zh-CN" w:bidi="ar-SA"/>
    </w:rPr>
  </w:style>
  <w:style w:type="paragraph" w:styleId="1056" w:customStyle="1">
    <w:name w:val="正文360首行缩进"/>
    <w:basedOn w:val="739"/>
    <w:uiPriority w:val="0"/>
    <w:qFormat/>
    <w:pPr>
      <w:ind w:firstLine="200"/>
      <w:spacing w:before="120" w:line="300" w:lineRule="auto"/>
    </w:pPr>
    <w:rPr>
      <w:szCs w:val="20"/>
    </w:rPr>
  </w:style>
  <w:style w:type="paragraph" w:styleId="1057" w:customStyle="1">
    <w:name w:val="BodyTextIndent1"/>
    <w:basedOn w:val="739"/>
    <w:next w:val="1058"/>
    <w:uiPriority w:val="0"/>
    <w:qFormat/>
    <w:pPr>
      <w:ind w:left="420"/>
      <w:spacing w:after="120"/>
    </w:pPr>
  </w:style>
  <w:style w:type="paragraph" w:styleId="1058" w:customStyle="1">
    <w:name w:val="EnvelopeReturn1"/>
    <w:basedOn w:val="739"/>
    <w:uiPriority w:val="0"/>
    <w:qFormat/>
    <w:rPr>
      <w:rFonts w:ascii="Arial" w:hAnsi="Arial"/>
    </w:rPr>
  </w:style>
  <w:style w:type="character" w:styleId="1059" w:customStyle="1">
    <w:name w:val="font21"/>
    <w:basedOn w:val="994"/>
    <w:uiPriority w:val="0"/>
    <w:qFormat/>
    <w:rPr>
      <w:rFonts w:hint="eastAsia" w:ascii="宋体" w:hAnsi="宋体" w:eastAsia="宋体" w:cs="宋体"/>
      <w:color w:val="ff0000"/>
      <w:sz w:val="22"/>
      <w:szCs w:val="22"/>
      <w:u w:val="none"/>
    </w:rPr>
  </w:style>
  <w:style w:type="paragraph" w:styleId="1060" w:customStyle="1">
    <w:name w:val="UserStyle_291"/>
    <w:uiPriority w:val="0"/>
    <w:qFormat/>
    <w:rPr>
      <w:rFonts w:hint="default" w:ascii="黑体" w:hAnsi="黑体" w:eastAsia="黑体" w:cs="Times New Roman"/>
      <w:b/>
      <w:sz w:val="32"/>
      <w:szCs w:val="24"/>
      <w:lang w:val="en-US" w:eastAsia="zh-CN" w:bidi="ar-SA"/>
    </w:rPr>
  </w:style>
  <w:style w:type="paragraph" w:styleId="1061" w:customStyle="1">
    <w:name w:val="目录 11"/>
    <w:basedOn w:val="831"/>
    <w:next w:val="831"/>
    <w:uiPriority w:val="0"/>
    <w:qFormat/>
    <w:pPr>
      <w:jc w:val="left"/>
      <w:spacing w:after="100" w:line="259" w:lineRule="auto"/>
      <w:widowControl/>
    </w:pPr>
    <w:rPr>
      <w:rFonts w:ascii="Calibri" w:hAnsi="Calibri"/>
      <w:sz w:val="22"/>
      <w:szCs w:val="22"/>
    </w:rPr>
  </w:style>
  <w:style w:type="character" w:styleId="1062" w:customStyle="1">
    <w:name w:val="font91"/>
    <w:basedOn w:val="994"/>
    <w:uiPriority w:val="0"/>
    <w:qFormat/>
    <w:rPr>
      <w:rFonts w:hint="eastAsia" w:ascii="宋体" w:hAnsi="宋体" w:eastAsia="宋体" w:cs="宋体"/>
      <w:color w:val="ff0000"/>
      <w:sz w:val="22"/>
      <w:szCs w:val="22"/>
      <w:u w:val="none"/>
    </w:rPr>
  </w:style>
  <w:style w:type="character" w:styleId="1063" w:customStyle="1">
    <w:name w:val="font112"/>
    <w:basedOn w:val="994"/>
    <w:uiPriority w:val="0"/>
    <w:qFormat/>
    <w:rPr>
      <w:rFonts w:hint="eastAsia" w:ascii="宋体" w:hAnsi="宋体" w:eastAsia="宋体" w:cs="宋体"/>
      <w:color w:val="000000"/>
      <w:sz w:val="22"/>
      <w:szCs w:val="22"/>
      <w:u w:val="none"/>
    </w:rPr>
  </w:style>
  <w:style w:type="paragraph" w:styleId="1064" w:customStyle="1">
    <w:name w:val="正文文本 21"/>
    <w:basedOn w:val="739"/>
    <w:uiPriority w:val="0"/>
    <w:qFormat/>
    <w:pPr>
      <w:ind w:firstLine="640"/>
      <w:jc w:val="center"/>
      <w:spacing w:line="300" w:lineRule="auto"/>
    </w:pPr>
    <w:rPr>
      <w:rFonts w:hint="eastAsia" w:ascii="宋体" w:hAnsi="宋体"/>
    </w:rPr>
  </w:style>
  <w:style w:type="paragraph" w:styleId="1065" w:customStyle="1">
    <w:name w:val="正文1111"/>
    <w:next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目录 112"/>
    <w:basedOn w:val="1065"/>
    <w:next w:val="1065"/>
    <w:uiPriority w:val="0"/>
    <w:qFormat/>
  </w:style>
  <w:style w:type="paragraph" w:styleId="1067"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68" w:customStyle="1">
    <w:name w:val="公文正文"/>
    <w:basedOn w:val="739"/>
    <w:uiPriority w:val="0"/>
    <w:qFormat/>
    <w:pPr>
      <w:ind w:firstLine="200"/>
      <w:spacing w:line="560" w:lineRule="exact"/>
    </w:pPr>
    <w:rPr>
      <w:rFonts w:ascii="仿宋_GB2312" w:hAnsi="仿宋_GB2312" w:eastAsia="仿宋_GB2312" w:cs="仿宋_GB2312"/>
      <w:sz w:val="32"/>
      <w:szCs w:val="32"/>
      <w:lang w:val="zh-CN"/>
    </w:rPr>
  </w:style>
  <w:style w:type="paragraph" w:styleId="1069" w:customStyle="1">
    <w:name w:val="Table Text"/>
    <w:basedOn w:val="739"/>
    <w:uiPriority w:val="0"/>
    <w:semiHidden/>
    <w:qFormat/>
    <w:rPr>
      <w:rFonts w:ascii="宋体" w:hAnsi="宋体" w:cs="宋体"/>
      <w:sz w:val="20"/>
      <w:szCs w:val="20"/>
    </w:rPr>
  </w:style>
  <w:style w:type="paragraph" w:styleId="1070" w:customStyle="1">
    <w:name w:val="表格"/>
    <w:basedOn w:val="739"/>
    <w:uiPriority w:val="0"/>
    <w:qFormat/>
    <w:pPr>
      <w:ind w:firstLine="0"/>
      <w:jc w:val="center"/>
      <w:spacing w:line="240" w:lineRule="auto"/>
    </w:pPr>
    <w:rPr>
      <w:rFonts w:hint="eastAsia"/>
    </w:rPr>
  </w:style>
  <w:style w:type="paragraph" w:styleId="1071" w:customStyle="1">
    <w:name w:val="Heading 4"/>
    <w:basedOn w:val="739"/>
    <w:next w:val="739"/>
    <w:uiPriority w:val="0"/>
    <w:qFormat/>
    <w:pPr>
      <w:jc w:val="center"/>
      <w:keepNext/>
      <w:outlineLvl w:val="3"/>
    </w:pPr>
    <w:rPr>
      <w:rFonts w:eastAsia="新宋体"/>
      <w:sz w:val="30"/>
      <w:szCs w:val="21"/>
    </w:rPr>
  </w:style>
  <w:style w:type="paragraph" w:styleId="1072" w:customStyle="1">
    <w:name w:val="标题 211"/>
    <w:basedOn w:val="739"/>
    <w:next w:val="739"/>
    <w:uiPriority w:val="0"/>
    <w:qFormat/>
    <w:pPr>
      <w:keepLines/>
      <w:keepNext/>
      <w:spacing w:before="260" w:after="260" w:line="416" w:lineRule="auto"/>
      <w:outlineLvl w:val="1"/>
    </w:pPr>
    <w:rPr>
      <w:rFonts w:ascii="Arial" w:hAnsi="Arial" w:eastAsia="黑体"/>
      <w:b/>
      <w:bCs/>
      <w:sz w:val="32"/>
      <w:szCs w:val="32"/>
    </w:rPr>
  </w:style>
  <w:style w:type="paragraph" w:styleId="1073" w:customStyle="1">
    <w:name w:val="文本块111"/>
    <w:basedOn w:val="739"/>
    <w:uiPriority w:val="6"/>
    <w:qFormat/>
    <w:pPr>
      <w:ind w:left="256" w:right="6" w:firstLine="624"/>
    </w:pPr>
    <w:rPr>
      <w:rFonts w:ascii="Times New Roman" w:hAnsi="Times New Roman" w:eastAsia="仿宋" w:cs="Times New Roman"/>
      <w:sz w:val="28"/>
      <w:szCs w:val="20"/>
    </w:rPr>
  </w:style>
  <w:style w:type="paragraph" w:styleId="1074" w:customStyle="1">
    <w:name w:val="footer1"/>
    <w:basedOn w:val="739"/>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75" w:customStyle="1">
    <w:name w:val="正文_16_0_0"/>
    <w:next w:val="739"/>
    <w:uiPriority w:val="0"/>
    <w:qFormat/>
    <w:pPr>
      <w:jc w:val="both"/>
      <w:widowControl w:val="off"/>
    </w:pPr>
    <w:rPr>
      <w:rFonts w:hint="default" w:ascii="Calibri" w:hAnsi="Calibri" w:eastAsia="宋体" w:cs="Times New Roman"/>
      <w:sz w:val="21"/>
      <w:szCs w:val="22"/>
      <w:lang w:val="en-US" w:eastAsia="zh-CN" w:bidi="ar-SA"/>
    </w:rPr>
  </w:style>
  <w:style w:type="character" w:styleId="1076" w:customStyle="1">
    <w:name w:val="标题 1 字符"/>
    <w:link w:val="740"/>
    <w:uiPriority w:val="0"/>
    <w:qFormat/>
    <w:rPr>
      <w:rFonts w:ascii="仿宋" w:hAnsi="仿宋" w:eastAsia="仿宋" w:cs="仿宋"/>
      <w:b/>
      <w:bCs/>
      <w:sz w:val="30"/>
      <w:szCs w:val="30"/>
      <w:lang w:val="zh-CN" w:bidi="zh-CN"/>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张楚涵</cp:lastModifiedBy>
  <cp:revision>31</cp:revision>
  <dcterms:created xsi:type="dcterms:W3CDTF">2021-06-11T03:05:00Z</dcterms:created>
  <dcterms:modified xsi:type="dcterms:W3CDTF">2026-07-27T09:15:33Z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90EB033A3A2C4E19A2404630D8670BA1_13</vt:lpwstr>
  </property>
  <property fmtid="{D5CDD505-2E9C-101B-9397-08002B2CF9AE}" pid="4" name="KSOTemplateDocerSaveRecord">
    <vt:lpwstr>eyJoZGlkIjoiMjc4ZWRiMzc1NThlOGRhNjg2MjlkZDhmMmJmNmQyOTIiLCJ1c2VySWQiOiI0MjA2NDA3MTYifQ==</vt:lpwstr>
  </property>
</Properties>
</file>