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86B90">
      <w:pPr>
        <w:pStyle w:val="23"/>
        <w:widowControl/>
        <w:spacing w:beforeAutospacing="0" w:afterAutospacing="0" w:line="38" w:lineRule="atLeast"/>
        <w:jc w:val="center"/>
        <w:rPr>
          <w:rFonts w:hint="eastAsia" w:ascii="宋体" w:hAnsi="宋体" w:eastAsia="宋体" w:cs="宋体"/>
          <w:b/>
          <w:bCs/>
          <w:sz w:val="32"/>
          <w:szCs w:val="32"/>
        </w:rPr>
      </w:pPr>
      <w:r>
        <w:rPr>
          <w:rFonts w:hint="eastAsia" w:ascii="宋体" w:hAnsi="宋体" w:eastAsia="宋体" w:cs="宋体"/>
          <w:b/>
          <w:bCs/>
          <w:sz w:val="32"/>
          <w:szCs w:val="32"/>
        </w:rPr>
        <w:t>行政中心办公家具采购</w:t>
      </w:r>
    </w:p>
    <w:p w14:paraId="40678161">
      <w:pPr>
        <w:pStyle w:val="23"/>
        <w:widowControl/>
        <w:spacing w:beforeAutospacing="0" w:afterAutospacing="0" w:line="38" w:lineRule="atLeast"/>
        <w:jc w:val="center"/>
        <w:rPr>
          <w:rFonts w:hint="eastAsia" w:ascii="宋体" w:hAnsi="宋体" w:eastAsia="宋体" w:cs="宋体"/>
          <w:b/>
          <w:bCs/>
          <w:sz w:val="32"/>
          <w:szCs w:val="32"/>
        </w:rPr>
      </w:pPr>
      <w:r>
        <w:rPr>
          <w:rFonts w:hint="eastAsia" w:ascii="宋体" w:hAnsi="宋体" w:eastAsia="宋体" w:cs="宋体"/>
          <w:b/>
          <w:bCs/>
          <w:sz w:val="32"/>
          <w:szCs w:val="32"/>
        </w:rPr>
        <w:t>更正(澄清)内容(一)</w:t>
      </w:r>
    </w:p>
    <w:p w14:paraId="12CB1544">
      <w:pPr>
        <w:pStyle w:val="23"/>
        <w:widowControl/>
        <w:spacing w:beforeAutospacing="0" w:afterAutospacing="0" w:line="360" w:lineRule="auto"/>
        <w:jc w:val="both"/>
        <w:rPr>
          <w:rStyle w:val="28"/>
          <w:rFonts w:hint="eastAsia" w:ascii="宋体" w:hAnsi="宋体" w:eastAsia="宋体" w:cs="宋体"/>
          <w:sz w:val="28"/>
          <w:szCs w:val="28"/>
        </w:rPr>
      </w:pPr>
      <w:r>
        <w:rPr>
          <w:rFonts w:hint="eastAsia" w:ascii="宋体" w:hAnsi="宋体" w:eastAsia="宋体" w:cs="宋体"/>
          <w:b/>
          <w:bCs/>
          <w:sz w:val="28"/>
          <w:szCs w:val="28"/>
        </w:rPr>
        <w:t>一、以下为澄清或者修改的内容</w:t>
      </w:r>
    </w:p>
    <w:p w14:paraId="5716E7B3">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Style w:val="28"/>
          <w:rFonts w:hint="eastAsia" w:ascii="Times New Roman" w:hAnsi="Times New Roman" w:eastAsia="宋体" w:cs="宋体"/>
          <w:b/>
          <w:sz w:val="28"/>
          <w:szCs w:val="28"/>
          <w:lang w:val="en-US" w:eastAsia="zh-CN"/>
        </w:rPr>
      </w:pPr>
      <w:r>
        <w:rPr>
          <w:rStyle w:val="28"/>
          <w:rFonts w:hint="eastAsia" w:ascii="Times New Roman" w:hAnsi="Times New Roman" w:eastAsia="宋体" w:cs="宋体"/>
          <w:b/>
          <w:sz w:val="28"/>
          <w:szCs w:val="28"/>
          <w:lang w:val="en-US" w:eastAsia="zh-CN"/>
        </w:rPr>
        <w:t>（一）原招标文件第四章 评标标准</w:t>
      </w:r>
    </w:p>
    <w:p w14:paraId="2CD3D8BF">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kern w:val="0"/>
          <w:sz w:val="30"/>
          <w:highlight w:val="none"/>
        </w:rPr>
      </w:pPr>
      <w:r>
        <w:rPr>
          <w:rFonts w:hint="eastAsia" w:ascii="宋体" w:hAnsi="宋体" w:eastAsia="宋体" w:cs="宋体"/>
          <w:b/>
          <w:kern w:val="0"/>
          <w:sz w:val="30"/>
          <w:highlight w:val="none"/>
        </w:rPr>
        <w:t>第四章 评标标准</w:t>
      </w:r>
    </w:p>
    <w:tbl>
      <w:tblPr>
        <w:tblStyle w:val="25"/>
        <w:tblW w:w="871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7475"/>
      </w:tblGrid>
      <w:tr w14:paraId="66295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37" w:type="dxa"/>
            <w:tcBorders>
              <w:top w:val="single" w:color="auto" w:sz="6" w:space="0"/>
              <w:left w:val="single" w:color="auto" w:sz="6" w:space="0"/>
              <w:bottom w:val="single" w:color="auto" w:sz="4" w:space="0"/>
              <w:right w:val="single" w:color="auto" w:sz="6" w:space="0"/>
            </w:tcBorders>
            <w:shd w:val="clear" w:color="auto" w:fill="auto"/>
            <w:vAlign w:val="center"/>
          </w:tcPr>
          <w:p w14:paraId="3CEF4DB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bookmarkStart w:id="0" w:name="OLE_LINK147"/>
            <w:bookmarkStart w:id="1" w:name="OLE_LINK148"/>
            <w:r>
              <w:rPr>
                <w:rFonts w:hint="eastAsia" w:ascii="宋体" w:hAnsi="宋体" w:eastAsia="宋体" w:cs="宋体"/>
                <w:color w:val="auto"/>
                <w:sz w:val="24"/>
                <w:highlight w:val="none"/>
              </w:rPr>
              <w:t>评审因素</w:t>
            </w:r>
          </w:p>
        </w:tc>
        <w:tc>
          <w:tcPr>
            <w:tcW w:w="7475" w:type="dxa"/>
            <w:tcBorders>
              <w:top w:val="single" w:color="auto" w:sz="6" w:space="0"/>
              <w:left w:val="single" w:color="auto" w:sz="6" w:space="0"/>
              <w:bottom w:val="single" w:color="auto" w:sz="6" w:space="0"/>
              <w:right w:val="single" w:color="auto" w:sz="6" w:space="0"/>
            </w:tcBorders>
            <w:shd w:val="clear" w:color="auto" w:fill="auto"/>
            <w:vAlign w:val="center"/>
          </w:tcPr>
          <w:p w14:paraId="36C75AD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评审因素细化和量化</w:t>
            </w:r>
          </w:p>
        </w:tc>
      </w:tr>
      <w:tr w14:paraId="5C6489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94" w:hRule="atLeast"/>
          <w:jc w:val="center"/>
        </w:trPr>
        <w:tc>
          <w:tcPr>
            <w:tcW w:w="1237" w:type="dxa"/>
            <w:tcBorders>
              <w:top w:val="single" w:color="auto" w:sz="6" w:space="0"/>
              <w:left w:val="single" w:color="auto" w:sz="6" w:space="0"/>
              <w:bottom w:val="single" w:color="auto" w:sz="4" w:space="0"/>
              <w:right w:val="single" w:color="auto" w:sz="6" w:space="0"/>
            </w:tcBorders>
            <w:shd w:val="clear" w:color="auto" w:fill="auto"/>
            <w:vAlign w:val="center"/>
          </w:tcPr>
          <w:p w14:paraId="0C975657">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所投产品成品检测报告（3分）</w:t>
            </w:r>
            <w:bookmarkEnd w:id="0"/>
            <w:bookmarkEnd w:id="1"/>
          </w:p>
        </w:tc>
        <w:tc>
          <w:tcPr>
            <w:tcW w:w="7475" w:type="dxa"/>
            <w:tcBorders>
              <w:top w:val="single" w:color="auto" w:sz="6" w:space="0"/>
              <w:left w:val="single" w:color="auto" w:sz="6" w:space="0"/>
              <w:bottom w:val="single" w:color="auto" w:sz="6" w:space="0"/>
              <w:right w:val="single" w:color="auto" w:sz="6" w:space="0"/>
            </w:tcBorders>
            <w:shd w:val="clear" w:color="auto" w:fill="auto"/>
            <w:vAlign w:val="center"/>
          </w:tcPr>
          <w:p w14:paraId="7FD27691">
            <w:pPr>
              <w:keepNext w:val="0"/>
              <w:keepLines w:val="0"/>
              <w:suppressLineNumbers w:val="0"/>
              <w:spacing w:before="0" w:beforeAutospacing="0" w:after="0" w:afterAutospacing="0"/>
              <w:ind w:left="0" w:right="0"/>
              <w:jc w:val="left"/>
              <w:rPr>
                <w:rFonts w:hint="eastAsia" w:ascii="宋体" w:hAnsi="宋体" w:cs="宋体"/>
                <w:color w:val="auto"/>
                <w:sz w:val="24"/>
                <w:highlight w:val="none"/>
              </w:rPr>
            </w:pPr>
            <w:bookmarkStart w:id="2" w:name="OLE_LINK152"/>
            <w:bookmarkStart w:id="3" w:name="OLE_LINK149"/>
            <w:r>
              <w:rPr>
                <w:rFonts w:hint="eastAsia" w:ascii="宋体" w:hAnsi="宋体" w:cs="宋体"/>
                <w:color w:val="auto"/>
                <w:sz w:val="24"/>
                <w:highlight w:val="none"/>
              </w:rPr>
              <w:t xml:space="preserve">投标文件中提供2023年1月1日至本项目开标时间前、由质量监督检验机构出具的、投标产品制造企业具有的有效期内的符合国家标准的所投产品成品抽样检验合格报告扫描件，检测对象包括：水性漆办公桌、水性漆文件柜、水性漆会议桌、水性漆条桌、真皮沙发、茶水柜，检测报告须有CNAS或CMA标志。每提供一种产品的得0.5分，未提供或提供不符合上述要求的不得分。 </w:t>
            </w:r>
          </w:p>
          <w:p w14:paraId="6EA4E7CF">
            <w:pPr>
              <w:keepNext w:val="0"/>
              <w:keepLines w:val="0"/>
              <w:suppressLineNumbers w:val="0"/>
              <w:spacing w:before="0" w:beforeAutospacing="0" w:after="0" w:afterAutospacing="0"/>
              <w:ind w:left="0" w:right="0"/>
              <w:jc w:val="left"/>
              <w:rPr>
                <w:rFonts w:hint="eastAsia" w:ascii="宋体" w:hAnsi="宋体" w:cs="宋体"/>
                <w:color w:val="auto"/>
                <w:sz w:val="24"/>
                <w:highlight w:val="none"/>
              </w:rPr>
            </w:pPr>
            <w:r>
              <w:rPr>
                <w:rFonts w:hint="eastAsia" w:ascii="宋体" w:hAnsi="宋体" w:cs="宋体"/>
                <w:color w:val="auto"/>
                <w:sz w:val="24"/>
                <w:highlight w:val="none"/>
              </w:rPr>
              <w:t>本项最高得3分,最低得0分；</w:t>
            </w:r>
          </w:p>
          <w:p w14:paraId="6FB44403">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r>
              <w:rPr>
                <w:rFonts w:hint="eastAsia" w:ascii="宋体" w:hAnsi="宋体" w:cs="宋体"/>
                <w:color w:val="auto"/>
                <w:sz w:val="24"/>
                <w:highlight w:val="none"/>
              </w:rPr>
              <w:t>注：如投标人提供的检测报告中检测对象名称不一致，以实际检测对象类别为准。</w:t>
            </w:r>
            <w:bookmarkEnd w:id="2"/>
            <w:bookmarkEnd w:id="3"/>
          </w:p>
        </w:tc>
      </w:tr>
      <w:tr w14:paraId="2F9CA7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46" w:hRule="atLeast"/>
          <w:jc w:val="center"/>
        </w:trPr>
        <w:tc>
          <w:tcPr>
            <w:tcW w:w="1237" w:type="dxa"/>
            <w:tcBorders>
              <w:top w:val="single" w:color="auto" w:sz="6" w:space="0"/>
              <w:left w:val="single" w:color="auto" w:sz="6" w:space="0"/>
              <w:bottom w:val="single" w:color="auto" w:sz="4" w:space="0"/>
              <w:right w:val="single" w:color="auto" w:sz="6" w:space="0"/>
            </w:tcBorders>
            <w:shd w:val="clear" w:color="auto" w:fill="auto"/>
            <w:vAlign w:val="center"/>
          </w:tcPr>
          <w:p w14:paraId="2098A399">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bookmarkStart w:id="4" w:name="OLE_LINK155"/>
            <w:bookmarkStart w:id="5" w:name="OLE_LINK162"/>
            <w:r>
              <w:rPr>
                <w:rFonts w:hint="eastAsia" w:ascii="宋体" w:hAnsi="宋体" w:eastAsia="宋体" w:cs="宋体"/>
                <w:color w:val="auto"/>
                <w:sz w:val="24"/>
                <w:highlight w:val="none"/>
              </w:rPr>
              <w:t>所投产品原材料检测报告（7分）</w:t>
            </w:r>
            <w:bookmarkEnd w:id="4"/>
            <w:bookmarkEnd w:id="5"/>
          </w:p>
        </w:tc>
        <w:tc>
          <w:tcPr>
            <w:tcW w:w="7475" w:type="dxa"/>
            <w:tcBorders>
              <w:top w:val="single" w:color="auto" w:sz="6" w:space="0"/>
              <w:left w:val="single" w:color="auto" w:sz="6" w:space="0"/>
              <w:bottom w:val="single" w:color="auto" w:sz="6" w:space="0"/>
              <w:right w:val="single" w:color="auto" w:sz="6" w:space="0"/>
            </w:tcBorders>
            <w:shd w:val="clear" w:color="auto" w:fill="auto"/>
            <w:vAlign w:val="center"/>
          </w:tcPr>
          <w:p w14:paraId="6D8ADA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highlight w:val="none"/>
                <w:u w:val="single"/>
              </w:rPr>
            </w:pPr>
            <w:bookmarkStart w:id="6" w:name="OLE_LINK164"/>
            <w:bookmarkStart w:id="7" w:name="OLE_LINK163"/>
            <w:r>
              <w:rPr>
                <w:rFonts w:hint="eastAsia" w:ascii="宋体" w:hAnsi="宋体" w:eastAsia="宋体" w:cs="宋体"/>
                <w:color w:val="auto"/>
                <w:sz w:val="24"/>
                <w:highlight w:val="none"/>
              </w:rPr>
              <w:t>（1）投标文件中提供202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年1月1日至本项目开标时间前、</w:t>
            </w:r>
            <w:r>
              <w:rPr>
                <w:rFonts w:hint="eastAsia" w:ascii="宋体" w:hAnsi="宋体" w:cs="宋体"/>
                <w:color w:val="auto"/>
                <w:sz w:val="24"/>
                <w:highlight w:val="none"/>
              </w:rPr>
              <w:t>由质量监督检验机构出具的</w:t>
            </w:r>
            <w:r>
              <w:rPr>
                <w:rFonts w:hint="eastAsia" w:ascii="宋体" w:hAnsi="宋体" w:eastAsia="宋体" w:cs="宋体"/>
                <w:color w:val="auto"/>
                <w:sz w:val="24"/>
                <w:highlight w:val="none"/>
              </w:rPr>
              <w:t>、投标产品制造企业具有的有效期内的、符合国家标准的所投产品部分原材料抽样检验合格报告扫描件，检测对象包括：中密度纤维板、牛皮、水性面漆、水性底漆、阻燃海绵</w:t>
            </w:r>
            <w:r>
              <w:rPr>
                <w:rFonts w:hint="eastAsia" w:ascii="宋体" w:hAnsi="宋体" w:eastAsia="宋体" w:cs="宋体"/>
                <w:color w:val="auto"/>
                <w:sz w:val="24"/>
                <w:highlight w:val="none"/>
                <w:lang w:eastAsia="zh-CN"/>
              </w:rPr>
              <w:t>、</w:t>
            </w:r>
            <w:r>
              <w:rPr>
                <w:rFonts w:hint="eastAsia" w:ascii="宋体" w:hAnsi="宋体" w:eastAsia="宋体" w:cs="宋体"/>
                <w:strike w:val="0"/>
                <w:dstrike w:val="0"/>
                <w:color w:val="auto"/>
                <w:sz w:val="24"/>
                <w:highlight w:val="none"/>
              </w:rPr>
              <w:t>不锈钢缓冲门铰</w:t>
            </w:r>
            <w:r>
              <w:rPr>
                <w:rFonts w:hint="eastAsia" w:ascii="宋体" w:hAnsi="宋体" w:eastAsia="宋体" w:cs="宋体"/>
                <w:strike w:val="0"/>
                <w:dstrike w:val="0"/>
                <w:color w:val="auto"/>
                <w:sz w:val="24"/>
                <w:highlight w:val="none"/>
                <w:lang w:eastAsia="zh-CN"/>
              </w:rPr>
              <w:t>、</w:t>
            </w:r>
            <w:r>
              <w:rPr>
                <w:rFonts w:hint="eastAsia" w:ascii="宋体" w:hAnsi="宋体" w:eastAsia="宋体" w:cs="宋体"/>
                <w:color w:val="auto"/>
                <w:sz w:val="24"/>
                <w:highlight w:val="none"/>
                <w:lang w:eastAsia="zh-CN"/>
              </w:rPr>
              <w:t>实木沙发架、蛇形弹簧，</w:t>
            </w:r>
            <w:r>
              <w:rPr>
                <w:rFonts w:hint="eastAsia" w:ascii="宋体" w:hAnsi="宋体" w:eastAsia="宋体" w:cs="宋体"/>
                <w:color w:val="auto"/>
                <w:sz w:val="24"/>
                <w:highlight w:val="none"/>
              </w:rPr>
              <w:t>检测报告须有CNAS或CMA标志。全部提供的得4分，每缺一项扣0.5分，扣完为止。</w:t>
            </w:r>
          </w:p>
          <w:p w14:paraId="53A2998C">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本项最高得4分,最低得0分；</w:t>
            </w:r>
          </w:p>
          <w:p w14:paraId="320FB370">
            <w:pPr>
              <w:keepNext w:val="0"/>
              <w:keepLines w:val="0"/>
              <w:suppressLineNumbers w:val="0"/>
              <w:spacing w:before="0" w:beforeAutospacing="0" w:after="0" w:afterAutospacing="0"/>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注：如投标人提供的检测报告中检测对象名称不一致，以实际检测对象类别为准。</w:t>
            </w:r>
          </w:p>
          <w:p w14:paraId="0FC3893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（2）上述原材料检测报告中：</w:t>
            </w:r>
          </w:p>
          <w:p w14:paraId="04CBCFE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①中密度纤维板：0.025mg/m³(ENF级）≤甲醛释放量≤0.050mg/m³（E0级），得1分；甲醛释放量&lt;0.025mg/m³(ENF级），挥发性有机化合物苯、甲苯、二甲苯检测结果均为未检出 ，总挥发性有机化合物（TVOC）</w:t>
            </w:r>
            <w:r>
              <w:rPr>
                <w:rFonts w:hint="eastAsia" w:ascii="宋体" w:hAnsi="宋体" w:eastAsia="宋体" w:cs="宋体"/>
                <w:color w:val="auto"/>
                <w:sz w:val="24"/>
                <w:highlight w:val="none"/>
                <w:lang w:val="en-US" w:eastAsia="zh-CN"/>
              </w:rPr>
              <w:t>检测结果为未检出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五氯苯酚检测结果为未检出。得2分；</w:t>
            </w:r>
          </w:p>
          <w:p w14:paraId="1BF80D6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②水性面漆</w:t>
            </w:r>
            <w:r>
              <w:rPr>
                <w:rFonts w:hint="eastAsia" w:ascii="宋体" w:hAnsi="宋体" w:eastAsia="宋体" w:cs="宋体"/>
                <w:color w:val="auto"/>
                <w:sz w:val="24"/>
                <w:highlight w:val="none"/>
                <w:lang w:val="en-US" w:eastAsia="zh-CN"/>
              </w:rPr>
              <w:t>和水性底漆</w:t>
            </w:r>
            <w:r>
              <w:rPr>
                <w:rFonts w:hint="eastAsia" w:ascii="宋体" w:hAnsi="宋体" w:eastAsia="宋体" w:cs="宋体"/>
                <w:color w:val="auto"/>
                <w:sz w:val="24"/>
                <w:highlight w:val="none"/>
              </w:rPr>
              <w:t>依据现行国家标准及相关环保法规要求，同时满足：</w:t>
            </w:r>
          </w:p>
          <w:p w14:paraId="22D9950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50mg/kg≤甲醛含量≤100mg/kg、125mg/kg≤苯系物总和含量≤250mg/kg得0.1分；0&lt;甲醛含量&lt;50mg/kg、0&lt;苯系物总和含量&lt;125mg/kg，得0.5分；甲醛含量、苯系物总和含量均未检测出时，得1分。</w:t>
            </w:r>
          </w:p>
          <w:p w14:paraId="41367E73">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本项最高得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分,最低得0分；</w:t>
            </w:r>
          </w:p>
          <w:p w14:paraId="59E7E27E">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上述（1）和（2）合计，最高得7分，最低得0分。</w:t>
            </w:r>
            <w:bookmarkEnd w:id="6"/>
            <w:bookmarkEnd w:id="7"/>
          </w:p>
        </w:tc>
      </w:tr>
    </w:tbl>
    <w:p w14:paraId="5EEFF215">
      <w:pPr>
        <w:rPr>
          <w:rFonts w:hint="eastAsia" w:ascii="宋体" w:hAnsi="宋体" w:eastAsia="宋体" w:cs="宋体"/>
          <w:b/>
          <w:kern w:val="0"/>
          <w:sz w:val="30"/>
          <w:highlight w:val="none"/>
        </w:rPr>
      </w:pPr>
      <w:r>
        <w:rPr>
          <w:rFonts w:hint="eastAsia" w:ascii="宋体" w:hAnsi="宋体" w:eastAsia="宋体" w:cs="宋体"/>
          <w:b/>
          <w:kern w:val="0"/>
          <w:sz w:val="30"/>
          <w:highlight w:val="none"/>
        </w:rPr>
        <w:br w:type="page"/>
      </w:r>
    </w:p>
    <w:p w14:paraId="05D45122">
      <w:pPr>
        <w:pStyle w:val="29"/>
        <w:spacing w:line="360" w:lineRule="auto"/>
        <w:ind w:left="0" w:firstLine="281" w:firstLineChars="100"/>
        <w:rPr>
          <w:rFonts w:hint="eastAsia" w:ascii="宋体" w:hAnsi="宋体" w:cs="宋体"/>
          <w:b/>
          <w:bCs/>
          <w:sz w:val="28"/>
          <w:szCs w:val="28"/>
        </w:rPr>
      </w:pPr>
      <w:r>
        <w:rPr>
          <w:rFonts w:hint="eastAsia" w:ascii="宋体" w:hAnsi="宋体" w:cs="宋体"/>
          <w:b/>
          <w:bCs/>
          <w:sz w:val="28"/>
          <w:szCs w:val="28"/>
        </w:rPr>
        <w:t>现更正为：</w:t>
      </w:r>
    </w:p>
    <w:p w14:paraId="664600C2">
      <w:pPr>
        <w:pStyle w:val="29"/>
        <w:spacing w:line="360" w:lineRule="auto"/>
        <w:ind w:left="0" w:firstLine="301" w:firstLineChars="100"/>
        <w:jc w:val="center"/>
        <w:rPr>
          <w:rFonts w:hint="eastAsia" w:ascii="宋体" w:hAnsi="宋体" w:cs="宋体"/>
          <w:b/>
          <w:bCs/>
          <w:sz w:val="28"/>
          <w:szCs w:val="28"/>
        </w:rPr>
      </w:pPr>
      <w:r>
        <w:rPr>
          <w:rFonts w:hint="eastAsia" w:ascii="宋体" w:hAnsi="宋体" w:eastAsia="宋体" w:cs="宋体"/>
          <w:b/>
          <w:kern w:val="0"/>
          <w:sz w:val="30"/>
          <w:highlight w:val="none"/>
        </w:rPr>
        <w:t>第四章 评标标准</w:t>
      </w:r>
    </w:p>
    <w:tbl>
      <w:tblPr>
        <w:tblStyle w:val="25"/>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6953"/>
      </w:tblGrid>
      <w:tr w14:paraId="2A969D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17" w:hRule="atLeast"/>
          <w:jc w:val="center"/>
        </w:trPr>
        <w:tc>
          <w:tcPr>
            <w:tcW w:w="1237" w:type="dxa"/>
            <w:tcBorders>
              <w:top w:val="single" w:color="auto" w:sz="6" w:space="0"/>
              <w:left w:val="single" w:color="auto" w:sz="6" w:space="0"/>
              <w:bottom w:val="single" w:color="auto" w:sz="4" w:space="0"/>
              <w:right w:val="single" w:color="auto" w:sz="6" w:space="0"/>
            </w:tcBorders>
            <w:vAlign w:val="center"/>
          </w:tcPr>
          <w:p w14:paraId="7230EFFE">
            <w:pPr>
              <w:keepNext w:val="0"/>
              <w:keepLines w:val="0"/>
              <w:suppressLineNumbers w:val="0"/>
              <w:spacing w:before="0" w:beforeAutospacing="0" w:after="0" w:afterAutospacing="0"/>
              <w:ind w:left="0" w:leftChars="0" w:right="0" w:rightChars="0"/>
              <w:jc w:val="center"/>
              <w:rPr>
                <w:rFonts w:hint="eastAsia" w:ascii="宋体" w:hAnsi="宋体" w:cs="宋体"/>
                <w:sz w:val="24"/>
              </w:rPr>
            </w:pPr>
            <w:bookmarkStart w:id="8" w:name="_Hlk234675456"/>
            <w:r>
              <w:rPr>
                <w:rFonts w:hint="eastAsia" w:ascii="宋体" w:hAnsi="宋体" w:eastAsia="宋体" w:cs="宋体"/>
                <w:color w:val="auto"/>
                <w:sz w:val="24"/>
                <w:highlight w:val="none"/>
              </w:rPr>
              <w:t>评审因素</w:t>
            </w:r>
          </w:p>
        </w:tc>
        <w:tc>
          <w:tcPr>
            <w:tcW w:w="6953" w:type="dxa"/>
            <w:tcBorders>
              <w:top w:val="single" w:color="auto" w:sz="6" w:space="0"/>
              <w:left w:val="single" w:color="auto" w:sz="6" w:space="0"/>
              <w:bottom w:val="single" w:color="auto" w:sz="6" w:space="0"/>
              <w:right w:val="single" w:color="auto" w:sz="6" w:space="0"/>
            </w:tcBorders>
            <w:vAlign w:val="center"/>
          </w:tcPr>
          <w:p w14:paraId="1AAE1F69">
            <w:pPr>
              <w:keepNext w:val="0"/>
              <w:keepLines w:val="0"/>
              <w:suppressLineNumbers w:val="0"/>
              <w:spacing w:before="0" w:beforeAutospacing="0" w:after="0" w:afterAutospacing="0"/>
              <w:ind w:left="0" w:leftChars="0" w:right="0" w:rightChars="0"/>
              <w:jc w:val="center"/>
              <w:rPr>
                <w:rFonts w:hint="eastAsia" w:ascii="宋体" w:hAnsi="宋体" w:cs="宋体"/>
                <w:sz w:val="24"/>
              </w:rPr>
            </w:pPr>
            <w:r>
              <w:rPr>
                <w:rFonts w:hint="eastAsia" w:ascii="宋体" w:hAnsi="宋体" w:eastAsia="宋体" w:cs="宋体"/>
                <w:color w:val="auto"/>
                <w:sz w:val="24"/>
                <w:highlight w:val="none"/>
              </w:rPr>
              <w:t>评审因素细化和量化</w:t>
            </w:r>
          </w:p>
        </w:tc>
      </w:tr>
      <w:tr w14:paraId="3C0764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4" w:hRule="atLeast"/>
          <w:jc w:val="center"/>
        </w:trPr>
        <w:tc>
          <w:tcPr>
            <w:tcW w:w="1237" w:type="dxa"/>
            <w:tcBorders>
              <w:top w:val="single" w:color="auto" w:sz="6" w:space="0"/>
              <w:left w:val="single" w:color="auto" w:sz="6" w:space="0"/>
              <w:bottom w:val="single" w:color="auto" w:sz="4" w:space="0"/>
              <w:right w:val="single" w:color="auto" w:sz="6" w:space="0"/>
            </w:tcBorders>
            <w:vAlign w:val="center"/>
          </w:tcPr>
          <w:p w14:paraId="51D02201">
            <w:pPr>
              <w:spacing w:after="0"/>
              <w:jc w:val="center"/>
              <w:rPr>
                <w:rFonts w:hint="eastAsia" w:ascii="宋体" w:hAnsi="宋体" w:cs="宋体"/>
                <w:sz w:val="24"/>
              </w:rPr>
            </w:pPr>
            <w:r>
              <w:rPr>
                <w:rFonts w:hint="eastAsia" w:ascii="宋体" w:hAnsi="宋体" w:cs="宋体"/>
                <w:sz w:val="24"/>
              </w:rPr>
              <w:t>所投产品成品检测报告</w:t>
            </w:r>
            <w:bookmarkEnd w:id="8"/>
            <w:r>
              <w:rPr>
                <w:rFonts w:hint="eastAsia" w:ascii="宋体" w:hAnsi="宋体" w:cs="宋体"/>
                <w:sz w:val="24"/>
              </w:rPr>
              <w:t>（3分）</w:t>
            </w:r>
          </w:p>
        </w:tc>
        <w:tc>
          <w:tcPr>
            <w:tcW w:w="6953" w:type="dxa"/>
            <w:tcBorders>
              <w:top w:val="single" w:color="auto" w:sz="6" w:space="0"/>
              <w:left w:val="single" w:color="auto" w:sz="6" w:space="0"/>
              <w:bottom w:val="single" w:color="auto" w:sz="6" w:space="0"/>
              <w:right w:val="single" w:color="auto" w:sz="6" w:space="0"/>
            </w:tcBorders>
            <w:vAlign w:val="center"/>
          </w:tcPr>
          <w:p w14:paraId="66BECC7A">
            <w:pPr>
              <w:spacing w:after="0"/>
              <w:jc w:val="left"/>
              <w:rPr>
                <w:rFonts w:hint="eastAsia" w:ascii="宋体" w:hAnsi="宋体" w:cs="宋体"/>
                <w:color w:val="0070C0"/>
                <w:sz w:val="24"/>
              </w:rPr>
            </w:pPr>
            <w:r>
              <w:rPr>
                <w:rFonts w:hint="eastAsia" w:ascii="宋体" w:hAnsi="宋体" w:cs="宋体"/>
                <w:color w:val="0070C0"/>
                <w:sz w:val="24"/>
              </w:rPr>
              <w:t>投标文件中提供2023年1月1日至本项目开标时间前、由质量监督检验机构出具的、投标产品制造企业具有的有效期内的符合国家标准的所投同型号（</w:t>
            </w:r>
            <w:r>
              <w:rPr>
                <w:rFonts w:hint="eastAsia" w:ascii="宋体" w:hAnsi="宋体" w:cs="宋体"/>
                <w:color w:val="0070C0"/>
                <w:sz w:val="24"/>
                <w:lang w:val="en-US" w:eastAsia="zh-CN"/>
              </w:rPr>
              <w:t>或</w:t>
            </w:r>
            <w:r>
              <w:rPr>
                <w:rFonts w:hint="eastAsia" w:ascii="宋体" w:hAnsi="宋体" w:cs="宋体"/>
                <w:color w:val="0070C0"/>
                <w:sz w:val="24"/>
              </w:rPr>
              <w:t>款式）产品的第三方检验合格报告（抽样检验报告）</w:t>
            </w:r>
            <w:r>
              <w:rPr>
                <w:rFonts w:hint="eastAsia" w:ascii="宋体" w:hAnsi="宋体" w:cs="宋体"/>
                <w:color w:val="0070C0"/>
                <w:sz w:val="24"/>
                <w:lang w:val="en-US" w:eastAsia="zh-CN"/>
              </w:rPr>
              <w:t>扫描件</w:t>
            </w:r>
            <w:r>
              <w:rPr>
                <w:rFonts w:hint="eastAsia" w:ascii="宋体" w:hAnsi="宋体" w:cs="宋体"/>
                <w:color w:val="0070C0"/>
                <w:sz w:val="24"/>
              </w:rPr>
              <w:t>，检测报告须有CNAS或CMA标志。检测对象包括：办公桌（</w:t>
            </w:r>
            <w:r>
              <w:rPr>
                <w:rFonts w:hint="eastAsia" w:ascii="宋体" w:hAnsi="宋体" w:cs="宋体"/>
                <w:color w:val="0070C0"/>
                <w:sz w:val="24"/>
                <w:lang w:val="en-US" w:eastAsia="zh-CN"/>
              </w:rPr>
              <w:t>或</w:t>
            </w:r>
            <w:r>
              <w:rPr>
                <w:rFonts w:hint="eastAsia" w:ascii="宋体" w:hAnsi="宋体" w:cs="宋体"/>
                <w:color w:val="0070C0"/>
                <w:sz w:val="24"/>
              </w:rPr>
              <w:t>水性漆办公桌）、文件柜（</w:t>
            </w:r>
            <w:r>
              <w:rPr>
                <w:rFonts w:hint="eastAsia" w:ascii="宋体" w:hAnsi="宋体" w:cs="宋体"/>
                <w:color w:val="0070C0"/>
                <w:sz w:val="24"/>
                <w:lang w:val="en-US" w:eastAsia="zh-CN"/>
              </w:rPr>
              <w:t>或</w:t>
            </w:r>
            <w:r>
              <w:rPr>
                <w:rFonts w:hint="eastAsia" w:ascii="宋体" w:hAnsi="宋体" w:cs="宋体"/>
                <w:color w:val="0070C0"/>
                <w:sz w:val="24"/>
              </w:rPr>
              <w:t>水性漆文件柜）、会议桌（</w:t>
            </w:r>
            <w:r>
              <w:rPr>
                <w:rFonts w:hint="eastAsia" w:ascii="宋体" w:hAnsi="宋体" w:cs="宋体"/>
                <w:color w:val="0070C0"/>
                <w:sz w:val="24"/>
                <w:lang w:val="en-US" w:eastAsia="zh-CN"/>
              </w:rPr>
              <w:t>或</w:t>
            </w:r>
            <w:r>
              <w:rPr>
                <w:rFonts w:hint="eastAsia" w:ascii="宋体" w:hAnsi="宋体" w:cs="宋体"/>
                <w:color w:val="0070C0"/>
                <w:sz w:val="24"/>
              </w:rPr>
              <w:t>水性漆会议桌）、条桌（</w:t>
            </w:r>
            <w:r>
              <w:rPr>
                <w:rFonts w:hint="eastAsia" w:ascii="宋体" w:hAnsi="宋体" w:cs="宋体"/>
                <w:color w:val="0070C0"/>
                <w:sz w:val="24"/>
                <w:lang w:val="en-US" w:eastAsia="zh-CN"/>
              </w:rPr>
              <w:t>或</w:t>
            </w:r>
            <w:r>
              <w:rPr>
                <w:rFonts w:hint="eastAsia" w:ascii="宋体" w:hAnsi="宋体" w:cs="宋体"/>
                <w:color w:val="0070C0"/>
                <w:sz w:val="24"/>
              </w:rPr>
              <w:t>水性漆条桌）、真皮沙发、茶水柜</w:t>
            </w:r>
            <w:r>
              <w:rPr>
                <w:rFonts w:hint="eastAsia" w:ascii="宋体" w:hAnsi="宋体" w:cs="宋体"/>
                <w:color w:val="0070C0"/>
                <w:sz w:val="24"/>
                <w:lang w:eastAsia="zh-CN"/>
              </w:rPr>
              <w:t>（</w:t>
            </w:r>
            <w:r>
              <w:rPr>
                <w:rFonts w:hint="eastAsia" w:ascii="宋体" w:hAnsi="宋体" w:cs="宋体"/>
                <w:color w:val="0070C0"/>
                <w:sz w:val="24"/>
                <w:lang w:val="en-US" w:eastAsia="zh-CN"/>
              </w:rPr>
              <w:t>或水性漆茶水柜</w:t>
            </w:r>
            <w:r>
              <w:rPr>
                <w:rFonts w:hint="eastAsia" w:ascii="宋体" w:hAnsi="宋体" w:cs="宋体"/>
                <w:color w:val="0070C0"/>
                <w:sz w:val="24"/>
                <w:lang w:eastAsia="zh-CN"/>
              </w:rPr>
              <w:t>）</w:t>
            </w:r>
            <w:r>
              <w:rPr>
                <w:rFonts w:hint="eastAsia" w:ascii="宋体" w:hAnsi="宋体" w:cs="宋体"/>
                <w:color w:val="0070C0"/>
                <w:sz w:val="24"/>
              </w:rPr>
              <w:t>。每提供一种产品的得0.5分，未提供或提供不符合上述要求的不得分。</w:t>
            </w:r>
          </w:p>
          <w:p w14:paraId="167C8D52">
            <w:pPr>
              <w:spacing w:after="0"/>
              <w:jc w:val="left"/>
              <w:rPr>
                <w:rFonts w:hint="eastAsia" w:ascii="宋体" w:hAnsi="宋体" w:cs="宋体"/>
                <w:sz w:val="24"/>
              </w:rPr>
            </w:pPr>
            <w:r>
              <w:rPr>
                <w:rFonts w:hint="eastAsia" w:ascii="宋体" w:hAnsi="宋体" w:cs="宋体"/>
                <w:sz w:val="24"/>
              </w:rPr>
              <w:t>本项最高得3分,最低得0分；</w:t>
            </w:r>
          </w:p>
          <w:p w14:paraId="65D48E5B">
            <w:pPr>
              <w:spacing w:after="0"/>
              <w:rPr>
                <w:rFonts w:hint="eastAsia" w:ascii="宋体" w:hAnsi="宋体" w:cs="宋体"/>
                <w:sz w:val="24"/>
              </w:rPr>
            </w:pPr>
            <w:r>
              <w:rPr>
                <w:rFonts w:hint="eastAsia" w:ascii="宋体" w:hAnsi="宋体" w:cs="宋体"/>
                <w:sz w:val="24"/>
              </w:rPr>
              <w:t>注：如投标人提供的检测报告中检测对象名称不一致，以实际检测对象类别为准。</w:t>
            </w:r>
            <w:r>
              <w:rPr>
                <w:rFonts w:hint="eastAsia" w:ascii="宋体" w:hAnsi="宋体" w:cs="宋体"/>
                <w:b/>
                <w:bCs/>
                <w:sz w:val="24"/>
              </w:rPr>
              <w:t>检测报告中的产品要体现水性漆工艺，否则不得分。</w:t>
            </w:r>
          </w:p>
        </w:tc>
      </w:tr>
      <w:tr w14:paraId="70A92F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46" w:hRule="atLeast"/>
          <w:jc w:val="center"/>
        </w:trPr>
        <w:tc>
          <w:tcPr>
            <w:tcW w:w="1237" w:type="dxa"/>
            <w:tcBorders>
              <w:top w:val="single" w:color="auto" w:sz="6" w:space="0"/>
              <w:left w:val="single" w:color="auto" w:sz="6" w:space="0"/>
              <w:bottom w:val="single" w:color="auto" w:sz="4" w:space="0"/>
              <w:right w:val="single" w:color="auto" w:sz="6" w:space="0"/>
            </w:tcBorders>
            <w:vAlign w:val="center"/>
          </w:tcPr>
          <w:p w14:paraId="0FEB5B84">
            <w:pPr>
              <w:spacing w:after="0"/>
              <w:jc w:val="center"/>
              <w:rPr>
                <w:rFonts w:hint="eastAsia" w:ascii="宋体" w:hAnsi="宋体" w:cs="宋体"/>
                <w:sz w:val="24"/>
              </w:rPr>
            </w:pPr>
            <w:bookmarkStart w:id="9" w:name="_Hlk234675226"/>
            <w:r>
              <w:rPr>
                <w:rFonts w:hint="eastAsia" w:ascii="宋体" w:hAnsi="宋体" w:cs="宋体"/>
                <w:sz w:val="24"/>
              </w:rPr>
              <w:t>所投产品原材料检测报告</w:t>
            </w:r>
            <w:bookmarkEnd w:id="9"/>
            <w:r>
              <w:rPr>
                <w:rFonts w:hint="eastAsia" w:ascii="宋体" w:hAnsi="宋体" w:cs="宋体"/>
                <w:sz w:val="24"/>
              </w:rPr>
              <w:t>（7分）</w:t>
            </w:r>
          </w:p>
        </w:tc>
        <w:tc>
          <w:tcPr>
            <w:tcW w:w="6953" w:type="dxa"/>
            <w:tcBorders>
              <w:top w:val="single" w:color="auto" w:sz="6" w:space="0"/>
              <w:left w:val="single" w:color="auto" w:sz="6" w:space="0"/>
              <w:bottom w:val="single" w:color="auto" w:sz="6" w:space="0"/>
              <w:right w:val="single" w:color="auto" w:sz="6" w:space="0"/>
            </w:tcBorders>
            <w:vAlign w:val="center"/>
          </w:tcPr>
          <w:p w14:paraId="596F88DB">
            <w:pPr>
              <w:widowControl/>
              <w:spacing w:after="0"/>
              <w:jc w:val="left"/>
              <w:rPr>
                <w:rFonts w:hint="eastAsia" w:ascii="宋体" w:hAnsi="宋体" w:cs="宋体"/>
                <w:sz w:val="24"/>
                <w:u w:val="single"/>
              </w:rPr>
            </w:pPr>
            <w:r>
              <w:rPr>
                <w:rFonts w:hint="eastAsia" w:ascii="宋体" w:hAnsi="宋体" w:cs="宋体"/>
                <w:sz w:val="24"/>
              </w:rPr>
              <w:t>（1）投标文件中提供2023年1月1日至本项目开标时间前、由质量监督检验机构出具的、投标产品制造企业具有的有效期内的、符合国家标准的所投产品部分原材料抽样检验合格报告扫描件，检测对象包括：中密度纤维板、牛皮、水性面漆、水性底漆、阻燃海绵、</w:t>
            </w:r>
            <w:r>
              <w:rPr>
                <w:rFonts w:hint="eastAsia" w:ascii="宋体" w:hAnsi="宋体" w:cs="宋体"/>
                <w:b/>
                <w:bCs/>
                <w:color w:val="0070C0"/>
                <w:sz w:val="24"/>
              </w:rPr>
              <w:t>阻尼铰链</w:t>
            </w:r>
            <w:r>
              <w:rPr>
                <w:rFonts w:hint="eastAsia" w:ascii="宋体" w:hAnsi="宋体" w:cs="宋体"/>
                <w:b/>
                <w:bCs/>
                <w:color w:val="0070C0"/>
                <w:sz w:val="24"/>
                <w:lang w:eastAsia="zh-CN"/>
              </w:rPr>
              <w:t>（</w:t>
            </w:r>
            <w:r>
              <w:rPr>
                <w:rFonts w:hint="eastAsia" w:ascii="宋体" w:hAnsi="宋体" w:cs="宋体"/>
                <w:b/>
                <w:bCs/>
                <w:color w:val="0070C0"/>
                <w:sz w:val="24"/>
                <w:lang w:val="en-US" w:eastAsia="zh-CN"/>
              </w:rPr>
              <w:t>或不锈钢缓冲门铰等名称</w:t>
            </w:r>
            <w:r>
              <w:rPr>
                <w:rFonts w:hint="eastAsia" w:ascii="宋体" w:hAnsi="宋体" w:cs="宋体"/>
                <w:b/>
                <w:bCs/>
                <w:color w:val="0070C0"/>
                <w:sz w:val="24"/>
                <w:lang w:eastAsia="zh-CN"/>
              </w:rPr>
              <w:t>）</w:t>
            </w:r>
            <w:r>
              <w:rPr>
                <w:rFonts w:hint="eastAsia" w:ascii="宋体" w:hAnsi="宋体" w:cs="宋体"/>
                <w:sz w:val="24"/>
              </w:rPr>
              <w:t>、实木沙发架、蛇形弹簧，检测报告须有CNAS或CMA标志。全部提供的得4分，每缺一项扣0.5分，扣完为止。</w:t>
            </w:r>
          </w:p>
          <w:p w14:paraId="3C19DEB1">
            <w:pPr>
              <w:spacing w:after="0"/>
              <w:rPr>
                <w:rFonts w:hint="eastAsia" w:ascii="宋体" w:hAnsi="宋体" w:cs="宋体"/>
                <w:sz w:val="24"/>
              </w:rPr>
            </w:pPr>
            <w:r>
              <w:rPr>
                <w:rFonts w:hint="eastAsia" w:ascii="宋体" w:hAnsi="宋体" w:cs="宋体"/>
                <w:sz w:val="24"/>
              </w:rPr>
              <w:t>本项最高得4分,最低得0分；</w:t>
            </w:r>
          </w:p>
          <w:p w14:paraId="06A2ACDA">
            <w:pPr>
              <w:spacing w:after="0"/>
              <w:jc w:val="left"/>
              <w:rPr>
                <w:rFonts w:hint="eastAsia" w:ascii="宋体" w:hAnsi="宋体" w:cs="宋体"/>
                <w:sz w:val="24"/>
              </w:rPr>
            </w:pPr>
            <w:r>
              <w:rPr>
                <w:rFonts w:hint="eastAsia" w:ascii="宋体" w:hAnsi="宋体" w:cs="宋体"/>
                <w:sz w:val="24"/>
              </w:rPr>
              <w:t>注：如投标人提供的检测报告中检测对象名称不一致，以实际检测对象类别为准。</w:t>
            </w:r>
          </w:p>
          <w:p w14:paraId="20788E0E">
            <w:pPr>
              <w:widowControl/>
              <w:spacing w:after="0"/>
              <w:jc w:val="left"/>
              <w:rPr>
                <w:rFonts w:hint="eastAsia" w:ascii="宋体" w:hAnsi="宋体" w:cs="宋体"/>
                <w:sz w:val="24"/>
              </w:rPr>
            </w:pPr>
            <w:r>
              <w:rPr>
                <w:rFonts w:hint="eastAsia" w:ascii="宋体" w:hAnsi="宋体" w:cs="宋体"/>
                <w:sz w:val="24"/>
              </w:rPr>
              <w:t>（2）上述原材料检测报告中：</w:t>
            </w:r>
          </w:p>
          <w:p w14:paraId="4F9EC86A">
            <w:pPr>
              <w:widowControl/>
              <w:spacing w:after="0"/>
              <w:jc w:val="left"/>
              <w:rPr>
                <w:rFonts w:hint="eastAsia" w:ascii="宋体" w:hAnsi="宋体" w:cs="宋体"/>
                <w:sz w:val="24"/>
              </w:rPr>
            </w:pPr>
            <w:r>
              <w:rPr>
                <w:rFonts w:hint="eastAsia" w:ascii="宋体" w:hAnsi="宋体" w:cs="宋体"/>
                <w:sz w:val="24"/>
              </w:rPr>
              <w:t>①中密度纤维板：0.025mg/m³(ENF级）≤甲醛释放量≤0.050mg/m³（E0级），得1分；甲醛释放量&lt;0.025mg/m³(ENF级），挥发性有机化合物苯、甲苯、二甲苯检测结果均为未检出 ，总挥发性有机化合物（TVOC）检测结果为未检出，五氯苯酚检测结果为未检出。得2分；</w:t>
            </w:r>
          </w:p>
          <w:p w14:paraId="271074A4">
            <w:pPr>
              <w:widowControl/>
              <w:spacing w:after="0"/>
              <w:jc w:val="left"/>
              <w:rPr>
                <w:rFonts w:hint="eastAsia" w:ascii="宋体" w:hAnsi="宋体" w:cs="宋体"/>
                <w:sz w:val="24"/>
              </w:rPr>
            </w:pPr>
            <w:r>
              <w:rPr>
                <w:rFonts w:hint="eastAsia" w:ascii="宋体" w:hAnsi="宋体" w:cs="宋体"/>
                <w:sz w:val="24"/>
              </w:rPr>
              <w:t>②水性面漆和水性底漆依据现行国家标准及相关环保法规要求，同时满足：</w:t>
            </w:r>
          </w:p>
          <w:p w14:paraId="7510A090">
            <w:pPr>
              <w:widowControl/>
              <w:spacing w:after="0"/>
              <w:jc w:val="left"/>
              <w:rPr>
                <w:rFonts w:hint="eastAsia" w:ascii="宋体" w:hAnsi="宋体" w:cs="宋体"/>
                <w:sz w:val="24"/>
              </w:rPr>
            </w:pPr>
            <w:r>
              <w:rPr>
                <w:rFonts w:hint="eastAsia" w:ascii="宋体" w:hAnsi="宋体" w:cs="宋体"/>
                <w:sz w:val="24"/>
              </w:rPr>
              <w:t>50mg/kg≤甲醛含量≤100mg/kg、125mg/kg≤苯系物总和含量≤250mg/kg得0.1分；0&lt;甲醛含量&lt;50mg/kg、0&lt;苯系物总和含量&lt;125mg/kg，得0.5分；甲醛含量、苯系物总和含量均未检测出时，得1分。</w:t>
            </w:r>
          </w:p>
          <w:p w14:paraId="78804924">
            <w:pPr>
              <w:spacing w:after="0"/>
              <w:rPr>
                <w:rFonts w:hint="eastAsia" w:ascii="宋体" w:hAnsi="宋体" w:cs="宋体"/>
                <w:sz w:val="24"/>
              </w:rPr>
            </w:pPr>
            <w:r>
              <w:rPr>
                <w:rFonts w:hint="eastAsia" w:ascii="宋体" w:hAnsi="宋体" w:cs="宋体"/>
                <w:sz w:val="24"/>
              </w:rPr>
              <w:t>本项最高得3分,最低得0分；</w:t>
            </w:r>
          </w:p>
          <w:p w14:paraId="57311286">
            <w:pPr>
              <w:spacing w:after="0"/>
              <w:rPr>
                <w:rFonts w:hint="eastAsia" w:ascii="宋体" w:hAnsi="宋体" w:cs="宋体"/>
                <w:sz w:val="24"/>
              </w:rPr>
            </w:pPr>
            <w:r>
              <w:rPr>
                <w:rFonts w:hint="eastAsia" w:ascii="宋体" w:hAnsi="宋体" w:cs="宋体"/>
                <w:sz w:val="24"/>
              </w:rPr>
              <w:t>上述（1）和（2）合计，最高得7分，最低得0分。</w:t>
            </w:r>
          </w:p>
        </w:tc>
      </w:tr>
    </w:tbl>
    <w:p w14:paraId="3839EE2A">
      <w:pPr>
        <w:rPr>
          <w:rFonts w:hint="eastAsia" w:cs="宋体"/>
          <w:b/>
          <w:bCs/>
          <w:sz w:val="28"/>
          <w:szCs w:val="28"/>
          <w:lang w:val="en-US" w:eastAsia="zh-CN"/>
        </w:rPr>
      </w:pPr>
      <w:r>
        <w:rPr>
          <w:rFonts w:hint="eastAsia" w:cs="宋体"/>
          <w:b/>
          <w:bCs/>
          <w:sz w:val="28"/>
          <w:szCs w:val="28"/>
          <w:lang w:val="en-US" w:eastAsia="zh-CN"/>
        </w:rPr>
        <w:br w:type="page"/>
      </w:r>
    </w:p>
    <w:p w14:paraId="18CCABAA">
      <w:pPr>
        <w:numPr>
          <w:ilvl w:val="0"/>
          <w:numId w:val="1"/>
        </w:numPr>
        <w:rPr>
          <w:rStyle w:val="28"/>
          <w:rFonts w:hint="eastAsia" w:ascii="Times New Roman" w:hAnsi="Times New Roman" w:eastAsia="宋体" w:cs="宋体"/>
          <w:b/>
          <w:sz w:val="28"/>
          <w:szCs w:val="28"/>
          <w:lang w:val="en-US" w:eastAsia="zh-CN"/>
        </w:rPr>
      </w:pPr>
      <w:r>
        <w:rPr>
          <w:rStyle w:val="28"/>
          <w:rFonts w:hint="eastAsia" w:ascii="Times New Roman" w:hAnsi="Times New Roman" w:eastAsia="宋体" w:cs="宋体"/>
          <w:b/>
          <w:sz w:val="28"/>
          <w:szCs w:val="28"/>
          <w:lang w:val="en-US" w:eastAsia="zh-CN"/>
        </w:rPr>
        <w:t>原招标文件第六章  采购需求</w:t>
      </w:r>
    </w:p>
    <w:p w14:paraId="097773DC">
      <w:pPr>
        <w:keepNext w:val="0"/>
        <w:keepLines w:val="0"/>
        <w:pageBreakBefore w:val="0"/>
        <w:kinsoku/>
        <w:wordWrap/>
        <w:overflowPunct/>
        <w:topLinePunct w:val="0"/>
        <w:autoSpaceDE/>
        <w:autoSpaceDN/>
        <w:bidi w:val="0"/>
        <w:adjustRightInd/>
        <w:snapToGrid/>
        <w:ind w:firstLine="240" w:firstLineChars="100"/>
        <w:textAlignment w:val="auto"/>
        <w:rPr>
          <w:rFonts w:hint="eastAsia" w:asciiTheme="minorEastAsia" w:hAnsiTheme="minorEastAsia" w:eastAsiaTheme="minorEastAsia" w:cstheme="minorEastAsia"/>
          <w:color w:val="auto"/>
          <w:sz w:val="24"/>
          <w:szCs w:val="24"/>
          <w:highlight w:val="none"/>
        </w:rPr>
      </w:pPr>
      <w:bookmarkStart w:id="10" w:name="OLE_LINK183"/>
      <w:bookmarkStart w:id="11" w:name="OLE_LINK182"/>
      <w:bookmarkStart w:id="14" w:name="_GoBack"/>
      <w:bookmarkEnd w:id="14"/>
      <w:r>
        <w:rPr>
          <w:rFonts w:hint="eastAsia" w:asciiTheme="minorEastAsia" w:hAnsiTheme="minorEastAsia" w:eastAsiaTheme="minorEastAsia" w:cstheme="minorEastAsia"/>
          <w:color w:val="auto"/>
          <w:sz w:val="24"/>
          <w:szCs w:val="24"/>
          <w:highlight w:val="none"/>
        </w:rPr>
        <w:t>三、</w:t>
      </w:r>
      <w:bookmarkStart w:id="12" w:name="OLE_LINK50"/>
      <w:bookmarkStart w:id="13" w:name="OLE_LINK49"/>
      <w:r>
        <w:rPr>
          <w:rFonts w:hint="eastAsia" w:asciiTheme="minorEastAsia" w:hAnsiTheme="minorEastAsia" w:eastAsiaTheme="minorEastAsia" w:cstheme="minorEastAsia"/>
          <w:color w:val="auto"/>
          <w:sz w:val="24"/>
          <w:szCs w:val="24"/>
          <w:highlight w:val="none"/>
        </w:rPr>
        <w:t>技术规格要求</w:t>
      </w:r>
      <w:bookmarkEnd w:id="10"/>
      <w:bookmarkEnd w:id="11"/>
      <w:bookmarkEnd w:id="12"/>
      <w:bookmarkEnd w:id="13"/>
    </w:p>
    <w:p w14:paraId="7BF64318">
      <w:pPr>
        <w:tabs>
          <w:tab w:val="left" w:pos="0"/>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（一）技术</w:t>
      </w:r>
      <w:r>
        <w:rPr>
          <w:rFonts w:hint="eastAsia" w:asciiTheme="minorEastAsia" w:hAnsiTheme="minorEastAsia" w:eastAsiaTheme="minorEastAsia" w:cstheme="minorEastAsia"/>
          <w:color w:val="auto"/>
          <w:sz w:val="24"/>
          <w:szCs w:val="24"/>
          <w:highlight w:val="none"/>
        </w:rPr>
        <w:t>规格（技术性能）具体要求</w:t>
      </w:r>
    </w:p>
    <w:p w14:paraId="4979D6DB">
      <w:pPr>
        <w:pStyle w:val="29"/>
        <w:spacing w:line="360" w:lineRule="auto"/>
        <w:ind w:left="0" w:firstLine="240" w:firstLineChars="100"/>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sz w:val="24"/>
          <w:szCs w:val="24"/>
          <w:lang w:val="en-US" w:eastAsia="zh-CN"/>
        </w:rPr>
        <w:t>11.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三人沙发、12.会客椅1、15.会议椅4的参数中</w:t>
      </w:r>
    </w:p>
    <w:p w14:paraId="69F9283E">
      <w:pPr>
        <w:pStyle w:val="29"/>
        <w:spacing w:line="360" w:lineRule="auto"/>
        <w:ind w:left="0" w:firstLine="240" w:firstLineChars="100"/>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color w:val="auto"/>
          <w:kern w:val="0"/>
          <w:sz w:val="24"/>
          <w:szCs w:val="24"/>
          <w:highlight w:val="none"/>
        </w:rPr>
        <w:t>符合GB/T16799-2018《家具用皮革的测定》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p w14:paraId="1A53D202">
      <w:pPr>
        <w:pStyle w:val="29"/>
        <w:spacing w:line="360" w:lineRule="auto"/>
        <w:ind w:left="0" w:firstLine="241" w:firstLine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现更正为：</w:t>
      </w:r>
    </w:p>
    <w:p w14:paraId="2B7073A3">
      <w:pPr>
        <w:numPr>
          <w:ilvl w:val="0"/>
          <w:numId w:val="0"/>
        </w:numPr>
        <w:ind w:firstLine="240" w:firstLineChars="100"/>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符合GB/T16799-2018《家具用皮革》</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w:t>
      </w:r>
    </w:p>
    <w:p w14:paraId="574C1BC9">
      <w:pPr>
        <w:pStyle w:val="24"/>
        <w:ind w:left="0" w:leftChars="0" w:firstLine="0" w:firstLineChars="0"/>
        <w:rPr>
          <w:rFonts w:hint="eastAsia" w:cs="宋体"/>
          <w:b/>
          <w:bCs/>
          <w:sz w:val="28"/>
          <w:szCs w:val="28"/>
          <w:lang w:val="en-US" w:eastAsia="zh-CN"/>
        </w:rPr>
      </w:pPr>
    </w:p>
    <w:p w14:paraId="42A69570">
      <w:pPr>
        <w:pStyle w:val="24"/>
        <w:ind w:left="0" w:leftChars="0" w:firstLine="0" w:firstLineChars="0"/>
        <w:rPr>
          <w:rFonts w:hint="default" w:cs="宋体"/>
          <w:b/>
          <w:bCs/>
          <w:sz w:val="28"/>
          <w:szCs w:val="28"/>
          <w:lang w:val="en-US" w:eastAsia="zh-CN"/>
        </w:rPr>
      </w:pPr>
      <w:r>
        <w:rPr>
          <w:rFonts w:hint="eastAsia" w:cs="宋体"/>
          <w:b/>
          <w:bCs/>
          <w:sz w:val="28"/>
          <w:szCs w:val="28"/>
          <w:lang w:val="en-US" w:eastAsia="zh-CN"/>
        </w:rPr>
        <w:t>二、开标及投标截止时间</w:t>
      </w:r>
    </w:p>
    <w:p w14:paraId="5918120D">
      <w:pPr>
        <w:numPr>
          <w:ilvl w:val="0"/>
          <w:numId w:val="0"/>
        </w:numPr>
        <w:spacing w:line="360" w:lineRule="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原招标文件中相关的时间更正为：</w:t>
      </w:r>
    </w:p>
    <w:p w14:paraId="669B58A7">
      <w:pPr>
        <w:numPr>
          <w:ilvl w:val="0"/>
          <w:numId w:val="0"/>
        </w:numPr>
        <w:spacing w:line="360" w:lineRule="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投标截止时间：2026年 7 月 30 日北京时间09:30。</w:t>
      </w:r>
    </w:p>
    <w:p w14:paraId="45E1E16A">
      <w:pPr>
        <w:numPr>
          <w:ilvl w:val="0"/>
          <w:numId w:val="0"/>
        </w:numPr>
        <w:spacing w:line="360" w:lineRule="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开标时间：2026年 7 月30日北京时间09:30。</w:t>
      </w:r>
    </w:p>
    <w:p w14:paraId="6CFB6C26">
      <w:pPr>
        <w:numPr>
          <w:ilvl w:val="0"/>
          <w:numId w:val="0"/>
        </w:numPr>
        <w:spacing w:line="360" w:lineRule="auto"/>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投标文件提交与接收时间：2026年 7月30日北京时间09:30前。</w:t>
      </w:r>
    </w:p>
    <w:p w14:paraId="52B98342">
      <w:pPr>
        <w:numPr>
          <w:ilvl w:val="0"/>
          <w:numId w:val="0"/>
        </w:numPr>
        <w:spacing w:line="360" w:lineRule="auto"/>
        <w:rPr>
          <w:rFonts w:hint="eastAsia" w:ascii="宋体" w:hAnsi="宋体" w:cs="宋体"/>
          <w:b/>
          <w:bCs/>
          <w:kern w:val="2"/>
          <w:sz w:val="28"/>
          <w:szCs w:val="28"/>
          <w:lang w:val="en-US" w:eastAsia="zh-CN"/>
        </w:rPr>
      </w:pPr>
    </w:p>
    <w:p w14:paraId="2BBF2D88">
      <w:pPr>
        <w:numPr>
          <w:ilvl w:val="0"/>
          <w:numId w:val="0"/>
        </w:numPr>
        <w:spacing w:line="360" w:lineRule="auto"/>
        <w:rPr>
          <w:rFonts w:hint="eastAsia" w:ascii="宋体" w:hAnsi="宋体" w:eastAsia="宋体" w:cs="宋体"/>
          <w:b/>
          <w:bCs/>
          <w:sz w:val="30"/>
          <w:szCs w:val="30"/>
        </w:rPr>
      </w:pPr>
      <w:r>
        <w:rPr>
          <w:rFonts w:hint="eastAsia" w:ascii="宋体" w:hAnsi="宋体" w:cs="宋体"/>
          <w:b/>
          <w:bCs/>
          <w:kern w:val="2"/>
          <w:sz w:val="28"/>
          <w:szCs w:val="28"/>
          <w:lang w:val="en-US" w:eastAsia="zh-CN"/>
        </w:rPr>
        <w:t>三、</w:t>
      </w:r>
      <w:r>
        <w:rPr>
          <w:rFonts w:hint="eastAsia" w:ascii="宋体" w:hAnsi="宋体" w:cs="宋体"/>
          <w:b/>
          <w:bCs/>
          <w:kern w:val="2"/>
          <w:sz w:val="28"/>
          <w:szCs w:val="28"/>
        </w:rPr>
        <w:t>其他内容不变。本项目招标文件内容以本次更正后版本为准。</w:t>
      </w:r>
    </w:p>
    <w:p w14:paraId="1827BE89">
      <w:pPr>
        <w:numPr>
          <w:ilvl w:val="0"/>
          <w:numId w:val="0"/>
        </w:numPr>
        <w:spacing w:line="360" w:lineRule="auto"/>
        <w:rPr>
          <w:rFonts w:hint="eastAsia" w:ascii="宋体" w:hAnsi="宋体" w:eastAsia="宋体" w:cs="宋体"/>
          <w:b/>
          <w:bCs/>
          <w:sz w:val="30"/>
          <w:szCs w:val="30"/>
        </w:rPr>
      </w:pPr>
    </w:p>
    <w:p w14:paraId="61D46C59">
      <w:pPr>
        <w:pStyle w:val="24"/>
        <w:rPr>
          <w:rFonts w:hint="eastAsia"/>
        </w:rPr>
      </w:pPr>
    </w:p>
    <w:p w14:paraId="22A8D007">
      <w:pPr>
        <w:pStyle w:val="20"/>
        <w:numPr>
          <w:ilvl w:val="0"/>
          <w:numId w:val="0"/>
        </w:numPr>
        <w:ind w:right="33" w:rightChars="0"/>
        <w:jc w:val="right"/>
        <w:rPr>
          <w:rFonts w:hint="eastAsia" w:ascii="宋体" w:hAnsi="宋体" w:eastAsia="宋体" w:cs="宋体"/>
          <w:b/>
          <w:bCs/>
          <w:sz w:val="28"/>
          <w:szCs w:val="28"/>
        </w:rPr>
      </w:pPr>
      <w:r>
        <w:rPr>
          <w:rFonts w:hint="eastAsia" w:ascii="宋体" w:hAnsi="宋体" w:eastAsia="宋体" w:cs="宋体"/>
          <w:b/>
          <w:bCs/>
          <w:sz w:val="28"/>
          <w:szCs w:val="28"/>
        </w:rPr>
        <w:t>江苏中瑞建设项目管理有限公司</w:t>
      </w:r>
    </w:p>
    <w:p w14:paraId="5219569E">
      <w:pPr>
        <w:pStyle w:val="20"/>
        <w:numPr>
          <w:ilvl w:val="0"/>
          <w:numId w:val="0"/>
        </w:numPr>
        <w:ind w:right="33" w:rightChars="0"/>
        <w:jc w:val="right"/>
        <w:rPr>
          <w:rFonts w:hint="default" w:ascii="宋体" w:hAnsi="宋体" w:eastAsia="宋体" w:cs="宋体"/>
          <w:b/>
          <w:bCs/>
          <w:sz w:val="30"/>
          <w:szCs w:val="30"/>
          <w:lang w:val="en-US" w:eastAsia="zh-CN"/>
        </w:rPr>
      </w:pPr>
      <w:r>
        <w:rPr>
          <w:rFonts w:hint="eastAsia" w:ascii="宋体" w:hAnsi="宋体" w:eastAsia="宋体" w:cs="宋体"/>
          <w:b/>
          <w:bCs/>
          <w:sz w:val="28"/>
          <w:szCs w:val="28"/>
          <w:lang w:val="en-US" w:eastAsia="zh-CN"/>
        </w:rPr>
        <w:t>2026年7月14日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12B81"/>
    <w:multiLevelType w:val="singleLevel"/>
    <w:tmpl w:val="A3812B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1DEC"/>
    <w:rsid w:val="016245C6"/>
    <w:rsid w:val="02663C42"/>
    <w:rsid w:val="030B2A3C"/>
    <w:rsid w:val="03640B3D"/>
    <w:rsid w:val="039C3694"/>
    <w:rsid w:val="03BE7AAE"/>
    <w:rsid w:val="04581CB1"/>
    <w:rsid w:val="04732647"/>
    <w:rsid w:val="04826D2E"/>
    <w:rsid w:val="048F7EE8"/>
    <w:rsid w:val="04B844FD"/>
    <w:rsid w:val="06093262"/>
    <w:rsid w:val="069A65B0"/>
    <w:rsid w:val="071B28F6"/>
    <w:rsid w:val="074B1659"/>
    <w:rsid w:val="07524795"/>
    <w:rsid w:val="078A2181"/>
    <w:rsid w:val="08591B53"/>
    <w:rsid w:val="087B7D1C"/>
    <w:rsid w:val="088A071D"/>
    <w:rsid w:val="088A58D8"/>
    <w:rsid w:val="09502F56"/>
    <w:rsid w:val="0A5553DD"/>
    <w:rsid w:val="0B212DFC"/>
    <w:rsid w:val="0BBA0B5B"/>
    <w:rsid w:val="0C34090D"/>
    <w:rsid w:val="0C7E387A"/>
    <w:rsid w:val="0C8B0F98"/>
    <w:rsid w:val="0D511D2F"/>
    <w:rsid w:val="0D6B65B1"/>
    <w:rsid w:val="0DBF06AB"/>
    <w:rsid w:val="0E3176C7"/>
    <w:rsid w:val="0F307AB2"/>
    <w:rsid w:val="0F334EAC"/>
    <w:rsid w:val="0F3F5F47"/>
    <w:rsid w:val="0F890F70"/>
    <w:rsid w:val="0F933B9D"/>
    <w:rsid w:val="0F972F03"/>
    <w:rsid w:val="0FCB5A17"/>
    <w:rsid w:val="101051ED"/>
    <w:rsid w:val="10260EB5"/>
    <w:rsid w:val="109D1177"/>
    <w:rsid w:val="116E0A2C"/>
    <w:rsid w:val="122670DE"/>
    <w:rsid w:val="123E4294"/>
    <w:rsid w:val="1319085D"/>
    <w:rsid w:val="137D2B9A"/>
    <w:rsid w:val="1393060F"/>
    <w:rsid w:val="14123C2A"/>
    <w:rsid w:val="1481490C"/>
    <w:rsid w:val="153032F3"/>
    <w:rsid w:val="167F131F"/>
    <w:rsid w:val="16A63E2C"/>
    <w:rsid w:val="176371DE"/>
    <w:rsid w:val="188C4903"/>
    <w:rsid w:val="18B74DA0"/>
    <w:rsid w:val="19375EE1"/>
    <w:rsid w:val="19D61256"/>
    <w:rsid w:val="19FC41DF"/>
    <w:rsid w:val="1A023DF9"/>
    <w:rsid w:val="1A6C3968"/>
    <w:rsid w:val="1BA02AB1"/>
    <w:rsid w:val="1BB92BDD"/>
    <w:rsid w:val="1BE37C5A"/>
    <w:rsid w:val="1BF9747E"/>
    <w:rsid w:val="1C6E1C1A"/>
    <w:rsid w:val="1CF5481A"/>
    <w:rsid w:val="1D547061"/>
    <w:rsid w:val="1DCD4F4F"/>
    <w:rsid w:val="1EAA4A5F"/>
    <w:rsid w:val="1EF328AA"/>
    <w:rsid w:val="1FCB4587"/>
    <w:rsid w:val="209D0D1F"/>
    <w:rsid w:val="216919F8"/>
    <w:rsid w:val="216D6944"/>
    <w:rsid w:val="233E4217"/>
    <w:rsid w:val="23A128D5"/>
    <w:rsid w:val="23BE4C40"/>
    <w:rsid w:val="23EB1DA2"/>
    <w:rsid w:val="23FC58BB"/>
    <w:rsid w:val="246E6B03"/>
    <w:rsid w:val="24A3267C"/>
    <w:rsid w:val="25455E14"/>
    <w:rsid w:val="25F65EA0"/>
    <w:rsid w:val="26760048"/>
    <w:rsid w:val="27BD3A55"/>
    <w:rsid w:val="281178FD"/>
    <w:rsid w:val="2838400F"/>
    <w:rsid w:val="29095841"/>
    <w:rsid w:val="29D96155"/>
    <w:rsid w:val="2A34411C"/>
    <w:rsid w:val="2AAF6BEE"/>
    <w:rsid w:val="2B0D0850"/>
    <w:rsid w:val="2B1240B8"/>
    <w:rsid w:val="2B4D2282"/>
    <w:rsid w:val="2BB60EE7"/>
    <w:rsid w:val="2C0707CE"/>
    <w:rsid w:val="2C43539C"/>
    <w:rsid w:val="2CA927FA"/>
    <w:rsid w:val="2CA95249"/>
    <w:rsid w:val="2CC774B0"/>
    <w:rsid w:val="2D174892"/>
    <w:rsid w:val="2D43337D"/>
    <w:rsid w:val="2D7328EF"/>
    <w:rsid w:val="2D796D7D"/>
    <w:rsid w:val="2E1A39AF"/>
    <w:rsid w:val="2E3335C6"/>
    <w:rsid w:val="2ECA44C6"/>
    <w:rsid w:val="2F3C7955"/>
    <w:rsid w:val="2F407445"/>
    <w:rsid w:val="30DD0CC4"/>
    <w:rsid w:val="310D2261"/>
    <w:rsid w:val="31B21285"/>
    <w:rsid w:val="31B71515"/>
    <w:rsid w:val="341744ED"/>
    <w:rsid w:val="34394463"/>
    <w:rsid w:val="34692F9B"/>
    <w:rsid w:val="34AF4725"/>
    <w:rsid w:val="35226F2C"/>
    <w:rsid w:val="35DA3A24"/>
    <w:rsid w:val="36727878"/>
    <w:rsid w:val="372F1B4E"/>
    <w:rsid w:val="373D2F93"/>
    <w:rsid w:val="388C54AA"/>
    <w:rsid w:val="38EA0D21"/>
    <w:rsid w:val="39633163"/>
    <w:rsid w:val="39932868"/>
    <w:rsid w:val="39D37108"/>
    <w:rsid w:val="39D76BF8"/>
    <w:rsid w:val="3A023B78"/>
    <w:rsid w:val="3A742699"/>
    <w:rsid w:val="3A8F1281"/>
    <w:rsid w:val="3A8F5472"/>
    <w:rsid w:val="3AA31C05"/>
    <w:rsid w:val="3AC13E88"/>
    <w:rsid w:val="3B722F28"/>
    <w:rsid w:val="3BBD3BCC"/>
    <w:rsid w:val="3D402D06"/>
    <w:rsid w:val="3D956BAE"/>
    <w:rsid w:val="3E954F57"/>
    <w:rsid w:val="3F19736B"/>
    <w:rsid w:val="3F6F500B"/>
    <w:rsid w:val="3F852C53"/>
    <w:rsid w:val="3F917849"/>
    <w:rsid w:val="40401F7A"/>
    <w:rsid w:val="405A7C3B"/>
    <w:rsid w:val="40D948EB"/>
    <w:rsid w:val="42F23EC2"/>
    <w:rsid w:val="43811983"/>
    <w:rsid w:val="43DE6DD5"/>
    <w:rsid w:val="440C56F0"/>
    <w:rsid w:val="443F1FF9"/>
    <w:rsid w:val="449737C0"/>
    <w:rsid w:val="44C94C0D"/>
    <w:rsid w:val="45336CAD"/>
    <w:rsid w:val="45440EBA"/>
    <w:rsid w:val="455E3D2A"/>
    <w:rsid w:val="46C82208"/>
    <w:rsid w:val="4710374A"/>
    <w:rsid w:val="47DB78B4"/>
    <w:rsid w:val="48403BBB"/>
    <w:rsid w:val="484328F0"/>
    <w:rsid w:val="48C4659A"/>
    <w:rsid w:val="48E56438"/>
    <w:rsid w:val="491F5EC6"/>
    <w:rsid w:val="4A0A0924"/>
    <w:rsid w:val="4A873D23"/>
    <w:rsid w:val="4AC867EE"/>
    <w:rsid w:val="4B28548C"/>
    <w:rsid w:val="4B346CEE"/>
    <w:rsid w:val="4B8B339F"/>
    <w:rsid w:val="4B971D44"/>
    <w:rsid w:val="4C303F46"/>
    <w:rsid w:val="4CA23096"/>
    <w:rsid w:val="4CB4691C"/>
    <w:rsid w:val="4CCF375F"/>
    <w:rsid w:val="4D237C5B"/>
    <w:rsid w:val="4D3A507C"/>
    <w:rsid w:val="4DB841F3"/>
    <w:rsid w:val="4DD64547"/>
    <w:rsid w:val="4EF86F9D"/>
    <w:rsid w:val="4EFC6765"/>
    <w:rsid w:val="4F4641AC"/>
    <w:rsid w:val="4F884945"/>
    <w:rsid w:val="503E2B9F"/>
    <w:rsid w:val="50724B2D"/>
    <w:rsid w:val="50A15412"/>
    <w:rsid w:val="50FF480D"/>
    <w:rsid w:val="51145BE4"/>
    <w:rsid w:val="523C3645"/>
    <w:rsid w:val="529E7E5B"/>
    <w:rsid w:val="52DE1C23"/>
    <w:rsid w:val="535773A1"/>
    <w:rsid w:val="53BC2C8F"/>
    <w:rsid w:val="54A15FB6"/>
    <w:rsid w:val="550D751A"/>
    <w:rsid w:val="5524184D"/>
    <w:rsid w:val="55A6430A"/>
    <w:rsid w:val="56477C89"/>
    <w:rsid w:val="57034731"/>
    <w:rsid w:val="576D56CE"/>
    <w:rsid w:val="57E52089"/>
    <w:rsid w:val="592866D1"/>
    <w:rsid w:val="59297CC8"/>
    <w:rsid w:val="5A3C086F"/>
    <w:rsid w:val="5B125A51"/>
    <w:rsid w:val="5B5E6814"/>
    <w:rsid w:val="5BB71341"/>
    <w:rsid w:val="5CD1707F"/>
    <w:rsid w:val="5CEF4994"/>
    <w:rsid w:val="5D560B5F"/>
    <w:rsid w:val="5E6832D7"/>
    <w:rsid w:val="5E6E2DD8"/>
    <w:rsid w:val="5E764257"/>
    <w:rsid w:val="5EBA46DF"/>
    <w:rsid w:val="5EC7676C"/>
    <w:rsid w:val="5EDE0D55"/>
    <w:rsid w:val="5F131BD1"/>
    <w:rsid w:val="5F467B8C"/>
    <w:rsid w:val="5F5A15AE"/>
    <w:rsid w:val="60025ECE"/>
    <w:rsid w:val="60274327"/>
    <w:rsid w:val="634B193A"/>
    <w:rsid w:val="637C15CE"/>
    <w:rsid w:val="63C05C51"/>
    <w:rsid w:val="63E91153"/>
    <w:rsid w:val="64740A1C"/>
    <w:rsid w:val="65F96058"/>
    <w:rsid w:val="66285F62"/>
    <w:rsid w:val="66A355E9"/>
    <w:rsid w:val="66C31ADB"/>
    <w:rsid w:val="674E7C4A"/>
    <w:rsid w:val="67C63C85"/>
    <w:rsid w:val="692063B2"/>
    <w:rsid w:val="693F018E"/>
    <w:rsid w:val="694A61EF"/>
    <w:rsid w:val="69584DB0"/>
    <w:rsid w:val="69B018C1"/>
    <w:rsid w:val="69C064B2"/>
    <w:rsid w:val="6A2633FF"/>
    <w:rsid w:val="6AF07978"/>
    <w:rsid w:val="6B7D41F7"/>
    <w:rsid w:val="6C0413DC"/>
    <w:rsid w:val="6CC462B9"/>
    <w:rsid w:val="6D6D4BA2"/>
    <w:rsid w:val="6D840E33"/>
    <w:rsid w:val="6D8825F4"/>
    <w:rsid w:val="6DA71E62"/>
    <w:rsid w:val="6FDD600F"/>
    <w:rsid w:val="703C47B8"/>
    <w:rsid w:val="71066EA0"/>
    <w:rsid w:val="713B338E"/>
    <w:rsid w:val="713E2889"/>
    <w:rsid w:val="733221CE"/>
    <w:rsid w:val="74F73BE4"/>
    <w:rsid w:val="75151DA7"/>
    <w:rsid w:val="754D4CE1"/>
    <w:rsid w:val="75660855"/>
    <w:rsid w:val="762878B8"/>
    <w:rsid w:val="771A5453"/>
    <w:rsid w:val="7725204A"/>
    <w:rsid w:val="777A7295"/>
    <w:rsid w:val="77EF68E0"/>
    <w:rsid w:val="782E3942"/>
    <w:rsid w:val="783F48F4"/>
    <w:rsid w:val="79144F31"/>
    <w:rsid w:val="79825532"/>
    <w:rsid w:val="799A63AB"/>
    <w:rsid w:val="79D34741"/>
    <w:rsid w:val="7A6148F5"/>
    <w:rsid w:val="7A813A3B"/>
    <w:rsid w:val="7ABB480C"/>
    <w:rsid w:val="7B0A57DF"/>
    <w:rsid w:val="7B591EB1"/>
    <w:rsid w:val="7B71500F"/>
    <w:rsid w:val="7C174657"/>
    <w:rsid w:val="7C572CA5"/>
    <w:rsid w:val="7D1B1B29"/>
    <w:rsid w:val="7D384885"/>
    <w:rsid w:val="7D5D253D"/>
    <w:rsid w:val="7D847ACA"/>
    <w:rsid w:val="7DD00F61"/>
    <w:rsid w:val="7EE12CFA"/>
    <w:rsid w:val="7EE50A3C"/>
    <w:rsid w:val="7EEE2033"/>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798"/>
    </w:pPr>
    <w:rPr>
      <w:rFonts w:ascii="Calibri" w:hAnsi="Calibri"/>
      <w:sz w:val="21"/>
    </w:rPr>
  </w:style>
  <w:style w:type="paragraph" w:styleId="4">
    <w:name w:val="Body Text"/>
    <w:basedOn w:val="1"/>
    <w:next w:val="5"/>
    <w:qFormat/>
    <w:uiPriority w:val="1"/>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7">
    <w:name w:val="段"/>
    <w:basedOn w:val="8"/>
    <w:next w:val="1"/>
    <w:qFormat/>
    <w:uiPriority w:val="0"/>
    <w:pPr>
      <w:widowControl/>
      <w:ind w:firstLine="200"/>
    </w:pPr>
    <w:rPr>
      <w:rFonts w:hint="eastAsia" w:ascii="宋体"/>
      <w:sz w:val="20"/>
      <w:szCs w:val="20"/>
    </w:rPr>
  </w:style>
  <w:style w:type="paragraph" w:customStyle="1" w:styleId="8">
    <w:name w:val="正文1"/>
    <w:basedOn w:val="9"/>
    <w:next w:val="13"/>
    <w:qFormat/>
    <w:uiPriority w:val="0"/>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rPr>
  </w:style>
  <w:style w:type="paragraph" w:customStyle="1" w:styleId="10">
    <w:name w:val="目录 111"/>
    <w:basedOn w:val="11"/>
    <w:next w:val="1"/>
    <w:qFormat/>
    <w:uiPriority w:val="0"/>
  </w:style>
  <w:style w:type="paragraph" w:customStyle="1" w:styleId="11">
    <w:name w:val="正文12"/>
    <w:next w:val="12"/>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12">
    <w:name w:val="正文文本111"/>
    <w:basedOn w:val="11"/>
    <w:next w:val="11"/>
    <w:qFormat/>
    <w:uiPriority w:val="0"/>
  </w:style>
  <w:style w:type="paragraph" w:customStyle="1" w:styleId="13">
    <w:name w:val="目录 11"/>
    <w:basedOn w:val="14"/>
    <w:next w:val="11"/>
    <w:qFormat/>
    <w:uiPriority w:val="0"/>
    <w:pPr>
      <w:widowControl/>
      <w:spacing w:after="100" w:line="259" w:lineRule="auto"/>
      <w:jc w:val="left"/>
    </w:pPr>
    <w:rPr>
      <w:rFonts w:ascii="Calibri" w:hAnsi="Calibri" w:eastAsia="宋体"/>
      <w:sz w:val="22"/>
      <w:szCs w:val="22"/>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首行缩进 21"/>
    <w:basedOn w:val="16"/>
    <w:next w:val="1"/>
    <w:qFormat/>
    <w:uiPriority w:val="0"/>
    <w:pPr>
      <w:spacing w:line="357" w:lineRule="atLeast"/>
      <w:ind w:firstLine="420"/>
    </w:pPr>
    <w:rPr>
      <w:color w:val="000000"/>
      <w:sz w:val="20"/>
      <w:szCs w:val="20"/>
    </w:rPr>
  </w:style>
  <w:style w:type="paragraph" w:customStyle="1" w:styleId="16">
    <w:name w:val="正文文本缩进1"/>
    <w:basedOn w:val="14"/>
    <w:next w:val="17"/>
    <w:qFormat/>
    <w:uiPriority w:val="0"/>
    <w:pPr>
      <w:spacing w:after="120"/>
      <w:ind w:left="420"/>
    </w:pPr>
    <w:rPr>
      <w:rFonts w:ascii="Calibri" w:hAnsi="Calibri"/>
    </w:rPr>
  </w:style>
  <w:style w:type="paragraph" w:customStyle="1" w:styleId="17">
    <w:name w:val="寄信人地址1"/>
    <w:basedOn w:val="14"/>
    <w:qFormat/>
    <w:uiPriority w:val="0"/>
    <w:rPr>
      <w:rFonts w:ascii="Arial" w:hAnsi="Arial"/>
    </w:rPr>
  </w:style>
  <w:style w:type="paragraph" w:styleId="18">
    <w:name w:val="Body Text Indent"/>
    <w:basedOn w:val="1"/>
    <w:next w:val="19"/>
    <w:qFormat/>
    <w:uiPriority w:val="0"/>
    <w:pPr>
      <w:spacing w:after="120"/>
      <w:ind w:left="420"/>
    </w:pPr>
    <w:rPr>
      <w:rFonts w:ascii="Calibri" w:hAnsi="Calibri"/>
    </w:rPr>
  </w:style>
  <w:style w:type="paragraph" w:styleId="19">
    <w:name w:val="envelope return"/>
    <w:basedOn w:val="1"/>
    <w:qFormat/>
    <w:uiPriority w:val="0"/>
    <w:rPr>
      <w:rFonts w:ascii="Arial" w:hAnsi="Arial"/>
    </w:rPr>
  </w:style>
  <w:style w:type="paragraph" w:styleId="20">
    <w:name w:val="Block Text"/>
    <w:basedOn w:val="1"/>
    <w:unhideWhenUsed/>
    <w:qFormat/>
    <w:uiPriority w:val="0"/>
    <w:pPr>
      <w:ind w:left="420" w:right="33"/>
    </w:pPr>
    <w:rPr>
      <w:sz w:val="24"/>
    </w:rPr>
  </w:style>
  <w:style w:type="paragraph" w:styleId="21">
    <w:name w:val="toc 1"/>
    <w:basedOn w:val="1"/>
    <w:next w:val="1"/>
    <w:qFormat/>
    <w:uiPriority w:val="0"/>
    <w:pPr>
      <w:jc w:val="center"/>
    </w:pPr>
    <w:rPr>
      <w:rFonts w:ascii="Times New Roman" w:hAnsi="Times New Roman" w:eastAsia="宋体"/>
    </w:rPr>
  </w:style>
  <w:style w:type="paragraph" w:styleId="22">
    <w:name w:val="footnote text"/>
    <w:basedOn w:val="1"/>
    <w:next w:val="3"/>
    <w:semiHidden/>
    <w:unhideWhenUsed/>
    <w:qFormat/>
    <w:uiPriority w:val="99"/>
    <w:pPr>
      <w:spacing w:after="40" w:line="240" w:lineRule="auto"/>
    </w:pPr>
    <w:rPr>
      <w:sz w:val="18"/>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Body Text First Indent 2"/>
    <w:basedOn w:val="18"/>
    <w:qFormat/>
    <w:uiPriority w:val="0"/>
    <w:pPr>
      <w:spacing w:after="0" w:line="360" w:lineRule="auto"/>
      <w:ind w:left="0" w:firstLine="420"/>
    </w:pPr>
    <w:rPr>
      <w:rFonts w:ascii="宋体" w:hAnsi="宋体" w:eastAsia="宋体" w:cs="Times New Roman"/>
      <w:sz w:val="20"/>
      <w:szCs w:val="20"/>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0"/>
    <w:rPr>
      <w:b/>
    </w:rPr>
  </w:style>
  <w:style w:type="paragraph" w:customStyle="1" w:styleId="29">
    <w:name w:val="文本块11"/>
    <w:basedOn w:val="11"/>
    <w:unhideWhenUsed/>
    <w:qFormat/>
    <w:uiPriority w:val="6"/>
    <w:pPr>
      <w:spacing w:after="120"/>
      <w:ind w:left="1440" w:right="144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1824</Words>
  <Characters>2100</Characters>
  <Lines>0</Lines>
  <Paragraphs>0</Paragraphs>
  <TotalTime>1</TotalTime>
  <ScaleCrop>false</ScaleCrop>
  <LinksUpToDate>false</LinksUpToDate>
  <CharactersWithSpaces>2114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Administrator</cp:lastModifiedBy>
  <dcterms:modified xsi:type="dcterms:W3CDTF">2026-07-13T09:50:34Z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C5B8738C4766403EB261AE3C78164127_13</vt:lpwstr>
  </property>
  <property fmtid="{D5CDD505-2E9C-101B-9397-08002B2CF9AE}" pid="4" name="KSOTemplateDocerSaveRecord">
    <vt:lpwstr>eyJoZGlkIjoiNGJmYmE2N2I0MTllM2Q0MmJjNDE0M2ExYWQ0YjI0MzEiLCJ1c2VySWQiOiI1NDM0NTI2NzAifQ==</vt:lpwstr>
  </property>
</Properties>
</file>