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32"/>
          <w:szCs w:val="32"/>
          <w:highlight w:val="none"/>
        </w:rPr>
      </w:pPr>
      <w:r>
        <w:rPr>
          <w:rFonts w:hint="eastAsia" w:ascii="宋体" w:hAnsi="宋体" w:cs="宋体"/>
          <w:b/>
          <w:bCs/>
          <w:color w:val="auto"/>
          <w:sz w:val="36"/>
          <w:szCs w:val="36"/>
          <w:highlight w:val="none"/>
        </w:rPr>
        <w:t xml:space="preserve">南京信息工程大学混合信号测试应用开发套件采购项目</w:t>
      </w:r>
      <w:r/>
    </w:p>
    <w:p>
      <w:pPr>
        <w:pStyle w:val="989"/>
        <w:rPr>
          <w:color w:val="auto"/>
          <w:highlight w:val="none"/>
        </w:rPr>
      </w:pPr>
      <w:r>
        <w:rPr>
          <w:color w:val="auto"/>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项目编号：JSZC-320000-JSHY-G2026-0132</w:t>
      </w:r>
      <w:r/>
    </w:p>
    <w:p>
      <w:pPr>
        <w:ind w:firstLine="2168"/>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代理机构识别号：1009-2641HOLLY87T</w:t>
      </w:r>
      <w:r/>
    </w:p>
    <w:p>
      <w:pPr>
        <w:ind w:firstLine="2168"/>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89"/>
        <w:rPr>
          <w:rFonts w:ascii="宋体" w:hAnsi="宋体" w:eastAsia="宋体" w:cs="宋体"/>
          <w:color w:val="auto"/>
          <w:highlight w:val="none"/>
        </w:rPr>
      </w:pPr>
      <w:r>
        <w:rPr>
          <w:rFonts w:ascii="宋体" w:hAnsi="宋体" w:eastAsia="宋体" w:cs="宋体"/>
          <w:color w:val="auto"/>
          <w:highlight w:val="none"/>
        </w:rPr>
      </w:r>
      <w:r/>
    </w:p>
    <w:p>
      <w:pPr>
        <w:pStyle w:val="989"/>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b/>
          <w:color w:val="auto"/>
          <w:sz w:val="18"/>
          <w:szCs w:val="18"/>
          <w:highlight w:val="none"/>
        </w:rPr>
      </w:pPr>
      <w:r>
        <w:rPr>
          <w:rFonts w:ascii="宋体" w:hAnsi="宋体" w:cs="宋体"/>
          <w:b/>
          <w:color w:val="auto"/>
          <w:sz w:val="18"/>
          <w:szCs w:val="18"/>
          <w:highlight w:val="none"/>
        </w:rPr>
      </w:r>
      <w:r/>
    </w:p>
    <w:p>
      <w:pPr>
        <w:jc w:val="center"/>
        <w:rPr>
          <w:rFonts w:ascii="宋体" w:hAnsi="宋体" w:cs="宋体"/>
          <w:color w:val="auto"/>
          <w:sz w:val="82"/>
          <w:szCs w:val="72"/>
          <w:highlight w:val="none"/>
        </w:rPr>
      </w:pPr>
      <w:r>
        <w:rPr>
          <w:rFonts w:hint="eastAsia" w:ascii="宋体" w:hAnsi="宋体" w:cs="宋体"/>
          <w:color w:val="auto"/>
          <w:sz w:val="82"/>
          <w:szCs w:val="72"/>
          <w:highlight w:val="none"/>
        </w:rPr>
        <w:t xml:space="preserve">招标文件</w:t>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ind w:firstLine="1980"/>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jc w:val="left"/>
        <w:spacing w:line="500" w:lineRule="exact"/>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tbl>
      <w:tblPr>
        <w:tblStyle w:val="977"/>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南京信息工程大学</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textDirection w:val="lrTb"/>
            <w:noWrap w:val="false"/>
          </w:tcPr>
          <w:p>
            <w:pP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日期：</w:t>
            </w:r>
            <w:r/>
          </w:p>
        </w:tc>
        <w:tc>
          <w:tcPr>
            <w:tcBorders>
              <w:top w:val="none" w:color="000000" w:sz="4" w:space="0"/>
              <w:left w:val="none" w:color="000000" w:sz="4" w:space="0"/>
              <w:bottom w:val="none" w:color="000000" w:sz="4" w:space="0"/>
              <w:right w:val="none" w:color="000000" w:sz="4" w:space="0"/>
            </w:tcBorders>
            <w:tcW w:w="5003" w:type="dxa"/>
            <w:textDirection w:val="lrTb"/>
            <w:noWrap w:val="false"/>
          </w:tcPr>
          <w:p>
            <w:pPr>
              <w:rPr>
                <w:rFonts w:ascii="宋体" w:hAnsi="宋体" w:cs="宋体"/>
                <w:b/>
                <w:bCs/>
                <w:color w:val="auto"/>
                <w:sz w:val="32"/>
                <w:szCs w:val="32"/>
                <w:highlight w:val="none"/>
              </w:rPr>
            </w:pPr>
            <w:r/>
            <w:bookmarkStart w:id="0" w:name="EB011e21966a4746ceac4488705cfdd813"/>
            <w:r>
              <w:rPr>
                <w:rFonts w:hint="eastAsia" w:ascii="宋体" w:hAnsi="宋体" w:cs="宋体"/>
                <w:b/>
                <w:bCs/>
                <w:color w:val="auto"/>
                <w:sz w:val="32"/>
                <w:szCs w:val="32"/>
                <w:highlight w:val="none"/>
              </w:rPr>
              <w:t xml:space="preserve">2026年</w:t>
            </w:r>
            <w:r>
              <w:rPr>
                <w:rFonts w:hint="eastAsia" w:ascii="宋体" w:hAnsi="宋体" w:cs="宋体"/>
                <w:b/>
                <w:bCs/>
                <w:color w:val="auto"/>
                <w:sz w:val="32"/>
                <w:szCs w:val="32"/>
                <w:highlight w:val="none"/>
                <w:lang w:val="en-US" w:eastAsia="zh-CN"/>
              </w:rPr>
              <w:t xml:space="preserve">7</w:t>
            </w:r>
            <w:r>
              <w:rPr>
                <w:rFonts w:hint="eastAsia" w:ascii="宋体" w:hAnsi="宋体" w:cs="宋体"/>
                <w:b/>
                <w:bCs/>
                <w:color w:val="auto"/>
                <w:sz w:val="32"/>
                <w:szCs w:val="32"/>
                <w:highlight w:val="none"/>
              </w:rPr>
              <w:t xml:space="preserve">月</w:t>
            </w:r>
            <w:bookmarkEnd w:id="0"/>
            <w:r/>
            <w:r/>
          </w:p>
        </w:tc>
      </w:tr>
    </w:tbl>
    <w:p>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r>
      <w:r/>
    </w:p>
    <w:p>
      <w:pPr>
        <w:jc w:val="center"/>
        <w:rPr>
          <w:rFonts w:ascii="宋体" w:hAnsi="宋体" w:cs="宋体"/>
          <w:b/>
          <w:bCs/>
          <w:color w:val="auto"/>
          <w:sz w:val="32"/>
          <w:szCs w:val="36"/>
          <w:highlight w:val="none"/>
        </w:rPr>
      </w:pPr>
      <w:r>
        <w:rPr>
          <w:rFonts w:hint="eastAsia" w:ascii="宋体" w:hAnsi="宋体" w:cs="宋体"/>
          <w:b/>
          <w:bCs/>
          <w:color w:val="auto"/>
          <w:sz w:val="32"/>
          <w:szCs w:val="36"/>
          <w:highlight w:val="none"/>
        </w:rPr>
        <w:t xml:space="preserve">目录</w:t>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sdt>
      <w:sdtPr>
        <w15:appearance w15:val="boundingBox"/>
        <w15:color w:val="dbdbdb"/>
        <w:id w:val="147468235"/>
        <w:docPartObj>
          <w:docPartGallery w:val="Table of Contents"/>
          <w:docPartUnique w:val="true"/>
        </w:docPartObj>
        <w:rPr>
          <w:rFonts w:ascii="宋体" w:hAnsi="宋体"/>
          <w:color w:val="auto"/>
          <w:highlight w:val="none"/>
        </w:rPr>
      </w:sdtPr>
      <w:sdtContent>
        <w:p>
          <w:pPr>
            <w:jc w:val="center"/>
            <w:rPr>
              <w:color w:val="auto"/>
              <w:highlight w:val="none"/>
            </w:rPr>
          </w:pPr>
          <w:r>
            <w:rPr>
              <w:color w:val="auto"/>
              <w:highlight w:val="none"/>
            </w:rPr>
          </w:r>
          <w:r/>
        </w:p>
        <w:p>
          <w:pPr>
            <w:pStyle w:val="983"/>
            <w:spacing w:line="480" w:lineRule="auto"/>
            <w:tabs>
              <w:tab w:val="right" w:pos="9740" w:leader="dot"/>
            </w:tabs>
            <w:rPr>
              <w:rFonts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color w:val="auto"/>
              <w:highlight w:val="none"/>
            </w:rPr>
            <w:fldChar w:fldCharType="begin"/>
          </w:r>
          <w:r>
            <w:rPr>
              <w:color w:val="auto"/>
              <w:highlight w:val="none"/>
            </w:rPr>
            <w:instrText xml:space="preserve"> HYPERLINK \l "_Toc32256" </w:instrText>
          </w:r>
          <w:r>
            <w:rPr>
              <w:color w:val="auto"/>
              <w:highlight w:val="none"/>
            </w:rPr>
            <w:fldChar w:fldCharType="separate"/>
          </w:r>
          <w:r>
            <w:rPr>
              <w:rFonts w:hint="eastAsia" w:ascii="宋体" w:hAnsi="宋体" w:cs="宋体"/>
              <w:b/>
              <w:bCs/>
              <w:color w:val="auto"/>
              <w:sz w:val="24"/>
              <w:szCs w:val="36"/>
              <w:highlight w:val="none"/>
            </w:rPr>
            <w:t xml:space="preserve">第一部分招标公告</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_Toc32256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83"/>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"_Toc10498" </w:instrText>
          </w:r>
          <w:r>
            <w:rPr>
              <w:color w:val="auto"/>
              <w:highlight w:val="none"/>
            </w:rPr>
            <w:fldChar w:fldCharType="separate"/>
          </w:r>
          <w:r>
            <w:rPr>
              <w:rFonts w:hint="eastAsia" w:ascii="宋体" w:hAnsi="宋体" w:cs="宋体"/>
              <w:b/>
              <w:bCs/>
              <w:color w:val="auto"/>
              <w:sz w:val="24"/>
              <w:szCs w:val="36"/>
              <w:highlight w:val="none"/>
            </w:rPr>
            <w:t xml:space="preserve">第二部分投标人须知</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_Toc10498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83"/>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"_Toc28399" </w:instrText>
          </w:r>
          <w:r>
            <w:rPr>
              <w:color w:val="auto"/>
              <w:highlight w:val="none"/>
            </w:rPr>
            <w:fldChar w:fldCharType="separate"/>
          </w:r>
          <w:r>
            <w:rPr>
              <w:rFonts w:hint="eastAsia" w:ascii="宋体" w:hAnsi="宋体" w:cs="宋体"/>
              <w:b/>
              <w:bCs/>
              <w:color w:val="auto"/>
              <w:sz w:val="24"/>
              <w:szCs w:val="36"/>
              <w:highlight w:val="none"/>
            </w:rPr>
            <w:t xml:space="preserve">第三部分评标方法和标准</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_Toc28399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23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83"/>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"_Toc8891" </w:instrText>
          </w:r>
          <w:r>
            <w:rPr>
              <w:color w:val="auto"/>
              <w:highlight w:val="none"/>
            </w:rPr>
            <w:fldChar w:fldCharType="separate"/>
          </w:r>
          <w:r>
            <w:rPr>
              <w:rFonts w:hint="eastAsia" w:ascii="宋体" w:hAnsi="宋体" w:cs="宋体"/>
              <w:b/>
              <w:bCs/>
              <w:color w:val="auto"/>
              <w:sz w:val="24"/>
              <w:szCs w:val="36"/>
              <w:highlight w:val="none"/>
            </w:rPr>
            <w:t xml:space="preserve">第四部分采购需求</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t xml:space="preserve">2</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t xml:space="preserve">8</w:t>
          </w:r>
          <w:r/>
        </w:p>
        <w:p>
          <w:pPr>
            <w:pStyle w:val="983"/>
            <w:spacing w:line="480" w:lineRule="auto"/>
            <w:tabs>
              <w:tab w:val="right" w:pos="9740" w:leader="dot"/>
            </w:tabs>
            <w:rPr>
              <w:rFonts w:ascii="宋体" w:hAnsi="宋体" w:cs="宋体"/>
              <w:b/>
              <w:bCs/>
              <w:color w:val="auto"/>
              <w:sz w:val="24"/>
              <w:szCs w:val="36"/>
              <w:highlight w:val="none"/>
            </w:rPr>
          </w:pPr>
          <w:r>
            <w:rPr>
              <w:color w:val="auto"/>
              <w:highlight w:val="none"/>
            </w:rPr>
            <w:fldChar w:fldCharType="begin"/>
          </w:r>
          <w:r>
            <w:rPr>
              <w:color w:val="auto"/>
              <w:highlight w:val="none"/>
            </w:rPr>
            <w:instrText xml:space="preserve"> HYPERLINK \l "_Toc10059" </w:instrText>
          </w:r>
          <w:r>
            <w:rPr>
              <w:color w:val="auto"/>
              <w:highlight w:val="none"/>
            </w:rPr>
            <w:fldChar w:fldCharType="separate"/>
          </w:r>
          <w:r>
            <w:rPr>
              <w:rFonts w:hint="eastAsia" w:ascii="宋体" w:hAnsi="宋体" w:cs="宋体"/>
              <w:b/>
              <w:bCs/>
              <w:color w:val="auto"/>
              <w:sz w:val="24"/>
              <w:szCs w:val="36"/>
              <w:highlight w:val="none"/>
            </w:rPr>
            <w:t xml:space="preserve">第五部分合同格式及条款</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_Toc10059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33</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83"/>
            <w:spacing w:line="480" w:lineRule="auto"/>
            <w:tabs>
              <w:tab w:val="right" w:pos="9740" w:leader="dot"/>
            </w:tabs>
            <w:rPr>
              <w:rFonts w:hint="eastAsia" w:ascii="宋体" w:hAnsi="宋体" w:eastAsia="宋体" w:cs="宋体"/>
              <w:b/>
              <w:bCs/>
              <w:color w:val="auto"/>
              <w:sz w:val="24"/>
              <w:szCs w:val="36"/>
              <w:highlight w:val="none"/>
              <w:lang w:val="en-US" w:eastAsia="zh-CN"/>
            </w:rPr>
          </w:pPr>
          <w:r>
            <w:rPr>
              <w:color w:val="auto"/>
              <w:highlight w:val="none"/>
            </w:rPr>
            <w:fldChar w:fldCharType="begin"/>
          </w:r>
          <w:r>
            <w:rPr>
              <w:color w:val="auto"/>
              <w:highlight w:val="none"/>
            </w:rPr>
            <w:instrText xml:space="preserve"> HYPERLINK \l "_Toc26546" </w:instrText>
          </w:r>
          <w:r>
            <w:rPr>
              <w:color w:val="auto"/>
              <w:highlight w:val="none"/>
            </w:rPr>
            <w:fldChar w:fldCharType="separate"/>
          </w:r>
          <w:r>
            <w:rPr>
              <w:rFonts w:hint="eastAsia" w:ascii="宋体" w:hAnsi="宋体" w:cs="宋体"/>
              <w:b/>
              <w:bCs/>
              <w:color w:val="auto"/>
              <w:sz w:val="24"/>
              <w:szCs w:val="36"/>
              <w:highlight w:val="none"/>
            </w:rPr>
            <w:t xml:space="preserve">第六部分投标文件格式</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lang w:val="en-US" w:eastAsia="zh-CN"/>
            </w:rPr>
            <w:t xml:space="preserve">4</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lang w:val="en-US" w:eastAsia="zh-CN"/>
            </w:rPr>
            <w:t xml:space="preserve">1</w:t>
          </w:r>
          <w:r/>
        </w:p>
        <w:p>
          <w:pPr>
            <w:pStyle w:val="983"/>
            <w:spacing w:line="480" w:lineRule="auto"/>
            <w:tabs>
              <w:tab w:val="right" w:pos="9740" w:leader="dot"/>
            </w:tabs>
            <w:rPr>
              <w:rFonts w:ascii="宋体" w:hAnsi="宋体" w:cs="宋体"/>
              <w:b/>
              <w:bCs/>
              <w:color w:val="auto"/>
              <w:sz w:val="22"/>
              <w:szCs w:val="32"/>
              <w:highlight w:val="none"/>
            </w:rPr>
          </w:pPr>
          <w:r>
            <w:rPr>
              <w:color w:val="auto"/>
              <w:highlight w:val="none"/>
            </w:rPr>
            <w:fldChar w:fldCharType="begin"/>
          </w:r>
          <w:r>
            <w:rPr>
              <w:color w:val="auto"/>
              <w:highlight w:val="none"/>
            </w:rPr>
            <w:instrText xml:space="preserve"> HYPERLINK \l "_Toc3075" </w:instrText>
          </w:r>
          <w:r>
            <w:rPr>
              <w:color w:val="auto"/>
              <w:highlight w:val="none"/>
            </w:rPr>
            <w:fldChar w:fldCharType="separate"/>
          </w:r>
          <w:r>
            <w:rPr>
              <w:rFonts w:hint="eastAsia" w:ascii="宋体" w:hAnsi="宋体" w:cs="宋体"/>
              <w:b/>
              <w:bCs/>
              <w:color w:val="auto"/>
              <w:sz w:val="24"/>
              <w:szCs w:val="36"/>
              <w:highlight w:val="none"/>
            </w:rPr>
            <w:t xml:space="preserve">第七部分特别提醒</w:t>
          </w:r>
          <w:r>
            <w:rPr>
              <w:rFonts w:hint="eastAsia" w:ascii="宋体" w:hAnsi="宋体" w:cs="宋体"/>
              <w:b/>
              <w:bCs/>
              <w:color w:val="auto"/>
              <w:sz w:val="24"/>
              <w:szCs w:val="36"/>
              <w:highlight w:val="none"/>
            </w:rPr>
            <w:tab/>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PAGEREF _Toc3075 \h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68</w:t>
          </w:r>
          <w:r>
            <w:rPr>
              <w:rFonts w:hint="eastAsia" w:ascii="宋体" w:hAnsi="宋体" w:cs="宋体"/>
              <w:b/>
              <w:bCs/>
              <w:color w:val="auto"/>
              <w:sz w:val="24"/>
              <w:szCs w:val="36"/>
              <w:highlight w:val="none"/>
            </w:rPr>
            <w:fldChar w:fldCharType="end"/>
          </w:r>
          <w:r>
            <w:rPr>
              <w:rFonts w:hint="eastAsia" w:ascii="宋体" w:hAnsi="宋体" w:cs="宋体"/>
              <w:b/>
              <w:bCs/>
              <w:color w:val="auto"/>
              <w:sz w:val="24"/>
              <w:szCs w:val="36"/>
              <w:highlight w:val="none"/>
            </w:rPr>
            <w:fldChar w:fldCharType="end"/>
          </w:r>
          <w:r/>
        </w:p>
        <w:p>
          <w:pPr>
            <w:pStyle w:val="983"/>
            <w:jc w:val="center"/>
            <w:spacing w:line="480" w:lineRule="auto"/>
            <w:tabs>
              <w:tab w:val="right" w:pos="9740" w:leader="dot"/>
            </w:tabs>
            <w:rPr>
              <w:rFonts w:ascii="宋体" w:hAnsi="宋体" w:cs="宋体"/>
              <w:bCs/>
              <w:color w:val="auto"/>
              <w:szCs w:val="28"/>
              <w:highlight w:val="none"/>
            </w:rPr>
          </w:pPr>
          <w:r>
            <w:rPr>
              <w:rFonts w:hint="eastAsia" w:ascii="宋体" w:hAnsi="宋体" w:cs="宋体"/>
              <w:b/>
              <w:bCs/>
              <w:color w:val="auto"/>
              <w:sz w:val="22"/>
              <w:szCs w:val="32"/>
              <w:highlight w:val="none"/>
            </w:rPr>
            <w:fldChar w:fldCharType="end"/>
          </w:r>
          <w:r/>
        </w:p>
      </w:sdtContent>
    </w:sdt>
    <w:p>
      <w:pPr>
        <w:jc w:val="center"/>
        <w:rPr>
          <w:rFonts w:ascii="宋体" w:hAnsi="宋体" w:cs="宋体"/>
          <w:bCs/>
          <w:color w:val="auto"/>
          <w:szCs w:val="28"/>
          <w:highlight w:val="none"/>
        </w:rPr>
      </w:pPr>
      <w:r>
        <w:rPr>
          <w:rFonts w:ascii="宋体" w:hAnsi="宋体" w:cs="宋体"/>
          <w:bCs/>
          <w:color w:val="auto"/>
          <w:szCs w:val="28"/>
          <w:highlight w:val="none"/>
        </w:rPr>
      </w:r>
      <w:r/>
    </w:p>
    <w:p>
      <w:pPr>
        <w:jc w:val="left"/>
        <w:tabs>
          <w:tab w:val="left" w:pos="1445" w:leader="none"/>
        </w:tabs>
        <w:rPr>
          <w:rFonts w:ascii="宋体" w:hAnsi="宋体" w:cs="宋体"/>
          <w:b/>
          <w:bCs/>
          <w:color w:val="auto"/>
          <w:sz w:val="24"/>
          <w:szCs w:val="28"/>
          <w:highlight w:val="none"/>
        </w:rPr>
      </w:pPr>
      <w:r>
        <w:rPr>
          <w:rFonts w:hint="eastAsia" w:ascii="宋体" w:hAnsi="宋体" w:cs="宋体"/>
          <w:b/>
          <w:bCs/>
          <w:color w:val="auto"/>
          <w:sz w:val="24"/>
          <w:szCs w:val="28"/>
          <w:highlight w:val="none"/>
        </w:rPr>
        <w:tab/>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rPr>
          <w:rFonts w:ascii="宋体" w:hAnsi="宋体" w:cs="宋体"/>
          <w:b/>
          <w:bCs/>
          <w:color w:val="auto"/>
          <w:sz w:val="24"/>
          <w:szCs w:val="28"/>
          <w:highlight w:val="none"/>
        </w:rPr>
      </w:pPr>
      <w:r>
        <w:rPr>
          <w:rFonts w:ascii="宋体" w:hAnsi="宋体" w:cs="宋体"/>
          <w:b/>
          <w:bCs/>
          <w:color w:val="auto"/>
          <w:sz w:val="24"/>
          <w:szCs w:val="28"/>
          <w:highlight w:val="none"/>
        </w:rPr>
      </w:r>
      <w:r/>
    </w:p>
    <w:p>
      <w:pPr>
        <w:jc w:val="center"/>
        <w:keepLines/>
        <w:keepNext/>
        <w:pageBreakBefore/>
        <w:rPr>
          <w:rStyle w:val="990"/>
          <w:color w:val="auto"/>
          <w:sz w:val="32"/>
          <w:highlight w:val="none"/>
        </w:rPr>
        <w:outlineLvl w:val="0"/>
      </w:pPr>
      <w:r/>
      <w:bookmarkStart w:id="1" w:name="_Toc514054470"/>
      <w:r/>
      <w:bookmarkStart w:id="2" w:name="_Toc27317"/>
      <w:r/>
      <w:bookmarkStart w:id="3" w:name="_Toc32256"/>
      <w:r>
        <w:rPr>
          <w:rStyle w:val="990"/>
          <w:rFonts w:hint="eastAsia"/>
          <w:color w:val="auto"/>
          <w:highlight w:val="none"/>
        </w:rPr>
        <w:t xml:space="preserve">第一部分招标公告</w:t>
      </w:r>
      <w:bookmarkEnd w:id="1"/>
      <w:r/>
      <w:bookmarkEnd w:id="2"/>
      <w:r/>
      <w:bookmarkEnd w:id="3"/>
      <w:r/>
      <w:r/>
    </w:p>
    <w:tbl>
      <w:tblPr>
        <w:tblStyle w:val="977"/>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24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南京信息工程大学混合信号测试应用开发套件采购项目的潜在投标人应在</w:t>
            </w:r>
            <w:r>
              <w:rPr>
                <w:rFonts w:hint="eastAsia" w:ascii="宋体" w:hAnsi="宋体" w:cs="宋体"/>
                <w:color w:val="auto"/>
                <w:sz w:val="24"/>
                <w:highlight w:val="none"/>
                <w:u w:val="single"/>
              </w:rPr>
              <w:t xml:space="preserve">“江苏政府采购网苏采云系统”</w:t>
            </w:r>
            <w:r>
              <w:rPr>
                <w:rFonts w:hint="eastAsia" w:ascii="宋体" w:hAnsi="宋体" w:cs="宋体"/>
                <w:color w:val="auto"/>
                <w:sz w:val="24"/>
                <w:szCs w:val="24"/>
                <w:highlight w:val="none"/>
              </w:rPr>
              <w:t xml:space="preserve">获取招标文件，并于2026年7月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日14点00分（北京时间）前递交投标文件。</w:t>
            </w:r>
            <w:r/>
          </w:p>
        </w:tc>
      </w:tr>
    </w:tbl>
    <w:p>
      <w:pPr>
        <w:pStyle w:val="991"/>
        <w:ind w:firstLine="480"/>
        <w:spacing w:line="312" w:lineRule="auto"/>
        <w:tabs>
          <w:tab w:val="left" w:pos="1134" w:leader="none"/>
          <w:tab w:val="left" w:pos="5612" w:leader="none"/>
        </w:tabs>
        <w:rPr>
          <w:rFonts w:ascii="宋体" w:hAnsi="宋体" w:cs="宋体"/>
          <w:color w:val="auto"/>
          <w:sz w:val="24"/>
          <w:szCs w:val="24"/>
          <w:highlight w:val="none"/>
        </w:rPr>
        <w:outlineLvl w:val="1"/>
      </w:pPr>
      <w:r/>
      <w:bookmarkStart w:id="4" w:name="_Toc2298"/>
      <w:r/>
      <w:bookmarkStart w:id="5" w:name="_Toc7588"/>
      <w:r/>
      <w:bookmarkStart w:id="6" w:name="_Toc29050"/>
      <w:r>
        <w:rPr>
          <w:rFonts w:hint="eastAsia" w:ascii="宋体" w:hAnsi="宋体" w:cs="宋体"/>
          <w:b/>
          <w:bCs/>
          <w:color w:val="auto"/>
          <w:sz w:val="24"/>
          <w:szCs w:val="24"/>
          <w:highlight w:val="none"/>
        </w:rPr>
        <w:t xml:space="preserve">一、项目基本情况</w:t>
      </w:r>
      <w:bookmarkEnd w:id="4"/>
      <w:r/>
      <w:bookmarkEnd w:id="5"/>
      <w:r/>
      <w:bookmarkEnd w:id="6"/>
      <w:r>
        <w:rPr>
          <w:rFonts w:hint="eastAsia" w:ascii="宋体" w:hAnsi="宋体" w:cs="宋体"/>
          <w:color w:val="auto"/>
          <w:sz w:val="24"/>
          <w:szCs w:val="24"/>
          <w:highlight w:val="none"/>
        </w:rPr>
        <w:tab/>
      </w:r>
      <w:r/>
    </w:p>
    <w:p>
      <w:pPr>
        <w:pStyle w:val="991"/>
        <w:ind w:firstLine="960"/>
        <w:spacing w:line="312" w:lineRule="auto"/>
        <w:tabs>
          <w:tab w:val="left" w:pos="1134"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 xml:space="preserve">项目编号：</w:t>
      </w:r>
      <w:r>
        <w:rPr>
          <w:rFonts w:hint="eastAsia" w:ascii="宋体" w:hAnsi="宋体" w:eastAsia="宋体" w:cs="宋体"/>
          <w:color w:val="auto"/>
          <w:sz w:val="24"/>
          <w:szCs w:val="24"/>
          <w:highlight w:val="none"/>
          <w:lang w:val="en-US" w:eastAsia="zh-CN" w:bidi="ar-SA"/>
        </w:rPr>
        <w:t xml:space="preserve">JSZC-320000-JSHY-G2026-0132</w:t>
      </w:r>
      <w:r/>
    </w:p>
    <w:p>
      <w:pPr>
        <w:pStyle w:val="991"/>
        <w:ind w:firstLine="960"/>
        <w:spacing w:line="312" w:lineRule="auto"/>
        <w:tabs>
          <w:tab w:val="left" w:pos="113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项目名称：南京信息工程大学混合信号测试应用开发套件采购项目</w:t>
      </w:r>
      <w:r/>
    </w:p>
    <w:p>
      <w:pPr>
        <w:pStyle w:val="991"/>
        <w:ind w:firstLine="960"/>
        <w:spacing w:line="312" w:lineRule="auto"/>
        <w:tabs>
          <w:tab w:val="left" w:pos="1134"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预算金额：140万元</w:t>
      </w:r>
      <w:r/>
    </w:p>
    <w:p>
      <w:pPr>
        <w:pStyle w:val="991"/>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最高限价（如有）：140万元</w:t>
      </w:r>
      <w:r/>
    </w:p>
    <w:p>
      <w:pPr>
        <w:pStyle w:val="991"/>
        <w:ind w:firstLine="960"/>
        <w:spacing w:line="312" w:lineRule="auto"/>
        <w:tabs>
          <w:tab w:val="left" w:pos="1134" w:leader="none"/>
        </w:tabs>
        <w:rPr>
          <w:color w:val="auto"/>
          <w:highlight w:val="none"/>
        </w:rPr>
      </w:pPr>
      <w:r>
        <w:rPr>
          <w:rFonts w:hint="eastAsia" w:ascii="宋体" w:hAnsi="宋体" w:cs="宋体"/>
          <w:color w:val="auto"/>
          <w:sz w:val="24"/>
          <w:szCs w:val="24"/>
          <w:highlight w:val="none"/>
        </w:rPr>
        <w:t xml:space="preserve">采购需求:</w:t>
      </w:r>
      <w:r/>
    </w:p>
    <w:tbl>
      <w:tblPr>
        <w:tblStyle w:val="977"/>
        <w:tblW w:w="48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3188"/>
        <w:gridCol w:w="1392"/>
        <w:gridCol w:w="2256"/>
        <w:gridCol w:w="1801"/>
      </w:tblGrid>
      <w:tr>
        <w:trPr>
          <w:jc w:val="center"/>
          <w:trHeight w:val="716"/>
        </w:trPr>
        <w:tc>
          <w:tcPr>
            <w:tcW w:w="89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31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37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（批/套）</w:t>
            </w:r>
            <w:r/>
          </w:p>
        </w:tc>
        <w:tc>
          <w:tcPr>
            <w:tcW w:w="223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（万元/人民币）</w:t>
            </w:r>
            <w:r/>
          </w:p>
        </w:tc>
        <w:tc>
          <w:tcPr>
            <w:tcW w:w="178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是否接受进口产品</w:t>
            </w:r>
            <w:r/>
          </w:p>
        </w:tc>
      </w:tr>
      <w:tr>
        <w:trPr>
          <w:jc w:val="center"/>
          <w:trHeight w:val="70"/>
        </w:trPr>
        <w:tc>
          <w:tcPr>
            <w:tcW w:w="89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3152"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混合信号测试应用开发套件</w:t>
            </w:r>
            <w:r/>
          </w:p>
        </w:tc>
        <w:tc>
          <w:tcPr>
            <w:tcW w:w="1376"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23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140.00</w:t>
            </w:r>
            <w:r/>
          </w:p>
        </w:tc>
        <w:tc>
          <w:tcPr>
            <w:tcW w:w="178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否</w:t>
            </w:r>
            <w:r/>
          </w:p>
        </w:tc>
      </w:tr>
    </w:tbl>
    <w:p>
      <w:pPr>
        <w:pStyle w:val="991"/>
        <w:ind w:firstLine="960"/>
        <w:spacing w:line="312" w:lineRule="auto"/>
        <w:tabs>
          <w:tab w:val="left" w:pos="1134" w:leader="none"/>
        </w:tabs>
        <w:rPr>
          <w:rFonts w:ascii="宋体" w:hAnsi="宋体" w:cs="宋体"/>
          <w:color w:val="auto"/>
          <w:sz w:val="24"/>
          <w:szCs w:val="24"/>
          <w:highlight w:val="none"/>
        </w:rPr>
      </w:pPr>
      <w:r>
        <w:rPr>
          <w:rFonts w:ascii="宋体" w:hAnsi="宋体" w:cs="宋体"/>
          <w:color w:val="auto"/>
          <w:sz w:val="24"/>
          <w:szCs w:val="24"/>
          <w:highlight w:val="none"/>
        </w:rPr>
      </w:r>
      <w:r/>
    </w:p>
    <w:p>
      <w:pPr>
        <w:pStyle w:val="991"/>
        <w:ind w:left="630" w:firstLine="24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bookmarkStart w:id="7" w:name="_Toc3038"/>
      <w:r>
        <w:rPr>
          <w:rFonts w:hint="eastAsia" w:ascii="宋体" w:hAnsi="宋体" w:cs="宋体"/>
          <w:color w:val="auto"/>
          <w:sz w:val="24"/>
          <w:szCs w:val="24"/>
          <w:highlight w:val="none"/>
        </w:rPr>
        <w:t xml:space="preserve">自合同正式签署生效起90个工作日内完成，并在采购人指定地点完成本项目的验收交付。</w:t>
      </w:r>
      <w:r/>
    </w:p>
    <w:p>
      <w:pPr>
        <w:pStyle w:val="991"/>
        <w:ind w:firstLine="960"/>
        <w:spacing w:line="312"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本项目（是/否）接受联合体投标：否</w:t>
      </w:r>
      <w:r/>
    </w:p>
    <w:p>
      <w:pPr>
        <w:pStyle w:val="991"/>
        <w:ind w:left="567" w:firstLine="0"/>
        <w:spacing w:line="312" w:lineRule="auto"/>
        <w:tabs>
          <w:tab w:val="left" w:pos="1134" w:leader="none"/>
        </w:tabs>
        <w:rPr>
          <w:rFonts w:ascii="宋体" w:hAnsi="宋体" w:cs="宋体"/>
          <w:b/>
          <w:bCs/>
          <w:color w:val="auto"/>
          <w:sz w:val="24"/>
          <w:szCs w:val="24"/>
          <w:highlight w:val="none"/>
        </w:rPr>
        <w:outlineLvl w:val="1"/>
      </w:pPr>
      <w:r/>
      <w:bookmarkStart w:id="8" w:name="_Toc16192"/>
      <w:r/>
      <w:bookmarkStart w:id="9" w:name="_Toc8033"/>
      <w:r>
        <w:rPr>
          <w:rFonts w:hint="eastAsia" w:ascii="宋体" w:hAnsi="宋体" w:cs="宋体"/>
          <w:b/>
          <w:bCs/>
          <w:color w:val="auto"/>
          <w:sz w:val="24"/>
          <w:szCs w:val="24"/>
          <w:highlight w:val="none"/>
        </w:rPr>
        <w:t xml:space="preserve">二、申请人的资格要求：</w:t>
      </w:r>
      <w:bookmarkEnd w:id="7"/>
      <w:r/>
      <w:bookmarkEnd w:id="8"/>
      <w:r/>
      <w:bookmarkEnd w:id="9"/>
      <w:r/>
      <w:r/>
    </w:p>
    <w:p>
      <w:pPr>
        <w:ind w:firstLine="480"/>
        <w:spacing w:line="360" w:lineRule="auto"/>
        <w:rPr>
          <w:rFonts w:hAnsi="宋体" w:cs="Arial"/>
          <w:color w:val="auto"/>
          <w:sz w:val="24"/>
          <w:szCs w:val="24"/>
          <w:highlight w:val="none"/>
        </w:rPr>
        <w:outlineLvl w:val="2"/>
      </w:pPr>
      <w:r>
        <w:rPr>
          <w:rFonts w:hint="eastAsia" w:hAnsi="宋体" w:cs="Arial"/>
          <w:color w:val="auto"/>
          <w:sz w:val="24"/>
          <w:szCs w:val="24"/>
          <w:highlight w:val="none"/>
        </w:rPr>
        <w:t xml:space="preserve">（一）满足《中华人民共和国政府采购法》第二十二条规定；</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w:t>
      </w:r>
      <w:bookmarkStart w:id="10" w:name="OLE_LINK17"/>
      <w:r>
        <w:rPr>
          <w:rFonts w:hint="eastAsia" w:ascii="宋体" w:hAnsi="宋体"/>
          <w:color w:val="auto"/>
          <w:sz w:val="24"/>
          <w:szCs w:val="24"/>
          <w:highlight w:val="none"/>
        </w:rPr>
        <w:t xml:space="preserve">具有独立承担民事责任的能力（法人或者其他组织的营业执照等证明文件，自然人的身份证明）。</w:t>
      </w:r>
      <w:bookmarkEnd w:id="10"/>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2.</w:t>
      </w:r>
      <w:bookmarkStart w:id="11" w:name="OLE_LINK6"/>
      <w:r/>
      <w:bookmarkStart w:id="12" w:name="OLE_LINK18"/>
      <w:r>
        <w:rPr>
          <w:rFonts w:hint="eastAsia" w:ascii="宋体" w:hAnsi="宋体"/>
          <w:color w:val="auto"/>
          <w:sz w:val="24"/>
          <w:szCs w:val="24"/>
          <w:highlight w:val="none"/>
        </w:rPr>
        <w:t xml:space="preserve">具有良好的商业信誉和健全的财务会计制度（提供2025年度财务报告，至少包含资产负债表、利润表；或投标截止时间前六个月内银行出具的资信证明；成立不满一年无须提供）</w:t>
      </w:r>
      <w:bookmarkEnd w:id="11"/>
      <w:r>
        <w:rPr>
          <w:rFonts w:hint="eastAsia" w:ascii="宋体" w:hAnsi="宋体"/>
          <w:color w:val="auto"/>
          <w:sz w:val="24"/>
          <w:szCs w:val="24"/>
          <w:highlight w:val="none"/>
        </w:rPr>
        <w:t xml:space="preserve">。</w:t>
      </w:r>
      <w:bookmarkEnd w:id="12"/>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3.</w:t>
      </w:r>
      <w:bookmarkStart w:id="13" w:name="OLE_LINK7"/>
      <w:r/>
      <w:bookmarkStart w:id="14" w:name="OLE_LINK19"/>
      <w:r>
        <w:rPr>
          <w:rFonts w:hint="eastAsia" w:ascii="宋体" w:hAnsi="宋体"/>
          <w:color w:val="auto"/>
          <w:sz w:val="24"/>
          <w:szCs w:val="24"/>
          <w:highlight w:val="none"/>
        </w:rPr>
        <w:t xml:space="preserve">具有履行合同所必需的设备和专业技术能力（提供书面声明）</w:t>
      </w:r>
      <w:bookmarkEnd w:id="13"/>
      <w:r>
        <w:rPr>
          <w:rFonts w:hint="eastAsia" w:ascii="宋体" w:hAnsi="宋体"/>
          <w:color w:val="auto"/>
          <w:sz w:val="24"/>
          <w:szCs w:val="24"/>
          <w:highlight w:val="none"/>
        </w:rPr>
        <w:t xml:space="preserve">。</w:t>
      </w:r>
      <w:bookmarkEnd w:id="14"/>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4.</w:t>
      </w:r>
      <w:bookmarkStart w:id="15" w:name="OLE_LINK8"/>
      <w:r/>
      <w:bookmarkStart w:id="16" w:name="OLE_LINK20"/>
      <w:r>
        <w:rPr>
          <w:rFonts w:hint="eastAsia" w:ascii="宋体" w:hAnsi="宋体"/>
          <w:color w:val="auto"/>
          <w:sz w:val="24"/>
          <w:szCs w:val="24"/>
          <w:highlight w:val="none"/>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color w:val="auto"/>
          <w:sz w:val="24"/>
          <w:szCs w:val="24"/>
          <w:highlight w:val="none"/>
        </w:rPr>
        <w:t xml:space="preserve">。</w:t>
      </w:r>
      <w:bookmarkEnd w:id="16"/>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5.</w:t>
      </w:r>
      <w:bookmarkStart w:id="17" w:name="OLE_LINK11"/>
      <w:r/>
      <w:bookmarkStart w:id="18" w:name="OLE_LINK21"/>
      <w:r>
        <w:rPr>
          <w:rFonts w:hint="eastAsia" w:ascii="宋体" w:hAnsi="宋体"/>
          <w:color w:val="auto"/>
          <w:sz w:val="24"/>
          <w:szCs w:val="24"/>
          <w:highlight w:val="none"/>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color w:val="auto"/>
          <w:sz w:val="24"/>
          <w:szCs w:val="24"/>
          <w:highlight w:val="none"/>
        </w:rPr>
        <w:t xml:space="preserve">。</w:t>
      </w:r>
      <w:bookmarkEnd w:id="18"/>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6.</w:t>
      </w:r>
      <w:bookmarkStart w:id="19" w:name="OLE_LINK22"/>
      <w:r>
        <w:rPr>
          <w:rFonts w:hint="eastAsia" w:ascii="宋体" w:hAnsi="宋体"/>
          <w:color w:val="auto"/>
          <w:sz w:val="24"/>
          <w:szCs w:val="24"/>
          <w:highlight w:val="none"/>
        </w:rPr>
        <w:t xml:space="preserve">法律、行政法规规定的其他条件。</w:t>
      </w:r>
      <w:bookmarkEnd w:id="19"/>
      <w:r/>
      <w:r/>
    </w:p>
    <w:p>
      <w:pPr>
        <w:pStyle w:val="989"/>
        <w:ind w:right="476" w:firstLine="720"/>
        <w:spacing w:before="1" w:line="406" w:lineRule="auto"/>
        <w:rPr>
          <w:rFonts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（二）落实政府采购政策满足的资格要求：</w:t>
      </w:r>
      <w:r/>
    </w:p>
    <w:p>
      <w:pPr>
        <w:pStyle w:val="992"/>
        <w:ind w:left="709" w:firstLine="48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本项目属于专门面向中小企业采购的项目，供应商需提供《中小企业声明函》，否则作无效响应文件处理。本项目所属行业为工业。</w:t>
      </w:r>
      <w:r/>
    </w:p>
    <w:p>
      <w:pPr>
        <w:pStyle w:val="992"/>
        <w:ind w:left="709" w:firstLine="0"/>
        <w:spacing w:line="329" w:lineRule="auto"/>
        <w:rPr>
          <w:rFonts w:ascii="宋体" w:hAnsi="宋体" w:cs="宋体"/>
          <w:color w:val="auto"/>
          <w:sz w:val="24"/>
          <w:szCs w:val="24"/>
          <w:highlight w:val="none"/>
        </w:rPr>
        <w:outlineLvl w:val="2"/>
      </w:pPr>
      <w:r>
        <w:rPr>
          <w:rFonts w:hint="eastAsia" w:ascii="宋体" w:hAnsi="宋体" w:cs="宋体"/>
          <w:color w:val="auto"/>
          <w:sz w:val="24"/>
          <w:szCs w:val="24"/>
          <w:highlight w:val="none"/>
        </w:rPr>
        <w:t xml:space="preserve">（三）本项目的特定资格要求：</w:t>
      </w:r>
      <w:r/>
    </w:p>
    <w:p>
      <w:pPr>
        <w:ind w:left="1134"/>
        <w:spacing w:line="329" w:lineRule="auto"/>
        <w:rPr>
          <w:rFonts w:ascii="宋体" w:hAnsi="宋体"/>
          <w:color w:val="auto"/>
          <w:sz w:val="24"/>
          <w:szCs w:val="24"/>
          <w:highlight w:val="none"/>
        </w:rPr>
      </w:pPr>
      <w:r/>
      <w:bookmarkStart w:id="20" w:name="OLE_LINK28"/>
      <w:r>
        <w:rPr>
          <w:rFonts w:hint="eastAsia" w:ascii="宋体" w:hAnsi="宋体"/>
          <w:color w:val="auto"/>
          <w:sz w:val="24"/>
          <w:szCs w:val="24"/>
          <w:highlight w:val="none"/>
        </w:rPr>
        <w:t xml:space="preserve">1.拒绝下述供应商参加本次采购活动的情形：</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1.1.供应商单位负责人为同一人或者存在直接控股、管理关系的不同供应商，不得参加同一合同项下的政府采购活动。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1.2.凡为采购项目提供整体设计、规范编制或者项目管理、监理、检测等服务的供应商，不得再参加本项目的采购活动。</w:t>
      </w:r>
      <w:r/>
    </w:p>
    <w:p>
      <w:pPr>
        <w:ind w:left="1134"/>
        <w:spacing w:line="329" w:lineRule="auto"/>
        <w:rPr>
          <w:rFonts w:ascii="宋体" w:hAnsi="宋体"/>
          <w:color w:val="auto"/>
          <w:sz w:val="24"/>
          <w:szCs w:val="24"/>
          <w:highlight w:val="none"/>
        </w:rPr>
      </w:pPr>
      <w:r>
        <w:rPr>
          <w:rFonts w:hint="eastAsia" w:ascii="宋体" w:hAnsi="宋体"/>
          <w:color w:val="auto"/>
          <w:sz w:val="24"/>
          <w:szCs w:val="24"/>
          <w:highlight w:val="none"/>
        </w:rPr>
        <w:t xml:space="preserve">1.3.拒绝列入失信被执行人、重大税收违法案件当事人名单、政府采购严重违法失信行为记录名单的供应商参与政府采购活动。</w:t>
      </w:r>
      <w:bookmarkEnd w:id="20"/>
      <w:r/>
      <w:r/>
    </w:p>
    <w:p>
      <w:pPr>
        <w:pStyle w:val="992"/>
        <w:spacing w:line="360" w:lineRule="auto"/>
        <w:rPr>
          <w:rFonts w:ascii="宋体" w:hAnsi="宋体" w:cs="宋体"/>
          <w:b/>
          <w:bCs/>
          <w:color w:val="auto"/>
          <w:sz w:val="24"/>
          <w:szCs w:val="24"/>
          <w:highlight w:val="none"/>
        </w:rPr>
        <w:outlineLvl w:val="1"/>
      </w:pPr>
      <w:r/>
      <w:bookmarkStart w:id="21" w:name="_Toc26697"/>
      <w:r/>
      <w:bookmarkStart w:id="22" w:name="_Toc1979"/>
      <w:r/>
      <w:bookmarkStart w:id="23" w:name="_Toc13339"/>
      <w:r>
        <w:rPr>
          <w:rFonts w:hint="eastAsia" w:ascii="宋体" w:hAnsi="宋体" w:cs="宋体"/>
          <w:b/>
          <w:bCs/>
          <w:color w:val="auto"/>
          <w:sz w:val="24"/>
          <w:szCs w:val="24"/>
          <w:highlight w:val="none"/>
        </w:rPr>
        <w:t xml:space="preserve">三、获取招标文件</w:t>
      </w:r>
      <w:bookmarkEnd w:id="21"/>
      <w:r/>
      <w:bookmarkEnd w:id="22"/>
      <w:r/>
      <w:bookmarkEnd w:id="23"/>
      <w:r/>
      <w:r/>
    </w:p>
    <w:p>
      <w:pPr>
        <w:pStyle w:val="992"/>
        <w:ind w:left="84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1、时间：自公告发布之日起5个工作日。</w:t>
      </w:r>
      <w:r/>
    </w:p>
    <w:p>
      <w:pPr>
        <w:ind w:firstLine="1262"/>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2、地点：</w:t>
      </w:r>
      <w:r>
        <w:rPr>
          <w:rFonts w:hint="eastAsia" w:ascii="宋体" w:hAnsi="宋体" w:cs="宋体"/>
          <w:color w:val="auto"/>
          <w:sz w:val="24"/>
          <w:highlight w:val="none"/>
        </w:rPr>
        <w:t xml:space="preserve">“江苏政府采购网苏采云系统”</w:t>
      </w:r>
      <w:r/>
    </w:p>
    <w:p>
      <w:pPr>
        <w:ind w:firstLine="1262"/>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3、方式：本项目采用网上注册登记方式免费获取。</w:t>
      </w:r>
      <w:r/>
    </w:p>
    <w:p>
      <w:pPr>
        <w:pStyle w:val="991"/>
        <w:ind w:left="709" w:firstLine="0"/>
        <w:spacing w:line="360" w:lineRule="auto"/>
        <w:tabs>
          <w:tab w:val="left" w:pos="1134" w:leader="none"/>
        </w:tabs>
        <w:rPr>
          <w:rFonts w:ascii="宋体" w:hAnsi="宋体" w:cs="宋体"/>
          <w:b/>
          <w:bCs/>
          <w:color w:val="auto"/>
          <w:sz w:val="24"/>
          <w:szCs w:val="24"/>
          <w:highlight w:val="none"/>
        </w:rPr>
        <w:outlineLvl w:val="1"/>
      </w:pPr>
      <w:r/>
      <w:bookmarkStart w:id="24" w:name="_Toc12587"/>
      <w:r/>
      <w:bookmarkStart w:id="25" w:name="_Toc28083"/>
      <w:r/>
      <w:bookmarkStart w:id="26" w:name="_Toc2291"/>
      <w:r>
        <w:rPr>
          <w:rFonts w:hint="eastAsia" w:ascii="宋体" w:hAnsi="宋体" w:cs="宋体"/>
          <w:b/>
          <w:bCs/>
          <w:color w:val="auto"/>
          <w:sz w:val="24"/>
          <w:szCs w:val="24"/>
          <w:highlight w:val="none"/>
        </w:rPr>
        <w:t xml:space="preserve">四、提交投标文件截止时间、开标时间和地点</w:t>
      </w:r>
      <w:bookmarkEnd w:id="24"/>
      <w:r/>
      <w:bookmarkEnd w:id="25"/>
      <w:r/>
      <w:bookmarkEnd w:id="26"/>
      <w:r/>
      <w:r/>
    </w:p>
    <w:p>
      <w:pPr>
        <w:pStyle w:val="991"/>
        <w:ind w:left="1134" w:firstLine="0"/>
        <w:spacing w:line="360" w:lineRule="auto"/>
        <w:tabs>
          <w:tab w:val="left" w:pos="1134" w:leader="none"/>
        </w:tabs>
        <w:rPr>
          <w:rFonts w:ascii="宋体" w:hAnsi="宋体" w:cs="宋体"/>
          <w:color w:val="auto"/>
          <w:sz w:val="24"/>
          <w:szCs w:val="24"/>
          <w:highlight w:val="none"/>
        </w:rPr>
      </w:pPr>
      <w:r>
        <w:rPr>
          <w:rFonts w:hint="eastAsia" w:ascii="宋体" w:hAnsi="宋体" w:cs="宋体"/>
          <w:bCs/>
          <w:color w:val="auto"/>
          <w:sz w:val="24"/>
          <w:szCs w:val="20"/>
          <w:highlight w:val="none"/>
        </w:rPr>
        <w:t xml:space="preserve">投标文件截止时间及开标时间：</w:t>
      </w:r>
      <w:r>
        <w:rPr>
          <w:rFonts w:hint="eastAsia" w:ascii="宋体" w:hAnsi="宋体" w:cs="宋体"/>
          <w:color w:val="auto"/>
          <w:sz w:val="24"/>
          <w:szCs w:val="24"/>
          <w:highlight w:val="none"/>
        </w:rPr>
        <w:t xml:space="preserve">2026年7月</w:t>
      </w: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日14点00分（北京时间）</w:t>
      </w:r>
      <w:r/>
    </w:p>
    <w:p>
      <w:pPr>
        <w:pStyle w:val="991"/>
        <w:ind w:left="1134" w:firstLine="0"/>
        <w:spacing w:line="360" w:lineRule="auto"/>
        <w:tabs>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地点：</w:t>
      </w:r>
      <w:r>
        <w:rPr>
          <w:rFonts w:hint="eastAsia" w:ascii="宋体" w:hAnsi="宋体" w:cs="宋体"/>
          <w:color w:val="auto"/>
          <w:sz w:val="24"/>
          <w:highlight w:val="none"/>
        </w:rPr>
        <w:t xml:space="preserve">“苏采云”政府采购交易系统网上开标大厅。</w:t>
      </w:r>
      <w:r/>
    </w:p>
    <w:p>
      <w:pPr>
        <w:pStyle w:val="991"/>
        <w:ind w:left="708" w:firstLine="0"/>
        <w:spacing w:line="312" w:lineRule="auto"/>
        <w:tabs>
          <w:tab w:val="left" w:pos="1134" w:leader="none"/>
        </w:tabs>
        <w:rPr>
          <w:rFonts w:ascii="宋体" w:hAnsi="宋体" w:cs="宋体"/>
          <w:b/>
          <w:bCs/>
          <w:color w:val="auto"/>
          <w:sz w:val="24"/>
          <w:szCs w:val="24"/>
          <w:highlight w:val="none"/>
        </w:rPr>
        <w:outlineLvl w:val="1"/>
      </w:pPr>
      <w:r/>
      <w:bookmarkStart w:id="27" w:name="_Toc5544"/>
      <w:r/>
      <w:bookmarkStart w:id="28" w:name="_Toc8288"/>
      <w:r/>
      <w:bookmarkStart w:id="29" w:name="_Toc19411"/>
      <w:r>
        <w:rPr>
          <w:rFonts w:hint="eastAsia" w:ascii="宋体" w:hAnsi="宋体" w:cs="宋体"/>
          <w:b/>
          <w:bCs/>
          <w:color w:val="auto"/>
          <w:sz w:val="24"/>
          <w:szCs w:val="24"/>
          <w:highlight w:val="none"/>
        </w:rPr>
        <w:t xml:space="preserve">五、公告期限</w:t>
      </w:r>
      <w:bookmarkEnd w:id="27"/>
      <w:r/>
      <w:bookmarkEnd w:id="28"/>
      <w:r/>
      <w:bookmarkEnd w:id="29"/>
      <w:r/>
      <w:r/>
    </w:p>
    <w:p>
      <w:pPr>
        <w:pStyle w:val="991"/>
        <w:ind w:firstLine="1200"/>
        <w:spacing w:line="312" w:lineRule="auto"/>
        <w:tabs>
          <w:tab w:val="left" w:pos="1276"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pStyle w:val="991"/>
        <w:numPr>
          <w:ilvl w:val="0"/>
          <w:numId w:val="1"/>
        </w:numPr>
        <w:ind w:left="709" w:firstLine="0"/>
        <w:spacing w:line="360" w:lineRule="exact"/>
        <w:tabs>
          <w:tab w:val="left" w:pos="1134" w:leader="none"/>
        </w:tabs>
        <w:rPr>
          <w:rFonts w:ascii="宋体" w:hAnsi="宋体" w:cs="宋体"/>
          <w:b/>
          <w:bCs/>
          <w:color w:val="auto"/>
          <w:sz w:val="24"/>
          <w:szCs w:val="24"/>
          <w:highlight w:val="none"/>
        </w:rPr>
        <w:outlineLvl w:val="1"/>
      </w:pPr>
      <w:r/>
      <w:bookmarkStart w:id="30" w:name="_Toc15265"/>
      <w:r/>
      <w:bookmarkStart w:id="31" w:name="_Toc12845"/>
      <w:r/>
      <w:bookmarkStart w:id="32" w:name="_Toc12830"/>
      <w:r>
        <w:rPr>
          <w:rFonts w:hint="eastAsia" w:ascii="宋体" w:hAnsi="宋体" w:cs="宋体"/>
          <w:b/>
          <w:bCs/>
          <w:color w:val="auto"/>
          <w:sz w:val="24"/>
          <w:szCs w:val="24"/>
          <w:highlight w:val="none"/>
        </w:rPr>
        <w:t xml:space="preserve">其他补充事宜</w:t>
      </w:r>
      <w:bookmarkEnd w:id="30"/>
      <w:r/>
      <w:bookmarkEnd w:id="31"/>
      <w:r/>
      <w:bookmarkEnd w:id="32"/>
      <w:r/>
      <w:r/>
    </w:p>
    <w:p>
      <w:pPr>
        <w:ind w:firstLine="964"/>
        <w:spacing w:line="360" w:lineRule="auto"/>
        <w:rPr>
          <w:rFonts w:ascii="宋体" w:hAnsi="宋体" w:cs="宋体"/>
          <w:b/>
          <w:color w:val="auto"/>
          <w:sz w:val="24"/>
          <w:szCs w:val="24"/>
          <w:highlight w:val="none"/>
        </w:rPr>
      </w:pPr>
      <w:r/>
      <w:bookmarkStart w:id="33" w:name="_Toc10479"/>
      <w:r>
        <w:rPr>
          <w:rFonts w:hint="eastAsia" w:ascii="宋体" w:hAnsi="宋体" w:cs="宋体"/>
          <w:b/>
          <w:color w:val="auto"/>
          <w:sz w:val="24"/>
          <w:szCs w:val="24"/>
          <w:highlight w:val="none"/>
        </w:rPr>
        <w:t xml:space="preserve">1、潜在供应商访问政府采购管理交易系统（苏采云）的网络地址和方法：</w:t>
      </w:r>
      <w:r/>
    </w:p>
    <w:p>
      <w:pPr>
        <w:ind w:left="218"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（3）“CA数字证书”的办理材料以及供应商操作手册详见：http://jsxcmm.com/help/gys.html。</w:t>
      </w:r>
      <w:r/>
    </w:p>
    <w:p>
      <w:pPr>
        <w:ind w:left="218"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（4）潜在供应商访问“苏采云”系统的网络地址和方法：“苏采云”系统的网址：http://jszfcg.jsczt.cn/jszc/login。</w:t>
      </w:r>
      <w:r/>
    </w:p>
    <w:p>
      <w:pPr>
        <w:ind w:left="218"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（6）招标代理机构（采购代理机构）将数据电文形式的采购文件加载至“苏采云”系统，供潜在供应商下载或者查阅。    </w:t>
      </w:r>
      <w:r/>
    </w:p>
    <w:p>
      <w:pPr>
        <w:ind w:firstLine="7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（7）苏采云系统使用谷歌浏览器参与不见面开标。</w:t>
      </w:r>
      <w:r/>
    </w:p>
    <w:p>
      <w:pPr>
        <w:ind w:firstLine="723"/>
        <w:spacing w:line="360" w:lineRule="auto"/>
        <w:rPr>
          <w:rFonts w:ascii="宋体" w:hAnsi="宋体" w:cs="宋体"/>
          <w:b/>
          <w:bCs/>
          <w:color w:val="auto"/>
          <w:sz w:val="24"/>
          <w:szCs w:val="24"/>
          <w:highlight w:val="none"/>
        </w:rPr>
      </w:pPr>
      <w:r>
        <w:rPr>
          <w:rFonts w:hint="eastAsia" w:ascii="宋体" w:hAnsi="宋体" w:cs="宋体"/>
          <w:b/>
          <w:color w:val="auto"/>
          <w:sz w:val="24"/>
          <w:szCs w:val="24"/>
          <w:highlight w:val="none"/>
        </w:rPr>
        <w:t xml:space="preserve">2.有关本次采购的事项若存在变动或修改，敬请及时关注“江苏政府采购网”发布的信息。</w:t>
      </w:r>
      <w:r/>
    </w:p>
    <w:p>
      <w:pPr>
        <w:pStyle w:val="991"/>
        <w:ind w:left="709" w:firstLine="0"/>
        <w:spacing w:line="360" w:lineRule="auto"/>
        <w:tabs>
          <w:tab w:val="left" w:pos="1134" w:leader="none"/>
        </w:tabs>
        <w:rPr>
          <w:rFonts w:ascii="宋体" w:hAnsi="宋体" w:cs="宋体"/>
          <w:b/>
          <w:bCs/>
          <w:color w:val="auto"/>
          <w:sz w:val="24"/>
          <w:szCs w:val="24"/>
          <w:highlight w:val="none"/>
        </w:rPr>
        <w:outlineLvl w:val="1"/>
      </w:pPr>
      <w:r/>
      <w:bookmarkStart w:id="34" w:name="_Toc26301"/>
      <w:r/>
      <w:bookmarkStart w:id="35" w:name="_Toc24284"/>
      <w:r>
        <w:rPr>
          <w:rFonts w:hint="eastAsia" w:ascii="宋体" w:hAnsi="宋体" w:cs="宋体"/>
          <w:b/>
          <w:bCs/>
          <w:color w:val="auto"/>
          <w:sz w:val="24"/>
          <w:szCs w:val="24"/>
          <w:highlight w:val="none"/>
        </w:rPr>
        <w:t xml:space="preserve">七、对本次招标提出询问，请按以下方式联系。</w:t>
      </w:r>
      <w:bookmarkEnd w:id="33"/>
      <w:r/>
      <w:bookmarkEnd w:id="34"/>
      <w:r/>
      <w:bookmarkEnd w:id="35"/>
      <w:r/>
      <w:r/>
    </w:p>
    <w:p>
      <w:pPr>
        <w:pStyle w:val="993"/>
        <w:ind w:firstLine="720"/>
        <w:spacing w:before="0" w:beforeAutospacing="0" w:after="0" w:afterAutospacing="0" w:line="360" w:lineRule="auto"/>
        <w:rPr>
          <w:rFonts w:hAnsi="宋体" w:cs="宋体"/>
          <w:color w:val="auto"/>
          <w:szCs w:val="24"/>
          <w:highlight w:val="none"/>
        </w:rPr>
        <w:outlineLvl w:val="1"/>
      </w:pPr>
      <w:r/>
      <w:bookmarkStart w:id="36" w:name="_Toc5336"/>
      <w:r/>
      <w:bookmarkStart w:id="37" w:name="_Toc11624"/>
      <w:r/>
      <w:bookmarkStart w:id="38" w:name="_Toc25617"/>
      <w:r>
        <w:rPr>
          <w:rFonts w:hint="eastAsia" w:hAnsi="宋体" w:cs="宋体"/>
          <w:color w:val="auto"/>
          <w:szCs w:val="24"/>
          <w:highlight w:val="none"/>
        </w:rPr>
        <w:t xml:space="preserve">1.采购人信息</w:t>
      </w:r>
      <w:bookmarkEnd w:id="36"/>
      <w:r/>
      <w:r/>
    </w:p>
    <w:p>
      <w:pPr>
        <w:pStyle w:val="993"/>
        <w:ind w:firstLine="720"/>
        <w:spacing w:before="0" w:beforeAutospacing="0" w:after="0" w:afterAutospacing="0" w:line="360" w:lineRule="auto"/>
        <w:rPr>
          <w:rFonts w:hAnsi="宋体" w:cs="宋体"/>
          <w:color w:val="auto"/>
          <w:szCs w:val="24"/>
          <w:highlight w:val="none"/>
        </w:rPr>
        <w:outlineLvl w:val="1"/>
      </w:pPr>
      <w:r/>
      <w:bookmarkStart w:id="39" w:name="_Toc29917"/>
      <w:r>
        <w:rPr>
          <w:rFonts w:hint="eastAsia" w:hAnsi="宋体" w:cs="宋体"/>
          <w:color w:val="auto"/>
          <w:szCs w:val="24"/>
          <w:highlight w:val="none"/>
        </w:rPr>
        <w:t xml:space="preserve">名称：南京信息工程大学</w:t>
      </w:r>
      <w:r/>
    </w:p>
    <w:p>
      <w:pPr>
        <w:pStyle w:val="993"/>
        <w:ind w:firstLine="720"/>
        <w:spacing w:before="0" w:beforeAutospacing="0" w:after="0" w:afterAutospacing="0" w:line="360" w:lineRule="auto"/>
        <w:rPr>
          <w:rFonts w:hAnsi="宋体" w:cs="宋体"/>
          <w:color w:val="auto"/>
          <w:szCs w:val="24"/>
          <w:highlight w:val="none"/>
        </w:rPr>
        <w:outlineLvl w:val="1"/>
      </w:pPr>
      <w:r>
        <w:rPr>
          <w:rFonts w:hint="eastAsia" w:hAnsi="宋体" w:cs="宋体"/>
          <w:color w:val="auto"/>
          <w:szCs w:val="24"/>
          <w:highlight w:val="none"/>
        </w:rPr>
        <w:t xml:space="preserve">地址：南京市宁六路219号</w:t>
      </w:r>
      <w:r/>
    </w:p>
    <w:p>
      <w:pPr>
        <w:pStyle w:val="993"/>
        <w:ind w:firstLine="720"/>
        <w:spacing w:before="0" w:beforeAutospacing="0" w:after="0" w:afterAutospacing="0" w:line="360" w:lineRule="auto"/>
        <w:rPr>
          <w:rFonts w:hAnsi="宋体" w:cs="宋体"/>
          <w:color w:val="auto"/>
          <w:szCs w:val="24"/>
          <w:highlight w:val="none"/>
        </w:rPr>
        <w:outlineLvl w:val="1"/>
      </w:pPr>
      <w:r>
        <w:rPr>
          <w:rFonts w:hint="eastAsia" w:hAnsi="宋体" w:cs="宋体"/>
          <w:color w:val="auto"/>
          <w:szCs w:val="24"/>
          <w:highlight w:val="none"/>
        </w:rPr>
        <w:t xml:space="preserve">联系电话：025-58235570</w:t>
      </w:r>
      <w:r/>
    </w:p>
    <w:p>
      <w:pPr>
        <w:pStyle w:val="993"/>
        <w:ind w:firstLine="720"/>
        <w:spacing w:before="0" w:beforeAutospacing="0" w:after="0" w:afterAutospacing="0" w:line="360" w:lineRule="auto"/>
        <w:rPr>
          <w:rFonts w:hAnsi="宋体" w:cs="宋体"/>
          <w:color w:val="auto"/>
          <w:szCs w:val="24"/>
          <w:highlight w:val="none"/>
        </w:rPr>
        <w:outlineLvl w:val="1"/>
      </w:pPr>
      <w:r>
        <w:rPr>
          <w:rFonts w:hint="eastAsia" w:hAnsi="宋体" w:cs="宋体"/>
          <w:color w:val="auto"/>
          <w:szCs w:val="24"/>
          <w:highlight w:val="none"/>
        </w:rPr>
        <w:t xml:space="preserve">2.采购代理机构信息</w:t>
      </w:r>
      <w:bookmarkEnd w:id="37"/>
      <w:r/>
      <w:bookmarkEnd w:id="39"/>
      <w:r/>
      <w:r/>
    </w:p>
    <w:p>
      <w:pPr>
        <w:pStyle w:val="993"/>
        <w:ind w:firstLine="720"/>
        <w:spacing w:before="0" w:beforeAutospacing="0" w:after="0" w:afterAutospacing="0" w:line="312" w:lineRule="auto"/>
        <w:rPr>
          <w:rFonts w:hAnsi="宋体" w:cs="宋体"/>
          <w:color w:val="auto"/>
          <w:szCs w:val="24"/>
          <w:highlight w:val="none"/>
        </w:rPr>
        <w:outlineLvl w:val="1"/>
      </w:pPr>
      <w:r/>
      <w:bookmarkStart w:id="40" w:name="_Toc6514"/>
      <w:r/>
      <w:bookmarkStart w:id="41" w:name="_Toc17590"/>
      <w:r>
        <w:rPr>
          <w:rFonts w:hint="eastAsia" w:hAnsi="宋体" w:cs="宋体"/>
          <w:color w:val="auto"/>
          <w:szCs w:val="24"/>
          <w:highlight w:val="none"/>
        </w:rPr>
        <w:t xml:space="preserve">名称：江苏弘业国际技术工程有限公司</w:t>
      </w:r>
      <w:bookmarkEnd w:id="40"/>
      <w:r/>
      <w:bookmarkEnd w:id="41"/>
      <w:r/>
      <w:r/>
    </w:p>
    <w:p>
      <w:pPr>
        <w:pStyle w:val="993"/>
        <w:ind w:firstLine="720"/>
        <w:spacing w:before="0" w:beforeAutospacing="0" w:after="0" w:afterAutospacing="0" w:line="312" w:lineRule="auto"/>
        <w:rPr>
          <w:rFonts w:hAnsi="宋体" w:cs="宋体"/>
          <w:color w:val="auto"/>
          <w:szCs w:val="24"/>
          <w:highlight w:val="none"/>
        </w:rPr>
        <w:outlineLvl w:val="1"/>
      </w:pPr>
      <w:r/>
      <w:bookmarkStart w:id="42" w:name="_Toc29228"/>
      <w:r/>
      <w:bookmarkStart w:id="43" w:name="_Toc8777"/>
      <w:r>
        <w:rPr>
          <w:rFonts w:hint="eastAsia" w:hAnsi="宋体" w:cs="宋体"/>
          <w:color w:val="auto"/>
          <w:szCs w:val="24"/>
          <w:highlight w:val="none"/>
        </w:rPr>
        <w:t xml:space="preserve">地址：南京市中华路50号弘业大厦10楼</w:t>
      </w:r>
      <w:bookmarkEnd w:id="42"/>
      <w:r/>
      <w:bookmarkEnd w:id="43"/>
      <w:r/>
      <w:r/>
    </w:p>
    <w:p>
      <w:pPr>
        <w:pStyle w:val="993"/>
        <w:ind w:firstLine="720"/>
        <w:spacing w:before="0" w:beforeAutospacing="0" w:after="0" w:afterAutospacing="0" w:line="312" w:lineRule="auto"/>
        <w:rPr>
          <w:rFonts w:hAnsi="宋体" w:cs="宋体"/>
          <w:color w:val="auto"/>
          <w:szCs w:val="24"/>
          <w:highlight w:val="none"/>
        </w:rPr>
        <w:outlineLvl w:val="1"/>
      </w:pPr>
      <w:r/>
      <w:bookmarkStart w:id="44" w:name="_Toc4151"/>
      <w:r/>
      <w:bookmarkStart w:id="45" w:name="_Toc30931"/>
      <w:r>
        <w:rPr>
          <w:rFonts w:hint="eastAsia" w:hAnsi="宋体" w:cs="宋体"/>
          <w:color w:val="auto"/>
          <w:szCs w:val="24"/>
          <w:highlight w:val="none"/>
        </w:rPr>
        <w:t xml:space="preserve">联系方式：</w:t>
      </w:r>
      <w:bookmarkEnd w:id="44"/>
      <w:r/>
      <w:bookmarkEnd w:id="45"/>
      <w:r>
        <w:rPr>
          <w:rFonts w:hint="eastAsia" w:hAnsi="宋体" w:cs="宋体"/>
          <w:bCs/>
          <w:color w:val="auto"/>
          <w:szCs w:val="21"/>
          <w:highlight w:val="none"/>
          <w:lang w:val="zh-CN"/>
        </w:rPr>
        <w:t xml:space="preserve">025-522783</w:t>
      </w:r>
      <w:r>
        <w:rPr>
          <w:rFonts w:hint="eastAsia" w:hAnsi="宋体" w:cs="宋体"/>
          <w:bCs/>
          <w:color w:val="auto"/>
          <w:szCs w:val="21"/>
          <w:highlight w:val="none"/>
        </w:rPr>
        <w:t xml:space="preserve">06</w:t>
      </w:r>
      <w:r/>
    </w:p>
    <w:p>
      <w:pPr>
        <w:pStyle w:val="993"/>
        <w:ind w:firstLine="720"/>
        <w:spacing w:before="0" w:beforeAutospacing="0" w:after="0" w:afterAutospacing="0" w:line="312" w:lineRule="auto"/>
        <w:rPr>
          <w:rFonts w:hAnsi="宋体" w:cs="宋体"/>
          <w:color w:val="auto"/>
          <w:szCs w:val="24"/>
          <w:highlight w:val="none"/>
        </w:rPr>
        <w:outlineLvl w:val="1"/>
      </w:pPr>
      <w:r/>
      <w:bookmarkStart w:id="46" w:name="_Toc2685"/>
      <w:r/>
      <w:bookmarkStart w:id="47" w:name="_Toc23093"/>
      <w:r>
        <w:rPr>
          <w:rFonts w:hint="eastAsia" w:hAnsi="宋体" w:cs="宋体"/>
          <w:color w:val="auto"/>
          <w:szCs w:val="24"/>
          <w:highlight w:val="none"/>
        </w:rPr>
        <w:t xml:space="preserve">传真：025-5227876</w:t>
      </w:r>
      <w:bookmarkEnd w:id="46"/>
      <w:r/>
      <w:bookmarkEnd w:id="47"/>
      <w:r>
        <w:rPr>
          <w:rFonts w:hint="eastAsia" w:hAnsi="宋体" w:cs="宋体"/>
          <w:color w:val="auto"/>
          <w:szCs w:val="24"/>
          <w:highlight w:val="none"/>
        </w:rPr>
        <w:t xml:space="preserve">1</w:t>
      </w:r>
      <w:r/>
    </w:p>
    <w:p>
      <w:pPr>
        <w:pStyle w:val="993"/>
        <w:ind w:firstLine="720"/>
        <w:spacing w:before="0" w:beforeAutospacing="0" w:after="0" w:afterAutospacing="0" w:line="312" w:lineRule="auto"/>
        <w:rPr>
          <w:rFonts w:hAnsi="宋体" w:cs="宋体"/>
          <w:color w:val="auto"/>
          <w:szCs w:val="24"/>
          <w:highlight w:val="none"/>
        </w:rPr>
        <w:outlineLvl w:val="1"/>
      </w:pPr>
      <w:r/>
      <w:bookmarkStart w:id="48" w:name="_Toc21139"/>
      <w:r/>
      <w:bookmarkStart w:id="49" w:name="_Toc4597"/>
      <w:r>
        <w:rPr>
          <w:rFonts w:hint="eastAsia" w:hAnsi="宋体" w:cs="宋体"/>
          <w:color w:val="auto"/>
          <w:szCs w:val="24"/>
          <w:highlight w:val="none"/>
        </w:rPr>
        <w:t xml:space="preserve">3.项目联系方式</w:t>
      </w:r>
      <w:bookmarkEnd w:id="48"/>
      <w:r/>
      <w:bookmarkEnd w:id="49"/>
      <w:r/>
      <w:r/>
    </w:p>
    <w:p>
      <w:pPr>
        <w:pStyle w:val="993"/>
        <w:ind w:firstLine="720"/>
        <w:spacing w:before="0" w:beforeAutospacing="0" w:after="0" w:afterAutospacing="0" w:line="312" w:lineRule="auto"/>
        <w:rPr>
          <w:rFonts w:hAnsi="宋体" w:cs="宋体"/>
          <w:color w:val="auto"/>
          <w:szCs w:val="24"/>
          <w:highlight w:val="none"/>
        </w:rPr>
        <w:outlineLvl w:val="1"/>
      </w:pPr>
      <w:r/>
      <w:bookmarkStart w:id="50" w:name="_Toc18816"/>
      <w:r/>
      <w:bookmarkStart w:id="51" w:name="_Toc23478"/>
      <w:r>
        <w:rPr>
          <w:rFonts w:hint="eastAsia" w:hAnsi="宋体" w:cs="宋体"/>
          <w:color w:val="auto"/>
          <w:szCs w:val="24"/>
          <w:highlight w:val="none"/>
        </w:rPr>
        <w:t xml:space="preserve">项目联系人：</w:t>
      </w:r>
      <w:bookmarkEnd w:id="50"/>
      <w:r/>
      <w:bookmarkEnd w:id="51"/>
      <w:r>
        <w:rPr>
          <w:rFonts w:hint="eastAsia" w:hAnsi="宋体" w:cs="宋体"/>
          <w:color w:val="auto"/>
          <w:szCs w:val="24"/>
          <w:highlight w:val="none"/>
        </w:rPr>
        <w:t xml:space="preserve">陆俊华</w:t>
      </w:r>
      <w:r/>
    </w:p>
    <w:p>
      <w:pPr>
        <w:pStyle w:val="993"/>
        <w:ind w:firstLine="720"/>
        <w:spacing w:before="0" w:beforeAutospacing="0" w:after="0" w:afterAutospacing="0" w:line="312" w:lineRule="auto"/>
        <w:rPr>
          <w:rFonts w:hAnsi="宋体" w:cs="宋体"/>
          <w:b/>
          <w:color w:val="auto"/>
          <w:sz w:val="44"/>
          <w:szCs w:val="44"/>
          <w:highlight w:val="none"/>
        </w:rPr>
        <w:outlineLvl w:val="1"/>
      </w:pPr>
      <w:r/>
      <w:bookmarkStart w:id="52" w:name="_Toc13399"/>
      <w:r/>
      <w:bookmarkStart w:id="53" w:name="_Toc12073"/>
      <w:r>
        <w:rPr>
          <w:rFonts w:hint="eastAsia" w:hAnsi="宋体" w:cs="宋体"/>
          <w:color w:val="auto"/>
          <w:szCs w:val="24"/>
          <w:highlight w:val="none"/>
        </w:rPr>
        <w:t xml:space="preserve">电话：</w:t>
      </w:r>
      <w:bookmarkEnd w:id="38"/>
      <w:r/>
      <w:bookmarkEnd w:id="52"/>
      <w:r/>
      <w:bookmarkEnd w:id="53"/>
      <w:r>
        <w:rPr>
          <w:rFonts w:hint="eastAsia" w:hAnsi="宋体" w:cs="宋体"/>
          <w:bCs/>
          <w:color w:val="auto"/>
          <w:szCs w:val="21"/>
          <w:highlight w:val="none"/>
          <w:lang w:val="zh-CN"/>
        </w:rPr>
        <w:t xml:space="preserve">025-522783</w:t>
      </w:r>
      <w:r>
        <w:rPr>
          <w:rFonts w:hint="eastAsia" w:hAnsi="宋体" w:cs="宋体"/>
          <w:bCs/>
          <w:color w:val="auto"/>
          <w:szCs w:val="21"/>
          <w:highlight w:val="none"/>
        </w:rPr>
        <w:t xml:space="preserve">06</w:t>
      </w:r>
      <w:bookmarkStart w:id="54" w:name="_Toc7212"/>
      <w:r/>
      <w:bookmarkStart w:id="55" w:name="_Toc10498"/>
      <w:r/>
      <w:r/>
    </w:p>
    <w:p>
      <w:pPr>
        <w:rPr>
          <w:rFonts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pStyle w:val="975"/>
        <w:rPr>
          <w:color w:val="auto"/>
          <w:highlight w:val="none"/>
        </w:rPr>
      </w:pPr>
      <w:r>
        <w:rPr>
          <w:rFonts w:hint="eastAsia"/>
          <w:color w:val="auto"/>
          <w:highlight w:val="none"/>
        </w:rPr>
        <w:t xml:space="preserve">第二部分投标人须知</w:t>
      </w:r>
      <w:bookmarkEnd w:id="54"/>
      <w:r/>
      <w:bookmarkEnd w:id="55"/>
      <w:r/>
      <w:r/>
    </w:p>
    <w:p>
      <w:pPr>
        <w:pStyle w:val="994"/>
        <w:jc w:val="center"/>
        <w:keepLines w:val="0"/>
        <w:keepNext w:val="0"/>
        <w:spacing w:before="0" w:after="0" w:line="240" w:lineRule="auto"/>
        <w:rPr>
          <w:rFonts w:ascii="宋体" w:hAnsi="宋体" w:eastAsia="宋体" w:cs="宋体"/>
          <w:color w:val="auto"/>
          <w:highlight w:val="none"/>
        </w:rPr>
      </w:pPr>
      <w:r/>
      <w:bookmarkStart w:id="56" w:name="_Toc17216"/>
      <w:r/>
      <w:bookmarkStart w:id="57" w:name="_Toc10216"/>
      <w:r/>
      <w:bookmarkStart w:id="58" w:name="_Toc17705"/>
      <w:r/>
      <w:bookmarkStart w:id="59" w:name="_Toc514054471"/>
      <w:r>
        <w:rPr>
          <w:rFonts w:hint="eastAsia" w:ascii="宋体" w:hAnsi="宋体" w:eastAsia="宋体" w:cs="宋体"/>
          <w:color w:val="auto"/>
          <w:highlight w:val="none"/>
        </w:rPr>
        <w:t xml:space="preserve">投标人须知前附表</w:t>
      </w:r>
      <w:bookmarkEnd w:id="56"/>
      <w:r/>
      <w:bookmarkEnd w:id="57"/>
      <w:r/>
      <w:bookmarkEnd w:id="58"/>
      <w:r/>
      <w:bookmarkEnd w:id="59"/>
      <w:r/>
      <w:r/>
    </w:p>
    <w:tbl>
      <w:tblPr>
        <w:tblStyle w:val="977"/>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398" w:type="dxa"/>
            <w:vAlign w:val="center"/>
            <w:textDirection w:val="lrTb"/>
            <w:noWrap w:val="false"/>
          </w:tcPr>
          <w:p>
            <w:pPr>
              <w:jc w:val="center"/>
              <w:rPr>
                <w:rFonts w:ascii="宋体" w:hAnsi="宋体" w:cs="宋体"/>
                <w:b/>
                <w:color w:val="auto"/>
                <w:sz w:val="24"/>
                <w:szCs w:val="24"/>
                <w:highlight w:val="none"/>
              </w:rPr>
            </w:pPr>
            <w:r>
              <w:rPr>
                <w:rFonts w:hint="eastAsia" w:ascii="宋体" w:hAnsi="宋体" w:cs="宋体"/>
                <w:b/>
                <w:color w:val="auto"/>
                <w:sz w:val="24"/>
                <w:szCs w:val="24"/>
                <w:highlight w:val="none"/>
              </w:rPr>
              <w:t xml:space="preserve">内容</w:t>
            </w:r>
            <w:r/>
          </w:p>
        </w:tc>
        <w:tc>
          <w:tcPr>
            <w:tcW w:w="6418"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说明及要求</w:t>
            </w:r>
            <w:r/>
          </w:p>
        </w:tc>
      </w:tr>
      <w:tr>
        <w:trPr>
          <w:trHeight w:val="638"/>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特别说明</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b/>
                <w:bCs/>
                <w:color w:val="auto"/>
                <w:sz w:val="24"/>
                <w:szCs w:val="24"/>
                <w:highlight w:val="none"/>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投标保证金</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本项目不收取投标保证金</w:t>
            </w:r>
            <w:r/>
          </w:p>
        </w:tc>
      </w:tr>
      <w:tr>
        <w:trPr>
          <w:trHeight w:val="569"/>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投标有效期</w:t>
            </w:r>
            <w:r/>
          </w:p>
        </w:tc>
        <w:tc>
          <w:tcPr>
            <w:tcW w:w="6418" w:type="dxa"/>
            <w:vAlign w:val="center"/>
            <w:textDirection w:val="lrTb"/>
            <w:noWrap w:val="false"/>
          </w:tcPr>
          <w:p>
            <w:pPr>
              <w:widowControl/>
              <w:rPr>
                <w:rFonts w:ascii="宋体" w:hAnsi="宋体" w:cs="宋体"/>
                <w:color w:val="auto"/>
                <w:sz w:val="24"/>
                <w:szCs w:val="24"/>
                <w:highlight w:val="none"/>
              </w:rPr>
            </w:pPr>
            <w:r/>
            <w:bookmarkStart w:id="60" w:name="EBd40b5fb42f2944a3b45e579ce3941f02"/>
            <w:r>
              <w:rPr>
                <w:rFonts w:hint="eastAsia" w:ascii="宋体" w:hAnsi="宋体" w:cs="宋体"/>
                <w:color w:val="auto"/>
                <w:sz w:val="24"/>
                <w:szCs w:val="24"/>
                <w:highlight w:val="none"/>
              </w:rPr>
              <w:t xml:space="preserve">90</w:t>
            </w:r>
            <w:bookmarkEnd w:id="60"/>
            <w:r>
              <w:rPr>
                <w:rFonts w:hint="eastAsia" w:ascii="宋体" w:hAnsi="宋体" w:cs="宋体"/>
                <w:color w:val="auto"/>
                <w:sz w:val="24"/>
                <w:szCs w:val="24"/>
                <w:highlight w:val="none"/>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评标办法</w:t>
            </w:r>
            <w:r/>
          </w:p>
        </w:tc>
        <w:tc>
          <w:tcPr>
            <w:tcW w:w="6418"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综合评分法</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具体评标办法详见招标文件第三部分。</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中标通知书领取</w:t>
            </w:r>
            <w:r/>
          </w:p>
        </w:tc>
        <w:tc>
          <w:tcPr>
            <w:tcW w:w="6418"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领取地址：南京市中华路50号弘业大厦10楼</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中标服务费的收取</w:t>
            </w:r>
            <w:r/>
          </w:p>
        </w:tc>
        <w:tc>
          <w:tcPr>
            <w:tcW w:w="6418"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根据江苏省财政厅《关于进一步规范政府采购活动相关费用管理的通知》（苏财规〔2026〕1号）相关要求，为提高采购效率、简化资金支付流程，本项目招标代理费由中标供应商在领取中标通知书时，一次性支付至采购代理机构。《政府采购代理机构管理暂行办法》（财库（2018）2号））第十五条规定。代理服务费以中标通知书的中标金额作为收取的计算基数，参照《招标代理服务收费管理暂行办法》（计价格[2002]1980号）的规定，中标折扣率50%收取（代理服务费不足3000元，按照3000元收取）。</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收款信息：</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户名：江苏弘业国际技术工程有限公司</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开户银行：中国银行南京市中华路支行</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账户：527460884999</w:t>
            </w:r>
            <w:r/>
          </w:p>
          <w:p>
            <w:pPr>
              <w:widowControl/>
              <w:rPr>
                <w:rFonts w:ascii="宋体" w:hAnsi="宋体" w:cs="宋体"/>
                <w:color w:val="auto"/>
                <w:sz w:val="24"/>
                <w:szCs w:val="24"/>
                <w:highlight w:val="none"/>
              </w:rPr>
            </w:pPr>
            <w:r>
              <w:rPr>
                <w:rFonts w:hint="eastAsia" w:ascii="宋体" w:hAnsi="宋体" w:cs="宋体"/>
                <w:b/>
                <w:bCs/>
                <w:color w:val="auto"/>
                <w:sz w:val="24"/>
                <w:szCs w:val="24"/>
                <w:highlight w:val="none"/>
              </w:rPr>
              <w:t xml:space="preserve">投标人在汇款时，须在汇款单上注明分包编号（汇款单中采分包编号简写即可，如1009-2641HOLLY87T可简写为“87T”）</w:t>
            </w:r>
            <w:r/>
          </w:p>
        </w:tc>
      </w:tr>
      <w:tr>
        <w:trPr>
          <w:trHeight w:val="405"/>
        </w:trPr>
        <w:tc>
          <w:tcPr>
            <w:tcW w:w="1043"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履约保证金</w:t>
            </w:r>
            <w:r/>
          </w:p>
        </w:tc>
        <w:tc>
          <w:tcPr>
            <w:tcW w:w="6418" w:type="dxa"/>
            <w:vAlign w:val="center"/>
            <w:textDirection w:val="lrTb"/>
            <w:noWrap w:val="false"/>
          </w:tcPr>
          <w:p>
            <w:pPr>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zh-CN"/>
              </w:rPr>
              <w:t xml:space="preserve">履约保证金</w:t>
            </w:r>
            <w:r>
              <w:rPr>
                <w:rFonts w:hint="eastAsia" w:ascii="宋体" w:hAnsi="宋体" w:cs="宋体"/>
                <w:color w:val="auto"/>
                <w:sz w:val="24"/>
                <w:szCs w:val="24"/>
                <w:highlight w:val="none"/>
              </w:rPr>
              <w:t xml:space="preserve">金额：中标供应商</w:t>
            </w:r>
            <w:r>
              <w:rPr>
                <w:rFonts w:hint="eastAsia" w:ascii="宋体" w:hAnsi="宋体" w:cs="宋体"/>
                <w:color w:val="auto"/>
                <w:sz w:val="24"/>
                <w:szCs w:val="24"/>
                <w:highlight w:val="none"/>
                <w:lang w:val="zh-CN"/>
              </w:rPr>
              <w:t xml:space="preserve">应在</w:t>
            </w:r>
            <w:r>
              <w:rPr>
                <w:rFonts w:hint="eastAsia" w:ascii="宋体" w:hAnsi="宋体" w:cs="宋体"/>
                <w:color w:val="auto"/>
                <w:sz w:val="24"/>
                <w:szCs w:val="24"/>
                <w:highlight w:val="none"/>
              </w:rPr>
              <w:t xml:space="preserve">合同签订前向采购人</w:t>
            </w:r>
            <w:r>
              <w:rPr>
                <w:rFonts w:hint="eastAsia" w:ascii="宋体" w:hAnsi="宋体" w:cs="宋体"/>
                <w:color w:val="auto"/>
                <w:sz w:val="24"/>
                <w:szCs w:val="24"/>
                <w:highlight w:val="none"/>
                <w:lang w:val="zh-CN"/>
              </w:rPr>
              <w:t xml:space="preserve">提交履约保证金。履约保证金的金额</w:t>
            </w:r>
            <w:r>
              <w:rPr>
                <w:rFonts w:hint="eastAsia" w:ascii="宋体" w:hAnsi="宋体" w:cs="宋体"/>
                <w:color w:val="auto"/>
                <w:sz w:val="24"/>
                <w:szCs w:val="24"/>
                <w:highlight w:val="none"/>
              </w:rPr>
              <w:t xml:space="preserve">为</w:t>
            </w:r>
            <w:r>
              <w:rPr>
                <w:rFonts w:hint="eastAsia" w:ascii="宋体" w:hAnsi="宋体" w:cs="宋体"/>
                <w:color w:val="auto"/>
                <w:sz w:val="24"/>
                <w:szCs w:val="24"/>
                <w:highlight w:val="none"/>
                <w:lang w:val="zh-CN"/>
              </w:rPr>
              <w:t xml:space="preserve">中标金额的</w:t>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w:t>
            </w:r>
            <w:r/>
          </w:p>
          <w:p>
            <w:pPr>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（2)履约保证金递交方式：</w:t>
            </w:r>
            <w:r>
              <w:rPr>
                <w:rFonts w:hint="eastAsia" w:ascii="宋体" w:hAnsi="宋体" w:cs="宋体"/>
                <w:color w:val="auto"/>
                <w:sz w:val="24"/>
                <w:szCs w:val="24"/>
                <w:highlight w:val="none"/>
                <w:lang w:val="zh-CN"/>
              </w:rPr>
              <w:t xml:space="preserve">除银行电汇、网上银行外，投标人还可选用银行保函、担保公司的保证担保或保险公司的保证保险、等多种形式向采购人缴纳。</w:t>
            </w:r>
            <w:r/>
          </w:p>
          <w:p>
            <w:pPr>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履约保证金退还的方式：以银行电汇、网上银行缴纳履约保证金的，退回至投标人存款账户；以保函、担保、保险等形式缴纳履约保证金的，在保函、担保、保险约定的保证期限届满之日起自行失效。</w:t>
            </w:r>
            <w:r/>
          </w:p>
          <w:p>
            <w:pPr>
              <w:widowControl/>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履约保证金退还的条件：按以下方式实行：</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质保期结束后无息退还。</w:t>
            </w:r>
            <w:r/>
          </w:p>
          <w:p>
            <w:pPr>
              <w:widowControl/>
              <w:rPr>
                <w:rFonts w:ascii="宋体" w:hAnsi="宋体" w:cs="宋体"/>
                <w:color w:val="auto"/>
                <w:sz w:val="24"/>
                <w:szCs w:val="24"/>
                <w:highlight w:val="none"/>
                <w:lang w:val="zh-CN"/>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val="zh-CN"/>
              </w:rPr>
              <w:t xml:space="preserve">履约保证金退还时间：采购</w:t>
            </w:r>
            <w:r>
              <w:rPr>
                <w:rFonts w:hint="eastAsia" w:ascii="宋体" w:hAnsi="宋体" w:cs="宋体"/>
                <w:color w:val="auto"/>
                <w:sz w:val="24"/>
                <w:szCs w:val="24"/>
                <w:highlight w:val="none"/>
              </w:rPr>
              <w:t xml:space="preserve">人</w:t>
            </w:r>
            <w:r>
              <w:rPr>
                <w:rFonts w:hint="eastAsia" w:ascii="宋体" w:hAnsi="宋体" w:cs="宋体"/>
                <w:color w:val="auto"/>
                <w:sz w:val="24"/>
                <w:szCs w:val="24"/>
                <w:highlight w:val="none"/>
                <w:lang w:val="zh-CN"/>
              </w:rPr>
              <w:t xml:space="preserve">收到</w:t>
            </w:r>
            <w:r>
              <w:rPr>
                <w:rFonts w:hint="eastAsia" w:ascii="宋体" w:hAnsi="宋体" w:cs="宋体"/>
                <w:color w:val="auto"/>
                <w:sz w:val="24"/>
                <w:szCs w:val="24"/>
                <w:highlight w:val="none"/>
              </w:rPr>
              <w:t xml:space="preserve">中标</w:t>
            </w:r>
            <w:r>
              <w:rPr>
                <w:rFonts w:hint="eastAsia" w:ascii="宋体" w:hAnsi="宋体" w:cs="宋体"/>
                <w:color w:val="auto"/>
                <w:sz w:val="24"/>
                <w:szCs w:val="24"/>
                <w:highlight w:val="none"/>
                <w:lang w:val="zh-CN"/>
              </w:rPr>
              <w:t xml:space="preserve">人退付申请后5个工作日内退还；</w:t>
            </w:r>
            <w:r/>
          </w:p>
          <w:p>
            <w:pPr>
              <w:widowControl/>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6）</w:t>
            </w:r>
            <w:r>
              <w:rPr>
                <w:rFonts w:hint="eastAsia" w:ascii="宋体" w:hAnsi="宋体" w:cs="宋体"/>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tc>
      </w:tr>
      <w:tr>
        <w:trPr>
          <w:trHeight w:val="725"/>
        </w:trPr>
        <w:tc>
          <w:tcPr>
            <w:tcW w:w="1043" w:type="dxa"/>
            <w:vAlign w:val="center"/>
            <w:textDirection w:val="lrTb"/>
            <w:noWrap w:val="false"/>
          </w:tcPr>
          <w:p>
            <w:pPr>
              <w:jc w:val="center"/>
              <w:rPr>
                <w:rFonts w:ascii="宋体" w:hAnsi="宋体" w:cs="宋体"/>
                <w:color w:val="auto"/>
                <w:sz w:val="24"/>
                <w:szCs w:val="24"/>
                <w:highlight w:val="none"/>
              </w:rPr>
            </w:pPr>
            <w:r/>
            <w:bookmarkStart w:id="61" w:name="_Toc514054472"/>
            <w:r/>
            <w:bookmarkStart w:id="62" w:name="_Toc25522"/>
            <w:r>
              <w:rPr>
                <w:rFonts w:hint="eastAsia" w:ascii="宋体" w:hAnsi="宋体" w:cs="宋体"/>
                <w:color w:val="auto"/>
                <w:sz w:val="24"/>
                <w:szCs w:val="24"/>
                <w:highlight w:val="none"/>
              </w:rPr>
              <w:t xml:space="preserve">8</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采购标的所属行业</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本项目采购标的对应的行业主要为</w:t>
            </w:r>
            <w:r>
              <w:rPr>
                <w:rFonts w:hint="eastAsia" w:ascii="宋体" w:hAnsi="宋体" w:cs="宋体"/>
                <w:color w:val="auto"/>
                <w:sz w:val="24"/>
                <w:szCs w:val="24"/>
                <w:highlight w:val="none"/>
                <w:u w:val="single"/>
              </w:rPr>
              <w:t xml:space="preserve">工业</w:t>
            </w:r>
            <w:r>
              <w:rPr>
                <w:rFonts w:hint="eastAsia" w:ascii="宋体" w:hAnsi="宋体" w:cs="宋体"/>
                <w:color w:val="auto"/>
                <w:sz w:val="24"/>
                <w:szCs w:val="24"/>
                <w:highlight w:val="none"/>
              </w:rPr>
              <w:t xml:space="preserve">。</w:t>
            </w:r>
            <w:r/>
          </w:p>
        </w:tc>
      </w:tr>
      <w:tr>
        <w:trPr>
          <w:trHeight w:val="725"/>
        </w:trPr>
        <w:tc>
          <w:tcPr>
            <w:tcW w:w="1043" w:type="dxa"/>
            <w:vAlign w:val="center"/>
            <w:textDirection w:val="lrTb"/>
            <w:noWrap w:val="false"/>
          </w:tcPr>
          <w:p>
            <w:pPr>
              <w:jc w:val="center"/>
              <w:rPr>
                <w:rFonts w:ascii="宋体" w:hAnsi="宋体" w:cs="宋体"/>
                <w:color w:val="auto"/>
                <w:sz w:val="24"/>
                <w:szCs w:val="24"/>
                <w:highlight w:val="none"/>
              </w:rPr>
            </w:pPr>
            <w:r/>
            <w:bookmarkStart w:id="63" w:name="_Toc20458"/>
            <w:r/>
            <w:bookmarkStart w:id="64" w:name="_Toc22298"/>
            <w:r>
              <w:rPr>
                <w:rFonts w:hint="eastAsia" w:ascii="宋体" w:hAnsi="宋体" w:cs="宋体"/>
                <w:color w:val="auto"/>
                <w:sz w:val="24"/>
                <w:szCs w:val="24"/>
                <w:highlight w:val="none"/>
              </w:rPr>
              <w:t xml:space="preserve">9</w:t>
            </w:r>
            <w:r/>
          </w:p>
        </w:tc>
        <w:tc>
          <w:tcPr>
            <w:tcW w:w="2398"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其它</w:t>
            </w:r>
            <w:r/>
          </w:p>
        </w:tc>
        <w:tc>
          <w:tcPr>
            <w:tcW w:w="6418"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中标供应商应在开标结束后提供纸质投标文件一正二副递交至采购代理机构存档。</w:t>
            </w:r>
            <w:r/>
          </w:p>
        </w:tc>
      </w:tr>
    </w:tbl>
    <w:p>
      <w:pPr>
        <w:pStyle w:val="995"/>
        <w:rPr>
          <w:rFonts w:ascii="宋体" w:hAnsi="宋体" w:eastAsia="宋体" w:cs="宋体"/>
          <w:color w:val="auto"/>
          <w:highlight w:val="none"/>
        </w:rPr>
        <w:outlineLvl w:val="1"/>
      </w:pPr>
      <w:r>
        <w:rPr>
          <w:rFonts w:ascii="宋体" w:hAnsi="宋体" w:eastAsia="宋体" w:cs="宋体"/>
          <w:color w:val="auto"/>
          <w:highlight w:val="none"/>
        </w:rPr>
      </w:r>
      <w:r/>
    </w:p>
    <w:p>
      <w:pPr>
        <w:pStyle w:val="995"/>
        <w:rPr>
          <w:rFonts w:ascii="宋体" w:hAnsi="宋体" w:eastAsia="宋体" w:cs="宋体"/>
          <w:color w:val="auto"/>
          <w:highlight w:val="none"/>
        </w:rPr>
        <w:outlineLvl w:val="1"/>
      </w:pPr>
      <w:r>
        <w:rPr>
          <w:rFonts w:hint="eastAsia" w:ascii="宋体" w:hAnsi="宋体" w:eastAsia="宋体" w:cs="宋体"/>
          <w:color w:val="auto"/>
          <w:highlight w:val="none"/>
        </w:rPr>
        <w:t xml:space="preserve">一、总则</w:t>
      </w:r>
      <w:bookmarkEnd w:id="61"/>
      <w:r/>
      <w:bookmarkEnd w:id="62"/>
      <w:r/>
      <w:bookmarkEnd w:id="63"/>
      <w:r/>
      <w:bookmarkEnd w:id="64"/>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1、招标方式</w:t>
      </w:r>
      <w:r/>
    </w:p>
    <w:p>
      <w:pPr>
        <w:pStyle w:val="996"/>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本次招标采取公开招标方式。</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2、合格的投标人</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3、适用法律</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本次招标及由本次招标产生的合同受中华人民共和国的相关法律、法规制约和保护。</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4、投标费用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投标人应自行承担所有参加投标有关的费用。</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5、招标文件的约束力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投标人一旦参加本项目投标，即被认为接受了本招标文件的所有条件和规定。</w:t>
      </w:r>
      <w:r/>
    </w:p>
    <w:p>
      <w:pPr>
        <w:pStyle w:val="995"/>
        <w:rPr>
          <w:rFonts w:ascii="宋体" w:hAnsi="宋体" w:eastAsia="宋体" w:cs="宋体"/>
          <w:color w:val="auto"/>
          <w:highlight w:val="none"/>
        </w:rPr>
        <w:outlineLvl w:val="1"/>
      </w:pPr>
      <w:r/>
      <w:bookmarkStart w:id="65" w:name="_Toc21335"/>
      <w:r/>
      <w:bookmarkStart w:id="66" w:name="_Toc514054473"/>
      <w:r/>
      <w:bookmarkStart w:id="67" w:name="_Toc30610"/>
      <w:r/>
      <w:bookmarkStart w:id="68" w:name="_Toc17916"/>
      <w:r>
        <w:rPr>
          <w:rFonts w:hint="eastAsia" w:ascii="宋体" w:hAnsi="宋体" w:eastAsia="宋体" w:cs="宋体"/>
          <w:color w:val="auto"/>
          <w:highlight w:val="none"/>
        </w:rPr>
        <w:t xml:space="preserve">二、招标文件</w:t>
      </w:r>
      <w:bookmarkEnd w:id="65"/>
      <w:r/>
      <w:bookmarkEnd w:id="66"/>
      <w:r/>
      <w:bookmarkEnd w:id="67"/>
      <w:r/>
      <w:bookmarkEnd w:id="68"/>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6、招标文件构成</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第一部分：招标公告；</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第二部分：投标人须知；</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第三部分：评标方法和标准；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第四部分：采购需求；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第五部分：合同格式及条款；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第六部分：投标文件格式。</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7、招标文件的澄清</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8、招标文件的修改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8.1在投标文件接收截止日期15日前，采购代理机构可以更正公告或补充文件的形式对招标文件进行修改。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color w:val="auto"/>
          <w:highlight w:val="none"/>
        </w:rPr>
      </w:pPr>
      <w:r>
        <w:rPr>
          <w:rFonts w:hint="eastAsia" w:ascii="宋体" w:hAnsi="宋体" w:cs="宋体"/>
          <w:color w:val="auto"/>
          <w:sz w:val="24"/>
          <w:highlight w:val="none"/>
        </w:rPr>
        <w:t xml:space="preserve">9采购代理机构发出的所有补充、修改和变更文件均作为招标文件的组成部分，与招标文件具有同等法律效力。</w:t>
      </w:r>
      <w:r/>
    </w:p>
    <w:p>
      <w:pPr>
        <w:pStyle w:val="995"/>
        <w:rPr>
          <w:rFonts w:ascii="宋体" w:hAnsi="宋体" w:eastAsia="宋体" w:cs="宋体"/>
          <w:color w:val="auto"/>
          <w:highlight w:val="none"/>
        </w:rPr>
        <w:outlineLvl w:val="1"/>
      </w:pPr>
      <w:r/>
      <w:bookmarkStart w:id="69" w:name="_Toc514054474"/>
      <w:r/>
      <w:bookmarkStart w:id="70" w:name="_Toc26871"/>
      <w:r/>
      <w:bookmarkStart w:id="71" w:name="_Toc26908"/>
      <w:r/>
      <w:bookmarkStart w:id="72" w:name="_Toc20227"/>
      <w:r>
        <w:rPr>
          <w:rFonts w:hint="eastAsia" w:ascii="宋体" w:hAnsi="宋体" w:eastAsia="宋体" w:cs="宋体"/>
          <w:color w:val="auto"/>
          <w:highlight w:val="none"/>
        </w:rPr>
        <w:t xml:space="preserve">三、投标文件的编制</w:t>
      </w:r>
      <w:bookmarkEnd w:id="69"/>
      <w:r/>
      <w:bookmarkEnd w:id="70"/>
      <w:r/>
      <w:bookmarkEnd w:id="71"/>
      <w:r/>
      <w:bookmarkEnd w:id="72"/>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10、投标文件的编制要求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11、投标文件构成</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11.1资格证明文件；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11.1.1具有独立承担民事责任的能力（法人或者其他组织的营业执照等证明文件，自然人的身份证明）；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11.1.2具有良好的商业信誉和健全的财务会计制度（提供2025年度财务报告，至少包含资产负债表、利润表；或投标截止时间前六个月内银行出具的资信证明；成立不满一年无须提供）；</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11.1.3具有履行合同所必需的设备和专业技术能力（提供书面声明）；</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11.1.6法律、行政法规规定的其他条件；</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11.1.7拒绝下述供应商参加本次采购活动的情形：</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11.1.7.1供应商单位负责人为同一人或者存在直接控股、管理关系的不同供应商，不得参加同一合同项下的政府采购活动。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11.1.7.2凡为采购项目提供整体设计、规范编制或者项目管理、监理、检测等服务的供应商，不得再参加本项目的采购活动。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11.1.7.3拒绝列入失信被执行人、重大税收违法案件当事人名单、政府采购严重违法失信行为记录名单的供应商参与政府采购活动。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11.2投标函；</w:t>
      </w:r>
      <w:r/>
    </w:p>
    <w:p>
      <w:pPr>
        <w:ind w:firstLine="480"/>
        <w:spacing w:line="500" w:lineRule="exact"/>
        <w:rPr>
          <w:rFonts w:ascii="宋体" w:hAnsi="宋体" w:cs="宋体"/>
          <w:color w:val="auto"/>
          <w:sz w:val="24"/>
          <w:highlight w:val="none"/>
        </w:rPr>
      </w:pPr>
      <w:r>
        <w:rPr>
          <w:rFonts w:hint="eastAsia" w:ascii="宋体" w:hAnsi="宋体" w:cs="宋体"/>
          <w:bCs/>
          <w:color w:val="auto"/>
          <w:sz w:val="24"/>
          <w:szCs w:val="24"/>
          <w:highlight w:val="none"/>
        </w:rPr>
        <w:t xml:space="preserve">11.3</w:t>
      </w:r>
      <w:r>
        <w:rPr>
          <w:rFonts w:hint="eastAsia" w:ascii="宋体" w:hAnsi="宋体" w:cs="宋体"/>
          <w:color w:val="auto"/>
          <w:sz w:val="24"/>
          <w:highlight w:val="none"/>
        </w:rPr>
        <w:t xml:space="preserve">报价文件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11.3.1开标一览表；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11.3.2明细报价表。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11.4技术文件</w:t>
      </w:r>
      <w:r/>
    </w:p>
    <w:p>
      <w:pPr>
        <w:ind w:firstLine="480"/>
        <w:spacing w:line="500" w:lineRule="exact"/>
        <w:rPr>
          <w:rFonts w:ascii="宋体" w:hAnsi="宋体" w:cs="宋体"/>
          <w:color w:val="auto"/>
          <w:sz w:val="24"/>
          <w:highlight w:val="none"/>
        </w:rPr>
      </w:pPr>
      <w:r/>
      <w:bookmarkStart w:id="73" w:name="EB7f6b24a996964930b08d6b290b36e3fd"/>
      <w:r>
        <w:rPr>
          <w:rFonts w:hint="eastAsia" w:ascii="宋体" w:hAnsi="宋体" w:cs="宋体"/>
          <w:color w:val="auto"/>
          <w:sz w:val="24"/>
          <w:highlight w:val="none"/>
        </w:rPr>
        <w:t xml:space="preserve">11.4.1技术响应偏差表</w:t>
      </w:r>
      <w:bookmarkEnd w:id="73"/>
      <w:r>
        <w:rPr>
          <w:rFonts w:hint="eastAsia" w:ascii="宋体" w:hAnsi="宋体" w:cs="宋体"/>
          <w:color w:val="auto"/>
          <w:sz w:val="24"/>
          <w:highlight w:val="none"/>
        </w:rPr>
        <w:t xml:space="preserve">。</w:t>
      </w:r>
      <w:r/>
    </w:p>
    <w:p>
      <w:pPr>
        <w:ind w:firstLine="480"/>
        <w:spacing w:line="500" w:lineRule="exact"/>
        <w:rPr>
          <w:rFonts w:ascii="宋体" w:hAnsi="宋体" w:cs="宋体"/>
          <w:bCs/>
          <w:color w:val="auto"/>
          <w:sz w:val="24"/>
          <w:szCs w:val="24"/>
          <w:highlight w:val="none"/>
        </w:rPr>
      </w:pPr>
      <w:r>
        <w:rPr>
          <w:rFonts w:hint="eastAsia" w:ascii="宋体" w:hAnsi="宋体" w:cs="宋体"/>
          <w:color w:val="auto"/>
          <w:sz w:val="24"/>
          <w:highlight w:val="none"/>
        </w:rPr>
        <w:t xml:space="preserve">11.4.2</w:t>
      </w:r>
      <w:r>
        <w:rPr>
          <w:rFonts w:hint="eastAsia" w:ascii="宋体" w:hAnsi="宋体" w:cs="宋体"/>
          <w:bCs/>
          <w:color w:val="auto"/>
          <w:sz w:val="24"/>
          <w:szCs w:val="24"/>
          <w:highlight w:val="none"/>
        </w:rPr>
        <w:t xml:space="preserve">其他技术文件（根据评分点自行提供）</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11.5商务文件</w:t>
      </w:r>
      <w:r/>
    </w:p>
    <w:p>
      <w:pPr>
        <w:ind w:firstLine="480"/>
        <w:spacing w:line="500" w:lineRule="exact"/>
        <w:rPr>
          <w:rFonts w:ascii="宋体" w:hAnsi="宋体" w:cs="宋体"/>
          <w:color w:val="auto"/>
          <w:sz w:val="24"/>
          <w:highlight w:val="none"/>
        </w:rPr>
      </w:pPr>
      <w:r/>
      <w:bookmarkStart w:id="74" w:name="EBdc2c24f6358343e896cd43bd6621a619"/>
      <w:r>
        <w:rPr>
          <w:rFonts w:hint="eastAsia" w:ascii="宋体" w:hAnsi="宋体" w:cs="宋体"/>
          <w:color w:val="auto"/>
          <w:sz w:val="24"/>
          <w:highlight w:val="none"/>
        </w:rPr>
        <w:t xml:space="preserve">11.5.1商务响应偏差表；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11.5.2投标人承担类似项目业绩一览表</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11.5.3其他商务文件</w:t>
      </w:r>
      <w:r>
        <w:rPr>
          <w:rFonts w:hint="eastAsia" w:ascii="宋体" w:hAnsi="宋体" w:cs="宋体"/>
          <w:bCs/>
          <w:color w:val="auto"/>
          <w:sz w:val="24"/>
          <w:szCs w:val="24"/>
          <w:highlight w:val="none"/>
        </w:rPr>
        <w:t xml:space="preserve">（根据评分点自行提供）</w:t>
      </w:r>
      <w:r>
        <w:rPr>
          <w:rFonts w:hint="eastAsia" w:ascii="宋体" w:hAnsi="宋体" w:cs="宋体"/>
          <w:color w:val="auto"/>
          <w:sz w:val="24"/>
          <w:highlight w:val="none"/>
        </w:rPr>
        <w:t xml:space="preserve">。</w:t>
      </w:r>
      <w:bookmarkEnd w:id="74"/>
      <w:r/>
      <w:r/>
    </w:p>
    <w:p>
      <w:pPr>
        <w:numPr>
          <w:ilvl w:val="0"/>
          <w:numId w:val="2"/>
        </w:num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投标文件构成资料为非中文时应提供中文译版，并以中文为准，否则可视为未提供；</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13、投标报价</w:t>
      </w:r>
      <w:r/>
    </w:p>
    <w:p>
      <w:pPr>
        <w:ind w:firstLine="480"/>
        <w:spacing w:line="500" w:lineRule="exact"/>
        <w:rPr>
          <w:rFonts w:ascii="宋体" w:hAnsi="宋体" w:cs="宋体"/>
          <w:color w:val="auto"/>
          <w:sz w:val="24"/>
          <w:highlight w:val="none"/>
          <w:shd w:val="clear" w:color="auto" w:fill="ffc000"/>
        </w:rPr>
      </w:pPr>
      <w:r>
        <w:rPr>
          <w:rFonts w:hint="eastAsia" w:ascii="宋体" w:hAnsi="宋体" w:cs="宋体"/>
          <w:color w:val="auto"/>
          <w:sz w:val="24"/>
          <w:highlight w:val="none"/>
        </w:rPr>
        <w:t xml:space="preserve">13.1本项目不接受备选的投标方案或有选择的报价，只允许有一个报价。投标报价内容包括：</w:t>
      </w:r>
      <w:bookmarkStart w:id="75" w:name="EB54dd097a55df4796bd5f9b6bdf2ddc40"/>
      <w:r>
        <w:rPr>
          <w:rFonts w:hint="eastAsia" w:ascii="宋体" w:hAnsi="宋体" w:cs="宋体"/>
          <w:color w:val="auto"/>
          <w:sz w:val="24"/>
          <w:highlight w:val="none"/>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13.3报价注意事项：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13.3.1价格一律以人民币计算；</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14、投标保证金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本项目不收取投标保证金。</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15、中标服务费</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15.1详见投标人须知前附表</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16、投标有效期</w:t>
      </w:r>
      <w:r/>
    </w:p>
    <w:p>
      <w:pPr>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rPr>
        <w:t xml:space="preserve">16.1在投标人须知</w:t>
      </w:r>
      <w:r>
        <w:rPr>
          <w:rFonts w:hint="eastAsia" w:ascii="宋体" w:hAnsi="宋体" w:cs="宋体"/>
          <w:color w:val="auto"/>
          <w:sz w:val="24"/>
          <w:highlight w:val="none"/>
        </w:rPr>
        <w:t xml:space="preserve">前附表规定的投标有效期内，投标人不得要求撤销或者修改其投标文件。</w:t>
      </w:r>
      <w:r/>
    </w:p>
    <w:p>
      <w:pPr>
        <w:ind w:firstLine="480"/>
        <w:spacing w:line="360" w:lineRule="auto"/>
        <w:rPr>
          <w:rFonts w:ascii="宋体" w:hAnsi="宋体" w:cs="宋体"/>
          <w:color w:val="auto"/>
          <w:highlight w:val="none"/>
        </w:rPr>
      </w:pPr>
      <w:r>
        <w:rPr>
          <w:rFonts w:hint="eastAsia" w:ascii="宋体" w:hAnsi="宋体" w:cs="宋体"/>
          <w:color w:val="auto"/>
          <w:sz w:val="24"/>
          <w:highlight w:val="none"/>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995"/>
        <w:spacing w:line="360" w:lineRule="auto"/>
        <w:rPr>
          <w:rFonts w:ascii="宋体" w:hAnsi="宋体" w:eastAsia="宋体" w:cs="宋体"/>
          <w:color w:val="auto"/>
          <w:highlight w:val="none"/>
        </w:rPr>
        <w:outlineLvl w:val="1"/>
      </w:pPr>
      <w:r/>
      <w:bookmarkStart w:id="76" w:name="_Toc514054475"/>
      <w:r/>
      <w:bookmarkStart w:id="77" w:name="_Toc9292"/>
      <w:r/>
      <w:bookmarkStart w:id="78" w:name="_Toc5409"/>
      <w:r/>
      <w:bookmarkStart w:id="79" w:name="_Toc26211"/>
      <w:r>
        <w:rPr>
          <w:rFonts w:hint="eastAsia" w:ascii="宋体" w:hAnsi="宋体" w:eastAsia="宋体" w:cs="宋体"/>
          <w:color w:val="auto"/>
          <w:highlight w:val="none"/>
        </w:rPr>
        <w:t xml:space="preserve">四、投标文件的提交</w:t>
      </w:r>
      <w:bookmarkEnd w:id="76"/>
      <w:r/>
      <w:bookmarkEnd w:id="77"/>
      <w:r/>
      <w:bookmarkEnd w:id="78"/>
      <w:r/>
      <w:bookmarkEnd w:id="79"/>
      <w:r/>
      <w:r/>
    </w:p>
    <w:p>
      <w:pPr>
        <w:ind w:firstLine="482"/>
        <w:spacing w:line="360" w:lineRule="auto"/>
        <w:rPr>
          <w:rFonts w:ascii="宋体" w:hAnsi="宋体" w:cs="宋体"/>
          <w:b/>
          <w:color w:val="auto"/>
          <w:sz w:val="24"/>
          <w:highlight w:val="none"/>
        </w:rPr>
        <w:outlineLvl w:val="2"/>
      </w:pPr>
      <w:r/>
      <w:bookmarkStart w:id="80" w:name="_Toc514054476"/>
      <w:r/>
      <w:bookmarkStart w:id="81" w:name="_Toc11452"/>
      <w:r>
        <w:rPr>
          <w:rFonts w:hint="eastAsia" w:ascii="宋体" w:hAnsi="宋体" w:cs="宋体"/>
          <w:b/>
          <w:color w:val="auto"/>
          <w:sz w:val="24"/>
          <w:highlight w:val="none"/>
        </w:rPr>
        <w:t xml:space="preserve">17.1、投标文件的提交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17.1.1电子投标文件的递交</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17.2、投标截止时间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17.2.1投标人上传电子投标文件的时间不得迟于招标公告中规定的投标截止时间。</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color w:val="auto"/>
          <w:sz w:val="24"/>
          <w:highlight w:val="none"/>
        </w:rPr>
        <w:outlineLvl w:val="2"/>
      </w:pPr>
      <w:r>
        <w:rPr>
          <w:rFonts w:hint="eastAsia" w:ascii="宋体" w:hAnsi="宋体" w:cs="宋体"/>
          <w:b/>
          <w:color w:val="auto"/>
          <w:sz w:val="24"/>
          <w:highlight w:val="none"/>
        </w:rPr>
        <w:t xml:space="preserve">17.3、投标文件被拒绝接收的情形</w:t>
      </w:r>
      <w:r/>
    </w:p>
    <w:p>
      <w:pPr>
        <w:ind w:firstLine="480"/>
        <w:spacing w:line="520" w:lineRule="exact"/>
        <w:rPr>
          <w:rFonts w:ascii="宋体" w:hAnsi="宋体" w:cs="宋体"/>
          <w:color w:val="auto"/>
          <w:sz w:val="20"/>
          <w:highlight w:val="none"/>
        </w:rPr>
      </w:pPr>
      <w:r>
        <w:rPr>
          <w:rFonts w:hint="eastAsia" w:ascii="宋体" w:hAnsi="宋体" w:cs="宋体"/>
          <w:color w:val="auto"/>
          <w:sz w:val="24"/>
          <w:highlight w:val="none"/>
        </w:rPr>
        <w:t xml:space="preserve">17.3.1</w:t>
      </w:r>
      <w:bookmarkStart w:id="84" w:name="EB200c38d7a1c345f29b604b38d510a951"/>
      <w:r>
        <w:rPr>
          <w:rFonts w:hint="eastAsia" w:ascii="宋体" w:hAnsi="宋体" w:cs="宋体"/>
          <w:color w:val="auto"/>
          <w:sz w:val="24"/>
          <w:highlight w:val="none"/>
        </w:rPr>
        <w:t xml:space="preserve">采购代理机构拒绝接收在其规定的投标截止时间后上传的任何投标文件。</w:t>
      </w:r>
      <w:bookmarkEnd w:id="84"/>
      <w:r/>
      <w:r/>
    </w:p>
    <w:p>
      <w:pPr>
        <w:ind w:firstLine="480"/>
        <w:spacing w:line="520" w:lineRule="exact"/>
        <w:rPr>
          <w:rFonts w:ascii="宋体" w:hAnsi="宋体" w:cs="宋体"/>
          <w:b/>
          <w:bCs/>
          <w:color w:val="auto"/>
          <w:sz w:val="24"/>
          <w:highlight w:val="none"/>
        </w:rPr>
        <w:outlineLvl w:val="2"/>
      </w:pPr>
      <w:r/>
      <w:bookmarkStart w:id="85" w:name="_Toc513029228"/>
      <w:r/>
      <w:bookmarkStart w:id="86" w:name="_Toc16938544"/>
      <w:r/>
      <w:bookmarkStart w:id="87" w:name="_Toc20823300"/>
      <w:r>
        <w:rPr>
          <w:rFonts w:hint="eastAsia" w:ascii="宋体" w:hAnsi="宋体" w:cs="宋体"/>
          <w:b/>
          <w:bCs/>
          <w:color w:val="auto"/>
          <w:sz w:val="24"/>
          <w:highlight w:val="none"/>
        </w:rPr>
        <w:t xml:space="preserve">17.4、投标文件的撤回和修改</w:t>
      </w:r>
      <w:bookmarkEnd w:id="85"/>
      <w:r/>
      <w:bookmarkEnd w:id="86"/>
      <w:r/>
      <w:bookmarkEnd w:id="87"/>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17.4.1.1电子投标文件的撤回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投标人可在投标截止时间前，撤回其电子投标文件，具体操作方法见《操作手册》。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17.4.1.2投标人撤回电子投标文件，则认为其不再参与本项目投标活动。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17.4.2投标文件的修改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17.4.2.1投标人可在投标截止时间前，对其电子投标文件进行修改，具体操作方法见《操作手册》。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17.4.2.2在投标截止时间之后，投标人不得对其电子投标文件作任何修改。</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17.4.3在投标截止时间至招标文件中规定的投标有效期满之间的这段时间内，投标人不得撤回其投标。</w:t>
      </w:r>
      <w:r/>
    </w:p>
    <w:p>
      <w:pPr>
        <w:pStyle w:val="995"/>
        <w:rPr>
          <w:rFonts w:ascii="宋体" w:hAnsi="宋体" w:eastAsia="宋体" w:cs="宋体"/>
          <w:color w:val="auto"/>
          <w:highlight w:val="none"/>
        </w:rPr>
        <w:outlineLvl w:val="1"/>
      </w:pPr>
      <w:r/>
      <w:bookmarkStart w:id="88" w:name="_Toc27625"/>
      <w:r/>
      <w:bookmarkStart w:id="89" w:name="_Toc30306"/>
      <w:r>
        <w:rPr>
          <w:rFonts w:hint="eastAsia" w:ascii="宋体" w:hAnsi="宋体" w:eastAsia="宋体" w:cs="宋体"/>
          <w:color w:val="auto"/>
          <w:highlight w:val="none"/>
        </w:rPr>
        <w:t xml:space="preserve">五、无效标、投标被拒绝、串通投标认定条款</w:t>
      </w:r>
      <w:bookmarkEnd w:id="80"/>
      <w:r/>
      <w:bookmarkEnd w:id="81"/>
      <w:r/>
      <w:bookmarkEnd w:id="88"/>
      <w:r/>
      <w:bookmarkEnd w:id="89"/>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18、以下情形将视为无效投标</w:t>
      </w:r>
      <w:bookmarkStart w:id="90" w:name="EB94942e5430df4fb8a077f3cf7667f212"/>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18.1.1投标人在苏采云系统规定的时间内未成功解密电子投标文件的。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18.1.2投标人未按照招标文件要求上传电子投标文件的。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18.1.3同一投标人提交两个（含两个）以上不同的投标报价的。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18.1.4投标人不具备招标文件中规定资格要求的（以文字表明的实质性要求和标注“★”的内容均为实质性要求）。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18.1.5投标人的报价超过了采购预算或最高限价的。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18.1.6未通过符合性审查的。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18.1.7不符合招标文件中规定的实质性要求和条件的。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18.1.9投标文件含有采购人不能接受的附加条件的。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18.1.12投标人所投标产品不符合招标文件中所列国家强制性标准的；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18.1.13投标文件未按照招标文件要求加盖公章的。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18.1.14投标文件含有采购人不能接受的附加条件的；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18.1.15投标人有本招标文件规定的恶意串通投标情形的；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18.1.16其它评标委员会认为有必要取消的投标；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18.1.17其他法律、法规及本招标文件规定的属无效投标的情形。</w:t>
      </w:r>
      <w:bookmarkEnd w:id="90"/>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19、以下情形投标将被拒绝</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19.1符合专业条件的供应商或者对招标文件作实质响应的供应商不足三家的（20条规定情形除外）；</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19.2出现影响采购公正的违法、违规行为的；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19.3因重大变故，采购任务取消的。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19.4评标委员会认定招标文件存在歧义、重大缺陷导致评审工作无法进行。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19.5因苏采云系统故障原因造成开标不成功的。</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19.6投标截止时间结束后参加投标的供应商不足三家的处理：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20、投标人不足三家情形处理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21、凡有以下情形者，一经查实，取消中标候选人资格条款</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21.1提供虚假材料谋取中标的；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21.2采取不正当手段诋毁、排挤其他投标人的；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21.3与采购人、其他投标人或者采购代理机构恶意串通的；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21.4向采购人、采购代理机构行贿或者提供其他不正当利益的；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21.5未在规定时间内与采购人签订采购合同的；</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21.6法律、法规规定的其它情况。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22、恶意串通投标的情形</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22.1供应商直接或间接从采购人或采购代理机构处获得其他供应商的投标情况，并修改其投标文件；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22.2评审活动开始前供应商直接或间接从采购人或采购代理机构处获得评标委员会组成人员情况；</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22.3供应商接受采购人或采购代理机构授意撤换、修改投标文件；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22.4供应商之间协商投标报价、技术方案等投标文件实质性内容；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22.5属于同一集团、协会、商会等组织成员的供应商按照该组织要求协同投标；</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22.6供应商之间事先约定由某一特定供应商中标、成交；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22.7供应商之间商定部分供应商放弃投标或者放弃中标、成交；</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22.9不同投标人的投标文件由同一单位或者个人编制；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22.10不同投标人委托同一单位或者个人办理投标事宜；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22.11不同投标人的投标文件载明的项目管理成员或者联系人员为同一人；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22.12不同投标人的投标文件异常一致或者投标报价呈规律性差异；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22.13不同投标人的投标文件相互混装；</w:t>
      </w:r>
      <w:r/>
    </w:p>
    <w:p>
      <w:pPr>
        <w:pStyle w:val="995"/>
        <w:rPr>
          <w:rFonts w:ascii="宋体" w:hAnsi="宋体" w:eastAsia="宋体" w:cs="宋体"/>
          <w:color w:val="auto"/>
          <w:highlight w:val="none"/>
        </w:rPr>
        <w:outlineLvl w:val="1"/>
      </w:pPr>
      <w:r/>
      <w:bookmarkStart w:id="91" w:name="_Toc29013"/>
      <w:r/>
      <w:bookmarkStart w:id="92" w:name="_Toc13553"/>
      <w:r/>
      <w:bookmarkStart w:id="93" w:name="_Toc11517"/>
      <w:r/>
      <w:bookmarkStart w:id="94" w:name="_Toc514054477"/>
      <w:r>
        <w:rPr>
          <w:rFonts w:hint="eastAsia" w:ascii="宋体" w:hAnsi="宋体" w:eastAsia="宋体" w:cs="宋体"/>
          <w:color w:val="auto"/>
          <w:highlight w:val="none"/>
        </w:rPr>
        <w:t xml:space="preserve">六、开标、资格审查、评标程序</w:t>
      </w:r>
      <w:bookmarkEnd w:id="91"/>
      <w:r/>
      <w:bookmarkEnd w:id="92"/>
      <w:r/>
      <w:bookmarkEnd w:id="93"/>
      <w:r/>
      <w:bookmarkEnd w:id="9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23、开标会议</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23.2开标仪式由采购代理机构组织。苏采云系统将自动对项目进行开标，并宣布各投标人名称和投标价格。</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23.3投标人在开标过程中涉及到的投标文件解密、开标结果确认等工作，应按照《操作手册》规定执行。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24、资格审查</w:t>
      </w:r>
      <w:r/>
    </w:p>
    <w:p>
      <w:pPr>
        <w:ind w:firstLine="480"/>
        <w:spacing w:line="500" w:lineRule="exact"/>
        <w:rPr>
          <w:rFonts w:ascii="宋体" w:hAnsi="宋体" w:cs="宋体"/>
          <w:color w:val="auto"/>
          <w:sz w:val="24"/>
          <w:highlight w:val="none"/>
        </w:rPr>
      </w:pPr>
      <w:r/>
      <w:bookmarkStart w:id="95" w:name="EBa9c0a2c9e523494487594c65b2a92370"/>
      <w:r>
        <w:rPr>
          <w:rFonts w:hint="eastAsia" w:ascii="宋体" w:hAnsi="宋体" w:cs="宋体"/>
          <w:color w:val="auto"/>
          <w:sz w:val="24"/>
          <w:highlight w:val="none"/>
        </w:rPr>
        <w:t xml:space="preserve">开标结束后，采购人或经采购人委托的采购代理机构依法据招标文件规定对投标人的资格证明文件等进行审查。</w:t>
      </w:r>
      <w:bookmarkEnd w:id="95"/>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25、评标委员会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26、评标原则</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“公平、公正、客观、择优”为评标的基本原则，评标委员会将根据这一原则，公正、平等地对待各投标人。</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27、评标过程的保密与公正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27.2在评标过程中，投标人不得以任何行为影响评标过程，否则其投标文件将被作为无效投标文件。</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27.3采购代理机构和评标委员会不向未中标的投标人解释未中标原因，也不公布评标过程中的相关细节。</w:t>
      </w:r>
      <w:r/>
    </w:p>
    <w:p>
      <w:pPr>
        <w:ind w:firstLine="480"/>
        <w:spacing w:line="520" w:lineRule="exact"/>
        <w:rPr>
          <w:rFonts w:ascii="宋体" w:hAnsi="宋体" w:cs="宋体"/>
          <w:color w:val="auto"/>
          <w:highlight w:val="none"/>
        </w:rPr>
      </w:pPr>
      <w:r>
        <w:rPr>
          <w:rFonts w:hint="eastAsia" w:ascii="宋体" w:hAnsi="宋体" w:cs="宋体"/>
          <w:color w:val="auto"/>
          <w:sz w:val="24"/>
          <w:highlight w:val="none"/>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28、评标程序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color w:val="auto"/>
          <w:sz w:val="24"/>
          <w:highlight w:val="none"/>
        </w:rPr>
        <w:t xml:space="preserve">所谓重大偏离是指投标人投标文件中所述设备质量、技术规格、数量、交货期和服务等明显不能满足招标文件要求。</w:t>
      </w:r>
      <w:bookmarkEnd w:id="96"/>
      <w:r>
        <w:rPr>
          <w:rFonts w:hint="eastAsia" w:ascii="宋体" w:hAnsi="宋体" w:cs="宋体"/>
          <w:color w:val="auto"/>
          <w:sz w:val="24"/>
          <w:highlight w:val="none"/>
        </w:rPr>
        <w:t xml:space="preserve">重大偏离的认定须经评标委员会三分之二以上同意。</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28.2澄清有关问题。</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评标委员会并非对每个投标人都做澄清要求。</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28.2.4投标文件报价出现前后不一致的，除招标文件另有规定外，按照下列规定修正：</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②大写金额和小写金额不一致的，以大写金额为准；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③单价金额小数点或者百分比有明显错位的，以开标一览表的总价为准，并修改单价；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④总价金额与按单价汇总金额不一致的，以单价金额计算结果为准。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28.5推荐中标候选人。评标委员会按照招标文件中规定的评标方法和标准推荐中标候选人。</w:t>
      </w:r>
      <w:r/>
    </w:p>
    <w:p>
      <w:pPr>
        <w:numPr>
          <w:ilvl w:val="0"/>
          <w:numId w:val="3"/>
        </w:numPr>
        <w:ind w:firstLine="482"/>
        <w:spacing w:line="500" w:lineRule="exact"/>
        <w:rPr>
          <w:rFonts w:ascii="宋体" w:hAnsi="宋体" w:cs="宋体"/>
          <w:b/>
          <w:bCs/>
          <w:color w:val="auto"/>
          <w:sz w:val="24"/>
          <w:highlight w:val="none"/>
        </w:rPr>
      </w:pPr>
      <w:r/>
      <w:bookmarkStart w:id="97" w:name="EBf6bd108017b14bde8ec3ea4804c87c27"/>
      <w:r>
        <w:rPr>
          <w:rFonts w:hint="eastAsia" w:ascii="宋体" w:hAnsi="宋体" w:cs="宋体"/>
          <w:b/>
          <w:bCs/>
          <w:color w:val="auto"/>
          <w:sz w:val="24"/>
          <w:highlight w:val="none"/>
        </w:rPr>
        <w:t xml:space="preserve">政府采购政策功能落实</w:t>
      </w:r>
      <w:r/>
    </w:p>
    <w:p>
      <w:pPr>
        <w:ind w:firstLine="480"/>
        <w:spacing w:line="500" w:lineRule="exact"/>
        <w:rPr>
          <w:rFonts w:ascii="宋体" w:hAnsi="宋体" w:cs="宋体"/>
          <w:color w:val="auto"/>
          <w:sz w:val="24"/>
          <w:szCs w:val="24"/>
          <w:highlight w:val="none"/>
        </w:rPr>
      </w:pPr>
      <w:r/>
      <w:bookmarkStart w:id="98" w:name="EBd9bc59d5f2ed4fb8a64ee2e373d8cc72"/>
      <w:r/>
      <w:bookmarkStart w:id="99" w:name="_Toc5167"/>
      <w:r/>
      <w:bookmarkStart w:id="100" w:name="_Toc9744"/>
      <w:r/>
      <w:bookmarkStart w:id="101" w:name="_Toc23173"/>
      <w:r/>
      <w:bookmarkStart w:id="102" w:name="_Toc514054478"/>
      <w:r/>
      <w:bookmarkStart w:id="103" w:name="_Toc81493168"/>
      <w:r>
        <w:rPr>
          <w:rFonts w:hint="eastAsia" w:ascii="宋体" w:hAnsi="宋体" w:cs="宋体"/>
          <w:color w:val="auto"/>
          <w:sz w:val="24"/>
          <w:szCs w:val="24"/>
          <w:highlight w:val="none"/>
        </w:rPr>
        <w:t xml:space="preserve">29.1政府采购促进中小企业发展，在政府采购活动中，供应商提供的货物、工程或者服务符合下列情形的，享受中小企业扶持政策：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（1）在货物采购项目中，货物由中小企业制造，即货物由中小企业生产且使用该中小企业商号或者注册商标；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（2）在工程采购项目中，工程由中小企业承建，即工程施工单位为中小企业；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以联合体形式参加政府采购活动，联合体各方均为中小企业的，联合体视同中小企业。其中，联合体各方均为</w:t>
      </w:r>
      <w:bookmarkStart w:id="253" w:name="_GoBack"/>
      <w:r/>
      <w:bookmarkEnd w:id="253"/>
      <w:r>
        <w:rPr>
          <w:rFonts w:hint="eastAsia" w:ascii="宋体" w:hAnsi="宋体" w:cs="宋体"/>
          <w:color w:val="auto"/>
          <w:sz w:val="24"/>
          <w:szCs w:val="24"/>
          <w:highlight w:val="none"/>
        </w:rPr>
        <w:t xml:space="preserve">小微企业的，联合体视同小微企业。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29.8进口产品政策</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29.11支持乡村产业振兴管理：落实《关于运用政府采购政策支持乡村产业振兴的通知》（财库〔2021〕19号）有关要求。</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29.12涉及</w:t>
      </w:r>
      <w:r>
        <w:rPr>
          <w:rFonts w:hint="eastAsia" w:ascii="宋体" w:hAnsi="宋体" w:cs="宋体"/>
          <w:color w:val="auto"/>
          <w:sz w:val="24"/>
          <w:szCs w:val="24"/>
          <w:highlight w:val="none"/>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29.14创新产品采购</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29.15网络产品、市场准入类产品采购</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29.15.1本项目</w:t>
      </w:r>
      <w:r>
        <w:rPr>
          <w:rFonts w:hint="eastAsia" w:ascii="宋体" w:hAnsi="宋体" w:cs="宋体"/>
          <w:color w:val="auto"/>
          <w:sz w:val="24"/>
          <w:szCs w:val="24"/>
          <w:highlight w:val="none"/>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29.16落实《关于在全省政府采购领域推行电子履约保函（保险）的通知》（苏财购〔2023〕150号）。</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29.17根据财库〔2026〕2号文件，评审委员会启动异常低价投标审查的情形和具体要求，包括：</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（一）1.投标报价低于全部通过符合性审查供应商投标报价平均值50%的，即投标报价&lt;全部通过符合性审查供应商投标报价平均值×50%；</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2.投标报价低于通过符合性审查的次低报价供应商投标报价50%的，即投标报价&lt;通过符合性审查的次低报价供应商投标报价×50%；</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3.投标报价低于采购项目最高限价45%的，即投标报价&lt;采购项目最高限价×45%；</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4.评审委员会基于专业判断，认为供应商报价过低，有可能影响产品质量或者不能诚信履约的其他情形。</w:t>
      </w:r>
      <w:r/>
    </w:p>
    <w:p>
      <w:pPr>
        <w:ind w:firstLine="241"/>
        <w:spacing w:line="500" w:lineRule="exact"/>
        <w:rPr>
          <w:rFonts w:ascii="宋体" w:hAnsi="宋体" w:cs="宋体"/>
          <w:color w:val="auto"/>
          <w:sz w:val="24"/>
          <w:szCs w:val="24"/>
          <w:highlight w:val="none"/>
        </w:rPr>
      </w:pPr>
      <w:r>
        <w:rPr>
          <w:rFonts w:hint="eastAsia" w:ascii="宋体" w:hAnsi="宋体" w:cs="宋体"/>
          <w:b/>
          <w:bCs/>
          <w:i/>
          <w:iCs/>
          <w:color w:val="auto"/>
          <w:sz w:val="24"/>
          <w:szCs w:val="24"/>
          <w:highlight w:val="none"/>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29.18未按要求提供相关材料的，不享受相关政策。</w:t>
      </w:r>
      <w:r/>
    </w:p>
    <w:p>
      <w:pPr>
        <w:ind w:firstLine="24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29.19在本项目政府采购活动过程中，如果所执行的标准有更新的，按照最新标准执行。</w:t>
      </w:r>
      <w:r/>
    </w:p>
    <w:p>
      <w:pPr>
        <w:pStyle w:val="995"/>
        <w:rPr>
          <w:rFonts w:ascii="宋体" w:hAnsi="宋体" w:eastAsia="宋体" w:cs="宋体"/>
          <w:color w:val="auto"/>
          <w:highlight w:val="none"/>
        </w:rPr>
        <w:outlineLvl w:val="1"/>
      </w:pPr>
      <w:r>
        <w:rPr>
          <w:rFonts w:hint="eastAsia" w:ascii="宋体" w:hAnsi="宋体" w:eastAsia="宋体" w:cs="宋体"/>
          <w:color w:val="auto"/>
          <w:highlight w:val="none"/>
        </w:rPr>
        <w:t xml:space="preserve">七、中标及合同签订</w:t>
      </w:r>
      <w:bookmarkEnd w:id="99"/>
      <w:r/>
      <w:bookmarkEnd w:id="100"/>
      <w:r/>
      <w:bookmarkEnd w:id="101"/>
      <w:r/>
      <w:bookmarkEnd w:id="102"/>
      <w:r/>
      <w:bookmarkEnd w:id="103"/>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30、标后审查</w:t>
      </w:r>
      <w:r/>
    </w:p>
    <w:p>
      <w:pPr>
        <w:ind w:firstLine="480"/>
        <w:spacing w:line="500" w:lineRule="exact"/>
        <w:rPr>
          <w:rFonts w:ascii="宋体" w:hAnsi="宋体" w:cs="宋体"/>
          <w:color w:val="auto"/>
          <w:sz w:val="24"/>
          <w:highlight w:val="none"/>
        </w:rPr>
      </w:pPr>
      <w:r/>
      <w:bookmarkStart w:id="104" w:name="EB17cdacdfdd1244abbb73389fe0bfffe7"/>
      <w:r>
        <w:rPr>
          <w:rFonts w:hint="eastAsia" w:ascii="宋体" w:hAnsi="宋体" w:cs="宋体"/>
          <w:color w:val="auto"/>
          <w:sz w:val="24"/>
          <w:highlight w:val="none"/>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31、确定中标人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31.2在中标结果公告届满之前，中标人被列为失信被执行人的，取消其中标资格，并重新确定中标人。</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31.3采购人不得通过对样品进行检测、对供应商进行考察等方式改变评审结果。</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32、中标通知书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32.1中标结果在财政部门指定信息媒体上发布公告，招标代理机构将向中标人发出中标通知书。</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32.2中标人应及时到招标代理机构领取中标通知书，中标通知书是签订合同的依据和组成部分。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33、签订合同</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34、履约保证金</w:t>
      </w:r>
      <w:r/>
    </w:p>
    <w:p>
      <w:pPr>
        <w:ind w:firstLine="480"/>
        <w:rPr>
          <w:rFonts w:ascii="宋体" w:hAnsi="宋体" w:cs="宋体"/>
          <w:color w:val="auto"/>
          <w:sz w:val="24"/>
          <w:szCs w:val="24"/>
          <w:highlight w:val="none"/>
        </w:rPr>
      </w:pPr>
      <w:r/>
      <w:bookmarkStart w:id="105" w:name="EB3094b551b51c42ca93e0255d679fb06f"/>
      <w:r>
        <w:rPr>
          <w:rFonts w:hint="eastAsia" w:ascii="宋体" w:hAnsi="宋体" w:cs="宋体"/>
          <w:color w:val="auto"/>
          <w:sz w:val="24"/>
          <w:szCs w:val="24"/>
          <w:highlight w:val="none"/>
        </w:rPr>
        <w:t xml:space="preserve">见前附表。</w:t>
      </w:r>
      <w:bookmarkEnd w:id="105"/>
      <w:r/>
      <w:r/>
    </w:p>
    <w:p>
      <w:pPr>
        <w:pStyle w:val="995"/>
        <w:rPr>
          <w:rFonts w:ascii="宋体" w:hAnsi="宋体" w:eastAsia="宋体" w:cs="宋体"/>
          <w:color w:val="auto"/>
          <w:highlight w:val="none"/>
        </w:rPr>
        <w:outlineLvl w:val="1"/>
      </w:pPr>
      <w:r/>
      <w:bookmarkStart w:id="106" w:name="_Toc25599"/>
      <w:r/>
      <w:bookmarkStart w:id="107" w:name="_Toc514054479"/>
      <w:r/>
      <w:bookmarkStart w:id="108" w:name="_Toc31894"/>
      <w:r/>
      <w:bookmarkStart w:id="109" w:name="_Toc14752"/>
      <w:r/>
      <w:bookmarkStart w:id="110" w:name="_Toc81493169"/>
      <w:r>
        <w:rPr>
          <w:rFonts w:hint="eastAsia" w:ascii="宋体" w:hAnsi="宋体" w:eastAsia="宋体" w:cs="宋体"/>
          <w:color w:val="auto"/>
          <w:highlight w:val="none"/>
        </w:rPr>
        <w:t xml:space="preserve">八、验收及付款</w:t>
      </w:r>
      <w:bookmarkEnd w:id="106"/>
      <w:r/>
      <w:bookmarkEnd w:id="107"/>
      <w:r/>
      <w:bookmarkEnd w:id="108"/>
      <w:r/>
      <w:bookmarkEnd w:id="109"/>
      <w:r/>
      <w:bookmarkEnd w:id="110"/>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35、验收</w:t>
      </w:r>
      <w:r/>
    </w:p>
    <w:p>
      <w:pPr>
        <w:ind w:firstLine="480"/>
        <w:spacing w:line="500" w:lineRule="exact"/>
        <w:rPr>
          <w:rFonts w:ascii="宋体" w:hAnsi="宋体" w:cs="宋体"/>
          <w:color w:val="auto"/>
          <w:sz w:val="24"/>
          <w:highlight w:val="none"/>
        </w:rPr>
      </w:pPr>
      <w:r/>
      <w:bookmarkStart w:id="111" w:name="EBbbb2492ed6b84c9193a6bb6f72a512f3"/>
      <w:r>
        <w:rPr>
          <w:rFonts w:hint="eastAsia" w:ascii="宋体" w:hAnsi="宋体" w:cs="宋体"/>
          <w:color w:val="auto"/>
          <w:sz w:val="24"/>
          <w:highlight w:val="none"/>
        </w:rPr>
        <w:t xml:space="preserve">35.1由采购人组织验收，中标人配合。</w:t>
      </w:r>
      <w:bookmarkEnd w:id="111"/>
      <w:r/>
      <w:r/>
    </w:p>
    <w:p>
      <w:pPr>
        <w:ind w:firstLine="482"/>
        <w:spacing w:line="500" w:lineRule="exact"/>
        <w:rPr>
          <w:rFonts w:ascii="宋体" w:hAnsi="宋体" w:cs="宋体"/>
          <w:b/>
          <w:color w:val="auto"/>
          <w:sz w:val="24"/>
          <w:highlight w:val="none"/>
        </w:rPr>
      </w:pPr>
      <w:r>
        <w:rPr>
          <w:rFonts w:hint="eastAsia" w:ascii="宋体" w:hAnsi="宋体" w:cs="宋体"/>
          <w:b/>
          <w:color w:val="auto"/>
          <w:sz w:val="24"/>
          <w:highlight w:val="none"/>
        </w:rPr>
        <w:t xml:space="preserve">36、付款</w:t>
      </w:r>
      <w:r/>
    </w:p>
    <w:p>
      <w:pPr>
        <w:ind w:firstLine="480"/>
        <w:spacing w:line="500" w:lineRule="exact"/>
        <w:rPr>
          <w:rFonts w:ascii="宋体" w:hAnsi="宋体" w:cs="宋体"/>
          <w:color w:val="auto"/>
          <w:sz w:val="24"/>
          <w:highlight w:val="none"/>
        </w:rPr>
      </w:pPr>
      <w:r/>
      <w:bookmarkStart w:id="112" w:name="EBf0da31fab3a04ad0893de83144a87b34"/>
      <w:r>
        <w:rPr>
          <w:rFonts w:hint="eastAsia" w:ascii="宋体" w:hAnsi="宋体" w:cs="宋体"/>
          <w:color w:val="auto"/>
          <w:sz w:val="24"/>
          <w:highlight w:val="none"/>
        </w:rPr>
        <w:t xml:space="preserve">36.1</w:t>
      </w:r>
      <w:bookmarkEnd w:id="112"/>
      <w:r>
        <w:rPr>
          <w:rFonts w:hint="eastAsia" w:ascii="宋体" w:hAnsi="宋体" w:cs="宋体"/>
          <w:color w:val="auto"/>
          <w:sz w:val="24"/>
          <w:highlight w:val="none"/>
        </w:rPr>
        <w:t xml:space="preserve">采购人按招标文件要求办理采购款支付手续。</w:t>
      </w:r>
      <w:r/>
    </w:p>
    <w:p>
      <w:pPr>
        <w:pStyle w:val="995"/>
        <w:rPr>
          <w:rFonts w:ascii="宋体" w:hAnsi="宋体" w:eastAsia="宋体" w:cs="宋体"/>
          <w:color w:val="auto"/>
          <w:highlight w:val="none"/>
        </w:rPr>
        <w:outlineLvl w:val="1"/>
      </w:pPr>
      <w:r/>
      <w:bookmarkStart w:id="113" w:name="_Toc10945"/>
      <w:r/>
      <w:bookmarkStart w:id="114" w:name="_Toc26939"/>
      <w:r/>
      <w:bookmarkStart w:id="115" w:name="_Toc31322"/>
      <w:r/>
      <w:bookmarkStart w:id="116" w:name="_Toc81493170"/>
      <w:r/>
      <w:bookmarkStart w:id="117" w:name="_Toc514054480"/>
      <w:r>
        <w:rPr>
          <w:rFonts w:hint="eastAsia" w:ascii="宋体" w:hAnsi="宋体" w:eastAsia="宋体" w:cs="宋体"/>
          <w:color w:val="auto"/>
          <w:highlight w:val="none"/>
        </w:rPr>
        <w:t xml:space="preserve">九、质疑与投诉</w:t>
      </w:r>
      <w:bookmarkEnd w:id="113"/>
      <w:r/>
      <w:bookmarkEnd w:id="114"/>
      <w:r/>
      <w:bookmarkEnd w:id="115"/>
      <w:r/>
      <w:bookmarkEnd w:id="116"/>
      <w:r/>
      <w:bookmarkEnd w:id="117"/>
      <w:r/>
      <w:r/>
    </w:p>
    <w:p>
      <w:pPr>
        <w:ind w:firstLine="422"/>
        <w:spacing w:line="500" w:lineRule="exact"/>
        <w:rPr>
          <w:rFonts w:ascii="宋体" w:hAnsi="宋体" w:cs="宋体"/>
          <w:b/>
          <w:color w:val="auto"/>
          <w:highlight w:val="none"/>
        </w:rPr>
      </w:pPr>
      <w:r>
        <w:rPr>
          <w:rFonts w:hint="eastAsia" w:ascii="宋体" w:hAnsi="宋体" w:cs="宋体"/>
          <w:b/>
          <w:color w:val="auto"/>
          <w:highlight w:val="none"/>
        </w:rPr>
        <w:t xml:space="preserve">37、质疑与投诉</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37.2供应商应知其权益受到损害之日，是指：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（1）对本项目采购文件提出质疑的，采购文件公告期限届满之日；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（2）对本项目采购过程提出质疑的，为各采购程序环节结束之日；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（3）对本项目中标或者成交结果提出质疑的，为中标或者成交结果公告期限届满之日。</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37.4供应商提出质疑应当提交质疑函和必要的证明材料。质疑函的必备内容：</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（1）供应商的姓名或者名称、地址、邮编、联系人及联系电话；</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（2）质疑项目的名称、编号；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（3）具体、明确的质疑事项和质疑事项相关的请求；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（4）事实依据；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（5）必要的法律依据；</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（6）提出质疑的日期；</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37.5以联合体形式参加政府采购活动的，其质疑应当由组成联合体的所有供应商共同提出。</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w:t>
      </w:r>
      <w:bookmarkEnd w:id="97"/>
      <w:r/>
      <w:r/>
    </w:p>
    <w:p>
      <w:pPr>
        <w:pStyle w:val="995"/>
        <w:spacing w:line="360" w:lineRule="auto"/>
        <w:rPr>
          <w:rFonts w:ascii="宋体" w:hAnsi="宋体" w:eastAsia="宋体" w:cs="宋体"/>
          <w:color w:val="auto"/>
          <w:highlight w:val="none"/>
        </w:rPr>
        <w:outlineLvl w:val="1"/>
      </w:pPr>
      <w:r/>
      <w:bookmarkStart w:id="118" w:name="_Toc16938558"/>
      <w:r/>
      <w:bookmarkStart w:id="119" w:name="_Toc20823314"/>
      <w:r/>
      <w:bookmarkStart w:id="120" w:name="_Toc26968"/>
      <w:r/>
      <w:bookmarkStart w:id="121" w:name="_Toc120614221"/>
      <w:r/>
      <w:bookmarkStart w:id="122" w:name="_Toc513029242"/>
      <w:r/>
      <w:bookmarkStart w:id="123" w:name="_Toc32340"/>
      <w:r/>
      <w:bookmarkStart w:id="124" w:name="_Toc479757207"/>
      <w:r>
        <w:rPr>
          <w:rFonts w:hint="eastAsia" w:ascii="宋体" w:hAnsi="宋体" w:eastAsia="宋体" w:cs="宋体"/>
          <w:color w:val="auto"/>
          <w:highlight w:val="none"/>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中标人可凭政府采购合同办理融资贷款，详情请见江苏政府采购网“政采贷”专栏。</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 </w:t>
      </w:r>
      <w:r/>
    </w:p>
    <w:p>
      <w:pPr>
        <w:pStyle w:val="975"/>
        <w:spacing w:before="0" w:after="0"/>
        <w:rPr>
          <w:color w:val="auto"/>
          <w:highlight w:val="none"/>
        </w:rPr>
      </w:pPr>
      <w:r>
        <w:rPr>
          <w:rFonts w:hint="eastAsia"/>
          <w:color w:val="auto"/>
          <w:highlight w:val="none"/>
        </w:rPr>
        <w:br w:type="page" w:clear="all"/>
      </w:r>
      <w:bookmarkStart w:id="125" w:name="_Toc28399"/>
      <w:r/>
      <w:bookmarkStart w:id="126" w:name="_Toc2112"/>
      <w:r>
        <w:rPr>
          <w:rFonts w:hint="eastAsia"/>
          <w:color w:val="auto"/>
          <w:highlight w:val="none"/>
        </w:rPr>
        <w:t xml:space="preserve">第三部分评标方法和标准</w:t>
      </w:r>
      <w:bookmarkEnd w:id="125"/>
      <w:r/>
      <w:bookmarkEnd w:id="126"/>
      <w:r/>
      <w:r/>
    </w:p>
    <w:p>
      <w:pPr>
        <w:ind w:firstLine="643"/>
        <w:spacing w:before="156" w:after="156"/>
        <w:rPr>
          <w:rFonts w:ascii="宋体" w:hAnsi="宋体" w:cs="宋体"/>
          <w:b/>
          <w:color w:val="auto"/>
          <w:sz w:val="32"/>
          <w:szCs w:val="32"/>
          <w:highlight w:val="none"/>
        </w:rPr>
        <w:outlineLvl w:val="1"/>
      </w:pPr>
      <w:r/>
      <w:bookmarkStart w:id="127" w:name="_Toc24217_WPSOffice_Level2"/>
      <w:r/>
      <w:bookmarkStart w:id="128" w:name="_Toc4647"/>
      <w:r/>
      <w:bookmarkStart w:id="129" w:name="_Toc12296"/>
      <w:r/>
      <w:bookmarkStart w:id="130" w:name="_Toc17445"/>
      <w:r>
        <w:rPr>
          <w:rFonts w:hint="eastAsia" w:ascii="宋体" w:hAnsi="宋体" w:cs="宋体"/>
          <w:b/>
          <w:color w:val="auto"/>
          <w:sz w:val="32"/>
          <w:szCs w:val="32"/>
          <w:highlight w:val="none"/>
        </w:rPr>
        <w:t xml:space="preserve">一、资格审查</w:t>
      </w:r>
      <w:bookmarkEnd w:id="127"/>
      <w:r/>
      <w:bookmarkEnd w:id="128"/>
      <w:r/>
      <w:bookmarkEnd w:id="129"/>
      <w:r/>
      <w:bookmarkEnd w:id="130"/>
      <w:r/>
      <w:r/>
    </w:p>
    <w:p>
      <w:pPr>
        <w:ind w:firstLine="420"/>
        <w:rPr>
          <w:rFonts w:ascii="宋体" w:hAnsi="宋体" w:cs="宋体"/>
          <w:color w:val="auto"/>
          <w:sz w:val="24"/>
          <w:highlight w:val="none"/>
        </w:rPr>
      </w:pPr>
      <w:r>
        <w:rPr>
          <w:rFonts w:hint="eastAsia" w:ascii="宋体" w:hAnsi="宋体" w:cs="宋体"/>
          <w:color w:val="auto"/>
          <w:sz w:val="24"/>
          <w:highlight w:val="none"/>
        </w:rPr>
        <w:t xml:space="preserve">采购人按照下列指标对各投标人的资格进行审查，未通过审查的为无效标，不参与评标。</w:t>
      </w:r>
      <w:r/>
    </w:p>
    <w:tbl>
      <w:tblPr>
        <w:tblStyle w:val="977"/>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资格审查因素</w:t>
            </w:r>
            <w:r/>
          </w:p>
        </w:tc>
        <w:tc>
          <w:tcPr>
            <w:tcW w:w="4335"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288"/>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具有独立承担民事责任的能力</w:t>
            </w:r>
            <w:r/>
          </w:p>
        </w:tc>
        <w:tc>
          <w:tcPr>
            <w:tcW w:w="4335" w:type="dxa"/>
            <w:vAlign w:val="center"/>
            <w:vMerge w:val="restart"/>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符合招标文件第11条“投标文件构成”的要求</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具有良好的商业信誉和健全的财务会计制度</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具有履行合同所必需的设备和专业技术能力</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bCs/>
                <w:color w:val="auto"/>
                <w:highlight w:val="none"/>
              </w:rPr>
              <w:t xml:space="preserve">有依法缴纳税收和社会保障资金的良好记录</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90"/>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无重大违法行为声明</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rHeight w:val="287"/>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法律、行政法规规定的其他条件</w:t>
            </w:r>
            <w:r/>
          </w:p>
        </w:tc>
        <w:tc>
          <w:tcPr>
            <w:tcW w:w="4335" w:type="dxa"/>
            <w:vAlign w:val="center"/>
            <w:vMerge w:val="continue"/>
            <w:textDirection w:val="lrTb"/>
            <w:noWrap w:val="false"/>
          </w:tcPr>
          <w:p>
            <w:pPr>
              <w:jc w:val="left"/>
              <w:rPr>
                <w:rFonts w:ascii="宋体" w:hAnsi="宋体" w:cs="宋体"/>
                <w:color w:val="auto"/>
                <w:highlight w:val="none"/>
              </w:rPr>
            </w:pPr>
            <w:r>
              <w:rPr>
                <w:rFonts w:ascii="宋体" w:hAnsi="宋体" w:cs="宋体"/>
                <w:color w:val="auto"/>
                <w:highlight w:val="none"/>
              </w:rPr>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符合联合体规定</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28"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特定资格要求（如有）</w:t>
            </w:r>
            <w:r/>
          </w:p>
        </w:tc>
        <w:tc>
          <w:tcPr>
            <w:tcW w:w="4335"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ind w:firstLine="643"/>
        <w:spacing w:before="156" w:after="156"/>
        <w:rPr>
          <w:rFonts w:ascii="宋体" w:hAnsi="宋体" w:cs="宋体"/>
          <w:b/>
          <w:color w:val="auto"/>
          <w:sz w:val="32"/>
          <w:szCs w:val="32"/>
          <w:highlight w:val="none"/>
        </w:rPr>
        <w:outlineLvl w:val="1"/>
      </w:pPr>
      <w:r/>
      <w:bookmarkStart w:id="131" w:name="_Toc17529"/>
      <w:r/>
      <w:bookmarkStart w:id="132" w:name="_Toc18818"/>
      <w:r>
        <w:rPr>
          <w:rFonts w:hint="eastAsia" w:ascii="宋体" w:hAnsi="宋体" w:cs="宋体"/>
          <w:b/>
          <w:color w:val="auto"/>
          <w:sz w:val="32"/>
          <w:szCs w:val="32"/>
          <w:highlight w:val="none"/>
        </w:rPr>
        <w:t xml:space="preserve">二、符合性审查</w:t>
      </w:r>
      <w:bookmarkEnd w:id="131"/>
      <w:r/>
      <w:bookmarkEnd w:id="132"/>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未通过审查的为无效标，不再参与评审。</w:t>
      </w:r>
      <w:r/>
    </w:p>
    <w:tbl>
      <w:tblPr>
        <w:tblStyle w:val="977"/>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符合性审查因素</w:t>
            </w:r>
            <w:r/>
          </w:p>
        </w:tc>
        <w:tc>
          <w:tcPr>
            <w:tcW w:w="4321"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审查标准</w:t>
            </w:r>
            <w:r/>
          </w:p>
        </w:tc>
      </w:tr>
      <w:tr>
        <w:trPr>
          <w:trHeight w:val="90"/>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投标函</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法定代表人身份证明或授权委托书</w:t>
            </w:r>
            <w:r/>
          </w:p>
          <w:p>
            <w:pPr>
              <w:jc w:val="left"/>
              <w:rPr>
                <w:rFonts w:ascii="宋体" w:hAnsi="宋体" w:cs="宋体"/>
                <w:color w:val="auto"/>
                <w:highlight w:val="none"/>
              </w:rPr>
            </w:pPr>
            <w:r>
              <w:rPr>
                <w:rFonts w:hint="eastAsia" w:ascii="宋体" w:hAnsi="宋体" w:cs="宋体"/>
                <w:color w:val="auto"/>
                <w:highlight w:val="none"/>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符合招标文件的要求</w:t>
            </w:r>
            <w:r/>
          </w:p>
        </w:tc>
      </w:tr>
      <w:tr>
        <w:trPr>
          <w:trHeight w:val="287"/>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签署和盖章符合要求</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r>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开标一览表及投标报价</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格式、填写要求符合招标文件规定（报价未超过预算或最高限价）</w:t>
            </w:r>
            <w:r/>
          </w:p>
        </w:tc>
      </w:tr>
      <w:tr>
        <w:trPr/>
        <w:tc>
          <w:tcPr>
            <w:tcW w:w="485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投标文件对招标文件的实质性条款的响应性</w:t>
            </w:r>
            <w:r/>
          </w:p>
        </w:tc>
        <w:tc>
          <w:tcPr>
            <w:tcW w:w="4321" w:type="dxa"/>
            <w:vAlign w:val="center"/>
            <w:textDirection w:val="lrTb"/>
            <w:noWrap w:val="false"/>
          </w:tcPr>
          <w:p>
            <w:pPr>
              <w:jc w:val="left"/>
              <w:rPr>
                <w:rFonts w:ascii="宋体" w:hAnsi="宋体" w:cs="宋体"/>
                <w:color w:val="auto"/>
                <w:highlight w:val="none"/>
              </w:rPr>
            </w:pPr>
            <w:r>
              <w:rPr>
                <w:rFonts w:hint="eastAsia" w:ascii="宋体" w:hAnsi="宋体" w:cs="宋体"/>
                <w:color w:val="auto"/>
                <w:highlight w:val="none"/>
              </w:rPr>
              <w:t xml:space="preserve">符合招标文件规定</w:t>
            </w:r>
            <w:r/>
          </w:p>
        </w:tc>
      </w:tr>
    </w:tbl>
    <w:p>
      <w:pPr>
        <w:rPr>
          <w:rFonts w:ascii="宋体" w:hAnsi="宋体" w:cs="宋体"/>
          <w:b/>
          <w:color w:val="auto"/>
          <w:sz w:val="32"/>
          <w:szCs w:val="32"/>
          <w:highlight w:val="none"/>
        </w:rPr>
        <w:outlineLvl w:val="1"/>
      </w:pPr>
      <w:r/>
      <w:bookmarkStart w:id="133" w:name="_Toc3702"/>
      <w:r/>
      <w:bookmarkStart w:id="134" w:name="_Toc11959"/>
      <w:r/>
      <w:bookmarkStart w:id="135" w:name="_Toc17823"/>
      <w:r>
        <w:rPr>
          <w:rFonts w:hint="eastAsia" w:ascii="宋体" w:hAnsi="宋体" w:cs="宋体"/>
          <w:b/>
          <w:color w:val="auto"/>
          <w:sz w:val="32"/>
          <w:szCs w:val="32"/>
          <w:highlight w:val="none"/>
        </w:rPr>
        <w:t xml:space="preserve">三、评分办法—综合评分法</w:t>
      </w:r>
      <w:bookmarkEnd w:id="133"/>
      <w:r/>
      <w:bookmarkEnd w:id="134"/>
      <w:r/>
      <w:bookmarkEnd w:id="135"/>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得分高优先；评分、报价、技术响应得分均相同时，由评标委员会通过抽签方式排序。</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color w:val="auto"/>
          <w:sz w:val="20"/>
          <w:highlight w:val="none"/>
        </w:rPr>
      </w:pPr>
      <w:r>
        <w:rPr>
          <w:rFonts w:hint="eastAsia" w:ascii="宋体" w:hAnsi="宋体" w:cs="宋体"/>
          <w:color w:val="auto"/>
          <w:sz w:val="24"/>
          <w:highlight w:val="none"/>
        </w:rPr>
        <w:t xml:space="preserve">综合评分保留至小数点后两位。</w:t>
      </w: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2、详细评审。评标委员会按照招标文件规定的评分标准，对各投标文件进行详细评审打分。评标委员会组长对各评审专家的打分情况进行复核无误后汇总，形成评审报告。</w:t>
      </w:r>
      <w:r/>
    </w:p>
    <w:tbl>
      <w:tblPr>
        <w:tblStyle w:val="977"/>
        <w:tblW w:w="4829" w:type="pct"/>
        <w:tblInd w:w="115" w:type="dxa"/>
        <w:tblLayout w:type="fixed"/>
        <w:tblCellMar>
          <w:left w:w="108" w:type="dxa"/>
          <w:top w:w="0" w:type="dxa"/>
          <w:right w:w="108" w:type="dxa"/>
          <w:bottom w:w="0" w:type="dxa"/>
        </w:tblCellMar>
        <w:tblLook w:val="04A0" w:firstRow="1" w:lastRow="0" w:firstColumn="1" w:lastColumn="0" w:noHBand="0" w:noVBand="1"/>
      </w:tblPr>
      <w:tblGrid>
        <w:gridCol w:w="691"/>
        <w:gridCol w:w="1243"/>
        <w:gridCol w:w="6260"/>
        <w:gridCol w:w="1323"/>
      </w:tblGrid>
      <w:tr>
        <w:trPr>
          <w:trHeight w:val="9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jc w:val="center"/>
              <w:spacing w:line="360" w:lineRule="auto"/>
              <w:widowControl/>
              <w:rPr>
                <w:rFonts w:ascii="宋体" w:hAnsi="宋体" w:cs="宋体"/>
                <w:b/>
                <w:bCs/>
                <w:color w:val="auto"/>
                <w:sz w:val="24"/>
                <w:highlight w:val="none"/>
              </w:rPr>
            </w:pPr>
            <w:r/>
            <w:bookmarkStart w:id="136" w:name="_Toc514054481"/>
            <w:r>
              <w:rPr>
                <w:rFonts w:hint="eastAsia" w:ascii="宋体" w:hAnsi="宋体" w:cs="宋体"/>
                <w:b/>
                <w:bCs/>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653"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评分因素</w:t>
            </w:r>
            <w:r/>
          </w:p>
        </w:tc>
        <w:tc>
          <w:tcPr>
            <w:tcBorders>
              <w:top w:val="single" w:color="auto" w:sz="4" w:space="0"/>
              <w:left w:val="none" w:color="000000" w:sz="4" w:space="0"/>
              <w:bottom w:val="single" w:color="auto" w:sz="4" w:space="0"/>
              <w:right w:val="single" w:color="auto" w:sz="4" w:space="0"/>
            </w:tcBorders>
            <w:tcW w:w="3288"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695" w:type="pct"/>
            <w:vAlign w:val="center"/>
            <w:textDirection w:val="lrTb"/>
            <w:noWrap w:val="false"/>
          </w:tcPr>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分值</w:t>
            </w:r>
            <w:r/>
          </w:p>
        </w:tc>
      </w:tr>
      <w:tr>
        <w:trPr>
          <w:trHeight w:val="54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采用低价优先法计算，即满足招标文件要求且投标价格最低的投标报价为评标基准价，其价格分为满分。其他供应商的价格分统一按照下列公式计算：投标报价得分=(评标基准价/投标报价)×30（小数点保留两位）</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30分</w:t>
            </w:r>
            <w:r/>
          </w:p>
        </w:tc>
      </w:tr>
      <w:tr>
        <w:trPr>
          <w:trHeight w:val="9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lang w:eastAsia="en-US"/>
              </w:rPr>
              <w:t xml:space="preserve">技术响应</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技术参数全部满足招标要求的得满分32分；在此基础上，招标文件中标注“★”的内容为实质性要求，有一项不符合的，作无效投标处理；招标文件中标注“▲”的为重要参数，对这些重要参数负偏离的，则每项扣1.5分，重要参数负偏离项不得超过3项，否则作无效投标处理 ；其他非重要参数负偏离的，则每项扣0.5分，非重要参数负偏离项不得超过6项，否则作无效投标处理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注：（1）凡标有最低一级序号的指标项即为一项技术条款，无论是否隶属于上一级编号；（2）标注“★”“▲”的必须在投标文件内提供技术支持资料（第四章招标技术规格及要求中“技术要求”内有明确要求的根据要求提供；未要求的，提供明确说明该技术内容的公开发行的产品彩页或产品说明书或由国家认可的认证（检测）机构出具的检测报告等），未提供技术支持资料的，评审时不予认可。</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32分</w:t>
            </w:r>
            <w:r/>
          </w:p>
        </w:tc>
      </w:tr>
      <w:tr>
        <w:trPr>
          <w:trHeight w:val="54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技术方案整体评价</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方案逻辑完整闭环，从需求匹配、落地路径到后续开发支撑的内容完全贴合混合信号测试开发的实际使用场景，细节详实可直接落地执行，整体呈现专业度高，得12分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方案框架清晰完整，核心环节的内容表述明确，能对应项目的主要使用需求，无明显逻辑漏洞，整体可行性较强，得9分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方案基础要素齐全，核心内容无重大缺漏，可对应项目的基础要求，整体能支撑项目常规推进，得6分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方案框架零散，关键内容缺失严重，无法对应项目的核心需求，整体不具备可落地性，得3分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未提供或不能满足项目实际需求不得分。</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12分</w:t>
            </w:r>
            <w:r/>
          </w:p>
        </w:tc>
      </w:tr>
      <w:tr>
        <w:trPr>
          <w:trHeight w:val="54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实施方案</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投标人针对本项目提供项目实施方案，内容包括但不限于：设备安装方案、计划进度、项目管理、调试大纲以及验收方案等：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方案内容完整、详细，进度控制合理，项目管理、调试大纲以及验收方案科学合理，可行性强且完全满足项目实际需求，得6分；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方案内容基本完整，有进度控制但略有瑕疵，项目管理、调试大纲以及验收方案基本合理，可基本满足项目实际需求，得4分；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方案内容有缺失，进度控制不明确，项目管理、调试大纲以及验收方案需进一步修改完善方可满足项目实际需求，得2分；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未提供实施方案或不能满足项目实际需求不得分。</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6分</w:t>
            </w:r>
            <w:r/>
          </w:p>
        </w:tc>
      </w:tr>
      <w:tr>
        <w:trPr>
          <w:trHeight w:val="54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质量保障</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根据供应商针对本项目提供的质量保障方案（内容包括但不限于：产品安装重难点质量把控措施、产品质量控制及要求等）综合评价：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内容完整具体、科学合理、保障措施得力、针对项目需求且可行性强，得6分；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内容较完整具体、科学合理性较好、保障措施可行、针对项目需求且可行性较好，得4分；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内容基本合理可行略有欠缺、部分需进一步修改完善方可满足项目要求，得2分；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未描述或不能满足项目实际需求不得分。</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6分</w:t>
            </w:r>
            <w:r/>
          </w:p>
        </w:tc>
      </w:tr>
      <w:tr>
        <w:trPr>
          <w:trHeight w:val="540"/>
        </w:trPr>
        <w:tc>
          <w:tcPr>
            <w:tcBorders>
              <w:top w:val="single" w:color="auto" w:sz="4" w:space="0"/>
              <w:left w:val="single" w:color="auto" w:sz="4" w:space="0"/>
              <w:right w:val="single" w:color="auto" w:sz="4" w:space="0"/>
            </w:tcBorders>
            <w:tcW w:w="363" w:type="pct"/>
            <w:vAlign w:val="center"/>
            <w:vMerge w:val="restart"/>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p>
        </w:tc>
        <w:tc>
          <w:tcPr>
            <w:tcBorders>
              <w:top w:val="single" w:color="auto" w:sz="4" w:space="0"/>
              <w:left w:val="single" w:color="auto" w:sz="4" w:space="0"/>
              <w:right w:val="single" w:color="auto" w:sz="4" w:space="0"/>
            </w:tcBorders>
            <w:tcW w:w="653" w:type="pct"/>
            <w:vAlign w:val="center"/>
            <w:vMerge w:val="restart"/>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售后服务</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培训方案</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投标人应根据招标文件要求及本项目特点，提供项目售后服务方案，内容包括服务内容、故障解决方案、响应时间、维修服务场所地理位置便利性、专业技术人员保障及服务电话等。</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方案全面合理，服务流程及内容具体，响应时间迅速，服务人员齐备，得3分；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方案较全面，有基本服务流程及内容，响应时间较为迅速，服务人员匹配基本满足需求，得2分；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方案较片面，服务流程及内容空洞或欠缺，响应时间缓慢，服务人员匹配欠缺，得1分；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3分</w:t>
            </w:r>
            <w:r/>
          </w:p>
        </w:tc>
      </w:tr>
      <w:tr>
        <w:trPr>
          <w:trHeight w:val="382"/>
        </w:trPr>
        <w:tc>
          <w:tcPr>
            <w:tcBorders>
              <w:left w:val="single" w:color="auto" w:sz="4" w:space="0"/>
              <w:bottom w:val="single" w:color="auto" w:sz="4" w:space="0"/>
              <w:right w:val="single" w:color="auto" w:sz="4" w:space="0"/>
            </w:tcBorders>
            <w:tcW w:w="363" w:type="pct"/>
            <w:vAlign w:val="center"/>
            <w:vMerge w:val="continue"/>
            <w:textDirection w:val="lrTb"/>
            <w:noWrap/>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left w:val="single" w:color="auto" w:sz="4" w:space="0"/>
              <w:bottom w:val="single" w:color="auto" w:sz="4" w:space="0"/>
              <w:right w:val="single" w:color="auto" w:sz="4" w:space="0"/>
            </w:tcBorders>
            <w:tcW w:w="653" w:type="pct"/>
            <w:vAlign w:val="center"/>
            <w:vMerge w:val="continue"/>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培训方案：投标人应根据招标文件要求及本项目特点，提供项目培训方案。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方案全面合理有效，具有详细的培训计划、培训师资力量、培训内容，得3分；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方案不够全面，有效性欠缺，培训计划、培训师资力量、培训内容不够详细，得2分；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方案片面，不具有执行有效性，培训计划、培训师资力量、培训内容不详细，得1分；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未提供方案不得分。</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3分</w:t>
            </w:r>
            <w:r/>
          </w:p>
        </w:tc>
      </w:tr>
      <w:tr>
        <w:trPr>
          <w:trHeight w:val="540"/>
        </w:trPr>
        <w:tc>
          <w:tcPr>
            <w:tcBorders>
              <w:top w:val="single" w:color="auto" w:sz="4" w:space="0"/>
              <w:left w:val="single" w:color="auto" w:sz="4" w:space="0"/>
              <w:bottom w:val="single" w:color="auto" w:sz="4" w:space="0"/>
              <w:right w:val="single" w:color="auto" w:sz="4" w:space="0"/>
            </w:tcBorders>
            <w:tcW w:w="363" w:type="pct"/>
            <w:vAlign w:val="center"/>
            <w:textDirection w:val="lrTb"/>
            <w:noWrap/>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业绩</w:t>
            </w:r>
            <w:r/>
          </w:p>
        </w:tc>
        <w:tc>
          <w:tcPr>
            <w:tcBorders>
              <w:top w:val="single" w:color="auto" w:sz="4" w:space="0"/>
              <w:left w:val="single" w:color="auto" w:sz="4" w:space="0"/>
              <w:bottom w:val="single" w:color="auto" w:sz="4" w:space="0"/>
              <w:right w:val="single" w:color="auto" w:sz="4" w:space="0"/>
            </w:tcBorders>
            <w:tcW w:w="3288" w:type="pct"/>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2022年1月1日至今投标人承接的类似项目成功案例，每提供一份合同得2分，最高8分。（提供合同扫描件加盖公章，以合同签订时间为准，原件备查。）</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8分</w:t>
            </w:r>
            <w:r/>
          </w:p>
        </w:tc>
      </w:tr>
    </w:tbl>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（1）国家政策导向</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right="-10"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right="-10" w:firstLine="480"/>
        <w:spacing w:line="360" w:lineRule="auto"/>
        <w:rPr>
          <w:rFonts w:ascii="宋体" w:hAnsi="宋体"/>
          <w:color w:val="auto"/>
          <w:sz w:val="24"/>
          <w:szCs w:val="24"/>
          <w:highlight w:val="none"/>
        </w:rPr>
      </w:pPr>
      <w:r>
        <w:rPr>
          <w:rFonts w:hint="default" w:ascii="宋体" w:hAnsi="宋体"/>
          <w:color w:val="auto"/>
          <w:sz w:val="24"/>
          <w:szCs w:val="24"/>
          <w:highlight w:val="none"/>
        </w:rPr>
        <w:t xml:space="preserve">③</w:t>
      </w:r>
      <w:r>
        <w:rPr>
          <w:rFonts w:hint="eastAsia" w:ascii="宋体" w:hAnsi="宋体"/>
          <w:color w:val="auto"/>
          <w:sz w:val="24"/>
          <w:szCs w:val="24"/>
          <w:highlight w:val="none"/>
        </w:rPr>
        <w:t xml:space="preserve">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p>
    <w:p>
      <w:pPr>
        <w:ind w:firstLine="482"/>
        <w:rPr>
          <w:rFonts w:ascii="宋体" w:hAnsi="宋体"/>
          <w:color w:val="auto"/>
          <w:sz w:val="24"/>
          <w:szCs w:val="24"/>
          <w:highlight w:val="none"/>
        </w:rPr>
      </w:pPr>
      <w:r>
        <w:rPr>
          <w:rFonts w:hint="eastAsia" w:ascii="宋体" w:hAnsi="宋体"/>
          <w:b/>
          <w:bCs/>
          <w:color w:val="auto"/>
          <w:sz w:val="24"/>
          <w:szCs w:val="24"/>
          <w:highlight w:val="none"/>
        </w:rPr>
        <w:t xml:space="preserve">所有认证、证明和业绩均以扫描件加盖公章作为依据（文件中明确要求原件的除外），原件标后备查</w:t>
      </w:r>
      <w:r>
        <w:rPr>
          <w:rFonts w:hint="eastAsia" w:ascii="宋体" w:hAnsi="宋体"/>
          <w:color w:val="auto"/>
          <w:sz w:val="24"/>
          <w:szCs w:val="24"/>
          <w:highlight w:val="none"/>
        </w:rPr>
        <w:t xml:space="preserve">。</w:t>
      </w:r>
      <w:r/>
    </w:p>
    <w:p>
      <w:pPr>
        <w:ind w:right="-10"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3、评标结果。</w:t>
      </w:r>
      <w:r>
        <w:rPr>
          <w:rFonts w:hint="eastAsia" w:ascii="宋体" w:hAnsi="宋体"/>
          <w:color w:val="auto"/>
          <w:sz w:val="24"/>
          <w:szCs w:val="24"/>
          <w:highlight w:val="none"/>
        </w:rPr>
        <w:t xml:space="preserve">评标委员会按照本办法规定推荐中标候选人，并形成评标报告。</w:t>
      </w:r>
      <w:r/>
    </w:p>
    <w:p>
      <w:pP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jc w:val="center"/>
        <w:rPr>
          <w:rStyle w:val="990"/>
          <w:b w:val="0"/>
          <w:color w:val="auto"/>
          <w:highlight w:val="none"/>
        </w:rPr>
        <w:outlineLvl w:val="0"/>
      </w:pPr>
      <w:r>
        <w:rPr>
          <w:b w:val="0"/>
          <w:color w:val="auto"/>
          <w:highlight w:val="none"/>
        </w:rPr>
      </w:r>
      <w:r/>
    </w:p>
    <w:p>
      <w:pPr>
        <w:pStyle w:val="975"/>
        <w:rPr>
          <w:color w:val="auto"/>
          <w:highlight w:val="none"/>
        </w:rPr>
      </w:pPr>
      <w:r/>
      <w:bookmarkStart w:id="137" w:name="_Toc23169"/>
      <w:r/>
      <w:bookmarkStart w:id="138" w:name="_Toc8891"/>
      <w:r>
        <w:rPr>
          <w:rFonts w:hint="eastAsia"/>
          <w:color w:val="auto"/>
          <w:highlight w:val="none"/>
        </w:rPr>
        <w:t xml:space="preserve">第四部分采购需求</w:t>
      </w:r>
      <w:bookmarkEnd w:id="136"/>
      <w:r/>
      <w:bookmarkEnd w:id="137"/>
      <w:r/>
      <w:bookmarkEnd w:id="138"/>
      <w:r/>
      <w:bookmarkStart w:id="139" w:name="_Toc514054482"/>
      <w:r/>
      <w:r/>
    </w:p>
    <w:p>
      <w:pPr>
        <w:spacing w:line="400" w:lineRule="exact"/>
        <w:rPr>
          <w:rFonts w:ascii="宋体" w:hAnsi="宋体" w:cs="宋体"/>
          <w:b/>
          <w:bCs/>
          <w:color w:val="auto"/>
          <w:sz w:val="24"/>
          <w:szCs w:val="24"/>
          <w:highlight w:val="none"/>
        </w:rPr>
      </w:pPr>
      <w:r/>
      <w:bookmarkStart w:id="140" w:name="_Toc32119"/>
      <w:r/>
      <w:bookmarkStart w:id="141" w:name="_Toc311"/>
      <w:r>
        <w:rPr>
          <w:rFonts w:hint="eastAsia" w:ascii="宋体" w:hAnsi="宋体" w:cs="宋体"/>
          <w:b/>
          <w:bCs/>
          <w:color w:val="auto"/>
          <w:sz w:val="24"/>
          <w:szCs w:val="24"/>
          <w:highlight w:val="none"/>
        </w:rPr>
        <w:t xml:space="preserve">一、招标项目简要说明</w:t>
      </w:r>
      <w:r/>
    </w:p>
    <w:tbl>
      <w:tblPr>
        <w:tblStyle w:val="977"/>
        <w:tblW w:w="49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838"/>
        <w:gridCol w:w="5659"/>
        <w:gridCol w:w="1526"/>
        <w:gridCol w:w="1633"/>
      </w:tblGrid>
      <w:tr>
        <w:trPr>
          <w:jc w:val="center"/>
          <w:trHeight w:val="468"/>
        </w:trPr>
        <w:tc>
          <w:tcPr>
            <w:tcW w:w="838"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565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设备名称</w:t>
            </w:r>
            <w:r/>
          </w:p>
        </w:tc>
        <w:tc>
          <w:tcPr>
            <w:tcW w:w="152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63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r>
      <w:tr>
        <w:trPr>
          <w:jc w:val="center"/>
          <w:trHeight w:val="366"/>
        </w:trPr>
        <w:tc>
          <w:tcPr>
            <w:tcW w:w="838"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p>
        </w:tc>
        <w:tc>
          <w:tcPr>
            <w:tcW w:w="565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混合信号测试应用开发套件</w:t>
            </w:r>
            <w:r/>
          </w:p>
        </w:tc>
        <w:tc>
          <w:tcPr>
            <w:tcW w:w="152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W w:w="163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1</w:t>
            </w:r>
            <w:r/>
          </w:p>
        </w:tc>
      </w:tr>
    </w:tbl>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二、</w:t>
      </w:r>
      <w:r>
        <w:rPr>
          <w:rFonts w:hint="eastAsia" w:ascii="宋体" w:hAnsi="宋体" w:cs="宋体"/>
          <w:b/>
          <w:bCs/>
          <w:color w:val="auto"/>
          <w:sz w:val="24"/>
          <w:szCs w:val="24"/>
          <w:highlight w:val="none"/>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（一）</w:t>
      </w:r>
      <w:r>
        <w:rPr>
          <w:rFonts w:ascii="宋体" w:hAnsi="宋体" w:cs="宋体"/>
          <w:b/>
          <w:color w:val="auto"/>
          <w:sz w:val="24"/>
          <w:szCs w:val="24"/>
          <w:highlight w:val="none"/>
        </w:rPr>
        <w:t xml:space="preserve">PXIe机箱</w:t>
      </w:r>
      <w:r/>
    </w:p>
    <w:p>
      <w:pPr>
        <w:numPr>
          <w:ilvl w:val="0"/>
          <w:numId w:val="4"/>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18个PXIe插槽，</w:t>
      </w:r>
      <w:r>
        <w:rPr>
          <w:rFonts w:hint="eastAsia" w:ascii="宋体" w:hAnsi="宋体" w:cs="宋体"/>
          <w:color w:val="auto"/>
          <w:sz w:val="24"/>
          <w:szCs w:val="24"/>
          <w:highlight w:val="none"/>
        </w:rPr>
        <w:t xml:space="preserve">带系统定时槽，</w:t>
      </w:r>
      <w:r>
        <w:rPr>
          <w:rFonts w:ascii="宋体" w:hAnsi="宋体" w:cs="宋体"/>
          <w:color w:val="auto"/>
          <w:sz w:val="24"/>
          <w:szCs w:val="24"/>
          <w:highlight w:val="none"/>
        </w:rPr>
        <w:t xml:space="preserve">系统带宽≥24GB/s；</w:t>
      </w:r>
      <w:r/>
    </w:p>
    <w:p>
      <w:pPr>
        <w:numPr>
          <w:ilvl w:val="0"/>
          <w:numId w:val="4"/>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低抖动内部</w:t>
      </w:r>
      <w:r>
        <w:rPr>
          <w:rFonts w:ascii="宋体" w:hAnsi="宋体" w:cs="宋体"/>
          <w:color w:val="auto"/>
          <w:sz w:val="24"/>
          <w:szCs w:val="24"/>
          <w:highlight w:val="none"/>
        </w:rPr>
        <w:t xml:space="preserve">10 MHz参考时钟，适用于PXI/PXI Express插槽，稳定性为≤</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 ppm。</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（二）</w:t>
      </w:r>
      <w:r>
        <w:rPr>
          <w:rFonts w:ascii="宋体" w:hAnsi="宋体" w:cs="宋体"/>
          <w:b/>
          <w:color w:val="auto"/>
          <w:sz w:val="24"/>
          <w:szCs w:val="24"/>
          <w:highlight w:val="none"/>
        </w:rPr>
        <w:t xml:space="preserve">PXIe嵌入式处理器</w:t>
      </w:r>
      <w:r/>
    </w:p>
    <w:p>
      <w:pPr>
        <w:numPr>
          <w:ilvl w:val="0"/>
          <w:numId w:val="5"/>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★处理器基础主频≥</w:t>
      </w:r>
      <w:r>
        <w:rPr>
          <w:rFonts w:ascii="宋体" w:hAnsi="宋体" w:cs="宋体"/>
          <w:color w:val="auto"/>
          <w:sz w:val="24"/>
          <w:szCs w:val="24"/>
          <w:highlight w:val="none"/>
        </w:rPr>
        <w:t xml:space="preserve">2.6GHz，最大睿频≥4.7GHz。（性能不低于市场上主流的11代 W-11865MRE</w:t>
      </w:r>
      <w:r>
        <w:rPr>
          <w:rFonts w:hint="eastAsia" w:ascii="宋体" w:hAnsi="宋体" w:cs="宋体"/>
          <w:color w:val="auto"/>
          <w:sz w:val="24"/>
          <w:szCs w:val="24"/>
          <w:highlight w:val="none"/>
        </w:rPr>
        <w:t xml:space="preserve">处理器）</w:t>
      </w:r>
      <w:r/>
    </w:p>
    <w:p>
      <w:pPr>
        <w:numPr>
          <w:ilvl w:val="0"/>
          <w:numId w:val="5"/>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8核16线程，最大系统吞吐量达到16GB/s；</w:t>
      </w:r>
      <w:r/>
    </w:p>
    <w:p>
      <w:pPr>
        <w:numPr>
          <w:ilvl w:val="0"/>
          <w:numId w:val="5"/>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16GB内存，支持最高64 GB双通道DDR4内存，速度为≥3200</w:t>
      </w:r>
      <w:r>
        <w:rPr>
          <w:rFonts w:hint="eastAsia" w:ascii="宋体" w:hAnsi="宋体" w:cs="宋体"/>
          <w:color w:val="auto"/>
          <w:sz w:val="24"/>
          <w:szCs w:val="24"/>
          <w:highlight w:val="none"/>
        </w:rPr>
        <w:t xml:space="preserve"> MT/s；</w:t>
      </w:r>
      <w:r/>
    </w:p>
    <w:p>
      <w:pPr>
        <w:numPr>
          <w:ilvl w:val="0"/>
          <w:numId w:val="5"/>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不低于1TB SSD磁盘容量；</w:t>
      </w:r>
      <w:r/>
    </w:p>
    <w:p>
      <w:pPr>
        <w:numPr>
          <w:ilvl w:val="0"/>
          <w:numId w:val="5"/>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≥2个USB3端口、4个USB2.0端口、双千兆以太网端口。</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（三）射频宽带收发模块</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▲频率范围：不低于</w:t>
      </w:r>
      <w:r>
        <w:rPr>
          <w:rFonts w:ascii="宋体" w:hAnsi="宋体" w:cs="宋体"/>
          <w:color w:val="auto"/>
          <w:sz w:val="24"/>
          <w:szCs w:val="24"/>
          <w:highlight w:val="none"/>
        </w:rPr>
        <w:t xml:space="preserve">9KHz</w:t>
      </w: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8GHz，可配合变频器扩展至微波波段；</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★至少一路射频信号输入，一路射频信号发射，信号生成与分析带宽不低于</w:t>
      </w:r>
      <w:r>
        <w:rPr>
          <w:rFonts w:ascii="宋体" w:hAnsi="宋体" w:cs="宋体"/>
          <w:color w:val="auto"/>
          <w:sz w:val="24"/>
          <w:szCs w:val="24"/>
          <w:highlight w:val="none"/>
        </w:rPr>
        <w:t xml:space="preserve">1GHz；</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▲超外差硬件架构；</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▲专用高精度同步接口，支持多通道相参同步；</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最大输入功率不低于</w:t>
      </w:r>
      <w:r>
        <w:rPr>
          <w:rFonts w:ascii="宋体" w:hAnsi="宋体" w:cs="宋体"/>
          <w:color w:val="auto"/>
          <w:sz w:val="24"/>
          <w:szCs w:val="24"/>
          <w:highlight w:val="none"/>
        </w:rPr>
        <w:t xml:space="preserve">+25dBm；</w:t>
      </w:r>
      <w:r>
        <w:rPr>
          <w:rFonts w:hint="eastAsia" w:ascii="宋体" w:hAnsi="宋体" w:cs="宋体"/>
          <w:color w:val="auto"/>
          <w:sz w:val="24"/>
          <w:szCs w:val="24"/>
          <w:highlight w:val="none"/>
        </w:rPr>
        <w:t xml:space="preserve">最大输出功率不低于</w:t>
      </w:r>
      <w:r>
        <w:rPr>
          <w:rFonts w:ascii="宋体" w:hAnsi="宋体" w:cs="宋体"/>
          <w:color w:val="auto"/>
          <w:sz w:val="24"/>
          <w:szCs w:val="24"/>
          <w:highlight w:val="none"/>
        </w:rPr>
        <w:t xml:space="preserve">+15dBm；</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★支持</w:t>
      </w:r>
      <w:r>
        <w:rPr>
          <w:rFonts w:ascii="宋体" w:hAnsi="宋体" w:cs="宋体"/>
          <w:color w:val="auto"/>
          <w:sz w:val="24"/>
          <w:szCs w:val="24"/>
          <w:highlight w:val="none"/>
        </w:rPr>
        <w:t xml:space="preserve">FPGA功能二次开发；</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▲支持通用调制解调功能：</w:t>
      </w:r>
      <w:r>
        <w:rPr>
          <w:rFonts w:ascii="宋体" w:hAnsi="宋体" w:cs="宋体"/>
          <w:color w:val="auto"/>
          <w:sz w:val="24"/>
          <w:szCs w:val="24"/>
          <w:highlight w:val="none"/>
        </w:rPr>
        <w:t xml:space="preserve">ASK、PSK、QAM等；</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支持无线通信标准调制解调功能：5G NR、WiFi6e；</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★PXI Express高速接口；</w:t>
      </w:r>
      <w:r/>
    </w:p>
    <w:p>
      <w:pPr>
        <w:numPr>
          <w:ilvl w:val="0"/>
          <w:numId w:val="6"/>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尺寸：3U，标准两槽位；</w:t>
      </w:r>
      <w:r/>
    </w:p>
    <w:p>
      <w:pPr>
        <w:spacing w:before="156"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（四）动态信号采集</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★总通道数：不低于</w:t>
      </w:r>
      <w:r>
        <w:rPr>
          <w:rFonts w:ascii="宋体" w:hAnsi="宋体" w:cs="宋体"/>
          <w:color w:val="auto"/>
          <w:sz w:val="24"/>
          <w:szCs w:val="24"/>
          <w:highlight w:val="none"/>
        </w:rPr>
        <w:t xml:space="preserve">128路；</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A/D位数：≥24bit、Sigma-Delta ADC、自带抗混叠滤波器；</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采样方式：同步采样；</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▲每通道采样率：不低于</w:t>
      </w:r>
      <w:r>
        <w:rPr>
          <w:rFonts w:ascii="宋体" w:hAnsi="宋体" w:cs="宋体"/>
          <w:color w:val="auto"/>
          <w:sz w:val="24"/>
          <w:szCs w:val="24"/>
          <w:highlight w:val="none"/>
        </w:rPr>
        <w:t xml:space="preserve">512kSPS；</w:t>
      </w:r>
      <w:r/>
    </w:p>
    <w:p>
      <w:pPr>
        <w:numPr>
          <w:ilvl w:val="0"/>
          <w:numId w:val="7"/>
        </w:num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IEPE调理：支持、≥4mA；</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耦合方式：</w:t>
      </w:r>
      <w:r>
        <w:rPr>
          <w:rFonts w:ascii="宋体" w:hAnsi="宋体" w:cs="宋体"/>
          <w:color w:val="auto"/>
          <w:sz w:val="24"/>
          <w:szCs w:val="24"/>
          <w:highlight w:val="none"/>
        </w:rPr>
        <w:t xml:space="preserve">AC/DC；</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▲动态范围：≥</w:t>
      </w:r>
      <w:r>
        <w:rPr>
          <w:rFonts w:ascii="宋体" w:hAnsi="宋体" w:cs="宋体"/>
          <w:color w:val="auto"/>
          <w:sz w:val="24"/>
          <w:szCs w:val="24"/>
          <w:highlight w:val="none"/>
        </w:rPr>
        <w:t xml:space="preserve">110dB（典型）；</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支持</w:t>
      </w:r>
      <w:r>
        <w:rPr>
          <w:rFonts w:ascii="宋体" w:hAnsi="宋体" w:cs="宋体"/>
          <w:color w:val="auto"/>
          <w:sz w:val="24"/>
          <w:szCs w:val="24"/>
          <w:highlight w:val="none"/>
        </w:rPr>
        <w:t xml:space="preserve">Windows和Linux；</w:t>
      </w:r>
      <w:r/>
    </w:p>
    <w:p>
      <w:pPr>
        <w:numPr>
          <w:ilvl w:val="0"/>
          <w:numId w:val="7"/>
        </w:numPr>
        <w:spacing w:line="360" w:lineRule="auto"/>
        <w:rPr>
          <w:rFonts w:ascii="宋体" w:hAnsi="宋体" w:cs="宋体"/>
          <w:color w:val="auto"/>
          <w:sz w:val="24"/>
          <w:szCs w:val="24"/>
          <w:highlight w:val="none"/>
        </w:rPr>
      </w:pPr>
      <w:r>
        <w:rPr>
          <w:rFonts w:ascii="宋体" w:hAnsi="宋体" w:cs="宋体"/>
          <w:color w:val="auto"/>
          <w:sz w:val="24"/>
          <w:szCs w:val="24"/>
          <w:highlight w:val="none"/>
        </w:rPr>
        <w:tab/>
      </w:r>
      <w:r>
        <w:rPr>
          <w:rFonts w:hint="eastAsia" w:ascii="宋体" w:hAnsi="宋体" w:cs="宋体"/>
          <w:color w:val="auto"/>
          <w:sz w:val="24"/>
          <w:szCs w:val="24"/>
          <w:highlight w:val="none"/>
        </w:rPr>
        <w:t xml:space="preserve">提供</w:t>
      </w:r>
      <w:r>
        <w:rPr>
          <w:rFonts w:ascii="宋体" w:hAnsi="宋体" w:cs="宋体"/>
          <w:color w:val="auto"/>
          <w:sz w:val="24"/>
          <w:szCs w:val="24"/>
          <w:highlight w:val="none"/>
        </w:rPr>
        <w:t xml:space="preserve">C++、C#、Python的调用例程；</w:t>
      </w:r>
      <w:r/>
    </w:p>
    <w:p>
      <w:pPr>
        <w:numPr>
          <w:ilvl w:val="0"/>
          <w:numId w:val="7"/>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PXIe接口。</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（五）模拟量信号输出</w:t>
      </w:r>
      <w:r/>
    </w:p>
    <w:p>
      <w:pPr>
        <w:numPr>
          <w:ilvl w:val="0"/>
          <w:numId w:val="8"/>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★不低于</w:t>
      </w:r>
      <w:r>
        <w:rPr>
          <w:rFonts w:ascii="宋体" w:hAnsi="宋体" w:cs="宋体"/>
          <w:color w:val="auto"/>
          <w:sz w:val="24"/>
          <w:szCs w:val="24"/>
          <w:highlight w:val="none"/>
        </w:rPr>
        <w:t xml:space="preserve">128路电压输出；</w:t>
      </w:r>
      <w:r/>
    </w:p>
    <w:p>
      <w:pPr>
        <w:numPr>
          <w:ilvl w:val="0"/>
          <w:numId w:val="8"/>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精度：≥</w:t>
      </w:r>
      <w:r>
        <w:rPr>
          <w:rFonts w:ascii="宋体" w:hAnsi="宋体" w:cs="宋体"/>
          <w:color w:val="auto"/>
          <w:sz w:val="24"/>
          <w:szCs w:val="24"/>
          <w:highlight w:val="none"/>
        </w:rPr>
        <w:t xml:space="preserve">0.02%；</w:t>
      </w:r>
      <w:r/>
    </w:p>
    <w:p>
      <w:pPr>
        <w:numPr>
          <w:ilvl w:val="0"/>
          <w:numId w:val="8"/>
        </w:num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DA分辨率：≥16bit；</w:t>
      </w:r>
      <w:r/>
    </w:p>
    <w:p>
      <w:pPr>
        <w:numPr>
          <w:ilvl w:val="0"/>
          <w:numId w:val="8"/>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▲最大更新率不低于</w:t>
      </w:r>
      <w:r>
        <w:rPr>
          <w:rFonts w:ascii="宋体" w:hAnsi="宋体" w:cs="宋体"/>
          <w:color w:val="auto"/>
          <w:sz w:val="24"/>
          <w:szCs w:val="24"/>
          <w:highlight w:val="none"/>
        </w:rPr>
        <w:t xml:space="preserve">2MS/s；</w:t>
      </w:r>
      <w:r/>
    </w:p>
    <w:p>
      <w:pPr>
        <w:numPr>
          <w:ilvl w:val="0"/>
          <w:numId w:val="8"/>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输出电流驱动能力：不低于±</w:t>
      </w:r>
      <w:r>
        <w:rPr>
          <w:rFonts w:ascii="宋体" w:hAnsi="宋体" w:cs="宋体"/>
          <w:color w:val="auto"/>
          <w:sz w:val="24"/>
          <w:szCs w:val="24"/>
          <w:highlight w:val="none"/>
        </w:rPr>
        <w:t xml:space="preserve">10mA；</w:t>
      </w:r>
      <w:r/>
    </w:p>
    <w:p>
      <w:pPr>
        <w:numPr>
          <w:ilvl w:val="0"/>
          <w:numId w:val="8"/>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★PXIe接口。</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（六）FPGA协处理模块</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★FPGA性能不低于XCKU15P；</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▲逻辑单元总数不低于1,386,240；</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支持将FPGA处理后的数据高速输出；</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★PXIe接口。</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（七）高速存储模块</w:t>
      </w:r>
      <w:r/>
    </w:p>
    <w:p>
      <w:pPr>
        <w:numPr>
          <w:ilvl w:val="0"/>
          <w:numId w:val="10"/>
        </w:numPr>
        <w:ind w:left="780" w:hanging="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系统总存储容量不低于3TB；</w:t>
      </w:r>
      <w:r/>
    </w:p>
    <w:p>
      <w:pPr>
        <w:numPr>
          <w:ilvl w:val="0"/>
          <w:numId w:val="10"/>
        </w:numPr>
        <w:ind w:left="780" w:hanging="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系统支持容量扩充，最大可扩容至17TB；</w:t>
      </w:r>
      <w:r/>
    </w:p>
    <w:p>
      <w:pPr>
        <w:numPr>
          <w:ilvl w:val="0"/>
          <w:numId w:val="10"/>
        </w:numPr>
        <w:ind w:left="780" w:hanging="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最高数据吞吐量不低于5GB/s；</w:t>
      </w:r>
      <w:r/>
    </w:p>
    <w:p>
      <w:pPr>
        <w:numPr>
          <w:ilvl w:val="0"/>
          <w:numId w:val="10"/>
        </w:numPr>
        <w:ind w:left="780" w:hanging="36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PXIe接口。</w:t>
      </w:r>
      <w:r/>
    </w:p>
    <w:p>
      <w:pPr>
        <w:spacing w:before="156"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（八）系统软件</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WAVE文件接收：软件可以通过LabVIEW、C/C++、.NET网路共享变量、Datasocket或者TCP/IP协议接收上位机发送的音频WAVE文件，WAVE文件中的波形信号即为要通过DA输出的模拟信号。</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★同步模拟信号输出：软件可以通过</w:t>
      </w:r>
      <w:r>
        <w:rPr>
          <w:rFonts w:ascii="宋体" w:hAnsi="宋体" w:cs="宋体"/>
          <w:color w:val="auto"/>
          <w:sz w:val="24"/>
          <w:szCs w:val="24"/>
          <w:highlight w:val="none"/>
        </w:rPr>
        <w:t xml:space="preserve">PXIe硬件同步输出模拟信号，信号来源是接收到的WAVE文件。可同步输出信号的通道数为≥128个。输出的模拟信号通常是系统测试时的激励信号。</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★同步模拟信号采集：软件可以通过</w:t>
      </w:r>
      <w:r>
        <w:rPr>
          <w:rFonts w:ascii="宋体" w:hAnsi="宋体" w:cs="宋体"/>
          <w:color w:val="auto"/>
          <w:sz w:val="24"/>
          <w:szCs w:val="24"/>
          <w:highlight w:val="none"/>
        </w:rPr>
        <w:t xml:space="preserve">PXIe硬件同步采集模拟信号，可同步采集信号的通道数为≥128个。采集信号的采样率依据硬件标准，满足混合信号的采集需要。</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▲本地保存文件：软件可以将采集到的模拟信号转为标准文件格式，同时保存在设备的存储介质中。采用FIFO的方式进行覆盖存储，存储的时长根据采集通道数、采样率和存储介质的容量自动确定。</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激励信号生成：软件可以按用户选择的类型生成激励信号，可选择的类型为标准信号和WAVE文件，分别阐述如下。可设置激励信号的循环播放，如选择循环播放则播放完毕后自动从起始数据重新播放，直到用户手动停止程序，否则程序在激励信号播放完毕后自动停止。</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据分析与图形显示：软件可以经内部数据分析，实现谐波失真分析、瞬态失真分析、通道分离度分析、异响分析、冲激响应测试、传递函数测试、稳态声场分布及均匀度分析、空间声像分析，并显示结果，可以以图形显示FFT频谱图（包括指数加权、线性加权模式选择，起始截止频率选择、窗函数选择、FFT点数设置）、1/1、1/3、 1/6、 1/12、1/24倍频程、瀑布图，可以自动标定测点位置。</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系统参数配置：软件提供系统参数配置界面，在主程序界面设置按钮进口。软件可以对参数进行合法性检查，比如无效路径、无效IP地址或端口等，并提示用户修改，软件启动时会加载上次使用的配置文件参数进行初始化，其中会尝试连接测试系统并显示结果和提示。同时，在用户修改了测试系统的IP地址后，也会进行连接测试并给出结果提示。软件可以将用户设置的参数保存为系统配置文件，文件格式为二进制文件。</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历史数据离线分析：软件可以对保存的文件进行离线分析，离线分析的界面与上文所述软件功能的界面相同，只是分析的数据来源不同。离线分析时用户可以使用软件界面上的配置文件选择控件加载不同文件中的分析参数，也可以在各个分析功能的参数设置弹出窗口修改分析参数。</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▲可与设备通过PXIe总线建立连接，实现对设备的远程控制；</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可集成主流开发工具开发的测试程序，包括C/C++、.NET、LabVIEW；</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测试数据可自动存入数据库，并提供数据库的图形化界面配置操作；</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可实时显示当前自动测试流程的进度；</w:t>
      </w:r>
      <w:r/>
    </w:p>
    <w:p>
      <w:pPr>
        <w:numPr>
          <w:ilvl w:val="0"/>
          <w:numId w:val="9"/>
        </w:num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★源码交付。</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三、付款方式：</w:t>
      </w:r>
      <w:r/>
    </w:p>
    <w:p>
      <w:pPr>
        <w:ind w:firstLine="422"/>
        <w:jc w:val="left"/>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履约保证金</w:t>
      </w:r>
      <w:r>
        <w:rPr>
          <w:rFonts w:hint="eastAsia" w:ascii="宋体" w:hAnsi="宋体" w:cs="宋体"/>
          <w:color w:val="auto"/>
          <w:sz w:val="24"/>
          <w:szCs w:val="24"/>
          <w:highlight w:val="none"/>
        </w:rPr>
        <w:t xml:space="preserve">：本次项目中标供应商应在合同签订前提交中标额的</w:t>
      </w:r>
      <w:r>
        <w:rPr>
          <w:rFonts w:ascii="宋体" w:hAnsi="宋体" w:cs="宋体"/>
          <w:color w:val="auto"/>
          <w:sz w:val="24"/>
          <w:szCs w:val="24"/>
          <w:highlight w:val="none"/>
        </w:rPr>
        <w:t xml:space="preserve">5%作为履约保证金，质保期结束后无息退还。</w:t>
      </w:r>
      <w:r/>
    </w:p>
    <w:p>
      <w:pPr>
        <w:ind w:firstLine="422"/>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付款方式：</w:t>
      </w:r>
      <w:r>
        <w:rPr>
          <w:rFonts w:hint="eastAsia" w:ascii="宋体" w:hAnsi="宋体" w:cs="宋体"/>
          <w:color w:val="auto"/>
          <w:sz w:val="24"/>
          <w:szCs w:val="24"/>
          <w:highlight w:val="none"/>
        </w:rPr>
        <w:t xml:space="preserve">本项目无预付款，验收合格后，供应商提供全额“增值税专用发票”，凭采购人最终签字和盖章的验收合格报告支付至合同金额</w:t>
      </w:r>
      <w:r>
        <w:rPr>
          <w:rFonts w:ascii="宋体" w:hAnsi="宋体" w:cs="宋体"/>
          <w:color w:val="auto"/>
          <w:sz w:val="24"/>
          <w:szCs w:val="24"/>
          <w:highlight w:val="none"/>
        </w:rPr>
        <w:t xml:space="preserve">100%。</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四、★交货期及交货地点：</w:t>
      </w:r>
      <w:r/>
    </w:p>
    <w:p>
      <w:pPr>
        <w:ind w:firstLine="42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1.交货期：自合同正式签署生效起90个工作日内完成，并在采购人指定地点完成本项目的验收交付。 </w:t>
      </w:r>
      <w:r/>
    </w:p>
    <w:p>
      <w:pPr>
        <w:ind w:firstLine="420"/>
        <w:jc w:val="left"/>
        <w:spacing w:line="360" w:lineRule="auto"/>
        <w:rPr>
          <w:rFonts w:ascii="宋体" w:hAnsi="宋体" w:cs="宋体"/>
          <w:b/>
          <w:bCs/>
          <w:color w:val="auto"/>
          <w:sz w:val="24"/>
          <w:szCs w:val="24"/>
          <w:highlight w:val="none"/>
        </w:rPr>
      </w:pPr>
      <w:r>
        <w:rPr>
          <w:rFonts w:ascii="宋体" w:hAnsi="宋体" w:cs="宋体"/>
          <w:color w:val="auto"/>
          <w:sz w:val="24"/>
          <w:szCs w:val="24"/>
          <w:highlight w:val="none"/>
        </w:rPr>
        <w:t xml:space="preserve">2.交货地点：</w:t>
      </w:r>
      <w:r>
        <w:rPr>
          <w:rFonts w:hint="eastAsia" w:ascii="宋体" w:hAnsi="宋体" w:cs="宋体"/>
          <w:color w:val="auto"/>
          <w:sz w:val="24"/>
          <w:szCs w:val="24"/>
          <w:highlight w:val="none"/>
        </w:rPr>
        <w:t xml:space="preserve">南京信息工程大学集成电路学院</w:t>
      </w:r>
      <w:r>
        <w:rPr>
          <w:rFonts w:ascii="宋体" w:hAnsi="宋体" w:cs="宋体"/>
          <w:color w:val="auto"/>
          <w:sz w:val="24"/>
          <w:szCs w:val="24"/>
          <w:highlight w:val="none"/>
        </w:rPr>
        <w:t xml:space="preserve">2号学科楼N312</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五、★质保期、服务要求及供货要求：</w:t>
      </w:r>
      <w:r>
        <w:rPr>
          <w:rFonts w:ascii="宋体" w:hAnsi="宋体" w:cs="宋体"/>
          <w:b/>
          <w:bCs/>
          <w:color w:val="auto"/>
          <w:sz w:val="24"/>
          <w:szCs w:val="24"/>
          <w:highlight w:val="none"/>
        </w:rPr>
        <w:t xml:space="preserve">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提供不少于</w:t>
      </w:r>
      <w:r>
        <w:rPr>
          <w:rFonts w:ascii="宋体" w:hAnsi="宋体" w:cs="宋体"/>
          <w:color w:val="auto"/>
          <w:sz w:val="24"/>
          <w:szCs w:val="24"/>
          <w:highlight w:val="none"/>
        </w:rPr>
        <w:t xml:space="preserve">5年</w:t>
      </w:r>
      <w:r>
        <w:rPr>
          <w:rFonts w:hint="eastAsia" w:ascii="宋体" w:hAnsi="宋体" w:cs="宋体"/>
          <w:color w:val="auto"/>
          <w:sz w:val="24"/>
          <w:szCs w:val="24"/>
          <w:highlight w:val="none"/>
        </w:rPr>
        <w:t xml:space="preserve">的原厂整机免费保修，保修期自最终验收合格文件签字之日起计算。质保范围包括仪器整机和其所有附属配件（提供承诺函原件，格式详见投标文件格式）。</w:t>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2、软件质保要求：</w:t>
      </w:r>
      <w:r/>
    </w:p>
    <w:p>
      <w:pPr>
        <w:ind w:firstLine="42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项目采购的系统软件，投标人须提供完整、原厂、无瑕疵的正版质保服务。质保期自项目整体验收合格并正式交付之日起计算，整体免费质保期限不少于5年。质保期内，投标人须免费提供全套技术支持、故障修复、安全漏洞修复、版本维护等服务，不得另行收取软件服务费、维修费、运维费等任何相关费用。</w:t>
      </w:r>
      <w:r/>
    </w:p>
    <w:p>
      <w:pPr>
        <w:ind w:firstLine="420"/>
        <w:spacing w:line="360" w:lineRule="auto"/>
        <w:rPr>
          <w:rFonts w:ascii="宋体" w:hAnsi="宋体" w:cs="宋体"/>
          <w:b/>
          <w:bCs/>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rFonts w:hint="eastAsia" w:ascii="宋体" w:hAnsi="宋体" w:cs="宋体"/>
          <w:b/>
          <w:bCs/>
          <w:color w:val="auto"/>
          <w:sz w:val="24"/>
          <w:szCs w:val="24"/>
          <w:highlight w:val="none"/>
        </w:rPr>
        <w:t xml:space="preserve">服务要求及供货要求：</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（1）在质保期内，投标人应对货物出现的质量及安全问题负责处理解决并承担一切费用，并</w:t>
      </w:r>
      <w:r>
        <w:rPr>
          <w:rFonts w:hint="eastAsia" w:ascii="宋体" w:hAnsi="宋体" w:cs="宋体"/>
          <w:color w:val="auto"/>
          <w:sz w:val="24"/>
          <w:szCs w:val="24"/>
          <w:highlight w:val="none"/>
        </w:rPr>
        <w:t xml:space="preserve">免费提供零部件供应</w:t>
      </w:r>
      <w:r>
        <w:rPr>
          <w:rFonts w:hint="eastAsia" w:ascii="宋体" w:hAnsi="宋体" w:cs="宋体"/>
          <w:bCs/>
          <w:color w:val="auto"/>
          <w:sz w:val="24"/>
          <w:szCs w:val="24"/>
          <w:highlight w:val="none"/>
        </w:rPr>
        <w:t xml:space="preserve">。</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（2）质保期满后，投标人继续为采购人服务，仅收取零配件成本费。提供本次投标涉及的备品备件报价（包括但不限于线缆、校准件），后续采购配件、备件、耗材不高于本次报价的九折。</w:t>
      </w:r>
      <w:r/>
    </w:p>
    <w:p>
      <w:pPr>
        <w:ind w:firstLine="42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（3）因人为因素出现的故障不在免费保修范围内。</w:t>
      </w:r>
      <w:r/>
    </w:p>
    <w:p>
      <w:pPr>
        <w:ind w:firstLine="420"/>
        <w:spacing w:line="360" w:lineRule="auto"/>
        <w:rPr>
          <w:color w:val="auto"/>
          <w:szCs w:val="21"/>
          <w:highlight w:val="none"/>
        </w:rPr>
      </w:pPr>
      <w:r>
        <w:rPr>
          <w:rFonts w:hint="eastAsia" w:ascii="宋体" w:hAnsi="宋体" w:cs="宋体"/>
          <w:bCs/>
          <w:color w:val="auto"/>
          <w:sz w:val="24"/>
          <w:szCs w:val="24"/>
          <w:highlight w:val="none"/>
        </w:rPr>
        <w:t xml:space="preserve">（4）投标人提供7×24的技术支持和售后响应服务，质保期和质保期外发生故障，2小时内电话响应，48小时内现场服务。质保期结束后硬件设备提供终身维修且承诺只能收取零配件费（零部件保证按采购人设备安装地市场最低价供应）</w:t>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六、技术培训要求：</w:t>
      </w:r>
      <w:r/>
    </w:p>
    <w:tbl>
      <w:tblPr>
        <w:tblStyle w:val="977"/>
        <w:tblpPr w:horzAnchor="page" w:tblpX="2327" w:vertAnchor="text" w:tblpY="49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12"/>
        <w:gridCol w:w="1972"/>
        <w:gridCol w:w="3982"/>
      </w:tblGrid>
      <w:tr>
        <w:trPr>
          <w:trHeight w:val="465"/>
          <w:tblHeader/>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名称</w:t>
            </w:r>
            <w:r/>
          </w:p>
        </w:tc>
        <w:tc>
          <w:tcPr>
            <w:tcW w:w="398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要求</w:t>
            </w:r>
            <w:r/>
          </w:p>
        </w:tc>
      </w:tr>
      <w:tr>
        <w:trPr>
          <w:trHeight w:val="465"/>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培训时间</w:t>
            </w:r>
            <w:r/>
          </w:p>
        </w:tc>
        <w:tc>
          <w:tcPr>
            <w:tcW w:w="3982" w:type="dxa"/>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甲方指定时间</w:t>
            </w:r>
            <w:r/>
          </w:p>
        </w:tc>
      </w:tr>
      <w:tr>
        <w:trPr>
          <w:trHeight w:val="465"/>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培训地点</w:t>
            </w:r>
            <w:r/>
          </w:p>
        </w:tc>
        <w:tc>
          <w:tcPr>
            <w:tcW w:w="3982" w:type="dxa"/>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甲方指定地点</w:t>
            </w:r>
            <w:r/>
          </w:p>
        </w:tc>
      </w:tr>
      <w:tr>
        <w:trPr>
          <w:trHeight w:val="465"/>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培训人数</w:t>
            </w:r>
            <w:r/>
          </w:p>
        </w:tc>
        <w:tc>
          <w:tcPr>
            <w:tcW w:w="3982" w:type="dxa"/>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对甲方不少于6人进行培训</w:t>
            </w:r>
            <w:r/>
          </w:p>
        </w:tc>
      </w:tr>
      <w:tr>
        <w:trPr>
          <w:trHeight w:val="465"/>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培训学时</w:t>
            </w:r>
            <w:r/>
          </w:p>
        </w:tc>
        <w:tc>
          <w:tcPr>
            <w:tcW w:w="3982" w:type="dxa"/>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不少于8小时</w:t>
            </w:r>
            <w:r/>
          </w:p>
        </w:tc>
      </w:tr>
      <w:tr>
        <w:trPr>
          <w:trHeight w:val="465"/>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培训教材</w:t>
            </w:r>
            <w:r/>
          </w:p>
        </w:tc>
        <w:tc>
          <w:tcPr>
            <w:tcW w:w="3982" w:type="dxa"/>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需提供培训教材</w:t>
            </w:r>
            <w:r/>
          </w:p>
        </w:tc>
      </w:tr>
      <w:tr>
        <w:trPr>
          <w:trHeight w:val="465"/>
        </w:trPr>
        <w:tc>
          <w:tcPr>
            <w:tcW w:w="161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1972" w:type="dxa"/>
            <w:vAlign w:val="center"/>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培训目标</w:t>
            </w:r>
            <w:r/>
          </w:p>
        </w:tc>
        <w:tc>
          <w:tcPr>
            <w:tcW w:w="3982" w:type="dxa"/>
            <w:textDirection w:val="lrTb"/>
            <w:noWrap w:val="false"/>
          </w:tcPr>
          <w:p>
            <w:pPr>
              <w:spacing w:line="36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参与培训人能独立操作使用设备</w:t>
            </w:r>
            <w:r/>
          </w:p>
        </w:tc>
      </w:tr>
    </w:tbl>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left"/>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七、验收标准和验收程序：</w:t>
      </w:r>
      <w:r/>
    </w:p>
    <w:p>
      <w:pPr>
        <w:jc w:val="left"/>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软件：软件产品具有软件安装光盘。</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硬件：硬件产品外观完好，实物和合同、装箱单一致，随机资料完整。</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设备整体验收标准：符合招标供货要求中设备总体要求、设备详细要求和交付要求的规定。</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试运行验收标准：设备及系统完成安装调试后，需经过完整试运行周期检验。试运行期间系统运行稳定、功能完整可用，无频繁故障、无核心功能异常、无安全漏洞，各项性能指标、兼容指标、业务适配指标均满足招标文件及实际业务使用需求，方可进入最终竣工验收环节。试运行期间出现任何影响正常使用的故障、缺陷、功能异常或性能不达标问题，均视为试运行不合格，由投标方免费整改、调试、更换后重新启动试运行。7.2 验收程序：</w:t>
      </w:r>
      <w:r/>
    </w:p>
    <w:p>
      <w:pPr>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投标方应配合用户按验收标准对硬软件产品进行外观和功能验收，完成设备安装、调试、部署、初验无误后，进入设备试运行期，试运行周期为30日历天。试运行期间，投标方须全程提供技术保障服务，及时处置系统故障、运行异常及使用问题，确保设备及系统平稳、正常、合规运行。</w:t>
      </w:r>
      <w:r/>
    </w:p>
    <w:p>
      <w:pPr>
        <w:ind w:firstLine="482"/>
        <w:jc w:val="left"/>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试运行期满且整体运行合格、无遗留问题后，双方启动最终竣工验收流程，按照既定验收标准完成全面核验。未达到验收标准要求时，投标方应负责解决验收问题直至达标；若在发现验收问题之日起一个月后产品仍没有通过验收，用户有权退货，最终验收合格后双方签字生效。</w:t>
      </w:r>
      <w:r/>
    </w:p>
    <w:p>
      <w:pPr>
        <w:jc w:val="left"/>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pStyle w:val="997"/>
        <w:ind w:firstLine="241"/>
        <w:spacing w:line="360" w:lineRule="auto"/>
        <w:rPr>
          <w:color w:val="auto"/>
          <w:highlight w:val="none"/>
        </w:rPr>
      </w:pPr>
      <w:r>
        <w:rPr>
          <w:rFonts w:hint="eastAsia" w:hAnsi="宋体"/>
          <w:b/>
          <w:bCs/>
          <w:color w:val="auto"/>
          <w:highlight w:val="none"/>
        </w:rPr>
        <w:t xml:space="preserve">特别说明：本章“★”号项为实质性要求，投标人需在技术条款偏离表或商务条款偏离表逐条响应，否则视为无效标。</w:t>
      </w:r>
      <w:r/>
    </w:p>
    <w:p>
      <w:pPr>
        <w:jc w:val="left"/>
        <w:spacing w:line="276" w:lineRule="auto"/>
        <w:widowControl/>
        <w:tabs>
          <w:tab w:val="left" w:pos="720" w:leader="none"/>
        </w:tabs>
        <w:rPr>
          <w:rFonts w:ascii="宋体" w:hAnsi="宋体" w:cs="宋体"/>
          <w:b/>
          <w:bCs/>
          <w:color w:val="auto"/>
          <w:sz w:val="24"/>
          <w:szCs w:val="24"/>
          <w:highlight w:val="none"/>
        </w:rPr>
        <w:outlineLvl w:val="1"/>
      </w:pPr>
      <w:r>
        <w:rPr>
          <w:rFonts w:ascii="宋体" w:hAnsi="宋体" w:cs="宋体"/>
          <w:b/>
          <w:bCs/>
          <w:color w:val="auto"/>
          <w:sz w:val="24"/>
          <w:szCs w:val="24"/>
          <w:highlight w:val="none"/>
        </w:rPr>
      </w:r>
      <w:bookmarkEnd w:id="140"/>
      <w:r/>
      <w:bookmarkEnd w:id="141"/>
      <w:r/>
      <w:r/>
    </w:p>
    <w:p>
      <w:pPr>
        <w:rPr>
          <w:color w:val="auto"/>
          <w:highlight w:val="none"/>
        </w:rPr>
      </w:pPr>
      <w:r/>
      <w:bookmarkStart w:id="142" w:name="_Toc10059"/>
      <w:r>
        <w:rPr>
          <w:rFonts w:hint="eastAsia"/>
          <w:color w:val="auto"/>
          <w:highlight w:val="none"/>
        </w:rPr>
        <w:br w:type="page" w:clear="all"/>
      </w:r>
      <w:r/>
    </w:p>
    <w:p>
      <w:pPr>
        <w:pStyle w:val="975"/>
        <w:rPr>
          <w:color w:val="auto"/>
          <w:highlight w:val="none"/>
        </w:rPr>
      </w:pPr>
      <w:r>
        <w:rPr>
          <w:rFonts w:hint="eastAsia"/>
          <w:color w:val="auto"/>
          <w:highlight w:val="none"/>
        </w:rPr>
        <w:t xml:space="preserve">第五部分合同格式及条款</w:t>
      </w:r>
      <w:bookmarkEnd w:id="139"/>
      <w:r/>
      <w:bookmarkEnd w:id="142"/>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40" w:lineRule="exact"/>
        <w:rPr>
          <w:rFonts w:ascii="宋体" w:hAnsi="宋体" w:cs="宋体"/>
          <w:b/>
          <w:color w:val="auto"/>
          <w:sz w:val="28"/>
          <w:szCs w:val="28"/>
          <w:highlight w:val="none"/>
        </w:rPr>
      </w:pPr>
      <w:r/>
      <w:bookmarkStart w:id="143" w:name="_Toc6085"/>
      <w:r/>
      <w:bookmarkStart w:id="144" w:name="_Toc26546"/>
      <w:r/>
      <w:bookmarkStart w:id="145" w:name="_Toc29724"/>
      <w:r/>
      <w:bookmarkStart w:id="146" w:name="_Toc514054483"/>
      <w:r>
        <w:rPr>
          <w:rFonts w:hint="eastAsia" w:ascii="宋体" w:hAnsi="宋体" w:cs="宋体"/>
          <w:b/>
          <w:color w:val="auto"/>
          <w:sz w:val="28"/>
          <w:szCs w:val="28"/>
          <w:highlight w:val="none"/>
        </w:rPr>
        <w:t xml:space="preserve">（参考格式，本合同内容条款在正式签署前可具体补充细化，仅作参考，最终合同以采购人法务审查通过的版本为准）</w:t>
      </w:r>
      <w:bookmarkEnd w:id="143"/>
      <w:r/>
      <w:r/>
    </w:p>
    <w:p>
      <w:pPr>
        <w:rPr>
          <w:rFonts w:ascii="宋体" w:hAnsi="宋体" w:cs="宋体"/>
          <w:b/>
          <w:color w:val="auto"/>
          <w:szCs w:val="21"/>
          <w:highlight w:val="none"/>
          <w:u w:val="single"/>
        </w:rPr>
      </w:pPr>
      <w:r>
        <w:rPr>
          <w:rFonts w:ascii="宋体" w:hAnsi="宋体" w:cs="宋体"/>
          <w:b/>
          <w:color w:val="auto"/>
          <w:szCs w:val="21"/>
          <w:highlight w:val="none"/>
          <w:u w:val="single"/>
        </w:rPr>
      </w:r>
      <w:r/>
    </w:p>
    <w:p>
      <w:pPr>
        <w:jc w:val="center"/>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南京信息工程大学混合信号测试应用开发套件采购合同</w:t>
      </w:r>
      <w:r/>
    </w:p>
    <w:p>
      <w:pPr>
        <w:jc w:val="left"/>
        <w:spacing w:line="360" w:lineRule="auto"/>
        <w:rPr>
          <w:rFonts w:ascii="宋体" w:hAnsi="宋体" w:cs="宋体"/>
          <w:color w:val="auto"/>
          <w:sz w:val="24"/>
          <w:szCs w:val="24"/>
          <w:highlight w:val="none"/>
        </w:rPr>
      </w:pPr>
      <w:r>
        <w:rPr>
          <w:rFonts w:hint="eastAsia" w:ascii="宋体" w:hAnsi="宋体"/>
          <w:b/>
          <w:color w:val="auto"/>
          <w:szCs w:val="21"/>
          <w:highlight w:val="none"/>
        </w:rPr>
        <w:t xml:space="preserve">甲方（采购人）</w:t>
      </w:r>
      <w:r>
        <w:rPr>
          <w:rFonts w:hint="eastAsia" w:ascii="宋体" w:hAnsi="宋体"/>
          <w:color w:val="auto"/>
          <w:szCs w:val="21"/>
          <w:highlight w:val="none"/>
        </w:rPr>
        <w:t xml:space="preserve">：</w:t>
      </w:r>
      <w:r>
        <w:rPr>
          <w:rFonts w:hint="eastAsia" w:ascii="宋体" w:hAnsi="宋体" w:cs="宋体"/>
          <w:color w:val="auto"/>
          <w:sz w:val="24"/>
          <w:szCs w:val="24"/>
          <w:highlight w:val="none"/>
          <w:u w:val="single"/>
        </w:rPr>
        <w:t xml:space="preserve">南京信息工程大学</w:t>
      </w:r>
      <w:r/>
    </w:p>
    <w:p>
      <w:pPr>
        <w:jc w:val="left"/>
        <w:spacing w:line="360" w:lineRule="auto"/>
        <w:rPr>
          <w:rFonts w:ascii="宋体" w:hAnsi="宋体"/>
          <w:color w:val="auto"/>
          <w:szCs w:val="21"/>
          <w:highlight w:val="none"/>
          <w:u w:val="single"/>
        </w:rPr>
      </w:pPr>
      <w:r>
        <w:rPr>
          <w:rFonts w:hint="eastAsia" w:ascii="宋体" w:hAnsi="宋体"/>
          <w:b/>
          <w:color w:val="auto"/>
          <w:szCs w:val="21"/>
          <w:highlight w:val="none"/>
        </w:rPr>
        <w:t xml:space="preserve">乙方（供应商）</w:t>
      </w:r>
      <w:r>
        <w:rPr>
          <w:rFonts w:hint="eastAsia" w:ascii="宋体" w:hAnsi="宋体"/>
          <w:color w:val="auto"/>
          <w:szCs w:val="21"/>
          <w:highlight w:val="none"/>
        </w:rPr>
        <w:t xml:space="preserve">：</w:t>
      </w:r>
      <w:r/>
    </w:p>
    <w:p>
      <w:pPr>
        <w:jc w:val="left"/>
        <w:spacing w:line="360" w:lineRule="auto"/>
        <w:rPr>
          <w:rFonts w:ascii="宋体" w:hAnsi="宋体"/>
          <w:color w:val="auto"/>
          <w:szCs w:val="21"/>
          <w:highlight w:val="none"/>
          <w:u w:val="single"/>
        </w:rPr>
      </w:pPr>
      <w:r>
        <w:rPr>
          <w:rFonts w:hint="eastAsia" w:ascii="宋体" w:hAnsi="宋体"/>
          <w:b/>
          <w:color w:val="auto"/>
          <w:szCs w:val="21"/>
          <w:highlight w:val="none"/>
        </w:rPr>
        <w:t xml:space="preserve">采购代理机构</w:t>
      </w:r>
      <w:r>
        <w:rPr>
          <w:rFonts w:hint="eastAsia" w:ascii="宋体" w:hAnsi="宋体"/>
          <w:color w:val="auto"/>
          <w:szCs w:val="21"/>
          <w:highlight w:val="none"/>
        </w:rPr>
        <w:t xml:space="preserve">：</w:t>
      </w:r>
      <w:r>
        <w:rPr>
          <w:rFonts w:ascii="宋体" w:hAnsi="宋体"/>
          <w:color w:val="auto"/>
          <w:szCs w:val="21"/>
          <w:highlight w:val="none"/>
          <w:u w:val="single"/>
        </w:rPr>
        <w:t xml:space="preserve">江苏弘业国际技术工程有限公司</w:t>
      </w:r>
      <w:r/>
    </w:p>
    <w:p>
      <w:pPr>
        <w:jc w:val="left"/>
        <w:spacing w:line="360" w:lineRule="auto"/>
        <w:rPr>
          <w:rFonts w:ascii="宋体" w:hAnsi="宋体"/>
          <w:b/>
          <w:color w:val="auto"/>
          <w:szCs w:val="21"/>
          <w:highlight w:val="none"/>
          <w:u w:val="single"/>
        </w:rPr>
      </w:pPr>
      <w:r>
        <w:rPr>
          <w:rFonts w:hint="eastAsia" w:ascii="宋体" w:hAnsi="宋体"/>
          <w:b/>
          <w:color w:val="auto"/>
          <w:szCs w:val="21"/>
          <w:highlight w:val="none"/>
        </w:rPr>
        <w:t xml:space="preserve">签订时间：</w:t>
      </w:r>
      <w:r>
        <w:rPr>
          <w:rFonts w:hint="eastAsia" w:ascii="宋体" w:hAnsi="宋体"/>
          <w:color w:val="auto"/>
          <w:szCs w:val="21"/>
          <w:highlight w:val="none"/>
          <w:u w:val="single"/>
        </w:rPr>
        <w:t xml:space="preserve">  2026年  月  日 </w:t>
      </w:r>
      <w:r/>
    </w:p>
    <w:p>
      <w:pPr>
        <w:jc w:val="left"/>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根据《中华人民共和国政府采购法》《中华人民共和国民法典》等法律、法规规定，按照</w:t>
      </w:r>
      <w:r>
        <w:rPr>
          <w:rFonts w:hint="eastAsia" w:ascii="宋体" w:hAnsi="宋体" w:cs="宋体"/>
          <w:b/>
          <w:color w:val="auto"/>
          <w:sz w:val="24"/>
          <w:szCs w:val="24"/>
          <w:highlight w:val="none"/>
          <w:u w:val="single"/>
        </w:rPr>
        <w:t xml:space="preserve">南京信息工程大学混合信号测试应用开发套件采购</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采购文件、投标（响应）文件规定条款和中标（成交）供应商承诺，甲方向乙方购置相关货物，双方同意以下内容。</w:t>
      </w:r>
      <w:r/>
    </w:p>
    <w:p>
      <w:pPr>
        <w:ind w:firstLine="560"/>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第一条：合同签订依据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甲方采购文件或与本次采购活动方式相适应的文件及有关附件是本合同不可分割的组成部分，与本合同具有同等法律效力，这些文件包括但不限于：</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（1）乙方提供的投标文件和投标报价表；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（2）供货一览表；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（3）交货地点一览表；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（4）技术规格响应表；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（5）投标承诺；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（6）服务承诺；</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（7）中标或成交通知书；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（8）甲乙双方商定的其他文件。</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第二条：合同标的   </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乙方根据甲方需求提供下列货物，货物名称、规格及数量详见货物清单 “供货一览表”（格式可自拟）：</w:t>
      </w:r>
      <w:r/>
    </w:p>
    <w:p>
      <w:pPr>
        <w:ind w:firstLine="56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7"/>
        <w:gridCol w:w="1199"/>
        <w:gridCol w:w="1200"/>
        <w:gridCol w:w="1200"/>
        <w:gridCol w:w="1199"/>
        <w:gridCol w:w="1200"/>
        <w:gridCol w:w="1200"/>
        <w:gridCol w:w="1200"/>
      </w:tblGrid>
      <w:tr>
        <w:trPr>
          <w:cantSplit/>
          <w:jc w:val="center"/>
          <w:trHeight w:val="820"/>
        </w:trPr>
        <w:tc>
          <w:tcPr>
            <w:tcW w:w="49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1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货物名称</w:t>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商标品牌</w:t>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规格型号</w:t>
            </w:r>
            <w:r/>
          </w:p>
        </w:tc>
        <w:tc>
          <w:tcPr>
            <w:tcW w:w="11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生产厂家</w:t>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数量</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及单位</w:t>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单价</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（元）</w:t>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金额</w:t>
            </w:r>
            <w:r/>
          </w:p>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（元）</w:t>
            </w:r>
            <w:r/>
          </w:p>
        </w:tc>
      </w:tr>
      <w:tr>
        <w:trPr>
          <w:cantSplit/>
          <w:jc w:val="center"/>
          <w:trHeight w:val="465"/>
        </w:trPr>
        <w:tc>
          <w:tcPr>
            <w:tcW w:w="49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1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99"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5"/>
        </w:trPr>
        <w:tc>
          <w:tcPr>
            <w:tcW w:w="49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199"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199"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200" w:type="dxa"/>
            <w:vAlign w:val="center"/>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65"/>
        </w:trPr>
        <w:tc>
          <w:tcPr>
            <w:gridSpan w:val="8"/>
            <w:tcW w:w="8895"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人民币合计金额：</w:t>
            </w:r>
            <w:r>
              <w:rPr>
                <w:rFonts w:hint="eastAsia" w:ascii="宋体" w:hAnsi="宋体" w:cs="宋体"/>
                <w:color w:val="auto"/>
                <w:szCs w:val="21"/>
                <w:highlight w:val="none"/>
                <w:u w:val="single"/>
              </w:rPr>
              <w:t xml:space="preserve">（大写）   元整；（小写）   元整</w:t>
            </w:r>
            <w:r/>
          </w:p>
        </w:tc>
      </w:tr>
    </w:tbl>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第三条：合同总价款    </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本合同项下货物总价款为人民币：</w:t>
      </w:r>
      <w:r>
        <w:rPr>
          <w:rFonts w:hint="eastAsia" w:ascii="宋体" w:hAnsi="宋体" w:cs="宋体"/>
          <w:color w:val="auto"/>
          <w:szCs w:val="21"/>
          <w:highlight w:val="none"/>
          <w:u w:val="single"/>
        </w:rPr>
        <w:t xml:space="preserve">（大写） 元整；（小写） 元整</w:t>
      </w:r>
      <w:r>
        <w:rPr>
          <w:rFonts w:hint="eastAsia" w:ascii="宋体" w:hAnsi="宋体" w:cs="宋体"/>
          <w:color w:val="auto"/>
          <w:szCs w:val="21"/>
          <w:highlight w:val="none"/>
        </w:rPr>
        <w:t xml:space="preserve">；分项价款在“投标报价表”中有明确规定。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总价款包括货物设计、制造、包装、仓储、运输、专用工具、安装、调试、检验、技术培训及相关资料、以及验收合格之前及保修期内备品备件发生的所有含税费用，同时还包含乙方应当提供的售后服务等费用。除此以外，甲方不再承担向乙方支付其他任何费用的义务。</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第四条  权利保证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乙方应保证甲方在使用该货物或其任何一部分时不受第三方提出侵犯其专利权、版权、商标权或其他权利的起诉。一旦出现侵权，乙方应承担全部责任。</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第五条  质量保证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1、乙方所提供的货物型号、技术规格、技术参数等质量必须与采购文件、投标（响应）文件和承诺相一致。若技术性能无特殊说明，则按国家有关部门最新颁布的标准及规范为准。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第六条  包装要求</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提供的货物均应按采购文件、投标（响应）文件要求的包装材料、包装标准、包装方式进行包装，若采购文件、投标（相应）文件无特殊说明，则按国家最新标准及规范进行包装。该包装应适应于远距离运输、防潮、防震、防锈和防野蛮装卸，以确保货物安全无损运抵甲方指定地点。由于包装不善所引起的货物损失均由乙方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2、每一包装单元内应附详细的装箱单和质量合格凭证。</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第七条  交货和验收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1、交货时间地点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（1）交货时间： </w:t>
      </w:r>
      <w:r>
        <w:rPr>
          <w:rFonts w:hint="eastAsia" w:ascii="宋体" w:hAnsi="宋体" w:cs="宋体"/>
          <w:color w:val="auto"/>
          <w:szCs w:val="21"/>
          <w:highlight w:val="none"/>
          <w:u w:val="single"/>
        </w:rPr>
        <w:t xml:space="preserve">   年 月 日</w:t>
      </w:r>
      <w:r>
        <w:rPr>
          <w:rFonts w:hint="eastAsia" w:ascii="宋体" w:hAnsi="宋体" w:cs="宋体"/>
          <w:color w:val="auto"/>
          <w:szCs w:val="21"/>
          <w:highlight w:val="none"/>
        </w:rPr>
        <w:t xml:space="preserve">，也可以甲方书面通知的具体时间为准。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乙方应按照本合同或采购文件规定的时间和方式向甲方交付货物，如招投标文件对交货时间未明确规定，则乙方应当在（期间）前将货物交付甲方。</w:t>
      </w:r>
      <w:r/>
    </w:p>
    <w:p>
      <w:pPr>
        <w:ind w:firstLine="56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（2）交货地点由甲方指定，交货地点：。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2、验收标准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验收标准依照本合同约定的货物技术标准条款执行。货物的技术标准（或质量要求）按照技术协议约定内容执行；技术协议没有约定的，按照国家标准执行；国家标准没有要求的，按照行业标准执行；行业标准没有要求的，按照行业惯例或行业习惯执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（3）货物和系统调试验收的标准：按行业通行标准、厂方出厂标准和乙方投标文件的承诺（详见合同附件载明的标准，并不低于国家相关标准）。</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若合同货物为设备产品，则整机设备在提货前由乙方先行空车运转验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4、乙方负责在货物到达甲方交货地点或者指定地点</w:t>
      </w:r>
      <w:r>
        <w:rPr>
          <w:rFonts w:hint="eastAsia" w:ascii="宋体" w:hAnsi="宋体" w:cs="宋体"/>
          <w:color w:val="auto"/>
          <w:szCs w:val="21"/>
          <w:highlight w:val="none"/>
          <w:u w:val="single"/>
        </w:rPr>
        <w:t xml:space="preserve">7</w:t>
      </w:r>
      <w:r>
        <w:rPr>
          <w:rFonts w:hint="eastAsia" w:ascii="宋体" w:hAnsi="宋体" w:cs="宋体"/>
          <w:color w:val="auto"/>
          <w:szCs w:val="21"/>
          <w:highlight w:val="none"/>
        </w:rPr>
        <w:t xml:space="preserve">日内到甲方现场调试服务，甲方在调试过程中作整体验收，如调试验收不合格则由甲方出具书面通知，并责令乙方限期整改。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5、甲方应当在到货后的</w:t>
      </w:r>
      <w:r>
        <w:rPr>
          <w:rFonts w:hint="eastAsia" w:ascii="宋体" w:hAnsi="宋体" w:cs="宋体"/>
          <w:color w:val="auto"/>
          <w:szCs w:val="21"/>
          <w:highlight w:val="none"/>
          <w:u w:val="single"/>
        </w:rPr>
        <w:t xml:space="preserve">30</w:t>
      </w:r>
      <w:r>
        <w:rPr>
          <w:rFonts w:hint="eastAsia" w:ascii="宋体" w:hAnsi="宋体" w:cs="宋体"/>
          <w:color w:val="auto"/>
          <w:szCs w:val="21"/>
          <w:highlight w:val="none"/>
        </w:rPr>
        <w:t xml:space="preserve">个工作日内对货物进行验收；需要乙方对货物或系统进行安装调试的，甲方应在货物安装调试完毕后的</w:t>
      </w:r>
      <w:r>
        <w:rPr>
          <w:rFonts w:hint="eastAsia" w:ascii="宋体" w:hAnsi="宋体" w:cs="宋体"/>
          <w:color w:val="auto"/>
          <w:szCs w:val="21"/>
          <w:highlight w:val="none"/>
          <w:u w:val="single"/>
        </w:rPr>
        <w:t xml:space="preserve">30</w:t>
      </w:r>
      <w:r>
        <w:rPr>
          <w:rFonts w:hint="eastAsia" w:ascii="宋体" w:hAnsi="宋体" w:cs="宋体"/>
          <w:color w:val="auto"/>
          <w:szCs w:val="21"/>
          <w:highlight w:val="none"/>
        </w:rPr>
        <w:t xml:space="preserve">个工作日内进行质量验收。验收合格的，由甲方签署验收单并加盖单位公章。招投标文件对检验期限另有规定的，从其规定。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6、验收时间以验收单上签署的时间为准，验收结果以该项目验收单结论为准。在验收过程中发现乙方有违约问题，可暂缓资金结算，待违约问题解决后，方可办理资金结算事宜。</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第八条 付款方式和期限</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1、本合同所有款项均以人民币支付，合同执行期间合同总价不变，该价格已经包含本合同第三条约定的所有费用。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2、付款条件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乙方要求付款应提交下列单证和文件：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A、国家税务机关监制的正式发票。</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B、制造厂家出具的货物质量合格证书。</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C、甲方已收讫货物的验收凭证。</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D、甲方签发的验收合格文件。</w:t>
      </w:r>
      <w:r/>
    </w:p>
    <w:p>
      <w:pPr>
        <w:ind w:firstLine="560"/>
        <w:spacing w:line="360" w:lineRule="auto"/>
        <w:rPr>
          <w:rFonts w:ascii="宋体" w:hAnsi="宋体" w:cs="宋体"/>
          <w:color w:val="auto"/>
          <w:szCs w:val="21"/>
          <w:highlight w:val="none"/>
        </w:rPr>
      </w:pPr>
      <w:r>
        <w:rPr>
          <w:rFonts w:ascii="宋体" w:hAnsi="宋体" w:cs="宋体"/>
          <w:color w:val="auto"/>
          <w:szCs w:val="21"/>
          <w:highlight w:val="none"/>
        </w:rPr>
        <w:t xml:space="preserve">3、付款方式</w:t>
      </w:r>
      <w:r/>
    </w:p>
    <w:p>
      <w:pPr>
        <w:ind w:firstLine="422"/>
        <w:jc w:val="left"/>
        <w:spacing w:line="360" w:lineRule="auto"/>
        <w:rPr>
          <w:b/>
          <w:bCs/>
          <w:color w:val="auto"/>
          <w:szCs w:val="21"/>
          <w:highlight w:val="none"/>
        </w:rPr>
      </w:pPr>
      <w:r>
        <w:rPr>
          <w:rFonts w:hint="eastAsia"/>
          <w:color w:val="auto"/>
          <w:szCs w:val="21"/>
          <w:highlight w:val="none"/>
        </w:rPr>
        <w:t xml:space="preserve">本项目无预付款，验收合格后，乙方提供全额“增值税专用发票”，凭甲方最终签字和盖章的验收合格报告支付至合同金额100%。</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第九条</w:t>
      </w:r>
      <w:r>
        <w:rPr>
          <w:rFonts w:ascii="宋体" w:hAnsi="宋体" w:cs="宋体"/>
          <w:b/>
          <w:color w:val="auto"/>
          <w:szCs w:val="21"/>
          <w:highlight w:val="none"/>
        </w:rPr>
        <w:t xml:space="preserve">   </w:t>
      </w:r>
      <w:r>
        <w:rPr>
          <w:rFonts w:hint="eastAsia" w:ascii="宋体" w:hAnsi="宋体" w:cs="宋体"/>
          <w:b/>
          <w:color w:val="auto"/>
          <w:szCs w:val="21"/>
          <w:highlight w:val="none"/>
        </w:rPr>
        <w:t xml:space="preserve">履约保证金</w:t>
      </w:r>
      <w:r/>
    </w:p>
    <w:p>
      <w:pPr>
        <w:ind w:firstLine="560"/>
        <w:spacing w:line="360" w:lineRule="auto"/>
        <w:rPr>
          <w:color w:val="auto"/>
          <w:szCs w:val="21"/>
          <w:highlight w:val="none"/>
        </w:rPr>
      </w:pPr>
      <w:r>
        <w:rPr>
          <w:rFonts w:hint="eastAsia"/>
          <w:color w:val="auto"/>
          <w:szCs w:val="21"/>
          <w:highlight w:val="none"/>
        </w:rPr>
        <w:t xml:space="preserve">乙方应在合同签订前提交中标额的5%作为履约保证金，质保期结束后无息退还。</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第十条  安装和培训</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1、甲方应提供必要安装条件（如场地、电源、水源等）。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乙方及乙方工作人员在向甲方交付货物及提供服务过程中的安全保障责任由乙方自行承担。</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第十一条 售后服务</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应按国家相关法规及采购文件、投标（响应）文件对售后服务的要求和响应提供服务。自甲乙双方签署验收单且加盖甲方公章之日的次日起算。在货物正确安装、正常操作和维修情况下，乙方必须对协议货物的正常使用承诺不少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大写）个月的免费质量保证期。</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乙方将定期派员对甲方使用的货物进行检测，应保证货物处于正常使用状态。质保期内，乙方须免费提供系统软件缺陷修复、安全补丁更新及小版本功能升级服务，确保系统稳定运行。对于重大版本迭代，乙方应提供优惠升级方案。</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3、若招投标文件中不包含有关售后服务的承诺，双方作如下约定：</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3.1保修期内，乙方负责对其提供的货物整机进行维修和系统维护，不再收取任何费用，但不可抗力（如火灾、雷击等）造成的故障除外。</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3.2货物故障报修的响应时间为：工作期间（星期一至星期五8：00-18：00）为小时；非工作期间为小时。</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3.3若货物故障在检修8工作小时后仍无法排除，乙方应在48小时内免费提供不低于故障货物规格型号档次的备用货物供甲方使用，直至故障货物修复。</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 所有货物保修服务方式均为乙方上门保修，即由乙方派员到货物使用现场维修，由此产生的一切费用均由乙方承担。</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4、保修期届满后，双方可另行签订维护保养合同。</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第十二条 合同的变更、终止与转让</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1、按照《中华人民共和国政府采购法》第50条规定，本合同一经签订，除本合同约定外，甲乙双方不得擅自变更、中止或终止。</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2、双方除非事先得到对方的书面同意或本合同另有约定，任何一方不得将合同项下的任何权利、义务、责任转让给任何第三方。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3、乙方逾期未完成约定义务超过</w:t>
      </w:r>
      <w:r>
        <w:rPr>
          <w:rFonts w:hint="eastAsia" w:ascii="宋体" w:hAnsi="宋体" w:cs="宋体"/>
          <w:color w:val="auto"/>
          <w:szCs w:val="21"/>
          <w:highlight w:val="none"/>
          <w:u w:val="single"/>
        </w:rPr>
        <w:t xml:space="preserve">_7个_</w:t>
      </w:r>
      <w:r>
        <w:rPr>
          <w:rFonts w:hint="eastAsia" w:ascii="宋体" w:hAnsi="宋体" w:cs="宋体"/>
          <w:color w:val="auto"/>
          <w:szCs w:val="21"/>
          <w:highlight w:val="none"/>
        </w:rPr>
        <w:t xml:space="preserve">工作日，甲方有权单方解除本合同。</w:t>
      </w:r>
      <w:r/>
    </w:p>
    <w:p>
      <w:pPr>
        <w:ind w:left="1"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4、乙方履行本合同约定义务时，未达到甲方要求，修改或整改超过</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次，仍然无法达到甲方要求，甲方有权单方解除本合同。</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第十三条违约责任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1、甲方无正当理由拒收货物的，甲方向乙方偿付拒收本合同约定总价款的</w:t>
      </w:r>
      <w:r>
        <w:rPr>
          <w:rFonts w:hint="eastAsia" w:ascii="宋体" w:hAnsi="宋体" w:cs="宋体"/>
          <w:color w:val="auto"/>
          <w:szCs w:val="21"/>
          <w:highlight w:val="none"/>
          <w:u w:val="single"/>
          <w:lang w:val="en-GB"/>
        </w:rPr>
        <w:t xml:space="preserve">10％</w:t>
      </w:r>
      <w:r>
        <w:rPr>
          <w:rFonts w:hint="eastAsia" w:ascii="宋体" w:hAnsi="宋体" w:cs="宋体"/>
          <w:color w:val="auto"/>
          <w:szCs w:val="21"/>
          <w:highlight w:val="none"/>
        </w:rPr>
        <w:t xml:space="preserve">违约金。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2、甲方无故逾期验收和办理价款支付手续的，甲方应按逾期付款总额部分每日</w:t>
      </w:r>
      <w:r>
        <w:rPr>
          <w:rFonts w:hint="eastAsia" w:ascii="宋体" w:hAnsi="宋体" w:cs="宋体"/>
          <w:color w:val="auto"/>
          <w:szCs w:val="21"/>
          <w:highlight w:val="none"/>
          <w:u w:val="single"/>
          <w:lang w:val="en-GB"/>
        </w:rPr>
        <w:t xml:space="preserve">1‰</w:t>
      </w:r>
      <w:r>
        <w:rPr>
          <w:rFonts w:hint="eastAsia" w:ascii="宋体" w:hAnsi="宋体" w:cs="宋体"/>
          <w:color w:val="auto"/>
          <w:szCs w:val="21"/>
          <w:highlight w:val="none"/>
        </w:rPr>
        <w:t xml:space="preserve">计算，向乙方支付违约金，但累计滞纳金总额不超过欠款总额的</w:t>
      </w:r>
      <w:r>
        <w:rPr>
          <w:rFonts w:hint="eastAsia" w:ascii="宋体" w:hAnsi="宋体" w:cs="宋体"/>
          <w:color w:val="auto"/>
          <w:szCs w:val="21"/>
          <w:highlight w:val="none"/>
          <w:u w:val="single"/>
          <w:lang w:val="en-GB"/>
        </w:rPr>
        <w:t xml:space="preserve">10％</w:t>
      </w:r>
      <w:r>
        <w:rPr>
          <w:rFonts w:hint="eastAsia" w:ascii="宋体" w:hAnsi="宋体" w:cs="宋体"/>
          <w:color w:val="auto"/>
          <w:szCs w:val="21"/>
          <w:highlight w:val="none"/>
        </w:rPr>
        <w:t xml:space="preserve"> 。</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3、乙方逾期交付货物的，乙方应按逾期交货部分总价款每日</w:t>
      </w:r>
      <w:r>
        <w:rPr>
          <w:rFonts w:hint="eastAsia" w:ascii="宋体" w:hAnsi="宋体" w:cs="宋体"/>
          <w:color w:val="auto"/>
          <w:szCs w:val="21"/>
          <w:highlight w:val="none"/>
          <w:u w:val="single"/>
          <w:lang w:val="en-GB"/>
        </w:rPr>
        <w:t xml:space="preserve">1‰</w:t>
      </w:r>
      <w:r>
        <w:rPr>
          <w:rFonts w:hint="eastAsia" w:ascii="宋体" w:hAnsi="宋体" w:cs="宋体"/>
          <w:color w:val="auto"/>
          <w:szCs w:val="21"/>
          <w:highlight w:val="none"/>
        </w:rPr>
        <w:t xml:space="preserve">向甲方支付违约金，由甲方从待付价款中直接扣除；逾期超过约定日期</w:t>
      </w:r>
      <w:r>
        <w:rPr>
          <w:rFonts w:hint="eastAsia" w:ascii="宋体" w:hAnsi="宋体" w:cs="宋体"/>
          <w:color w:val="auto"/>
          <w:szCs w:val="21"/>
          <w:highlight w:val="none"/>
          <w:u w:val="single"/>
        </w:rPr>
        <w:t xml:space="preserve">7个</w:t>
      </w:r>
      <w:r>
        <w:rPr>
          <w:rFonts w:hint="eastAsia" w:ascii="宋体" w:hAnsi="宋体" w:cs="宋体"/>
          <w:color w:val="auto"/>
          <w:szCs w:val="21"/>
          <w:highlight w:val="none"/>
        </w:rPr>
        <w:t xml:space="preserve">工作日不能交货的，甲方可解除本合同。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4、如乙方不能交付货物，甲方有权扣留全部履约保证金；同时乙方应向甲方支付合同总价</w:t>
      </w:r>
      <w:r>
        <w:rPr>
          <w:rFonts w:hint="eastAsia" w:ascii="宋体" w:hAnsi="宋体" w:cs="宋体"/>
          <w:color w:val="auto"/>
          <w:szCs w:val="21"/>
          <w:highlight w:val="none"/>
          <w:u w:val="single"/>
          <w:lang w:val="en-GB"/>
        </w:rPr>
        <w:t xml:space="preserve">10％</w:t>
      </w:r>
      <w:r>
        <w:rPr>
          <w:rFonts w:hint="eastAsia" w:ascii="宋体" w:hAnsi="宋体" w:cs="宋体"/>
          <w:color w:val="auto"/>
          <w:szCs w:val="21"/>
          <w:highlight w:val="none"/>
        </w:rPr>
        <w:t xml:space="preserve">的违约金。</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5、乙方因逾期交货或因其他违约行为导致甲方解除合同的，乙方应向甲方支付本合同约定总价款</w:t>
      </w:r>
      <w:r>
        <w:rPr>
          <w:rFonts w:hint="eastAsia" w:ascii="宋体" w:hAnsi="宋体" w:cs="宋体"/>
          <w:color w:val="auto"/>
          <w:szCs w:val="21"/>
          <w:highlight w:val="none"/>
          <w:u w:val="single"/>
          <w:lang w:val="en-GB"/>
        </w:rPr>
        <w:t xml:space="preserve">10％</w:t>
      </w:r>
      <w:r>
        <w:rPr>
          <w:rFonts w:hint="eastAsia" w:ascii="宋体" w:hAnsi="宋体" w:cs="宋体"/>
          <w:color w:val="auto"/>
          <w:szCs w:val="21"/>
          <w:highlight w:val="none"/>
        </w:rPr>
        <w:t xml:space="preserve">的违约金，如造成甲方损失超过违约金的，超出部分由乙方继续承担赔偿责任。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6、乙方所交的货物品种、型号、规格、技术参数、质量不符合合同约定及招投标文件规定的标准的，甲方有权拒收该货物，乙方应按本合同总价款的</w:t>
      </w:r>
      <w:r>
        <w:rPr>
          <w:rFonts w:hint="eastAsia" w:ascii="宋体" w:hAnsi="宋体" w:cs="宋体"/>
          <w:color w:val="auto"/>
          <w:szCs w:val="21"/>
          <w:highlight w:val="none"/>
          <w:u w:val="single"/>
          <w:lang w:val="en-GB"/>
        </w:rPr>
        <w:t xml:space="preserve">10％</w:t>
      </w:r>
      <w:r>
        <w:rPr>
          <w:rFonts w:hint="eastAsia" w:ascii="宋体" w:hAnsi="宋体" w:cs="宋体"/>
          <w:color w:val="auto"/>
          <w:szCs w:val="21"/>
          <w:highlight w:val="none"/>
        </w:rPr>
        <w:t xml:space="preserve">向甲方支付违约金。乙方愿意更换货物但逾期交货的，按乙方逾期交货处理。乙方拒绝更换货物的，甲方可以单方面解除合同。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在乙方承诺的或国家规定的质量保证期内（取两者中最长的期限），如经乙方两次维修或更换，货物仍不能达到合同约定的质量标准，甲方有权退货，乙方应退回全部货款，并按第4款处理，同时，乙方还须赔偿甲方因此遭受的损失。</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8、乙方未按本合同的规定和“服务承诺”提供售后服务的，应按合同总价款的</w:t>
      </w:r>
      <w:r>
        <w:rPr>
          <w:rFonts w:hint="eastAsia" w:ascii="宋体" w:hAnsi="宋体" w:cs="宋体"/>
          <w:color w:val="auto"/>
          <w:szCs w:val="21"/>
          <w:highlight w:val="none"/>
          <w:u w:val="single"/>
          <w:lang w:val="en-GB"/>
        </w:rPr>
        <w:t xml:space="preserve">10％</w:t>
      </w:r>
      <w:r>
        <w:rPr>
          <w:rFonts w:hint="eastAsia" w:ascii="宋体" w:hAnsi="宋体" w:cs="宋体"/>
          <w:color w:val="auto"/>
          <w:szCs w:val="21"/>
          <w:highlight w:val="none"/>
        </w:rPr>
        <w:t xml:space="preserve">向甲方承担违约责任。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9、乙方在承担上述5-8款一项或多项违约责任后，仍应继续履行合同规定的义务（甲方解除合同的除外）。甲方未能及时追究乙方的任何一项违约责任并不表明甲方放弃追究乙方该项或其他违约责任。</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10、乙方提供的货物如侵犯了第三方合法权益而引发的任何纠纷或诉讼，均由乙方负责交涉并承担全部责任。</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第十四条 保密条款</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1、双方对合作及本合同的具体内容负有保密责任。未经对方事先书面同意，任何一方不得将双方的合作及本合同中涉及的商业秘密披露给任何第三方。</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本条所指的商业秘密是指以各种有形或无形形式存贮的观点、计划和信息，包括但不限于：技术或商业性质的信息、标语口号、版权物品、</w:t>
      </w:r>
      <w:r>
        <w:rPr>
          <w:rFonts w:hint="eastAsia"/>
          <w:color w:val="auto"/>
          <w:highlight w:val="none"/>
        </w:rPr>
        <w:fldChar w:fldCharType="begin"/>
      </w:r>
      <w:r>
        <w:rPr>
          <w:color w:val="auto"/>
          <w:highlight w:val="none"/>
        </w:rPr>
        <w:instrText xml:space="preserve"> HYPERLINK "http://www.xuexila.com/diannao/" </w:instrText>
      </w:r>
      <w:r>
        <w:rPr>
          <w:rFonts w:hint="eastAsia"/>
          <w:color w:val="auto"/>
          <w:highlight w:val="none"/>
        </w:rPr>
        <w:fldChar w:fldCharType="separate"/>
      </w:r>
      <w:r>
        <w:rPr>
          <w:rFonts w:hint="eastAsia" w:ascii="宋体" w:hAnsi="宋体" w:cs="宋体"/>
          <w:color w:val="auto"/>
          <w:szCs w:val="21"/>
          <w:highlight w:val="none"/>
        </w:rPr>
        <w:t xml:space="preserve">计算机</w:t>
      </w:r>
      <w:r>
        <w:rPr>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软件、源代码、目标代码、技术、技术诀窍、数据、营销企划、摘要、报告及邮件列表等。</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2、本合同如有任何部分被视为无效或不可执行，均不影响保密条款的有效性。</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3、本条约定在本合同终止履行后两年内仍然有效。</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第十五条 不可抗力</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由于不可抗力事件，致使任何一方不能履行其在本合同下的义务，该方不承担由此给另一方造成的损失；该方应及时书面通知另一方其不能履行或延迟履行合同义务的原因，并应尽快向另一方提供有关发生不可抗力的证明文件，按事故对本合同的影响程度，双方协商是否终止本合同，或部分免除本合同的义务。</w:t>
      </w:r>
      <w:r/>
    </w:p>
    <w:p>
      <w:pPr>
        <w:ind w:firstLine="560"/>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第十六条  争议的解决</w:t>
      </w:r>
      <w:r/>
    </w:p>
    <w:p>
      <w:pPr>
        <w:pStyle w:val="998"/>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1、因货物质量问题发生争议，由质量技术监督部门或质量技术监督部门指定的质量鉴定机构进行质量鉴定。货物符合标准的，鉴定费由甲方承担；货物不符合质量标准的，鉴定费由乙方承担。</w:t>
      </w:r>
      <w:r/>
    </w:p>
    <w:p>
      <w:pPr>
        <w:ind w:firstLine="3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2、因履行本合同引起的或与本合同有关的争议，甲、乙双方应首先通过友好协商解决，如果协商不能解决争议，则采取以下第（ 1 ）种方式解决争议：</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（1）向甲方所在地有管辖权的人民法院提起诉讼；</w:t>
      </w:r>
      <w:r/>
    </w:p>
    <w:p>
      <w:pPr>
        <w:ind w:firstLine="56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（2）向仲裁委员会按其仲裁规则申请仲裁。</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第十七条  合同生效及其他</w:t>
      </w:r>
      <w:r/>
    </w:p>
    <w:p>
      <w:pPr>
        <w:pStyle w:val="998"/>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1、合同附件是本合同不可分割组成部分，与本合同具有同等法律效力。</w:t>
      </w:r>
      <w:r/>
    </w:p>
    <w:p>
      <w:pPr>
        <w:pStyle w:val="998"/>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2、本合同未尽事宜，由甲乙双方协商后产生书面文件，作为本合同的补充条款，具备与本合同同等法律效力。 </w:t>
      </w:r>
      <w:r/>
    </w:p>
    <w:p>
      <w:pPr>
        <w:pStyle w:val="998"/>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3、对本合同内容的任何修改和变更需要用书面形式，并经双方签字盖章确认后生效。</w:t>
      </w:r>
      <w:r/>
    </w:p>
    <w:p>
      <w:pPr>
        <w:pStyle w:val="998"/>
        <w:ind w:firstLine="3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4、本合同一式</w:t>
      </w:r>
      <w:r>
        <w:rPr>
          <w:rFonts w:hint="eastAsia" w:ascii="宋体" w:hAnsi="宋体" w:cs="宋体"/>
          <w:color w:val="auto"/>
          <w:szCs w:val="21"/>
          <w:highlight w:val="none"/>
          <w:u w:val="single"/>
        </w:rPr>
        <w:t xml:space="preserve"> 陆 </w:t>
      </w:r>
      <w:r>
        <w:rPr>
          <w:rFonts w:hint="eastAsia" w:ascii="宋体" w:hAnsi="宋体" w:cs="宋体"/>
          <w:color w:val="auto"/>
          <w:szCs w:val="21"/>
          <w:highlight w:val="none"/>
        </w:rPr>
        <w:t xml:space="preserve">份，甲方</w:t>
      </w:r>
      <w:r>
        <w:rPr>
          <w:rFonts w:hint="eastAsia" w:ascii="宋体" w:hAnsi="宋体" w:cs="宋体"/>
          <w:color w:val="auto"/>
          <w:szCs w:val="21"/>
          <w:highlight w:val="none"/>
          <w:u w:val="single"/>
        </w:rPr>
        <w:t xml:space="preserve"> 肆 </w:t>
      </w:r>
      <w:r>
        <w:rPr>
          <w:rFonts w:hint="eastAsia" w:ascii="宋体" w:hAnsi="宋体" w:cs="宋体"/>
          <w:color w:val="auto"/>
          <w:szCs w:val="21"/>
          <w:highlight w:val="none"/>
        </w:rPr>
        <w:t xml:space="preserve">份，乙方</w:t>
      </w:r>
      <w:r>
        <w:rPr>
          <w:rFonts w:hint="eastAsia" w:ascii="宋体" w:hAnsi="宋体" w:cs="宋体"/>
          <w:color w:val="auto"/>
          <w:szCs w:val="21"/>
          <w:highlight w:val="none"/>
          <w:u w:val="single"/>
        </w:rPr>
        <w:t xml:space="preserve"> 贰 </w:t>
      </w:r>
      <w:r>
        <w:rPr>
          <w:rFonts w:hint="eastAsia" w:ascii="宋体" w:hAnsi="宋体" w:cs="宋体"/>
          <w:color w:val="auto"/>
          <w:szCs w:val="21"/>
          <w:highlight w:val="none"/>
        </w:rPr>
        <w:t xml:space="preserve">份。本合同自甲乙双方签字盖章后生效。</w:t>
      </w:r>
      <w:r/>
    </w:p>
    <w:p>
      <w:pPr>
        <w:pStyle w:val="980"/>
        <w:spacing w:line="360" w:lineRule="auto"/>
        <w:rPr>
          <w:rFonts w:hAnsi="宋体" w:cs="宋体"/>
          <w:color w:val="auto"/>
          <w:szCs w:val="21"/>
          <w:highlight w:val="none"/>
        </w:rPr>
      </w:pPr>
      <w:r>
        <w:rPr>
          <w:rFonts w:hAnsi="宋体" w:cs="宋体"/>
          <w:color w:val="auto"/>
          <w:szCs w:val="21"/>
          <w:highlight w:val="none"/>
        </w:rPr>
      </w:r>
      <w:r/>
    </w:p>
    <w:p>
      <w:pPr>
        <w:pStyle w:val="998"/>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998"/>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998"/>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998"/>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998"/>
        <w:ind w:firstLine="0"/>
        <w:spacing w:line="360" w:lineRule="auto"/>
        <w:rPr>
          <w:rFonts w:ascii="宋体" w:hAnsi="宋体" w:cs="宋体"/>
          <w:color w:val="auto"/>
          <w:szCs w:val="21"/>
          <w:highlight w:val="none"/>
        </w:rPr>
      </w:pPr>
      <w:r>
        <w:rPr>
          <w:rFonts w:ascii="宋体" w:hAnsi="宋体" w:cs="宋体"/>
          <w:color w:val="auto"/>
          <w:szCs w:val="21"/>
          <w:highlight w:val="none"/>
        </w:rPr>
      </w:r>
      <w:r/>
    </w:p>
    <w:p>
      <w:pPr>
        <w:pStyle w:val="978"/>
        <w:ind w:firstLine="0"/>
        <w:rPr>
          <w:color w:val="auto"/>
          <w:highlight w:val="none"/>
        </w:rPr>
      </w:pPr>
      <w:r>
        <w:rPr>
          <w:color w:val="auto"/>
          <w:highlight w:val="none"/>
        </w:rPr>
      </w:r>
      <w:r/>
    </w:p>
    <w:tbl>
      <w:tblPr>
        <w:tblStyle w:val="9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cantSplit/>
          <w:trHeight w:val="1729"/>
        </w:trPr>
        <w:tc>
          <w:tcPr>
            <w:tcW w:w="4927" w:type="dxa"/>
            <w:vAlign w:val="center"/>
            <w:textDirection w:val="lrTb"/>
            <w:noWrap w:val="false"/>
          </w:tcPr>
          <w:p>
            <w:pPr>
              <w:jc w:val="left"/>
              <w:spacing w:line="360" w:lineRule="auto"/>
              <w:rPr>
                <w:rFonts w:ascii="宋体" w:hAnsi="宋体" w:cs="宋体"/>
                <w:color w:val="auto"/>
                <w:sz w:val="24"/>
                <w:szCs w:val="24"/>
                <w:highlight w:val="none"/>
              </w:rPr>
            </w:pPr>
            <w:r>
              <w:rPr>
                <w:rFonts w:cs="Arial"/>
                <w:color w:val="auto"/>
                <w:szCs w:val="24"/>
                <w:highlight w:val="none"/>
              </w:rPr>
              <w:t xml:space="preserve">甲方（公章）</w:t>
            </w:r>
            <w:r>
              <w:rPr>
                <w:rFonts w:hint="eastAsia" w:ascii="宋体" w:hAnsi="宋体" w:cs="宋体"/>
                <w:color w:val="auto"/>
                <w:sz w:val="24"/>
                <w:szCs w:val="24"/>
                <w:highlight w:val="none"/>
              </w:rPr>
              <w:t xml:space="preserve">南京信息工程大学</w:t>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ind w:firstLine="525"/>
              <w:rPr>
                <w:rFonts w:cs="Arial"/>
                <w:color w:val="auto"/>
                <w:szCs w:val="24"/>
                <w:highlight w:val="none"/>
              </w:rPr>
            </w:pPr>
            <w:r>
              <w:rPr>
                <w:rFonts w:cs="Arial"/>
                <w:color w:val="auto"/>
                <w:szCs w:val="24"/>
                <w:highlight w:val="none"/>
              </w:rPr>
              <w:t xml:space="preserve">年</w:t>
            </w:r>
            <w:r>
              <w:rPr>
                <w:rFonts w:hint="eastAsia" w:cs="Arial"/>
                <w:color w:val="auto"/>
                <w:szCs w:val="24"/>
                <w:highlight w:val="none"/>
              </w:rPr>
              <w:t xml:space="preserve">   </w:t>
            </w:r>
            <w:r>
              <w:rPr>
                <w:rFonts w:cs="Arial"/>
                <w:color w:val="auto"/>
                <w:szCs w:val="24"/>
                <w:highlight w:val="none"/>
              </w:rPr>
              <w:t xml:space="preserve">月</w:t>
            </w:r>
            <w:r>
              <w:rPr>
                <w:rFonts w:hint="eastAsia" w:cs="Arial"/>
                <w:color w:val="auto"/>
                <w:szCs w:val="24"/>
                <w:highlight w:val="none"/>
              </w:rPr>
              <w:t xml:space="preserve">    </w:t>
            </w:r>
            <w:r>
              <w:rPr>
                <w:rFonts w:cs="Arial"/>
                <w:color w:val="auto"/>
                <w:szCs w:val="24"/>
                <w:highlight w:val="none"/>
              </w:rPr>
              <w:t xml:space="preserve">日</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乙方（公章）</w:t>
            </w:r>
            <w:r/>
          </w:p>
          <w:p>
            <w:pPr>
              <w:ind w:firstLine="560"/>
              <w:rPr>
                <w:rFonts w:cs="Arial"/>
                <w:color w:val="auto"/>
                <w:szCs w:val="24"/>
                <w:highlight w:val="none"/>
              </w:rPr>
            </w:pPr>
            <w:r>
              <w:rPr>
                <w:rFonts w:cs="Arial"/>
                <w:color w:val="auto"/>
                <w:szCs w:val="24"/>
                <w:highlight w:val="none"/>
              </w:rPr>
            </w:r>
            <w:r/>
          </w:p>
          <w:p>
            <w:pPr>
              <w:ind w:firstLine="525"/>
              <w:rPr>
                <w:rFonts w:cs="Arial"/>
                <w:color w:val="auto"/>
                <w:szCs w:val="24"/>
                <w:highlight w:val="none"/>
              </w:rPr>
            </w:pPr>
            <w:r>
              <w:rPr>
                <w:rFonts w:cs="Arial"/>
                <w:color w:val="auto"/>
                <w:szCs w:val="24"/>
                <w:highlight w:val="none"/>
              </w:rPr>
              <w:t xml:space="preserve">年</w:t>
            </w:r>
            <w:r>
              <w:rPr>
                <w:rFonts w:hint="eastAsia" w:cs="Arial"/>
                <w:color w:val="auto"/>
                <w:szCs w:val="24"/>
                <w:highlight w:val="none"/>
              </w:rPr>
              <w:t xml:space="preserve">   </w:t>
            </w:r>
            <w:r>
              <w:rPr>
                <w:rFonts w:cs="Arial"/>
                <w:color w:val="auto"/>
                <w:szCs w:val="24"/>
                <w:highlight w:val="none"/>
              </w:rPr>
              <w:t xml:space="preserve">月</w:t>
            </w:r>
            <w:r>
              <w:rPr>
                <w:rFonts w:hint="eastAsia" w:cs="Arial"/>
                <w:color w:val="auto"/>
                <w:szCs w:val="24"/>
                <w:highlight w:val="none"/>
              </w:rPr>
              <w:t xml:space="preserve">    </w:t>
            </w:r>
            <w:r>
              <w:rPr>
                <w:rFonts w:cs="Arial"/>
                <w:color w:val="auto"/>
                <w:szCs w:val="24"/>
                <w:highlight w:val="none"/>
              </w:rPr>
              <w:t xml:space="preserve">日</w:t>
            </w:r>
            <w:r/>
          </w:p>
        </w:tc>
      </w:tr>
      <w:tr>
        <w:trPr>
          <w:cantSplit/>
          <w:trHeight w:val="593"/>
        </w:trPr>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单位地址：</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单位地址：</w:t>
            </w:r>
            <w:r/>
          </w:p>
        </w:tc>
      </w:tr>
      <w:tr>
        <w:trPr>
          <w:cantSplit/>
          <w:trHeight w:val="1175"/>
        </w:trPr>
        <w:tc>
          <w:tcPr>
            <w:tcW w:w="4927" w:type="dxa"/>
            <w:vAlign w:val="center"/>
            <w:textDirection w:val="lrTb"/>
            <w:noWrap w:val="false"/>
          </w:tcPr>
          <w:p>
            <w:pPr>
              <w:spacing w:before="156"/>
              <w:rPr>
                <w:rFonts w:cs="Arial"/>
                <w:color w:val="auto"/>
                <w:szCs w:val="24"/>
                <w:highlight w:val="none"/>
              </w:rPr>
            </w:pPr>
            <w:r>
              <w:rPr>
                <w:rFonts w:cs="Arial"/>
                <w:color w:val="auto"/>
                <w:szCs w:val="24"/>
                <w:highlight w:val="none"/>
              </w:rPr>
              <w:t xml:space="preserve">法定代表人（或委托代理人）</w:t>
            </w:r>
            <w:r/>
          </w:p>
          <w:p>
            <w:pPr>
              <w:rPr>
                <w:rFonts w:cs="Arial"/>
                <w:color w:val="auto"/>
                <w:szCs w:val="24"/>
                <w:highlight w:val="none"/>
              </w:rPr>
            </w:pPr>
            <w:r>
              <w:rPr>
                <w:rFonts w:cs="Arial"/>
                <w:color w:val="auto"/>
                <w:szCs w:val="24"/>
                <w:highlight w:val="none"/>
              </w:rPr>
              <w:t xml:space="preserve">（签字）：</w:t>
            </w:r>
            <w:r/>
          </w:p>
        </w:tc>
        <w:tc>
          <w:tcPr>
            <w:tcW w:w="4927" w:type="dxa"/>
            <w:vAlign w:val="center"/>
            <w:textDirection w:val="lrTb"/>
            <w:noWrap w:val="false"/>
          </w:tcPr>
          <w:p>
            <w:pPr>
              <w:spacing w:before="156"/>
              <w:rPr>
                <w:rFonts w:cs="Arial"/>
                <w:color w:val="auto"/>
                <w:szCs w:val="24"/>
                <w:highlight w:val="none"/>
              </w:rPr>
            </w:pPr>
            <w:r>
              <w:rPr>
                <w:rFonts w:cs="Arial"/>
                <w:color w:val="auto"/>
                <w:szCs w:val="24"/>
                <w:highlight w:val="none"/>
              </w:rPr>
              <w:t xml:space="preserve">法定代表人（或委托代理人）</w:t>
            </w:r>
            <w:r/>
          </w:p>
          <w:p>
            <w:pPr>
              <w:rPr>
                <w:rFonts w:cs="Arial"/>
                <w:color w:val="auto"/>
                <w:szCs w:val="24"/>
                <w:highlight w:val="none"/>
              </w:rPr>
            </w:pPr>
            <w:r>
              <w:rPr>
                <w:rFonts w:cs="Arial"/>
                <w:color w:val="auto"/>
                <w:szCs w:val="24"/>
                <w:highlight w:val="none"/>
              </w:rPr>
              <w:t xml:space="preserve">（签字）：</w:t>
            </w:r>
            <w:r/>
          </w:p>
        </w:tc>
      </w:tr>
      <w:tr>
        <w:trPr>
          <w:cantSplit/>
          <w:trHeight w:val="460"/>
        </w:trPr>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电话：</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电话：</w:t>
            </w:r>
            <w:r/>
          </w:p>
        </w:tc>
      </w:tr>
      <w:tr>
        <w:trPr>
          <w:cantSplit/>
          <w:trHeight w:val="531"/>
        </w:trPr>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电子邮箱：</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电子邮箱：</w:t>
            </w:r>
            <w:r/>
          </w:p>
        </w:tc>
      </w:tr>
      <w:tr>
        <w:trPr>
          <w:cantSplit/>
          <w:trHeight w:val="90"/>
        </w:trPr>
        <w:tc>
          <w:tcPr>
            <w:tcW w:w="4927" w:type="dxa"/>
            <w:vAlign w:val="center"/>
            <w:textDirection w:val="lrTb"/>
            <w:noWrap w:val="false"/>
          </w:tcPr>
          <w:p>
            <w:pPr>
              <w:rPr>
                <w:rFonts w:cs="Arial"/>
                <w:color w:val="auto"/>
                <w:szCs w:val="24"/>
                <w:highlight w:val="none"/>
                <w:u w:val="single"/>
              </w:rPr>
            </w:pPr>
            <w:r>
              <w:rPr>
                <w:rFonts w:cs="Arial"/>
                <w:color w:val="auto"/>
                <w:szCs w:val="24"/>
                <w:highlight w:val="none"/>
              </w:rPr>
              <w:t xml:space="preserve">开户银行：</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开户银行：</w:t>
            </w:r>
            <w:r/>
          </w:p>
        </w:tc>
      </w:tr>
      <w:tr>
        <w:trPr>
          <w:cantSplit/>
          <w:trHeight w:val="489"/>
        </w:trPr>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账号：</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账号：</w:t>
            </w:r>
            <w:r/>
          </w:p>
        </w:tc>
      </w:tr>
      <w:tr>
        <w:trPr>
          <w:cantSplit/>
          <w:trHeight w:val="377"/>
        </w:trPr>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邮政编码：</w:t>
            </w:r>
            <w:r/>
          </w:p>
        </w:tc>
        <w:tc>
          <w:tcPr>
            <w:tcW w:w="4927" w:type="dxa"/>
            <w:vAlign w:val="center"/>
            <w:textDirection w:val="lrTb"/>
            <w:noWrap w:val="false"/>
          </w:tcPr>
          <w:p>
            <w:pPr>
              <w:rPr>
                <w:rFonts w:cs="Arial"/>
                <w:color w:val="auto"/>
                <w:szCs w:val="24"/>
                <w:highlight w:val="none"/>
              </w:rPr>
            </w:pPr>
            <w:r>
              <w:rPr>
                <w:rFonts w:cs="Arial"/>
                <w:color w:val="auto"/>
                <w:szCs w:val="24"/>
                <w:highlight w:val="none"/>
              </w:rPr>
              <w:t xml:space="preserve">邮政编码：</w:t>
            </w:r>
            <w:r/>
          </w:p>
        </w:tc>
      </w:tr>
    </w:tbl>
    <w:p>
      <w:pPr>
        <w:rPr>
          <w:rFonts w:ascii="宋体" w:hAnsi="宋体"/>
          <w:color w:val="auto"/>
          <w:szCs w:val="21"/>
          <w:highlight w:val="none"/>
        </w:rPr>
      </w:pPr>
      <w:r>
        <w:rPr>
          <w:rFonts w:ascii="宋体" w:hAnsi="宋体"/>
          <w:color w:val="auto"/>
          <w:szCs w:val="21"/>
          <w:highlight w:val="none"/>
        </w:rPr>
      </w:r>
      <w:r/>
    </w:p>
    <w:p>
      <w:pPr>
        <w:pStyle w:val="986"/>
        <w:ind w:firstLine="210"/>
        <w:rPr>
          <w:rFonts w:hAnsi="宋体"/>
          <w:color w:val="auto"/>
          <w:szCs w:val="21"/>
          <w:highlight w:val="none"/>
        </w:rPr>
        <w:sectPr>
          <w:footerReference w:type="default" r:id="rId10"/>
          <w:footerReference w:type="first" r:id="rId11"/>
          <w:footnotePr/>
          <w:endnotePr/>
          <w:type w:val="nextPage"/>
          <w:pgSz w:w="11906" w:h="16838" w:orient="portrait"/>
          <w:pgMar w:top="1134" w:right="1134" w:bottom="1134" w:left="1134" w:header="851" w:footer="992" w:gutter="0"/>
          <w:cols w:num="1" w:sep="0" w:space="720" w:equalWidth="1"/>
          <w:docGrid w:linePitch="360"/>
          <w:titlePg/>
        </w:sectPr>
      </w:pPr>
      <w:r>
        <w:rPr>
          <w:rFonts w:hAnsi="宋体"/>
          <w:color w:val="auto"/>
          <w:szCs w:val="21"/>
          <w:highlight w:val="none"/>
        </w:rPr>
      </w:r>
      <w:r/>
    </w:p>
    <w:p>
      <w:pPr>
        <w:jc w:val="center"/>
        <w:rPr>
          <w:rFonts w:cs="Arial"/>
          <w:b/>
          <w:color w:val="auto"/>
          <w:szCs w:val="24"/>
          <w:highlight w:val="none"/>
        </w:rPr>
      </w:pPr>
      <w:r>
        <w:rPr>
          <w:rFonts w:cs="Arial"/>
          <w:b/>
          <w:color w:val="auto"/>
          <w:szCs w:val="24"/>
          <w:highlight w:val="none"/>
        </w:rPr>
        <w:t xml:space="preserve">合同附件</w:t>
      </w:r>
      <w:r/>
    </w:p>
    <w:p>
      <w:pPr>
        <w:jc w:val="center"/>
        <w:rPr>
          <w:rFonts w:cs="Arial"/>
          <w:b/>
          <w:color w:val="auto"/>
          <w:szCs w:val="24"/>
          <w:highlight w:val="none"/>
        </w:rPr>
      </w:pPr>
      <w:r>
        <w:rPr>
          <w:rFonts w:cs="Arial"/>
          <w:b/>
          <w:color w:val="auto"/>
          <w:szCs w:val="24"/>
          <w:highlight w:val="none"/>
        </w:rPr>
      </w:r>
      <w:r/>
    </w:p>
    <w:tbl>
      <w:tblPr>
        <w:tblStyle w:val="97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11"/>
        <w:gridCol w:w="4943"/>
      </w:tblGrid>
      <w:tr>
        <w:trPr>
          <w:trHeight w:val="454" w:hRule="exact"/>
        </w:trPr>
        <w:tc>
          <w:tcPr>
            <w:gridSpan w:val="2"/>
            <w:tcBorders>
              <w:top w:val="single" w:color="auto" w:sz="4" w:space="0"/>
              <w:left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t xml:space="preserve">1、供应商承诺具体事项：</w:t>
            </w:r>
            <w:r/>
          </w:p>
        </w:tc>
      </w:tr>
      <w:tr>
        <w:trPr>
          <w:trHeight w:val="454" w:hRule="exact"/>
        </w:trPr>
        <w:tc>
          <w:tcPr>
            <w:gridSpan w:val="2"/>
            <w:tcBorders>
              <w:left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r>
            <w:r/>
          </w:p>
        </w:tc>
      </w:tr>
      <w:tr>
        <w:trPr>
          <w:trHeight w:val="454" w:hRule="exact"/>
        </w:trPr>
        <w:tc>
          <w:tcPr>
            <w:gridSpan w:val="2"/>
            <w:tcBorders>
              <w:left w:val="single" w:color="auto" w:sz="4" w:space="0"/>
              <w:bottom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t xml:space="preserve">2、售后服务具体事项：</w:t>
            </w:r>
            <w:r/>
          </w:p>
        </w:tc>
      </w:tr>
      <w:tr>
        <w:trPr>
          <w:trHeight w:val="454" w:hRule="exact"/>
        </w:trPr>
        <w:tc>
          <w:tcPr>
            <w:gridSpan w:val="2"/>
            <w:tcBorders>
              <w:top w:val="single" w:color="auto" w:sz="4" w:space="0"/>
              <w:left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r>
            <w:r/>
          </w:p>
        </w:tc>
      </w:tr>
      <w:tr>
        <w:trPr>
          <w:trHeight w:val="454" w:hRule="exact"/>
        </w:trPr>
        <w:tc>
          <w:tcPr>
            <w:gridSpan w:val="2"/>
            <w:tcBorders>
              <w:left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t xml:space="preserve">3、保修期责任：</w:t>
            </w:r>
            <w:r/>
          </w:p>
        </w:tc>
      </w:tr>
      <w:tr>
        <w:trPr>
          <w:trHeight w:val="454" w:hRule="exact"/>
        </w:trPr>
        <w:tc>
          <w:tcPr>
            <w:gridSpan w:val="2"/>
            <w:tcBorders>
              <w:left w:val="single" w:color="auto" w:sz="4" w:space="0"/>
              <w:bottom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r>
            <w:r/>
          </w:p>
        </w:tc>
      </w:tr>
      <w:tr>
        <w:trPr>
          <w:trHeight w:val="454" w:hRule="exact"/>
        </w:trPr>
        <w:tc>
          <w:tcPr>
            <w:gridSpan w:val="2"/>
            <w:tcBorders>
              <w:left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t xml:space="preserve">4、其他具体事项：</w:t>
            </w:r>
            <w:r/>
          </w:p>
        </w:tc>
      </w:tr>
      <w:tr>
        <w:trPr>
          <w:trHeight w:val="454" w:hRule="exact"/>
        </w:trPr>
        <w:tc>
          <w:tcPr>
            <w:gridSpan w:val="2"/>
            <w:tcBorders>
              <w:left w:val="single" w:color="auto" w:sz="4" w:space="0"/>
              <w:right w:val="single" w:color="auto" w:sz="4" w:space="0"/>
            </w:tcBorders>
            <w:tcW w:w="9854" w:type="dxa"/>
            <w:vAlign w:val="center"/>
            <w:textDirection w:val="lrTb"/>
            <w:noWrap w:val="false"/>
          </w:tcPr>
          <w:p>
            <w:pPr>
              <w:rPr>
                <w:rFonts w:cs="Arial"/>
                <w:color w:val="auto"/>
                <w:szCs w:val="24"/>
                <w:highlight w:val="none"/>
              </w:rPr>
            </w:pPr>
            <w:r>
              <w:rPr>
                <w:rFonts w:cs="Arial"/>
                <w:color w:val="auto"/>
                <w:szCs w:val="24"/>
                <w:highlight w:val="none"/>
              </w:rPr>
            </w:r>
            <w:r/>
          </w:p>
        </w:tc>
      </w:tr>
      <w:tr>
        <w:trPr>
          <w:trHeight w:val="2577"/>
        </w:trPr>
        <w:tc>
          <w:tcPr>
            <w:tcBorders>
              <w:top w:val="single" w:color="auto" w:sz="4" w:space="0"/>
              <w:left w:val="single" w:color="auto" w:sz="4" w:space="0"/>
              <w:bottom w:val="single" w:color="auto" w:sz="4" w:space="0"/>
              <w:right w:val="single" w:color="auto" w:sz="4" w:space="0"/>
            </w:tcBorders>
            <w:tcW w:w="4911" w:type="dxa"/>
            <w:vAlign w:val="center"/>
            <w:textDirection w:val="lrTb"/>
            <w:noWrap w:val="false"/>
          </w:tcPr>
          <w:p>
            <w:pPr>
              <w:rPr>
                <w:rFonts w:cs="Arial"/>
                <w:color w:val="auto"/>
                <w:szCs w:val="24"/>
                <w:highlight w:val="none"/>
              </w:rPr>
            </w:pPr>
            <w:r>
              <w:rPr>
                <w:rFonts w:cs="Arial"/>
                <w:color w:val="auto"/>
                <w:szCs w:val="24"/>
                <w:highlight w:val="none"/>
              </w:rPr>
              <w:t xml:space="preserve">甲方（公章）</w:t>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ind w:firstLine="525"/>
              <w:rPr>
                <w:rFonts w:cs="Arial"/>
                <w:color w:val="auto"/>
                <w:szCs w:val="24"/>
                <w:highlight w:val="none"/>
              </w:rPr>
            </w:pPr>
            <w:r>
              <w:rPr>
                <w:rFonts w:cs="Arial"/>
                <w:color w:val="auto"/>
                <w:szCs w:val="24"/>
                <w:highlight w:val="none"/>
              </w:rPr>
              <w:t xml:space="preserve">年月日</w:t>
            </w:r>
            <w:r/>
          </w:p>
        </w:tc>
        <w:tc>
          <w:tcPr>
            <w:tcBorders>
              <w:top w:val="single" w:color="auto" w:sz="4" w:space="0"/>
              <w:left w:val="single" w:color="auto" w:sz="4" w:space="0"/>
              <w:bottom w:val="single" w:color="auto" w:sz="4" w:space="0"/>
              <w:right w:val="single" w:color="auto" w:sz="4" w:space="0"/>
            </w:tcBorders>
            <w:tcW w:w="4943" w:type="dxa"/>
            <w:vAlign w:val="center"/>
            <w:textDirection w:val="lrTb"/>
            <w:noWrap w:val="false"/>
          </w:tcPr>
          <w:p>
            <w:pPr>
              <w:rPr>
                <w:rFonts w:cs="Arial"/>
                <w:color w:val="auto"/>
                <w:szCs w:val="24"/>
                <w:highlight w:val="none"/>
              </w:rPr>
            </w:pPr>
            <w:r>
              <w:rPr>
                <w:rFonts w:cs="Arial"/>
                <w:color w:val="auto"/>
                <w:szCs w:val="24"/>
                <w:highlight w:val="none"/>
              </w:rPr>
              <w:t xml:space="preserve">乙方（公章）</w:t>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rPr>
                <w:rFonts w:cs="Arial"/>
                <w:color w:val="auto"/>
                <w:szCs w:val="24"/>
                <w:highlight w:val="none"/>
              </w:rPr>
            </w:pPr>
            <w:r>
              <w:rPr>
                <w:rFonts w:cs="Arial"/>
                <w:color w:val="auto"/>
                <w:szCs w:val="24"/>
                <w:highlight w:val="none"/>
              </w:rPr>
            </w:r>
            <w:r/>
          </w:p>
          <w:p>
            <w:pPr>
              <w:ind w:firstLine="525"/>
              <w:rPr>
                <w:rFonts w:cs="Arial"/>
                <w:color w:val="auto"/>
                <w:szCs w:val="24"/>
                <w:highlight w:val="none"/>
              </w:rPr>
            </w:pPr>
            <w:r>
              <w:rPr>
                <w:rFonts w:cs="Arial"/>
                <w:color w:val="auto"/>
                <w:szCs w:val="24"/>
                <w:highlight w:val="none"/>
              </w:rPr>
              <w:t xml:space="preserve">年月日</w:t>
            </w:r>
            <w:r/>
          </w:p>
        </w:tc>
      </w:tr>
    </w:tbl>
    <w:p>
      <w:pPr>
        <w:rPr>
          <w:color w:val="auto"/>
          <w:highlight w:val="none"/>
        </w:rPr>
      </w:pPr>
      <w:r>
        <w:rPr>
          <w:rFonts w:cs="Arial"/>
          <w:color w:val="auto"/>
          <w:szCs w:val="24"/>
          <w:highlight w:val="none"/>
        </w:rPr>
        <w:t xml:space="preserve">注：售后服务事项填不下时可另加附页。</w:t>
      </w:r>
      <w:r/>
    </w:p>
    <w:p>
      <w:pPr>
        <w:pStyle w:val="986"/>
        <w:ind w:firstLine="210"/>
        <w:rPr>
          <w:rFonts w:hAnsi="宋体"/>
          <w:color w:val="auto"/>
          <w:szCs w:val="21"/>
          <w:highlight w:val="none"/>
        </w:rPr>
        <w:sectPr>
          <w:footnotePr/>
          <w:endnotePr/>
          <w:type w:val="nextPage"/>
          <w:pgSz w:w="11906" w:h="16838" w:orient="portrait"/>
          <w:pgMar w:top="1134" w:right="1134" w:bottom="1134" w:left="1134" w:header="851" w:footer="992" w:gutter="0"/>
          <w:cols w:num="1" w:sep="0" w:space="720" w:equalWidth="1"/>
          <w:docGrid w:linePitch="360"/>
          <w:titlePg/>
        </w:sectPr>
      </w:pPr>
      <w:r>
        <w:rPr>
          <w:rFonts w:hAnsi="宋体"/>
          <w:color w:val="auto"/>
          <w:szCs w:val="21"/>
          <w:highlight w:val="none"/>
        </w:rPr>
      </w:r>
      <w:r/>
    </w:p>
    <w:p>
      <w:pPr>
        <w:pStyle w:val="975"/>
        <w:pageBreakBefore/>
        <w:rPr>
          <w:color w:val="auto"/>
          <w:highlight w:val="none"/>
        </w:rPr>
      </w:pPr>
      <w:r>
        <w:rPr>
          <w:rFonts w:hint="eastAsia"/>
          <w:color w:val="auto"/>
          <w:highlight w:val="none"/>
        </w:rPr>
        <w:t xml:space="preserve">第六部分投标文件格式</w:t>
      </w:r>
      <w:bookmarkEnd w:id="144"/>
      <w:r/>
      <w:bookmarkEnd w:id="145"/>
      <w:r/>
      <w:bookmarkEnd w:id="146"/>
      <w:r/>
      <w:r/>
    </w:p>
    <w:p>
      <w:pPr>
        <w:rPr>
          <w:rFonts w:ascii="宋体" w:hAnsi="宋体" w:cs="宋体"/>
          <w:color w:val="auto"/>
          <w:highlight w:val="none"/>
        </w:rPr>
      </w:pPr>
      <w:r>
        <w:rPr>
          <w:rFonts w:ascii="宋体" w:hAnsi="宋体" w:cs="宋体"/>
          <w:color w:val="auto"/>
          <w:highlight w:val="none"/>
        </w:rPr>
      </w:r>
      <w:r/>
    </w:p>
    <w:p>
      <w:pPr>
        <w:jc w:val="left"/>
        <w:spacing w:line="360" w:lineRule="auto"/>
        <w:widowControl/>
        <w:rPr>
          <w:rFonts w:ascii="仿宋" w:hAnsi="仿宋" w:eastAsia="仿宋" w:cs="宋体"/>
          <w:b/>
          <w:bCs/>
          <w:color w:val="auto"/>
          <w:sz w:val="24"/>
          <w:szCs w:val="28"/>
          <w:highlight w:val="none"/>
        </w:rPr>
      </w:pPr>
      <w:r/>
      <w:bookmarkStart w:id="147" w:name="_Toc514054484"/>
      <w:r/>
      <w:bookmarkStart w:id="148" w:name="_Toc21788"/>
      <w:r/>
      <w:bookmarkStart w:id="149" w:name="_Toc16009"/>
      <w:r/>
      <w:bookmarkStart w:id="150" w:name="_Toc26779"/>
      <w:r>
        <w:rPr>
          <w:rFonts w:hint="eastAsia" w:ascii="仿宋" w:hAnsi="仿宋" w:eastAsia="仿宋" w:cs="宋体"/>
          <w:b/>
          <w:bCs/>
          <w:color w:val="auto"/>
          <w:sz w:val="24"/>
          <w:szCs w:val="28"/>
          <w:highlight w:val="none"/>
        </w:rPr>
        <w:t xml:space="preserve">投标文件格式使用注意事项：</w:t>
      </w:r>
      <w:r/>
    </w:p>
    <w:p>
      <w:pPr>
        <w:numPr>
          <w:ilvl w:val="0"/>
          <w:numId w:val="11"/>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投标文件编制时应使用的模板已在本部分列明，招标文件要求提供但未提供模板的，格式自拟。</w:t>
      </w:r>
      <w:r/>
    </w:p>
    <w:p>
      <w:pPr>
        <w:numPr>
          <w:ilvl w:val="0"/>
          <w:numId w:val="11"/>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模板没有先后顺序，在使用模板时模板名称对应苏采云系统目录名称。</w:t>
      </w:r>
      <w:r/>
    </w:p>
    <w:p>
      <w:pPr>
        <w:numPr>
          <w:ilvl w:val="0"/>
          <w:numId w:val="11"/>
        </w:numPr>
        <w:jc w:val="left"/>
        <w:spacing w:line="360" w:lineRule="auto"/>
        <w:widowControl/>
        <w:rPr>
          <w:rFonts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 xml:space="preserve">招标文件中提供的投标文件格式与苏采云系统内不一致的，以苏采云系统的格式为准。</w:t>
      </w:r>
      <w:r/>
    </w:p>
    <w:p>
      <w:pPr>
        <w:jc w:val="left"/>
        <w:spacing w:line="360" w:lineRule="auto"/>
        <w:widowControl/>
        <w:rPr>
          <w:rFonts w:ascii="仿宋" w:hAnsi="仿宋" w:eastAsia="仿宋" w:cs="宋体"/>
          <w:color w:val="auto"/>
          <w:sz w:val="24"/>
          <w:szCs w:val="28"/>
          <w:highlight w:val="none"/>
        </w:rPr>
      </w:pPr>
      <w:r>
        <w:rPr>
          <w:rFonts w:ascii="仿宋" w:hAnsi="仿宋" w:eastAsia="仿宋" w:cs="宋体"/>
          <w:color w:val="auto"/>
          <w:sz w:val="24"/>
          <w:szCs w:val="28"/>
          <w:highlight w:val="none"/>
        </w:rPr>
      </w:r>
      <w:r/>
    </w:p>
    <w:p>
      <w:pPr>
        <w:jc w:val="left"/>
        <w:spacing w:line="360" w:lineRule="auto"/>
        <w:widowControl/>
        <w:rPr>
          <w:rFonts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clear="all"/>
      </w:r>
      <w:r/>
    </w:p>
    <w:p>
      <w:pPr>
        <w:jc w:val="left"/>
        <w:widowControl/>
        <w:rPr>
          <w:rFonts w:ascii="宋体" w:hAnsi="宋体" w:cs="宋体"/>
          <w:b/>
          <w:color w:val="auto"/>
          <w:sz w:val="32"/>
          <w:szCs w:val="24"/>
          <w:highlight w:val="none"/>
        </w:rPr>
      </w:pPr>
      <w:r>
        <w:rPr>
          <w:rFonts w:ascii="宋体" w:hAnsi="宋体" w:cs="宋体"/>
          <w:b/>
          <w:color w:val="auto"/>
          <w:sz w:val="32"/>
          <w:szCs w:val="24"/>
          <w:highlight w:val="none"/>
        </w:rPr>
      </w:r>
      <w:r/>
    </w:p>
    <w:p>
      <w:pPr>
        <w:pStyle w:val="999"/>
        <w:ind w:firstLine="321"/>
        <w:jc w:val="center"/>
        <w:rPr>
          <w:rFonts w:ascii="宋体" w:hAnsi="宋体" w:eastAsia="宋体" w:cs="宋体"/>
          <w:color w:val="auto"/>
          <w:highlight w:val="none"/>
        </w:rPr>
        <w:outlineLvl w:val="1"/>
      </w:pPr>
      <w:r/>
      <w:bookmarkStart w:id="151" w:name="_Toc15407"/>
      <w:r>
        <w:rPr>
          <w:rFonts w:hint="eastAsia" w:ascii="宋体" w:hAnsi="宋体" w:eastAsia="宋体" w:cs="宋体"/>
          <w:color w:val="auto"/>
          <w:highlight w:val="none"/>
        </w:rPr>
        <w:t xml:space="preserve">封面</w:t>
      </w:r>
      <w:bookmarkEnd w:id="147"/>
      <w:r/>
      <w:bookmarkEnd w:id="148"/>
      <w:r/>
      <w:bookmarkEnd w:id="149"/>
      <w:r/>
      <w:bookmarkEnd w:id="150"/>
      <w:r/>
      <w:bookmarkEnd w:id="151"/>
      <w:r/>
      <w:r/>
    </w:p>
    <w:p>
      <w:pPr>
        <w:pStyle w:val="1000"/>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000"/>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000"/>
        <w:jc w:val="left"/>
        <w:rPr>
          <w:rFonts w:ascii="宋体" w:hAnsi="宋体" w:cs="宋体"/>
          <w:color w:val="auto"/>
          <w:sz w:val="32"/>
          <w:szCs w:val="32"/>
          <w:highlight w:val="none"/>
        </w:rPr>
      </w:pPr>
      <w:r>
        <w:rPr>
          <w:rFonts w:ascii="宋体" w:hAnsi="宋体" w:cs="宋体"/>
          <w:color w:val="auto"/>
          <w:sz w:val="32"/>
          <w:szCs w:val="32"/>
          <w:highlight w:val="none"/>
        </w:rPr>
      </w:r>
      <w:r/>
    </w:p>
    <w:p>
      <w:pPr>
        <w:pStyle w:val="1000"/>
        <w:jc w:val="center"/>
        <w:rPr>
          <w:rFonts w:ascii="宋体" w:hAnsi="宋体" w:cs="宋体"/>
          <w:color w:val="auto"/>
          <w:sz w:val="52"/>
          <w:szCs w:val="52"/>
          <w:highlight w:val="none"/>
        </w:rPr>
      </w:pPr>
      <w:r>
        <w:rPr>
          <w:rFonts w:ascii="宋体" w:hAnsi="宋体" w:cs="宋体"/>
          <w:color w:val="auto"/>
          <w:sz w:val="52"/>
          <w:szCs w:val="52"/>
          <w:highlight w:val="none"/>
        </w:rPr>
      </w:r>
      <w:r/>
    </w:p>
    <w:p>
      <w:pPr>
        <w:pStyle w:val="1000"/>
        <w:jc w:val="center"/>
        <w:rPr>
          <w:rFonts w:ascii="宋体" w:hAnsi="宋体" w:cs="宋体"/>
          <w:color w:val="auto"/>
          <w:sz w:val="28"/>
          <w:szCs w:val="28"/>
          <w:highlight w:val="none"/>
        </w:rPr>
      </w:pPr>
      <w:r>
        <w:rPr>
          <w:rFonts w:hint="eastAsia" w:ascii="宋体" w:hAnsi="宋体" w:cs="宋体"/>
          <w:color w:val="auto"/>
          <w:sz w:val="72"/>
          <w:szCs w:val="72"/>
          <w:highlight w:val="none"/>
        </w:rPr>
        <w:t xml:space="preserve">投标文件</w:t>
      </w:r>
      <w:r/>
    </w:p>
    <w:p>
      <w:pPr>
        <w:pStyle w:val="1000"/>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00"/>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00"/>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00"/>
        <w:jc w:val="left"/>
        <w:rPr>
          <w:rFonts w:ascii="宋体" w:hAnsi="宋体" w:cs="宋体"/>
          <w:color w:val="auto"/>
          <w:sz w:val="28"/>
          <w:szCs w:val="28"/>
          <w:highlight w:val="none"/>
        </w:rPr>
      </w:pPr>
      <w:r>
        <w:rPr>
          <w:rFonts w:ascii="宋体" w:hAnsi="宋体" w:cs="宋体"/>
          <w:color w:val="auto"/>
          <w:sz w:val="28"/>
          <w:szCs w:val="28"/>
          <w:highlight w:val="none"/>
        </w:rPr>
      </w:r>
      <w:r/>
    </w:p>
    <w:p>
      <w:pPr>
        <w:pStyle w:val="1000"/>
        <w:jc w:val="left"/>
        <w:rPr>
          <w:rFonts w:ascii="宋体" w:hAnsi="宋体" w:cs="宋体"/>
          <w:color w:val="auto"/>
          <w:sz w:val="28"/>
          <w:szCs w:val="28"/>
          <w:highlight w:val="none"/>
        </w:rPr>
      </w:pPr>
      <w:r>
        <w:rPr>
          <w:rFonts w:ascii="宋体" w:hAnsi="宋体" w:cs="宋体"/>
          <w:color w:val="auto"/>
          <w:sz w:val="28"/>
          <w:szCs w:val="28"/>
          <w:highlight w:val="none"/>
        </w:rPr>
      </w:r>
      <w:r/>
    </w:p>
    <w:p>
      <w:pPr>
        <w:pStyle w:val="993"/>
        <w:ind w:firstLine="723"/>
        <w:jc w:val="both"/>
        <w:rPr>
          <w:rFonts w:hAnsi="宋体" w:cs="宋体"/>
          <w:color w:val="auto"/>
          <w:highlight w:val="none"/>
        </w:rPr>
      </w:pPr>
      <w:r>
        <w:rPr>
          <w:rFonts w:hint="eastAsia" w:hAnsi="宋体" w:cs="宋体"/>
          <w:b/>
          <w:color w:val="auto"/>
          <w:sz w:val="36"/>
          <w:szCs w:val="36"/>
          <w:highlight w:val="none"/>
        </w:rPr>
        <w:t xml:space="preserve">项目名称：</w:t>
      </w:r>
      <w:r>
        <w:rPr>
          <w:rFonts w:hint="eastAsia" w:hAnsi="宋体" w:cs="宋体"/>
          <w:b/>
          <w:color w:val="auto"/>
          <w:sz w:val="36"/>
          <w:szCs w:val="36"/>
          <w:highlight w:val="none"/>
          <w:u w:val="single"/>
        </w:rPr>
        <w:t xml:space="preserve">              </w:t>
      </w:r>
      <w:r/>
    </w:p>
    <w:p>
      <w:pPr>
        <w:pStyle w:val="993"/>
        <w:ind w:firstLine="723"/>
        <w:jc w:val="both"/>
        <w:rPr>
          <w:rFonts w:hAnsi="宋体" w:cs="宋体"/>
          <w:b/>
          <w:color w:val="auto"/>
          <w:sz w:val="36"/>
          <w:szCs w:val="36"/>
          <w:highlight w:val="none"/>
          <w:u w:val="single"/>
        </w:rPr>
      </w:pPr>
      <w:r>
        <w:rPr>
          <w:rFonts w:hint="eastAsia" w:hAnsi="宋体" w:cs="宋体"/>
          <w:b/>
          <w:color w:val="auto"/>
          <w:sz w:val="36"/>
          <w:szCs w:val="36"/>
          <w:highlight w:val="none"/>
        </w:rPr>
        <w:t xml:space="preserve">项目编号：</w:t>
      </w:r>
      <w:r>
        <w:rPr>
          <w:rFonts w:hint="eastAsia" w:hAnsi="宋体" w:cs="宋体"/>
          <w:b/>
          <w:color w:val="auto"/>
          <w:sz w:val="36"/>
          <w:szCs w:val="36"/>
          <w:highlight w:val="none"/>
          <w:u w:val="single"/>
        </w:rPr>
        <w:t xml:space="preserve">              </w:t>
      </w:r>
      <w:r/>
    </w:p>
    <w:p>
      <w:pPr>
        <w:pStyle w:val="993"/>
        <w:ind w:firstLine="723"/>
        <w:jc w:val="both"/>
        <w:rPr>
          <w:rFonts w:hAnsi="宋体" w:cs="宋体"/>
          <w:color w:val="auto"/>
          <w:highlight w:val="none"/>
        </w:rPr>
      </w:pPr>
      <w:r>
        <w:rPr>
          <w:rFonts w:hint="eastAsia" w:hAnsi="宋体" w:cs="宋体"/>
          <w:b/>
          <w:color w:val="auto"/>
          <w:sz w:val="36"/>
          <w:szCs w:val="36"/>
          <w:highlight w:val="none"/>
        </w:rPr>
        <w:t xml:space="preserve">投标人名称：</w:t>
      </w:r>
      <w:r>
        <w:rPr>
          <w:rFonts w:hint="eastAsia" w:hAnsi="宋体" w:cs="宋体"/>
          <w:b/>
          <w:color w:val="auto"/>
          <w:sz w:val="36"/>
          <w:szCs w:val="36"/>
          <w:highlight w:val="none"/>
          <w:u w:val="single"/>
        </w:rPr>
        <w:t xml:space="preserve">（加盖CA电子公章）       </w:t>
      </w:r>
      <w:r/>
    </w:p>
    <w:p>
      <w:pPr>
        <w:pStyle w:val="993"/>
        <w:ind w:firstLine="723"/>
        <w:jc w:val="both"/>
        <w:rPr>
          <w:rFonts w:hAnsi="宋体" w:cs="宋体"/>
          <w:color w:val="auto"/>
          <w:highlight w:val="none"/>
        </w:rPr>
      </w:pPr>
      <w:r>
        <w:rPr>
          <w:rFonts w:hint="eastAsia" w:hAnsi="宋体" w:cs="宋体"/>
          <w:b/>
          <w:color w:val="auto"/>
          <w:sz w:val="36"/>
          <w:szCs w:val="36"/>
          <w:highlight w:val="none"/>
        </w:rPr>
        <w:t xml:space="preserve">日  期：</w:t>
      </w:r>
      <w:r>
        <w:rPr>
          <w:rFonts w:hint="eastAsia" w:hAnsi="宋体" w:cs="宋体"/>
          <w:b/>
          <w:color w:val="auto"/>
          <w:sz w:val="36"/>
          <w:szCs w:val="36"/>
          <w:highlight w:val="none"/>
          <w:u w:val="single"/>
        </w:rPr>
        <w:t xml:space="preserve">                       </w:t>
      </w:r>
      <w:r/>
    </w:p>
    <w:p>
      <w:pPr>
        <w:pStyle w:val="993"/>
        <w:spacing w:line="0" w:lineRule="atLeast"/>
        <w:rPr>
          <w:rFonts w:hAnsi="宋体" w:cs="宋体"/>
          <w:color w:val="auto"/>
          <w:highlight w:val="none"/>
        </w:rPr>
      </w:pPr>
      <w:r>
        <w:rPr>
          <w:rFonts w:hint="eastAsia" w:hAnsi="宋体" w:cs="宋体"/>
          <w:color w:val="auto"/>
          <w:highlight w:val="none"/>
        </w:rPr>
        <w:t xml:space="preserve"> </w:t>
      </w:r>
      <w:r/>
    </w:p>
    <w:p>
      <w:pPr>
        <w:pStyle w:val="993"/>
        <w:jc w:val="both"/>
        <w:spacing w:line="0" w:lineRule="atLeast"/>
        <w:rPr>
          <w:rFonts w:hAnsi="宋体" w:cs="宋体"/>
          <w:color w:val="auto"/>
          <w:highlight w:val="none"/>
        </w:rPr>
      </w:pPr>
      <w:r>
        <w:rPr>
          <w:rFonts w:hint="eastAsia" w:hAnsi="宋体" w:cs="宋体"/>
          <w:color w:val="auto"/>
          <w:highlight w:val="none"/>
        </w:rPr>
        <w:t xml:space="preserve"> </w:t>
      </w:r>
      <w:r/>
    </w:p>
    <w:p>
      <w:pPr>
        <w:rPr>
          <w:rFonts w:ascii="宋体" w:hAnsi="宋体" w:cs="宋体"/>
          <w:color w:val="auto"/>
          <w:highlight w:val="none"/>
        </w:rPr>
      </w:pPr>
      <w:r>
        <w:rPr>
          <w:rFonts w:ascii="宋体" w:hAnsi="宋体" w:cs="宋体"/>
          <w:color w:val="auto"/>
          <w:highlight w:val="none"/>
        </w:rPr>
      </w:r>
      <w:r/>
    </w:p>
    <w:p>
      <w:pPr>
        <w:rPr>
          <w:color w:val="auto"/>
          <w:highlight w:val="none"/>
        </w:rPr>
      </w:pPr>
      <w:r>
        <w:rPr>
          <w:rFonts w:hint="eastAsia" w:ascii="宋体" w:hAnsi="宋体" w:cs="宋体"/>
          <w:color w:val="auto"/>
          <w:highlight w:val="none"/>
        </w:rPr>
        <w:br w:type="page" w:clear="all"/>
      </w:r>
      <w:bookmarkStart w:id="152" w:name="_Toc21292"/>
      <w:r/>
      <w:bookmarkStart w:id="153" w:name="_Toc164203464"/>
      <w:r/>
      <w:bookmarkStart w:id="154" w:name="_Toc28278"/>
      <w:r/>
      <w:bookmarkStart w:id="155" w:name="_Toc11040"/>
      <w:r/>
      <w:bookmarkStart w:id="156" w:name="_Toc29318"/>
      <w:r/>
      <w:r/>
    </w:p>
    <w:p>
      <w:pPr>
        <w:pStyle w:val="1001"/>
        <w:rPr>
          <w:color w:val="auto"/>
          <w:highlight w:val="none"/>
        </w:rPr>
        <w:outlineLvl w:val="1"/>
      </w:pPr>
      <w:r/>
      <w:bookmarkStart w:id="157" w:name="_Toc5742"/>
      <w:r>
        <w:rPr>
          <w:color w:val="auto"/>
          <w:highlight w:val="none"/>
        </w:rPr>
        <w:t xml:space="preserve">一、投标人基本情况</w:t>
      </w:r>
      <w:bookmarkEnd w:id="152"/>
      <w:r/>
      <w:bookmarkEnd w:id="153"/>
      <w:r/>
      <w:bookmarkEnd w:id="154"/>
      <w:r/>
      <w:bookmarkEnd w:id="155"/>
      <w:r/>
      <w:bookmarkEnd w:id="156"/>
      <w:r/>
      <w:bookmarkEnd w:id="157"/>
      <w:r/>
      <w:r/>
    </w:p>
    <w:p>
      <w:pPr>
        <w:jc w:val="center"/>
        <w:rPr>
          <w:color w:val="auto"/>
          <w:sz w:val="44"/>
          <w:szCs w:val="44"/>
          <w:highlight w:val="none"/>
        </w:rPr>
      </w:pPr>
      <w:r>
        <w:rPr>
          <w:rFonts w:hint="eastAsia"/>
          <w:color w:val="auto"/>
          <w:sz w:val="44"/>
          <w:szCs w:val="44"/>
          <w:highlight w:val="none"/>
        </w:rPr>
        <w:t xml:space="preserve">投标人基本情况表</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投标人名称</w:t>
            </w:r>
            <w:r/>
          </w:p>
        </w:tc>
        <w:tc>
          <w:tcPr>
            <w:gridSpan w:val="3"/>
            <w:tcW w:w="699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法定代表人</w:t>
            </w:r>
            <w:r/>
          </w:p>
        </w:tc>
        <w:tc>
          <w:tcPr>
            <w:tcW w:w="311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注册地区</w:t>
            </w:r>
            <w:r/>
          </w:p>
        </w:tc>
        <w:tc>
          <w:tcPr>
            <w:tcW w:w="2604"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地址</w:t>
            </w:r>
            <w:r/>
          </w:p>
        </w:tc>
        <w:tc>
          <w:tcPr>
            <w:tcW w:w="311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邮政编码</w:t>
            </w:r>
            <w:r/>
          </w:p>
        </w:tc>
        <w:tc>
          <w:tcPr>
            <w:tcW w:w="2604"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成立时间</w:t>
            </w:r>
            <w:r/>
          </w:p>
        </w:tc>
        <w:tc>
          <w:tcPr>
            <w:tcW w:w="311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单位性质</w:t>
            </w:r>
            <w:r/>
          </w:p>
        </w:tc>
        <w:tc>
          <w:tcPr>
            <w:tcW w:w="2604"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注册号或社会信用代码</w:t>
            </w:r>
            <w:r/>
          </w:p>
        </w:tc>
        <w:tc>
          <w:tcPr>
            <w:tcW w:w="311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注册资本（万元）</w:t>
            </w:r>
            <w:r/>
          </w:p>
        </w:tc>
        <w:tc>
          <w:tcPr>
            <w:tcW w:w="2604"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开户银行</w:t>
            </w:r>
            <w:r/>
          </w:p>
        </w:tc>
        <w:tc>
          <w:tcPr>
            <w:tcW w:w="311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账号</w:t>
            </w:r>
            <w:r/>
          </w:p>
        </w:tc>
        <w:tc>
          <w:tcPr>
            <w:tcW w:w="2604"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Pr>
        <w:tc>
          <w:tcPr>
            <w:tcW w:w="152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联系人</w:t>
            </w:r>
            <w:r/>
          </w:p>
        </w:tc>
        <w:tc>
          <w:tcPr>
            <w:tcW w:w="3118"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1276"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联系电话</w:t>
            </w:r>
            <w:r/>
          </w:p>
        </w:tc>
        <w:tc>
          <w:tcPr>
            <w:tcW w:w="2604" w:type="dxa"/>
            <w:vAlign w:val="center"/>
            <w:textDirection w:val="lrTb"/>
            <w:noWrap w:val="false"/>
          </w:tcPr>
          <w:p>
            <w:pPr>
              <w:pStyle w:val="1002"/>
              <w:jc w:val="center"/>
              <w:spacing w:line="6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2376"/>
        </w:trPr>
        <w:tc>
          <w:tcPr>
            <w:tcW w:w="1526" w:type="dxa"/>
            <w:vAlign w:val="center"/>
            <w:textDirection w:val="lrTb"/>
            <w:noWrap w:val="false"/>
          </w:tcPr>
          <w:p>
            <w:pPr>
              <w:pStyle w:val="100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经营范围</w:t>
            </w:r>
            <w:r/>
          </w:p>
        </w:tc>
        <w:tc>
          <w:tcPr>
            <w:gridSpan w:val="3"/>
            <w:tcW w:w="6998" w:type="dxa"/>
            <w:textDirection w:val="lrTb"/>
            <w:noWrap w:val="false"/>
          </w:tcPr>
          <w:p>
            <w:pPr>
              <w:pStyle w:val="1002"/>
              <w:ind w:firstLine="1433"/>
              <w:spacing w:line="56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1134"/>
        </w:trPr>
        <w:tc>
          <w:tcPr>
            <w:tcW w:w="1526" w:type="dxa"/>
            <w:vAlign w:val="center"/>
            <w:textDirection w:val="lrTb"/>
            <w:noWrap w:val="false"/>
          </w:tcPr>
          <w:p>
            <w:pPr>
              <w:pStyle w:val="1002"/>
              <w:jc w:val="center"/>
              <w:spacing w:line="560" w:lineRule="exact"/>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备注</w:t>
            </w:r>
            <w:r/>
          </w:p>
        </w:tc>
        <w:tc>
          <w:tcPr>
            <w:gridSpan w:val="3"/>
            <w:tcW w:w="6998" w:type="dxa"/>
            <w:vAlign w:val="center"/>
            <w:textDirection w:val="lrTb"/>
            <w:noWrap w:val="false"/>
          </w:tcPr>
          <w:p>
            <w:pPr>
              <w:pStyle w:val="1002"/>
              <w:jc w:val="center"/>
              <w:spacing w:line="50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Style w:val="1002"/>
        <w:jc w:val="center"/>
        <w:spacing w:line="560" w:lineRule="exact"/>
        <w:rPr>
          <w:rFonts w:ascii="方正大标宋简体" w:eastAsia="方正大标宋简体"/>
          <w:bCs/>
          <w:color w:val="auto"/>
          <w:sz w:val="32"/>
          <w:szCs w:val="32"/>
          <w:highlight w:val="none"/>
        </w:rPr>
      </w:pPr>
      <w:r>
        <w:rPr>
          <w:rFonts w:ascii="方正大标宋简体" w:eastAsia="方正大标宋简体"/>
          <w:bCs/>
          <w:color w:val="auto"/>
          <w:sz w:val="32"/>
          <w:szCs w:val="32"/>
          <w:highlight w:val="none"/>
        </w:rPr>
      </w:r>
      <w:r/>
    </w:p>
    <w:p>
      <w:pPr>
        <w:pStyle w:val="1003"/>
        <w:rPr>
          <w:color w:val="auto"/>
          <w:highlight w:val="none"/>
        </w:rPr>
        <w:outlineLvl w:val="1"/>
      </w:pPr>
      <w:r>
        <w:rPr>
          <w:color w:val="auto"/>
          <w:highlight w:val="none"/>
        </w:rPr>
        <w:br w:type="page" w:clear="all"/>
      </w:r>
      <w:bookmarkStart w:id="158" w:name="_Toc164203465"/>
      <w:r/>
      <w:bookmarkStart w:id="159" w:name="_Toc1147"/>
      <w:r/>
      <w:bookmarkStart w:id="160" w:name="_Toc24265"/>
      <w:r/>
      <w:bookmarkStart w:id="161" w:name="_Toc13486"/>
      <w:r/>
      <w:bookmarkStart w:id="162" w:name="_Toc30008"/>
      <w:r/>
      <w:bookmarkStart w:id="163" w:name="_Toc15353"/>
      <w:r>
        <w:rPr>
          <w:color w:val="auto"/>
          <w:highlight w:val="none"/>
        </w:rPr>
        <w:t xml:space="preserve">二、投标人资质</w:t>
      </w:r>
      <w:r>
        <w:rPr>
          <w:rFonts w:hint="eastAsia"/>
          <w:color w:val="auto"/>
          <w:highlight w:val="none"/>
        </w:rPr>
        <w:t xml:space="preserve">（按资格要求提供）</w:t>
      </w:r>
      <w:bookmarkEnd w:id="158"/>
      <w:r/>
      <w:bookmarkEnd w:id="159"/>
      <w:r/>
      <w:bookmarkEnd w:id="160"/>
      <w:r/>
      <w:bookmarkEnd w:id="161"/>
      <w:r/>
      <w:bookmarkEnd w:id="162"/>
      <w:r/>
      <w:bookmarkEnd w:id="163"/>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pStyle w:val="1004"/>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1004"/>
        <w:rPr>
          <w:color w:val="auto"/>
          <w:highlight w:val="none"/>
        </w:rPr>
        <w:outlineLvl w:val="1"/>
      </w:pPr>
      <w:r/>
      <w:bookmarkStart w:id="164" w:name="_Toc18935"/>
      <w:r/>
      <w:bookmarkStart w:id="165" w:name="_Toc164203466"/>
      <w:r/>
      <w:bookmarkStart w:id="166" w:name="_Toc4877"/>
      <w:r/>
      <w:bookmarkStart w:id="167" w:name="_Toc18278"/>
      <w:r/>
      <w:bookmarkStart w:id="168" w:name="_Toc15822"/>
      <w:r>
        <w:rPr>
          <w:color w:val="auto"/>
          <w:highlight w:val="none"/>
        </w:rPr>
        <w:t xml:space="preserve">三、投标人</w:t>
      </w:r>
      <w:bookmarkEnd w:id="164"/>
      <w:r>
        <w:rPr>
          <w:rFonts w:hint="eastAsia" w:ascii="宋体" w:hAnsi="宋体" w:cs="Arial"/>
          <w:bCs/>
          <w:color w:val="auto"/>
          <w:highlight w:val="none"/>
        </w:rPr>
        <w:t xml:space="preserve">具有良好的商业信誉和健全的财务会计制度</w:t>
      </w:r>
      <w:bookmarkEnd w:id="165"/>
      <w:r/>
      <w:bookmarkEnd w:id="166"/>
      <w:r/>
      <w:bookmarkEnd w:id="167"/>
      <w:r/>
      <w:bookmarkEnd w:id="168"/>
      <w:r/>
      <w:r/>
    </w:p>
    <w:p>
      <w:pPr>
        <w:pStyle w:val="1005"/>
        <w:rPr>
          <w:color w:val="auto"/>
          <w:highlight w:val="none"/>
        </w:rPr>
      </w:pPr>
      <w:r>
        <w:rPr>
          <w:rFonts w:hint="eastAsia" w:ascii="宋体"/>
          <w:bCs/>
          <w:color w:val="auto"/>
          <w:szCs w:val="32"/>
          <w:highlight w:val="none"/>
        </w:rPr>
        <w:t xml:space="preserve">提供符合招标文件要求的资料</w:t>
      </w:r>
      <w:r/>
    </w:p>
    <w:p>
      <w:pPr>
        <w:pStyle w:val="1006"/>
        <w:rPr>
          <w:color w:val="auto"/>
          <w:highlight w:val="none"/>
        </w:rPr>
        <w:outlineLvl w:val="1"/>
      </w:pPr>
      <w:r>
        <w:rPr>
          <w:color w:val="auto"/>
          <w:highlight w:val="none"/>
        </w:rPr>
        <w:br w:type="page" w:clear="all"/>
      </w:r>
      <w:bookmarkStart w:id="169" w:name="_Toc11562_WPSOffice_Level2"/>
      <w:r/>
      <w:bookmarkStart w:id="170" w:name="_Toc514054489"/>
      <w:r/>
      <w:bookmarkStart w:id="171" w:name="_Toc29626"/>
      <w:r/>
      <w:bookmarkStart w:id="172" w:name="_Toc26507"/>
      <w:r/>
      <w:bookmarkStart w:id="173" w:name="_Toc1350"/>
      <w:r/>
      <w:bookmarkStart w:id="174" w:name="_Toc3360"/>
      <w:r/>
      <w:bookmarkStart w:id="175" w:name="_Toc164203467"/>
      <w:r>
        <w:rPr>
          <w:color w:val="auto"/>
          <w:highlight w:val="none"/>
        </w:rPr>
        <w:t xml:space="preserve">四、</w:t>
      </w:r>
      <w:bookmarkEnd w:id="169"/>
      <w:r/>
      <w:bookmarkEnd w:id="170"/>
      <w:r/>
      <w:bookmarkEnd w:id="171"/>
      <w:r>
        <w:rPr>
          <w:rFonts w:hint="eastAsia" w:ascii="宋体" w:hAnsi="宋体" w:cs="Arial"/>
          <w:bCs/>
          <w:color w:val="auto"/>
          <w:highlight w:val="none"/>
        </w:rPr>
        <w:t xml:space="preserve">具有履行合同所必需的设备和专业技术能力</w:t>
      </w:r>
      <w:bookmarkEnd w:id="172"/>
      <w:r/>
      <w:bookmarkEnd w:id="173"/>
      <w:r/>
      <w:bookmarkEnd w:id="174"/>
      <w:r/>
      <w:bookmarkEnd w:id="175"/>
      <w:r/>
      <w:r/>
    </w:p>
    <w:p>
      <w:pPr>
        <w:pStyle w:val="1007"/>
        <w:jc w:val="center"/>
        <w:spacing w:line="600" w:lineRule="exact"/>
        <w:rPr>
          <w:rFonts w:ascii="宋体" w:hAnsi="宋体"/>
          <w:b/>
          <w:color w:val="auto"/>
          <w:sz w:val="32"/>
          <w:szCs w:val="24"/>
          <w:highlight w:val="none"/>
        </w:rPr>
      </w:pPr>
      <w:r>
        <w:rPr>
          <w:rFonts w:ascii="宋体" w:hAnsi="宋体"/>
          <w:b/>
          <w:color w:val="auto"/>
          <w:sz w:val="32"/>
          <w:szCs w:val="24"/>
          <w:highlight w:val="none"/>
        </w:rPr>
      </w:r>
      <w:r/>
    </w:p>
    <w:p>
      <w:pPr>
        <w:pStyle w:val="1007"/>
        <w:jc w:val="center"/>
        <w:spacing w:line="600" w:lineRule="exact"/>
        <w:rPr>
          <w:rFonts w:ascii="宋体" w:hAnsi="宋体"/>
          <w:b/>
          <w:color w:val="auto"/>
          <w:sz w:val="32"/>
          <w:szCs w:val="24"/>
          <w:highlight w:val="none"/>
        </w:rPr>
      </w:pPr>
      <w:r>
        <w:rPr>
          <w:rFonts w:hint="eastAsia" w:ascii="宋体" w:hAnsi="宋体"/>
          <w:b/>
          <w:color w:val="auto"/>
          <w:sz w:val="32"/>
          <w:szCs w:val="24"/>
          <w:highlight w:val="none"/>
        </w:rPr>
        <w:t xml:space="preserve">具备履行合同所必需的设备和专业技术能力的声明</w:t>
      </w:r>
      <w:r/>
    </w:p>
    <w:p>
      <w:pPr>
        <w:pStyle w:val="1007"/>
        <w:spacing w:line="600" w:lineRule="exact"/>
        <w:rPr>
          <w:rFonts w:ascii="仿宋_GB2312" w:eastAsia="仿宋_GB2312"/>
          <w:color w:val="auto"/>
          <w:sz w:val="24"/>
          <w:highlight w:val="none"/>
          <w:u w:val="single"/>
        </w:rPr>
      </w:pPr>
      <w:r>
        <w:rPr>
          <w:rFonts w:ascii="仿宋_GB2312" w:eastAsia="仿宋_GB2312"/>
          <w:color w:val="auto"/>
          <w:sz w:val="24"/>
          <w:highlight w:val="none"/>
          <w:u w:val="single"/>
        </w:rPr>
      </w:r>
      <w:r/>
    </w:p>
    <w:p>
      <w:pPr>
        <w:pStyle w:val="1007"/>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（采购人名称）：</w:t>
      </w:r>
      <w:r/>
    </w:p>
    <w:p>
      <w:pPr>
        <w:pStyle w:val="100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我单位具备履行编号为</w:t>
      </w:r>
      <w:r>
        <w:rPr>
          <w:rFonts w:hint="eastAsia" w:ascii="仿宋_GB2312" w:eastAsia="仿宋_GB2312"/>
          <w:color w:val="auto"/>
          <w:sz w:val="24"/>
          <w:highlight w:val="none"/>
          <w:u w:val="single"/>
        </w:rPr>
        <w:t xml:space="preserve">号项目</w:t>
      </w:r>
      <w:r>
        <w:rPr>
          <w:rFonts w:hint="eastAsia" w:ascii="仿宋_GB2312" w:eastAsia="仿宋_GB2312"/>
          <w:color w:val="auto"/>
          <w:sz w:val="24"/>
          <w:highlight w:val="none"/>
        </w:rPr>
        <w:t xml:space="preserve">合同的设备和专业技术能力。</w:t>
      </w:r>
      <w:r/>
    </w:p>
    <w:p>
      <w:pPr>
        <w:pStyle w:val="1007"/>
        <w:ind w:firstLine="48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07"/>
        <w:ind w:firstLine="48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07"/>
        <w:jc w:val="center"/>
        <w:spacing w:line="600" w:lineRule="exact"/>
        <w:rPr>
          <w:rFonts w:ascii="宋体"/>
          <w:b/>
          <w:bCs/>
          <w:color w:val="auto"/>
          <w:sz w:val="32"/>
          <w:szCs w:val="32"/>
          <w:highlight w:val="none"/>
        </w:rPr>
      </w:pPr>
      <w:r>
        <w:rPr>
          <w:rFonts w:ascii="宋体"/>
          <w:b/>
          <w:bCs/>
          <w:color w:val="auto"/>
          <w:sz w:val="32"/>
          <w:szCs w:val="32"/>
          <w:highlight w:val="none"/>
        </w:rPr>
      </w:r>
      <w:r/>
    </w:p>
    <w:p>
      <w:pPr>
        <w:pStyle w:val="100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09"/>
        <w:ind w:firstLine="720"/>
        <w:rPr>
          <w:color w:val="auto"/>
          <w:highlight w:val="none"/>
        </w:rPr>
      </w:pPr>
      <w:r>
        <w:rPr>
          <w:rFonts w:hint="eastAsia" w:ascii="仿宋_GB2312" w:eastAsia="仿宋_GB2312"/>
          <w:color w:val="auto"/>
          <w:sz w:val="24"/>
          <w:highlight w:val="none"/>
        </w:rPr>
        <w:t xml:space="preserve">年月日</w:t>
      </w:r>
      <w:r/>
    </w:p>
    <w:p>
      <w:pPr>
        <w:pStyle w:val="1010"/>
        <w:spacing w:after="100" w:afterAutospacing="1"/>
        <w:rPr>
          <w:rFonts w:ascii="宋体" w:hAnsi="宋体" w:cs="Arial"/>
          <w:bCs/>
          <w:color w:val="auto"/>
          <w:highlight w:val="none"/>
        </w:rPr>
      </w:pPr>
      <w:r>
        <w:rPr>
          <w:color w:val="auto"/>
          <w:highlight w:val="none"/>
        </w:rPr>
        <w:br w:type="page" w:clear="all"/>
      </w:r>
      <w:bookmarkStart w:id="176" w:name="_Toc467_WPSOffice_Level2"/>
      <w:r/>
      <w:bookmarkStart w:id="177" w:name="_Toc514054490"/>
      <w:r/>
      <w:bookmarkStart w:id="178" w:name="_Toc13419"/>
      <w:r/>
      <w:bookmarkStart w:id="179" w:name="_Toc514054491"/>
      <w:r/>
      <w:bookmarkStart w:id="180" w:name="_Toc10808"/>
      <w:r/>
      <w:bookmarkStart w:id="181" w:name="_Toc5571_WPSOffice_Level2"/>
      <w:r/>
      <w:bookmarkStart w:id="182" w:name="_Toc19673"/>
      <w:r>
        <w:rPr>
          <w:rFonts w:hint="eastAsia" w:ascii="宋体" w:hAnsi="宋体" w:eastAsia="黑体" w:cs="Arial"/>
          <w:b/>
          <w:bCs/>
          <w:color w:val="auto"/>
          <w:sz w:val="32"/>
          <w:highlight w:val="none"/>
        </w:rPr>
        <w:t xml:space="preserve">五、</w:t>
      </w:r>
      <w:bookmarkEnd w:id="176"/>
      <w:r/>
      <w:bookmarkEnd w:id="177"/>
      <w:r/>
      <w:bookmarkEnd w:id="178"/>
      <w:r>
        <w:rPr>
          <w:rFonts w:hint="eastAsia" w:ascii="宋体" w:hAnsi="宋体" w:eastAsia="黑体" w:cs="Arial"/>
          <w:b/>
          <w:bCs/>
          <w:color w:val="auto"/>
          <w:sz w:val="32"/>
          <w:highlight w:val="none"/>
        </w:rPr>
        <w:t xml:space="preserve">有依法缴纳税收和社会保障资金的良好记录</w:t>
      </w:r>
      <w:r/>
    </w:p>
    <w:p>
      <w:pPr>
        <w:pStyle w:val="1005"/>
        <w:rPr>
          <w:color w:val="auto"/>
          <w:highlight w:val="none"/>
        </w:rPr>
      </w:pPr>
      <w:r>
        <w:rPr>
          <w:rFonts w:hint="eastAsia" w:ascii="宋体"/>
          <w:bCs/>
          <w:color w:val="auto"/>
          <w:szCs w:val="32"/>
          <w:highlight w:val="none"/>
        </w:rPr>
        <w:t xml:space="preserve">提供符合招标文件要求的资料</w:t>
      </w:r>
      <w:r/>
    </w:p>
    <w:p>
      <w:pPr>
        <w:rPr>
          <w:rFonts w:ascii="黑体" w:hAnsi="黑体" w:eastAsia="黑体"/>
          <w:color w:val="auto"/>
          <w:sz w:val="32"/>
          <w:highlight w:val="none"/>
        </w:rPr>
      </w:pPr>
      <w:r>
        <w:rPr>
          <w:color w:val="auto"/>
          <w:highlight w:val="none"/>
        </w:rPr>
        <w:br w:type="page" w:clear="all"/>
      </w:r>
      <w:r/>
    </w:p>
    <w:p>
      <w:pPr>
        <w:pStyle w:val="1011"/>
        <w:rPr>
          <w:color w:val="auto"/>
          <w:highlight w:val="none"/>
        </w:rPr>
        <w:outlineLvl w:val="1"/>
      </w:pPr>
      <w:r/>
      <w:bookmarkStart w:id="183" w:name="_Toc25541"/>
      <w:r/>
      <w:bookmarkStart w:id="184" w:name="_Toc16607"/>
      <w:r/>
      <w:bookmarkStart w:id="185" w:name="_Toc164203468"/>
      <w:r/>
      <w:bookmarkStart w:id="186" w:name="_Toc12145"/>
      <w:r>
        <w:rPr>
          <w:color w:val="auto"/>
          <w:highlight w:val="none"/>
        </w:rPr>
        <w:t xml:space="preserve">六、无重大违法行为声明</w:t>
      </w:r>
      <w:bookmarkEnd w:id="179"/>
      <w:r/>
      <w:bookmarkEnd w:id="180"/>
      <w:r/>
      <w:bookmarkEnd w:id="181"/>
      <w:r/>
      <w:bookmarkEnd w:id="182"/>
      <w:r/>
      <w:bookmarkEnd w:id="183"/>
      <w:r/>
      <w:bookmarkEnd w:id="184"/>
      <w:r/>
      <w:bookmarkEnd w:id="185"/>
      <w:r/>
      <w:bookmarkEnd w:id="186"/>
      <w:r/>
      <w:r/>
    </w:p>
    <w:p>
      <w:pPr>
        <w:pStyle w:val="1012"/>
        <w:jc w:val="center"/>
        <w:spacing w:line="580" w:lineRule="exact"/>
        <w:tabs>
          <w:tab w:val="left" w:pos="1498" w:leader="none"/>
        </w:tabs>
        <w:rPr>
          <w:b/>
          <w:color w:val="auto"/>
          <w:sz w:val="32"/>
          <w:szCs w:val="32"/>
          <w:highlight w:val="none"/>
        </w:rPr>
      </w:pPr>
      <w:r/>
      <w:bookmarkStart w:id="187" w:name="_Toc7575_WPSOffice_Level2"/>
      <w:r>
        <w:rPr>
          <w:rFonts w:hint="eastAsia"/>
          <w:b/>
          <w:color w:val="auto"/>
          <w:sz w:val="32"/>
          <w:szCs w:val="32"/>
          <w:highlight w:val="none"/>
        </w:rPr>
        <w:t xml:space="preserve">无重大违法行为声明</w:t>
      </w:r>
      <w:bookmarkEnd w:id="187"/>
      <w:r/>
      <w:r/>
    </w:p>
    <w:p>
      <w:pPr>
        <w:pStyle w:val="1012"/>
        <w:spacing w:line="6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w:t>
      </w:r>
      <w:r>
        <w:rPr>
          <w:rFonts w:hint="eastAsia" w:ascii="仿宋_GB2312" w:eastAsia="仿宋_GB2312"/>
          <w:color w:val="auto"/>
          <w:sz w:val="24"/>
          <w:highlight w:val="none"/>
          <w:u w:val="single"/>
        </w:rPr>
        <w:t xml:space="preserve">采购人名称）</w:t>
      </w:r>
      <w:r>
        <w:rPr>
          <w:rFonts w:hint="eastAsia" w:ascii="仿宋_GB2312" w:eastAsia="仿宋_GB2312"/>
          <w:color w:val="auto"/>
          <w:sz w:val="24"/>
          <w:highlight w:val="none"/>
        </w:rPr>
        <w:t xml:space="preserve">：</w:t>
      </w:r>
      <w:r/>
    </w:p>
    <w:p>
      <w:pPr>
        <w:pStyle w:val="101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我单位在参加编号为号项目的投标活动前3年内，</w:t>
      </w:r>
      <w:r>
        <w:rPr>
          <w:rFonts w:ascii="仿宋_GB2312" w:eastAsia="仿宋_GB2312"/>
          <w:color w:val="auto"/>
          <w:sz w:val="24"/>
          <w:highlight w:val="none"/>
        </w:rPr>
        <w:t xml:space="preserve">在经营活动中没有重大违法记录</w:t>
      </w:r>
      <w:r>
        <w:rPr>
          <w:rFonts w:hint="eastAsia" w:ascii="仿宋_GB2312" w:eastAsia="仿宋_GB2312"/>
          <w:color w:val="auto"/>
          <w:sz w:val="24"/>
          <w:highlight w:val="none"/>
        </w:rPr>
        <w:t xml:space="preserve">。</w:t>
      </w:r>
      <w:r/>
    </w:p>
    <w:p>
      <w:pPr>
        <w:pStyle w:val="101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特此声明。</w:t>
      </w:r>
      <w:r/>
    </w:p>
    <w:p>
      <w:pPr>
        <w:pStyle w:val="1012"/>
        <w:ind w:firstLine="6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01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12"/>
        <w:ind w:firstLine="600"/>
        <w:spacing w:line="600" w:lineRule="exact"/>
        <w:rPr>
          <w:rFonts w:ascii="仿宋_GB2312" w:eastAsia="仿宋_GB2312"/>
          <w:color w:val="auto"/>
          <w:sz w:val="24"/>
          <w:highlight w:val="none"/>
        </w:rPr>
      </w:pPr>
      <w:r>
        <w:rPr>
          <w:rFonts w:ascii="仿宋_GB2312" w:eastAsia="仿宋_GB2312"/>
          <w:color w:val="auto"/>
          <w:sz w:val="24"/>
          <w:highlight w:val="none"/>
        </w:rPr>
      </w:r>
      <w:r/>
    </w:p>
    <w:p>
      <w:pPr>
        <w:pStyle w:val="100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13"/>
        <w:ind w:firstLine="720"/>
        <w:rPr>
          <w:color w:val="auto"/>
          <w:highlight w:val="none"/>
        </w:rPr>
      </w:pPr>
      <w:r>
        <w:rPr>
          <w:rFonts w:hint="eastAsia" w:ascii="仿宋_GB2312" w:eastAsia="仿宋_GB2312"/>
          <w:color w:val="auto"/>
          <w:sz w:val="24"/>
          <w:highlight w:val="none"/>
        </w:rPr>
        <w:t xml:space="preserve">年月日</w:t>
      </w:r>
      <w:r/>
    </w:p>
    <w:p>
      <w:pPr>
        <w:rPr>
          <w:rFonts w:ascii="仿宋" w:hAnsi="仿宋" w:eastAsia="仿宋" w:cs="仿宋"/>
          <w:color w:val="auto"/>
          <w:sz w:val="24"/>
          <w:szCs w:val="24"/>
          <w:highlight w:val="none"/>
        </w:rPr>
      </w:pPr>
      <w:r>
        <w:rPr>
          <w:color w:val="auto"/>
          <w:highlight w:val="none"/>
        </w:rPr>
        <w:br w:type="page" w:clear="all"/>
      </w:r>
      <w:bookmarkStart w:id="188" w:name="_Toc30396"/>
      <w:r/>
      <w:bookmarkStart w:id="189" w:name="_Toc19202"/>
      <w:r/>
      <w:r/>
    </w:p>
    <w:p>
      <w:pPr>
        <w:pStyle w:val="1014"/>
        <w:rPr>
          <w:color w:val="auto"/>
          <w:highlight w:val="none"/>
        </w:rPr>
        <w:outlineLvl w:val="1"/>
      </w:pPr>
      <w:r>
        <w:rPr>
          <w:rFonts w:hint="eastAsia"/>
          <w:color w:val="auto"/>
          <w:highlight w:val="none"/>
        </w:rPr>
        <w:t xml:space="preserve">七、承诺函</w:t>
      </w:r>
      <w:r/>
    </w:p>
    <w:p>
      <w:pPr>
        <w:rPr>
          <w:color w:val="auto"/>
          <w:highlight w:val="none"/>
        </w:rPr>
      </w:pPr>
      <w:r>
        <w:rPr>
          <w:color w:val="auto"/>
          <w:highlight w:val="none"/>
        </w:rPr>
      </w:r>
      <w:r/>
    </w:p>
    <w:p>
      <w:pPr>
        <w:rPr>
          <w:color w:val="auto"/>
          <w:highlight w:val="none"/>
        </w:rPr>
      </w:pPr>
      <w:r>
        <w:rPr>
          <w:color w:val="auto"/>
          <w:highlight w:val="none"/>
        </w:rPr>
      </w:r>
      <w:r/>
    </w:p>
    <w:p>
      <w:pPr>
        <w:pStyle w:val="1015"/>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u w:val="single"/>
        </w:rPr>
        <w:t xml:space="preserve">（采购人名称）</w:t>
      </w:r>
      <w:r>
        <w:rPr>
          <w:rFonts w:hint="eastAsia" w:ascii="仿宋_GB2312" w:hAnsi="Times New Roman" w:eastAsia="仿宋_GB2312"/>
          <w:b w:val="0"/>
          <w:color w:val="auto"/>
          <w:sz w:val="24"/>
          <w:highlight w:val="none"/>
        </w:rPr>
        <w:t xml:space="preserve">：</w:t>
      </w:r>
      <w:r/>
    </w:p>
    <w:p>
      <w:pPr>
        <w:pStyle w:val="101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根据已收到的项目编号为</w:t>
      </w:r>
      <w:r>
        <w:rPr>
          <w:rFonts w:hint="eastAsia" w:ascii="仿宋_GB2312" w:hAnsi="Times New Roman" w:eastAsia="仿宋_GB2312"/>
          <w:b w:val="0"/>
          <w:color w:val="auto"/>
          <w:sz w:val="24"/>
          <w:highlight w:val="none"/>
          <w:u w:val="single"/>
        </w:rPr>
        <w:t xml:space="preserve">（项目编号）</w:t>
      </w:r>
      <w:r>
        <w:rPr>
          <w:rFonts w:hint="eastAsia" w:ascii="仿宋_GB2312" w:hAnsi="Times New Roman" w:eastAsia="仿宋_GB2312"/>
          <w:b w:val="0"/>
          <w:color w:val="auto"/>
          <w:sz w:val="24"/>
          <w:highlight w:val="none"/>
        </w:rPr>
        <w:t xml:space="preserve">的</w:t>
      </w:r>
      <w:r>
        <w:rPr>
          <w:rFonts w:hint="eastAsia" w:ascii="仿宋_GB2312" w:hAnsi="Times New Roman" w:eastAsia="仿宋_GB2312"/>
          <w:b w:val="0"/>
          <w:color w:val="auto"/>
          <w:sz w:val="24"/>
          <w:highlight w:val="none"/>
          <w:u w:val="single"/>
        </w:rPr>
        <w:t xml:space="preserve">（项目名称）</w:t>
      </w:r>
      <w:r>
        <w:rPr>
          <w:rFonts w:hint="eastAsia" w:ascii="仿宋_GB2312" w:hAnsi="Times New Roman" w:eastAsia="仿宋_GB2312"/>
          <w:b w:val="0"/>
          <w:color w:val="auto"/>
          <w:sz w:val="24"/>
          <w:highlight w:val="none"/>
        </w:rPr>
        <w:t xml:space="preserve">的招标文件，我方在参加本项目招投标活动中，特作出如下承诺：</w:t>
      </w:r>
      <w:r/>
    </w:p>
    <w:p>
      <w:pPr>
        <w:pStyle w:val="101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1.本单位与其他参与本项目采购活动的供应商之间，不存在单位负责人为同一人的情况，也不存在直接控股、管理关系。</w:t>
      </w:r>
      <w:r/>
    </w:p>
    <w:p>
      <w:pPr>
        <w:pStyle w:val="101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2.除本项目为单一来源采购项目的情况外，本单位未为本采购项目提供整体设计、规范编制或者项目管理、监理、检测等服务，且不会在本项目中参与上述服务之外的其他采购活动。</w:t>
      </w:r>
      <w:r/>
    </w:p>
    <w:p>
      <w:pPr>
        <w:pStyle w:val="1015"/>
        <w:spacing w:line="360" w:lineRule="auto"/>
        <w:rPr>
          <w:rFonts w:ascii="仿宋_GB2312" w:hAnsi="Times New Roman" w:eastAsia="仿宋_GB2312"/>
          <w:b w:val="0"/>
          <w:color w:val="auto"/>
          <w:sz w:val="24"/>
          <w:highlight w:val="none"/>
        </w:rPr>
        <w:outlineLvl w:val="1"/>
      </w:pPr>
      <w:r>
        <w:rPr>
          <w:rFonts w:ascii="仿宋_GB2312" w:hAnsi="Times New Roman" w:eastAsia="仿宋_GB2312"/>
          <w:b w:val="0"/>
          <w:color w:val="auto"/>
          <w:sz w:val="24"/>
          <w:highlight w:val="none"/>
        </w:rPr>
      </w:r>
      <w:r/>
    </w:p>
    <w:p>
      <w:pPr>
        <w:pStyle w:val="1015"/>
        <w:ind w:firstLine="480"/>
        <w:spacing w:line="360" w:lineRule="auto"/>
        <w:rPr>
          <w:rFonts w:ascii="仿宋_GB2312" w:hAnsi="Times New Roman" w:eastAsia="仿宋_GB2312"/>
          <w:b w:val="0"/>
          <w:color w:val="auto"/>
          <w:sz w:val="24"/>
          <w:highlight w:val="none"/>
        </w:rPr>
        <w:outlineLvl w:val="1"/>
      </w:pPr>
      <w:r>
        <w:rPr>
          <w:rFonts w:hint="eastAsia" w:ascii="仿宋_GB2312" w:hAnsi="Times New Roman" w:eastAsia="仿宋_GB2312"/>
          <w:b w:val="0"/>
          <w:color w:val="auto"/>
          <w:sz w:val="24"/>
          <w:highlight w:val="none"/>
        </w:rPr>
        <w:t xml:space="preserve">本单位承诺以上内容真实有效，若经查实存在虚假陈述，愿意承担由此产生的一切法律责任和后果，包括但不限于取消参与资格、中标无效等。</w:t>
      </w:r>
      <w:r/>
    </w:p>
    <w:p>
      <w:pPr>
        <w:pStyle w:val="1015"/>
        <w:spacing w:line="360" w:lineRule="auto"/>
        <w:rPr>
          <w:rFonts w:ascii="宋体" w:hAnsi="宋体" w:eastAsia="宋体" w:cs="宋体"/>
          <w:b w:val="0"/>
          <w:bCs/>
          <w:color w:val="auto"/>
          <w:sz w:val="24"/>
          <w:szCs w:val="21"/>
          <w:highlight w:val="none"/>
        </w:rPr>
        <w:outlineLvl w:val="1"/>
      </w:pPr>
      <w:r>
        <w:rPr>
          <w:rFonts w:ascii="宋体" w:hAnsi="宋体" w:eastAsia="宋体" w:cs="宋体"/>
          <w:b w:val="0"/>
          <w:bCs/>
          <w:color w:val="auto"/>
          <w:sz w:val="24"/>
          <w:szCs w:val="21"/>
          <w:highlight w:val="none"/>
        </w:rPr>
      </w:r>
      <w:r/>
    </w:p>
    <w:p>
      <w:pPr>
        <w:pStyle w:val="1011"/>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rPr>
          <w:bCs/>
          <w:color w:val="auto"/>
          <w:highlight w:val="none"/>
        </w:rPr>
      </w:pPr>
      <w:r>
        <w:rPr>
          <w:bCs/>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85"/>
        <w:jc w:val="both"/>
        <w:spacing w:before="180" w:beforeAutospacing="0" w:after="0" w:afterAutospacing="0" w:line="420" w:lineRule="atLeast"/>
        <w:shd w:val="clear" w:color="auto" w:fill="ffffff"/>
        <w:rPr>
          <w:rFonts w:ascii="Arial" w:hAnsi="Arial" w:eastAsia="Arial" w:cs="Arial"/>
          <w:color w:val="auto"/>
          <w:szCs w:val="24"/>
          <w:highlight w:val="none"/>
        </w:rPr>
      </w:pPr>
      <w:r>
        <w:rPr>
          <w:rFonts w:ascii="Arial" w:hAnsi="Arial" w:eastAsia="Arial" w:cs="Arial"/>
          <w:color w:val="auto"/>
          <w:szCs w:val="24"/>
          <w:highlight w:val="none"/>
        </w:rPr>
      </w:r>
      <w:r/>
    </w:p>
    <w:p>
      <w:pPr>
        <w:pStyle w:val="1016"/>
        <w:spacing w:line="520" w:lineRule="exact"/>
        <w:rPr>
          <w:rFonts w:hAnsi="宋体" w:cs="宋体"/>
          <w:b/>
          <w:color w:val="auto"/>
          <w:sz w:val="32"/>
          <w:szCs w:val="24"/>
          <w:highlight w:val="none"/>
        </w:rPr>
      </w:pPr>
      <w:r>
        <w:rPr>
          <w:rFonts w:hint="eastAsia" w:hAnsi="宋体" w:cs="宋体"/>
          <w:b/>
          <w:color w:val="auto"/>
          <w:sz w:val="32"/>
          <w:szCs w:val="24"/>
          <w:highlight w:val="none"/>
        </w:rPr>
        <w:t xml:space="preserve">八、投标文件签署、盖章齐全完整</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07"/>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投标文件签署、盖章的声明</w:t>
      </w:r>
      <w:r/>
    </w:p>
    <w:p>
      <w:pPr>
        <w:pStyle w:val="1007"/>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007"/>
        <w:spacing w:line="6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u w:val="single"/>
        </w:rPr>
        <w:t xml:space="preserve">采购人名称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bCs/>
          <w:color w:val="auto"/>
          <w:sz w:val="24"/>
          <w:szCs w:val="24"/>
          <w:highlight w:val="none"/>
        </w:rPr>
        <w:t xml:space="preserve">：</w:t>
      </w:r>
      <w:r/>
    </w:p>
    <w:p>
      <w:pPr>
        <w:pStyle w:val="1007"/>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我司在参加编号为</w:t>
      </w:r>
      <w:r>
        <w:rPr>
          <w:rFonts w:hint="eastAsia" w:ascii="仿宋" w:hAnsi="仿宋" w:eastAsia="仿宋" w:cs="仿宋"/>
          <w:bCs/>
          <w:color w:val="auto"/>
          <w:sz w:val="24"/>
          <w:szCs w:val="24"/>
          <w:highlight w:val="none"/>
          <w:u w:val="single"/>
        </w:rPr>
        <w:t xml:space="preserve">（项目编号）号（项目名称）</w:t>
      </w:r>
      <w:r>
        <w:rPr>
          <w:rFonts w:hint="eastAsia" w:ascii="仿宋" w:hAnsi="仿宋" w:eastAsia="仿宋" w:cs="仿宋"/>
          <w:bCs/>
          <w:color w:val="auto"/>
          <w:sz w:val="24"/>
          <w:szCs w:val="24"/>
          <w:highlight w:val="none"/>
        </w:rPr>
        <w:t xml:space="preserve">项目，我司投标文件签署、盖章符合招标文件规定，具体报价内容详见投标文件。</w:t>
      </w:r>
      <w:r/>
    </w:p>
    <w:p>
      <w:pPr>
        <w:pStyle w:val="1007"/>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特此声明</w:t>
      </w:r>
      <w:r/>
    </w:p>
    <w:p>
      <w:pPr>
        <w:pStyle w:val="1007"/>
        <w:ind w:firstLine="480"/>
        <w:spacing w:line="6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（我司知晓下列处理原则：已提供本声明但投标文件中签署、盖章不符合招标文件规定的，本声明无效，并可能做不符性处理。）</w:t>
      </w:r>
      <w:r/>
    </w:p>
    <w:p>
      <w:pPr>
        <w:pStyle w:val="1007"/>
        <w:ind w:firstLine="480"/>
        <w:spacing w:line="6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16"/>
        <w:jc w:val="right"/>
        <w:spacing w:line="520" w:lineRule="exac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仿宋" w:hAnsi="仿宋" w:eastAsia="仿宋" w:cs="仿宋"/>
          <w:b/>
          <w:color w:val="auto"/>
          <w:sz w:val="24"/>
          <w:szCs w:val="24"/>
          <w:highlight w:val="none"/>
        </w:rPr>
      </w:pPr>
      <w:r>
        <w:rPr>
          <w:rFonts w:ascii="仿宋" w:hAnsi="仿宋" w:eastAsia="仿宋" w:cs="仿宋"/>
          <w:b/>
          <w:color w:val="auto"/>
          <w:sz w:val="24"/>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jc w:val="right"/>
        <w:rPr>
          <w:rFonts w:ascii="宋体" w:hAnsi="宋体" w:cs="宋体"/>
          <w:b/>
          <w:color w:val="auto"/>
          <w:sz w:val="32"/>
          <w:szCs w:val="24"/>
          <w:highlight w:val="none"/>
        </w:rPr>
      </w:pPr>
      <w:r>
        <w:rPr>
          <w:rFonts w:ascii="宋体" w:hAnsi="宋体" w:cs="宋体"/>
          <w:b/>
          <w:color w:val="auto"/>
          <w:sz w:val="32"/>
          <w:szCs w:val="24"/>
          <w:highlight w:val="none"/>
        </w:rPr>
      </w:r>
      <w:r/>
    </w:p>
    <w:p>
      <w:pPr>
        <w:rPr>
          <w:rFonts w:ascii="宋体" w:hAnsi="宋体" w:cs="宋体"/>
          <w:b/>
          <w:color w:val="auto"/>
          <w:sz w:val="32"/>
          <w:szCs w:val="24"/>
          <w:highlight w:val="none"/>
        </w:rPr>
      </w:pPr>
      <w:r>
        <w:rPr>
          <w:rFonts w:ascii="宋体" w:hAnsi="宋体" w:cs="宋体"/>
          <w:b/>
          <w:color w:val="auto"/>
          <w:sz w:val="32"/>
          <w:szCs w:val="24"/>
          <w:highlight w:val="none"/>
        </w:rPr>
      </w:r>
      <w:r/>
    </w:p>
    <w:p>
      <w:pPr>
        <w:pStyle w:val="1012"/>
        <w:rPr>
          <w:rFonts w:ascii="宋体" w:hAnsi="宋体" w:cs="宋体"/>
          <w:b/>
          <w:color w:val="auto"/>
          <w:sz w:val="32"/>
          <w:szCs w:val="24"/>
          <w:highlight w:val="none"/>
        </w:rPr>
        <w:outlineLvl w:val="1"/>
      </w:pPr>
      <w:r>
        <w:rPr>
          <w:rFonts w:hint="eastAsia" w:ascii="宋体" w:hAnsi="宋体" w:cs="宋体"/>
          <w:b/>
          <w:color w:val="auto"/>
          <w:sz w:val="32"/>
          <w:szCs w:val="24"/>
          <w:highlight w:val="none"/>
        </w:rPr>
        <w:t xml:space="preserve">九、对实质性条款的响应性</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pStyle w:val="1007"/>
        <w:jc w:val="center"/>
        <w:spacing w:line="600" w:lineRule="exact"/>
        <w:rPr>
          <w:rFonts w:ascii="宋体" w:hAnsi="宋体" w:cs="宋体"/>
          <w:b/>
          <w:color w:val="auto"/>
          <w:sz w:val="32"/>
          <w:szCs w:val="24"/>
          <w:highlight w:val="none"/>
        </w:rPr>
      </w:pPr>
      <w:r>
        <w:rPr>
          <w:rFonts w:hint="eastAsia" w:ascii="宋体" w:hAnsi="宋体" w:cs="宋体"/>
          <w:b/>
          <w:color w:val="auto"/>
          <w:sz w:val="32"/>
          <w:szCs w:val="24"/>
          <w:highlight w:val="none"/>
        </w:rPr>
        <w:t xml:space="preserve">对实质性条款的响应的声明</w:t>
      </w:r>
      <w:r/>
    </w:p>
    <w:p>
      <w:pPr>
        <w:pStyle w:val="1007"/>
        <w:spacing w:line="600" w:lineRule="exact"/>
        <w:rPr>
          <w:rFonts w:ascii="宋体" w:hAnsi="宋体" w:cs="宋体"/>
          <w:color w:val="auto"/>
          <w:sz w:val="24"/>
          <w:highlight w:val="none"/>
          <w:u w:val="single"/>
        </w:rPr>
      </w:pPr>
      <w:r>
        <w:rPr>
          <w:rFonts w:ascii="宋体" w:hAnsi="宋体" w:cs="宋体"/>
          <w:color w:val="auto"/>
          <w:sz w:val="24"/>
          <w:highlight w:val="none"/>
          <w:u w:val="single"/>
        </w:rPr>
      </w:r>
      <w:r/>
    </w:p>
    <w:p>
      <w:pPr>
        <w:pStyle w:val="1007"/>
        <w:spacing w:line="600" w:lineRule="exact"/>
        <w:rPr>
          <w:rFonts w:ascii="宋体" w:hAnsi="宋体" w:cs="宋体"/>
          <w:bCs/>
          <w:color w:val="auto"/>
          <w:sz w:val="24"/>
          <w:szCs w:val="20"/>
          <w:highlight w:val="none"/>
        </w:rPr>
      </w:pP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4"/>
          <w:highlight w:val="none"/>
          <w:u w:val="single"/>
        </w:rPr>
        <w:t xml:space="preserve">采购人名称</w:t>
      </w:r>
      <w:r>
        <w:rPr>
          <w:rFonts w:hint="eastAsia" w:ascii="宋体" w:hAnsi="宋体" w:cs="宋体"/>
          <w:color w:val="auto"/>
          <w:sz w:val="24"/>
          <w:szCs w:val="24"/>
          <w:highlight w:val="none"/>
          <w:u w:val="single"/>
        </w:rPr>
        <w:t xml:space="preserve">）</w:t>
      </w:r>
      <w:r>
        <w:rPr>
          <w:rFonts w:hint="eastAsia" w:ascii="宋体" w:hAnsi="宋体" w:cs="宋体"/>
          <w:bCs/>
          <w:color w:val="auto"/>
          <w:sz w:val="24"/>
          <w:szCs w:val="20"/>
          <w:highlight w:val="none"/>
        </w:rPr>
        <w:t xml:space="preserve">：</w:t>
      </w:r>
      <w:r/>
    </w:p>
    <w:p>
      <w:pPr>
        <w:pStyle w:val="1007"/>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我司在参加编号为</w:t>
      </w:r>
      <w:r>
        <w:rPr>
          <w:rFonts w:hint="eastAsia" w:ascii="宋体" w:hAnsi="宋体" w:cs="宋体"/>
          <w:bCs/>
          <w:color w:val="auto"/>
          <w:sz w:val="24"/>
          <w:szCs w:val="20"/>
          <w:highlight w:val="none"/>
          <w:u w:val="single"/>
        </w:rPr>
        <w:t xml:space="preserve">（项目编号）号（项目名称）</w:t>
      </w:r>
      <w:r>
        <w:rPr>
          <w:rFonts w:hint="eastAsia" w:ascii="宋体" w:hAnsi="宋体" w:cs="宋体"/>
          <w:bCs/>
          <w:color w:val="auto"/>
          <w:sz w:val="24"/>
          <w:szCs w:val="20"/>
          <w:highlight w:val="none"/>
        </w:rPr>
        <w:t xml:space="preserve">项目，我司投标文件符合招标文件要求，对实质性条款完全响应并且不存在重大偏离，具体内容详见投标文件。</w:t>
      </w:r>
      <w:r/>
    </w:p>
    <w:p>
      <w:pPr>
        <w:pStyle w:val="1007"/>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特此声明</w:t>
      </w:r>
      <w:r/>
    </w:p>
    <w:p>
      <w:pPr>
        <w:pStyle w:val="1007"/>
        <w:ind w:firstLine="480"/>
        <w:spacing w:line="600" w:lineRule="exact"/>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（我司知晓下列处理原则：已提供本声明但投标文件不符合招标文件要求或存在重大偏离的，本声明无效，并可能做不符性处理。）</w:t>
      </w:r>
      <w:r/>
    </w:p>
    <w:p>
      <w:pPr>
        <w:pStyle w:val="1007"/>
        <w:ind w:firstLine="480"/>
        <w:spacing w:line="600" w:lineRule="exact"/>
        <w:rPr>
          <w:rFonts w:ascii="宋体" w:hAnsi="宋体" w:cs="宋体"/>
          <w:bCs/>
          <w:color w:val="auto"/>
          <w:sz w:val="24"/>
          <w:szCs w:val="20"/>
          <w:highlight w:val="none"/>
        </w:rPr>
      </w:pPr>
      <w:r>
        <w:rPr>
          <w:rFonts w:ascii="宋体" w:hAnsi="宋体" w:cs="宋体"/>
          <w:bCs/>
          <w:color w:val="auto"/>
          <w:sz w:val="24"/>
          <w:szCs w:val="20"/>
          <w:highlight w:val="none"/>
        </w:rPr>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供应商名称：（盖CA电子公章）</w:t>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jc w:val="both"/>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rPr>
          <w:color w:val="auto"/>
          <w:highlight w:val="none"/>
        </w:rPr>
      </w:pPr>
      <w:r/>
      <w:bookmarkStart w:id="190" w:name="_Toc28775"/>
      <w:r/>
      <w:bookmarkStart w:id="191" w:name="_Toc164203469"/>
      <w:r/>
      <w:bookmarkStart w:id="192" w:name="_Toc26700"/>
      <w:r/>
      <w:bookmarkStart w:id="193" w:name="_Toc20806"/>
      <w:r>
        <w:rPr>
          <w:rFonts w:hint="eastAsia"/>
          <w:color w:val="auto"/>
          <w:highlight w:val="none"/>
        </w:rPr>
        <w:br w:type="page" w:clear="all"/>
      </w:r>
      <w:r/>
    </w:p>
    <w:p>
      <w:pPr>
        <w:pStyle w:val="1014"/>
        <w:rPr>
          <w:color w:val="auto"/>
          <w:highlight w:val="none"/>
        </w:rPr>
        <w:outlineLvl w:val="1"/>
      </w:pPr>
      <w:r>
        <w:rPr>
          <w:rFonts w:hint="eastAsia"/>
          <w:color w:val="auto"/>
          <w:highlight w:val="none"/>
        </w:rPr>
        <w:t xml:space="preserve">十</w:t>
      </w:r>
      <w:r>
        <w:rPr>
          <w:color w:val="auto"/>
          <w:highlight w:val="none"/>
        </w:rPr>
        <w:t xml:space="preserve">、投标函</w:t>
      </w:r>
      <w:bookmarkEnd w:id="188"/>
      <w:r/>
      <w:bookmarkEnd w:id="189"/>
      <w:r/>
      <w:bookmarkEnd w:id="190"/>
      <w:r/>
      <w:bookmarkEnd w:id="191"/>
      <w:r/>
      <w:bookmarkEnd w:id="192"/>
      <w:r/>
      <w:bookmarkEnd w:id="193"/>
      <w:r/>
      <w:r/>
    </w:p>
    <w:p>
      <w:pPr>
        <w:pStyle w:val="1018"/>
        <w:spacing w:line="580" w:lineRule="exact"/>
        <w:tabs>
          <w:tab w:val="left" w:pos="1498" w:leader="none"/>
        </w:tabs>
        <w:rPr>
          <w:rFonts w:ascii="仿宋_GB2312" w:eastAsia="仿宋_GB2312"/>
          <w:color w:val="auto"/>
          <w:sz w:val="24"/>
          <w:szCs w:val="22"/>
          <w:highlight w:val="none"/>
        </w:rPr>
      </w:pPr>
      <w:r/>
      <w:bookmarkStart w:id="194" w:name="_Toc19604"/>
      <w:r/>
      <w:bookmarkStart w:id="195" w:name="_Toc22395"/>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w:t>
      </w:r>
      <w:r/>
    </w:p>
    <w:p>
      <w:pPr>
        <w:pStyle w:val="1018"/>
        <w:ind w:left="479" w:firstLine="54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，包号（如有）为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的招标活动并投标，为此，我方郑重声明以下诸点，并负法律责任。</w:t>
      </w:r>
      <w:r/>
    </w:p>
    <w:p>
      <w:pPr>
        <w:pStyle w:val="1018"/>
        <w:numPr>
          <w:ilvl w:val="0"/>
          <w:numId w:val="12"/>
        </w:numPr>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经研究招标文件的全部内容后，我方愿按招标文件的规定要求提供所有货物和服务；</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二、</w:t>
      </w:r>
      <w:r>
        <w:rPr>
          <w:rFonts w:hint="eastAsia" w:ascii="仿宋_GB2312" w:eastAsia="仿宋_GB2312"/>
          <w:b/>
          <w:bCs/>
          <w:color w:val="auto"/>
          <w:sz w:val="24"/>
          <w:highlight w:val="none"/>
        </w:rPr>
        <w:t xml:space="preserve">我方没有为本采购项目提供整体设计、规范编制，以及项目管理、监理、检测等服务。</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三、我方与参与本次采购活动的其他投标人的法定代表人或委托代理人</w:t>
      </w:r>
      <w:r>
        <w:rPr>
          <w:rFonts w:hint="eastAsia" w:ascii="仿宋_GB2312" w:eastAsia="仿宋_GB2312"/>
          <w:b/>
          <w:bCs/>
          <w:color w:val="auto"/>
          <w:sz w:val="24"/>
          <w:highlight w:val="none"/>
        </w:rPr>
        <w:t xml:space="preserve">无夫妻、直系血亲关系；</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四、我方与参与本次采购活动的其他投标人的负责人</w:t>
      </w:r>
      <w:r>
        <w:rPr>
          <w:rFonts w:hint="eastAsia" w:ascii="仿宋_GB2312" w:eastAsia="仿宋_GB2312"/>
          <w:b/>
          <w:bCs/>
          <w:color w:val="auto"/>
          <w:sz w:val="24"/>
          <w:highlight w:val="none"/>
        </w:rPr>
        <w:t xml:space="preserve">不是同一人，也不存在直接控股、管理关系。</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五、我们理解，最低报价不是中标的唯一条件，你们有选择中标人的权利；</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018"/>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七、一旦我方中标，我方将根据招标文件的规定，严格按照《中华人民共和国民法典》履行自己的责任和义务，并保证于我方承诺的期限内完成项目规定的所有内容。</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八、我方同意遵守贵方有关招标投标的各项规定；</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九、我方响应招标文件规定的投标有效期。</w:t>
      </w:r>
      <w:r/>
    </w:p>
    <w:p>
      <w:pPr>
        <w:pStyle w:val="1019"/>
        <w:ind w:firstLine="482"/>
        <w:spacing w:line="360" w:lineRule="exact"/>
        <w:tabs>
          <w:tab w:val="left" w:pos="1498" w:leader="none"/>
        </w:tabs>
        <w:rPr>
          <w:rFonts w:ascii="仿宋_GB2312" w:eastAsia="仿宋_GB2312"/>
          <w:b/>
          <w:bCs/>
          <w:color w:val="auto"/>
          <w:sz w:val="24"/>
          <w:highlight w:val="none"/>
        </w:rPr>
      </w:pPr>
      <w:r>
        <w:rPr>
          <w:rFonts w:hint="eastAsia" w:ascii="仿宋_GB2312" w:eastAsia="仿宋_GB2312"/>
          <w:b/>
          <w:bCs/>
          <w:color w:val="auto"/>
          <w:sz w:val="24"/>
          <w:highlight w:val="none"/>
        </w:rPr>
        <w:t xml:space="preserve">十、我司承诺若获得中标资格，我司保证在领取中标通知书前按照招标文件约定的标准，向采购代理机构一次性缴纳中标服务费。</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联系人：</w:t>
      </w:r>
      <w:r/>
    </w:p>
    <w:p>
      <w:pPr>
        <w:pStyle w:val="1019"/>
        <w:ind w:firstLine="480"/>
        <w:spacing w:line="360" w:lineRule="exact"/>
        <w:tabs>
          <w:tab w:val="left" w:pos="1498" w:leader="none"/>
        </w:tabs>
        <w:rPr>
          <w:rFonts w:ascii="仿宋_GB2312" w:eastAsia="仿宋_GB2312"/>
          <w:color w:val="auto"/>
          <w:sz w:val="24"/>
          <w:highlight w:val="none"/>
          <w:u w:val="single"/>
        </w:rPr>
      </w:pPr>
      <w:r>
        <w:rPr>
          <w:rFonts w:hint="eastAsia" w:ascii="仿宋_GB2312" w:eastAsia="仿宋_GB2312"/>
          <w:color w:val="auto"/>
          <w:sz w:val="24"/>
          <w:highlight w:val="none"/>
        </w:rPr>
        <w:t xml:space="preserve">地址：</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电话：</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开户银行：</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银行账号：</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投标人名称：（加盖CA电子公章）</w:t>
      </w:r>
      <w:r/>
    </w:p>
    <w:p>
      <w:pPr>
        <w:pStyle w:val="1019"/>
        <w:ind w:firstLine="480"/>
        <w:spacing w:line="360" w:lineRule="exact"/>
        <w:tabs>
          <w:tab w:val="left" w:pos="1498" w:leader="none"/>
        </w:tabs>
        <w:rPr>
          <w:rFonts w:ascii="仿宋_GB2312" w:eastAsia="仿宋_GB2312"/>
          <w:color w:val="auto"/>
          <w:sz w:val="24"/>
          <w:highlight w:val="none"/>
        </w:rPr>
      </w:pPr>
      <w:r>
        <w:rPr>
          <w:rFonts w:hint="eastAsia" w:ascii="仿宋_GB2312" w:eastAsia="仿宋_GB2312"/>
          <w:color w:val="auto"/>
          <w:sz w:val="24"/>
          <w:highlight w:val="none"/>
        </w:rPr>
        <w:t xml:space="preserve">日期：年月日</w:t>
      </w:r>
      <w:r/>
    </w:p>
    <w:p>
      <w:pPr>
        <w:pStyle w:val="1014"/>
        <w:rPr>
          <w:color w:val="auto"/>
          <w:highlight w:val="none"/>
        </w:rPr>
        <w:outlineLvl w:val="1"/>
      </w:pPr>
      <w:r>
        <w:rPr>
          <w:rFonts w:hint="eastAsia" w:ascii="仿宋_GB2312" w:hAnsi="Times New Roman" w:eastAsia="仿宋_GB2312"/>
          <w:color w:val="auto"/>
          <w:sz w:val="24"/>
          <w:highlight w:val="none"/>
        </w:rPr>
        <w:br w:type="page" w:clear="all"/>
      </w:r>
      <w:bookmarkStart w:id="196" w:name="_Toc14010"/>
      <w:r/>
      <w:bookmarkStart w:id="197" w:name="_Toc12153"/>
      <w:r/>
      <w:bookmarkStart w:id="198" w:name="_Toc164203470"/>
      <w:r/>
      <w:bookmarkStart w:id="199" w:name="_Toc10914"/>
      <w:r>
        <w:rPr>
          <w:rFonts w:hint="eastAsia"/>
          <w:color w:val="auto"/>
          <w:highlight w:val="none"/>
        </w:rPr>
        <w:t xml:space="preserve">十一、法定代表人身份证明或授权委托书</w:t>
      </w:r>
      <w:bookmarkEnd w:id="194"/>
      <w:r/>
      <w:bookmarkEnd w:id="195"/>
      <w:r/>
      <w:bookmarkEnd w:id="196"/>
      <w:r/>
      <w:bookmarkEnd w:id="197"/>
      <w:r/>
      <w:bookmarkEnd w:id="198"/>
      <w:r/>
      <w:bookmarkEnd w:id="199"/>
      <w:r/>
      <w:r/>
    </w:p>
    <w:p>
      <w:pPr>
        <w:pStyle w:val="1020"/>
        <w:jc w:val="center"/>
        <w:spacing w:line="560" w:lineRule="exact"/>
        <w:rPr>
          <w:rFonts w:ascii="宋体"/>
          <w:b/>
          <w:bCs/>
          <w:color w:val="auto"/>
          <w:sz w:val="32"/>
          <w:szCs w:val="32"/>
          <w:highlight w:val="none"/>
        </w:rPr>
      </w:pPr>
      <w:r>
        <w:rPr>
          <w:rFonts w:ascii="宋体"/>
          <w:b/>
          <w:bCs/>
          <w:color w:val="auto"/>
          <w:sz w:val="32"/>
          <w:szCs w:val="32"/>
          <w:highlight w:val="none"/>
        </w:rPr>
        <w:t xml:space="preserve">法定代表人身份证明</w:t>
      </w:r>
      <w:r/>
    </w:p>
    <w:p>
      <w:pPr>
        <w:pStyle w:val="1021"/>
        <w:spacing w:line="480" w:lineRule="exact"/>
        <w:rPr>
          <w:rFonts w:eastAsia="仿宋_GB2312"/>
          <w:color w:val="auto"/>
          <w:sz w:val="24"/>
          <w:highlight w:val="none"/>
        </w:rPr>
      </w:pPr>
      <w:r>
        <w:rPr>
          <w:rFonts w:eastAsia="仿宋_GB2312"/>
          <w:color w:val="auto"/>
          <w:sz w:val="24"/>
          <w:highlight w:val="none"/>
        </w:rPr>
      </w:r>
      <w:r/>
    </w:p>
    <w:p>
      <w:pPr>
        <w:pStyle w:val="1021"/>
        <w:spacing w:line="480" w:lineRule="exact"/>
        <w:rPr>
          <w:rFonts w:eastAsia="仿宋_GB2312"/>
          <w:color w:val="auto"/>
          <w:sz w:val="24"/>
          <w:highlight w:val="none"/>
        </w:rPr>
      </w:pPr>
      <w:r>
        <w:rPr>
          <w:rFonts w:hint="eastAsia" w:eastAsia="仿宋_GB2312"/>
          <w:color w:val="auto"/>
          <w:sz w:val="24"/>
          <w:highlight w:val="none"/>
        </w:rPr>
        <w:t xml:space="preserve">供应商</w:t>
      </w:r>
      <w:r>
        <w:rPr>
          <w:rFonts w:eastAsia="仿宋_GB2312"/>
          <w:color w:val="auto"/>
          <w:sz w:val="24"/>
          <w:highlight w:val="none"/>
        </w:rPr>
        <w:t xml:space="preserve">名称：</w:t>
      </w:r>
      <w:r/>
    </w:p>
    <w:p>
      <w:pPr>
        <w:pStyle w:val="1021"/>
        <w:spacing w:line="480" w:lineRule="exact"/>
        <w:rPr>
          <w:rFonts w:eastAsia="仿宋_GB2312"/>
          <w:color w:val="auto"/>
          <w:sz w:val="24"/>
          <w:highlight w:val="none"/>
        </w:rPr>
      </w:pPr>
      <w:r>
        <w:rPr>
          <w:rFonts w:eastAsia="仿宋_GB2312"/>
          <w:color w:val="auto"/>
          <w:sz w:val="24"/>
          <w:highlight w:val="none"/>
        </w:rPr>
        <w:t xml:space="preserve">单位性质：</w:t>
      </w:r>
      <w:r/>
    </w:p>
    <w:p>
      <w:pPr>
        <w:pStyle w:val="1021"/>
        <w:spacing w:line="480" w:lineRule="exact"/>
        <w:rPr>
          <w:rFonts w:eastAsia="仿宋_GB2312"/>
          <w:color w:val="auto"/>
          <w:sz w:val="24"/>
          <w:highlight w:val="none"/>
        </w:rPr>
      </w:pPr>
      <w:r>
        <w:rPr>
          <w:rFonts w:eastAsia="仿宋_GB2312"/>
          <w:color w:val="auto"/>
          <w:sz w:val="24"/>
          <w:highlight w:val="none"/>
        </w:rPr>
        <w:t xml:space="preserve">地址：</w:t>
      </w:r>
      <w:r/>
    </w:p>
    <w:p>
      <w:pPr>
        <w:pStyle w:val="1021"/>
        <w:spacing w:line="480" w:lineRule="exact"/>
        <w:rPr>
          <w:rFonts w:eastAsia="仿宋_GB2312"/>
          <w:color w:val="auto"/>
          <w:sz w:val="24"/>
          <w:highlight w:val="none"/>
        </w:rPr>
      </w:pPr>
      <w:r>
        <w:rPr>
          <w:rFonts w:eastAsia="仿宋_GB2312"/>
          <w:color w:val="auto"/>
          <w:sz w:val="24"/>
          <w:highlight w:val="none"/>
        </w:rPr>
        <w:t xml:space="preserve">成立时间：年月日</w:t>
      </w:r>
      <w:r/>
    </w:p>
    <w:p>
      <w:pPr>
        <w:pStyle w:val="1021"/>
        <w:spacing w:line="480" w:lineRule="exact"/>
        <w:rPr>
          <w:rFonts w:eastAsia="仿宋_GB2312"/>
          <w:color w:val="auto"/>
          <w:sz w:val="24"/>
          <w:highlight w:val="none"/>
        </w:rPr>
      </w:pPr>
      <w:r>
        <w:rPr>
          <w:rFonts w:eastAsia="仿宋_GB2312"/>
          <w:color w:val="auto"/>
          <w:sz w:val="24"/>
          <w:highlight w:val="none"/>
        </w:rPr>
        <w:t xml:space="preserve">经营期限：</w:t>
      </w:r>
      <w:r/>
    </w:p>
    <w:p>
      <w:pPr>
        <w:pStyle w:val="1021"/>
        <w:spacing w:line="480" w:lineRule="exact"/>
        <w:rPr>
          <w:rFonts w:eastAsia="仿宋_GB2312"/>
          <w:color w:val="auto"/>
          <w:sz w:val="24"/>
          <w:highlight w:val="none"/>
        </w:rPr>
      </w:pPr>
      <w:r>
        <w:rPr>
          <w:rFonts w:eastAsia="仿宋_GB2312"/>
          <w:color w:val="auto"/>
          <w:sz w:val="24"/>
          <w:highlight w:val="none"/>
        </w:rPr>
        <w:t xml:space="preserve">姓名：性别：年龄：职务：系</w:t>
      </w:r>
      <w:r/>
    </w:p>
    <w:p>
      <w:pPr>
        <w:pStyle w:val="1021"/>
        <w:spacing w:line="480" w:lineRule="exact"/>
        <w:rPr>
          <w:rFonts w:eastAsia="仿宋_GB2312"/>
          <w:color w:val="auto"/>
          <w:sz w:val="24"/>
          <w:highlight w:val="none"/>
        </w:rPr>
      </w:pPr>
      <w:r>
        <w:rPr>
          <w:rFonts w:eastAsia="仿宋_GB2312"/>
          <w:color w:val="auto"/>
          <w:sz w:val="24"/>
          <w:highlight w:val="none"/>
        </w:rPr>
        <w:t xml:space="preserve">（投标人名称）的法定代表人。</w:t>
      </w:r>
      <w:r/>
    </w:p>
    <w:p>
      <w:pPr>
        <w:pStyle w:val="1021"/>
        <w:ind w:firstLine="480"/>
        <w:spacing w:line="480" w:lineRule="exact"/>
        <w:rPr>
          <w:rFonts w:eastAsia="仿宋_GB2312"/>
          <w:color w:val="auto"/>
          <w:sz w:val="24"/>
          <w:highlight w:val="none"/>
        </w:rPr>
      </w:pPr>
      <w:r>
        <w:rPr>
          <w:rFonts w:eastAsia="仿宋_GB2312"/>
          <w:color w:val="auto"/>
          <w:sz w:val="24"/>
          <w:highlight w:val="none"/>
        </w:rPr>
        <w:t xml:space="preserve">特此证明。</w:t>
      </w:r>
      <w:r/>
    </w:p>
    <w:p>
      <w:pPr>
        <w:pStyle w:val="1022"/>
        <w:spacing w:line="600" w:lineRule="exact"/>
        <w:rPr>
          <w:rFonts w:eastAsia="仿宋_GB2312"/>
          <w:color w:val="auto"/>
          <w:sz w:val="24"/>
          <w:highlight w:val="none"/>
        </w:rPr>
      </w:pPr>
      <w:r>
        <w:rPr>
          <w:rFonts w:hint="eastAsia" w:ascii="仿宋_GB2312" w:eastAsia="仿宋_GB2312"/>
          <w:b/>
          <w:color w:val="auto"/>
          <w:sz w:val="24"/>
          <w:highlight w:val="none"/>
        </w:rPr>
        <w:t xml:space="preserve">（法定代表人出席开标会议的提供，未出席的可不提供。附法定代表人身份证、扫描件。）</w:t>
      </w:r>
      <w:r/>
    </w:p>
    <w:p>
      <w:pPr>
        <w:pStyle w:val="1021"/>
        <w:jc w:val="right"/>
        <w:spacing w:line="480" w:lineRule="exact"/>
        <w:rPr>
          <w:rFonts w:eastAsia="仿宋_GB2312"/>
          <w:color w:val="auto"/>
          <w:sz w:val="24"/>
          <w:highlight w:val="none"/>
        </w:rPr>
      </w:pPr>
      <w:r>
        <w:rPr>
          <w:rFonts w:eastAsia="仿宋_GB2312"/>
          <w:color w:val="auto"/>
          <w:sz w:val="24"/>
          <w:highlight w:val="none"/>
        </w:rPr>
      </w:r>
      <w:r/>
    </w:p>
    <w:p>
      <w:pPr>
        <w:pStyle w:val="1021"/>
        <w:jc w:val="right"/>
        <w:spacing w:line="480" w:lineRule="exact"/>
        <w:rPr>
          <w:rFonts w:eastAsia="仿宋_GB2312"/>
          <w:color w:val="auto"/>
          <w:sz w:val="24"/>
          <w:highlight w:val="none"/>
        </w:rPr>
      </w:pPr>
      <w:r>
        <w:rPr>
          <w:rFonts w:eastAsia="仿宋_GB2312"/>
          <w:color w:val="auto"/>
          <w:sz w:val="24"/>
          <w:highlight w:val="none"/>
        </w:rPr>
      </w:r>
      <w:r/>
    </w:p>
    <w:p>
      <w:pPr>
        <w:pStyle w:val="1022"/>
        <w:ind w:firstLine="445"/>
        <w:jc w:val="right"/>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pStyle w:val="102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pStyle w:val="1023"/>
        <w:ind w:firstLine="989"/>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年月日</w:t>
      </w:r>
      <w:r/>
    </w:p>
    <w:p>
      <w:pPr>
        <w:pStyle w:val="1020"/>
        <w:jc w:val="center"/>
        <w:spacing w:line="560" w:lineRule="exact"/>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 xml:space="preserve">法定代表人授权委托书</w:t>
      </w:r>
      <w:r/>
    </w:p>
    <w:p>
      <w:pPr>
        <w:pStyle w:val="1020"/>
        <w:spacing w:line="600" w:lineRule="exact"/>
        <w:rPr>
          <w:rFonts w:ascii="方正大标宋简体" w:eastAsia="方正大标宋简体"/>
          <w:color w:val="auto"/>
          <w:sz w:val="32"/>
          <w:highlight w:val="none"/>
        </w:rPr>
      </w:pPr>
      <w:r>
        <w:rPr>
          <w:rFonts w:ascii="方正大标宋简体" w:eastAsia="方正大标宋简体"/>
          <w:color w:val="auto"/>
          <w:sz w:val="32"/>
          <w:highlight w:val="none"/>
        </w:rPr>
      </w:r>
      <w:r/>
    </w:p>
    <w:p>
      <w:pPr>
        <w:spacing w:line="500" w:lineRule="exact"/>
        <w:rPr>
          <w:rFonts w:ascii="仿宋" w:hAnsi="仿宋" w:eastAsia="仿宋" w:cs="仿宋"/>
          <w:color w:val="auto"/>
          <w:sz w:val="24"/>
          <w:szCs w:val="24"/>
          <w:highlight w:val="none"/>
        </w:rPr>
      </w:pPr>
      <w:r/>
      <w:bookmarkStart w:id="200" w:name="_Toc12853"/>
      <w:r/>
      <w:bookmarkStart w:id="201" w:name="_Toc18616"/>
      <w:r/>
      <w:bookmarkStart w:id="202" w:name="_Toc6146"/>
      <w:r/>
      <w:bookmarkStart w:id="203" w:name="_Toc164203471"/>
      <w:r/>
      <w:bookmarkStart w:id="204" w:name="_Toc5779"/>
      <w:r/>
      <w:bookmarkStart w:id="205" w:name="_Toc24999"/>
      <w:r>
        <w:rPr>
          <w:rFonts w:hint="eastAsia" w:ascii="仿宋" w:hAnsi="仿宋" w:eastAsia="仿宋" w:cs="仿宋"/>
          <w:color w:val="auto"/>
          <w:sz w:val="24"/>
          <w:szCs w:val="24"/>
          <w:highlight w:val="none"/>
        </w:rPr>
        <w:t xml:space="preserve">本授权委托书声明：我（姓名）系</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代理人无权转委托，特此委托。</w:t>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2"/>
        <w:ind w:firstLine="445"/>
        <w:jc w:val="center"/>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单位名称：（加盖CA电子公章）</w:t>
      </w:r>
      <w:r/>
    </w:p>
    <w:p>
      <w:pPr>
        <w:jc w:val="cente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20"/>
        <w:ind w:firstLine="425"/>
        <w:jc w:val="right"/>
        <w:spacing w:line="56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w:t>
      </w:r>
      <w:r>
        <w:rPr>
          <w:rFonts w:hint="eastAsia" w:ascii="仿宋_GB2312" w:eastAsia="仿宋_GB2312"/>
          <w:color w:val="auto"/>
          <w:sz w:val="24"/>
          <w:szCs w:val="22"/>
          <w:highlight w:val="none"/>
        </w:rPr>
        <w:t xml:space="preserve">签字或盖法定代表人章</w:t>
      </w:r>
      <w:r>
        <w:rPr>
          <w:rFonts w:hint="eastAsia" w:ascii="仿宋_GB2312" w:eastAsia="仿宋_GB2312"/>
          <w:color w:val="auto"/>
          <w:sz w:val="24"/>
          <w:highlight w:val="none"/>
        </w:rPr>
        <w:t xml:space="preserve">）</w:t>
      </w:r>
      <w:r/>
    </w:p>
    <w:p>
      <w:pPr>
        <w:jc w:val="right"/>
        <w:spacing w:line="500" w:lineRule="exact"/>
        <w:rPr>
          <w:rFonts w:ascii="仿宋" w:hAnsi="仿宋" w:eastAsia="仿宋" w:cs="仿宋"/>
          <w:color w:val="auto"/>
          <w:sz w:val="24"/>
          <w:szCs w:val="24"/>
          <w:highlight w:val="none"/>
          <w:u w:val="single"/>
        </w:rPr>
      </w:pPr>
      <w:r>
        <w:rPr>
          <w:rFonts w:ascii="仿宋" w:hAnsi="仿宋" w:eastAsia="仿宋" w:cs="仿宋"/>
          <w:color w:val="auto"/>
          <w:sz w:val="24"/>
          <w:szCs w:val="24"/>
          <w:highlight w:val="none"/>
          <w:u w:val="single"/>
        </w:rPr>
      </w:r>
      <w:r/>
    </w:p>
    <w:p>
      <w:pPr>
        <w:jc w:val="center"/>
        <w:spacing w:line="500" w:lineRule="exact"/>
        <w:rPr>
          <w:rFonts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投标人代表（签字）：</w:t>
      </w:r>
      <w:r/>
    </w:p>
    <w:p>
      <w:pPr>
        <w:ind w:left="1275" w:firstLine="1795"/>
        <w:jc w:val="righ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jc w:val="cente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日期：年月日</w:t>
      </w:r>
      <w:r/>
    </w:p>
    <w:p>
      <w:pPr>
        <w:jc w:val="left"/>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500" w:lineRule="exact"/>
        <w:rPr>
          <w:rFonts w:ascii="仿宋" w:hAnsi="仿宋" w:eastAsia="仿宋" w:cs="仿宋"/>
          <w:color w:val="auto"/>
          <w:sz w:val="24"/>
          <w:szCs w:val="24"/>
          <w:highlight w:val="none"/>
        </w:rPr>
        <w:outlineLvl w:val="0"/>
      </w:pPr>
      <w:r/>
      <w:bookmarkStart w:id="206" w:name="_Toc29285"/>
      <w:r>
        <w:rPr>
          <w:rFonts w:hint="eastAsia" w:ascii="仿宋" w:hAnsi="仿宋" w:eastAsia="仿宋" w:cs="仿宋"/>
          <w:color w:val="auto"/>
          <w:sz w:val="24"/>
          <w:szCs w:val="24"/>
          <w:highlight w:val="none"/>
        </w:rPr>
        <w:t xml:space="preserve">注：</w:t>
      </w:r>
      <w:bookmarkEnd w:id="206"/>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r>
      <w:r/>
    </w:p>
    <w:p>
      <w:pPr>
        <w:pStyle w:val="1024"/>
        <w:numPr>
          <w:ilvl w:val="0"/>
          <w:numId w:val="13"/>
        </w:numPr>
        <w:jc w:val="both"/>
        <w:rPr>
          <w:color w:val="auto"/>
          <w:highlight w:val="none"/>
        </w:rPr>
        <w:outlineLvl w:val="1"/>
      </w:pPr>
      <w:r>
        <w:rPr>
          <w:color w:val="auto"/>
          <w:highlight w:val="none"/>
        </w:rPr>
        <w:t xml:space="preserve">开标一览表</w:t>
      </w:r>
      <w:bookmarkEnd w:id="200"/>
      <w:r/>
      <w:bookmarkEnd w:id="201"/>
      <w:r/>
      <w:bookmarkEnd w:id="202"/>
      <w:r/>
      <w:bookmarkEnd w:id="203"/>
      <w:r/>
      <w:bookmarkEnd w:id="204"/>
      <w:r/>
      <w:bookmarkEnd w:id="205"/>
      <w:r/>
      <w:r/>
    </w:p>
    <w:p>
      <w:pPr>
        <w:pStyle w:val="1024"/>
        <w:jc w:val="both"/>
        <w:rPr>
          <w:color w:val="auto"/>
          <w:highlight w:val="none"/>
        </w:rPr>
        <w:outlineLvl w:val="1"/>
      </w:pPr>
      <w:r>
        <w:rPr>
          <w:color w:val="auto"/>
          <w:highlight w:val="none"/>
        </w:rPr>
      </w:r>
      <w:r/>
    </w:p>
    <w:p>
      <w:pPr>
        <w:pStyle w:val="10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025"/>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分包号：</w:t>
      </w:r>
      <w:r/>
    </w:p>
    <w:tbl>
      <w:tblPr>
        <w:tblStyle w:val="977"/>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93"/>
              <w:jc w:val="center"/>
              <w:rPr>
                <w:color w:val="auto"/>
                <w:highlight w:val="none"/>
              </w:rPr>
            </w:pPr>
            <w:r>
              <w:rPr>
                <w:rFonts w:hint="eastAsia"/>
                <w:color w:val="auto"/>
                <w:highlight w:val="none"/>
              </w:rPr>
              <w:t xml:space="preserve">投标总价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93"/>
              <w:jc w:val="both"/>
              <w:spacing w:line="0" w:lineRule="atLeast"/>
              <w:rPr>
                <w:color w:val="auto"/>
                <w:highlight w:val="none"/>
              </w:rPr>
            </w:pPr>
            <w:r>
              <w:rPr>
                <w:rFonts w:hint="eastAsia"/>
                <w:color w:val="auto"/>
                <w:highlight w:val="none"/>
              </w:rPr>
              <w:t xml:space="preserve">小写：  </w:t>
            </w:r>
            <w:r>
              <w:rPr>
                <w:rFonts w:hint="eastAsia"/>
                <w:color w:val="auto"/>
                <w:highlight w:val="none"/>
                <w:u w:val="single"/>
              </w:rPr>
              <w:t xml:space="preserve">               </w:t>
            </w:r>
            <w:r>
              <w:rPr>
                <w:rFonts w:hint="eastAsia"/>
                <w:color w:val="auto"/>
                <w:highlight w:val="none"/>
              </w:rPr>
              <w:t xml:space="preserve">（人民币：元） </w:t>
            </w:r>
            <w:r/>
          </w:p>
        </w:tc>
      </w:tr>
    </w:tbl>
    <w:p>
      <w:pPr>
        <w:pStyle w:val="1025"/>
        <w:spacing w:line="360" w:lineRule="auto"/>
        <w:rPr>
          <w:color w:val="auto"/>
          <w:highlight w:val="none"/>
        </w:rPr>
      </w:pPr>
      <w:r>
        <w:rPr>
          <w:color w:val="auto"/>
          <w:highlight w:val="none"/>
        </w:rPr>
      </w:r>
      <w:r/>
    </w:p>
    <w:p>
      <w:pPr>
        <w:pStyle w:val="1025"/>
        <w:spacing w:line="360" w:lineRule="auto"/>
        <w:rPr>
          <w:color w:val="auto"/>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eastAsia="宋体"/>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eastAsia="宋体"/>
          <w:color w:val="auto"/>
          <w:highlight w:val="none"/>
          <w:u w:val="single"/>
        </w:rPr>
        <w:t xml:space="preserve"> </w:t>
      </w:r>
      <w:r>
        <w:rPr>
          <w:rFonts w:hint="eastAsia"/>
          <w:color w:val="auto"/>
          <w:highlight w:val="none"/>
        </w:rPr>
        <w:t xml:space="preserve">日</w:t>
      </w:r>
      <w:r/>
    </w:p>
    <w:p>
      <w:pPr>
        <w:pStyle w:val="1025"/>
        <w:spacing w:line="360" w:lineRule="auto"/>
        <w:rPr>
          <w:color w:val="auto"/>
          <w:highlight w:val="none"/>
        </w:rPr>
      </w:pPr>
      <w:r>
        <w:rPr>
          <w:color w:val="auto"/>
          <w:highlight w:val="none"/>
        </w:rPr>
      </w:r>
      <w:r/>
    </w:p>
    <w:p>
      <w:pPr>
        <w:pStyle w:val="1008"/>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8"/>
        <w:jc w:val="right"/>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法定代表人（或授权代表）：（签字或盖章）</w:t>
      </w:r>
      <w:r/>
    </w:p>
    <w:p>
      <w:pPr>
        <w:jc w:val="left"/>
        <w:widowControl/>
        <w:rPr>
          <w:rFonts w:ascii="黑体" w:hAnsi="黑体" w:eastAsia="黑体"/>
          <w:b/>
          <w:color w:val="auto"/>
          <w:sz w:val="32"/>
          <w:szCs w:val="24"/>
          <w:highlight w:val="none"/>
        </w:rPr>
      </w:pPr>
      <w:r/>
      <w:bookmarkStart w:id="207" w:name="_Toc8851"/>
      <w:r/>
      <w:bookmarkStart w:id="208" w:name="_Toc164203472"/>
      <w:r/>
      <w:bookmarkStart w:id="209" w:name="_Toc24436"/>
      <w:r/>
      <w:bookmarkStart w:id="210" w:name="_Toc4471"/>
      <w:r/>
      <w:bookmarkStart w:id="211" w:name="_Toc31564"/>
      <w:r>
        <w:rPr>
          <w:rFonts w:hint="eastAsia"/>
          <w:color w:val="auto"/>
          <w:highlight w:val="none"/>
        </w:rPr>
        <w:br w:type="page" w:clear="all"/>
      </w:r>
      <w:r/>
    </w:p>
    <w:p>
      <w:pPr>
        <w:pStyle w:val="1026"/>
        <w:numPr>
          <w:ilvl w:val="0"/>
          <w:numId w:val="14"/>
        </w:numPr>
        <w:rPr>
          <w:color w:val="auto"/>
          <w:highlight w:val="none"/>
        </w:rPr>
        <w:outlineLvl w:val="1"/>
      </w:pPr>
      <w:r/>
      <w:bookmarkStart w:id="212" w:name="_Toc7189"/>
      <w:r>
        <w:rPr>
          <w:color w:val="auto"/>
          <w:highlight w:val="none"/>
        </w:rPr>
        <w:t xml:space="preserve">明细报价表</w:t>
      </w:r>
      <w:bookmarkEnd w:id="207"/>
      <w:r/>
      <w:bookmarkEnd w:id="208"/>
      <w:r/>
      <w:bookmarkEnd w:id="209"/>
      <w:r/>
      <w:bookmarkEnd w:id="210"/>
      <w:r/>
      <w:bookmarkEnd w:id="211"/>
      <w:r/>
      <w:bookmarkEnd w:id="212"/>
      <w:r/>
      <w:r/>
    </w:p>
    <w:p>
      <w:pPr>
        <w:pStyle w:val="1026"/>
        <w:ind w:firstLine="643"/>
        <w:rPr>
          <w:color w:val="auto"/>
          <w:highlight w:val="none"/>
        </w:rPr>
        <w:outlineLvl w:val="1"/>
      </w:pPr>
      <w:r>
        <w:rPr>
          <w:color w:val="auto"/>
          <w:highlight w:val="none"/>
        </w:rPr>
      </w:r>
      <w:r/>
    </w:p>
    <w:p>
      <w:pPr>
        <w:pStyle w:val="1025"/>
        <w:ind w:firstLine="4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项目编号：</w:t>
      </w:r>
      <w:r/>
    </w:p>
    <w:p>
      <w:pPr>
        <w:pStyle w:val="1025"/>
        <w:ind w:firstLine="4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项目名称：</w:t>
      </w:r>
      <w:r/>
    </w:p>
    <w:p>
      <w:pPr>
        <w:pStyle w:val="1025"/>
        <w:ind w:firstLine="480"/>
        <w:spacing w:line="360" w:lineRule="auto"/>
        <w:rPr>
          <w:rFonts w:ascii="仿宋_GB2312" w:eastAsia="仿宋_GB2312"/>
          <w:color w:val="auto"/>
          <w:szCs w:val="20"/>
          <w:highlight w:val="none"/>
        </w:rPr>
      </w:pPr>
      <w:r>
        <w:rPr>
          <w:rFonts w:hint="eastAsia" w:ascii="仿宋_GB2312" w:eastAsia="仿宋_GB2312"/>
          <w:color w:val="auto"/>
          <w:szCs w:val="20"/>
          <w:highlight w:val="none"/>
        </w:rPr>
        <w:t xml:space="preserve">分包号：</w:t>
      </w:r>
      <w:r/>
    </w:p>
    <w:tbl>
      <w:tblPr>
        <w:tblStyle w:val="977"/>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620"/>
        <w:gridCol w:w="2216"/>
        <w:gridCol w:w="1260"/>
        <w:gridCol w:w="962"/>
        <w:gridCol w:w="1344"/>
        <w:gridCol w:w="1228"/>
      </w:tblGrid>
      <w:tr>
        <w:trPr>
          <w:cantSplit/>
          <w:jc w:val="center"/>
          <w:trHeight w:val="630"/>
        </w:trPr>
        <w:tc>
          <w:tcPr>
            <w:tcW w:w="656" w:type="dxa"/>
            <w:vAlign w:val="center"/>
            <w:textDirection w:val="lrTb"/>
            <w:noWrap w:val="false"/>
          </w:tcPr>
          <w:p>
            <w:pPr>
              <w:jc w:val="center"/>
              <w:spacing w:line="560" w:lineRule="exact"/>
              <w:rPr>
                <w:rFonts w:ascii="宋体" w:hAnsi="宋体"/>
                <w:b/>
                <w:color w:val="auto"/>
                <w:szCs w:val="21"/>
                <w:highlight w:val="none"/>
              </w:rPr>
            </w:pPr>
            <w:r/>
            <w:bookmarkStart w:id="213" w:name="_Toc27976"/>
            <w:r/>
            <w:bookmarkStart w:id="214" w:name="_Toc10632"/>
            <w:r>
              <w:rPr>
                <w:rFonts w:hint="eastAsia" w:ascii="宋体" w:hAnsi="宋体"/>
                <w:b/>
                <w:color w:val="auto"/>
                <w:szCs w:val="21"/>
                <w:highlight w:val="none"/>
              </w:rPr>
              <w:t xml:space="preserve">序号</w:t>
            </w:r>
            <w:r/>
          </w:p>
        </w:tc>
        <w:tc>
          <w:tcPr>
            <w:tcW w:w="1620" w:type="dxa"/>
            <w:vAlign w:val="center"/>
            <w:textDirection w:val="lrTb"/>
            <w:noWrap w:val="false"/>
          </w:tcPr>
          <w:p>
            <w:pPr>
              <w:jc w:val="center"/>
              <w:spacing w:line="560" w:lineRule="exact"/>
              <w:rPr>
                <w:rFonts w:ascii="宋体" w:hAnsi="宋体"/>
                <w:b/>
                <w:color w:val="auto"/>
                <w:szCs w:val="21"/>
                <w:highlight w:val="none"/>
              </w:rPr>
            </w:pPr>
            <w:r>
              <w:rPr>
                <w:rFonts w:hint="eastAsia" w:ascii="宋体" w:hAnsi="宋体"/>
                <w:b/>
                <w:color w:val="auto"/>
                <w:szCs w:val="21"/>
                <w:highlight w:val="none"/>
              </w:rPr>
              <w:t xml:space="preserve">名称</w:t>
            </w:r>
            <w:r/>
          </w:p>
        </w:tc>
        <w:tc>
          <w:tcPr>
            <w:tcW w:w="2216" w:type="dxa"/>
            <w:vAlign w:val="center"/>
            <w:textDirection w:val="lrTb"/>
            <w:noWrap w:val="false"/>
          </w:tcPr>
          <w:p>
            <w:pPr>
              <w:jc w:val="center"/>
              <w:spacing w:line="560" w:lineRule="exact"/>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60" w:type="dxa"/>
            <w:vAlign w:val="center"/>
            <w:textDirection w:val="lrTb"/>
            <w:noWrap w:val="false"/>
          </w:tcPr>
          <w:p>
            <w:pPr>
              <w:jc w:val="center"/>
              <w:spacing w:line="560" w:lineRule="exact"/>
              <w:rPr>
                <w:rFonts w:ascii="宋体" w:hAnsi="宋体"/>
                <w:b/>
                <w:color w:val="auto"/>
                <w:szCs w:val="21"/>
                <w:highlight w:val="none"/>
              </w:rPr>
            </w:pPr>
            <w:r>
              <w:rPr>
                <w:rFonts w:hint="eastAsia" w:ascii="宋体" w:hAnsi="宋体"/>
                <w:b/>
                <w:color w:val="auto"/>
                <w:szCs w:val="21"/>
                <w:highlight w:val="none"/>
              </w:rPr>
              <w:t xml:space="preserve">单价（元）</w:t>
            </w:r>
            <w:r/>
          </w:p>
        </w:tc>
        <w:tc>
          <w:tcPr>
            <w:tcW w:w="962" w:type="dxa"/>
            <w:vAlign w:val="center"/>
            <w:textDirection w:val="lrTb"/>
            <w:noWrap w:val="false"/>
          </w:tcPr>
          <w:p>
            <w:pPr>
              <w:jc w:val="center"/>
              <w:spacing w:line="560" w:lineRule="exact"/>
              <w:rPr>
                <w:rFonts w:ascii="宋体" w:hAnsi="宋体"/>
                <w:b/>
                <w:color w:val="auto"/>
                <w:szCs w:val="21"/>
                <w:highlight w:val="none"/>
              </w:rPr>
            </w:pPr>
            <w:r>
              <w:rPr>
                <w:rFonts w:hint="eastAsia" w:ascii="宋体" w:hAnsi="宋体"/>
                <w:b/>
                <w:color w:val="auto"/>
                <w:szCs w:val="21"/>
                <w:highlight w:val="none"/>
              </w:rPr>
              <w:t xml:space="preserve">数量</w:t>
            </w:r>
            <w:r/>
          </w:p>
        </w:tc>
        <w:tc>
          <w:tcPr>
            <w:tcW w:w="1344" w:type="dxa"/>
            <w:vAlign w:val="center"/>
            <w:textDirection w:val="lrTb"/>
            <w:noWrap w:val="false"/>
          </w:tcPr>
          <w:p>
            <w:pPr>
              <w:jc w:val="center"/>
              <w:spacing w:line="560" w:lineRule="exact"/>
              <w:rPr>
                <w:rFonts w:ascii="宋体" w:hAnsi="宋体"/>
                <w:b/>
                <w:color w:val="auto"/>
                <w:szCs w:val="21"/>
                <w:highlight w:val="none"/>
              </w:rPr>
            </w:pPr>
            <w:r>
              <w:rPr>
                <w:rFonts w:hint="eastAsia" w:ascii="宋体" w:hAnsi="宋体"/>
                <w:b/>
                <w:color w:val="auto"/>
                <w:szCs w:val="21"/>
                <w:highlight w:val="none"/>
              </w:rPr>
              <w:t xml:space="preserve">合价（元）</w:t>
            </w:r>
            <w:r/>
          </w:p>
        </w:tc>
        <w:tc>
          <w:tcPr>
            <w:tcW w:w="1228" w:type="dxa"/>
            <w:vAlign w:val="center"/>
            <w:textDirection w:val="lrTb"/>
            <w:noWrap w:val="false"/>
          </w:tcPr>
          <w:p>
            <w:pPr>
              <w:jc w:val="center"/>
              <w:spacing w:line="560" w:lineRule="exact"/>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482"/>
        </w:trPr>
        <w:tc>
          <w:tcPr>
            <w:tcW w:w="656" w:type="dxa"/>
            <w:textDirection w:val="lrTb"/>
            <w:noWrap w:val="false"/>
          </w:tcPr>
          <w:p>
            <w:pPr>
              <w:spacing w:line="560" w:lineRule="exact"/>
              <w:rPr>
                <w:rFonts w:ascii="宋体" w:hAnsi="宋体"/>
                <w:color w:val="auto"/>
                <w:szCs w:val="21"/>
                <w:highlight w:val="none"/>
              </w:rPr>
            </w:pPr>
            <w:r>
              <w:rPr>
                <w:rFonts w:ascii="宋体" w:hAnsi="宋体"/>
                <w:color w:val="auto"/>
                <w:szCs w:val="21"/>
                <w:highlight w:val="none"/>
              </w:rPr>
            </w:r>
            <w:r/>
          </w:p>
        </w:tc>
        <w:tc>
          <w:tcPr>
            <w:tcW w:w="1620"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2216"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260"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962"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344"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r>
      <w:tr>
        <w:trPr>
          <w:cantSplit/>
          <w:jc w:val="center"/>
          <w:trHeight w:val="376"/>
        </w:trPr>
        <w:tc>
          <w:tcPr>
            <w:tcW w:w="656" w:type="dxa"/>
            <w:textDirection w:val="lrTb"/>
            <w:noWrap w:val="false"/>
          </w:tcPr>
          <w:p>
            <w:pPr>
              <w:spacing w:line="560" w:lineRule="exact"/>
              <w:rPr>
                <w:rFonts w:ascii="宋体" w:hAnsi="宋体"/>
                <w:color w:val="auto"/>
                <w:szCs w:val="21"/>
                <w:highlight w:val="none"/>
              </w:rPr>
            </w:pPr>
            <w:r>
              <w:rPr>
                <w:rFonts w:ascii="宋体" w:hAnsi="宋体"/>
                <w:color w:val="auto"/>
                <w:szCs w:val="21"/>
                <w:highlight w:val="none"/>
              </w:rPr>
            </w:r>
            <w:r/>
          </w:p>
        </w:tc>
        <w:tc>
          <w:tcPr>
            <w:tcW w:w="1620"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2216"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260"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962"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344"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r>
      <w:tr>
        <w:trPr>
          <w:cantSplit/>
          <w:jc w:val="center"/>
          <w:trHeight w:val="200"/>
        </w:trPr>
        <w:tc>
          <w:tcPr>
            <w:tcBorders>
              <w:bottom w:val="single" w:color="auto" w:sz="4" w:space="0"/>
            </w:tcBorders>
            <w:tcW w:w="656" w:type="dxa"/>
            <w:textDirection w:val="lrTb"/>
            <w:noWrap w:val="false"/>
          </w:tcPr>
          <w:p>
            <w:pPr>
              <w:spacing w:line="56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tcBorders>
            <w:tcW w:w="1620"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tcBorders>
            <w:tcW w:w="2216"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tcBorders>
            <w:tcW w:w="1260"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tcBorders>
            <w:tcW w:w="962" w:type="dxa"/>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tcBorders>
            <w:tcW w:w="1344"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Borders>
              <w:bottom w:val="single" w:color="auto" w:sz="4" w:space="0"/>
            </w:tcBorders>
            <w:tcW w:w="1228"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r>
      <w:tr>
        <w:trPr>
          <w:cantSplit/>
          <w:jc w:val="center"/>
          <w:trHeight w:val="165"/>
        </w:trPr>
        <w:tc>
          <w:tcPr>
            <w:tcW w:w="656" w:type="dxa"/>
            <w:vAlign w:val="center"/>
            <w:textDirection w:val="lrTb"/>
            <w:noWrap w:val="false"/>
          </w:tcPr>
          <w:p>
            <w:pPr>
              <w:jc w:val="center"/>
              <w:spacing w:line="560" w:lineRule="exact"/>
              <w:rPr>
                <w:rFonts w:ascii="宋体" w:hAnsi="宋体"/>
                <w:i/>
                <w:iCs/>
                <w:color w:val="auto"/>
                <w:szCs w:val="21"/>
                <w:highlight w:val="none"/>
              </w:rPr>
            </w:pPr>
            <w:r>
              <w:rPr>
                <w:rFonts w:ascii="宋体" w:hAnsi="宋体"/>
                <w:i/>
                <w:iCs/>
                <w:color w:val="auto"/>
                <w:szCs w:val="21"/>
                <w:highlight w:val="none"/>
              </w:rPr>
              <w:t xml:space="preserve">…</w:t>
            </w:r>
            <w:r/>
          </w:p>
        </w:tc>
        <w:tc>
          <w:tcPr>
            <w:tcW w:w="1620" w:type="dxa"/>
            <w:vAlign w:val="center"/>
            <w:textDirection w:val="lrTb"/>
            <w:noWrap w:val="false"/>
          </w:tcPr>
          <w:p>
            <w:pPr>
              <w:jc w:val="center"/>
              <w:spacing w:line="560" w:lineRule="exact"/>
              <w:rPr>
                <w:rFonts w:ascii="宋体" w:hAnsi="宋体"/>
                <w:iCs/>
                <w:color w:val="auto"/>
                <w:szCs w:val="21"/>
                <w:highlight w:val="none"/>
              </w:rPr>
            </w:pPr>
            <w:r>
              <w:rPr>
                <w:rFonts w:ascii="宋体" w:hAnsi="宋体"/>
                <w:iCs/>
                <w:color w:val="auto"/>
                <w:szCs w:val="21"/>
                <w:highlight w:val="none"/>
              </w:rPr>
            </w:r>
            <w:r/>
          </w:p>
        </w:tc>
        <w:tc>
          <w:tcPr>
            <w:tcW w:w="2216" w:type="dxa"/>
            <w:vAlign w:val="center"/>
            <w:textDirection w:val="lrTb"/>
            <w:noWrap w:val="false"/>
          </w:tcPr>
          <w:p>
            <w:pPr>
              <w:jc w:val="center"/>
              <w:spacing w:line="560" w:lineRule="exact"/>
              <w:rPr>
                <w:rFonts w:ascii="宋体" w:hAnsi="宋体"/>
                <w:i/>
                <w:iCs/>
                <w:color w:val="auto"/>
                <w:szCs w:val="21"/>
                <w:highlight w:val="none"/>
              </w:rPr>
            </w:pPr>
            <w:r>
              <w:rPr>
                <w:rFonts w:ascii="宋体" w:hAnsi="宋体"/>
                <w:i/>
                <w:iCs/>
                <w:color w:val="auto"/>
                <w:szCs w:val="21"/>
                <w:highlight w:val="none"/>
              </w:rPr>
            </w:r>
            <w:r/>
          </w:p>
        </w:tc>
        <w:tc>
          <w:tcPr>
            <w:tcW w:w="1260"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962"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344"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r>
      <w:tr>
        <w:trPr>
          <w:cantSplit/>
          <w:jc w:val="center"/>
          <w:trHeight w:val="165"/>
        </w:trPr>
        <w:tc>
          <w:tcPr>
            <w:tcW w:w="656" w:type="dxa"/>
            <w:vAlign w:val="center"/>
            <w:textDirection w:val="lrTb"/>
            <w:noWrap w:val="false"/>
          </w:tcPr>
          <w:p>
            <w:pPr>
              <w:jc w:val="center"/>
              <w:spacing w:line="560" w:lineRule="exact"/>
              <w:rPr>
                <w:rFonts w:ascii="宋体" w:hAnsi="宋体"/>
                <w:i/>
                <w:iCs/>
                <w:color w:val="auto"/>
                <w:szCs w:val="21"/>
                <w:highlight w:val="none"/>
              </w:rPr>
            </w:pPr>
            <w:r>
              <w:rPr>
                <w:rFonts w:ascii="宋体" w:hAnsi="宋体"/>
                <w:i/>
                <w:iCs/>
                <w:color w:val="auto"/>
                <w:szCs w:val="21"/>
                <w:highlight w:val="none"/>
              </w:rPr>
            </w:r>
            <w:r/>
          </w:p>
        </w:tc>
        <w:tc>
          <w:tcPr>
            <w:gridSpan w:val="4"/>
            <w:tcW w:w="6058" w:type="dxa"/>
            <w:vAlign w:val="center"/>
            <w:textDirection w:val="lrTb"/>
            <w:noWrap w:val="false"/>
          </w:tcPr>
          <w:p>
            <w:pPr>
              <w:jc w:val="center"/>
              <w:spacing w:line="560" w:lineRule="exact"/>
              <w:rPr>
                <w:rFonts w:ascii="宋体" w:hAnsi="宋体"/>
                <w:color w:val="auto"/>
                <w:szCs w:val="21"/>
                <w:highlight w:val="none"/>
              </w:rPr>
            </w:pPr>
            <w:r>
              <w:rPr>
                <w:rFonts w:hint="eastAsia" w:ascii="宋体" w:hAnsi="宋体"/>
                <w:iCs/>
                <w:color w:val="auto"/>
                <w:szCs w:val="21"/>
                <w:highlight w:val="none"/>
              </w:rPr>
              <w:t xml:space="preserve">合计</w:t>
            </w:r>
            <w:r/>
          </w:p>
        </w:tc>
        <w:tc>
          <w:tcPr>
            <w:tcW w:w="1344"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c>
          <w:tcPr>
            <w:tcW w:w="1228" w:type="dxa"/>
            <w:vAlign w:val="center"/>
            <w:textDirection w:val="lrTb"/>
            <w:noWrap w:val="false"/>
          </w:tcPr>
          <w:p>
            <w:pPr>
              <w:jc w:val="center"/>
              <w:spacing w:line="560" w:lineRule="exact"/>
              <w:rPr>
                <w:rFonts w:ascii="宋体" w:hAnsi="宋体"/>
                <w:color w:val="auto"/>
                <w:szCs w:val="21"/>
                <w:highlight w:val="none"/>
              </w:rPr>
            </w:pPr>
            <w:r>
              <w:rPr>
                <w:rFonts w:ascii="宋体" w:hAnsi="宋体"/>
                <w:color w:val="auto"/>
                <w:szCs w:val="21"/>
                <w:highlight w:val="none"/>
              </w:rPr>
            </w:r>
            <w:r/>
          </w:p>
        </w:tc>
      </w:tr>
      <w:tr>
        <w:trPr>
          <w:cantSplit/>
          <w:jc w:val="center"/>
          <w:trHeight w:val="1406"/>
        </w:trPr>
        <w:tc>
          <w:tcPr>
            <w:gridSpan w:val="2"/>
            <w:tcW w:w="2276" w:type="dxa"/>
            <w:vAlign w:val="center"/>
            <w:textDirection w:val="lrTb"/>
            <w:noWrap w:val="false"/>
          </w:tcPr>
          <w:p>
            <w:pPr>
              <w:jc w:val="center"/>
              <w:spacing w:line="560" w:lineRule="exact"/>
              <w:rPr>
                <w:rFonts w:ascii="宋体" w:hAnsi="宋体"/>
                <w:b/>
                <w:bCs/>
                <w:color w:val="auto"/>
                <w:szCs w:val="21"/>
                <w:highlight w:val="none"/>
              </w:rPr>
            </w:pPr>
            <w:r>
              <w:rPr>
                <w:rFonts w:hint="eastAsia" w:ascii="宋体" w:hAnsi="宋体"/>
                <w:b/>
                <w:bCs/>
                <w:color w:val="auto"/>
                <w:szCs w:val="21"/>
                <w:highlight w:val="none"/>
              </w:rPr>
              <w:t xml:space="preserve">投标报价总计</w:t>
            </w:r>
            <w:r/>
          </w:p>
        </w:tc>
        <w:tc>
          <w:tcPr>
            <w:gridSpan w:val="5"/>
            <w:tcW w:w="7010" w:type="dxa"/>
            <w:vAlign w:val="center"/>
            <w:textDirection w:val="lrTb"/>
            <w:noWrap w:val="false"/>
          </w:tcPr>
          <w:p>
            <w:pPr>
              <w:spacing w:line="560" w:lineRule="exact"/>
              <w:rPr>
                <w:rFonts w:ascii="宋体" w:hAnsi="宋体" w:cs="Arial"/>
                <w:color w:val="auto"/>
                <w:highlight w:val="none"/>
              </w:rPr>
            </w:pPr>
            <w:r>
              <w:rPr>
                <w:rFonts w:hint="eastAsia" w:ascii="宋体" w:hAnsi="宋体"/>
                <w:b/>
                <w:bCs/>
                <w:color w:val="auto"/>
                <w:szCs w:val="21"/>
                <w:highlight w:val="none"/>
              </w:rPr>
              <w:t xml:space="preserve">小写：人民币</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p>
          <w:p>
            <w:pPr>
              <w:spacing w:line="560" w:lineRule="exact"/>
              <w:rPr>
                <w:rFonts w:ascii="宋体" w:hAnsi="宋体"/>
                <w:b/>
                <w:bCs/>
                <w:color w:val="auto"/>
                <w:szCs w:val="21"/>
                <w:highlight w:val="none"/>
              </w:rPr>
            </w:pPr>
            <w:r>
              <w:rPr>
                <w:rFonts w:hint="eastAsia" w:ascii="宋体" w:hAnsi="宋体"/>
                <w:b/>
                <w:bCs/>
                <w:color w:val="auto"/>
                <w:szCs w:val="21"/>
                <w:highlight w:val="none"/>
              </w:rPr>
              <w:t xml:space="preserve">大写：人民币</w:t>
            </w:r>
            <w:r>
              <w:rPr>
                <w:rFonts w:hint="eastAsia" w:ascii="宋体" w:hAnsi="宋体" w:cs="Arial"/>
                <w:color w:val="auto"/>
                <w:highlight w:val="none"/>
                <w:u w:val="single"/>
              </w:rPr>
              <w:t xml:space="preserve"> </w:t>
            </w:r>
            <w:r>
              <w:rPr>
                <w:rFonts w:ascii="宋体" w:hAnsi="宋体" w:cs="Arial"/>
                <w:color w:val="auto"/>
                <w:highlight w:val="none"/>
                <w:u w:val="single"/>
              </w:rPr>
              <w:t xml:space="preserve">                  </w:t>
            </w:r>
            <w:r/>
          </w:p>
        </w:tc>
      </w:tr>
      <w:tr>
        <w:trPr>
          <w:cantSplit/>
          <w:jc w:val="center"/>
          <w:trHeight w:val="1406"/>
        </w:trPr>
        <w:tc>
          <w:tcPr>
            <w:gridSpan w:val="7"/>
            <w:tcW w:w="9286" w:type="dxa"/>
            <w:vAlign w:val="center"/>
            <w:textDirection w:val="lrTb"/>
            <w:noWrap w:val="false"/>
          </w:tcPr>
          <w:p>
            <w:pPr>
              <w:spacing w:line="560" w:lineRule="exact"/>
              <w:rPr>
                <w:rFonts w:ascii="宋体" w:hAnsi="宋体"/>
                <w:b/>
                <w:bCs/>
                <w:color w:val="auto"/>
                <w:szCs w:val="21"/>
                <w:highlight w:val="none"/>
              </w:rPr>
            </w:pPr>
            <w:r>
              <w:rPr>
                <w:rFonts w:hint="eastAsia" w:hAnsi="宋体"/>
                <w:bCs/>
                <w:color w:val="auto"/>
                <w:sz w:val="24"/>
                <w:szCs w:val="28"/>
                <w:highlight w:val="none"/>
              </w:rPr>
              <w:t xml:space="preserve">本采购包中提供的符合本国产品标准的产品成本之和占该采购包提供的全部产品成本之和的比例为</w:t>
            </w:r>
            <w:r>
              <w:rPr>
                <w:rFonts w:hAnsi="宋体"/>
                <w:bCs/>
                <w:color w:val="auto"/>
                <w:sz w:val="24"/>
                <w:szCs w:val="28"/>
                <w:highlight w:val="none"/>
              </w:rPr>
              <w:t xml:space="preserve">***%。</w:t>
            </w:r>
            <w:r/>
          </w:p>
        </w:tc>
      </w:tr>
    </w:tbl>
    <w:p>
      <w:pPr>
        <w:ind w:firstLine="420"/>
        <w:spacing w:after="120" w:line="300" w:lineRule="auto"/>
        <w:tabs>
          <w:tab w:val="left" w:pos="840" w:leader="none"/>
        </w:tabs>
        <w:rPr>
          <w:rFonts w:hAnsi="宋体"/>
          <w:bCs/>
          <w:color w:val="auto"/>
          <w:sz w:val="24"/>
          <w:szCs w:val="24"/>
          <w:highlight w:val="none"/>
        </w:rPr>
      </w:pPr>
      <w:r>
        <w:rPr>
          <w:rFonts w:hint="eastAsia" w:ascii="宋体" w:hAnsi="宋体"/>
          <w:color w:val="auto"/>
          <w:szCs w:val="21"/>
          <w:highlight w:val="none"/>
        </w:rPr>
        <w:t xml:space="preserve">注：投标人应分项进行填报，表中表格行数可自行添加。</w:t>
      </w:r>
      <w:r>
        <w:rPr>
          <w:rFonts w:hint="eastAsia" w:ascii="宋体" w:hAnsi="宋体"/>
          <w:iCs/>
          <w:color w:val="auto"/>
          <w:szCs w:val="21"/>
          <w:highlight w:val="none"/>
        </w:rPr>
        <w:t xml:space="preserve">招标文件中未列出的相关辅助材料和在实施过程中涉及到的其它一切费用应在报价时一并考虑，项目实施过程中不再单独结算。</w:t>
      </w:r>
      <w:r>
        <w:rPr>
          <w:rFonts w:hint="eastAsia" w:ascii="宋体" w:hAnsi="宋体"/>
          <w:b/>
          <w:color w:val="auto"/>
          <w:szCs w:val="21"/>
          <w:highlight w:val="none"/>
        </w:rPr>
        <w:t xml:space="preserve">表中投标报价总计应与对应开标一览表中投标总价一致。</w:t>
      </w:r>
      <w:r>
        <w:rPr>
          <w:rFonts w:hint="eastAsia" w:hAnsi="宋体"/>
          <w:bCs/>
          <w:color w:val="auto"/>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w:t>
      </w:r>
      <w:r>
        <w:rPr>
          <w:rFonts w:hAnsi="宋体"/>
          <w:bCs/>
          <w:color w:val="auto"/>
          <w:sz w:val="24"/>
          <w:szCs w:val="24"/>
          <w:highlight w:val="none"/>
        </w:rPr>
        <w:t xml:space="preserve">80%的，将不享受本国产品价格评审优惠。</w:t>
      </w:r>
      <w:r/>
    </w:p>
    <w:p>
      <w:pPr>
        <w:spacing w:line="360" w:lineRule="auto"/>
        <w:rPr>
          <w:rFonts w:ascii="宋体" w:hAnsi="宋体"/>
          <w:b/>
          <w:color w:val="auto"/>
          <w:szCs w:val="21"/>
          <w:highlight w:val="none"/>
        </w:rPr>
      </w:pPr>
      <w:r>
        <w:rPr>
          <w:rFonts w:ascii="宋体" w:hAnsi="宋体"/>
          <w:b/>
          <w:color w:val="auto"/>
          <w:szCs w:val="21"/>
          <w:highlight w:val="none"/>
        </w:rPr>
      </w:r>
      <w:r/>
    </w:p>
    <w:p>
      <w:pPr>
        <w:ind w:left="2520"/>
        <w:spacing w:line="360" w:lineRule="auto"/>
        <w:rPr>
          <w:rFonts w:ascii="Arial" w:hAnsi="Arial" w:cs="Arial"/>
          <w:color w:val="auto"/>
          <w:szCs w:val="21"/>
          <w:highlight w:val="none"/>
        </w:rPr>
      </w:pPr>
      <w:r>
        <w:rPr>
          <w:rFonts w:ascii="Arial" w:hAnsi="Arial" w:cs="Arial"/>
          <w:color w:val="auto"/>
          <w:szCs w:val="21"/>
          <w:highlight w:val="none"/>
        </w:rPr>
      </w:r>
      <w:r/>
    </w:p>
    <w:p>
      <w:pPr>
        <w:ind w:left="2520"/>
        <w:spacing w:line="360" w:lineRule="auto"/>
        <w:rPr>
          <w:rFonts w:ascii="宋体" w:hAnsi="宋体" w:cs="Arial"/>
          <w:color w:val="auto"/>
          <w:highlight w:val="none"/>
        </w:rPr>
      </w:pPr>
      <w:r>
        <w:rPr>
          <w:rFonts w:ascii="宋体" w:hAnsi="宋体" w:cs="Arial"/>
          <w:color w:val="auto"/>
          <w:highlight w:val="none"/>
        </w:rPr>
      </w:r>
      <w:r/>
    </w:p>
    <w:p>
      <w:pPr>
        <w:ind w:left="2520"/>
        <w:spacing w:line="360" w:lineRule="auto"/>
        <w:rPr>
          <w:rFonts w:ascii="宋体" w:hAnsi="宋体" w:cs="Arial"/>
          <w:color w:val="auto"/>
          <w:highlight w:val="none"/>
          <w:u w:val="single"/>
        </w:rPr>
      </w:pPr>
      <w:r>
        <w:rPr>
          <w:rFonts w:hint="eastAsia" w:ascii="宋体" w:hAnsi="宋体" w:cs="Arial"/>
          <w:color w:val="auto"/>
          <w:highlight w:val="none"/>
        </w:rPr>
        <w:t xml:space="preserve">投标人名称（加盖CA电子公章）：</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ind w:left="2520"/>
        <w:spacing w:line="360" w:lineRule="auto"/>
        <w:rPr>
          <w:rFonts w:ascii="宋体" w:hAnsi="宋体" w:cs="Arial"/>
          <w:color w:val="auto"/>
          <w:highlight w:val="none"/>
        </w:rPr>
      </w:pPr>
      <w:r>
        <w:rPr>
          <w:rFonts w:hint="eastAsia" w:ascii="Arial" w:hAnsi="Arial" w:cs="Arial"/>
          <w:color w:val="auto"/>
          <w:highlight w:val="none"/>
        </w:rPr>
        <w:t xml:space="preserve">法定代表人或授权代表（</w:t>
      </w:r>
      <w:r>
        <w:rPr>
          <w:rFonts w:ascii="Arial" w:hAnsi="Arial" w:cs="Arial"/>
          <w:color w:val="auto"/>
          <w:highlight w:val="none"/>
        </w:rPr>
        <w:t xml:space="preserve">签字</w:t>
      </w:r>
      <w:r>
        <w:rPr>
          <w:rFonts w:hint="eastAsia" w:ascii="Arial" w:hAnsi="Arial" w:cs="Arial"/>
          <w:color w:val="auto"/>
          <w:highlight w:val="none"/>
        </w:rPr>
        <w:t xml:space="preserve">或签章）：</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ind w:left="2520"/>
        <w:spacing w:line="360" w:lineRule="auto"/>
        <w:rPr>
          <w:rFonts w:ascii="宋体" w:hAnsi="宋体" w:cs="Arial"/>
          <w:color w:val="auto"/>
          <w:highlight w:val="none"/>
          <w:u w:val="single"/>
        </w:rPr>
      </w:pPr>
      <w:r>
        <w:rPr>
          <w:rFonts w:hint="eastAsia" w:ascii="宋体" w:hAnsi="宋体" w:cs="Arial"/>
          <w:color w:val="auto"/>
          <w:highlight w:val="none"/>
        </w:rPr>
        <w:t xml:space="preserve">日 期：</w:t>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rPr>
          <w:rFonts w:hint="eastAsia" w:ascii="宋体" w:hAnsi="宋体" w:cs="Arial"/>
          <w:color w:val="auto"/>
          <w:highlight w:val="none"/>
          <w:u w:val="single"/>
        </w:rPr>
        <w:tab/>
      </w:r>
      <w:r/>
    </w:p>
    <w:p>
      <w:pPr>
        <w:pStyle w:val="1026"/>
        <w:rPr>
          <w:color w:val="auto"/>
          <w:highlight w:val="none"/>
        </w:rPr>
        <w:outlineLvl w:val="1"/>
      </w:pPr>
      <w:r/>
      <w:bookmarkStart w:id="215" w:name="_Toc22253"/>
      <w:r/>
      <w:bookmarkStart w:id="216" w:name="_Toc18680"/>
      <w:r/>
      <w:bookmarkStart w:id="217" w:name="_Toc26570"/>
      <w:r/>
      <w:bookmarkStart w:id="218" w:name="_Toc164203481"/>
      <w:r>
        <w:rPr>
          <w:color w:val="auto"/>
          <w:highlight w:val="none"/>
        </w:rPr>
        <w:t xml:space="preserve">十</w:t>
      </w:r>
      <w:r>
        <w:rPr>
          <w:rFonts w:hint="eastAsia"/>
          <w:color w:val="auto"/>
          <w:highlight w:val="none"/>
        </w:rPr>
        <w:t xml:space="preserve">四</w:t>
      </w:r>
      <w:r>
        <w:rPr>
          <w:color w:val="auto"/>
          <w:highlight w:val="none"/>
        </w:rPr>
        <w:t xml:space="preserve">、中小企业声明函</w:t>
      </w:r>
      <w:bookmarkEnd w:id="213"/>
      <w:r/>
      <w:bookmarkEnd w:id="214"/>
      <w:r/>
      <w:bookmarkEnd w:id="215"/>
      <w:r/>
      <w:bookmarkEnd w:id="216"/>
      <w:r/>
      <w:bookmarkEnd w:id="217"/>
      <w:r/>
      <w:bookmarkEnd w:id="218"/>
      <w:r/>
      <w:r/>
    </w:p>
    <w:p>
      <w:pPr>
        <w:jc w:val="center"/>
        <w:rPr>
          <w:rStyle w:val="1027"/>
          <w:rFonts w:ascii="楷体" w:hAnsi="楷体" w:eastAsia="楷体"/>
          <w:color w:val="auto"/>
          <w:sz w:val="32"/>
          <w:szCs w:val="32"/>
          <w:highlight w:val="none"/>
        </w:rPr>
      </w:pPr>
      <w:r/>
      <w:bookmarkStart w:id="219" w:name="_Toc16234"/>
      <w:r/>
      <w:bookmarkStart w:id="220" w:name="_Toc12023"/>
      <w:r>
        <w:rPr>
          <w:rStyle w:val="1027"/>
          <w:rFonts w:hint="eastAsia" w:ascii="楷体" w:hAnsi="楷体" w:eastAsia="楷体"/>
          <w:color w:val="auto"/>
          <w:sz w:val="32"/>
          <w:szCs w:val="32"/>
          <w:highlight w:val="none"/>
        </w:rPr>
        <w:t xml:space="preserve">中小企业声明函（货物）</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    （单位名称）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（项目名称）采</w:t>
      </w:r>
      <w:r>
        <w:rPr>
          <w:rFonts w:hint="eastAsia" w:ascii="宋体" w:hAnsi="宋体" w:cs="宋体"/>
          <w:color w:val="auto"/>
          <w:sz w:val="24"/>
          <w:szCs w:val="24"/>
          <w:highlight w:val="none"/>
        </w:rPr>
        <w:t xml:space="preserve">购活动，提供的货物全部由符合政策要求的中小企业制造。相关企业（含联合体中的中小企业、签订分包意向协议的中小企业）的具体情况如下：</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行业；制造商为 </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行业；制造商为 </w:t>
      </w:r>
      <w:r>
        <w:rPr>
          <w:rFonts w:hint="eastAsia" w:ascii="宋体" w:hAnsi="宋体" w:cs="宋体"/>
          <w:color w:val="auto"/>
          <w:sz w:val="24"/>
          <w:szCs w:val="24"/>
          <w:highlight w:val="none"/>
          <w:u w:val="single"/>
        </w:rPr>
        <w:t xml:space="preserve">         （企业名称）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     （中型企业、小型企业、微型企业）</w:t>
      </w: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480"/>
        <w:jc w:val="right"/>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企业名称（加盖CA电子公章）：</w:t>
      </w:r>
      <w:r/>
    </w:p>
    <w:p>
      <w:pPr>
        <w:ind w:firstLine="480"/>
        <w:jc w:val="right"/>
        <w:spacing w:before="100" w:beforeAutospacing="1" w:after="100" w:afterAutospacing="1" w:line="435"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pStyle w:val="979"/>
        <w:ind w:right="2742"/>
        <w:spacing w:before="29" w:line="316" w:lineRule="auto"/>
        <w:rPr>
          <w:rFonts w:ascii="宋体" w:hAnsi="宋体" w:eastAsia="宋体" w:cs="宋体"/>
          <w:color w:val="auto"/>
          <w:spacing w:val="24"/>
          <w:sz w:val="24"/>
          <w:szCs w:val="24"/>
          <w:highlight w:val="none"/>
        </w:rPr>
      </w:pPr>
      <w:r>
        <w:rPr>
          <w:rFonts w:ascii="宋体" w:hAnsi="宋体" w:eastAsia="宋体" w:cs="宋体"/>
          <w:color w:val="auto"/>
          <w:spacing w:val="24"/>
          <w:sz w:val="24"/>
          <w:szCs w:val="24"/>
          <w:highlight w:val="none"/>
        </w:rPr>
      </w:r>
      <w:r/>
    </w:p>
    <w:p>
      <w:pPr>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3.供应商应对照《工业和信息化部、国家统计局、国家发展和改革委员会、</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jc w:val="left"/>
        <w:rPr>
          <w:rFonts w:cs="宋体"/>
          <w:color w:val="auto"/>
          <w:highlight w:val="none"/>
        </w:rPr>
      </w:pPr>
      <w:r>
        <w:rPr>
          <w:rFonts w:cs="宋体"/>
          <w:color w:val="auto"/>
          <w:highlight w:val="none"/>
        </w:rPr>
      </w:r>
      <w:r/>
    </w:p>
    <w:p>
      <w:pPr>
        <w:pStyle w:val="994"/>
        <w:jc w:val="center"/>
        <w:spacing w:before="300" w:after="300" w:line="360" w:lineRule="auto"/>
        <w:widowControl/>
        <w:rPr>
          <w:rFonts w:ascii="宋体" w:hAnsi="宋体" w:cs="宋体"/>
          <w:color w:val="auto"/>
          <w:sz w:val="21"/>
          <w:szCs w:val="21"/>
          <w:highlight w:val="none"/>
        </w:rPr>
      </w:pPr>
      <w:r/>
      <w:bookmarkStart w:id="221" w:name="_Toc109304977"/>
      <w:r/>
      <w:bookmarkStart w:id="222" w:name="_Toc32196"/>
      <w:r>
        <w:rPr>
          <w:rFonts w:hint="eastAsia" w:ascii="宋体" w:hAnsi="宋体" w:cs="宋体"/>
          <w:color w:val="auto"/>
          <w:sz w:val="21"/>
          <w:szCs w:val="21"/>
          <w:highlight w:val="none"/>
        </w:rPr>
        <w:t xml:space="preserve">中小微企业划型标准</w:t>
      </w:r>
      <w:bookmarkEnd w:id="221"/>
      <w:r>
        <w:rPr>
          <w:rFonts w:hint="eastAsia" w:ascii="宋体" w:hAnsi="宋体" w:cs="宋体"/>
          <w:color w:val="auto"/>
          <w:sz w:val="21"/>
          <w:szCs w:val="21"/>
          <w:highlight w:val="none"/>
        </w:rPr>
        <w:t xml:space="preserve"> </w:t>
      </w:r>
      <w:bookmarkEnd w:id="222"/>
      <w:r/>
      <w:r/>
    </w:p>
    <w:p>
      <w:pPr>
        <w:pStyle w:val="993"/>
        <w:ind w:firstLine="420"/>
        <w:spacing w:before="300" w:after="452"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中小微企业划型标准如下：</w:t>
      </w:r>
      <w:r/>
    </w:p>
    <w:tbl>
      <w:tblPr>
        <w:tblStyle w:val="977"/>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610"/>
        <w:gridCol w:w="1941"/>
        <w:gridCol w:w="559"/>
        <w:gridCol w:w="2332"/>
        <w:gridCol w:w="1908"/>
        <w:gridCol w:w="1671"/>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93"/>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93"/>
              <w:jc w:val="center"/>
              <w:spacing w:line="360" w:lineRule="auto"/>
              <w:rPr>
                <w:rFonts w:hAnsi="宋体" w:cs="宋体"/>
                <w:color w:val="auto"/>
                <w:sz w:val="21"/>
                <w:szCs w:val="21"/>
                <w:highlight w:val="none"/>
              </w:rPr>
            </w:pPr>
            <w:r>
              <w:rPr>
                <w:rStyle w:val="1027"/>
                <w:rFonts w:hint="eastAsia" w:hAnsi="宋体" w:cs="宋体"/>
                <w:color w:val="auto"/>
                <w:sz w:val="21"/>
                <w:szCs w:val="21"/>
                <w:highlight w:val="none"/>
              </w:rPr>
              <w:t xml:space="preserve">X＜10</w:t>
            </w:r>
            <w:r/>
          </w:p>
        </w:tc>
      </w:tr>
    </w:tbl>
    <w:p>
      <w:pPr>
        <w:pStyle w:val="993"/>
        <w:ind w:firstLine="420"/>
        <w:spacing w:before="300" w:after="452" w:line="360" w:lineRule="auto"/>
        <w:rPr>
          <w:rFonts w:ascii="黑体" w:hAnsi="黑体" w:eastAsia="黑体"/>
          <w:b/>
          <w:color w:val="auto"/>
          <w:sz w:val="32"/>
          <w:szCs w:val="24"/>
          <w:highlight w:val="none"/>
        </w:rPr>
      </w:pPr>
      <w:r>
        <w:rPr>
          <w:rStyle w:val="1027"/>
          <w:rFonts w:hint="eastAsia"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黑体" w:hAnsi="黑体" w:eastAsia="黑体"/>
          <w:b/>
          <w:color w:val="auto"/>
          <w:sz w:val="32"/>
          <w:szCs w:val="24"/>
          <w:highlight w:val="none"/>
        </w:rPr>
      </w:pPr>
      <w:r/>
      <w:bookmarkStart w:id="223" w:name="_Toc514054497"/>
      <w:r/>
      <w:bookmarkEnd w:id="223"/>
      <w:r/>
      <w:r/>
    </w:p>
    <w:p>
      <w:pPr>
        <w:jc w:val="center"/>
        <w:rPr>
          <w:color w:val="auto"/>
          <w:highlight w:val="none"/>
        </w:rPr>
      </w:pPr>
      <w:r>
        <w:rPr>
          <w:rFonts w:hint="eastAsia" w:ascii="黑体" w:hAnsi="黑体" w:eastAsia="黑体"/>
          <w:b/>
          <w:color w:val="auto"/>
          <w:sz w:val="32"/>
          <w:szCs w:val="24"/>
          <w:highlight w:val="none"/>
        </w:rPr>
        <w:t xml:space="preserve">属于监狱企业的证明文件</w:t>
      </w:r>
      <w:r/>
    </w:p>
    <w:p>
      <w:pPr>
        <w:rPr>
          <w:color w:val="auto"/>
          <w:highlight w:val="none"/>
        </w:rPr>
      </w:pPr>
      <w:r>
        <w:rPr>
          <w:rFonts w:hint="eastAsia"/>
          <w:color w:val="auto"/>
          <w:highlight w:val="none"/>
        </w:rPr>
        <w:t xml:space="preserve">（提供由省级以上监狱管理局、戒毒管理局(含新疆生产建设兵团)出具的属于监狱企业的证明文件）</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color w:val="auto"/>
          <w:highlight w:val="none"/>
        </w:rPr>
      </w:pPr>
      <w:r>
        <w:rPr>
          <w:color w:val="auto"/>
          <w:highlight w:val="none"/>
        </w:rPr>
      </w:r>
      <w:r/>
    </w:p>
    <w:p>
      <w:pPr>
        <w:jc w:val="center"/>
        <w:rPr>
          <w:color w:val="auto"/>
          <w:highlight w:val="none"/>
        </w:rPr>
      </w:pPr>
      <w:r>
        <w:rPr>
          <w:color w:val="auto"/>
          <w:highlight w:val="none"/>
        </w:rPr>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节能产品认证证书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ascii="黑体" w:hAnsi="黑体" w:eastAsia="黑体"/>
          <w:b/>
          <w:color w:val="auto"/>
          <w:sz w:val="32"/>
          <w:szCs w:val="24"/>
          <w:highlight w:val="none"/>
        </w:rPr>
      </w:r>
      <w:r/>
    </w:p>
    <w:p>
      <w:pPr>
        <w:jc w:val="center"/>
        <w:rPr>
          <w:rFonts w:ascii="黑体" w:hAnsi="黑体" w:eastAsia="黑体"/>
          <w:b/>
          <w:color w:val="auto"/>
          <w:sz w:val="32"/>
          <w:szCs w:val="24"/>
          <w:highlight w:val="none"/>
        </w:rPr>
      </w:pPr>
      <w:r/>
      <w:bookmarkStart w:id="224" w:name="_Toc16386"/>
      <w:r/>
      <w:bookmarkEnd w:id="224"/>
      <w:r>
        <w:rPr>
          <w:rFonts w:hint="eastAsia" w:ascii="黑体" w:hAnsi="黑体" w:eastAsia="黑体"/>
          <w:b/>
          <w:color w:val="auto"/>
          <w:sz w:val="32"/>
          <w:szCs w:val="24"/>
          <w:highlight w:val="none"/>
        </w:rPr>
        <w:t xml:space="preserve">环境标志产品认证证书</w:t>
      </w:r>
      <w:r/>
    </w:p>
    <w:p>
      <w:pPr>
        <w:rPr>
          <w:color w:val="auto"/>
          <w:highlight w:val="none"/>
        </w:rPr>
      </w:pPr>
      <w:r>
        <w:rPr>
          <w:rFonts w:hint="eastAsia"/>
          <w:color w:val="auto"/>
          <w:highlight w:val="none"/>
        </w:rPr>
        <w:t xml:space="preserve">（提供国家确定的认证机构出具的、处于有效期之内的产品认证证书）</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rPr>
          <w:color w:val="auto"/>
          <w:highlight w:val="none"/>
        </w:rPr>
      </w:pPr>
      <w:r>
        <w:rPr>
          <w:rFonts w:hint="eastAsia"/>
          <w:color w:val="auto"/>
          <w:highlight w:val="none"/>
        </w:rPr>
        <w:t xml:space="preserve"> </w:t>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r/>
    </w:p>
    <w:p>
      <w:pPr>
        <w:jc w:val="center"/>
        <w:rPr>
          <w:rFonts w:ascii="黑体" w:hAnsi="黑体" w:eastAsia="黑体"/>
          <w:b/>
          <w:color w:val="auto"/>
          <w:sz w:val="32"/>
          <w:szCs w:val="24"/>
          <w:highlight w:val="none"/>
        </w:rPr>
      </w:pPr>
      <w:r>
        <w:rPr>
          <w:rFonts w:hint="eastAsia" w:ascii="黑体" w:hAnsi="黑体" w:eastAsia="黑体"/>
          <w:b/>
          <w:color w:val="auto"/>
          <w:sz w:val="32"/>
          <w:szCs w:val="24"/>
          <w:highlight w:val="none"/>
        </w:rPr>
        <w:t xml:space="preserve">进口产品转让技术、消化吸收再创新方案</w:t>
      </w:r>
      <w:r/>
    </w:p>
    <w:p>
      <w:pPr>
        <w:rPr>
          <w:color w:val="auto"/>
          <w:highlight w:val="none"/>
        </w:rPr>
      </w:pPr>
      <w:r>
        <w:rPr>
          <w:rFonts w:hint="eastAsia"/>
          <w:color w:val="auto"/>
          <w:highlight w:val="none"/>
        </w:rPr>
        <w:t xml:space="preserve">（对于允许进口产品参加的项目）</w:t>
      </w:r>
      <w:r/>
    </w:p>
    <w:p>
      <w:pPr>
        <w:rPr>
          <w:rFonts w:ascii="黑体" w:hAnsi="黑体" w:eastAsia="黑体"/>
          <w:color w:val="auto"/>
          <w:sz w:val="32"/>
          <w:highlight w:val="none"/>
        </w:rPr>
      </w:pPr>
      <w:r>
        <w:rPr>
          <w:color w:val="auto"/>
          <w:highlight w:val="none"/>
        </w:rPr>
        <w:br w:type="page" w:clear="all"/>
      </w:r>
      <w:bookmarkStart w:id="225" w:name="_Toc5876"/>
      <w:r/>
      <w:bookmarkEnd w:id="225"/>
      <w:r/>
      <w:bookmarkStart w:id="226" w:name="_Toc1060"/>
      <w:r/>
      <w:bookmarkEnd w:id="226"/>
      <w:r/>
      <w:r/>
    </w:p>
    <w:p>
      <w:pPr>
        <w:pStyle w:val="1026"/>
        <w:rPr>
          <w:color w:val="auto"/>
          <w:highlight w:val="none"/>
        </w:rPr>
        <w:outlineLvl w:val="1"/>
      </w:pPr>
      <w:r/>
      <w:bookmarkStart w:id="227" w:name="_Toc356"/>
      <w:r/>
      <w:bookmarkStart w:id="228" w:name="_Toc164203482"/>
      <w:r/>
      <w:bookmarkStart w:id="229" w:name="_Toc15535"/>
      <w:r/>
      <w:bookmarkStart w:id="230" w:name="_Toc4596"/>
      <w:r>
        <w:rPr>
          <w:rFonts w:hint="eastAsia"/>
          <w:color w:val="auto"/>
          <w:highlight w:val="none"/>
        </w:rPr>
        <w:t xml:space="preserve">十五、关于符合本国产品标准的声明函（采购包号：如有）</w:t>
      </w:r>
      <w:r/>
    </w:p>
    <w:p>
      <w:pPr>
        <w:pStyle w:val="98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85"/>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85"/>
        <w:ind w:firstLine="420"/>
        <w:spacing w:before="0" w:beforeAutospacing="0" w:after="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85"/>
        <w:numPr>
          <w:ilvl w:val="0"/>
          <w:numId w:val="15"/>
        </w:numPr>
        <w:ind w:firstLine="420"/>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r>
        <w:rPr>
          <w:rStyle w:val="988"/>
          <w:rFonts w:hint="eastAsia" w:ascii="方正魏碑_GBK" w:hAnsi="方正魏碑_GBK" w:eastAsia="方正魏碑_GBK" w:cs="方正魏碑_GBK"/>
          <w:i w:val="0"/>
          <w:color w:val="auto"/>
          <w:highlight w:val="none"/>
          <w:u w:val="single"/>
          <w:shd w:val="clear" w:color="auto" w:fill="ffffff"/>
        </w:rPr>
        <w:t xml:space="preserve">（产品名称1）</w:t>
      </w:r>
      <w:r>
        <w:rPr>
          <w:rStyle w:val="988"/>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988"/>
          <w:rFonts w:hint="eastAsia" w:ascii="方正魏碑_GBK" w:hAnsi="方正魏碑_GBK" w:eastAsia="方正魏碑_GBK" w:cs="方正魏碑_GBK"/>
          <w:i w:val="0"/>
          <w:color w:val="auto"/>
          <w:highlight w:val="none"/>
          <w:u w:val="single"/>
          <w:shd w:val="clear" w:color="auto" w:fill="ffffff"/>
        </w:rPr>
        <w:t xml:space="preserve">（厂名）</w:t>
      </w:r>
      <w:r>
        <w:rPr>
          <w:rStyle w:val="988"/>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98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988"/>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规定</w:t>
      </w:r>
      <w:r>
        <w:rPr>
          <w:rStyle w:val="988"/>
          <w:rFonts w:ascii="方正魏碑_GBK" w:hAnsi="方正魏碑_GBK" w:eastAsia="方正魏碑_GBK" w:cs="方正魏碑_GBK"/>
          <w:i w:val="0"/>
          <w:strike/>
          <w:color w:val="auto"/>
          <w:highlight w:val="none"/>
          <w:u w:val="single"/>
          <w:shd w:val="clear" w:color="auto" w:fill="ffffff"/>
        </w:rPr>
        <w:t xml:space="preserve">比例</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关键</w:t>
      </w:r>
      <w:r>
        <w:rPr>
          <w:rStyle w:val="988"/>
          <w:rFonts w:ascii="方正魏碑_GBK" w:hAnsi="方正魏碑_GBK" w:eastAsia="方正魏碑_GBK" w:cs="方正魏碑_GBK"/>
          <w:i w:val="0"/>
          <w:strike/>
          <w:color w:val="auto"/>
          <w:highlight w:val="none"/>
          <w:u w:val="single"/>
          <w:shd w:val="clear" w:color="auto" w:fill="ffffff"/>
        </w:rPr>
        <w:t xml:space="preserve">组件</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85"/>
        <w:numPr>
          <w:ilvl w:val="255"/>
          <w:numId w:val="0"/>
        </w:numPr>
        <w:spacing w:before="30" w:beforeAutospacing="0" w:after="30" w:afterAutospacing="0" w:line="360" w:lineRule="exact"/>
        <w:rPr>
          <w:rFonts w:ascii="方正魏碑_GBK" w:hAnsi="方正魏碑_GBK" w:eastAsia="方正魏碑_GBK" w:cs="方正魏碑_GBK"/>
          <w:color w:val="auto"/>
          <w:highlight w:val="none"/>
          <w:shd w:val="clear" w:color="auto" w:fill="ffffff"/>
        </w:rPr>
      </w:pPr>
      <w:r>
        <w:rPr>
          <w:rFonts w:ascii="方正魏碑_GBK" w:hAnsi="方正魏碑_GBK" w:eastAsia="方正魏碑_GBK" w:cs="方正魏碑_GBK"/>
          <w:color w:val="auto"/>
          <w:highlight w:val="none"/>
          <w:shd w:val="clear" w:color="auto" w:fill="ffffff"/>
        </w:rPr>
      </w:r>
      <w:r/>
    </w:p>
    <w:p>
      <w:pPr>
        <w:pStyle w:val="985"/>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2.</w:t>
      </w:r>
      <w:r>
        <w:rPr>
          <w:rStyle w:val="988"/>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988"/>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988"/>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规定</w:t>
      </w:r>
      <w:r>
        <w:rPr>
          <w:rStyle w:val="988"/>
          <w:rFonts w:ascii="方正魏碑_GBK" w:hAnsi="方正魏碑_GBK" w:eastAsia="方正魏碑_GBK" w:cs="方正魏碑_GBK"/>
          <w:i w:val="0"/>
          <w:strike/>
          <w:color w:val="auto"/>
          <w:highlight w:val="none"/>
          <w:u w:val="single"/>
          <w:shd w:val="clear" w:color="auto" w:fill="ffffff"/>
        </w:rPr>
        <w:t xml:space="preserve">比例</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产品名称2</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关键</w:t>
      </w:r>
      <w:r>
        <w:rPr>
          <w:rStyle w:val="988"/>
          <w:rFonts w:ascii="方正魏碑_GBK" w:hAnsi="方正魏碑_GBK" w:eastAsia="方正魏碑_GBK" w:cs="方正魏碑_GBK"/>
          <w:i w:val="0"/>
          <w:strike/>
          <w:color w:val="auto"/>
          <w:highlight w:val="none"/>
          <w:u w:val="single"/>
          <w:shd w:val="clear" w:color="auto" w:fill="ffffff"/>
        </w:rPr>
        <w:t xml:space="preserve">组件</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产品名称1</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的</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Style w:val="988"/>
          <w:rFonts w:hint="eastAsia" w:ascii="方正魏碑_GBK" w:hAnsi="方正魏碑_GBK" w:eastAsia="方正魏碑_GBK" w:cs="方正魏碑_GBK"/>
          <w:i w:val="0"/>
          <w:strike/>
          <w:color w:val="auto"/>
          <w:highlight w:val="none"/>
          <w:u w:val="single"/>
          <w:shd w:val="clear" w:color="auto" w:fill="ffffff"/>
        </w:rPr>
        <w:t xml:space="preserve">关键工序</w:t>
      </w:r>
      <w:r>
        <w:rPr>
          <w:rStyle w:val="988"/>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在中国境内完成。</w:t>
      </w:r>
      <w:r/>
    </w:p>
    <w:p>
      <w:pPr>
        <w:pStyle w:val="985"/>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985"/>
        <w:ind w:firstLine="420"/>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985"/>
        <w:spacing w:before="30" w:beforeAutospacing="0" w:after="30" w:afterAutospacing="0" w:line="360" w:lineRule="exac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985"/>
        <w:ind w:right="480" w:firstLine="4200"/>
        <w:spacing w:before="30" w:beforeAutospacing="0" w:after="30" w:afterAutospacing="0" w:line="360" w:lineRule="exact"/>
        <w:rPr>
          <w:rFonts w:hAnsi="宋体"/>
          <w:color w:val="auto"/>
          <w:szCs w:val="24"/>
          <w:highlight w:val="none"/>
        </w:rPr>
      </w:pPr>
      <w:r>
        <w:rPr>
          <w:rFonts w:hint="eastAsia" w:ascii="方正魏碑_GBK" w:hAnsi="方正魏碑_GBK" w:eastAsia="方正魏碑_GBK" w:cs="方正魏碑_GBK"/>
          <w:color w:val="auto"/>
          <w:highlight w:val="none"/>
          <w:shd w:val="clear" w:color="auto" w:fill="ffffff"/>
        </w:rPr>
        <w:t xml:space="preserve">公司（单位）名称：　</w:t>
      </w:r>
      <w:r>
        <w:rPr>
          <w:rFonts w:hint="eastAsia" w:hAnsi="宋体"/>
          <w:color w:val="auto"/>
          <w:szCs w:val="24"/>
          <w:highlight w:val="none"/>
        </w:rPr>
        <w:t xml:space="preserve">（</w:t>
      </w:r>
      <w:r>
        <w:rPr>
          <w:rFonts w:hint="eastAsia" w:hAnsi="宋体" w:eastAsia="宋体"/>
          <w:color w:val="auto"/>
          <w:szCs w:val="24"/>
          <w:highlight w:val="none"/>
        </w:rPr>
        <w:t xml:space="preserve">加盖CA电子公章</w:t>
      </w:r>
      <w:r>
        <w:rPr>
          <w:rFonts w:hint="eastAsia" w:hAnsi="宋体"/>
          <w:color w:val="auto"/>
          <w:szCs w:val="24"/>
          <w:highlight w:val="none"/>
        </w:rPr>
        <w:t xml:space="preserve">）  </w:t>
      </w:r>
      <w:r/>
    </w:p>
    <w:p>
      <w:pPr>
        <w:pStyle w:val="985"/>
        <w:ind w:right="480" w:firstLine="3720"/>
        <w:spacing w:before="30" w:beforeAutospacing="0" w:after="30" w:afterAutospacing="0" w:line="360" w:lineRule="exact"/>
        <w:rPr>
          <w:rFonts w:hAnsi="宋体"/>
          <w:color w:val="auto"/>
          <w:szCs w:val="24"/>
          <w:highlight w:val="none"/>
        </w:rPr>
      </w:pPr>
      <w:r>
        <w:rPr>
          <w:rFonts w:hAnsi="宋体"/>
          <w:color w:val="auto"/>
          <w:szCs w:val="24"/>
          <w:highlight w:val="none"/>
        </w:rPr>
      </w:r>
      <w:r/>
    </w:p>
    <w:p>
      <w:pPr>
        <w:pStyle w:val="985"/>
        <w:jc w:val="center"/>
        <w:spacing w:before="30" w:beforeAutospacing="0" w:after="30" w:afterAutospacing="0" w:line="360" w:lineRule="exac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985"/>
        <w:spacing w:before="30" w:beforeAutospacing="0" w:after="30" w:afterAutospacing="0" w:line="0" w:lineRule="atLeast"/>
        <w:rPr>
          <w:rFonts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98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98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98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985"/>
        <w:spacing w:before="30" w:beforeAutospacing="0" w:after="30" w:afterAutospacing="0" w:line="0" w:lineRule="atLeast"/>
        <w:rPr>
          <w:rFonts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98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985"/>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6.用横线</w:t>
      </w:r>
      <w:r>
        <w:rPr>
          <w:rFonts w:hint="eastAsia" w:ascii="方正魏碑_GBK" w:hAnsi="方正魏碑_GBK" w:eastAsia="方正魏碑_GBK" w:cs="方正魏碑_GBK"/>
          <w:strike/>
          <w:color w:val="auto"/>
          <w:sz w:val="22"/>
          <w:highlight w:val="none"/>
          <w:shd w:val="clear" w:color="auto" w:fill="ffffff"/>
        </w:rPr>
        <w:t xml:space="preserve">     </w:t>
      </w:r>
      <w:r>
        <w:rPr>
          <w:rFonts w:hint="eastAsia" w:ascii="方正魏碑_GBK" w:hAnsi="方正魏碑_GBK" w:eastAsia="方正魏碑_GBK" w:cs="方正魏碑_GBK"/>
          <w:color w:val="auto"/>
          <w:sz w:val="22"/>
          <w:highlight w:val="none"/>
          <w:shd w:val="clear" w:color="auto" w:fill="ffffff"/>
        </w:rPr>
        <w:t xml:space="preserve">划除的地方无需填写。</w:t>
      </w:r>
      <w:r/>
    </w:p>
    <w:p>
      <w:pPr>
        <w:rPr>
          <w:color w:val="auto"/>
          <w:highlight w:val="none"/>
        </w:rPr>
      </w:pPr>
      <w:r>
        <w:rPr>
          <w:rFonts w:hint="eastAsia"/>
          <w:color w:val="auto"/>
          <w:highlight w:val="none"/>
        </w:rPr>
        <w:br w:type="page" w:clear="all"/>
      </w:r>
      <w:r/>
    </w:p>
    <w:p>
      <w:pPr>
        <w:pStyle w:val="1028"/>
        <w:rPr>
          <w:color w:val="auto"/>
          <w:highlight w:val="none"/>
        </w:rPr>
        <w:outlineLvl w:val="1"/>
      </w:pPr>
      <w:r>
        <w:rPr>
          <w:rFonts w:hint="eastAsia"/>
          <w:color w:val="auto"/>
          <w:highlight w:val="none"/>
        </w:rPr>
        <w:t xml:space="preserve">十六、</w:t>
      </w:r>
      <w:r>
        <w:rPr>
          <w:color w:val="auto"/>
          <w:highlight w:val="none"/>
        </w:rPr>
        <w:t xml:space="preserve">响应偏差表</w:t>
      </w:r>
      <w:bookmarkEnd w:id="219"/>
      <w:r/>
      <w:bookmarkEnd w:id="220"/>
      <w:r/>
      <w:bookmarkEnd w:id="227"/>
      <w:r/>
      <w:bookmarkEnd w:id="228"/>
      <w:r/>
      <w:bookmarkEnd w:id="229"/>
      <w:r/>
      <w:bookmarkEnd w:id="230"/>
      <w:r/>
      <w:r/>
    </w:p>
    <w:p>
      <w:pPr>
        <w:pStyle w:val="1017"/>
        <w:jc w:val="center"/>
        <w:rPr>
          <w:color w:val="auto"/>
          <w:sz w:val="32"/>
          <w:szCs w:val="32"/>
          <w:highlight w:val="none"/>
        </w:rPr>
      </w:pPr>
      <w:r>
        <w:rPr>
          <w:rFonts w:hint="eastAsia"/>
          <w:color w:val="auto"/>
          <w:sz w:val="32"/>
          <w:szCs w:val="32"/>
          <w:highlight w:val="none"/>
        </w:rPr>
        <w:t xml:space="preserve">（一）技术响应偏差表</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0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16"/>
        <w:ind w:firstLine="482"/>
        <w:rPr>
          <w:rFonts w:hAnsi="宋体"/>
          <w:b/>
          <w:bCs/>
          <w:color w:val="auto"/>
          <w:sz w:val="24"/>
          <w:szCs w:val="28"/>
          <w:highlight w:val="none"/>
        </w:rPr>
      </w:pPr>
      <w:r>
        <w:rPr>
          <w:rFonts w:hAnsi="宋体"/>
          <w:b/>
          <w:bCs/>
          <w:color w:val="auto"/>
          <w:sz w:val="24"/>
          <w:szCs w:val="28"/>
          <w:highlight w:val="none"/>
        </w:rPr>
      </w:r>
      <w:r/>
    </w:p>
    <w:p>
      <w:pPr>
        <w:pStyle w:val="1029"/>
        <w:jc w:val="center"/>
        <w:rPr>
          <w:color w:val="auto"/>
          <w:highlight w:val="none"/>
        </w:rPr>
      </w:pPr>
      <w:r>
        <w:rPr>
          <w:rFonts w:hint="eastAsia" w:hAnsi="宋体"/>
          <w:bCs/>
          <w:color w:val="auto"/>
          <w:sz w:val="24"/>
          <w:szCs w:val="28"/>
          <w:highlight w:val="none"/>
        </w:rPr>
        <w:t xml:space="preserve">注：1.投标人须对照招标文件第四部分“采购需求”，逐条说明所提供货物和服务已对招标文件的技术规格做出了实质性的响应，并申明与技术规格条文的偏差和例外。</w:t>
      </w:r>
      <w:r/>
    </w:p>
    <w:p>
      <w:pPr>
        <w:rPr>
          <w:color w:val="auto"/>
          <w:highlight w:val="none"/>
        </w:rPr>
      </w:pPr>
      <w:r/>
      <w:bookmarkStart w:id="231" w:name="_Toc8566"/>
      <w:r/>
      <w:bookmarkStart w:id="232" w:name="_Toc9396"/>
      <w:r>
        <w:rPr>
          <w:color w:val="auto"/>
          <w:highlight w:val="none"/>
        </w:rPr>
        <w:br w:type="page" w:clear="all"/>
      </w:r>
      <w:r/>
    </w:p>
    <w:p>
      <w:pPr>
        <w:pStyle w:val="1017"/>
        <w:jc w:val="center"/>
        <w:rPr>
          <w:color w:val="auto"/>
          <w:sz w:val="32"/>
          <w:szCs w:val="32"/>
          <w:highlight w:val="none"/>
        </w:rPr>
      </w:pPr>
      <w:r>
        <w:rPr>
          <w:rFonts w:hint="eastAsia"/>
          <w:color w:val="auto"/>
          <w:sz w:val="32"/>
          <w:szCs w:val="32"/>
          <w:highlight w:val="none"/>
        </w:rPr>
        <w:t xml:space="preserve">（二）投标商务偏离表</w:t>
      </w:r>
      <w:bookmarkEnd w:id="231"/>
      <w:r/>
      <w:bookmarkEnd w:id="232"/>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before="100" w:beforeAutospacing="1" w:line="560" w:lineRule="exact"/>
              <w:widowControl/>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17"/>
              <w:jc w:val="center"/>
              <w:spacing w:line="560" w:lineRule="exact"/>
              <w:rPr>
                <w:rFonts w:ascii="仿宋_GB2312" w:eastAsia="仿宋_GB2312"/>
                <w:color w:val="auto"/>
                <w:sz w:val="24"/>
                <w:highlight w:val="none"/>
              </w:rPr>
            </w:pPr>
            <w:r>
              <w:rPr>
                <w:rFonts w:ascii="仿宋_GB2312" w:eastAsia="仿宋_GB2312"/>
                <w:color w:val="auto"/>
                <w:sz w:val="24"/>
                <w:highlight w:val="none"/>
              </w:rPr>
            </w:r>
            <w:r/>
          </w:p>
        </w:tc>
      </w:tr>
    </w:tbl>
    <w:p>
      <w:pPr>
        <w:pStyle w:val="1008"/>
        <w:ind w:firstLine="629"/>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 xml:space="preserve">单位名称：（加盖CA电子公章）</w:t>
      </w:r>
      <w:r/>
    </w:p>
    <w:p>
      <w:pPr>
        <w:pStyle w:val="1008"/>
        <w:ind w:firstLine="629"/>
        <w:spacing w:line="7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法定代表人（或授权代表）：（签字或盖章）</w:t>
      </w:r>
      <w:r/>
    </w:p>
    <w:p>
      <w:pPr>
        <w:pStyle w:val="1016"/>
        <w:ind w:firstLine="482"/>
        <w:rPr>
          <w:rFonts w:hAnsi="宋体"/>
          <w:b/>
          <w:bCs/>
          <w:color w:val="auto"/>
          <w:sz w:val="24"/>
          <w:szCs w:val="28"/>
          <w:highlight w:val="none"/>
        </w:rPr>
      </w:pPr>
      <w:r>
        <w:rPr>
          <w:rFonts w:hAnsi="宋体"/>
          <w:b/>
          <w:bCs/>
          <w:color w:val="auto"/>
          <w:sz w:val="24"/>
          <w:szCs w:val="28"/>
          <w:highlight w:val="none"/>
        </w:rPr>
      </w:r>
      <w:r/>
    </w:p>
    <w:p>
      <w:pPr>
        <w:ind w:left="210"/>
        <w:spacing w:line="500" w:lineRule="exact"/>
        <w:rPr>
          <w:rFonts w:hAnsi="宋体" w:cs="宋体"/>
          <w:color w:val="auto"/>
          <w:highlight w:val="none"/>
        </w:rPr>
      </w:pPr>
      <w:r>
        <w:rPr>
          <w:rFonts w:hint="eastAsia" w:hAnsi="宋体" w:cs="宋体"/>
          <w:color w:val="auto"/>
          <w:highlight w:val="none"/>
        </w:rPr>
        <w:t xml:space="preserve">注：</w:t>
      </w:r>
      <w:r/>
    </w:p>
    <w:p>
      <w:pPr>
        <w:ind w:left="210"/>
        <w:spacing w:line="360" w:lineRule="auto"/>
        <w:rPr>
          <w:rFonts w:hAnsi="宋体" w:cs="宋体"/>
          <w:b/>
          <w:bCs/>
          <w:i/>
          <w:iCs/>
          <w:color w:val="auto"/>
          <w:highlight w:val="none"/>
        </w:rPr>
      </w:pPr>
      <w:r>
        <w:rPr>
          <w:rFonts w:hint="eastAsia" w:hAnsi="宋体" w:cs="宋体"/>
          <w:color w:val="auto"/>
          <w:highlight w:val="none"/>
        </w:rPr>
        <w:t xml:space="preserve">1、</w:t>
      </w:r>
      <w:r>
        <w:rPr>
          <w:rFonts w:hint="eastAsia" w:hAnsi="宋体" w:cs="宋体"/>
          <w:bCs/>
          <w:color w:val="auto"/>
          <w:highlight w:val="none"/>
        </w:rPr>
        <w:t xml:space="preserve">投标人须对照招标文件</w:t>
      </w:r>
      <w:r>
        <w:rPr>
          <w:rFonts w:hint="eastAsia" w:hAnsi="宋体"/>
          <w:bCs/>
          <w:color w:val="auto"/>
          <w:highlight w:val="none"/>
        </w:rPr>
        <w:t xml:space="preserve">第五部分合同格式及条款</w:t>
      </w:r>
      <w:r>
        <w:rPr>
          <w:rFonts w:hint="eastAsia" w:hAnsi="宋体" w:cs="宋体"/>
          <w:bCs/>
          <w:color w:val="auto"/>
          <w:highlight w:val="none"/>
        </w:rPr>
        <w:t xml:space="preserve">中所列商务要求</w:t>
      </w:r>
      <w:r>
        <w:rPr>
          <w:rFonts w:hint="eastAsia" w:hAnsi="宋体" w:cs="宋体"/>
          <w:color w:val="auto"/>
          <w:highlight w:val="none"/>
        </w:rPr>
        <w:t xml:space="preserve">逐条作出响应，</w:t>
      </w:r>
      <w:r>
        <w:rPr>
          <w:rFonts w:hint="eastAsia" w:hAnsi="宋体" w:cs="宋体"/>
          <w:b/>
          <w:bCs/>
          <w:i/>
          <w:iCs/>
          <w:color w:val="auto"/>
          <w:highlight w:val="none"/>
        </w:rPr>
        <w:t xml:space="preserve">而不应以“全部符合”等字样来响应。</w:t>
      </w:r>
      <w:r/>
    </w:p>
    <w:p>
      <w:pPr>
        <w:pStyle w:val="1029"/>
        <w:rPr>
          <w:color w:val="auto"/>
          <w:highlight w:val="none"/>
        </w:rPr>
        <w:outlineLvl w:val="1"/>
      </w:pPr>
      <w:r>
        <w:rPr>
          <w:color w:val="auto"/>
          <w:highlight w:val="none"/>
        </w:rPr>
        <w:br w:type="page" w:clear="all"/>
      </w:r>
      <w:bookmarkStart w:id="233" w:name="_Toc26943"/>
      <w:r/>
      <w:bookmarkEnd w:id="233"/>
      <w:r/>
      <w:bookmarkStart w:id="234" w:name="_Toc15828"/>
      <w:r/>
      <w:bookmarkEnd w:id="234"/>
      <w:r/>
      <w:r/>
    </w:p>
    <w:p>
      <w:pPr>
        <w:pStyle w:val="1030"/>
        <w:rPr>
          <w:color w:val="auto"/>
          <w:highlight w:val="none"/>
        </w:rPr>
        <w:outlineLvl w:val="1"/>
      </w:pPr>
      <w:r/>
      <w:bookmarkStart w:id="235" w:name="_Toc20188"/>
      <w:r/>
      <w:bookmarkStart w:id="236" w:name="_Toc514054502"/>
      <w:r/>
      <w:bookmarkStart w:id="237" w:name="_Toc25001_WPSOffice_Level2"/>
      <w:r/>
      <w:bookmarkStart w:id="238" w:name="_Toc21179"/>
      <w:r/>
      <w:bookmarkStart w:id="239" w:name="_Toc5519"/>
      <w:r/>
      <w:bookmarkStart w:id="240" w:name="_Toc109"/>
      <w:r/>
      <w:bookmarkStart w:id="241" w:name="_Toc164203484"/>
      <w:r/>
      <w:bookmarkStart w:id="242" w:name="_Toc7579"/>
      <w:r/>
      <w:r/>
    </w:p>
    <w:p>
      <w:pPr>
        <w:pStyle w:val="1030"/>
        <w:numPr>
          <w:ilvl w:val="0"/>
          <w:numId w:val="16"/>
        </w:numPr>
        <w:rPr>
          <w:color w:val="auto"/>
          <w:highlight w:val="none"/>
        </w:rPr>
        <w:outlineLvl w:val="1"/>
      </w:pPr>
      <w:r>
        <w:rPr>
          <w:rFonts w:hint="eastAsia"/>
          <w:color w:val="auto"/>
          <w:highlight w:val="none"/>
        </w:rPr>
        <w:t xml:space="preserve">质保期承诺</w:t>
      </w:r>
      <w:r/>
    </w:p>
    <w:p>
      <w:pPr>
        <w:pStyle w:val="985"/>
        <w:spacing w:before="180" w:beforeAutospacing="0" w:after="0" w:afterAutospacing="0" w:line="420" w:lineRule="atLeast"/>
        <w:shd w:val="clear" w:color="auto" w:fill="ffffff"/>
        <w:rPr>
          <w:rFonts w:hAnsi="宋体" w:eastAsia="宋体" w:cs="宋体"/>
          <w:color w:val="auto"/>
          <w:szCs w:val="24"/>
          <w:highlight w:val="none"/>
          <w:shd w:val="clear" w:color="auto" w:fill="ffffff"/>
        </w:rPr>
      </w:pPr>
      <w:r>
        <w:rPr>
          <w:rFonts w:hint="eastAsia" w:hAnsi="宋体" w:eastAsia="宋体" w:cs="宋体"/>
          <w:color w:val="auto"/>
          <w:szCs w:val="24"/>
          <w:highlight w:val="none"/>
          <w:u w:val="single"/>
        </w:rPr>
        <w:t xml:space="preserve">（采购人名称）</w:t>
      </w:r>
      <w:r>
        <w:rPr>
          <w:rFonts w:hint="eastAsia" w:hAnsi="宋体" w:eastAsia="宋体" w:cs="宋体"/>
          <w:color w:val="auto"/>
          <w:szCs w:val="24"/>
          <w:highlight w:val="none"/>
        </w:rPr>
        <w:t xml:space="preserve">：</w:t>
      </w:r>
      <w:r/>
    </w:p>
    <w:p>
      <w:pPr>
        <w:pStyle w:val="985"/>
        <w:spacing w:before="180" w:beforeAutospacing="0" w:after="0" w:afterAutospacing="0" w:line="420" w:lineRule="atLeast"/>
        <w:shd w:val="clear" w:color="auto" w:fill="ffffff"/>
        <w:rPr>
          <w:rFonts w:hAnsi="宋体" w:eastAsia="宋体" w:cs="宋体"/>
          <w:color w:val="auto"/>
          <w:szCs w:val="24"/>
          <w:highlight w:val="none"/>
        </w:rPr>
      </w:pPr>
      <w:r>
        <w:rPr>
          <w:rFonts w:hint="eastAsia" w:hAnsi="宋体" w:eastAsia="宋体" w:cs="宋体"/>
          <w:color w:val="auto"/>
          <w:szCs w:val="24"/>
          <w:highlight w:val="none"/>
          <w:shd w:val="clear" w:color="auto" w:fill="ffffff"/>
        </w:rPr>
        <w:t xml:space="preserve">我司郑重作出以下质保承诺：</w:t>
      </w:r>
      <w:r/>
    </w:p>
    <w:p>
      <w:pPr>
        <w:ind w:left="58" w:firstLine="480"/>
        <w:jc w:val="left"/>
        <w:spacing w:before="90" w:line="420" w:lineRule="atLeast"/>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我司在参加编号为</w:t>
      </w:r>
      <w:r>
        <w:rPr>
          <w:rFonts w:hint="eastAsia" w:ascii="宋体" w:hAnsi="宋体" w:cs="宋体"/>
          <w:bCs/>
          <w:color w:val="auto"/>
          <w:sz w:val="24"/>
          <w:szCs w:val="24"/>
          <w:highlight w:val="none"/>
          <w:u w:val="single"/>
        </w:rPr>
        <w:t xml:space="preserve">（项目编号）号（项目名称）</w:t>
      </w:r>
      <w:r>
        <w:rPr>
          <w:rFonts w:hint="eastAsia" w:ascii="宋体" w:hAnsi="宋体" w:cs="宋体"/>
          <w:bCs/>
          <w:color w:val="auto"/>
          <w:sz w:val="24"/>
          <w:szCs w:val="24"/>
          <w:highlight w:val="none"/>
        </w:rPr>
        <w:t xml:space="preserve">项目</w:t>
      </w:r>
      <w:r>
        <w:rPr>
          <w:rFonts w:hint="eastAsia" w:ascii="宋体" w:hAnsi="宋体" w:cs="宋体"/>
          <w:color w:val="auto"/>
          <w:sz w:val="24"/>
          <w:szCs w:val="24"/>
          <w:highlight w:val="none"/>
          <w:shd w:val="clear" w:color="auto" w:fill="ffffff"/>
        </w:rPr>
        <w:t xml:space="preserve">，</w:t>
      </w:r>
      <w:r>
        <w:rPr>
          <w:rFonts w:hint="eastAsia" w:ascii="宋体" w:hAnsi="宋体" w:cs="宋体"/>
          <w:bCs/>
          <w:color w:val="auto"/>
          <w:sz w:val="24"/>
          <w:szCs w:val="24"/>
          <w:highlight w:val="none"/>
        </w:rPr>
        <w:t xml:space="preserve">我司承诺</w:t>
      </w:r>
      <w:r>
        <w:rPr>
          <w:rFonts w:hint="eastAsia" w:ascii="宋体" w:hAnsi="宋体" w:cs="宋体"/>
          <w:color w:val="auto"/>
          <w:sz w:val="24"/>
          <w:szCs w:val="24"/>
          <w:highlight w:val="none"/>
          <w:shd w:val="clear" w:color="auto" w:fill="ffffff"/>
        </w:rPr>
        <w:t xml:space="preserve">提供‌</w:t>
      </w:r>
      <w:r>
        <w:rPr>
          <w:rStyle w:val="987"/>
          <w:rFonts w:ascii="宋体" w:hAnsi="宋体" w:cs="宋体"/>
          <w:bCs/>
          <w:color w:val="auto"/>
          <w:sz w:val="24"/>
          <w:szCs w:val="24"/>
          <w:highlight w:val="none"/>
          <w:shd w:val="clear" w:color="auto" w:fill="ffffff"/>
        </w:rPr>
        <w:t xml:space="preserve">5年原厂整机免费保修服务</w:t>
      </w:r>
      <w:r>
        <w:rPr>
          <w:rFonts w:ascii="宋体" w:hAnsi="宋体" w:cs="宋体"/>
          <w:color w:val="auto"/>
          <w:sz w:val="24"/>
          <w:szCs w:val="24"/>
          <w:highlight w:val="none"/>
          <w:shd w:val="clear" w:color="auto" w:fill="ffffff"/>
        </w:rPr>
        <w:t xml:space="preserve">‌，保修期限自双方共同签署的《项目最终验收合格文件》签字之日起正式计算。</w:t>
      </w:r>
      <w:r/>
    </w:p>
    <w:p>
      <w:pPr>
        <w:ind w:firstLine="480"/>
        <w:jc w:val="left"/>
        <w:spacing w:before="90" w:line="420" w:lineRule="atLeast"/>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质保覆盖范围包含仪器整机主体、全部原装附属配件、配套内置软件及原厂提供的安装调试服务相关内容，质保期内所有因原厂制造工艺、配件质量问题引发的故障，我司将免费提供配件更换、上门维修、技术调试服务，不向贵方收取任何人工、配件或差旅费用。</w:t>
      </w:r>
      <w:r/>
    </w:p>
    <w:p>
      <w:pPr>
        <w:ind w:firstLine="480"/>
        <w:jc w:val="left"/>
        <w:spacing w:before="90" w:line="420" w:lineRule="atLeast"/>
        <w:widowControl/>
        <w:rPr>
          <w:rFonts w:ascii="宋体" w:hAnsi="宋体" w:cs="宋体"/>
          <w:color w:val="auto"/>
          <w:sz w:val="24"/>
          <w:szCs w:val="24"/>
          <w:highlight w:val="none"/>
        </w:rPr>
      </w:pPr>
      <w:r>
        <w:rPr>
          <w:rFonts w:hint="eastAsia" w:ascii="宋体" w:hAnsi="宋体" w:cs="宋体"/>
          <w:color w:val="auto"/>
          <w:sz w:val="24"/>
          <w:szCs w:val="24"/>
          <w:highlight w:val="none"/>
          <w:shd w:val="clear" w:color="auto" w:fill="ffffff"/>
        </w:rPr>
        <w:t xml:space="preserve">质保期内我司将每年度提供至少</w:t>
      </w:r>
      <w:r>
        <w:rPr>
          <w:rFonts w:ascii="宋体" w:hAnsi="宋体" w:cs="宋体"/>
          <w:color w:val="auto"/>
          <w:sz w:val="24"/>
          <w:szCs w:val="24"/>
          <w:highlight w:val="none"/>
          <w:shd w:val="clear" w:color="auto" w:fill="ffffff"/>
        </w:rPr>
        <w:t xml:space="preserve">1次免费上门巡检服务，主动排查设备运行隐患，保障仪器稳定运行。如设备出现故障，我司将在接到报修通知后4小时内给出响应方案，48小时内安排工程师上门处置。</w:t>
      </w:r>
      <w:r/>
    </w:p>
    <w:p>
      <w:pPr>
        <w:pStyle w:val="1011"/>
        <w:ind w:firstLine="480"/>
        <w:jc w:val="right"/>
        <w:spacing w:line="360" w:lineRule="auto"/>
        <w:rPr>
          <w:rFonts w:ascii="宋体" w:hAnsi="宋体" w:eastAsia="宋体" w:cs="宋体"/>
          <w:b w:val="0"/>
          <w:bCs/>
          <w:color w:val="auto"/>
          <w:sz w:val="24"/>
          <w:highlight w:val="none"/>
        </w:rPr>
      </w:pPr>
      <w:r>
        <w:rPr>
          <w:rFonts w:ascii="宋体" w:hAnsi="宋体" w:eastAsia="宋体" w:cs="宋体"/>
          <w:b w:val="0"/>
          <w:bCs/>
          <w:color w:val="auto"/>
          <w:sz w:val="24"/>
          <w:highlight w:val="none"/>
        </w:rPr>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供应商名称：（盖</w:t>
      </w:r>
      <w:r>
        <w:rPr>
          <w:rFonts w:ascii="宋体" w:hAnsi="宋体" w:eastAsia="宋体" w:cs="宋体"/>
          <w:b w:val="0"/>
          <w:bCs/>
          <w:color w:val="auto"/>
          <w:sz w:val="24"/>
          <w:highlight w:val="none"/>
        </w:rPr>
        <w:t xml:space="preserve">CA电子公章）</w:t>
      </w:r>
      <w:r/>
    </w:p>
    <w:p>
      <w:pPr>
        <w:pStyle w:val="1011"/>
        <w:ind w:firstLine="480"/>
        <w:jc w:val="right"/>
        <w:spacing w:line="360" w:lineRule="auto"/>
        <w:rPr>
          <w:rFonts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日期：年月日</w:t>
      </w:r>
      <w:r/>
    </w:p>
    <w:p>
      <w:pPr>
        <w:pStyle w:val="1030"/>
        <w:rPr>
          <w:rFonts w:ascii="宋体" w:hAnsi="宋体" w:eastAsia="宋体" w:cs="宋体"/>
          <w:color w:val="auto"/>
          <w:sz w:val="24"/>
          <w:highlight w:val="none"/>
        </w:rPr>
        <w:outlineLvl w:val="1"/>
      </w:pPr>
      <w:r>
        <w:rPr>
          <w:rFonts w:ascii="宋体" w:hAnsi="宋体" w:eastAsia="宋体" w:cs="宋体"/>
          <w:color w:val="auto"/>
          <w:sz w:val="24"/>
          <w:highlight w:val="none"/>
        </w:rPr>
      </w:r>
      <w:r/>
    </w:p>
    <w:p>
      <w:pPr>
        <w:rPr>
          <w:color w:val="auto"/>
          <w:highlight w:val="none"/>
        </w:rPr>
      </w:pPr>
      <w:r>
        <w:rPr>
          <w:rFonts w:hint="eastAsia"/>
          <w:color w:val="auto"/>
          <w:highlight w:val="none"/>
        </w:rPr>
        <w:br w:type="page" w:clear="all"/>
      </w:r>
      <w:r/>
    </w:p>
    <w:p>
      <w:pPr>
        <w:pStyle w:val="1030"/>
        <w:rPr>
          <w:color w:val="auto"/>
          <w:highlight w:val="none"/>
        </w:rPr>
        <w:outlineLvl w:val="1"/>
      </w:pPr>
      <w:r>
        <w:rPr>
          <w:rFonts w:hint="eastAsia"/>
          <w:color w:val="auto"/>
          <w:highlight w:val="none"/>
        </w:rPr>
        <w:t xml:space="preserve">十八、服务</w:t>
      </w:r>
      <w:r>
        <w:rPr>
          <w:color w:val="auto"/>
          <w:highlight w:val="none"/>
        </w:rPr>
        <w:t xml:space="preserve">方案</w:t>
      </w:r>
      <w:bookmarkEnd w:id="235"/>
      <w:r/>
      <w:bookmarkEnd w:id="236"/>
      <w:r/>
      <w:bookmarkEnd w:id="237"/>
      <w:r/>
      <w:r/>
    </w:p>
    <w:p>
      <w:pPr>
        <w:pStyle w:val="1031"/>
        <w:jc w:val="center"/>
        <w:spacing w:line="560" w:lineRule="exact"/>
        <w:rPr>
          <w:rFonts w:ascii="宋体"/>
          <w:b/>
          <w:bCs/>
          <w:color w:val="auto"/>
          <w:sz w:val="32"/>
          <w:szCs w:val="32"/>
          <w:highlight w:val="none"/>
        </w:rPr>
      </w:pPr>
      <w:r/>
      <w:bookmarkStart w:id="243" w:name="_Toc2882_WPSOffice_Level2"/>
      <w:r>
        <w:rPr>
          <w:rFonts w:hint="eastAsia" w:ascii="宋体"/>
          <w:b/>
          <w:bCs/>
          <w:color w:val="auto"/>
          <w:sz w:val="32"/>
          <w:szCs w:val="32"/>
          <w:highlight w:val="none"/>
        </w:rPr>
        <w:t xml:space="preserve">按照招标文件要求，格式自拟</w:t>
      </w:r>
      <w:bookmarkEnd w:id="243"/>
      <w:r/>
      <w:r/>
    </w:p>
    <w:p>
      <w:pPr>
        <w:jc w:val="left"/>
        <w:widowControl/>
        <w:rPr>
          <w:rFonts w:ascii="黑体" w:hAnsi="黑体" w:eastAsia="黑体"/>
          <w:b/>
          <w:color w:val="auto"/>
          <w:sz w:val="32"/>
          <w:szCs w:val="24"/>
          <w:highlight w:val="none"/>
        </w:rPr>
      </w:pPr>
      <w:r>
        <w:rPr>
          <w:rFonts w:hint="eastAsia"/>
          <w:color w:val="auto"/>
          <w:highlight w:val="none"/>
        </w:rPr>
        <w:br w:type="page" w:clear="all"/>
      </w:r>
      <w:r/>
    </w:p>
    <w:p>
      <w:pPr>
        <w:pStyle w:val="1032"/>
        <w:rPr>
          <w:color w:val="auto"/>
          <w:highlight w:val="none"/>
        </w:rPr>
        <w:outlineLvl w:val="1"/>
      </w:pPr>
      <w:r/>
      <w:bookmarkStart w:id="244" w:name="_Toc14378"/>
      <w:r>
        <w:rPr>
          <w:color w:val="auto"/>
          <w:highlight w:val="none"/>
        </w:rPr>
        <w:t xml:space="preserve">十</w:t>
      </w:r>
      <w:r>
        <w:rPr>
          <w:rFonts w:hint="eastAsia"/>
          <w:color w:val="auto"/>
          <w:highlight w:val="none"/>
        </w:rPr>
        <w:t xml:space="preserve">九</w:t>
      </w:r>
      <w:r>
        <w:rPr>
          <w:color w:val="auto"/>
          <w:highlight w:val="none"/>
        </w:rPr>
        <w:t xml:space="preserve">、类似项目业绩一览表</w:t>
      </w:r>
      <w:bookmarkEnd w:id="238"/>
      <w:r/>
      <w:bookmarkEnd w:id="239"/>
      <w:r/>
      <w:bookmarkEnd w:id="240"/>
      <w:r/>
      <w:bookmarkEnd w:id="241"/>
      <w:r/>
      <w:bookmarkEnd w:id="242"/>
      <w:r/>
      <w:bookmarkEnd w:id="244"/>
      <w:r/>
      <w:r/>
    </w:p>
    <w:p>
      <w:pPr>
        <w:pStyle w:val="1033"/>
        <w:jc w:val="center"/>
        <w:rPr>
          <w:b/>
          <w:color w:val="auto"/>
          <w:sz w:val="32"/>
          <w:szCs w:val="32"/>
          <w:highlight w:val="none"/>
        </w:rPr>
      </w:pPr>
      <w:r>
        <w:rPr>
          <w:rFonts w:hint="eastAsia"/>
          <w:b/>
          <w:color w:val="auto"/>
          <w:sz w:val="32"/>
          <w:szCs w:val="32"/>
          <w:highlight w:val="none"/>
        </w:rPr>
        <w:t xml:space="preserve">类似项目业绩一览表</w:t>
      </w:r>
      <w:r/>
    </w:p>
    <w:tbl>
      <w:tblPr>
        <w:tblStyle w:val="9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3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序号</w:t>
            </w:r>
            <w:r/>
          </w:p>
        </w:tc>
        <w:tc>
          <w:tcPr>
            <w:tcW w:w="3827" w:type="dxa"/>
            <w:vAlign w:val="center"/>
            <w:textDirection w:val="lrTb"/>
            <w:noWrap w:val="false"/>
          </w:tcPr>
          <w:p>
            <w:pPr>
              <w:pStyle w:val="103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项目名称</w:t>
            </w:r>
            <w:r/>
          </w:p>
        </w:tc>
        <w:tc>
          <w:tcPr>
            <w:tcW w:w="2433" w:type="dxa"/>
            <w:vAlign w:val="center"/>
            <w:textDirection w:val="lrTb"/>
            <w:noWrap w:val="false"/>
          </w:tcPr>
          <w:p>
            <w:pPr>
              <w:pStyle w:val="103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采购单位</w:t>
            </w:r>
            <w:r/>
          </w:p>
        </w:tc>
        <w:tc>
          <w:tcPr>
            <w:tcW w:w="1395" w:type="dxa"/>
            <w:vAlign w:val="center"/>
            <w:textDirection w:val="lrTb"/>
            <w:noWrap w:val="false"/>
          </w:tcPr>
          <w:p>
            <w:pPr>
              <w:pStyle w:val="1034"/>
              <w:jc w:val="center"/>
              <w:spacing w:line="560" w:lineRule="exact"/>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合同金额</w:t>
            </w:r>
            <w:r/>
          </w:p>
        </w:tc>
      </w:tr>
      <w:tr>
        <w:trPr>
          <w:jc w:val="center"/>
          <w:trHeight w:val="1510"/>
        </w:trPr>
        <w:tc>
          <w:tcPr>
            <w:tcW w:w="1229" w:type="dxa"/>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10"/>
        </w:trPr>
        <w:tc>
          <w:tcPr>
            <w:tcW w:w="1229" w:type="dxa"/>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r>
        <w:trPr>
          <w:jc w:val="center"/>
          <w:trHeight w:val="1525"/>
        </w:trPr>
        <w:tc>
          <w:tcPr>
            <w:tcW w:w="1229" w:type="dxa"/>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3827"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2433"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c>
          <w:tcPr>
            <w:tcW w:w="1395" w:type="dxa"/>
            <w:vAlign w:val="center"/>
            <w:textDirection w:val="lrTb"/>
            <w:noWrap w:val="false"/>
          </w:tcPr>
          <w:p>
            <w:pPr>
              <w:pStyle w:val="1034"/>
              <w:jc w:val="center"/>
              <w:spacing w:line="560" w:lineRule="exact"/>
              <w:rPr>
                <w:rFonts w:ascii="仿宋_GB2312" w:eastAsia="仿宋_GB2312"/>
                <w:color w:val="auto"/>
                <w:sz w:val="28"/>
                <w:highlight w:val="none"/>
              </w:rPr>
            </w:pPr>
            <w:r>
              <w:rPr>
                <w:rFonts w:ascii="仿宋_GB2312" w:eastAsia="仿宋_GB2312"/>
                <w:color w:val="auto"/>
                <w:sz w:val="28"/>
                <w:highlight w:val="none"/>
              </w:rPr>
            </w:r>
            <w:r/>
          </w:p>
        </w:tc>
      </w:tr>
    </w:tbl>
    <w:p>
      <w:pPr>
        <w:pStyle w:val="1035"/>
        <w:rPr>
          <w:color w:val="auto"/>
          <w:highlight w:val="none"/>
        </w:rPr>
        <w:outlineLvl w:val="1"/>
      </w:pPr>
      <w:r>
        <w:rPr>
          <w:color w:val="auto"/>
          <w:highlight w:val="none"/>
        </w:rPr>
        <w:br w:type="page" w:clear="all"/>
      </w:r>
      <w:bookmarkStart w:id="245" w:name="_Toc164203485"/>
      <w:r/>
      <w:bookmarkStart w:id="246" w:name="_Toc15753"/>
      <w:r/>
      <w:bookmarkStart w:id="247" w:name="_Toc14046"/>
      <w:r/>
      <w:bookmarkStart w:id="248" w:name="_Toc5295"/>
      <w:r/>
      <w:bookmarkStart w:id="249" w:name="_Toc6607"/>
      <w:r/>
      <w:bookmarkStart w:id="250" w:name="_Toc20255"/>
      <w:r/>
      <w:r/>
    </w:p>
    <w:p>
      <w:pPr>
        <w:pStyle w:val="1035"/>
        <w:rPr>
          <w:color w:val="auto"/>
          <w:highlight w:val="none"/>
        </w:rPr>
        <w:outlineLvl w:val="1"/>
      </w:pPr>
      <w:r>
        <w:rPr>
          <w:rFonts w:hint="eastAsia"/>
          <w:color w:val="auto"/>
          <w:highlight w:val="none"/>
        </w:rPr>
        <w:t xml:space="preserve">二十</w:t>
      </w:r>
      <w:r>
        <w:rPr>
          <w:color w:val="auto"/>
          <w:highlight w:val="none"/>
        </w:rPr>
        <w:t xml:space="preserve">、投标所需其他材料</w:t>
      </w:r>
      <w:bookmarkEnd w:id="245"/>
      <w:r/>
      <w:bookmarkEnd w:id="246"/>
      <w:r/>
      <w:bookmarkEnd w:id="247"/>
      <w:r/>
      <w:bookmarkEnd w:id="248"/>
      <w:r/>
      <w:bookmarkEnd w:id="249"/>
      <w:r/>
      <w:bookmarkEnd w:id="250"/>
      <w:r/>
      <w:r/>
    </w:p>
    <w:p>
      <w:pPr>
        <w:pStyle w:val="1036"/>
        <w:ind w:firstLine="420"/>
        <w:spacing w:line="360" w:lineRule="auto"/>
        <w:rPr>
          <w:color w:val="auto"/>
          <w:highlight w:val="none"/>
        </w:rPr>
      </w:pPr>
      <w:r>
        <w:rPr>
          <w:rFonts w:hint="eastAsia"/>
          <w:color w:val="auto"/>
          <w:highlight w:val="none"/>
        </w:rPr>
        <w:t xml:space="preserve">请在此文档中增加投标所需其他相关内容（包括资格要求、评分办法、采购需求中涉及的证件证明及其它投标人认为有必要提供的资料），如没有请空置。</w:t>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pPr>
        <w:jc w:val="center"/>
        <w:spacing w:line="360" w:lineRule="auto"/>
        <w:rPr>
          <w:rFonts w:hAnsi="宋体" w:cs="宋体"/>
          <w:bCs/>
          <w:color w:val="auto"/>
          <w:sz w:val="44"/>
          <w:szCs w:val="44"/>
          <w:highlight w:val="none"/>
        </w:rPr>
        <w:outlineLvl w:val="0"/>
      </w:pPr>
      <w:r/>
      <w:bookmarkStart w:id="251" w:name="_Toc3075"/>
      <w:r>
        <w:rPr>
          <w:rFonts w:hint="eastAsia" w:hAnsi="宋体" w:cs="宋体"/>
          <w:bCs/>
          <w:color w:val="auto"/>
          <w:sz w:val="44"/>
          <w:szCs w:val="44"/>
          <w:highlight w:val="none"/>
        </w:rPr>
        <w:t xml:space="preserve">第七部分：特别提醒</w:t>
      </w:r>
      <w:bookmarkEnd w:id="251"/>
      <w:r/>
      <w:r/>
    </w:p>
    <w:p>
      <w:pPr>
        <w:jc w:val="center"/>
        <w:spacing w:line="360" w:lineRule="auto"/>
        <w:rPr>
          <w:rFonts w:hAnsi="宋体" w:cs="宋体"/>
          <w:bCs/>
          <w:color w:val="auto"/>
          <w:sz w:val="44"/>
          <w:szCs w:val="44"/>
          <w:highlight w:val="none"/>
        </w:rPr>
        <w:outlineLvl w:val="0"/>
      </w:pPr>
      <w:r/>
      <w:bookmarkStart w:id="252" w:name="_Toc31159"/>
      <w:r>
        <w:rPr>
          <w:rFonts w:hint="eastAsia" w:hAnsi="宋体" w:cs="宋体"/>
          <w:bCs/>
          <w:color w:val="auto"/>
          <w:sz w:val="44"/>
          <w:szCs w:val="44"/>
          <w:highlight w:val="none"/>
        </w:rPr>
        <w:t xml:space="preserve">（有关围标串标情形的判定）</w:t>
      </w:r>
      <w:bookmarkEnd w:id="252"/>
      <w:r/>
      <w:r/>
    </w:p>
    <w:p>
      <w:pPr>
        <w:spacing w:line="360" w:lineRule="auto"/>
        <w:rPr>
          <w:rFonts w:hAnsi="宋体"/>
          <w:bCs/>
          <w:color w:val="auto"/>
          <w:sz w:val="32"/>
          <w:szCs w:val="32"/>
          <w:highlight w:val="none"/>
        </w:rPr>
      </w:pPr>
      <w:r>
        <w:rPr>
          <w:rFonts w:hAnsi="宋体"/>
          <w:bCs/>
          <w:color w:val="auto"/>
          <w:sz w:val="32"/>
          <w:szCs w:val="32"/>
          <w:highlight w:val="none"/>
        </w:rPr>
      </w:r>
      <w:r/>
    </w:p>
    <w:p>
      <w:pPr>
        <w:spacing w:line="360" w:lineRule="auto"/>
        <w:tabs>
          <w:tab w:val="left" w:pos="3965" w:leader="none"/>
        </w:tabs>
        <w:rPr>
          <w:rFonts w:hAnsi="宋体"/>
          <w:bCs/>
          <w:color w:val="auto"/>
          <w:sz w:val="32"/>
          <w:szCs w:val="32"/>
          <w:highlight w:val="none"/>
        </w:rPr>
      </w:pPr>
      <w:r>
        <w:rPr>
          <w:rFonts w:hint="eastAsia" w:hAnsi="宋体"/>
          <w:bCs/>
          <w:color w:val="auto"/>
          <w:sz w:val="32"/>
          <w:szCs w:val="32"/>
          <w:highlight w:val="none"/>
        </w:rPr>
        <w:t xml:space="preserve">各投标人：</w:t>
      </w:r>
      <w:r>
        <w:rPr>
          <w:rFonts w:hint="eastAsia" w:hAnsi="宋体"/>
          <w:bCs/>
          <w:color w:val="auto"/>
          <w:sz w:val="32"/>
          <w:szCs w:val="32"/>
          <w:highlight w:val="none"/>
        </w:rPr>
        <w:tab/>
      </w:r>
      <w:r/>
    </w:p>
    <w:p>
      <w:pPr>
        <w:ind w:firstLine="480"/>
        <w:spacing w:line="360" w:lineRule="auto"/>
        <w:rPr>
          <w:rFonts w:hAnsi="宋体"/>
          <w:color w:val="auto"/>
          <w:highlight w:val="none"/>
        </w:rPr>
      </w:pPr>
      <w:r>
        <w:rPr>
          <w:rFonts w:hint="eastAsia" w:hAnsi="宋体"/>
          <w:color w:val="auto"/>
          <w:highlight w:val="none"/>
        </w:rPr>
        <w:t xml:space="preserve">评标委员会将对投标人提交的投标/响应文件进行评审，在评审过程中如发现投标人存在以下情形：</w:t>
      </w:r>
      <w:r/>
    </w:p>
    <w:p>
      <w:pPr>
        <w:ind w:firstLine="420"/>
        <w:spacing w:line="360" w:lineRule="auto"/>
        <w:rPr>
          <w:rFonts w:hAnsi="宋体" w:cs="宋体"/>
          <w:color w:val="auto"/>
          <w:highlight w:val="none"/>
        </w:rPr>
      </w:pPr>
      <w:r>
        <w:rPr>
          <w:rFonts w:hint="eastAsia" w:hAnsi="宋体" w:cs="宋体"/>
          <w:color w:val="auto"/>
          <w:highlight w:val="none"/>
        </w:rPr>
        <w:t xml:space="preserve">1.</w:t>
      </w:r>
      <w:r>
        <w:rPr>
          <w:rFonts w:hAnsi="宋体" w:cs="宋体"/>
          <w:color w:val="auto"/>
          <w:highlight w:val="none"/>
        </w:rPr>
        <w:t xml:space="preserve">投标人之间协商投标报价</w:t>
      </w:r>
      <w:r>
        <w:rPr>
          <w:rFonts w:hint="eastAsia" w:hAnsi="宋体" w:cs="宋体"/>
          <w:color w:val="auto"/>
          <w:highlight w:val="none"/>
        </w:rPr>
        <w:t xml:space="preserve">、技术方案</w:t>
      </w:r>
      <w:r>
        <w:rPr>
          <w:rFonts w:hAnsi="宋体" w:cs="宋体"/>
          <w:color w:val="auto"/>
          <w:highlight w:val="none"/>
        </w:rPr>
        <w:t xml:space="preserve">等投标文件的实质性内容；</w:t>
      </w:r>
      <w:r/>
    </w:p>
    <w:p>
      <w:pPr>
        <w:ind w:firstLine="420"/>
        <w:spacing w:line="360" w:lineRule="auto"/>
        <w:rPr>
          <w:rFonts w:hAnsi="宋体" w:cs="宋体"/>
          <w:color w:val="auto"/>
          <w:highlight w:val="none"/>
        </w:rPr>
      </w:pPr>
      <w:r>
        <w:rPr>
          <w:rFonts w:hint="eastAsia" w:hAnsi="宋体" w:cs="宋体"/>
          <w:color w:val="auto"/>
          <w:highlight w:val="none"/>
        </w:rPr>
        <w:t xml:space="preserve">2.</w:t>
      </w:r>
      <w:r>
        <w:rPr>
          <w:rFonts w:hAnsi="宋体" w:cs="宋体"/>
          <w:color w:val="auto"/>
          <w:highlight w:val="none"/>
        </w:rPr>
        <w:t xml:space="preserve">属于同一集团、协会、商会等组织成员的投标人按照该组织要求协同</w:t>
      </w:r>
      <w:r>
        <w:rPr>
          <w:rFonts w:hint="eastAsia" w:hAnsi="宋体" w:cs="宋体"/>
          <w:color w:val="auto"/>
          <w:highlight w:val="none"/>
        </w:rPr>
        <w:t xml:space="preserve">参加投标</w:t>
      </w:r>
      <w:r>
        <w:rPr>
          <w:rFonts w:hAnsi="宋体" w:cs="宋体"/>
          <w:color w:val="auto"/>
          <w:highlight w:val="none"/>
        </w:rPr>
        <w:t xml:space="preserve">；</w:t>
      </w:r>
      <w:r/>
    </w:p>
    <w:p>
      <w:pPr>
        <w:ind w:firstLine="420"/>
        <w:spacing w:line="360" w:lineRule="auto"/>
        <w:rPr>
          <w:rFonts w:hAnsi="宋体" w:cs="宋体"/>
          <w:color w:val="auto"/>
          <w:highlight w:val="none"/>
        </w:rPr>
      </w:pPr>
      <w:r>
        <w:rPr>
          <w:rFonts w:hint="eastAsia" w:hAnsi="宋体" w:cs="宋体"/>
          <w:color w:val="auto"/>
          <w:highlight w:val="none"/>
        </w:rPr>
        <w:t xml:space="preserve">3.</w:t>
      </w:r>
      <w:r>
        <w:rPr>
          <w:rFonts w:hAnsi="宋体" w:cs="宋体"/>
          <w:color w:val="auto"/>
          <w:highlight w:val="none"/>
        </w:rPr>
        <w:t xml:space="preserve">投标人之间</w:t>
      </w:r>
      <w:r>
        <w:rPr>
          <w:rFonts w:hint="eastAsia" w:hAnsi="宋体" w:cs="宋体"/>
          <w:color w:val="auto"/>
          <w:highlight w:val="none"/>
        </w:rPr>
        <w:t xml:space="preserve">事先约定由某一特定投标人</w:t>
      </w:r>
      <w:r>
        <w:rPr>
          <w:rFonts w:hAnsi="宋体" w:cs="宋体"/>
          <w:color w:val="auto"/>
          <w:highlight w:val="none"/>
        </w:rPr>
        <w:t xml:space="preserve">中标；</w:t>
      </w:r>
      <w:r/>
    </w:p>
    <w:p>
      <w:pPr>
        <w:ind w:firstLine="420"/>
        <w:spacing w:line="360" w:lineRule="auto"/>
        <w:rPr>
          <w:rFonts w:hAnsi="宋体" w:cs="宋体"/>
          <w:color w:val="auto"/>
          <w:highlight w:val="none"/>
        </w:rPr>
      </w:pPr>
      <w:r>
        <w:rPr>
          <w:rFonts w:hint="eastAsia" w:hAnsi="宋体" w:cs="宋体"/>
          <w:color w:val="auto"/>
          <w:highlight w:val="none"/>
        </w:rPr>
        <w:t xml:space="preserve">4.</w:t>
      </w:r>
      <w:r>
        <w:rPr>
          <w:rFonts w:hint="eastAsia"/>
          <w:color w:val="auto"/>
          <w:highlight w:val="none"/>
        </w:rPr>
        <w:t xml:space="preserve">投标人</w:t>
      </w:r>
      <w:r>
        <w:rPr>
          <w:rFonts w:hint="eastAsia" w:hAnsi="宋体" w:cs="宋体"/>
          <w:color w:val="auto"/>
          <w:highlight w:val="none"/>
        </w:rPr>
        <w:t xml:space="preserve">之间商定部分投标人放弃参加投标或者放弃中标</w:t>
      </w:r>
      <w:r>
        <w:rPr>
          <w:rFonts w:hAnsi="宋体" w:cs="宋体"/>
          <w:color w:val="auto"/>
          <w:highlight w:val="none"/>
        </w:rPr>
        <w:t xml:space="preserve">；</w:t>
      </w:r>
      <w:r/>
    </w:p>
    <w:p>
      <w:pPr>
        <w:ind w:firstLine="420"/>
        <w:spacing w:line="360" w:lineRule="auto"/>
        <w:rPr>
          <w:rFonts w:hAnsi="宋体" w:cs="Arial"/>
          <w:color w:val="auto"/>
          <w:highlight w:val="none"/>
        </w:rPr>
      </w:pPr>
      <w:r>
        <w:rPr>
          <w:rFonts w:hint="eastAsia" w:hAnsi="宋体" w:cs="宋体"/>
          <w:color w:val="auto"/>
          <w:highlight w:val="none"/>
        </w:rPr>
        <w:t xml:space="preserve">5.</w:t>
      </w:r>
      <w:r>
        <w:rPr>
          <w:rFonts w:hAnsi="宋体" w:cs="宋体"/>
          <w:color w:val="auto"/>
          <w:highlight w:val="none"/>
        </w:rPr>
        <w:t xml:space="preserve">投标人之间为谋取中标或者排斥特定投标人而采取的其他联合行动。</w:t>
      </w:r>
      <w:r/>
    </w:p>
    <w:p>
      <w:pPr>
        <w:ind w:firstLine="420"/>
        <w:spacing w:line="360" w:lineRule="auto"/>
        <w:rPr>
          <w:rFonts w:hAnsi="宋体" w:cs="Arial"/>
          <w:color w:val="auto"/>
          <w:highlight w:val="none"/>
        </w:rPr>
      </w:pPr>
      <w:r>
        <w:rPr>
          <w:rFonts w:hint="eastAsia" w:hAnsi="宋体" w:cs="Arial"/>
          <w:color w:val="auto"/>
          <w:highlight w:val="none"/>
        </w:rPr>
        <w:t xml:space="preserve">6.</w:t>
      </w:r>
      <w:r>
        <w:rPr>
          <w:rFonts w:hAnsi="宋体" w:cs="Arial"/>
          <w:color w:val="auto"/>
          <w:highlight w:val="none"/>
        </w:rPr>
        <w:t xml:space="preserve">不同投标人的投标文件由同一单位或者个人编制；</w:t>
      </w:r>
      <w:r/>
    </w:p>
    <w:p>
      <w:pPr>
        <w:ind w:firstLine="420"/>
        <w:spacing w:line="360" w:lineRule="auto"/>
        <w:rPr>
          <w:rFonts w:hAnsi="宋体" w:cs="Arial"/>
          <w:color w:val="auto"/>
          <w:highlight w:val="none"/>
        </w:rPr>
      </w:pPr>
      <w:r>
        <w:rPr>
          <w:rFonts w:hint="eastAsia" w:hAnsi="宋体" w:cs="Arial"/>
          <w:color w:val="auto"/>
          <w:highlight w:val="none"/>
        </w:rPr>
        <w:t xml:space="preserve">7.</w:t>
      </w:r>
      <w:r>
        <w:rPr>
          <w:rFonts w:hAnsi="宋体" w:cs="Arial"/>
          <w:color w:val="auto"/>
          <w:highlight w:val="none"/>
        </w:rPr>
        <w:t xml:space="preserve">不同投标人委托同一单位或者个人办理投标事宜；</w:t>
      </w:r>
      <w:r/>
    </w:p>
    <w:p>
      <w:pPr>
        <w:ind w:firstLine="420"/>
        <w:spacing w:line="360" w:lineRule="auto"/>
        <w:rPr>
          <w:rFonts w:hAnsi="宋体" w:cs="Arial"/>
          <w:color w:val="auto"/>
          <w:highlight w:val="none"/>
        </w:rPr>
      </w:pPr>
      <w:r>
        <w:rPr>
          <w:rFonts w:hint="eastAsia" w:hAnsi="宋体" w:cs="Arial"/>
          <w:color w:val="auto"/>
          <w:highlight w:val="none"/>
        </w:rPr>
        <w:t xml:space="preserve">8.</w:t>
      </w:r>
      <w:r>
        <w:rPr>
          <w:rFonts w:hAnsi="宋体" w:cs="Arial"/>
          <w:color w:val="auto"/>
          <w:highlight w:val="none"/>
        </w:rPr>
        <w:t xml:space="preserve">不同投标人的投标文件载明的项目管理成员或者联系人员为同一人；</w:t>
      </w:r>
      <w:r/>
    </w:p>
    <w:p>
      <w:pPr>
        <w:ind w:firstLine="420"/>
        <w:spacing w:line="360" w:lineRule="auto"/>
        <w:rPr>
          <w:rFonts w:hAnsi="宋体" w:cs="Arial"/>
          <w:color w:val="auto"/>
          <w:highlight w:val="none"/>
        </w:rPr>
      </w:pPr>
      <w:r>
        <w:rPr>
          <w:rFonts w:hint="eastAsia" w:hAnsi="宋体" w:cs="Arial"/>
          <w:color w:val="auto"/>
          <w:highlight w:val="none"/>
        </w:rPr>
        <w:t xml:space="preserve">9.</w:t>
      </w:r>
      <w:r>
        <w:rPr>
          <w:rFonts w:hAnsi="宋体" w:cs="Arial"/>
          <w:color w:val="auto"/>
          <w:highlight w:val="none"/>
        </w:rPr>
        <w:t xml:space="preserve">不同投标人的投标文件异常一致或者投标报价呈规律性差异；</w:t>
      </w:r>
      <w:r/>
    </w:p>
    <w:p>
      <w:pPr>
        <w:ind w:firstLine="420"/>
        <w:spacing w:line="360" w:lineRule="auto"/>
        <w:rPr>
          <w:rFonts w:hAnsi="宋体" w:cs="Arial"/>
          <w:color w:val="auto"/>
          <w:highlight w:val="none"/>
        </w:rPr>
      </w:pPr>
      <w:r>
        <w:rPr>
          <w:rFonts w:hint="eastAsia" w:hAnsi="宋体" w:cs="Arial"/>
          <w:color w:val="auto"/>
          <w:highlight w:val="none"/>
        </w:rPr>
        <w:t xml:space="preserve">10.</w:t>
      </w:r>
      <w:r>
        <w:rPr>
          <w:rFonts w:hAnsi="宋体" w:cs="Arial"/>
          <w:color w:val="auto"/>
          <w:highlight w:val="none"/>
        </w:rPr>
        <w:t xml:space="preserve">不同投标人的投标文件相互混装；</w:t>
      </w:r>
      <w:r/>
    </w:p>
    <w:p>
      <w:pPr>
        <w:ind w:firstLine="420"/>
        <w:spacing w:line="360" w:lineRule="auto"/>
        <w:rPr>
          <w:rFonts w:hAnsi="宋体" w:cs="Arial"/>
          <w:color w:val="auto"/>
          <w:highlight w:val="none"/>
        </w:rPr>
      </w:pPr>
      <w:r>
        <w:rPr>
          <w:rFonts w:hint="eastAsia" w:hAnsi="宋体" w:cs="Arial"/>
          <w:color w:val="auto"/>
          <w:highlight w:val="none"/>
        </w:rPr>
        <w:t xml:space="preserve">11.</w:t>
      </w:r>
      <w:r>
        <w:rPr>
          <w:rFonts w:hAnsi="宋体" w:cs="Arial"/>
          <w:color w:val="auto"/>
          <w:highlight w:val="none"/>
        </w:rPr>
        <w:t xml:space="preserve">不同投标人的投标保证金从同一单位或者个人的账户转出。</w:t>
      </w:r>
      <w:r/>
    </w:p>
    <w:p>
      <w:pPr>
        <w:spacing w:line="360" w:lineRule="auto"/>
        <w:rPr>
          <w:rFonts w:hAnsi="宋体" w:cs="Arial"/>
          <w:color w:val="auto"/>
          <w:highlight w:val="none"/>
        </w:rPr>
      </w:pPr>
      <w:r>
        <w:rPr>
          <w:rFonts w:hAnsi="宋体" w:cs="Arial"/>
          <w:color w:val="auto"/>
          <w:highlight w:val="none"/>
        </w:rPr>
      </w:r>
      <w:r/>
    </w:p>
    <w:p>
      <w:pPr>
        <w:spacing w:line="360" w:lineRule="auto"/>
        <w:rPr>
          <w:rFonts w:hAnsi="宋体"/>
          <w:color w:val="auto"/>
          <w:highlight w:val="none"/>
        </w:rPr>
      </w:pPr>
      <w:r>
        <w:rPr>
          <w:rFonts w:hint="eastAsia" w:hAnsi="宋体" w:cs="Arial"/>
          <w:color w:val="auto"/>
          <w:highlight w:val="none"/>
        </w:rPr>
        <w:t xml:space="preserve">将被判定为存在围标串标情形，相关投标文件均将被否决。</w:t>
      </w:r>
      <w:r>
        <w:rPr>
          <w:rFonts w:hAnsi="宋体" w:cs="Arial"/>
          <w:color w:val="auto"/>
          <w:highlight w:val="none"/>
        </w:rPr>
        <w:br/>
      </w:r>
      <w:r/>
    </w:p>
    <w:p>
      <w:pPr>
        <w:rPr>
          <w:color w:val="auto"/>
          <w:sz w:val="20"/>
          <w:highlight w:val="none"/>
        </w:rPr>
      </w:pPr>
      <w:r>
        <w:rPr>
          <w:color w:val="auto"/>
          <w:sz w:val="20"/>
          <w:highlight w:val="none"/>
        </w:rPr>
      </w:r>
      <w:r/>
    </w:p>
    <w:p>
      <w:pPr>
        <w:rPr>
          <w:rFonts w:ascii="宋体" w:hAnsi="宋体" w:cs="宋体"/>
          <w:color w:val="auto"/>
          <w:sz w:val="20"/>
          <w:highlight w:val="none"/>
        </w:rPr>
      </w:pPr>
      <w:r>
        <w:rPr>
          <w:rFonts w:ascii="宋体" w:hAnsi="宋体" w:cs="宋体"/>
          <w:color w:val="auto"/>
          <w:sz w:val="20"/>
          <w:highlight w:val="none"/>
        </w:rPr>
      </w:r>
      <w:r/>
    </w:p>
    <w:p>
      <w:r/>
      <w:r/>
    </w:p>
    <w:sectPr>
      <w:headerReference w:type="default" r:id="rId9"/>
      <w:footerReference w:type="default" r:id="rId12"/>
      <w:footnotePr/>
      <w:endnotePr/>
      <w:type w:val="nextPage"/>
      <w:pgSz w:w="11906" w:h="16838" w:orient="portrait"/>
      <w:pgMar w:top="1270" w:right="1083" w:bottom="1270" w:left="1083" w:header="851" w:footer="992" w:gutter="0"/>
      <w:pgNumType w:start="4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大标宋简体">
    <w:panose1 w:val="020B0503020202020204"/>
  </w:font>
  <w:font w:name="仿宋">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宋体">
    <w:panose1 w:val="0201060003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spacing w:line="330" w:lineRule="atLeast"/>
      <w:widowControl/>
      <w:rPr>
        <w:rFonts w:hint="default"/>
        <w:color w:val="44546a"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333f50" w:themeColor="text2" w:themeShade="BF"/>
        <w:sz w:val="22"/>
        <w:szCs w:val="28"/>
        <w:u w:val="single"/>
      </w:rPr>
      <w:t xml:space="preserve">江苏弘业国际技术工程有限公司                            公开·公平·公正·诚实信用</w:t>
    </w:r>
    <w:r/>
  </w:p>
  <w:p>
    <w:pPr>
      <w:pStyle w:val="982"/>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7">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8">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860" w:hanging="44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3">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15">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num w:numId="1">
    <w:abstractNumId w:val="11"/>
  </w:num>
  <w:num w:numId="2">
    <w:abstractNumId w:val="13"/>
  </w:num>
  <w:num w:numId="3">
    <w:abstractNumId w:val="5"/>
  </w:num>
  <w:num w:numId="4">
    <w:abstractNumId w:val="10"/>
  </w:num>
  <w:num w:numId="5">
    <w:abstractNumId w:val="6"/>
  </w:num>
  <w:num w:numId="6">
    <w:abstractNumId w:val="12"/>
  </w:num>
  <w:num w:numId="7">
    <w:abstractNumId w:val="7"/>
  </w:num>
  <w:num w:numId="8">
    <w:abstractNumId w:val="15"/>
  </w:num>
  <w:num w:numId="9">
    <w:abstractNumId w:val="14"/>
  </w:num>
  <w:num w:numId="10">
    <w:abstractNumId w:val="1"/>
  </w:num>
  <w:num w:numId="11">
    <w:abstractNumId w:val="8"/>
    <w:lvlOverride w:ilvl="0">
      <w:startOverride w:val="1"/>
    </w:lvlOverride>
  </w:num>
  <w:num w:numId="12">
    <w:abstractNumId w:val="0"/>
  </w:num>
  <w:num w:numId="13">
    <w:abstractNumId w:val="3"/>
  </w:num>
  <w:num w:numId="14">
    <w:abstractNumId w:val="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1">
    <w:name w:val="Heading 1 Char"/>
    <w:basedOn w:val="976"/>
    <w:link w:val="975"/>
    <w:uiPriority w:val="9"/>
    <w:rPr>
      <w:rFonts w:ascii="Arial" w:hAnsi="Arial" w:eastAsia="Arial" w:cs="Arial"/>
      <w:sz w:val="40"/>
      <w:szCs w:val="40"/>
    </w:rPr>
  </w:style>
  <w:style w:type="paragraph" w:styleId="802">
    <w:name w:val="Heading 2"/>
    <w:basedOn w:val="974"/>
    <w:next w:val="974"/>
    <w:link w:val="803"/>
    <w:uiPriority w:val="9"/>
    <w:unhideWhenUsed/>
    <w:qFormat/>
    <w:pPr>
      <w:keepLines/>
      <w:keepNext/>
      <w:spacing w:before="360" w:after="200"/>
      <w:outlineLvl w:val="1"/>
    </w:pPr>
    <w:rPr>
      <w:rFonts w:ascii="Arial" w:hAnsi="Arial" w:eastAsia="Arial" w:cs="Arial"/>
      <w:sz w:val="34"/>
    </w:rPr>
  </w:style>
  <w:style w:type="character" w:styleId="803">
    <w:name w:val="Heading 2 Char"/>
    <w:basedOn w:val="976"/>
    <w:link w:val="802"/>
    <w:uiPriority w:val="9"/>
    <w:rPr>
      <w:rFonts w:ascii="Arial" w:hAnsi="Arial" w:eastAsia="Arial" w:cs="Arial"/>
      <w:sz w:val="34"/>
    </w:rPr>
  </w:style>
  <w:style w:type="paragraph" w:styleId="804">
    <w:name w:val="Heading 3"/>
    <w:basedOn w:val="974"/>
    <w:next w:val="974"/>
    <w:link w:val="805"/>
    <w:uiPriority w:val="9"/>
    <w:unhideWhenUsed/>
    <w:qFormat/>
    <w:pPr>
      <w:keepLines/>
      <w:keepNext/>
      <w:spacing w:before="320" w:after="200"/>
      <w:outlineLvl w:val="2"/>
    </w:pPr>
    <w:rPr>
      <w:rFonts w:ascii="Arial" w:hAnsi="Arial" w:eastAsia="Arial" w:cs="Arial"/>
      <w:sz w:val="30"/>
      <w:szCs w:val="30"/>
    </w:rPr>
  </w:style>
  <w:style w:type="character" w:styleId="805">
    <w:name w:val="Heading 3 Char"/>
    <w:basedOn w:val="976"/>
    <w:link w:val="804"/>
    <w:uiPriority w:val="9"/>
    <w:rPr>
      <w:rFonts w:ascii="Arial" w:hAnsi="Arial" w:eastAsia="Arial" w:cs="Arial"/>
      <w:sz w:val="30"/>
      <w:szCs w:val="30"/>
    </w:rPr>
  </w:style>
  <w:style w:type="paragraph" w:styleId="806">
    <w:name w:val="Heading 4"/>
    <w:basedOn w:val="974"/>
    <w:next w:val="974"/>
    <w:link w:val="807"/>
    <w:uiPriority w:val="9"/>
    <w:unhideWhenUsed/>
    <w:qFormat/>
    <w:pPr>
      <w:keepLines/>
      <w:keepNext/>
      <w:spacing w:before="320" w:after="200"/>
      <w:outlineLvl w:val="3"/>
    </w:pPr>
    <w:rPr>
      <w:rFonts w:ascii="Arial" w:hAnsi="Arial" w:eastAsia="Arial" w:cs="Arial"/>
      <w:b/>
      <w:bCs/>
      <w:sz w:val="26"/>
      <w:szCs w:val="26"/>
    </w:rPr>
  </w:style>
  <w:style w:type="character" w:styleId="807">
    <w:name w:val="Heading 4 Char"/>
    <w:basedOn w:val="976"/>
    <w:link w:val="806"/>
    <w:uiPriority w:val="9"/>
    <w:rPr>
      <w:rFonts w:ascii="Arial" w:hAnsi="Arial" w:eastAsia="Arial" w:cs="Arial"/>
      <w:b/>
      <w:bCs/>
      <w:sz w:val="26"/>
      <w:szCs w:val="26"/>
    </w:rPr>
  </w:style>
  <w:style w:type="paragraph" w:styleId="808">
    <w:name w:val="Heading 5"/>
    <w:basedOn w:val="974"/>
    <w:next w:val="974"/>
    <w:link w:val="809"/>
    <w:uiPriority w:val="9"/>
    <w:unhideWhenUsed/>
    <w:qFormat/>
    <w:pPr>
      <w:keepLines/>
      <w:keepNext/>
      <w:spacing w:before="320" w:after="200"/>
      <w:outlineLvl w:val="4"/>
    </w:pPr>
    <w:rPr>
      <w:rFonts w:ascii="Arial" w:hAnsi="Arial" w:eastAsia="Arial" w:cs="Arial"/>
      <w:b/>
      <w:bCs/>
      <w:sz w:val="24"/>
      <w:szCs w:val="24"/>
    </w:rPr>
  </w:style>
  <w:style w:type="character" w:styleId="809">
    <w:name w:val="Heading 5 Char"/>
    <w:basedOn w:val="976"/>
    <w:link w:val="808"/>
    <w:uiPriority w:val="9"/>
    <w:rPr>
      <w:rFonts w:ascii="Arial" w:hAnsi="Arial" w:eastAsia="Arial" w:cs="Arial"/>
      <w:b/>
      <w:bCs/>
      <w:sz w:val="24"/>
      <w:szCs w:val="24"/>
    </w:rPr>
  </w:style>
  <w:style w:type="paragraph" w:styleId="810">
    <w:name w:val="Heading 6"/>
    <w:basedOn w:val="974"/>
    <w:next w:val="974"/>
    <w:link w:val="811"/>
    <w:uiPriority w:val="9"/>
    <w:unhideWhenUsed/>
    <w:qFormat/>
    <w:pPr>
      <w:keepLines/>
      <w:keepNext/>
      <w:spacing w:before="320" w:after="200"/>
      <w:outlineLvl w:val="5"/>
    </w:pPr>
    <w:rPr>
      <w:rFonts w:ascii="Arial" w:hAnsi="Arial" w:eastAsia="Arial" w:cs="Arial"/>
      <w:b/>
      <w:bCs/>
      <w:sz w:val="22"/>
      <w:szCs w:val="22"/>
    </w:rPr>
  </w:style>
  <w:style w:type="character" w:styleId="811">
    <w:name w:val="Heading 6 Char"/>
    <w:basedOn w:val="976"/>
    <w:link w:val="810"/>
    <w:uiPriority w:val="9"/>
    <w:rPr>
      <w:rFonts w:ascii="Arial" w:hAnsi="Arial" w:eastAsia="Arial" w:cs="Arial"/>
      <w:b/>
      <w:bCs/>
      <w:sz w:val="22"/>
      <w:szCs w:val="22"/>
    </w:rPr>
  </w:style>
  <w:style w:type="paragraph" w:styleId="812">
    <w:name w:val="Heading 7"/>
    <w:basedOn w:val="974"/>
    <w:next w:val="974"/>
    <w:link w:val="813"/>
    <w:uiPriority w:val="9"/>
    <w:unhideWhenUsed/>
    <w:qFormat/>
    <w:pPr>
      <w:keepLines/>
      <w:keepNext/>
      <w:spacing w:before="320" w:after="200"/>
      <w:outlineLvl w:val="6"/>
    </w:pPr>
    <w:rPr>
      <w:rFonts w:ascii="Arial" w:hAnsi="Arial" w:eastAsia="Arial" w:cs="Arial"/>
      <w:b/>
      <w:bCs/>
      <w:i/>
      <w:iCs/>
      <w:sz w:val="22"/>
      <w:szCs w:val="22"/>
    </w:rPr>
  </w:style>
  <w:style w:type="character" w:styleId="813">
    <w:name w:val="Heading 7 Char"/>
    <w:basedOn w:val="976"/>
    <w:link w:val="812"/>
    <w:uiPriority w:val="9"/>
    <w:rPr>
      <w:rFonts w:ascii="Arial" w:hAnsi="Arial" w:eastAsia="Arial" w:cs="Arial"/>
      <w:b/>
      <w:bCs/>
      <w:i/>
      <w:iCs/>
      <w:sz w:val="22"/>
      <w:szCs w:val="22"/>
    </w:rPr>
  </w:style>
  <w:style w:type="paragraph" w:styleId="814">
    <w:name w:val="Heading 8"/>
    <w:basedOn w:val="974"/>
    <w:next w:val="974"/>
    <w:link w:val="815"/>
    <w:uiPriority w:val="9"/>
    <w:unhideWhenUsed/>
    <w:qFormat/>
    <w:pPr>
      <w:keepLines/>
      <w:keepNext/>
      <w:spacing w:before="320" w:after="200"/>
      <w:outlineLvl w:val="7"/>
    </w:pPr>
    <w:rPr>
      <w:rFonts w:ascii="Arial" w:hAnsi="Arial" w:eastAsia="Arial" w:cs="Arial"/>
      <w:i/>
      <w:iCs/>
      <w:sz w:val="22"/>
      <w:szCs w:val="22"/>
    </w:rPr>
  </w:style>
  <w:style w:type="character" w:styleId="815">
    <w:name w:val="Heading 8 Char"/>
    <w:basedOn w:val="976"/>
    <w:link w:val="814"/>
    <w:uiPriority w:val="9"/>
    <w:rPr>
      <w:rFonts w:ascii="Arial" w:hAnsi="Arial" w:eastAsia="Arial" w:cs="Arial"/>
      <w:i/>
      <w:iCs/>
      <w:sz w:val="22"/>
      <w:szCs w:val="22"/>
    </w:rPr>
  </w:style>
  <w:style w:type="paragraph" w:styleId="816">
    <w:name w:val="Heading 9"/>
    <w:basedOn w:val="974"/>
    <w:next w:val="974"/>
    <w:link w:val="817"/>
    <w:uiPriority w:val="9"/>
    <w:unhideWhenUsed/>
    <w:qFormat/>
    <w:pPr>
      <w:keepLines/>
      <w:keepNext/>
      <w:spacing w:before="320" w:after="200"/>
      <w:outlineLvl w:val="8"/>
    </w:pPr>
    <w:rPr>
      <w:rFonts w:ascii="Arial" w:hAnsi="Arial" w:eastAsia="Arial" w:cs="Arial"/>
      <w:i/>
      <w:iCs/>
      <w:sz w:val="21"/>
      <w:szCs w:val="21"/>
    </w:rPr>
  </w:style>
  <w:style w:type="character" w:styleId="817">
    <w:name w:val="Heading 9 Char"/>
    <w:basedOn w:val="976"/>
    <w:link w:val="816"/>
    <w:uiPriority w:val="9"/>
    <w:rPr>
      <w:rFonts w:ascii="Arial" w:hAnsi="Arial" w:eastAsia="Arial" w:cs="Arial"/>
      <w:i/>
      <w:iCs/>
      <w:sz w:val="21"/>
      <w:szCs w:val="21"/>
    </w:rPr>
  </w:style>
  <w:style w:type="paragraph" w:styleId="818">
    <w:name w:val="No Spacing"/>
    <w:uiPriority w:val="1"/>
    <w:qFormat/>
    <w:pPr>
      <w:spacing w:before="0" w:after="0" w:line="240" w:lineRule="auto"/>
    </w:pPr>
  </w:style>
  <w:style w:type="paragraph" w:styleId="819">
    <w:name w:val="Title"/>
    <w:basedOn w:val="974"/>
    <w:next w:val="974"/>
    <w:link w:val="820"/>
    <w:uiPriority w:val="10"/>
    <w:qFormat/>
    <w:pPr>
      <w:contextualSpacing/>
      <w:spacing w:before="300" w:after="200"/>
    </w:pPr>
    <w:rPr>
      <w:sz w:val="48"/>
      <w:szCs w:val="48"/>
    </w:rPr>
  </w:style>
  <w:style w:type="character" w:styleId="820">
    <w:name w:val="Title Char"/>
    <w:basedOn w:val="976"/>
    <w:link w:val="819"/>
    <w:uiPriority w:val="10"/>
    <w:rPr>
      <w:sz w:val="48"/>
      <w:szCs w:val="48"/>
    </w:rPr>
  </w:style>
  <w:style w:type="paragraph" w:styleId="821">
    <w:name w:val="Subtitle"/>
    <w:basedOn w:val="974"/>
    <w:next w:val="974"/>
    <w:link w:val="822"/>
    <w:uiPriority w:val="11"/>
    <w:qFormat/>
    <w:pPr>
      <w:spacing w:before="200" w:after="200"/>
    </w:pPr>
    <w:rPr>
      <w:sz w:val="24"/>
      <w:szCs w:val="24"/>
    </w:rPr>
  </w:style>
  <w:style w:type="character" w:styleId="822">
    <w:name w:val="Subtitle Char"/>
    <w:basedOn w:val="976"/>
    <w:link w:val="821"/>
    <w:uiPriority w:val="11"/>
    <w:rPr>
      <w:sz w:val="24"/>
      <w:szCs w:val="24"/>
    </w:rPr>
  </w:style>
  <w:style w:type="paragraph" w:styleId="823">
    <w:name w:val="Quote"/>
    <w:basedOn w:val="974"/>
    <w:next w:val="974"/>
    <w:link w:val="824"/>
    <w:uiPriority w:val="29"/>
    <w:qFormat/>
    <w:pPr>
      <w:ind w:left="720" w:right="720"/>
    </w:pPr>
    <w:rPr>
      <w:i/>
    </w:rPr>
  </w:style>
  <w:style w:type="character" w:styleId="824">
    <w:name w:val="Quote Char"/>
    <w:link w:val="823"/>
    <w:uiPriority w:val="29"/>
    <w:rPr>
      <w:i/>
    </w:rPr>
  </w:style>
  <w:style w:type="paragraph" w:styleId="825">
    <w:name w:val="Intense Quote"/>
    <w:basedOn w:val="974"/>
    <w:next w:val="974"/>
    <w:link w:val="8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name w:val="Intense Quote Char"/>
    <w:link w:val="825"/>
    <w:uiPriority w:val="30"/>
    <w:rPr>
      <w:i/>
    </w:rPr>
  </w:style>
  <w:style w:type="character" w:styleId="827">
    <w:name w:val="Header Char"/>
    <w:basedOn w:val="976"/>
    <w:link w:val="982"/>
    <w:uiPriority w:val="99"/>
  </w:style>
  <w:style w:type="character" w:styleId="828">
    <w:name w:val="Footer Char"/>
    <w:basedOn w:val="976"/>
    <w:link w:val="981"/>
    <w:uiPriority w:val="99"/>
  </w:style>
  <w:style w:type="paragraph" w:styleId="829">
    <w:name w:val="Caption"/>
    <w:basedOn w:val="974"/>
    <w:next w:val="974"/>
    <w:uiPriority w:val="35"/>
    <w:semiHidden/>
    <w:unhideWhenUsed/>
    <w:qFormat/>
    <w:pPr>
      <w:spacing w:line="276" w:lineRule="auto"/>
    </w:pPr>
    <w:rPr>
      <w:b/>
      <w:bCs/>
      <w:color w:val="4f81bd" w:themeColor="accent1"/>
      <w:sz w:val="18"/>
      <w:szCs w:val="18"/>
    </w:rPr>
  </w:style>
  <w:style w:type="character" w:styleId="830">
    <w:name w:val="Caption Char"/>
    <w:basedOn w:val="829"/>
    <w:link w:val="981"/>
    <w:uiPriority w:val="99"/>
  </w:style>
  <w:style w:type="table" w:styleId="831">
    <w:name w:val="Table Grid"/>
    <w:basedOn w:val="9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8">
    <w:name w:val="Grid Table 5 Dark - Accent 2"/>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9">
    <w:name w:val="Grid Table 5 Dark - Accent 3"/>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0">
    <w:name w:val="Grid Table 5 Dark- Accent 4"/>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1">
    <w:name w:val="Grid Table 5 Dark - Accent 5"/>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2">
    <w:name w:val="Grid Table 5 Dark - Accent 6"/>
    <w:basedOn w:val="9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3">
    <w:name w:val="Grid Table 6 Colorful"/>
    <w:basedOn w:val="9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3">
    <w:name w:val="List Table 3 - Accent 2"/>
    <w:basedOn w:val="9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4">
    <w:name w:val="List Table 3 - Accent 3"/>
    <w:basedOn w:val="9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5">
    <w:name w:val="List Table 3 - Accent 4"/>
    <w:basedOn w:val="9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6">
    <w:name w:val="List Table 3 - Accent 5"/>
    <w:basedOn w:val="9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7">
    <w:name w:val="List Table 3 - Accent 6"/>
    <w:basedOn w:val="9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8">
    <w:name w:val="List Table 4"/>
    <w:basedOn w:val="9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0">
    <w:name w:val="List Table 4 - Accent 2"/>
    <w:basedOn w:val="9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1">
    <w:name w:val="List Table 4 - Accent 3"/>
    <w:basedOn w:val="9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2">
    <w:name w:val="List Table 4 - Accent 4"/>
    <w:basedOn w:val="9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3">
    <w:name w:val="List Table 4 - Accent 5"/>
    <w:basedOn w:val="9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4">
    <w:name w:val="List Table 4 - Accent 6"/>
    <w:basedOn w:val="9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5">
    <w:name w:val="List Table 5 Dark"/>
    <w:basedOn w:val="9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4">
    <w:name w:val="List Table 6 Colorful - Accent 2"/>
    <w:basedOn w:val="9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5">
    <w:name w:val="List Table 6 Colorful - Accent 3"/>
    <w:basedOn w:val="9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6">
    <w:name w:val="List Table 6 Colorful - Accent 4"/>
    <w:basedOn w:val="9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7">
    <w:name w:val="List Table 6 Colorful - Accent 5"/>
    <w:basedOn w:val="9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8">
    <w:name w:val="List Table 6 Colorful - Accent 6"/>
    <w:basedOn w:val="9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9">
    <w:name w:val="List Table 7 Colorful"/>
    <w:basedOn w:val="9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1">
    <w:name w:val="List Table 7 Colorful - Accent 2"/>
    <w:basedOn w:val="9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2">
    <w:name w:val="List Table 7 Colorful - Accent 3"/>
    <w:basedOn w:val="9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3">
    <w:name w:val="List Table 7 Colorful - Accent 4"/>
    <w:basedOn w:val="9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4">
    <w:name w:val="List Table 7 Colorful - Accent 5"/>
    <w:basedOn w:val="9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5">
    <w:name w:val="List Table 7 Colorful - Accent 6"/>
    <w:basedOn w:val="9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6">
    <w:name w:val="Lined - Accent"/>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8">
    <w:name w:val="Lined - Accent 2"/>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9">
    <w:name w:val="Lined - Accent 3"/>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0">
    <w:name w:val="Lined - Accent 4"/>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1">
    <w:name w:val="Lined - Accent 5"/>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2">
    <w:name w:val="Lined - Accent 6"/>
    <w:basedOn w:val="9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3">
    <w:name w:val="Bordered &amp; Lined - Accent"/>
    <w:basedOn w:val="9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5">
    <w:name w:val="Bordered &amp; Lined - Accent 2"/>
    <w:basedOn w:val="9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6">
    <w:name w:val="Bordered &amp; Lined - Accent 3"/>
    <w:basedOn w:val="9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7">
    <w:name w:val="Bordered &amp; Lined - Accent 4"/>
    <w:basedOn w:val="9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8">
    <w:name w:val="Bordered &amp; Lined - Accent 5"/>
    <w:basedOn w:val="9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9">
    <w:name w:val="Bordered &amp; Lined - Accent 6"/>
    <w:basedOn w:val="9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0">
    <w:name w:val="Bordered"/>
    <w:basedOn w:val="9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4"/>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basedOn w:val="976"/>
    <w:uiPriority w:val="99"/>
    <w:unhideWhenUsed/>
    <w:rPr>
      <w:vertAlign w:val="superscript"/>
    </w:rPr>
  </w:style>
  <w:style w:type="paragraph" w:styleId="961">
    <w:name w:val="endnote text"/>
    <w:basedOn w:val="974"/>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basedOn w:val="976"/>
    <w:uiPriority w:val="99"/>
    <w:semiHidden/>
    <w:unhideWhenUsed/>
    <w:rPr>
      <w:vertAlign w:val="superscript"/>
    </w:r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75">
    <w:name w:val="Heading 1"/>
    <w:basedOn w:val="974"/>
    <w:next w:val="974"/>
    <w:link w:val="990"/>
    <w:uiPriority w:val="9"/>
    <w:qFormat/>
    <w:pPr>
      <w:jc w:val="center"/>
      <w:keepLines/>
      <w:keepNext/>
      <w:spacing w:before="480" w:after="200"/>
      <w:outlineLvl w:val="0"/>
    </w:pPr>
    <w:rPr>
      <w:rFonts w:ascii="宋体" w:hAnsi="宋体" w:eastAsia="Arial" w:cs="宋体"/>
      <w:b/>
      <w:color w:val="000000"/>
      <w:sz w:val="44"/>
      <w:szCs w:val="44"/>
    </w:rPr>
  </w:style>
  <w:style w:type="character" w:styleId="976" w:default="1">
    <w:name w:val="Default Paragraph Font"/>
    <w:uiPriority w:val="0"/>
    <w:semiHidden/>
    <w:qFormat/>
  </w:style>
  <w:style w:type="table" w:styleId="977" w:default="1">
    <w:name w:val="Normal Table"/>
    <w:uiPriority w:val="0"/>
    <w:semiHidden/>
    <w:qFormat/>
    <w:tblPr>
      <w:tblCellMar>
        <w:left w:w="108" w:type="dxa"/>
        <w:top w:w="0" w:type="dxa"/>
        <w:right w:w="108" w:type="dxa"/>
        <w:bottom w:w="0" w:type="dxa"/>
      </w:tblCellMar>
    </w:tblPr>
  </w:style>
  <w:style w:type="paragraph" w:styleId="978">
    <w:name w:val="Normal Indent"/>
    <w:basedOn w:val="974"/>
    <w:next w:val="974"/>
    <w:uiPriority w:val="0"/>
    <w:qFormat/>
    <w:pPr>
      <w:ind w:firstLine="420"/>
    </w:pPr>
  </w:style>
  <w:style w:type="paragraph" w:styleId="979">
    <w:name w:val="Body Text"/>
    <w:basedOn w:val="974"/>
    <w:next w:val="974"/>
    <w:uiPriority w:val="0"/>
    <w:qFormat/>
    <w:pPr>
      <w:spacing w:after="120"/>
    </w:pPr>
    <w:rPr>
      <w:rFonts w:eastAsia="Times New Roman"/>
    </w:rPr>
  </w:style>
  <w:style w:type="paragraph" w:styleId="980">
    <w:name w:val="Plain Text"/>
    <w:basedOn w:val="974"/>
    <w:next w:val="978"/>
    <w:uiPriority w:val="0"/>
    <w:qFormat/>
    <w:rPr>
      <w:rFonts w:ascii="宋体" w:hAnsi="Courier New"/>
    </w:rPr>
  </w:style>
  <w:style w:type="paragraph" w:styleId="981">
    <w:name w:val="Footer"/>
    <w:basedOn w:val="974"/>
    <w:uiPriority w:val="99"/>
    <w:qFormat/>
    <w:pPr>
      <w:tabs>
        <w:tab w:val="center" w:pos="7143" w:leader="none"/>
        <w:tab w:val="right" w:pos="14287" w:leader="none"/>
      </w:tabs>
    </w:pPr>
  </w:style>
  <w:style w:type="paragraph" w:styleId="982">
    <w:name w:val="Header"/>
    <w:basedOn w:val="974"/>
    <w:uiPriority w:val="99"/>
    <w:qFormat/>
    <w:pPr>
      <w:tabs>
        <w:tab w:val="center" w:pos="7143" w:leader="none"/>
        <w:tab w:val="right" w:pos="14287" w:leader="none"/>
      </w:tabs>
    </w:pPr>
  </w:style>
  <w:style w:type="paragraph" w:styleId="983">
    <w:name w:val="toc 1"/>
    <w:basedOn w:val="974"/>
    <w:next w:val="974"/>
    <w:uiPriority w:val="39"/>
    <w:qFormat/>
    <w:pPr>
      <w:spacing w:after="57"/>
    </w:pPr>
  </w:style>
  <w:style w:type="paragraph" w:styleId="984">
    <w:name w:val="HTML Preformatted"/>
    <w:basedOn w:val="97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985">
    <w:name w:val="Normal (Web)"/>
    <w:basedOn w:val="974"/>
    <w:uiPriority w:val="0"/>
    <w:qFormat/>
    <w:pPr>
      <w:jc w:val="left"/>
      <w:spacing w:before="100" w:beforeAutospacing="1" w:after="100" w:afterAutospacing="1"/>
      <w:widowControl/>
    </w:pPr>
    <w:rPr>
      <w:rFonts w:ascii="宋体" w:eastAsia="Times New Roman"/>
      <w:sz w:val="24"/>
      <w:szCs w:val="20"/>
    </w:rPr>
  </w:style>
  <w:style w:type="paragraph" w:styleId="986">
    <w:name w:val="Body Text First Indent"/>
    <w:basedOn w:val="979"/>
    <w:uiPriority w:val="0"/>
    <w:qFormat/>
    <w:pPr>
      <w:ind w:firstLine="420"/>
    </w:pPr>
  </w:style>
  <w:style w:type="character" w:styleId="987">
    <w:name w:val="Strong"/>
    <w:basedOn w:val="976"/>
    <w:uiPriority w:val="0"/>
    <w:qFormat/>
    <w:rPr>
      <w:b/>
    </w:rPr>
  </w:style>
  <w:style w:type="character" w:styleId="988">
    <w:name w:val="Emphasis"/>
    <w:uiPriority w:val="0"/>
    <w:qFormat/>
    <w:rPr>
      <w:i/>
    </w:rPr>
  </w:style>
  <w:style w:type="paragraph" w:styleId="989" w:customStyle="1">
    <w:name w:val="正文文本1"/>
    <w:basedOn w:val="974"/>
    <w:uiPriority w:val="0"/>
    <w:qFormat/>
    <w:pPr>
      <w:spacing w:line="60" w:lineRule="auto"/>
    </w:pPr>
    <w:rPr>
      <w:rFonts w:ascii="仿宋_GB2312" w:eastAsia="仿宋_GB2312"/>
      <w:sz w:val="32"/>
    </w:rPr>
  </w:style>
  <w:style w:type="character" w:styleId="990" w:customStyle="1">
    <w:name w:val="标题 1 字符1"/>
    <w:link w:val="975"/>
    <w:uiPriority w:val="9"/>
    <w:qFormat/>
    <w:rPr>
      <w:rFonts w:ascii="宋体" w:hAnsi="宋体" w:eastAsia="Arial" w:cs="宋体"/>
      <w:b/>
      <w:color w:val="000000"/>
      <w:sz w:val="44"/>
      <w:szCs w:val="44"/>
    </w:rPr>
  </w:style>
  <w:style w:type="paragraph" w:styleId="991" w:customStyle="1">
    <w:name w:val="列出段落1"/>
    <w:basedOn w:val="974"/>
    <w:uiPriority w:val="99"/>
    <w:qFormat/>
    <w:pPr>
      <w:ind w:firstLine="200"/>
    </w:pPr>
    <w:rPr>
      <w:rFonts w:ascii="Calibri" w:hAnsi="Calibri"/>
    </w:rPr>
  </w:style>
  <w:style w:type="paragraph" w:styleId="992" w:customStyle="1">
    <w:name w:val="列表段落1"/>
    <w:basedOn w:val="974"/>
    <w:uiPriority w:val="34"/>
    <w:qFormat/>
    <w:pPr>
      <w:ind w:firstLine="420"/>
    </w:pPr>
  </w:style>
  <w:style w:type="paragraph" w:styleId="993" w:customStyle="1">
    <w:name w:val="普通(网站)1"/>
    <w:basedOn w:val="974"/>
    <w:uiPriority w:val="0"/>
    <w:qFormat/>
    <w:pPr>
      <w:jc w:val="left"/>
      <w:spacing w:before="100" w:beforeAutospacing="1" w:after="100" w:afterAutospacing="1"/>
      <w:widowControl/>
    </w:pPr>
    <w:rPr>
      <w:rFonts w:ascii="宋体"/>
      <w:sz w:val="24"/>
      <w:szCs w:val="20"/>
    </w:rPr>
  </w:style>
  <w:style w:type="paragraph" w:styleId="994" w:customStyle="1">
    <w:name w:val="标题 21"/>
    <w:basedOn w:val="974"/>
    <w:next w:val="974"/>
    <w:uiPriority w:val="0"/>
    <w:qFormat/>
    <w:pPr>
      <w:keepLines/>
      <w:keepNext/>
      <w:spacing w:before="260" w:after="260" w:line="413" w:lineRule="auto"/>
      <w:outlineLvl w:val="1"/>
    </w:pPr>
    <w:rPr>
      <w:rFonts w:ascii="Arial" w:hAnsi="Arial" w:eastAsia="黑体"/>
      <w:b/>
      <w:sz w:val="32"/>
      <w:szCs w:val="20"/>
    </w:rPr>
  </w:style>
  <w:style w:type="paragraph" w:styleId="995" w:customStyle="1">
    <w:name w:val="Normal_0"/>
    <w:uiPriority w:val="0"/>
    <w:qFormat/>
    <w:rPr>
      <w:rFonts w:ascii="黑体" w:hAnsi="黑体" w:eastAsia="黑体" w:cs="Times New Roman"/>
      <w:b/>
      <w:sz w:val="32"/>
      <w:szCs w:val="24"/>
      <w:lang w:val="en-US" w:eastAsia="zh-CN" w:bidi="ar-SA"/>
    </w:rPr>
  </w:style>
  <w:style w:type="paragraph" w:styleId="996" w:customStyle="1">
    <w:name w:val="正文文本缩进11"/>
    <w:basedOn w:val="974"/>
    <w:uiPriority w:val="0"/>
    <w:qFormat/>
    <w:pPr>
      <w:ind w:firstLine="225"/>
    </w:pPr>
    <w:rPr>
      <w:rFonts w:ascii="仿宋_GB2312" w:eastAsia="仿宋_GB2312"/>
      <w:sz w:val="32"/>
    </w:rPr>
  </w:style>
  <w:style w:type="paragraph" w:styleId="99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8">
    <w:name w:val="List Paragraph"/>
    <w:basedOn w:val="974"/>
    <w:uiPriority w:val="34"/>
    <w:qFormat/>
    <w:pPr>
      <w:ind w:firstLine="200"/>
    </w:pPr>
    <w:rPr>
      <w:rFonts w:ascii="Calibri" w:hAnsi="Calibri"/>
    </w:rPr>
  </w:style>
  <w:style w:type="paragraph" w:styleId="999" w:customStyle="1">
    <w:name w:val="Normal_0_3"/>
    <w:uiPriority w:val="0"/>
    <w:qFormat/>
    <w:rPr>
      <w:rFonts w:ascii="黑体" w:hAnsi="黑体" w:eastAsia="黑体" w:cs="Times New Roman"/>
      <w:b/>
      <w:sz w:val="32"/>
      <w:szCs w:val="24"/>
      <w:lang w:val="en-US" w:eastAsia="zh-CN" w:bidi="ar-SA"/>
    </w:rPr>
  </w:style>
  <w:style w:type="paragraph" w:styleId="1000"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001" w:customStyle="1">
    <w:name w:val="Normal_0_1"/>
    <w:uiPriority w:val="0"/>
    <w:qFormat/>
    <w:rPr>
      <w:rFonts w:ascii="黑体" w:hAnsi="黑体" w:eastAsia="黑体" w:cs="Times New Roman"/>
      <w:b/>
      <w:sz w:val="32"/>
      <w:szCs w:val="24"/>
      <w:lang w:val="en-US" w:eastAsia="zh-CN" w:bidi="ar-SA"/>
    </w:rPr>
  </w:style>
  <w:style w:type="paragraph" w:styleId="1002"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003" w:customStyle="1">
    <w:name w:val="Normal_1_1"/>
    <w:uiPriority w:val="0"/>
    <w:qFormat/>
    <w:rPr>
      <w:rFonts w:ascii="黑体" w:hAnsi="黑体" w:eastAsia="黑体" w:cs="Times New Roman"/>
      <w:b/>
      <w:sz w:val="32"/>
      <w:szCs w:val="24"/>
      <w:lang w:val="en-US" w:eastAsia="zh-CN" w:bidi="ar-SA"/>
    </w:rPr>
  </w:style>
  <w:style w:type="paragraph" w:styleId="1004" w:customStyle="1">
    <w:name w:val="Normal_2_0"/>
    <w:uiPriority w:val="0"/>
    <w:qFormat/>
    <w:rPr>
      <w:rFonts w:ascii="黑体" w:hAnsi="黑体" w:eastAsia="黑体" w:cs="Times New Roman"/>
      <w:b/>
      <w:sz w:val="32"/>
      <w:szCs w:val="24"/>
      <w:lang w:val="en-US" w:eastAsia="zh-CN" w:bidi="ar-SA"/>
    </w:rPr>
  </w:style>
  <w:style w:type="paragraph" w:styleId="1005"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06" w:customStyle="1">
    <w:name w:val="Normal_3_0"/>
    <w:uiPriority w:val="0"/>
    <w:qFormat/>
    <w:rPr>
      <w:rFonts w:ascii="黑体" w:hAnsi="黑体" w:eastAsia="黑体" w:cs="Times New Roman"/>
      <w:b/>
      <w:sz w:val="32"/>
      <w:szCs w:val="24"/>
      <w:lang w:val="en-US" w:eastAsia="zh-CN" w:bidi="ar-SA"/>
    </w:rPr>
  </w:style>
  <w:style w:type="paragraph" w:styleId="1007"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008"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00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Normal_1_2"/>
    <w:uiPriority w:val="0"/>
    <w:qFormat/>
    <w:rPr>
      <w:rFonts w:ascii="Times New Roman" w:hAnsi="Times New Roman" w:eastAsia="Times New Roman" w:cs="Times New Roman"/>
      <w:sz w:val="24"/>
      <w:szCs w:val="24"/>
      <w:lang w:val="en-US" w:eastAsia="zh-CN" w:bidi="ar-SA"/>
    </w:rPr>
  </w:style>
  <w:style w:type="paragraph" w:styleId="1011" w:customStyle="1">
    <w:name w:val="Normal_5_0"/>
    <w:uiPriority w:val="0"/>
    <w:qFormat/>
    <w:rPr>
      <w:rFonts w:ascii="黑体" w:hAnsi="黑体" w:eastAsia="黑体" w:cs="Times New Roman"/>
      <w:b/>
      <w:sz w:val="32"/>
      <w:szCs w:val="24"/>
      <w:lang w:val="en-US" w:eastAsia="zh-CN" w:bidi="ar-SA"/>
    </w:rPr>
  </w:style>
  <w:style w:type="paragraph" w:styleId="1012"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013"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014" w:customStyle="1">
    <w:name w:val="Normal_6_0"/>
    <w:uiPriority w:val="0"/>
    <w:qFormat/>
    <w:rPr>
      <w:rFonts w:ascii="黑体" w:hAnsi="黑体" w:eastAsia="黑体" w:cs="Times New Roman"/>
      <w:b/>
      <w:sz w:val="32"/>
      <w:szCs w:val="24"/>
      <w:lang w:val="en-US" w:eastAsia="zh-CN" w:bidi="ar-SA"/>
    </w:rPr>
  </w:style>
  <w:style w:type="paragraph" w:styleId="1015" w:customStyle="1">
    <w:name w:val="Normal_4_0"/>
    <w:uiPriority w:val="0"/>
    <w:qFormat/>
    <w:rPr>
      <w:rFonts w:ascii="黑体" w:hAnsi="黑体" w:eastAsia="黑体" w:cs="Times New Roman"/>
      <w:b/>
      <w:sz w:val="32"/>
      <w:szCs w:val="24"/>
      <w:lang w:val="en-US" w:eastAsia="zh-CN" w:bidi="ar-SA"/>
    </w:rPr>
  </w:style>
  <w:style w:type="paragraph" w:styleId="1016" w:customStyle="1">
    <w:name w:val="纯文本_0_0"/>
    <w:basedOn w:val="1017"/>
    <w:uiPriority w:val="0"/>
    <w:qFormat/>
    <w:rPr>
      <w:rFonts w:ascii="宋体" w:hAnsi="Courier New"/>
      <w:szCs w:val="21"/>
    </w:rPr>
  </w:style>
  <w:style w:type="paragraph" w:styleId="1017"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paragraph" w:styleId="1018"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019"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020"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2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22"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23"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024" w:customStyle="1">
    <w:name w:val="Normal_8_0"/>
    <w:uiPriority w:val="0"/>
    <w:qFormat/>
    <w:rPr>
      <w:rFonts w:ascii="黑体" w:hAnsi="黑体" w:eastAsia="黑体" w:cs="Times New Roman"/>
      <w:b/>
      <w:sz w:val="32"/>
      <w:szCs w:val="24"/>
      <w:lang w:val="en-US" w:eastAsia="zh-CN" w:bidi="ar-SA"/>
    </w:rPr>
  </w:style>
  <w:style w:type="paragraph" w:styleId="1025" w:customStyle="1">
    <w:name w:val="Normal_9_0"/>
    <w:uiPriority w:val="0"/>
    <w:qFormat/>
    <w:rPr>
      <w:rFonts w:ascii="Times New Roman" w:hAnsi="Times New Roman" w:eastAsia="Times New Roman" w:cs="Times New Roman"/>
      <w:sz w:val="24"/>
      <w:szCs w:val="24"/>
      <w:lang w:val="en-US" w:eastAsia="zh-CN" w:bidi="ar-SA"/>
    </w:rPr>
  </w:style>
  <w:style w:type="paragraph" w:styleId="1026" w:customStyle="1">
    <w:name w:val="Normal_10_0"/>
    <w:uiPriority w:val="0"/>
    <w:qFormat/>
    <w:rPr>
      <w:rFonts w:ascii="黑体" w:hAnsi="黑体" w:eastAsia="黑体" w:cs="Times New Roman"/>
      <w:b/>
      <w:sz w:val="32"/>
      <w:szCs w:val="24"/>
      <w:lang w:val="en-US" w:eastAsia="zh-CN" w:bidi="ar-SA"/>
    </w:rPr>
  </w:style>
  <w:style w:type="character" w:styleId="1027" w:customStyle="1">
    <w:name w:val="要点1"/>
    <w:uiPriority w:val="0"/>
    <w:qFormat/>
    <w:rPr>
      <w:b/>
    </w:rPr>
  </w:style>
  <w:style w:type="paragraph" w:styleId="1028" w:customStyle="1">
    <w:name w:val="Normal_12_0"/>
    <w:uiPriority w:val="0"/>
    <w:qFormat/>
    <w:rPr>
      <w:rFonts w:ascii="黑体" w:hAnsi="黑体" w:eastAsia="黑体" w:cs="Times New Roman"/>
      <w:b/>
      <w:sz w:val="32"/>
      <w:szCs w:val="24"/>
      <w:lang w:val="en-US" w:eastAsia="zh-CN" w:bidi="ar-SA"/>
    </w:rPr>
  </w:style>
  <w:style w:type="paragraph" w:styleId="1029" w:customStyle="1">
    <w:name w:val="Normal_13_0"/>
    <w:uiPriority w:val="0"/>
    <w:qFormat/>
    <w:rPr>
      <w:rFonts w:ascii="黑体" w:hAnsi="黑体" w:eastAsia="黑体" w:cs="Times New Roman"/>
      <w:b/>
      <w:sz w:val="32"/>
      <w:szCs w:val="24"/>
      <w:lang w:val="en-US" w:eastAsia="zh-CN" w:bidi="ar-SA"/>
    </w:rPr>
  </w:style>
  <w:style w:type="paragraph" w:styleId="1030" w:customStyle="1">
    <w:name w:val="Normal_15_0"/>
    <w:uiPriority w:val="0"/>
    <w:qFormat/>
    <w:rPr>
      <w:rFonts w:ascii="黑体" w:hAnsi="黑体" w:eastAsia="黑体" w:cs="Times New Roman"/>
      <w:b/>
      <w:sz w:val="32"/>
      <w:szCs w:val="24"/>
      <w:lang w:val="en-US" w:eastAsia="zh-CN" w:bidi="ar-SA"/>
    </w:rPr>
  </w:style>
  <w:style w:type="paragraph" w:styleId="103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Normal_17_0"/>
    <w:uiPriority w:val="0"/>
    <w:qFormat/>
    <w:rPr>
      <w:rFonts w:ascii="黑体" w:hAnsi="黑体" w:eastAsia="黑体" w:cs="Times New Roman"/>
      <w:b/>
      <w:sz w:val="32"/>
      <w:szCs w:val="24"/>
      <w:lang w:val="en-US" w:eastAsia="zh-CN" w:bidi="ar-SA"/>
    </w:rPr>
  </w:style>
  <w:style w:type="paragraph" w:styleId="103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035" w:customStyle="1">
    <w:name w:val="Normal_18_0"/>
    <w:uiPriority w:val="0"/>
    <w:qFormat/>
    <w:rPr>
      <w:rFonts w:ascii="黑体" w:hAnsi="黑体" w:eastAsia="黑体" w:cs="Times New Roman"/>
      <w:b/>
      <w:sz w:val="32"/>
      <w:szCs w:val="24"/>
      <w:lang w:val="en-US" w:eastAsia="zh-CN" w:bidi="ar-SA"/>
    </w:rPr>
  </w:style>
  <w:style w:type="paragraph" w:styleId="1036"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037" w:customStyle="1">
    <w:name w:val="页脚1"/>
    <w:basedOn w:val="974"/>
    <w:uiPriority w:val="99"/>
    <w:qFormat/>
    <w:pPr>
      <w:jc w:val="left"/>
      <w:tabs>
        <w:tab w:val="center" w:pos="4153" w:leader="none"/>
        <w:tab w:val="right" w:pos="8306" w:leader="none"/>
      </w:tabs>
    </w:pPr>
    <w:rPr>
      <w:rFonts w:ascii="Calibri" w:hAnsi="Calibri"/>
      <w:sz w:val="18"/>
      <w:szCs w:val="18"/>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方头大狮子</dc:creator>
  <cp:lastModifiedBy>戴婷</cp:lastModifiedBy>
  <cp:revision>4</cp:revision>
  <dcterms:created xsi:type="dcterms:W3CDTF">2026-07-03T03:17:00Z</dcterms:created>
  <dcterms:modified xsi:type="dcterms:W3CDTF">2026-07-03T07:27:33Z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FFFB31A902D04BF2A68ECCB494F0FA6D_11</vt:lpwstr>
  </property>
  <property fmtid="{D5CDD505-2E9C-101B-9397-08002B2CF9AE}" pid="4" name="KSOTemplateDocerSaveRecord">
    <vt:lpwstr>eyJoZGlkIjoiZjNiZDY4OTBhODY2ZDhmN2E0MTMwYjBmMGY2NzYzNWEifQ==</vt:lpwstr>
  </property>
</Properties>
</file>