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rPr>
          <w:rFonts w:hint="eastAsia" w:eastAsia="黑体"/>
          <w:b/>
          <w:bCs/>
          <w:sz w:val="84"/>
        </w:rPr>
      </w:pPr>
      <w:r>
        <w:rPr>
          <w:rFonts w:hint="eastAsia" w:eastAsia="黑体"/>
          <w:b/>
          <w:bCs/>
          <w:sz w:val="84"/>
        </w:rPr>
      </w:r>
      <w:r/>
    </w:p>
    <w:p>
      <w:pPr>
        <w:pStyle w:val="992"/>
        <w:ind w:firstLine="0"/>
        <w:jc w:val="center"/>
        <w:rPr>
          <w:rFonts w:hint="eastAsia" w:eastAsia="黑体"/>
          <w:b/>
          <w:bCs/>
          <w:sz w:val="84"/>
        </w:rPr>
      </w:pPr>
      <w:r>
        <w:rPr>
          <w:rFonts w:hint="eastAsia" w:eastAsia="黑体"/>
          <w:b/>
          <w:bCs/>
          <w:sz w:val="84"/>
        </w:rPr>
        <w:t xml:space="preserve">招　标　文　件</w:t>
      </w:r>
      <w:r/>
    </w:p>
    <w:p>
      <w:pPr>
        <w:pStyle w:val="992"/>
        <w:ind w:left="0" w:firstLine="0"/>
        <w:rPr>
          <w:rFonts w:hint="eastAsia"/>
          <w:b/>
          <w:bCs/>
          <w:sz w:val="32"/>
        </w:rPr>
      </w:pPr>
      <w:r>
        <w:rPr>
          <w:rFonts w:hint="eastAsia"/>
          <w:b/>
          <w:bCs/>
          <w:sz w:val="32"/>
        </w:rPr>
        <w:t xml:space="preserve">项目名称：江苏省人民医院I期电子数据采集系统</w:t>
      </w:r>
      <w:r/>
    </w:p>
    <w:p>
      <w:pPr>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w:t>
      </w:r>
      <w:r>
        <w:rPr>
          <w:rFonts w:hint="eastAsia" w:ascii="Arial" w:hAnsi="Arial"/>
          <w:b/>
          <w:bCs/>
          <w:sz w:val="32"/>
          <w:szCs w:val="24"/>
          <w:lang w:val="en-US" w:eastAsia="zh-CN"/>
        </w:rPr>
        <w:t xml:space="preserve">26</w:t>
      </w:r>
      <w:r>
        <w:rPr>
          <w:rFonts w:hint="eastAsia" w:ascii="Arial" w:hAnsi="Arial"/>
          <w:b/>
          <w:bCs/>
          <w:sz w:val="32"/>
          <w:szCs w:val="24"/>
        </w:rPr>
        <w:t xml:space="preserve">-</w:t>
      </w:r>
      <w:r>
        <w:rPr>
          <w:rFonts w:hint="eastAsia" w:ascii="Arial" w:hAnsi="Arial"/>
          <w:b/>
          <w:bCs/>
          <w:sz w:val="32"/>
          <w:szCs w:val="24"/>
          <w:lang w:val="en-US" w:eastAsia="zh-CN"/>
        </w:rPr>
        <w:t xml:space="preserve">0223</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rFonts w:hint="eastAsia"/>
          <w:b/>
          <w:color w:val="ff0000"/>
          <w:sz w:val="28"/>
          <w:szCs w:val="28"/>
        </w:rPr>
      </w:pPr>
      <w:r>
        <w:rPr>
          <w:rFonts w:hint="eastAsia"/>
          <w:b/>
          <w:color w:val="ff0000"/>
          <w:sz w:val="28"/>
          <w:szCs w:val="28"/>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spacing w:before="0" w:after="0"/>
        <w:rPr>
          <w:rFonts w:hint="eastAsia" w:ascii="宋体" w:hAnsi="宋体"/>
        </w:rPr>
      </w:pPr>
      <w:r>
        <w:rPr>
          <w:rFonts w:hint="eastAsia" w:ascii="宋体" w:hAnsi="宋体"/>
        </w:rPr>
      </w:r>
      <w:r/>
    </w:p>
    <w:p>
      <w:pPr>
        <w:pStyle w:val="992"/>
        <w:ind w:firstLine="0"/>
        <w:jc w:val="center"/>
        <w:rPr>
          <w:rFonts w:hint="eastAsia"/>
          <w:b/>
          <w:bCs/>
          <w:sz w:val="32"/>
        </w:rPr>
      </w:pPr>
      <w:r>
        <w:rPr>
          <w:rFonts w:hint="eastAsia"/>
          <w:b/>
          <w:bCs/>
          <w:sz w:val="32"/>
        </w:rPr>
        <w:t xml:space="preserve">江苏省政府采购中心</w:t>
      </w:r>
      <w:r/>
    </w:p>
    <w:p>
      <w:pPr>
        <w:pStyle w:val="992"/>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p>
    <w:p>
      <w:pPr>
        <w:pStyle w:val="992"/>
        <w:ind w:firstLine="0"/>
        <w:rPr>
          <w:rFonts w:hint="eastAsia"/>
          <w:u w:val="single"/>
        </w:rPr>
      </w:pPr>
      <w:r>
        <w:rPr>
          <w:rFonts w:hint="eastAsia"/>
        </w:rPr>
        <w:t xml:space="preserve">                        </w:t>
      </w:r>
      <w:r/>
    </w:p>
    <w:p>
      <w:pPr>
        <w:pStyle w:val="992"/>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……………………………………19</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………………………………40</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rPr>
        <w:t xml:space="preserve">江苏省人民医院</w:t>
      </w:r>
      <w:r>
        <w:rPr>
          <w:rFonts w:hint="eastAsia" w:ascii="宋体" w:hAnsi="宋体"/>
          <w:sz w:val="24"/>
          <w:szCs w:val="24"/>
        </w:rPr>
        <w:t xml:space="preserve">的委托，江苏省政府采购中心就江苏省人民医院I期电子数据采集系统(JSZC-320000-SCZX-G20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0223</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江苏省人民医院I期电子数据采集系统</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年7  月 23 日 9  点 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12"/>
        <w:ind w:firstLine="498"/>
        <w:spacing w:before="145" w:after="145" w:line="400" w:lineRule="exact"/>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lang w:val="en-US" w:eastAsia="zh-CN"/>
        </w:rPr>
        <w:t xml:space="preserve">26</w:t>
      </w:r>
      <w:r>
        <w:rPr>
          <w:rFonts w:hint="eastAsia" w:ascii="宋体" w:hAnsi="宋体"/>
          <w:sz w:val="24"/>
          <w:szCs w:val="24"/>
        </w:rPr>
        <w:t xml:space="preserve">-</w:t>
      </w:r>
      <w:r>
        <w:rPr>
          <w:rFonts w:hint="eastAsia" w:ascii="宋体" w:hAnsi="宋体"/>
          <w:sz w:val="24"/>
          <w:szCs w:val="24"/>
          <w:lang w:val="en-US" w:eastAsia="zh-CN"/>
        </w:rPr>
        <w:t xml:space="preserve">0223</w:t>
      </w:r>
      <w:r>
        <w:rPr>
          <w:rFonts w:hint="eastAsia" w:ascii="宋体" w:hAnsi="宋体"/>
          <w:sz w:val="24"/>
          <w:szCs w:val="24"/>
        </w:rPr>
        <w:t xml:space="preserve"> </w:t>
      </w:r>
      <w:r/>
    </w:p>
    <w:p>
      <w:pPr>
        <w:ind w:firstLine="480"/>
        <w:spacing w:line="400" w:lineRule="exact"/>
        <w:rPr>
          <w:rFonts w:ascii="宋体" w:hAnsi="宋体"/>
          <w:sz w:val="24"/>
          <w:szCs w:val="24"/>
        </w:rPr>
      </w:pPr>
      <w:r>
        <w:rPr>
          <w:rFonts w:hint="eastAsia" w:ascii="宋体" w:hAnsi="宋体"/>
          <w:sz w:val="24"/>
          <w:szCs w:val="24"/>
        </w:rPr>
        <w:t xml:space="preserve">2.项目名称：江苏省人民医院I期电子数据采集系统</w:t>
      </w:r>
      <w:bookmarkEnd w:id="11"/>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737"/>
        <w:tblW w:w="3948"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eastAsia="宋体"/>
                <w:lang w:val="en-US" w:eastAsia="zh-CN"/>
              </w:rPr>
            </w:pPr>
            <w:r>
              <w:rPr>
                <w:rFonts w:hint="eastAsia" w:ascii="宋体" w:hAnsi="宋体"/>
                <w:lang w:val="en-US" w:eastAsia="zh-CN"/>
              </w:rPr>
              <w:t xml:space="preserve">120</w:t>
            </w:r>
            <w:r/>
          </w:p>
        </w:tc>
      </w:tr>
    </w:tbl>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p>
    <w:tbl>
      <w:tblPr>
        <w:tblStyle w:val="737"/>
        <w:tblW w:w="42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p>
        </w:tc>
        <w:tc>
          <w:tcPr>
            <w:tcW w:w="3135"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最高限价（人民币：万元）</w:t>
            </w:r>
            <w:r/>
          </w:p>
        </w:tc>
      </w:tr>
      <w:tr>
        <w:trPr/>
        <w:tc>
          <w:tcPr>
            <w:tcW w:w="1148"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135" w:type="dxa"/>
            <w:vAlign w:val="top"/>
            <w:textDirection w:val="lrTb"/>
            <w:noWrap w:val="false"/>
          </w:tcPr>
          <w:p>
            <w:pPr>
              <w:jc w:val="center"/>
              <w:spacing w:line="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120</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采购</w:t>
      </w:r>
      <w:r>
        <w:rPr>
          <w:rFonts w:hint="eastAsia" w:ascii="宋体" w:hAnsi="宋体"/>
          <w:sz w:val="24"/>
          <w:szCs w:val="24"/>
        </w:rPr>
        <w:t xml:space="preserve">I期临床试验管理系统</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p>
    <w:p>
      <w:pPr>
        <w:ind w:firstLine="480"/>
        <w:spacing w:line="400" w:lineRule="exact"/>
        <w:rPr>
          <w:rFonts w:ascii="宋体" w:hAnsi="宋体"/>
          <w:sz w:val="24"/>
          <w:szCs w:val="24"/>
          <w:highlight w:val="yellow"/>
          <w:u w:val="single"/>
        </w:rPr>
      </w:pPr>
      <w:r>
        <w:rPr>
          <w:rFonts w:hint="eastAsia" w:ascii="宋体" w:hAnsi="宋体"/>
          <w:sz w:val="24"/>
          <w:szCs w:val="24"/>
          <w:highlight w:val="none"/>
        </w:rPr>
        <w:t xml:space="preserve">6.合同履行期限：软件开发完成至维保期结束。</w:t>
      </w:r>
      <w:r/>
    </w:p>
    <w:p>
      <w:pPr>
        <w:pStyle w:val="912"/>
        <w:ind w:firstLine="498"/>
        <w:spacing w:before="145" w:after="145" w:line="400" w:lineRule="exact"/>
      </w:pPr>
      <w:r/>
      <w:bookmarkStart w:id="12" w:name="_Toc35393791"/>
      <w:r/>
      <w:bookmarkStart w:id="13" w:name="_Toc38985264"/>
      <w:r/>
      <w:bookmarkStart w:id="14" w:name="_Toc28359080"/>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35393792"/>
      <w:r/>
      <w:bookmarkStart w:id="19" w:name="_Toc38985265"/>
      <w:r/>
      <w:bookmarkStart w:id="20" w:name="_Toc35393623"/>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737"/>
        <w:tblW w:w="7307"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1</w:t>
            </w:r>
            <w:r/>
          </w:p>
        </w:tc>
        <w:tc>
          <w:tcPr>
            <w:tcW w:w="2968" w:type="dxa"/>
            <w:vAlign w:val="top"/>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Style w:val="737"/>
        <w:tblW w:w="729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vAlign w:val="top"/>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cs="宋体"/>
          <w:color w:val="000000"/>
          <w:sz w:val="24"/>
          <w:szCs w:val="24"/>
        </w:rPr>
      </w:pPr>
      <w:r>
        <w:rPr>
          <w:rFonts w:ascii="宋体" w:hAnsi="宋体" w:cs="宋体"/>
          <w:color w:val="000000"/>
          <w:sz w:val="24"/>
          <w:szCs w:val="24"/>
        </w:rPr>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bookmarkEnd w:id="17"/>
      <w:r/>
      <w:bookmarkEnd w:id="18"/>
      <w:r/>
      <w:bookmarkEnd w:id="19"/>
      <w:r/>
      <w:bookmarkEnd w:id="20"/>
      <w:r/>
      <w:bookmarkEnd w:id="21"/>
      <w:r/>
      <w:r/>
    </w:p>
    <w:p>
      <w:pPr>
        <w:pStyle w:val="912"/>
        <w:ind w:firstLine="498"/>
        <w:spacing w:before="145" w:after="145" w:line="400" w:lineRule="exact"/>
      </w:pPr>
      <w:r/>
      <w:bookmarkStart w:id="22" w:name="_Toc28359005"/>
      <w:r/>
      <w:bookmarkStart w:id="23" w:name="_Toc28359082"/>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2026  年 7 月 23 日  9  点  30  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84"/>
      <w:r/>
      <w:bookmarkStart w:id="28" w:name="_Toc35393794"/>
      <w:r/>
      <w:bookmarkStart w:id="29" w:name="_Toc38985267"/>
      <w:r/>
      <w:bookmarkStart w:id="30" w:name="_Toc35393625"/>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12"/>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912"/>
        <w:ind w:firstLine="498"/>
        <w:spacing w:before="145" w:after="145" w:line="400" w:lineRule="exact"/>
      </w:pPr>
      <w:r/>
      <w:bookmarkStart w:id="35" w:name="_Toc28359085"/>
      <w:r/>
      <w:bookmarkStart w:id="36" w:name="_Toc35393627"/>
      <w:r/>
      <w:bookmarkStart w:id="37" w:name="_Toc28359008"/>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highlight w:val="none"/>
        </w:rPr>
      </w:pPr>
      <w:r>
        <w:rPr>
          <w:rFonts w:hint="eastAsia" w:ascii="仿宋" w:hAnsi="仿宋" w:eastAsia="仿宋" w:cs="宋体"/>
          <w:sz w:val="28"/>
          <w:szCs w:val="28"/>
        </w:rPr>
        <w:t xml:space="preserve">　　</w:t>
      </w: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w:t>
      </w:r>
      <w:r>
        <w:rPr>
          <w:rFonts w:hint="eastAsia" w:ascii="宋体" w:hAnsi="宋体"/>
          <w:color w:val="000000"/>
          <w:sz w:val="24"/>
          <w:szCs w:val="24"/>
          <w:highlight w:val="none"/>
          <w:u w:val="single"/>
        </w:rPr>
        <w:t xml:space="preserve">江苏省人民医院</w:t>
      </w:r>
      <w:r>
        <w:rPr>
          <w:rFonts w:hint="eastAsia" w:ascii="宋体" w:hAnsi="宋体"/>
          <w:sz w:val="24"/>
          <w:szCs w:val="24"/>
          <w:highlight w:val="none"/>
          <w:u w:val="single"/>
        </w:rPr>
        <w:t xml:space="preserve">　　</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　</w:t>
      </w:r>
      <w:r>
        <w:rPr>
          <w:rFonts w:hint="eastAsia" w:ascii="宋体" w:hAnsi="宋体"/>
          <w:color w:val="000000"/>
          <w:sz w:val="24"/>
          <w:szCs w:val="24"/>
          <w:highlight w:val="none"/>
          <w:u w:val="single"/>
        </w:rPr>
        <w:t xml:space="preserve">江苏省南京市广州路300号</w:t>
      </w:r>
      <w:r>
        <w:rPr>
          <w:rFonts w:hint="eastAsia" w:ascii="宋体" w:hAnsi="宋体"/>
          <w:sz w:val="24"/>
          <w:szCs w:val="24"/>
          <w:highlight w:val="none"/>
          <w:u w:val="single"/>
        </w:rPr>
        <w:t xml:space="preserve">　</w:t>
      </w:r>
      <w:r/>
    </w:p>
    <w:p>
      <w:pPr>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凡老师</w:t>
      </w:r>
      <w:r>
        <w:rPr>
          <w:rFonts w:hint="eastAsia" w:ascii="宋体" w:hAnsi="宋体"/>
          <w:sz w:val="24"/>
          <w:szCs w:val="24"/>
          <w:highlight w:val="none"/>
          <w:u w:val="single"/>
        </w:rPr>
        <w:t xml:space="preserve">           </w:t>
      </w:r>
      <w:r/>
    </w:p>
    <w:p>
      <w:pPr>
        <w:ind w:left="1079" w:hanging="300"/>
        <w:jc w:val="left"/>
        <w:spacing w:line="400" w:lineRule="exact"/>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　</w:t>
      </w:r>
      <w:r>
        <w:rPr>
          <w:rFonts w:hint="eastAsia" w:ascii="宋体" w:hAnsi="宋体"/>
          <w:color w:val="000000"/>
          <w:sz w:val="24"/>
          <w:szCs w:val="24"/>
          <w:highlight w:val="none"/>
          <w:u w:val="single"/>
        </w:rPr>
        <w:t xml:space="preserve">025-6830</w:t>
      </w:r>
      <w:r>
        <w:rPr>
          <w:rFonts w:hint="eastAsia" w:ascii="宋体" w:hAnsi="宋体"/>
          <w:color w:val="000000"/>
          <w:sz w:val="24"/>
          <w:szCs w:val="24"/>
          <w:highlight w:val="none"/>
          <w:u w:val="single"/>
          <w:lang w:val="en-US" w:eastAsia="zh-CN"/>
        </w:rPr>
        <w:t xml:space="preserve">7032</w:t>
      </w:r>
      <w:r>
        <w:rPr>
          <w:rFonts w:hint="eastAsia" w:ascii="宋体" w:hAnsi="宋体"/>
          <w:sz w:val="24"/>
          <w:szCs w:val="24"/>
          <w:highlight w:val="none"/>
          <w:u w:val="single"/>
        </w:rPr>
        <w:t xml:space="preserve">　　　　 </w:t>
      </w:r>
      <w:bookmarkStart w:id="40" w:name="_Toc28359086"/>
      <w:r/>
      <w:bookmarkStart w:id="41"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p>
    <w:p>
      <w:pPr>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p>
    <w:p>
      <w:pPr>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bookmarkEnd w:id="42"/>
      <w:r/>
      <w:bookmarkEnd w:id="43"/>
      <w:r/>
      <w:r/>
    </w:p>
    <w:p>
      <w:pPr>
        <w:pStyle w:val="912"/>
        <w:ind w:firstLine="498"/>
        <w:spacing w:before="145" w:after="145" w:line="400" w:lineRule="exact"/>
      </w:pPr>
      <w:r>
        <w:rPr>
          <w:rFonts w:hint="eastAsia"/>
        </w:rPr>
        <w:t xml:space="preserve">八、其他</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910"/>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
    </w:p>
    <w:p>
      <w:pPr>
        <w:pStyle w:val="912"/>
        <w:ind w:firstLine="498"/>
        <w:spacing w:before="145" w:after="145" w:line="400" w:lineRule="exact"/>
        <w:rPr>
          <w:rFonts w:hint="eastAsia"/>
        </w:rPr>
      </w:pPr>
      <w:r/>
      <w:bookmarkStart w:id="49" w:name="_Toc513029203"/>
      <w:r/>
      <w:bookmarkStart w:id="50" w:name="_Toc120614214"/>
      <w:r/>
      <w:bookmarkStart w:id="51" w:name="_Toc20823275"/>
      <w:r/>
      <w:bookmarkStart w:id="52" w:name="_Toc16938519"/>
      <w:r>
        <w:rPr>
          <w:rFonts w:hint="eastAsia"/>
        </w:rPr>
        <w:t xml:space="preserve">一、总则</w:t>
      </w:r>
      <w:bookmarkEnd w:id="49"/>
      <w:r/>
      <w:bookmarkEnd w:id="50"/>
      <w:r/>
      <w:bookmarkEnd w:id="51"/>
      <w:r/>
      <w:bookmarkEnd w:id="52"/>
      <w:r/>
      <w:r/>
    </w:p>
    <w:p>
      <w:pPr>
        <w:pStyle w:val="913"/>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400" w:lineRule="exact"/>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13"/>
        <w:ind w:firstLine="422"/>
        <w:spacing w:before="0" w:after="0" w:line="400" w:lineRule="exact"/>
        <w:rPr>
          <w:rFonts w:hint="eastAsia" w:cs="Arial"/>
          <w:lang w:eastAsia="zh-CN"/>
        </w:rPr>
      </w:pPr>
      <w:r/>
      <w:bookmarkStart w:id="61" w:name="_Toc16938522"/>
      <w:r/>
      <w:bookmarkStart w:id="62" w:name="_Toc20823278"/>
      <w:r/>
      <w:bookmarkStart w:id="63" w:name="_Toc513029206"/>
      <w:r>
        <w:rPr>
          <w:rFonts w:hint="eastAsia" w:cs="Arial"/>
        </w:rPr>
        <w:t xml:space="preserve">3、适用法律</w:t>
      </w:r>
      <w:bookmarkEnd w:id="61"/>
      <w:r/>
      <w:bookmarkEnd w:id="62"/>
      <w:r/>
      <w:bookmarkEnd w:id="63"/>
      <w:r>
        <w:rPr>
          <w:rFonts w:hint="eastAsia" w:cs="Arial"/>
          <w:lang w:eastAsia="zh-CN"/>
        </w:rPr>
        <w:t xml:space="preserve">和标准</w:t>
      </w:r>
      <w:r/>
    </w:p>
    <w:p>
      <w:pPr>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64" w:name="_Toc513029207"/>
      <w:r/>
      <w:bookmarkStart w:id="65" w:name="_Toc20823279"/>
      <w:r/>
      <w:bookmarkStart w:id="66" w:name="_Toc16938523"/>
      <w:r/>
      <w:bookmarkStart w:id="67" w:name="_Toc462564067"/>
      <w:r>
        <w:rPr>
          <w:rFonts w:hint="eastAsia" w:ascii="宋体" w:hAnsi="宋体"/>
          <w:sz w:val="24"/>
        </w:rPr>
        <w:t xml:space="preserve">3.2 在本项目政府采购活动过程中，如果所执行的标准有更新的，按照最新标准执行。</w:t>
      </w:r>
      <w:r/>
    </w:p>
    <w:p>
      <w:pPr>
        <w:pStyle w:val="913"/>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45" w:after="145" w:line="400" w:lineRule="exact"/>
        <w:rPr>
          <w:rFonts w:hint="eastAsia"/>
        </w:rPr>
      </w:pPr>
      <w:r/>
      <w:bookmarkStart w:id="68" w:name="_Toc20823281"/>
      <w:r/>
      <w:bookmarkStart w:id="69" w:name="_Toc120614215"/>
      <w:r/>
      <w:bookmarkStart w:id="70" w:name="_Toc513029209"/>
      <w:r/>
      <w:bookmarkStart w:id="71" w:name="_Toc16938525"/>
      <w:r>
        <w:rPr>
          <w:rFonts w:hint="eastAsia"/>
        </w:rPr>
        <w:t xml:space="preserve">二、招标文件</w:t>
      </w:r>
      <w:bookmarkEnd w:id="68"/>
      <w:r/>
      <w:bookmarkEnd w:id="69"/>
      <w:r/>
      <w:bookmarkEnd w:id="70"/>
      <w:r/>
      <w:bookmarkEnd w:id="71"/>
      <w:r/>
      <w:r/>
    </w:p>
    <w:p>
      <w:pPr>
        <w:pStyle w:val="913"/>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400" w:lineRule="exact"/>
        <w:rPr>
          <w:rFonts w:hint="eastAsia"/>
          <w:b w:val="0"/>
          <w:bCs w:val="0"/>
        </w:rPr>
      </w:pPr>
      <w:r/>
      <w:bookmarkStart w:id="75" w:name="_Toc513029212"/>
      <w:r/>
      <w:bookmarkStart w:id="76" w:name="_Toc16938528"/>
      <w:r/>
      <w:bookmarkStart w:id="77" w:name="_Toc462564071"/>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45" w:after="145" w:line="400" w:lineRule="exact"/>
        <w:rPr>
          <w:rFonts w:hint="eastAsia"/>
        </w:rPr>
      </w:pPr>
      <w:r/>
      <w:bookmarkStart w:id="79" w:name="_Toc462564072"/>
      <w:r/>
      <w:bookmarkStart w:id="80" w:name="_Toc20823285"/>
      <w:r/>
      <w:bookmarkStart w:id="81" w:name="_Toc513029213"/>
      <w:r/>
      <w:bookmarkStart w:id="82" w:name="_Toc16938529"/>
      <w:r/>
      <w:bookmarkStart w:id="83" w:name="_Toc120614216"/>
      <w:r>
        <w:rPr>
          <w:rFonts w:hint="eastAsia"/>
        </w:rPr>
        <w:t xml:space="preserve">三、投标文件的编制</w:t>
      </w:r>
      <w:bookmarkEnd w:id="79"/>
      <w:r/>
      <w:bookmarkEnd w:id="80"/>
      <w:r/>
      <w:bookmarkEnd w:id="81"/>
      <w:r/>
      <w:bookmarkEnd w:id="82"/>
      <w:r/>
      <w:bookmarkEnd w:id="83"/>
      <w:r/>
      <w:r/>
    </w:p>
    <w:p>
      <w:pPr>
        <w:pStyle w:val="913"/>
        <w:ind w:firstLine="560"/>
        <w:spacing w:before="0" w:after="0" w:line="400" w:lineRule="exact"/>
        <w:rPr>
          <w:rFonts w:hint="eastAsia"/>
          <w:bCs w:val="0"/>
        </w:rPr>
      </w:pPr>
      <w:r/>
      <w:bookmarkStart w:id="84" w:name="_Toc16938530"/>
      <w:r/>
      <w:bookmarkStart w:id="85" w:name="_Toc20823286"/>
      <w:r/>
      <w:bookmarkStart w:id="86" w:name="_Toc513029214"/>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400" w:lineRule="exact"/>
        <w:rPr>
          <w:rFonts w:hint="eastAsia"/>
          <w:b w:val="0"/>
          <w:bCs w:val="0"/>
        </w:rPr>
      </w:pPr>
      <w:r/>
      <w:bookmarkStart w:id="88" w:name="_Toc513029215"/>
      <w:r/>
      <w:bookmarkStart w:id="89" w:name="_Toc16938531"/>
      <w:r/>
      <w:bookmarkStart w:id="90" w:name="_Toc20823287"/>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13"/>
        <w:ind w:firstLine="420"/>
        <w:spacing w:before="0" w:after="0" w:line="400" w:lineRule="exact"/>
        <w:rPr>
          <w:rFonts w:hint="eastAsia"/>
          <w:b w:val="0"/>
          <w:bCs w:val="0"/>
        </w:rPr>
      </w:pPr>
      <w:r/>
      <w:bookmarkStart w:id="92" w:name="_Hlt26954838"/>
      <w:r/>
      <w:bookmarkEnd w:id="92"/>
      <w:r/>
      <w:bookmarkStart w:id="93" w:name="_Hlt26670360"/>
      <w:r/>
      <w:bookmarkEnd w:id="93"/>
      <w:r/>
      <w:bookmarkStart w:id="94" w:name="_Hlt26668975"/>
      <w:r/>
      <w:bookmarkEnd w:id="94"/>
      <w:r/>
      <w:bookmarkStart w:id="95" w:name="_Toc14577357"/>
      <w:r/>
      <w:bookmarkStart w:id="96" w:name="_Toc49090509"/>
      <w:r/>
      <w:bookmarkStart w:id="97" w:name="_Toc513029219"/>
      <w:r/>
      <w:bookmarkStart w:id="98" w:name="_Toc49090507"/>
      <w:r/>
      <w:bookmarkStart w:id="99" w:name="_Toc513029216"/>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13"/>
        <w:ind w:firstLine="420"/>
        <w:spacing w:before="0" w:after="0" w:line="400" w:lineRule="exact"/>
        <w:rPr>
          <w:rFonts w:hint="eastAsia"/>
          <w:b w:val="0"/>
          <w:bCs w:val="0"/>
        </w:rPr>
      </w:pPr>
      <w:r/>
      <w:bookmarkStart w:id="106" w:name="_Hlt26668983"/>
      <w:r/>
      <w:bookmarkEnd w:id="106"/>
      <w:r/>
      <w:bookmarkStart w:id="107" w:name="_Hlt26954846"/>
      <w:r/>
      <w:bookmarkEnd w:id="107"/>
      <w:r/>
      <w:bookmarkStart w:id="108" w:name="_Hlt26954731"/>
      <w:r/>
      <w:bookmarkEnd w:id="108"/>
      <w:r/>
      <w:bookmarkStart w:id="109" w:name="_Hlt26670486"/>
      <w:r/>
      <w:bookmarkEnd w:id="109"/>
      <w:r/>
      <w:bookmarkStart w:id="110" w:name="_Hlt26670403"/>
      <w:r/>
      <w:bookmarkEnd w:id="110"/>
      <w:r/>
      <w:bookmarkStart w:id="111" w:name="_Hlt26954842"/>
      <w:r/>
      <w:bookmarkEnd w:id="111"/>
      <w:r/>
      <w:bookmarkStart w:id="112" w:name="_Hlt26954848"/>
      <w:r/>
      <w:bookmarkEnd w:id="112"/>
      <w:r/>
      <w:bookmarkStart w:id="113" w:name="_Hlt26954844"/>
      <w:r/>
      <w:bookmarkEnd w:id="113"/>
      <w:r/>
      <w:bookmarkStart w:id="114" w:name="_Hlt26670425"/>
      <w:r/>
      <w:bookmarkEnd w:id="114"/>
      <w:r/>
      <w:bookmarkStart w:id="115" w:name="_Hlt26670482"/>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r/>
      <w:bookmarkEnd w:id="117"/>
      <w:r/>
      <w:r/>
    </w:p>
    <w:p>
      <w:pPr>
        <w:pStyle w:val="913"/>
        <w:ind w:firstLine="420"/>
        <w:spacing w:before="0" w:after="0" w:line="400" w:lineRule="exact"/>
        <w:rPr>
          <w:rFonts w:hint="eastAsia"/>
          <w:b w:val="0"/>
          <w:bCs w:val="0"/>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120614217"/>
      <w:r/>
      <w:bookmarkStart w:id="127" w:name="_Toc16938540"/>
      <w:r/>
      <w:bookmarkStart w:id="128" w:name="_Toc513029224"/>
      <w:r>
        <w:rPr>
          <w:rFonts w:hint="eastAsia"/>
        </w:rPr>
        <w:t xml:space="preserve">四、投标文件的递交</w:t>
      </w:r>
      <w:bookmarkEnd w:id="125"/>
      <w:r/>
      <w:bookmarkEnd w:id="126"/>
      <w:r/>
      <w:bookmarkEnd w:id="127"/>
      <w:r/>
      <w:bookmarkEnd w:id="128"/>
      <w:r/>
      <w:r/>
    </w:p>
    <w:p>
      <w:pPr>
        <w:pStyle w:val="913"/>
        <w:ind w:firstLine="560"/>
        <w:spacing w:before="0" w:after="0" w:line="400" w:lineRule="exact"/>
        <w:rPr>
          <w:rFonts w:hint="eastAsia" w:ascii="黑体"/>
          <w:b w:val="0"/>
          <w:bCs w:val="0"/>
        </w:rPr>
      </w:pPr>
      <w:r/>
      <w:bookmarkStart w:id="129" w:name="_Toc16938541"/>
      <w:r/>
      <w:bookmarkStart w:id="130" w:name="_Toc513029225"/>
      <w:r/>
      <w:bookmarkStart w:id="131" w:name="_Toc462564084"/>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16938542"/>
      <w:r/>
      <w:bookmarkStart w:id="135" w:name="_Toc20823298"/>
      <w:r/>
      <w:r/>
    </w:p>
    <w:p>
      <w:pPr>
        <w:pStyle w:val="91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13"/>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45" w:after="145" w:line="400" w:lineRule="exact"/>
        <w:rPr>
          <w:rFonts w:hint="eastAsia"/>
        </w:rPr>
      </w:pPr>
      <w:r/>
      <w:bookmarkStart w:id="142" w:name="_Toc513029229"/>
      <w:r/>
      <w:bookmarkStart w:id="143" w:name="_Toc120614218"/>
      <w:r/>
      <w:bookmarkStart w:id="144" w:name="_Toc20823301"/>
      <w:r/>
      <w:bookmarkStart w:id="145" w:name="_Toc16938545"/>
      <w:r>
        <w:rPr>
          <w:rFonts w:hint="eastAsia"/>
        </w:rPr>
        <w:t xml:space="preserve">五、开标与评标</w:t>
      </w:r>
      <w:bookmarkEnd w:id="142"/>
      <w:r/>
      <w:bookmarkEnd w:id="143"/>
      <w:r/>
      <w:bookmarkEnd w:id="144"/>
      <w:r/>
      <w:bookmarkEnd w:id="145"/>
      <w:r/>
      <w:r/>
    </w:p>
    <w:p>
      <w:pPr>
        <w:pStyle w:val="913"/>
        <w:ind w:firstLine="420"/>
        <w:spacing w:before="0" w:after="0" w:line="400" w:lineRule="exact"/>
        <w:rPr>
          <w:rFonts w:hint="eastAsia"/>
          <w:b w:val="0"/>
          <w:bCs w:val="0"/>
        </w:rPr>
      </w:pPr>
      <w:r/>
      <w:bookmarkStart w:id="146" w:name="_Toc20823302"/>
      <w:r/>
      <w:bookmarkStart w:id="147" w:name="_Toc513029230"/>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913"/>
        <w:ind w:firstLine="420"/>
        <w:spacing w:before="0" w:after="0" w:line="400" w:lineRule="exact"/>
        <w:rPr>
          <w:rFonts w:hint="eastAsia"/>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91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913"/>
        <w:ind w:firstLine="420"/>
        <w:spacing w:before="0" w:after="0" w:line="400" w:lineRule="exact"/>
        <w:rPr>
          <w:rFonts w:hint="eastAsia"/>
          <w:b w:val="0"/>
          <w:bCs w:val="0"/>
        </w:rPr>
      </w:pPr>
      <w:r/>
      <w:bookmarkStart w:id="152" w:name="_Toc20823304"/>
      <w:r/>
      <w:bookmarkStart w:id="153" w:name="_Toc513029232"/>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913"/>
        <w:ind w:firstLine="420"/>
        <w:spacing w:before="0" w:after="0" w:line="400" w:lineRule="exact"/>
        <w:rPr>
          <w:rFonts w:hint="eastAsia"/>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p>
    <w:p>
      <w:pPr>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p>
    <w:p>
      <w:pPr>
        <w:ind w:firstLine="42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：根据</w:t>
      </w:r>
      <w:r>
        <w:rPr>
          <w:rFonts w:hint="eastAsia" w:ascii="宋体" w:hAnsi="宋体"/>
          <w:color w:val="000000"/>
          <w:sz w:val="24"/>
          <w:szCs w:val="24"/>
          <w:highlight w:val="none"/>
        </w:rPr>
        <w:t xml:space="preserve">《关于推动解决政府采购异常低价问题的通知》（财库〔2026〕2号）规定</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采购人可以结合具体项目实际情况，提高上述第（1）项至第（3）项中启动异常低价投标审查的数值标准，但是最高不得超过65%。</w:t>
      </w:r>
      <w:r>
        <w:rPr>
          <w:rFonts w:ascii="宋体" w:hAnsi="宋体"/>
          <w:color w:val="000000"/>
          <w:sz w:val="24"/>
          <w:szCs w:val="24"/>
          <w:highlight w:val="none"/>
        </w:rPr>
        <w:t xml:space="preserve">项目经办人与采购人</w:t>
      </w:r>
      <w:r>
        <w:rPr>
          <w:rFonts w:hint="eastAsia" w:ascii="宋体" w:hAnsi="宋体"/>
          <w:color w:val="000000"/>
          <w:sz w:val="24"/>
          <w:szCs w:val="24"/>
          <w:highlight w:val="none"/>
        </w:rPr>
        <w:t xml:space="preserve">确认具体数值后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该</w:t>
      </w:r>
      <w:r>
        <w:rPr>
          <w:rFonts w:ascii="宋体" w:hAnsi="宋体"/>
          <w:color w:val="000000"/>
          <w:sz w:val="24"/>
          <w:szCs w:val="24"/>
          <w:highlight w:val="none"/>
        </w:rPr>
        <w:t xml:space="preserve">备注删除</w:t>
      </w:r>
      <w:r>
        <w:rPr>
          <w:rFonts w:hint="eastAsia" w:ascii="宋体" w:hAnsi="宋体"/>
          <w:color w:val="000000"/>
          <w:sz w:val="24"/>
          <w:szCs w:val="24"/>
          <w:highlight w:val="none"/>
        </w:rPr>
        <w:t xml:space="preserve">)。</w:t>
      </w:r>
      <w:r/>
    </w:p>
    <w:p>
      <w:pPr>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w:t>
      </w:r>
      <w:r>
        <w:rPr>
          <w:rFonts w:hint="eastAsia" w:ascii="方正魏碑_GBK" w:hAnsi="方正魏碑_GBK" w:eastAsia="方正魏碑_GBK" w:cs="方正魏碑_GBK"/>
          <w:color w:val="000000"/>
          <w:sz w:val="24"/>
        </w:rPr>
        <w:t xml:space="preserve">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91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1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913"/>
        <w:ind w:firstLine="600"/>
        <w:spacing w:before="0" w:after="0" w:line="400" w:lineRule="exact"/>
        <w:rPr>
          <w:rFonts w:hint="eastAsia" w:ascii="黑体" w:hAnsi="宋体"/>
          <w:b w:val="0"/>
          <w:sz w:val="30"/>
          <w:szCs w:val="30"/>
        </w:rPr>
      </w:pPr>
      <w:r/>
      <w:bookmarkStart w:id="165" w:name="_Toc513029238"/>
      <w:r/>
      <w:bookmarkStart w:id="166" w:name="_Toc16938554"/>
      <w:r/>
      <w:bookmarkStart w:id="167" w:name="_Toc20823310"/>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p>
    <w:p>
      <w:pPr>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p>
    <w:p>
      <w:pPr>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p>
    <w:p>
      <w:pPr>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12"/>
        <w:spacing w:before="145" w:after="145" w:line="400" w:lineRule="exact"/>
        <w:rPr>
          <w:rFonts w:hint="eastAsia"/>
        </w:rPr>
      </w:pPr>
      <w:r/>
      <w:bookmarkStart w:id="169" w:name="_Toc120614220"/>
      <w:r/>
      <w:bookmarkStart w:id="170" w:name="_Toc513029236"/>
      <w:r/>
      <w:bookmarkStart w:id="171" w:name="_Toc16938552"/>
      <w:r/>
      <w:bookmarkStart w:id="172" w:name="_Toc20823308"/>
      <w:r>
        <w:rPr>
          <w:rFonts w:hint="eastAsia"/>
        </w:rPr>
        <w:t xml:space="preserve">七、授予合同</w:t>
      </w:r>
      <w:bookmarkEnd w:id="169"/>
      <w:r/>
      <w:bookmarkEnd w:id="170"/>
      <w:r/>
      <w:bookmarkEnd w:id="171"/>
      <w:r/>
      <w:bookmarkEnd w:id="172"/>
      <w:r/>
      <w:r/>
    </w:p>
    <w:p>
      <w:pPr>
        <w:pStyle w:val="913"/>
        <w:ind w:firstLine="600"/>
        <w:spacing w:before="0" w:after="0" w:line="400" w:lineRule="exact"/>
        <w:rPr>
          <w:rFonts w:hint="eastAsia" w:ascii="黑体" w:hAnsi="宋体"/>
          <w:b w:val="0"/>
          <w:sz w:val="30"/>
          <w:szCs w:val="30"/>
        </w:rPr>
      </w:pPr>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13"/>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r/>
      <w:bookmarkEnd w:id="174"/>
      <w:r/>
      <w:bookmarkEnd w:id="175"/>
      <w:r/>
      <w:r/>
    </w:p>
    <w:p>
      <w:pPr>
        <w:pStyle w:val="913"/>
        <w:ind w:firstLine="600"/>
        <w:spacing w:before="0" w:after="0" w:line="400" w:lineRule="exact"/>
        <w:rPr>
          <w:rFonts w:ascii="黑体" w:hAnsi="宋体"/>
          <w:b w:val="0"/>
          <w:sz w:val="30"/>
          <w:szCs w:val="30"/>
        </w:rPr>
      </w:pPr>
      <w:r/>
      <w:bookmarkStart w:id="176" w:name="_Toc479757207"/>
      <w:r/>
      <w:bookmarkStart w:id="177" w:name="_Toc16938558"/>
      <w:r/>
      <w:bookmarkStart w:id="178" w:name="_Toc20823314"/>
      <w:r/>
      <w:bookmarkStart w:id="179" w:name="_Toc513029242"/>
      <w:r/>
      <w:bookmarkStart w:id="180" w:name="_Toc120614221"/>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p>
    <w:p>
      <w:pPr>
        <w:pStyle w:val="91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11"/>
        <w:spacing w:line="400" w:lineRule="exact"/>
        <w:rPr>
          <w:rFonts w:hint="eastAsia" w:ascii="宋体" w:hAnsi="宋体"/>
          <w:bCs/>
          <w:sz w:val="24"/>
        </w:rPr>
      </w:pP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r>
      <w:r/>
    </w:p>
    <w:p>
      <w:pPr>
        <w:pStyle w:val="911"/>
        <w:spacing w:line="400" w:lineRule="exact"/>
        <w:rPr>
          <w:rFonts w:hint="eastAsia" w:ascii="宋体" w:hAnsi="宋体"/>
          <w:bCs/>
          <w:sz w:val="24"/>
        </w:rPr>
      </w:pPr>
      <w:r>
        <w:rPr>
          <w:rFonts w:hint="eastAsia" w:ascii="宋体" w:hAnsi="宋体"/>
          <w:bCs/>
          <w:sz w:val="24"/>
        </w:rPr>
      </w:r>
      <w:r/>
    </w:p>
    <w:p>
      <w:pPr>
        <w:pStyle w:val="911"/>
        <w:spacing w:line="400" w:lineRule="exact"/>
        <w:rPr>
          <w:rFonts w:hint="eastAsia" w:ascii="宋体" w:hAnsi="宋体"/>
          <w:bCs/>
          <w:sz w:val="24"/>
          <w:lang w:val="en-US"/>
        </w:rPr>
      </w:pPr>
      <w:r>
        <w:rPr>
          <w:rFonts w:hint="eastAsia" w:ascii="宋体" w:hAnsi="宋体"/>
          <w:bCs/>
          <w:sz w:val="24"/>
          <w:lang w:val="en-US"/>
        </w:rPr>
      </w:r>
      <w:r/>
    </w:p>
    <w:p>
      <w:pPr>
        <w:pStyle w:val="909"/>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16938559"/>
      <w:r/>
      <w:bookmarkStart w:id="182" w:name="_Toc513029243"/>
      <w:r/>
      <w:bookmarkStart w:id="183" w:name="_Toc2082331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959"/>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5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95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5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9"/>
        <w:spacing w:before="120" w:after="120"/>
        <w:rPr>
          <w:rFonts w:hint="eastAsia" w:hAnsi="宋体"/>
          <w:sz w:val="24"/>
          <w:szCs w:val="24"/>
        </w:rPr>
      </w:pPr>
      <w:r>
        <w:rPr>
          <w:rFonts w:hint="eastAsia" w:hAnsi="宋体"/>
          <w:sz w:val="24"/>
          <w:szCs w:val="24"/>
        </w:rPr>
        <w:t xml:space="preserve">1.3 标的数量（规模）：</w:t>
      </w:r>
      <w:r/>
    </w:p>
    <w:p>
      <w:pPr>
        <w:pStyle w:val="959"/>
        <w:spacing w:before="120" w:after="120"/>
        <w:rPr>
          <w:rFonts w:hint="eastAsia" w:hAnsi="宋体"/>
          <w:sz w:val="24"/>
          <w:szCs w:val="24"/>
        </w:rPr>
      </w:pPr>
      <w:r>
        <w:rPr>
          <w:rFonts w:hint="eastAsia" w:hAnsi="宋体"/>
          <w:sz w:val="24"/>
          <w:szCs w:val="24"/>
        </w:rPr>
        <w:t xml:space="preserve">1.4 履行时间（期限）：</w:t>
      </w:r>
      <w:r/>
    </w:p>
    <w:p>
      <w:pPr>
        <w:pStyle w:val="959"/>
        <w:spacing w:before="120" w:after="120"/>
        <w:rPr>
          <w:rFonts w:hAnsi="宋体"/>
          <w:sz w:val="24"/>
          <w:szCs w:val="24"/>
        </w:rPr>
      </w:pPr>
      <w:r>
        <w:rPr>
          <w:rFonts w:hint="eastAsia" w:hAnsi="宋体"/>
          <w:sz w:val="24"/>
          <w:szCs w:val="24"/>
        </w:rPr>
        <w:t xml:space="preserve">1.5 履行地点：</w:t>
      </w:r>
      <w:r/>
    </w:p>
    <w:p>
      <w:pPr>
        <w:pStyle w:val="959"/>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959"/>
        <w:spacing w:before="120" w:after="120"/>
        <w:rPr>
          <w:rFonts w:hAnsi="宋体"/>
          <w:b/>
          <w:sz w:val="24"/>
          <w:szCs w:val="24"/>
        </w:rPr>
      </w:pPr>
      <w:r>
        <w:rPr>
          <w:rFonts w:hAnsi="宋体"/>
          <w:b/>
          <w:sz w:val="24"/>
          <w:szCs w:val="24"/>
        </w:rPr>
        <w:t xml:space="preserve">二、合同金额</w:t>
      </w:r>
      <w:r/>
    </w:p>
    <w:p>
      <w:pPr>
        <w:pStyle w:val="95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59"/>
        <w:spacing w:before="120" w:after="120"/>
        <w:rPr>
          <w:rFonts w:hAnsi="宋体"/>
          <w:b/>
          <w:sz w:val="24"/>
          <w:szCs w:val="24"/>
        </w:rPr>
      </w:pPr>
      <w:r>
        <w:rPr>
          <w:rFonts w:hAnsi="宋体"/>
          <w:b/>
          <w:sz w:val="24"/>
          <w:szCs w:val="24"/>
        </w:rPr>
        <w:t xml:space="preserve">三、技术资料</w:t>
      </w:r>
      <w:r/>
    </w:p>
    <w:p>
      <w:pPr>
        <w:pStyle w:val="95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5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9"/>
        <w:ind w:left="412" w:hanging="412"/>
        <w:spacing w:before="120" w:after="120"/>
        <w:rPr>
          <w:rFonts w:hAnsi="宋体"/>
          <w:b/>
          <w:sz w:val="24"/>
          <w:szCs w:val="24"/>
        </w:rPr>
      </w:pPr>
      <w:r>
        <w:rPr>
          <w:rFonts w:hAnsi="宋体"/>
          <w:b/>
          <w:sz w:val="24"/>
          <w:szCs w:val="24"/>
        </w:rPr>
        <w:t xml:space="preserve">四、知识产权</w:t>
      </w:r>
      <w:r/>
    </w:p>
    <w:p>
      <w:pPr>
        <w:pStyle w:val="95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9"/>
        <w:spacing w:before="120" w:after="120"/>
        <w:rPr>
          <w:rFonts w:hAnsi="宋体"/>
          <w:sz w:val="24"/>
          <w:szCs w:val="24"/>
          <w:u w:val="single"/>
        </w:rPr>
      </w:pPr>
      <w:r>
        <w:rPr>
          <w:rFonts w:hAnsi="宋体"/>
          <w:b/>
          <w:sz w:val="24"/>
          <w:szCs w:val="24"/>
        </w:rPr>
        <w:t xml:space="preserve">五、产权担保</w:t>
      </w:r>
      <w:r/>
    </w:p>
    <w:p>
      <w:pPr>
        <w:pStyle w:val="95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59"/>
        <w:ind w:left="410" w:hanging="410"/>
        <w:spacing w:before="120" w:after="120"/>
        <w:rPr>
          <w:rFonts w:hAnsi="宋体"/>
          <w:b/>
          <w:sz w:val="24"/>
          <w:szCs w:val="24"/>
        </w:rPr>
      </w:pPr>
      <w:r>
        <w:rPr>
          <w:rFonts w:hAnsi="宋体"/>
          <w:b/>
          <w:sz w:val="24"/>
          <w:szCs w:val="24"/>
        </w:rPr>
        <w:t xml:space="preserve">六、履约保证金</w:t>
      </w:r>
      <w:r/>
    </w:p>
    <w:p>
      <w:pPr>
        <w:pStyle w:val="95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（合同金额的10%）</w:t>
      </w:r>
      <w:r/>
    </w:p>
    <w:p>
      <w:pPr>
        <w:pStyle w:val="959"/>
        <w:ind w:left="408" w:hanging="408"/>
        <w:spacing w:before="120" w:after="120"/>
        <w:rPr>
          <w:rFonts w:hAnsi="宋体" w:eastAsia="宋体"/>
          <w:sz w:val="24"/>
          <w:szCs w:val="24"/>
          <w:lang w:val="en-US" w:eastAsia="zh-CN"/>
        </w:rPr>
      </w:pPr>
      <w:r>
        <w:rPr>
          <w:rFonts w:hint="eastAsia" w:hAnsi="宋体"/>
          <w:sz w:val="24"/>
          <w:szCs w:val="24"/>
          <w:lang w:val="en-US" w:eastAsia="zh-CN"/>
        </w:rPr>
        <w:t xml:space="preserve">6.2 收取履约保证金形式：保函</w:t>
      </w:r>
      <w:r/>
    </w:p>
    <w:p>
      <w:pPr>
        <w:pStyle w:val="95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59"/>
        <w:ind w:left="408" w:hanging="408"/>
        <w:spacing w:before="120" w:after="120"/>
        <w:rPr>
          <w:rFonts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按照相关规定和流程无息退还</w:t>
      </w:r>
      <w:r/>
    </w:p>
    <w:p>
      <w:pPr>
        <w:pStyle w:val="959"/>
        <w:ind w:left="408" w:hanging="408"/>
        <w:spacing w:before="120" w:after="120"/>
        <w:rPr>
          <w:rFonts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验收合格满半年后</w:t>
      </w:r>
      <w:r/>
    </w:p>
    <w:p>
      <w:pPr>
        <w:pStyle w:val="959"/>
        <w:ind w:left="408" w:hanging="408"/>
        <w:spacing w:before="120" w:after="120"/>
        <w:rPr>
          <w:rFonts w:hint="eastAsia" w:hAnsi="宋体"/>
          <w:sz w:val="24"/>
          <w:szCs w:val="24"/>
        </w:rPr>
      </w:pPr>
      <w:r>
        <w:rPr>
          <w:rFonts w:hint="eastAsia" w:hAnsi="宋体"/>
          <w:sz w:val="24"/>
          <w:szCs w:val="24"/>
        </w:rPr>
        <w:t xml:space="preserve">6.2.3履约保证金退还条件：按照合同要求履约完好</w:t>
      </w:r>
      <w:r/>
    </w:p>
    <w:p>
      <w:pPr>
        <w:pStyle w:val="959"/>
        <w:ind w:left="408" w:hanging="408"/>
        <w:spacing w:before="120" w:after="120"/>
        <w:rPr>
          <w:rFonts w:hint="eastAsia" w:ascii="宋体" w:hAnsi="宋体" w:cs="Courier New"/>
          <w:bCs/>
          <w:sz w:val="24"/>
          <w:szCs w:val="24"/>
        </w:rPr>
      </w:pPr>
      <w:r>
        <w:rPr>
          <w:rFonts w:hint="eastAsia" w:hAnsi="宋体"/>
          <w:sz w:val="24"/>
          <w:szCs w:val="24"/>
        </w:rPr>
        <w:t xml:space="preserve">6.2.4履约保证金不予退还的情形：未按合同要求履约</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5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预付款支付时间：合同生效</w:t>
      </w:r>
      <w:r>
        <w:rPr>
          <w:rFonts w:hint="eastAsia" w:ascii="宋体" w:hAnsi="宋体"/>
          <w:b w:val="0"/>
          <w:bCs w:val="0"/>
          <w:i w:val="0"/>
          <w:iCs w:val="0"/>
          <w:color w:val="auto"/>
          <w:sz w:val="24"/>
          <w:szCs w:val="24"/>
          <w:u w:val="none"/>
        </w:rPr>
        <w:t xml:space="preserve">收到合同总价10%的履约保证金</w:t>
      </w:r>
      <w:r>
        <w:rPr>
          <w:rFonts w:hint="eastAsia" w:ascii="宋体" w:hAnsi="宋体"/>
          <w:sz w:val="24"/>
          <w:szCs w:val="24"/>
        </w:rPr>
        <w:t xml:space="preserve">且收到合格发票后支付合同总金额的30%。</w:t>
      </w:r>
      <w:r/>
    </w:p>
    <w:p>
      <w:pPr>
        <w:spacing w:before="145" w:after="145"/>
        <w:rPr>
          <w:rFonts w:hAnsi="宋体"/>
          <w:bCs/>
          <w:sz w:val="24"/>
          <w:szCs w:val="24"/>
        </w:rPr>
      </w:pPr>
      <w:r>
        <w:rPr>
          <w:rFonts w:ascii="宋体" w:hAnsi="宋体"/>
          <w:sz w:val="24"/>
          <w:szCs w:val="24"/>
        </w:rPr>
        <w:t xml:space="preserve">8</w:t>
      </w:r>
      <w:r>
        <w:rPr>
          <w:rFonts w:hint="eastAsia" w:ascii="宋体" w:hAnsi="宋体"/>
          <w:sz w:val="24"/>
          <w:szCs w:val="24"/>
        </w:rPr>
        <w:t xml:space="preserve">.1.2 尾款支付时间：验收合格且收到正规发票后</w:t>
      </w:r>
      <w:r>
        <w:rPr>
          <w:rFonts w:hint="eastAsia" w:ascii="宋体" w:hAnsi="宋体"/>
          <w:sz w:val="24"/>
          <w:szCs w:val="24"/>
          <w:lang w:val="en-US" w:eastAsia="zh-CN"/>
        </w:rPr>
        <w:t xml:space="preserve">60日内</w:t>
      </w:r>
      <w:r>
        <w:rPr>
          <w:rFonts w:hint="eastAsia" w:ascii="宋体" w:hAnsi="宋体"/>
          <w:sz w:val="24"/>
          <w:szCs w:val="24"/>
        </w:rPr>
        <w:t xml:space="preserve">支付合同总金额的70%。</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5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5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9"/>
        <w:ind w:left="480" w:hanging="480"/>
        <w:spacing w:before="120" w:after="120" w:line="0" w:lineRule="atLeast"/>
        <w:rPr>
          <w:rFonts w:hAnsi="宋体"/>
          <w:sz w:val="24"/>
          <w:szCs w:val="24"/>
        </w:rPr>
      </w:pPr>
      <w:r>
        <w:rPr>
          <w:rFonts w:hAnsi="宋体"/>
          <w:sz w:val="24"/>
          <w:szCs w:val="24"/>
        </w:rPr>
        <w:t xml:space="preserve">  甲方：                        乙方： </w:t>
      </w:r>
      <w:r/>
    </w:p>
    <w:p>
      <w:pPr>
        <w:pStyle w:val="95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9"/>
        <w:ind w:firstLine="240"/>
        <w:spacing w:before="120" w:after="120" w:line="0" w:lineRule="atLeast"/>
        <w:rPr>
          <w:rFonts w:hint="eastAsia"/>
        </w:rPr>
      </w:pPr>
      <w:r>
        <w:rPr>
          <w:rFonts w:hint="eastAsia" w:hAnsi="宋体"/>
          <w:sz w:val="24"/>
          <w:szCs w:val="24"/>
        </w:rPr>
        <w:t xml:space="preserve">联系电话：                    联系电话：          </w:t>
      </w:r>
      <w:r/>
    </w:p>
    <w:p>
      <w:pPr>
        <w:pStyle w:val="959"/>
        <w:jc w:val="center"/>
        <w:spacing w:before="120" w:after="120" w:line="0" w:lineRule="atLeast"/>
      </w:pPr>
      <w:r>
        <w:rPr>
          <w:rFonts w:hint="eastAsia"/>
        </w:rPr>
        <w:t xml:space="preserve">                                         </w:t>
      </w:r>
      <w:r/>
    </w:p>
    <w:p>
      <w:pPr>
        <w:pStyle w:val="959"/>
        <w:jc w:val="right"/>
        <w:spacing w:before="120" w:after="120" w:line="0" w:lineRule="atLeast"/>
        <w:rPr>
          <w:sz w:val="24"/>
          <w:szCs w:val="24"/>
        </w:rPr>
      </w:pPr>
      <w:r>
        <w:rPr>
          <w:rFonts w:hint="eastAsia"/>
          <w:sz w:val="24"/>
          <w:szCs w:val="24"/>
        </w:rPr>
        <w:t xml:space="preserve"> </w:t>
      </w:r>
      <w:r/>
    </w:p>
    <w:p>
      <w:pPr>
        <w:pStyle w:val="959"/>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pStyle w:val="959"/>
        <w:ind w:firstLine="562"/>
        <w:spacing w:before="120" w:after="120" w:line="560" w:lineRule="exact"/>
        <w:rPr>
          <w:rFonts w:hint="eastAsia" w:ascii="宋体" w:hAnsi="宋体" w:eastAsia="宋体" w:cs="宋体"/>
          <w:bCs/>
          <w:sz w:val="24"/>
          <w:szCs w:val="24"/>
        </w:rPr>
      </w:pPr>
      <w:r/>
      <w:bookmarkStart w:id="191" w:name="_Toc26554093"/>
      <w:r/>
      <w:bookmarkStart w:id="192" w:name="_Toc49090575"/>
      <w:r>
        <w:rPr>
          <w:rFonts w:hint="eastAsia" w:ascii="宋体" w:hAnsi="宋体" w:eastAsia="宋体" w:cs="宋体"/>
          <w:b/>
          <w:bCs w:val="0"/>
          <w:sz w:val="28"/>
          <w:szCs w:val="28"/>
        </w:rPr>
        <w:t xml:space="preserve">一、采购标的清单</w:t>
      </w:r>
      <w:r/>
    </w:p>
    <w:tbl>
      <w:tblPr>
        <w:tblStyle w:val="737"/>
        <w:tblW w:w="77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91"/>
        <w:gridCol w:w="3195"/>
        <w:gridCol w:w="2641"/>
      </w:tblGrid>
      <w:tr>
        <w:trPr>
          <w:cantSplit/>
          <w:jc w:val="center"/>
          <w:trHeight w:val="701"/>
        </w:trPr>
        <w:tc>
          <w:tcPr>
            <w:tcW w:w="790"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109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1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264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536"/>
        </w:trPr>
        <w:tc>
          <w:tcPr>
            <w:tcW w:w="790" w:type="dxa"/>
            <w:vAlign w:val="top"/>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sz w:val="24"/>
                <w:szCs w:val="24"/>
                <w:lang w:val="en-US" w:eastAsia="zh-CN"/>
              </w:rPr>
              <w:t xml:space="preserve">1</w:t>
            </w:r>
            <w:r/>
          </w:p>
        </w:tc>
        <w:tc>
          <w:tcPr>
            <w:tcW w:w="1091" w:type="dxa"/>
            <w:vAlign w:val="top"/>
            <w:textDirection w:val="lrTb"/>
            <w:noWrap w:val="false"/>
          </w:tcPr>
          <w:p>
            <w:pPr>
              <w:jc w:val="center"/>
              <w:spacing w:line="0" w:lineRule="atLeast"/>
              <w:rPr>
                <w:rFonts w:hint="eastAsia" w:ascii="宋体" w:hAnsi="宋体" w:eastAsia="宋体" w:cs="宋体"/>
                <w:sz w:val="24"/>
                <w:szCs w:val="24"/>
              </w:rPr>
            </w:pPr>
            <w:r>
              <w:rPr>
                <w:rFonts w:hint="eastAsia" w:ascii="宋体" w:hAnsi="宋体"/>
                <w:sz w:val="24"/>
                <w:szCs w:val="24"/>
              </w:rPr>
              <w:t xml:space="preserve">1</w:t>
            </w:r>
            <w:r/>
          </w:p>
        </w:tc>
        <w:tc>
          <w:tcPr>
            <w:tcW w:w="3195" w:type="dxa"/>
            <w:vAlign w:val="center"/>
            <w:textDirection w:val="lrTb"/>
            <w:noWrap w:val="false"/>
          </w:tcPr>
          <w:p>
            <w:pPr>
              <w:jc w:val="center"/>
              <w:spacing w:line="240" w:lineRule="exact"/>
              <w:tabs>
                <w:tab w:val="left" w:pos="2020" w:leader="none"/>
              </w:tabs>
              <w:rPr>
                <w:rFonts w:hint="eastAsia" w:ascii="宋体" w:hAnsi="宋体" w:eastAsia="宋体" w:cs="宋体"/>
                <w:sz w:val="24"/>
                <w:szCs w:val="24"/>
              </w:rPr>
            </w:pPr>
            <w:r>
              <w:rPr>
                <w:rFonts w:hint="eastAsia" w:ascii="宋体" w:hAnsi="宋体"/>
                <w:sz w:val="24"/>
                <w:szCs w:val="24"/>
              </w:rPr>
              <w:t xml:space="preserve">I期临床试验管理系统</w:t>
            </w:r>
            <w:r/>
          </w:p>
        </w:tc>
        <w:tc>
          <w:tcPr>
            <w:tcW w:w="2641" w:type="dxa"/>
            <w:vAlign w:val="center"/>
            <w:textDirection w:val="lrTb"/>
            <w:noWrap w:val="false"/>
          </w:tcPr>
          <w:p>
            <w:pPr>
              <w:jc w:val="center"/>
              <w:spacing w:line="240" w:lineRule="exact"/>
              <w:rPr>
                <w:rFonts w:hint="eastAsia" w:ascii="宋体" w:hAnsi="宋体" w:eastAsia="宋体" w:cs="宋体"/>
                <w:color w:val="000000"/>
                <w:sz w:val="24"/>
                <w:szCs w:val="24"/>
              </w:rPr>
            </w:pPr>
            <w:r>
              <w:fldChar w:fldCharType="begin"/>
            </w:r>
            <w:r>
              <w:instrText xml:space="preserve"> HYPERLINK "https://baike.baidu.com/item/%E8%BD%AF%E4%BB%B6%E5%92%8C%E4%BF%A1%E6%81%AF%E6%8A%80%E6%9C%AF%E6%9C%8D%E5%8A%A1%E4%B8%9A/60200450?fromModule=lemma_inlink" \t "https://baike.baidu.com/item/%E4%B8%AD%E5%B0%8F%E4%BC%81%E4%B8%9A/_blank" </w:instrText>
            </w:r>
            <w:r>
              <w:fldChar w:fldCharType="separate"/>
            </w:r>
            <w:r>
              <w:rPr>
                <w:rFonts w:ascii="宋体" w:hAnsi="宋体"/>
                <w:sz w:val="24"/>
                <w:szCs w:val="24"/>
              </w:rPr>
              <w:t xml:space="preserve">软件和信息技术服务业</w:t>
            </w:r>
            <w:r>
              <w:rPr>
                <w:rFonts w:ascii="宋体" w:hAnsi="宋体"/>
                <w:sz w:val="24"/>
                <w:szCs w:val="24"/>
              </w:rPr>
              <w:fldChar w:fldCharType="end"/>
            </w:r>
            <w:r/>
          </w:p>
        </w:tc>
      </w:tr>
    </w:tbl>
    <w:p>
      <w:pPr>
        <w:ind w:firstLine="480"/>
        <w:spacing w:line="56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spacing w:line="560" w:lineRule="exact"/>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二、政府采购中实施本国产品标准及相关政策</w:t>
      </w:r>
      <w:r/>
    </w:p>
    <w:p>
      <w:pPr>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eastAsia="宋体" w:cs="宋体"/>
          <w:bCs/>
          <w:color w:val="000000"/>
          <w:sz w:val="24"/>
          <w:szCs w:val="24"/>
        </w:rPr>
      </w:pPr>
      <w:r>
        <w:rPr>
          <w:rFonts w:hint="eastAsia" w:ascii="宋体" w:hAnsi="宋体" w:eastAsia="宋体" w:cs="宋体"/>
          <w:b/>
          <w:color w:val="000000"/>
          <w:sz w:val="24"/>
          <w:szCs w:val="24"/>
        </w:rPr>
        <w:t xml:space="preserve">2.本国产品标准适用于服务项目中涉及的货物。</w:t>
      </w:r>
      <w:r>
        <w:rPr>
          <w:rFonts w:hint="eastAsia" w:ascii="宋体" w:hAnsi="宋体" w:eastAsia="宋体" w:cs="宋体"/>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9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三、技术要求</w:t>
      </w:r>
      <w:r/>
    </w:p>
    <w:p>
      <w:pPr>
        <w:ind w:firstLine="480"/>
        <w:spacing w:line="56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技术要求是指对采购</w:t>
      </w:r>
      <w:r>
        <w:rPr>
          <w:rFonts w:hint="eastAsia" w:ascii="宋体" w:hAnsi="宋体" w:eastAsia="宋体" w:cs="宋体"/>
          <w:bCs/>
          <w:sz w:val="24"/>
          <w:szCs w:val="24"/>
        </w:rPr>
        <w:t xml:space="preserve">标的功能和质量要求，包括性能、材料、结构、外观、安全，或者服务内容和标准等。其中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spacing w:line="520" w:lineRule="exact"/>
        <w:rPr>
          <w:rFonts w:hint="eastAsia" w:ascii="宋体" w:hAnsi="宋体"/>
          <w:b/>
          <w:sz w:val="24"/>
          <w:szCs w:val="24"/>
        </w:rPr>
      </w:pPr>
      <w:r>
        <w:rPr>
          <w:rFonts w:hint="eastAsia" w:ascii="宋体" w:hAnsi="宋体"/>
          <w:b/>
          <w:sz w:val="24"/>
          <w:szCs w:val="24"/>
        </w:rPr>
      </w:r>
      <w:r/>
    </w:p>
    <w:p>
      <w:pPr>
        <w:pStyle w:val="738"/>
        <w:rPr>
          <w:rFonts w:hint="eastAsia"/>
        </w:rPr>
      </w:pPr>
      <w:r>
        <w:rPr>
          <w:rFonts w:hint="eastAsia"/>
        </w:rPr>
      </w:r>
      <w:r/>
    </w:p>
    <w:tbl>
      <w:tblPr>
        <w:tblStyle w:val="737"/>
        <w:tblW w:w="831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574"/>
        <w:gridCol w:w="882"/>
        <w:gridCol w:w="6862"/>
      </w:tblGrid>
      <w:tr>
        <w:trPr>
          <w:trHeight w:val="657"/>
        </w:trPr>
        <w:tc>
          <w:tcPr>
            <w:tcW w:w="574"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模块</w:t>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一级功能</w:t>
            </w:r>
            <w:r/>
          </w:p>
        </w:tc>
        <w:tc>
          <w:tcPr>
            <w:tcW w:w="686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功能详细描述</w:t>
            </w:r>
            <w:r/>
          </w:p>
        </w:tc>
      </w:tr>
      <w:tr>
        <w:trPr>
          <w:trHeight w:val="470"/>
        </w:trPr>
        <w:tc>
          <w:tcPr>
            <w:tcW w:w="574" w:type="dxa"/>
            <w:vAlign w:val="center"/>
            <w:vMerge w:val="restart"/>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t xml:space="preserve">项目管理</w:t>
            </w:r>
            <w:r/>
          </w:p>
        </w:tc>
        <w:tc>
          <w:tcPr>
            <w:tcW w:w="882" w:type="dxa"/>
            <w:vAlign w:val="center"/>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t xml:space="preserve">项目信息管理</w:t>
            </w:r>
            <w:r/>
          </w:p>
        </w:tc>
        <w:tc>
          <w:tcPr>
            <w:tcW w:w="6862" w:type="dxa"/>
            <w:vAlign w:val="center"/>
            <w:textDirection w:val="lrTb"/>
            <w:noWrap w:val="false"/>
          </w:tcPr>
          <w:p>
            <w:pPr>
              <w:widowControl/>
              <w:rPr>
                <w:rFonts w:hint="eastAsia" w:ascii="宋体" w:hAnsi="宋体" w:eastAsia="宋体" w:cs="宋体"/>
                <w:b/>
                <w:bCs/>
                <w:lang w:bidi="ar"/>
              </w:rPr>
            </w:pPr>
            <w:r>
              <w:rPr>
                <w:rFonts w:hint="eastAsia"/>
              </w:rPr>
              <w:t xml:space="preserve">（1）支持临床试验项目创建、基本信息维护及参数设置，并支持按照系统角色进行管理；支持将成功的项目信息（方案、流程、表单等）保存为模板，便于新项目快速搭建。</w:t>
            </w:r>
            <w:r/>
          </w:p>
        </w:tc>
      </w:tr>
      <w:tr>
        <w:trPr>
          <w:trHeight w:val="470"/>
        </w:trPr>
        <w:tc>
          <w:tcPr>
            <w:tcW w:w="574" w:type="dxa"/>
            <w:vAlign w:val="center"/>
            <w:vMerge w:val="continue"/>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t xml:space="preserve">项目人员管理</w:t>
            </w:r>
            <w:r/>
          </w:p>
        </w:tc>
        <w:tc>
          <w:tcPr>
            <w:tcW w:w="6862" w:type="dxa"/>
            <w:vAlign w:val="center"/>
            <w:textDirection w:val="lrTb"/>
            <w:noWrap w:val="false"/>
          </w:tcPr>
          <w:p>
            <w:pPr>
              <w:widowControl/>
            </w:pPr>
            <w:r>
              <w:rPr>
                <w:rFonts w:hint="eastAsia"/>
              </w:rPr>
              <w:t xml:space="preserve">（1）支持按项目、按角色、按用户等方式进行多维度的精细权限分配和管理。可以为用户分配不同角色（如研究者、研究协调员、监查员、数据管理员等），每个角色对不同的模块、表单、字段甚至站点数据拥有不同的读、写、编辑、删除权限。</w:t>
            </w:r>
            <w:r/>
          </w:p>
          <w:p>
            <w:pPr>
              <w:widowControl/>
              <w:rPr>
                <w:rFonts w:hint="eastAsia" w:ascii="宋体" w:hAnsi="宋体" w:eastAsia="宋体" w:cs="宋体"/>
                <w:b/>
                <w:bCs/>
                <w:lang w:bidi="ar"/>
              </w:rPr>
            </w:pPr>
            <w:r>
              <w:rPr>
                <w:rFonts w:hint="eastAsia"/>
              </w:rPr>
              <w:t xml:space="preserve">（2）支持与医院统一身份认证平台集成，实现单点登录，并能够自动同步人员入职、离职、转岗信息，并据此自动触发或关闭培训任务等任务，支持电子签名配置，确保关键操作（如eCRF签名确认、数据锁定）的合规性。</w:t>
            </w:r>
            <w:r/>
          </w:p>
        </w:tc>
      </w:tr>
      <w:tr>
        <w:trPr>
          <w:trHeight w:val="470"/>
        </w:trPr>
        <w:tc>
          <w:tcPr>
            <w:tcW w:w="574" w:type="dxa"/>
            <w:vAlign w:val="center"/>
            <w:vMerge w:val="continue"/>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widowControl/>
              <w:rPr>
                <w:rFonts w:hint="eastAsia" w:ascii="宋体" w:hAnsi="宋体" w:eastAsia="宋体" w:cs="宋体"/>
                <w:b/>
                <w:bCs/>
                <w:lang w:bidi="ar"/>
              </w:rPr>
            </w:pPr>
            <w:r>
              <w:rPr>
                <w:rFonts w:hint="eastAsia" w:ascii="宋体" w:hAnsi="宋体" w:eastAsia="宋体" w:cs="宋体"/>
                <w:b/>
                <w:bCs/>
                <w:lang w:bidi="ar"/>
              </w:rPr>
              <w:t xml:space="preserve">项目方案管理</w:t>
            </w:r>
            <w:r/>
          </w:p>
        </w:tc>
        <w:tc>
          <w:tcPr>
            <w:tcW w:w="6862" w:type="dxa"/>
            <w:vAlign w:val="center"/>
            <w:textDirection w:val="lrTb"/>
            <w:noWrap w:val="false"/>
          </w:tcPr>
          <w:p>
            <w:pPr>
              <w:widowControl/>
            </w:pPr>
            <w:r>
              <w:rPr>
                <w:rFonts w:hint="eastAsia"/>
              </w:rPr>
              <w:t xml:space="preserve">（1）▲研究方案智能辅助设计：支持通过提供临床试验方案流程图资料，借助AI模型自动进行方案的初始化设计，后续人工快速负荷即可；支持匿名化分析本院历史项目数据，当设计新方案时，可智能推荐常用访视结构、评估项目、入排标准甚至预计筛选失败率等，为新方案设计提供思路与建议。支持直接分析方案草案，指出访视流程设计中的逻辑矛盾、资源冲突点，或推荐更高效的访视结构；方案草案形成后能够基于本院受试者数据库（脱敏后）进行虚拟筛选，快速预测可能遇到的招募难点和周期，辅助研究者判断项目可行性。</w:t>
            </w:r>
            <w:r/>
          </w:p>
          <w:p>
            <w:pPr>
              <w:widowControl/>
            </w:pPr>
            <w:r>
              <w:rPr>
                <w:rFonts w:hint="eastAsia"/>
              </w:rPr>
              <w:t xml:space="preserve">（2）可视化方案设计：支持拖拽式、时间轴式的方式配置试验全流程（筛选期、入住期、试验期、随访期），管理员可直接在时间轴上灵活添加各类事件（如：入住、禁食禁水、采样、给药、生命体征、影像学检查、问卷调查等），并为每个事件配置复杂规则如：时间窗规则： 相对时间（如给药后±5分钟）、绝对时间等；依赖关系： 如“采血”必须依赖于“给药”完成后才能开始等；执行规则： 是否需双人核对、是否需要强制录入原因才能偏离等；自动计算： 根据给药时间自动计算并生成后续所有采血/检查的计划时间点等。</w:t>
            </w:r>
            <w:r/>
          </w:p>
          <w:p>
            <w:pPr>
              <w:widowControl/>
            </w:pPr>
            <w:r>
              <w:rPr>
                <w:rFonts w:hint="eastAsia"/>
              </w:rPr>
              <w:t xml:space="preserve">（3）支持按随访周期适配：可针对不同随访时间点（如基线期、治疗期、随访期）绑定差异化表单，系统根据受试者当前随访阶段自动匹配对应表单等，并能在预设随访时间点自动向研究者/研究护士推送待填写的研究型病历表单等。</w:t>
            </w:r>
            <w:r/>
          </w:p>
          <w:p>
            <w:pPr>
              <w:widowControl/>
            </w:pPr>
            <w:r>
              <w:rPr>
                <w:rFonts w:hint="eastAsia"/>
              </w:rPr>
              <w:t xml:space="preserve">（4）支持针对I期和BE项目设置筛选号规则、受试者分批、给药分组、给药计划时间点、样本处理条件及超窗范围等。</w:t>
            </w:r>
            <w:r/>
          </w:p>
          <w:p>
            <w:pPr>
              <w:widowControl/>
              <w:rPr>
                <w:rFonts w:hint="eastAsia" w:ascii="宋体" w:hAnsi="宋体" w:eastAsia="宋体" w:cs="宋体"/>
                <w:b/>
                <w:bCs/>
                <w:lang w:bidi="ar"/>
              </w:rPr>
            </w:pPr>
            <w:r>
              <w:rPr>
                <w:rFonts w:hint="eastAsia"/>
              </w:rPr>
              <w:t xml:space="preserve">（5）</w:t>
            </w:r>
            <w:r>
              <w:rPr>
                <w:rFonts w:hint="eastAsia" w:ascii="宋体" w:hAnsi="宋体" w:cs="宋体"/>
                <w:color w:val="000000"/>
                <w:sz w:val="22"/>
                <w:szCs w:val="22"/>
              </w:rPr>
              <w:t xml:space="preserve">▲</w:t>
            </w:r>
            <w:r>
              <w:rPr>
                <w:rFonts w:hint="eastAsia"/>
              </w:rPr>
              <w:t xml:space="preserve">具有严格的方案版本控制，任何修改必须生成新版本，并清晰记录变更内容、变更人和变更时间，旧版本数据需被完整保留以供稽查；支持将成功的项目配置（方案、流程、表单等）保存为模板，便于新项目快速搭建。</w:t>
            </w:r>
            <w:r/>
          </w:p>
        </w:tc>
      </w:tr>
      <w:tr>
        <w:trPr>
          <w:trHeight w:val="2977"/>
        </w:trPr>
        <w:tc>
          <w:tcPr>
            <w:tcW w:w="574" w:type="dxa"/>
            <w:vAlign w:val="center"/>
            <w:vMerge w:val="restart"/>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受试者管理</w:t>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受试者信息管理</w:t>
            </w:r>
            <w:r/>
          </w:p>
        </w:tc>
        <w:tc>
          <w:tcPr>
            <w:tcW w:w="6862" w:type="dxa"/>
            <w:vAlign w:val="center"/>
            <w:textDirection w:val="lrTb"/>
            <w:noWrap w:val="false"/>
          </w:tcPr>
          <w:p>
            <w:pPr>
              <w:widowControl/>
            </w:pPr>
            <w:r>
              <w:rPr>
                <w:rFonts w:hint="eastAsia"/>
              </w:rPr>
              <w:t xml:space="preserve">（1）▲支持受试者基本信息登记，包括人口学资料（性别、出生日期、民族）、联系方式、身高、体重（自动计算BMI）、疾病史、过敏史等；支持新增、编辑、删除（需有权限并记录审计追踪）、详情查看、批量导入等操作功能，支持一键同步HIS系统中的患者基本信息，避免重复录入。</w:t>
            </w:r>
            <w:r/>
          </w:p>
          <w:p>
            <w:pPr>
              <w:widowControl/>
              <w:rPr>
                <w:rFonts w:hint="eastAsia" w:ascii="宋体" w:hAnsi="宋体" w:eastAsia="宋体" w:cs="宋体"/>
                <w:b/>
                <w:bCs/>
                <w:lang w:bidi="ar"/>
              </w:rPr>
            </w:pPr>
            <w:r>
              <w:rPr>
                <w:rFonts w:hint="eastAsia"/>
              </w:rPr>
              <w:t xml:space="preserve">（2）支持受试者信息综合查询：支持按以下条件精确或模糊查询：基本信息：姓名、拼音、筛选号、随机号、住院号等；状态信息：筛选状态（待筛选、筛选失败、已入组）、入组状态（进行中、已完成、已脱落）、试验分组（A组/B组）等；时间信息：筛选日期、入组日期、出组日期等时间段查询；查询结果可导出为Excel或CSV等格式。</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受试者唯一标识管理</w:t>
            </w:r>
            <w:r/>
          </w:p>
        </w:tc>
        <w:tc>
          <w:tcPr>
            <w:tcW w:w="6862" w:type="dxa"/>
            <w:vAlign w:val="center"/>
            <w:textDirection w:val="lrTb"/>
            <w:noWrap w:val="false"/>
          </w:tcPr>
          <w:p>
            <w:pPr>
              <w:widowControl/>
            </w:pPr>
            <w:r>
              <w:rPr>
                <w:rFonts w:hint="eastAsia"/>
              </w:rPr>
              <w:t xml:space="preserve">（1）支持根据项目方案自定义筛选号编码规则（如：中心编号-项目编号-序列号），入组时，系统根据随机结果自动分配随机号，并与筛选号永久绑定；并支持随机分配功能，支持自动录入随机拆信封信息等。</w:t>
            </w:r>
            <w:r/>
          </w:p>
          <w:p>
            <w:pPr>
              <w:widowControl/>
              <w:rPr>
                <w:rFonts w:hint="eastAsia" w:ascii="宋体" w:hAnsi="宋体" w:cs="宋体"/>
                <w:b/>
                <w:bCs/>
                <w:lang w:bidi="ar"/>
              </w:rPr>
            </w:pPr>
            <w:r>
              <w:rPr>
                <w:rFonts w:hint="eastAsia"/>
              </w:rPr>
              <w:t xml:space="preserve">（2）▲支持根据编码规则生成唯一腕带条码/二维码，如遇到受试者为患者，需同时支持扫医院的住院手环码进行识别，包含其筛选号、随机号、姓名缩写等关键信息；所有后续操作（采血、给药、检查）均支持通过扫描腕带快速确认受试者身份，自动带出其信息，杜绝身份识别错误；支持生成受试者相关联的所有的采样条形码，支持导入中心实验室提供的条形码。</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受试者状态管理</w:t>
            </w:r>
            <w:r/>
          </w:p>
        </w:tc>
        <w:tc>
          <w:tcPr>
            <w:tcW w:w="6862" w:type="dxa"/>
            <w:vAlign w:val="center"/>
            <w:textDirection w:val="lrTb"/>
            <w:noWrap w:val="false"/>
          </w:tcPr>
          <w:p>
            <w:pPr>
              <w:widowControl/>
            </w:pPr>
            <w:r>
              <w:rPr>
                <w:rFonts w:hint="eastAsia"/>
              </w:rPr>
              <w:t xml:space="preserve">（1）</w:t>
            </w:r>
            <w:r>
              <w:rPr>
                <w:rFonts w:hint="eastAsia" w:ascii="宋体" w:hAnsi="宋体" w:cs="宋体"/>
                <w:color w:val="000000"/>
                <w:sz w:val="22"/>
                <w:szCs w:val="22"/>
              </w:rPr>
              <w:t xml:space="preserve">▲</w:t>
            </w:r>
            <w:r>
              <w:rPr>
                <w:rFonts w:hint="eastAsia"/>
              </w:rPr>
              <w:t xml:space="preserve">支持项目受试者全景看板：提供项目级总览看板，以可视化图表形式实时展示：计划入组数、已筛选数、已随机数、正在进行数、已完成数、脱落数等关键指标；支持以状态卡片（筛选中、已入组、已出组、已脱落）形式直观展示所有受试者列表，并可快速点击进入详情页。</w:t>
            </w:r>
            <w:r/>
          </w:p>
          <w:p>
            <w:pPr>
              <w:widowControl/>
            </w:pPr>
            <w:r>
              <w:rPr>
                <w:rFonts w:hint="eastAsia"/>
              </w:rPr>
              <w:t xml:space="preserve">（2）支持单个受试者的360度全景仪表盘，聚合其所有信息：基本资料、所有访视时间轴、用药记录、样本记录、生命体征趋势图、所有AE/CM记录、合并用药、已完成及待办事项等，无需在不同模块间切换，支持自定义仪表盘功能，让不同角色的用户（PI、CRC、护士）可以自定义自己最关心的数据组件。</w:t>
            </w:r>
            <w:r/>
          </w:p>
          <w:p>
            <w:pPr>
              <w:widowControl/>
            </w:pPr>
            <w:r>
              <w:rPr>
                <w:rFonts w:hint="eastAsia"/>
              </w:rPr>
              <w:t xml:space="preserve">（3）支持受试者脱落风险预测：基于历史数据模型，分析在研受试者的行为模式（如随访延迟、ePRO问卷完成率低等），主动标记高脱落风险的受试者，使研究团队能提前干预，提高保留率。</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受试者知情管理</w:t>
            </w:r>
            <w:r/>
          </w:p>
        </w:tc>
        <w:tc>
          <w:tcPr>
            <w:tcW w:w="6862" w:type="dxa"/>
            <w:vAlign w:val="center"/>
            <w:textDirection w:val="lrTb"/>
            <w:noWrap w:val="false"/>
          </w:tcPr>
          <w:p>
            <w:pPr>
              <w:widowControl/>
            </w:pPr>
            <w:r>
              <w:rPr>
                <w:rFonts w:hint="eastAsia"/>
              </w:rPr>
              <w:t xml:space="preserve">（1）</w:t>
            </w:r>
            <w:r>
              <w:rPr>
                <w:rFonts w:hint="eastAsia" w:ascii="宋体" w:hAnsi="宋体" w:cs="宋体"/>
                <w:color w:val="000000"/>
                <w:sz w:val="22"/>
                <w:szCs w:val="22"/>
              </w:rPr>
              <w:t xml:space="preserve">▲</w:t>
            </w:r>
            <w:r>
              <w:rPr>
                <w:rFonts w:hint="eastAsia"/>
              </w:rPr>
              <w:t xml:space="preserve">支持完整的受试者电子知情同意流程管理：知情宣教→答疑→签署→版本控制，支持首次签署、再次签署（如方案修正后）、重新签署等不同场景；支持按是否签署、知情同意书版本号、签署日期等条件进行查询，确保所有受试者签署的都是当前最新版知情同意书。</w:t>
            </w:r>
            <w:r/>
          </w:p>
          <w:p>
            <w:pPr>
              <w:widowControl/>
            </w:pPr>
            <w:r>
              <w:rPr>
                <w:rFonts w:hint="eastAsia"/>
              </w:rPr>
              <w:t xml:space="preserve">（2）支持受试者知情同意各节点的操作功能：开始知情、结束知情、记录提问与解答、电子签名签署，支持上传已签署的纸质知情同意书的扫描件，并与该受试者电子档案关联。</w:t>
            </w:r>
            <w:r/>
          </w:p>
        </w:tc>
      </w:tr>
      <w:tr>
        <w:trPr>
          <w:trHeight w:val="470"/>
        </w:trPr>
        <w:tc>
          <w:tcPr>
            <w:tcW w:w="574" w:type="dxa"/>
            <w:vAlign w:val="center"/>
            <w:vMerge w:val="restart"/>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项目执行管理</w:t>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入组与出组管理</w:t>
            </w:r>
            <w:r/>
          </w:p>
        </w:tc>
        <w:tc>
          <w:tcPr>
            <w:tcW w:w="6862" w:type="dxa"/>
            <w:vAlign w:val="center"/>
            <w:textDirection w:val="lrTb"/>
            <w:noWrap w:val="false"/>
          </w:tcPr>
          <w:p>
            <w:pPr>
              <w:widowControl/>
            </w:pPr>
            <w:r>
              <w:rPr>
                <w:rFonts w:hint="eastAsia"/>
              </w:rPr>
              <w:t xml:space="preserve">（1）支持规范的入组与出组操作：确认入组、取消入组（误操作时）、判断为脱落、完成出组，系统内所有状态变更必须记录原因，并有相应权限控制。</w:t>
            </w:r>
            <w:r/>
          </w:p>
          <w:p>
            <w:pPr>
              <w:widowControl/>
            </w:pPr>
            <w:r>
              <w:rPr>
                <w:rFonts w:hint="eastAsia"/>
              </w:rPr>
              <w:t xml:space="preserve">（2）支持受试者来院流程管理：签到→办理入院→签退→办理出院。签到/签退可通过扫描腕带完成，自动记录时间，计算住院时长；支持按入组状态、脱落原因、时间段等条件查询受试者名单。</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医嘱开立与执行管理</w:t>
            </w:r>
            <w:r/>
          </w:p>
        </w:tc>
        <w:tc>
          <w:tcPr>
            <w:tcW w:w="6862" w:type="dxa"/>
            <w:vAlign w:val="center"/>
            <w:textDirection w:val="lrTb"/>
            <w:noWrap w:val="false"/>
          </w:tcPr>
          <w:p>
            <w:pPr>
              <w:widowControl/>
            </w:pPr>
            <w:r>
              <w:rPr>
                <w:rFonts w:hint="eastAsia"/>
              </w:rPr>
              <w:t xml:space="preserve">（1）系统支持通过接口获取到HIS系统中的医嘱项目字典，包括检验检查等项目名称、编码、费用等信息；支持根据试验方案预设医嘱套餐（如“D1访视套餐”），包含所有必需项目；支持套餐与访视计划自动关联，减少重复操作；支持与医院现有HIS业务系统集成并与医院现有HIS业务系统联动，实现研究者在线开具医嘱，包括药品、检查、检验、护理等项目；支持医嘱停止、作废、变更流程，需记录变更原因、操作人、时间等信息；支持医嘱版本历史查询，任何变更均记录审计追踪。</w:t>
            </w:r>
            <w:r/>
          </w:p>
          <w:p>
            <w:pPr>
              <w:widowControl/>
            </w:pPr>
            <w:r>
              <w:rPr>
                <w:rFonts w:hint="eastAsia"/>
              </w:rPr>
              <w:t xml:space="preserve">（2）▲支持护士端接收医嘱执行任务，通过扫码执行（患者腕带+药品条码+执行人工牌等信息），确保五重核对，系统自动校验患者身份、药物种类、剂量、给药时间是否正确，核对失败则强制拦截并告警；支持执行过程异常记录（如患者拒绝、不良反应），并自动关联不良事件(AE)模块，系统自动将当前时间、相关体征数据、受试者信息带入不良事件(AE)报告表单，简化上报流程；执行后记录执行人、执行时间、执行结果。</w:t>
            </w:r>
            <w:r/>
          </w:p>
          <w:p>
            <w:pPr>
              <w:widowControl/>
            </w:pPr>
            <w:r>
              <w:rPr>
                <w:rFonts w:hint="eastAsia"/>
              </w:rPr>
              <w:t xml:space="preserve">（3）支持试验前依照试验方案配置禁食/水的安排；试验中支持自动判定具体时间，并由相关的工作人员进行确认；禁食/水的操作中可进行实时质控，发生或发现异常情况时，可通过系统及时记录。</w:t>
            </w:r>
            <w:r/>
          </w:p>
          <w:p>
            <w:pPr>
              <w:widowControl/>
            </w:pPr>
            <w:r>
              <w:rPr>
                <w:rFonts w:hint="eastAsia"/>
              </w:rPr>
              <w:t xml:space="preserve">（4）支持自动从HIS/LIS回写医嘱执行状态和结果（如检验结果、检查报告），并自动关联到受试者的eCRF中，形成数据流闭环，执行状态、结果回传至CTMS系统。</w:t>
            </w:r>
            <w:r/>
          </w:p>
          <w:p>
            <w:pPr>
              <w:widowControl/>
            </w:pPr>
            <w:r>
              <w:rPr>
                <w:rFonts w:hint="eastAsia"/>
              </w:rPr>
              <w:t xml:space="preserve">（5）支持费用自动归集至试验项目经费管理模块并可按照每个受试者或者院方自定义设定规则进行费用自动归集；支持生成试验相关的费用明细报告。</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智能用药管理</w:t>
            </w:r>
            <w:r/>
          </w:p>
        </w:tc>
        <w:tc>
          <w:tcPr>
            <w:tcW w:w="6862" w:type="dxa"/>
            <w:vAlign w:val="center"/>
            <w:textDirection w:val="lrTb"/>
            <w:noWrap w:val="false"/>
          </w:tcPr>
          <w:p>
            <w:pPr>
              <w:widowControl/>
            </w:pPr>
            <w:r>
              <w:rPr>
                <w:rFonts w:hint="eastAsia"/>
              </w:rPr>
              <w:t xml:space="preserve">（1）具备高度灵活的公式自定义功能，涵盖固定剂量、体重、体表面积等核心公式类型，可依据不同试验方案的个性化要求，自由组合参数、设定运算逻辑，同时，支持对计算结果的保留小数位数进行精准定义；内置合理用药规则库，自动审查药物相互作用、禁忌症、超剂量等；支持审查结果提示或强拦截，确保用药安全。</w:t>
            </w:r>
            <w:r/>
          </w:p>
          <w:p>
            <w:pPr>
              <w:widowControl/>
            </w:pPr>
            <w:r>
              <w:rPr>
                <w:rFonts w:hint="eastAsia"/>
              </w:rPr>
              <w:t xml:space="preserve">（2）支持药物编号、药物条码打印，包含备份药物；支持受试者扫码确认是否使用对应临床研究药品；支持操作者扫码确认，系统自动记录操作时间；支持给药操作，在线确认，系统自动记录时间。</w:t>
            </w:r>
            <w:r/>
          </w:p>
          <w:p>
            <w:pPr>
              <w:widowControl/>
            </w:pPr>
            <w:r>
              <w:rPr>
                <w:rFonts w:hint="eastAsia"/>
              </w:rPr>
              <w:t xml:space="preserve">（3）</w:t>
            </w:r>
            <w:r>
              <w:rPr>
                <w:rFonts w:hint="eastAsia" w:ascii="宋体" w:hAnsi="宋体" w:cs="宋体"/>
                <w:color w:val="000000"/>
                <w:sz w:val="22"/>
                <w:szCs w:val="22"/>
              </w:rPr>
              <w:t xml:space="preserve">▲</w:t>
            </w:r>
            <w:r>
              <w:rPr>
                <w:rFonts w:hint="eastAsia"/>
              </w:rPr>
              <w:t xml:space="preserve">支持按照方案要求，根据给药开始/给药结束自动生成后续事件的计划时间；支持给药过程中逻辑检测，如有空白血但未采的情况下给药，系统将进行提示；支持实时质控，如失败，可记录原因；异常处理时，支持数据补录。</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临床数据管理</w:t>
            </w:r>
            <w:r/>
          </w:p>
        </w:tc>
        <w:tc>
          <w:tcPr>
            <w:tcW w:w="6862" w:type="dxa"/>
            <w:vAlign w:val="center"/>
            <w:textDirection w:val="lrTb"/>
            <w:noWrap w:val="false"/>
          </w:tcPr>
          <w:p>
            <w:pPr>
              <w:widowControl/>
            </w:pPr>
            <w:r>
              <w:rPr>
                <w:rFonts w:hint="eastAsia"/>
              </w:rPr>
              <w:t xml:space="preserve">（1）提供可视化</w:t>
            </w:r>
            <w:r>
              <w:rPr>
                <w:rFonts w:hint="eastAsia"/>
              </w:rPr>
              <w:t xml:space="preserve">的电子病历表单构建工具，支持可视化拖拽式表单设计，可自定义字段类型（文本、数字、日期、单选、多选、量表、附件、计算逻辑等）；支持设计分支、跳转逻辑和动态字段，确保数据录入的准确性和高效性；表单需经过测试-批准-发布的工作流后才能正式用于生产环境的数据录入，测试包括逻辑校验、分支跳转测试、计算逻辑验证等。系统提供结构化研究病历与标准化试验表单，完全适配I期耐受性、药代、生物等效性等试验场景，严格遵循GCP及I期临床试验管理规范，实现筛选期、试验期全流程病历电子化记录、自动校验、全程溯源、合规归档，病历与表单数</w:t>
            </w:r>
            <w:r>
              <w:rPr>
                <w:rFonts w:hint="eastAsia"/>
              </w:rPr>
              <w:t xml:space="preserve">据同源、实时联动。系统建立受试者筛选专属电子研究病历，完整记录受试者入组前全部基线信息，作为入组判定唯一溯源依据，内置标准化筛选表单，支持模板自定义、字段配置、逻辑校验：筛选访视记录表、基线信息表、入排核查表, 生命体征记录表、筛选检查汇总表,既往用药及禁忌筛查表、筛选失败记录表,支持检查数据自动对接LIS/设备系统回填，减少人工录入；系统提供受试者入组后自动启用试验期专项研究电子病历，覆盖从给药至试验结束全流程，聚焦安全监测、试验操作、数据溯源,内置试验期操作表单，支持访视周期自动触发、定时填报、超时预警</w:t>
            </w:r>
            <w:r/>
          </w:p>
          <w:p>
            <w:pPr>
              <w:widowControl/>
            </w:pPr>
            <w:r>
              <w:rPr>
                <w:rFonts w:hint="eastAsia"/>
              </w:rPr>
              <w:t xml:space="preserve">（2）▲支持对表单的任何修改（如增加字段、修改逻辑）都会生成新版本，并记录修改人、修改时间和修改原因，旧版本数据不可更改，保留全部审计日志；已收集数据的字段一旦发布，其类型和逻辑不能随意修改，必须经过影响性评估和严格的变更控制流程；已填写记录支持修改，但需记录修改轨迹（修改人、修改时间、原数据内容、修改原因）。</w:t>
            </w:r>
            <w:r/>
          </w:p>
          <w:p>
            <w:pPr>
              <w:widowControl/>
            </w:pPr>
            <w:r>
              <w:rPr>
                <w:rFonts w:hint="eastAsia"/>
              </w:rPr>
              <w:t xml:space="preserve">（3）支持问诊、体格检查、生命体征、心电图、实验室检验、影像学检查（CT/MRI）、问卷调查（ePRO）等结果的录入或导入；支持与院内HIS、LIS、EMR、数据中心等对接，可实现临床试验源数据的智能化抓取，形成病历标准格式；按受试者维度聚合所有随访记录，形成完整的研究型病历档案，包含基线信息、历次随访数据、检查报告、用药史、AE 记录等。</w:t>
            </w:r>
            <w:r/>
          </w:p>
          <w:p>
            <w:pPr>
              <w:widowControl/>
            </w:pPr>
            <w:r>
              <w:rPr>
                <w:rFonts w:hint="eastAsia"/>
              </w:rPr>
              <w:t xml:space="preserve">（4）提供专用生命体征录入界面，支持批量录入同一时间点多个受试者的数据；支持与智能生命体征监测设备（如血压计、身高体重秤等）集成，数据自动采集并填入系统，杜绝人工转录错误。</w:t>
            </w:r>
            <w:r/>
          </w:p>
          <w:p>
            <w:pPr>
              <w:widowControl/>
            </w:pPr>
            <w:r>
              <w:rPr>
                <w:rFonts w:hint="eastAsia"/>
              </w:rPr>
              <w:t xml:space="preserve">（5）▲支持设置质控规则引擎，自动检查数据完整性、逻辑一致性、时间窗合规性等；支持在数据录入时或保存时执行实时逻辑校验（如范围检查、逻辑一致性检查），并立即提示错误或警告；支持配置跨模块、跨访视的复杂逻辑检查规则；支持将配置好的验证规则保存到中央规则库中，以便在其他类似的研究中重复使用，保证校验逻辑的一致性；支持质控报告生成，包括缺失率、错误率、完成进度等指标。</w:t>
            </w:r>
            <w:r/>
          </w:p>
          <w:p>
            <w:pPr>
              <w:widowControl/>
            </w:pPr>
            <w:r>
              <w:rPr>
                <w:rFonts w:hint="eastAsia"/>
              </w:rPr>
              <w:t xml:space="preserve">（6）▲提供电子化的数据审核与锁定流程，在完成所有数据清理后，经授权方可执行数据库锁定操作；锁定后，任何数据修改都需通过严格的、被记录的解锁流程，并需记录原因；支持部分锁定功能，例如，可以先将已完成清理的基线期数据锁定，同时继续清理和录入后续访视的数据；在正式生产环境之外，应提供独立的测试环境，供申办方或CRO在数据库锁定前进行最终的数据审核和验证。</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随访管理</w:t>
            </w:r>
            <w:r/>
          </w:p>
        </w:tc>
        <w:tc>
          <w:tcPr>
            <w:tcW w:w="6862" w:type="dxa"/>
            <w:vAlign w:val="center"/>
            <w:textDirection w:val="lrTb"/>
            <w:noWrap w:val="false"/>
          </w:tcPr>
          <w:p>
            <w:pPr>
              <w:widowControl/>
            </w:pPr>
            <w:r>
              <w:rPr>
                <w:rFonts w:hint="eastAsia"/>
              </w:rPr>
              <w:t xml:space="preserve">（1）提供研究日历管理，根据受试者随访日程自动生成研究日历，主要研究者在本月或本周内需要进行的随访，提示研究者提前做好准备；支持记录受试者每次随访情况；支持计划外访视，并记录相关情况；支持受试者随访预约，向研究者、受试者提供预约提醒，系统可以自动发送手机短信至研究者和受试者，提醒随访时间以及所需要做的检查。</w:t>
            </w:r>
            <w:r/>
          </w:p>
          <w:p>
            <w:pPr>
              <w:widowControl/>
            </w:pPr>
            <w:r>
              <w:rPr>
                <w:rFonts w:hint="eastAsia"/>
              </w:rPr>
              <w:t xml:space="preserve">（2）支持根据试验方案日程安排自动生成受试者随访；支持根据试验进程阶段性生成相应随访安排；支持根据首访日期自动计算随访时间；支持根据基线设置、随访完成情况结合实际时间定位下次随访；研究人员等按随访实际情况录入随访完成情况： 支持录入预约日期，实际日期，随访表单信息。</w:t>
            </w:r>
            <w:r/>
          </w:p>
          <w:p>
            <w:pPr>
              <w:widowControl/>
            </w:pPr>
            <w:r>
              <w:rPr>
                <w:rFonts w:hint="eastAsia"/>
              </w:rPr>
              <w:t xml:space="preserve">（3）▲支持项目管理员根据试验方案，预先在系统中配置项目事件（如：筛选期、治疗期、随访期）及每个访点需要完成的检查项目清单（如：抽血、体格检查、问卷）；在研究者工作界面，能根据试验方案和随访计划，清晰、完整、准确地显示每次随访的具体任务清单，包括所有需要完成的事件和检测项目，并可标记每一项的完成状态。</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安全报告管理</w:t>
            </w:r>
            <w:r/>
          </w:p>
        </w:tc>
        <w:tc>
          <w:tcPr>
            <w:tcW w:w="6862" w:type="dxa"/>
            <w:vAlign w:val="center"/>
            <w:textDirection w:val="lrTb"/>
            <w:noWrap w:val="false"/>
          </w:tcPr>
          <w:p>
            <w:pPr>
              <w:widowControl/>
            </w:pPr>
            <w:r>
              <w:rPr>
                <w:rFonts w:hint="eastAsia"/>
              </w:rPr>
              <w:t xml:space="preserve">（1）提供不良事件（AE）书写工具，将根据输入的不良事件关键字在CTCAE标准库进行检索，选择CTCAE分级、采取措施、转归、与用药关系、AE发生具体部位等信息化，形成标准的AE表述。</w:t>
            </w:r>
            <w:r/>
          </w:p>
          <w:p>
            <w:pPr>
              <w:widowControl/>
            </w:pPr>
            <w:r>
              <w:rPr>
                <w:rFonts w:hint="eastAsia"/>
              </w:rPr>
              <w:t xml:space="preserve">（2）支持安全事件自动识别与提示，当研究者录入AE时，系统能根据其严重程度、结果（如导致死亡、危及生命、需住院治疗等）等信息，自动提示该事件可能为严重不良事件（SAE），需启动正式报告流程；按照GCP和NMPA的要求，支持研究者、临床研究协调员（CRC）、研究护士在线填写SAE报告表，并按照NMPA模板生成SAE上报文档。</w:t>
            </w:r>
            <w:r/>
          </w:p>
          <w:p>
            <w:pPr>
              <w:widowControl/>
            </w:pPr>
            <w:r>
              <w:rPr>
                <w:rFonts w:hint="eastAsia"/>
              </w:rPr>
              <w:t xml:space="preserve">（3）▲系统应自动记录严重不良事件（SAE）的首次报告时限和随访报告时限，并向责任人发送超时提醒，确保上报的及时性；支持对已上报的严重不良事件进行持续跟踪，记录其转归、相关性再评估等随访信息；提供SAE综合查询功能，便于机构管理者、伦理委员会和项目组成员跟踪SAE情况；确定为SUSAR后，能够按照机构、伦理的要求来实现在线的SUSAR递交及机构、伦理对SUSAR的审核管理。</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数据质疑管理</w:t>
            </w:r>
            <w:r/>
          </w:p>
        </w:tc>
        <w:tc>
          <w:tcPr>
            <w:tcW w:w="6862" w:type="dxa"/>
            <w:vAlign w:val="center"/>
            <w:textDirection w:val="lrTb"/>
            <w:noWrap w:val="false"/>
          </w:tcPr>
          <w:p>
            <w:pPr>
              <w:widowControl/>
            </w:pPr>
            <w:r>
              <w:rPr>
                <w:rFonts w:hint="eastAsia"/>
              </w:rPr>
              <w:t xml:space="preserve">（1）▲系统支持全流程的电子化质疑管理，监查员或数据管理员可发起质疑，研究者在线回复和修改；支持可配置的数据自动核查，系统自动生成质疑。例如，当系统发现一个数值超出正常范围或存在逻辑冲突时，可自动创建一条质疑。</w:t>
            </w:r>
            <w:r/>
          </w:p>
          <w:p>
            <w:pPr>
              <w:widowControl/>
            </w:pPr>
            <w:r>
              <w:rPr>
                <w:rFonts w:hint="eastAsia"/>
              </w:rPr>
              <w:t xml:space="preserve">（2）提供质疑汇总列表，方便研究者及相关成员及时进行查阅、整改、反馈情况；质疑应具有明确的状态（如“新开”、“已发送”、“已回复”、“已关闭”、“重新打开”），并支持按状态进行筛选和管理；支持质疑生成、解决、关闭的管理功能，支持对多条相似质疑进行批量回复或批量关闭，提升数据管理员的处理效率。</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稽查痕迹管理</w:t>
            </w:r>
            <w:r/>
          </w:p>
        </w:tc>
        <w:tc>
          <w:tcPr>
            <w:tcW w:w="6862" w:type="dxa"/>
            <w:vAlign w:val="center"/>
            <w:textDirection w:val="lrTb"/>
            <w:noWrap w:val="false"/>
          </w:tcPr>
          <w:p>
            <w:pPr>
              <w:widowControl/>
            </w:pPr>
            <w:r>
              <w:rPr>
                <w:rFonts w:hint="eastAsia"/>
              </w:rPr>
              <w:t xml:space="preserve">（1）▲支持对项目相关信息及关键数据的历史变化过程跟踪，包括变化前后的值，变化的原因及谁在什么时间修改的，并记录整个试验过程中的所有操作信息。</w:t>
            </w:r>
            <w:r/>
          </w:p>
          <w:p>
            <w:pPr>
              <w:widowControl/>
            </w:pPr>
            <w:r>
              <w:rPr>
                <w:rFonts w:hint="eastAsia"/>
              </w:rPr>
              <w:t xml:space="preserve">（2）多方位的留痕记录，包括项目留痕、试验站点留痕、用户信息留痕、受试者留痕、系统设置留痕。</w:t>
            </w:r>
            <w:r/>
          </w:p>
        </w:tc>
      </w:tr>
      <w:tr>
        <w:trPr>
          <w:trHeight w:val="470"/>
        </w:trPr>
        <w:tc>
          <w:tcPr>
            <w:tcW w:w="574" w:type="dxa"/>
            <w:vAlign w:val="center"/>
            <w:vMerge w:val="restart"/>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药物与样本管理</w:t>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药品管理</w:t>
            </w:r>
            <w:r/>
          </w:p>
        </w:tc>
        <w:tc>
          <w:tcPr>
            <w:tcW w:w="6862" w:type="dxa"/>
            <w:vAlign w:val="center"/>
            <w:textDirection w:val="lrTb"/>
            <w:noWrap w:val="false"/>
          </w:tcPr>
          <w:p>
            <w:pPr>
              <w:widowControl/>
            </w:pPr>
            <w:r>
              <w:rPr>
                <w:rFonts w:hint="eastAsia"/>
              </w:rPr>
              <w:t xml:space="preserve">（1）药品标签：支持全流程采用条码管理产品的流转，基于条码体系的出入库管理， 包括登记，药品数量、有效期、批号、温湿度记录等，满足试验用药品管理的特殊性，包括最大包装单位和最小单位。</w:t>
            </w:r>
            <w:r/>
          </w:p>
          <w:p>
            <w:pPr>
              <w:widowControl/>
            </w:pPr>
            <w:r>
              <w:rPr>
                <w:rFonts w:hint="eastAsia"/>
              </w:rPr>
              <w:t xml:space="preserve">（2）药品字典：支持药品、医疗器械、体外诊断试剂等多种类型的维护；CRA/药房管理员可以录入药物基础信息和贮存条件，满足试验用药品管理的特殊性，包括最大包装单位和最小单位；允许公共包装的维护，多个产品可包装在一个公共包装下，作为一个整体进行药房相关业务操作</w:t>
            </w:r>
            <w:r/>
          </w:p>
          <w:p>
            <w:pPr>
              <w:widowControl/>
            </w:pPr>
            <w:r>
              <w:rPr>
                <w:rFonts w:hint="eastAsia"/>
              </w:rPr>
              <w:t xml:space="preserve">（3）药品交接入库：支持试验用药品的交接管理，CRA可在线发起交接申请流程，填写交接表；支持导入申办方提供的药物编号；支持使用药物编号生成器快速生成药物条形码。</w:t>
            </w:r>
            <w:r/>
          </w:p>
          <w:p>
            <w:pPr>
              <w:widowControl/>
            </w:pPr>
            <w:r>
              <w:rPr>
                <w:rFonts w:hint="eastAsia"/>
              </w:rPr>
              <w:t xml:space="preserve">（4）药品分发：支持研究医生在线开处方，药房管理员核对发药，系统自动从可用库扣除对应数量；支持扫码二次确认和发放。</w:t>
            </w:r>
            <w:r/>
          </w:p>
          <w:p>
            <w:pPr>
              <w:widowControl/>
            </w:pPr>
            <w:r>
              <w:rPr>
                <w:rFonts w:hint="eastAsia"/>
              </w:rPr>
              <w:t xml:space="preserve">（5）药品回收：支持在线填写回收申请，可关联至具体的项目，受试者及对应的领用申请；支持回收空包装，支持大包装和小包装；支持回收数量判定，超过领用数量时进行提醒；回收后进入回收库管理，与可用库进行区分。</w:t>
            </w:r>
            <w:r/>
          </w:p>
          <w:p>
            <w:pPr>
              <w:widowControl/>
            </w:pPr>
            <w:r>
              <w:rPr>
                <w:rFonts w:hint="eastAsia"/>
              </w:rPr>
              <w:t xml:space="preserve">（6）药品退回销毁：支持将回收库或可用库的试验用药品退回给申办方，系统自动保存退回记录；CRA/申办方清点需要销毁的回收库或可用库的试验用药品后发起销毁申请，机构同意后完成销毁，保存销毁相关记录；支持上传申办方的销毁授权书。</w:t>
            </w:r>
            <w:r/>
          </w:p>
          <w:p>
            <w:pPr>
              <w:widowControl/>
            </w:pPr>
            <w:r>
              <w:rPr>
                <w:rFonts w:hint="eastAsia"/>
              </w:rPr>
              <w:t xml:space="preserve">（7）药品调拨：（支持在线发起调拨申请，指定出库库房和入库库房；支持记录出库库房及入库库房的试验用药品、调拨数量并支持上传附件（如控温记录等）。</w:t>
            </w:r>
            <w:r/>
          </w:p>
          <w:p>
            <w:pPr>
              <w:widowControl/>
            </w:pPr>
            <w:r>
              <w:rPr>
                <w:rFonts w:hint="eastAsia"/>
              </w:rPr>
              <w:t xml:space="preserve">（8）药品盘点：支持多维度库存盘点功能，包括按库房进行盘点，按项目进行盘点；支持药物隔离，可指定药物、位置或编号进行灵活隔离和接触隔离。</w:t>
            </w:r>
            <w:r/>
          </w:p>
          <w:p>
            <w:pPr>
              <w:widowControl/>
            </w:pPr>
            <w:r>
              <w:rPr>
                <w:rFonts w:hint="eastAsia"/>
              </w:rPr>
              <w:t xml:space="preserve">（9）药品统计：支持试验用药品的警示及逻辑提醒，如：临期库存提醒、库存提醒等；支持查看试验用药品库存明细，可实时查看可用库、回收库的库存情况，以及分发、回收、退回的总数与明细列表。</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样本管理</w:t>
            </w:r>
            <w:r/>
          </w:p>
        </w:tc>
        <w:tc>
          <w:tcPr>
            <w:tcW w:w="6862" w:type="dxa"/>
            <w:vAlign w:val="center"/>
            <w:textDirection w:val="lrTb"/>
            <w:noWrap w:val="false"/>
          </w:tcPr>
          <w:p>
            <w:pPr>
              <w:widowControl/>
            </w:pPr>
            <w:r>
              <w:rPr>
                <w:rFonts w:hint="eastAsia"/>
              </w:rPr>
              <w:t xml:space="preserve">（1）▲样本采集：支持基于血液/尿液/粪便 标本管、备用管、冻存管等的条形码编码、打印等功能；支持受试者血液/尿液/粪便时间点等唯一</w:t>
            </w:r>
            <w:r>
              <w:rPr>
                <w:rFonts w:hint="eastAsia"/>
              </w:rPr>
              <w:t xml:space="preserve">码的管理；支持使用移动标本采集，如平板+扫码枪；支持受试者扫码确认标本采集管；支持操作者扫码确认，系统自动记录操作时间和操作人员；支持血液/尿液/粪便/药物扫码确认校核；支持标本采集/给药操作，在线确认，系统自动记录时间；支持实时质控，如失败，可记录原因；支持采集过程中逻辑检测，如给药未完成进行给药后的采血，系统将进行提示；异常处理，支持数据补录，采血增补操作；支持备份码打印，处理研究开展过程中异常情况；支持标本采集前及采集中的预处理记录；支持标本采集及冻存标签的核对质控；支持尿液/粪样进行采集数据的记录。</w:t>
            </w:r>
            <w:r/>
          </w:p>
          <w:p>
            <w:pPr>
              <w:widowControl/>
            </w:pPr>
            <w:r>
              <w:rPr>
                <w:rFonts w:hint="eastAsia"/>
              </w:rPr>
              <w:t xml:space="preserve">（2）▲样本交接：支持交接人、接收人扫码确认快速确认身份，通过扫描标本条码快速绑定待交接标本，自动关联标本的所属项目、受试者、采集时间；支持批量交接，通过勾选规则，快速筛选出同一试验项目、同一采集时间点的标本；支持交接时二次扫码校验，系统比对已选标本与扫码标本是否一致，扫码核对后自动标记状态、记录时间。</w:t>
            </w:r>
            <w:r/>
          </w:p>
          <w:p>
            <w:pPr>
              <w:widowControl/>
            </w:pPr>
            <w:r>
              <w:rPr>
                <w:rFonts w:hint="eastAsia"/>
              </w:rPr>
              <w:t xml:space="preserve">（3）样本预处理：支持标记标本处理方式（常温放置 / 静置 / 冰浴 / 冷藏等）；支持记录标本预处理启动时间、处理时长，系统可联动计算 “结束时间”。</w:t>
            </w:r>
            <w:r/>
          </w:p>
          <w:p>
            <w:pPr>
              <w:widowControl/>
            </w:pPr>
            <w:r>
              <w:rPr>
                <w:rFonts w:hint="eastAsia"/>
              </w:rPr>
              <w:t xml:space="preserve">（4）样本离心：支持操作者扫码确认，记录样本离心操作；支持标本码扫码确认，生成同一时间点的标本，并支持标本进行批量/单管/受试者批次进行离心；记录离心开始时间，离心持续时间，离心机参数支持预加载样本对应项目的配置信息。减少手手动操作；支持样本离心实时质控，包括时间超窗等。</w:t>
            </w:r>
            <w:r/>
          </w:p>
          <w:p>
            <w:pPr>
              <w:widowControl/>
            </w:pPr>
            <w:r>
              <w:rPr>
                <w:rFonts w:hint="eastAsia"/>
              </w:rPr>
              <w:t xml:space="preserve">（5）样本分样：支持样本码打印，并支持导入第三方样本码规则，实现在系统中使用同一套样本码；支持样本分装实时质控，确认A管和B管；支持待测/备份管扫码确认，避免分错冻存管，同时记录分样过程信息；支持样本分装过程中的分样体积记录；支持样本分装中对样本处理内容的记录，如添加试剂等。</w:t>
            </w:r>
            <w:r/>
          </w:p>
          <w:p>
            <w:pPr>
              <w:widowControl/>
            </w:pPr>
            <w:r>
              <w:rPr>
                <w:rFonts w:hint="eastAsia"/>
              </w:rPr>
              <w:t xml:space="preserve">（6）样本冻存：支持样本存放、存放条件、位置及寄出等过程信息跟踪；支持样本存放设备数据接入（冰箱温湿度等）</w:t>
            </w:r>
            <w:r/>
          </w:p>
        </w:tc>
      </w:tr>
      <w:tr>
        <w:trPr>
          <w:trHeight w:val="470"/>
        </w:trPr>
        <w:tc>
          <w:tcPr>
            <w:tcW w:w="574" w:type="dxa"/>
            <w:vAlign w:val="center"/>
            <w:vMerge w:val="restart"/>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系统管理</w:t>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系统综合管理</w:t>
            </w:r>
            <w:r/>
          </w:p>
        </w:tc>
        <w:tc>
          <w:tcPr>
            <w:tcW w:w="6862" w:type="dxa"/>
            <w:vAlign w:val="center"/>
            <w:textDirection w:val="lrTb"/>
            <w:noWrap w:val="false"/>
          </w:tcPr>
          <w:p>
            <w:pPr>
              <w:widowControl/>
            </w:pPr>
            <w:r>
              <w:rPr>
                <w:rFonts w:hint="eastAsia"/>
              </w:rPr>
              <w:t xml:space="preserve">（1）支持用户定义的信息模板，系统提供一系列系统信息模板，用户可根据自身情况对其进行调整；支持提供消息提示和管理，在系统内用户间可发送消息进行沟通，并支持项目内工作人员消息沟通；</w:t>
            </w:r>
            <w:r/>
          </w:p>
          <w:p>
            <w:pPr>
              <w:widowControl/>
            </w:pPr>
            <w:r>
              <w:rPr>
                <w:rFonts w:hint="eastAsia"/>
              </w:rPr>
              <w:t xml:space="preserve">（2）系统支持数据可视化，可以对仪表盘进行可视化设计，通过拖拽各类组件（统计数值、数据列表、快捷导航等，搭建场景式的个人控制台。</w:t>
            </w:r>
            <w:r/>
          </w:p>
          <w:p>
            <w:pPr>
              <w:widowControl/>
            </w:pPr>
            <w:r>
              <w:rPr>
                <w:rFonts w:hint="eastAsia"/>
              </w:rPr>
              <w:t xml:space="preserve">（3）▲系统应内置智能任务引擎，能自动为所有研究角色（研究者、护士、药师、CRC）生成个性化的每日/每周任务清单，并主动推送提醒。如自动提醒护士“明天上午8点有3位受试者需要进行D1给药前采血”；提醒研究者“受试者001的实验室异常值待临床判断”；提醒药师“某项目药品库存低于安全库存，需申请”等。</w:t>
            </w:r>
            <w:r/>
          </w:p>
          <w:p>
            <w:pPr>
              <w:widowControl/>
            </w:pPr>
            <w:r>
              <w:rPr>
                <w:rFonts w:hint="eastAsia"/>
              </w:rPr>
              <w:t xml:space="preserve">（4）系统能根据所有在研项目的计划时间表，预测未来几周或数月内，I期病房床位、护士、药师、仪器设备的使用负荷，并以可视化图表呈现，辅助院方进行资源调配和项目承接决策。</w:t>
            </w:r>
            <w:r/>
          </w:p>
          <w:p>
            <w:pPr>
              <w:widowControl/>
            </w:pPr>
            <w:r>
              <w:rPr>
                <w:rFonts w:hint="eastAsia"/>
              </w:rPr>
              <w:t xml:space="preserve">（5）系统支持列表字段的个性化配置，用户可根据业务需求灵活选择表格显示的列头信息，支持数据一键导出和打印。</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设备管理</w:t>
            </w:r>
            <w:r/>
          </w:p>
        </w:tc>
        <w:tc>
          <w:tcPr>
            <w:tcW w:w="6862" w:type="dxa"/>
            <w:vAlign w:val="center"/>
            <w:textDirection w:val="lrTb"/>
            <w:noWrap w:val="false"/>
          </w:tcPr>
          <w:p>
            <w:pPr>
              <w:widowControl/>
            </w:pPr>
            <w:r>
              <w:rPr>
                <w:rFonts w:hint="eastAsia"/>
              </w:rPr>
              <w:t xml:space="preserve">（1）支持既有试验用专用仪器用品的管理、维护、校准期限提醒；支持申办方提供项目专用仪器设备的电子化交接、安装、维护、校准和回收管理；提供标准集成接口，支持I期设备（如身份证读卡器、身高体重仪、血压计等）的物联网集成。</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条形码管理</w:t>
            </w:r>
            <w:r/>
          </w:p>
        </w:tc>
        <w:tc>
          <w:tcPr>
            <w:tcW w:w="6862" w:type="dxa"/>
            <w:vAlign w:val="center"/>
            <w:textDirection w:val="lrTb"/>
            <w:noWrap w:val="false"/>
          </w:tcPr>
          <w:p>
            <w:pPr>
              <w:widowControl/>
            </w:pPr>
            <w:r>
              <w:rPr>
                <w:rFonts w:hint="eastAsia"/>
              </w:rPr>
              <w:t xml:space="preserve">（1）</w:t>
            </w:r>
            <w:r>
              <w:rPr>
                <w:rFonts w:hint="eastAsia" w:ascii="宋体" w:hAnsi="宋体" w:cs="宋体"/>
                <w:color w:val="000000"/>
                <w:sz w:val="22"/>
                <w:szCs w:val="22"/>
              </w:rPr>
              <w:t xml:space="preserve">▲</w:t>
            </w:r>
            <w:r>
              <w:rPr>
                <w:rFonts w:hint="eastAsia"/>
              </w:rPr>
              <w:t xml:space="preserve">系统对受试者的信息进行全程化的条形码管理，根据信息设置和制定编码的规则，满足样本库建立时要求的共享和唯一的原则；支持生成受试者相关联的所有的采样条形码，支持导入中心实验室提供的条形码；支持生成样本盒条形码、备份条形码、稽查条形码等。</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时间服务器管理</w:t>
            </w:r>
            <w:r/>
          </w:p>
        </w:tc>
        <w:tc>
          <w:tcPr>
            <w:tcW w:w="6862" w:type="dxa"/>
            <w:vAlign w:val="center"/>
            <w:textDirection w:val="lrTb"/>
            <w:noWrap w:val="false"/>
          </w:tcPr>
          <w:p>
            <w:pPr>
              <w:widowControl/>
            </w:pPr>
            <w:r>
              <w:rPr>
                <w:rFonts w:hint="eastAsia"/>
              </w:rPr>
              <w:t xml:space="preserve">（1）支持服务器时间与北斗/GPS时钟服务器同步；支持查看客户端时间与服务器时间差异；支持客户端操作系统时间与服务器时间的自动同步。</w:t>
            </w:r>
            <w:r/>
          </w:p>
        </w:tc>
      </w:tr>
      <w:tr>
        <w:trPr>
          <w:trHeight w:val="470"/>
        </w:trPr>
        <w:tc>
          <w:tcPr>
            <w:tcW w:w="574" w:type="dxa"/>
            <w:vAlign w:val="center"/>
            <w:vMerge w:val="continue"/>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r>
            <w:r/>
          </w:p>
        </w:tc>
        <w:tc>
          <w:tcPr>
            <w:tcW w:w="882" w:type="dxa"/>
            <w:vAlign w:val="center"/>
            <w:textDirection w:val="lrTb"/>
            <w:noWrap w:val="false"/>
          </w:tcPr>
          <w:p>
            <w:pPr>
              <w:jc w:val="center"/>
              <w:widowControl/>
              <w:rPr>
                <w:rFonts w:hint="eastAsia" w:ascii="宋体" w:hAnsi="宋体" w:eastAsia="宋体" w:cs="宋体"/>
                <w:b/>
                <w:bCs/>
                <w:lang w:bidi="ar"/>
              </w:rPr>
            </w:pPr>
            <w:r>
              <w:rPr>
                <w:rFonts w:hint="eastAsia" w:ascii="宋体" w:hAnsi="宋体" w:eastAsia="宋体" w:cs="宋体"/>
                <w:b/>
                <w:bCs/>
                <w:lang w:bidi="ar"/>
              </w:rPr>
              <w:t xml:space="preserve">第三方对接管理</w:t>
            </w:r>
            <w:r/>
          </w:p>
        </w:tc>
        <w:tc>
          <w:tcPr>
            <w:tcW w:w="6862" w:type="dxa"/>
            <w:vAlign w:val="center"/>
            <w:textDirection w:val="lrTb"/>
            <w:noWrap w:val="false"/>
          </w:tcPr>
          <w:p>
            <w:pPr>
              <w:widowControl/>
            </w:pPr>
            <w:r>
              <w:rPr>
                <w:rFonts w:hint="eastAsia"/>
              </w:rPr>
              <w:t xml:space="preserve">（1）支持接口调度监控，详细记录每一个接口的访问频率、</w:t>
            </w:r>
            <w:r>
              <w:rPr>
                <w:rFonts w:hint="eastAsia"/>
              </w:rPr>
              <w:t xml:space="preserve">用时等情况，支持接口适配管理，提供接口注册到中台中进行使用，有条件实现对接第三方，以满足下述功能：支持与医院信息系统HIS、LIS、PACS、HRP等系统对接；采用Web Service或WebAPI方式进行接口数据交互；支持与院方集成平台对接接口管控和数据交互；支持短信平台接口，按照设定条件自动发送信息；提供标准集成接口实现I期设备包括身份证读卡器、身高体重仪、血压计等物联网设备进行集成；具备与EDC数据管理系统实现无缝集成的接口；支持自动化任务管理，对于特定的数据接口执行和处理采用定时和预约等机制使用。</w:t>
            </w:r>
            <w:r/>
          </w:p>
        </w:tc>
      </w:tr>
    </w:tbl>
    <w:p>
      <w:pPr>
        <w:spacing w:line="520" w:lineRule="exact"/>
        <w:rPr>
          <w:rFonts w:hint="eastAsia" w:ascii="宋体" w:hAnsi="宋体"/>
          <w:b/>
          <w:sz w:val="24"/>
          <w:szCs w:val="24"/>
        </w:rPr>
        <w:outlineLvl w:val="1"/>
      </w:pPr>
      <w:r>
        <w:rPr>
          <w:rFonts w:hint="eastAsia" w:ascii="宋体" w:hAnsi="宋体"/>
          <w:b/>
          <w:sz w:val="24"/>
          <w:szCs w:val="24"/>
        </w:rPr>
        <w:t xml:space="preserve">项目升级与实施要求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p>
    <w:p>
      <w:pPr>
        <w:ind w:firstLine="480"/>
        <w:spacing w:line="520" w:lineRule="exact"/>
        <w:rPr>
          <w:rFonts w:hint="eastAsia" w:ascii="宋体" w:hAnsi="宋体"/>
          <w:sz w:val="24"/>
          <w:szCs w:val="24"/>
        </w:rPr>
      </w:pPr>
      <w:r>
        <w:rPr>
          <w:rFonts w:hint="eastAsia" w:ascii="宋体" w:hAnsi="宋体"/>
          <w:sz w:val="24"/>
          <w:szCs w:val="24"/>
        </w:rPr>
        <w:t xml:space="preserve">项目实施周期：6个月。</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软件开发方案要求</w:t>
      </w:r>
      <w:r/>
    </w:p>
    <w:p>
      <w:pPr>
        <w:ind w:firstLine="480"/>
        <w:spacing w:line="520" w:lineRule="exact"/>
        <w:rPr>
          <w:rFonts w:hint="eastAsia" w:ascii="宋体" w:hAnsi="宋体"/>
          <w:sz w:val="24"/>
          <w:szCs w:val="24"/>
        </w:rPr>
      </w:pPr>
      <w:r>
        <w:rPr>
          <w:rFonts w:hint="eastAsia" w:ascii="宋体" w:hAnsi="宋体"/>
          <w:sz w:val="24"/>
          <w:szCs w:val="24"/>
        </w:rPr>
        <w:t xml:space="preserve">投标人应根据项目的采购技术需求提供详细的软件开发方案，包括系统架构设计、开发模式、功能实现等。</w:t>
      </w:r>
      <w:r/>
    </w:p>
    <w:p>
      <w:pPr>
        <w:ind w:firstLine="480"/>
        <w:spacing w:line="52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ab/>
      </w:r>
      <w:r>
        <w:rPr>
          <w:rFonts w:hint="eastAsia" w:ascii="宋体" w:hAnsi="宋体"/>
          <w:sz w:val="24"/>
          <w:szCs w:val="24"/>
        </w:rPr>
        <w:t xml:space="preserve">系统架构设计：使用B/S架构进行设计，支持网内的联机事务处理，联机查询和统计分析处理；系统应按多层设计，分应用层、服务层、数据层三层及以上；支持应用与数据库分离部署,支持部署在虚拟机平台。</w:t>
      </w:r>
      <w:r/>
    </w:p>
    <w:p>
      <w:pPr>
        <w:ind w:firstLine="480"/>
        <w:spacing w:line="520" w:lineRule="exact"/>
        <w:rPr>
          <w:rFonts w:hint="eastAsia" w:ascii="宋体" w:hAnsi="宋体"/>
          <w:sz w:val="24"/>
          <w:szCs w:val="24"/>
        </w:rPr>
      </w:pPr>
      <w:r>
        <w:rPr>
          <w:rFonts w:hint="eastAsia" w:ascii="宋体" w:hAnsi="宋体"/>
          <w:sz w:val="24"/>
          <w:szCs w:val="24"/>
        </w:rPr>
        <w:t xml:space="preserve">2. 开发模式：系统采用低代码前后端分离设计架构，可根据 SOP 流程自定义组件模板库/流程设计/表单设计/报表设计模块化、组件式开发模式，系统按照平台模式设计可扩展支持临床试验业务相关的业务模块，无需对系统的底层基础进行修改，就能够根据用户需求，随时进行单个功能模块的修改、添加和升级可自定义个性化工作流程，满足对一项工作进行不同人员的多级审核需求，在每个审批步骤完成后可以自动修改相关的业务数据，可以判断也可以人工选择流程分支走向；</w:t>
      </w:r>
      <w:r/>
    </w:p>
    <w:p>
      <w:pPr>
        <w:ind w:firstLine="480"/>
        <w:spacing w:line="520" w:lineRule="exact"/>
        <w:rPr>
          <w:rFonts w:hint="eastAsia" w:ascii="宋体" w:hAnsi="宋体"/>
          <w:sz w:val="24"/>
          <w:szCs w:val="24"/>
        </w:rPr>
      </w:pPr>
      <w:r>
        <w:rPr>
          <w:rFonts w:hint="eastAsia" w:ascii="宋体" w:hAnsi="宋体"/>
          <w:sz w:val="24"/>
          <w:szCs w:val="24"/>
        </w:rPr>
        <w:t xml:space="preserve">3. 功能实现：根据项目建设要求，详细列出实现功能模块的实施路径。。</w:t>
      </w:r>
      <w:r/>
    </w:p>
    <w:p>
      <w:pPr>
        <w:ind w:firstLine="480"/>
        <w:spacing w:line="52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ab/>
      </w:r>
      <w:r>
        <w:rPr>
          <w:rFonts w:hint="eastAsia" w:ascii="宋体" w:hAnsi="宋体"/>
          <w:sz w:val="24"/>
          <w:szCs w:val="24"/>
        </w:rPr>
        <w:t xml:space="preserve">支持满足等保，密评和信创环境部署要求。</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项目进度管理方案要求</w:t>
      </w:r>
      <w:r/>
    </w:p>
    <w:p>
      <w:pPr>
        <w:ind w:firstLine="480"/>
        <w:spacing w:line="520" w:lineRule="exact"/>
        <w:rPr>
          <w:rFonts w:hint="eastAsia" w:ascii="宋体" w:hAnsi="宋体"/>
          <w:sz w:val="24"/>
          <w:szCs w:val="24"/>
        </w:rPr>
      </w:pPr>
      <w:r>
        <w:rPr>
          <w:rFonts w:hint="eastAsia" w:ascii="宋体" w:hAnsi="宋体"/>
          <w:sz w:val="24"/>
          <w:szCs w:val="24"/>
        </w:rPr>
        <w:t xml:space="preserve">为确保项目可以顺利地开展，投标人应详细阐述项目实施方案，包括进度安排、进度管理、测试、试运行、验收等。</w:t>
      </w:r>
      <w:r/>
    </w:p>
    <w:p>
      <w:pPr>
        <w:ind w:firstLine="480"/>
        <w:spacing w:line="520" w:lineRule="exact"/>
        <w:rPr>
          <w:rFonts w:hint="eastAsia" w:ascii="宋体" w:hAnsi="宋体"/>
          <w:sz w:val="24"/>
          <w:szCs w:val="24"/>
        </w:rPr>
      </w:pPr>
      <w:r>
        <w:rPr>
          <w:rFonts w:hint="eastAsia" w:ascii="宋体" w:hAnsi="宋体"/>
          <w:sz w:val="24"/>
          <w:szCs w:val="24"/>
        </w:rPr>
        <w:t xml:space="preserve">1. 进度安排：需要结合本项目的实际情况，制定项目实施计划，通过对每个环节的精准把控，确保项目可以平稳有序地推进。</w:t>
      </w:r>
      <w:r/>
    </w:p>
    <w:p>
      <w:pPr>
        <w:ind w:firstLine="480"/>
        <w:spacing w:line="520" w:lineRule="exact"/>
        <w:rPr>
          <w:rFonts w:hint="eastAsia" w:ascii="宋体" w:hAnsi="宋体"/>
          <w:sz w:val="24"/>
          <w:szCs w:val="24"/>
        </w:rPr>
      </w:pPr>
      <w:r>
        <w:rPr>
          <w:rFonts w:hint="eastAsia" w:ascii="宋体" w:hAnsi="宋体"/>
          <w:sz w:val="24"/>
          <w:szCs w:val="24"/>
        </w:rPr>
        <w:t xml:space="preserve">2.进度管理：投标人需建立完善的项目管理制度，包括组织分工、职责说明、例会制度、信息安全规章制度等，保证项目有序、有节奏地进行，在规定的时间内完成各项工作。</w:t>
      </w:r>
      <w:r/>
    </w:p>
    <w:p>
      <w:pPr>
        <w:ind w:firstLine="480"/>
        <w:spacing w:line="520" w:lineRule="exact"/>
        <w:rPr>
          <w:rFonts w:hint="eastAsia" w:ascii="宋体" w:hAnsi="宋体"/>
          <w:sz w:val="24"/>
          <w:szCs w:val="24"/>
        </w:rPr>
      </w:pPr>
      <w:r>
        <w:rPr>
          <w:rFonts w:hint="eastAsia" w:ascii="宋体" w:hAnsi="宋体"/>
          <w:sz w:val="24"/>
          <w:szCs w:val="24"/>
        </w:rPr>
        <w:t xml:space="preserve">3. 测试：为确保项目的软件质量，项目测试方案至关重要。投标人需详细阐述项目测试的具体要求，包括测试目标、测试方案、测试结果等。</w:t>
      </w:r>
      <w:r/>
    </w:p>
    <w:p>
      <w:pPr>
        <w:ind w:firstLine="480"/>
        <w:spacing w:line="520" w:lineRule="exact"/>
        <w:rPr>
          <w:rFonts w:hint="eastAsia" w:ascii="宋体" w:hAnsi="宋体"/>
          <w:sz w:val="24"/>
          <w:szCs w:val="24"/>
        </w:rPr>
      </w:pPr>
      <w:r>
        <w:rPr>
          <w:rFonts w:hint="eastAsia" w:ascii="宋体" w:hAnsi="宋体"/>
          <w:sz w:val="24"/>
          <w:szCs w:val="24"/>
        </w:rPr>
        <w:t xml:space="preserve">4. 试运行：本项目的试运行为期1个月。在试运行期间，投标人应制定完善的试运行方案，包括试运行目的、试运行准备、试运行结果输出等。</w:t>
      </w:r>
      <w:r/>
    </w:p>
    <w:p>
      <w:pPr>
        <w:ind w:firstLine="480"/>
        <w:spacing w:line="520" w:lineRule="exact"/>
        <w:rPr>
          <w:rFonts w:hint="eastAsia" w:ascii="宋体" w:hAnsi="宋体"/>
          <w:sz w:val="24"/>
          <w:szCs w:val="24"/>
        </w:rPr>
      </w:pPr>
      <w:r>
        <w:rPr>
          <w:rFonts w:hint="eastAsia" w:ascii="宋体" w:hAnsi="宋体"/>
          <w:sz w:val="24"/>
          <w:szCs w:val="24"/>
        </w:rPr>
        <w:t xml:space="preserve">5. 验收：软件项目验收是确认项目成果是否符合合同与需求规格的关键环节，投标人在编制验收方案时，应明确验收标准、验收指标、验收流程等，确保软件可稳定交付与使用。</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项目质量管理方案要求</w:t>
      </w:r>
      <w:r/>
    </w:p>
    <w:p>
      <w:pPr>
        <w:ind w:firstLine="480"/>
        <w:spacing w:line="520" w:lineRule="exact"/>
        <w:rPr>
          <w:rFonts w:hint="eastAsia"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详细阐述项目质量管理方案，包括质量标准、质量管理体系以及风险管理</w:t>
      </w:r>
      <w:r>
        <w:rPr>
          <w:rFonts w:hint="eastAsia" w:ascii="宋体" w:hAnsi="宋体"/>
          <w:sz w:val="24"/>
          <w:szCs w:val="24"/>
        </w:rPr>
        <w:t xml:space="preserve">等</w:t>
      </w:r>
      <w:r>
        <w:rPr>
          <w:rFonts w:ascii="宋体" w:hAnsi="宋体"/>
          <w:sz w:val="24"/>
          <w:szCs w:val="24"/>
        </w:rPr>
        <w:t xml:space="preserve">。</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质量标准：项目需严格遵守国家及行业关于信息安全、软件开发等方面的相关法律法规、标准规范及最佳实践。</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质量管理体系：投标人需建立完善的质量管理体系，包括质量保证目标、质量控制、质量保证和质量改进等环节，确保项目全生命周期的质量管理。</w:t>
      </w:r>
      <w:r/>
    </w:p>
    <w:p>
      <w:pPr>
        <w:numPr>
          <w:ilvl w:val="0"/>
          <w:numId w:val="6"/>
        </w:numPr>
        <w:ind w:firstLine="480"/>
        <w:spacing w:line="520" w:lineRule="exact"/>
        <w:rPr>
          <w:rFonts w:hint="eastAsia" w:ascii="宋体" w:hAnsi="宋体"/>
          <w:sz w:val="24"/>
          <w:szCs w:val="24"/>
        </w:rPr>
      </w:pPr>
      <w:r>
        <w:rPr>
          <w:rFonts w:hint="eastAsia" w:ascii="宋体" w:hAnsi="宋体"/>
          <w:sz w:val="24"/>
          <w:szCs w:val="24"/>
        </w:rPr>
        <w:t xml:space="preserve">风险管理：需对项目可能面临的风险进行全面识别和评估，包括项目全过程中多个阶段可能会面临的潜在风险，准确地识别风险并制定风险预防措施，降低风险对项目的影响。</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项目应急和安全服务方案要求</w:t>
      </w:r>
      <w:r/>
    </w:p>
    <w:p>
      <w:pPr>
        <w:ind w:firstLine="566"/>
        <w:spacing w:line="520" w:lineRule="exact"/>
        <w:rPr>
          <w:rFonts w:hint="eastAsia" w:ascii="宋体" w:hAnsi="宋体"/>
          <w:sz w:val="24"/>
          <w:szCs w:val="24"/>
        </w:rPr>
      </w:pPr>
      <w:r>
        <w:rPr>
          <w:rFonts w:hint="eastAsia" w:ascii="宋体" w:hAnsi="宋体"/>
          <w:sz w:val="24"/>
          <w:szCs w:val="24"/>
        </w:rPr>
        <w:t xml:space="preserve">结合本项目实际现场情况和安全服务需求，投标人应制定明确的应急管理方案和系统安全保障方案，确保快速解决安全问题，保障完全高效服务的目标。</w:t>
      </w:r>
      <w:r/>
    </w:p>
    <w:p>
      <w:pPr>
        <w:ind w:firstLine="566"/>
        <w:spacing w:line="520" w:lineRule="exact"/>
        <w:rPr>
          <w:rFonts w:hint="eastAsia" w:ascii="宋体" w:hAnsi="宋体"/>
          <w:sz w:val="24"/>
          <w:szCs w:val="24"/>
        </w:rPr>
      </w:pPr>
      <w:r>
        <w:rPr>
          <w:rFonts w:hint="eastAsia" w:ascii="宋体" w:hAnsi="宋体"/>
          <w:sz w:val="24"/>
          <w:szCs w:val="24"/>
        </w:rPr>
        <w:t xml:space="preserve">1. 应急管理方案：应急管理是一个系统工程，其核心要求包括：建立完善的责任体系和组织机构，提前制定预案并演练，对应急事件进行分类与分级，明确应急响应流程。</w:t>
      </w:r>
      <w:r/>
    </w:p>
    <w:p>
      <w:pPr>
        <w:ind w:firstLine="566"/>
        <w:spacing w:line="520" w:lineRule="exact"/>
        <w:rPr>
          <w:rFonts w:hint="eastAsia" w:ascii="宋体" w:hAnsi="宋体"/>
          <w:sz w:val="24"/>
          <w:szCs w:val="24"/>
        </w:rPr>
      </w:pPr>
      <w:r>
        <w:rPr>
          <w:rFonts w:hint="eastAsia" w:ascii="宋体" w:hAnsi="宋体"/>
          <w:sz w:val="24"/>
          <w:szCs w:val="24"/>
        </w:rPr>
        <w:t xml:space="preserve">2. 系统安全保障方案：信息系统安全管理要求包括物理安全、网络安全、主机安全、应用安全、数据安全，投标人应建立相应的安全管理制度，确保安全措施的有效施行。</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项目培训方案要求</w:t>
      </w:r>
      <w:r/>
    </w:p>
    <w:p>
      <w:pPr>
        <w:ind w:firstLine="480"/>
        <w:spacing w:line="520" w:lineRule="exact"/>
        <w:rPr>
          <w:rFonts w:hint="eastAsia"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numPr>
          <w:ilvl w:val="0"/>
          <w:numId w:val="7"/>
        </w:numPr>
        <w:ind w:firstLine="480"/>
        <w:spacing w:line="520" w:lineRule="exact"/>
        <w:rPr>
          <w:rFonts w:hint="eastAsia"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：应提供完善的培训方案，培训方案包含培训目的、培训方式、培训内容等。系统的培训工作要在系统上线试运行前实施，并在培训实施前编制专门的培训材料。</w:t>
      </w:r>
      <w:r/>
    </w:p>
    <w:p>
      <w:pPr>
        <w:numPr>
          <w:ilvl w:val="0"/>
          <w:numId w:val="7"/>
        </w:numPr>
        <w:ind w:firstLine="480"/>
        <w:spacing w:line="520" w:lineRule="exact"/>
        <w:rPr>
          <w:rFonts w:hint="eastAsia"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：对采购人系统计算机管理人员培训，重点培训为软件的安装、维护、调试、配置及使用技能；业务人员培训，重点对相应应用的操作、使用等。</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p>
    <w:p>
      <w:pPr>
        <w:numPr>
          <w:ilvl w:val="0"/>
          <w:numId w:val="7"/>
        </w:numPr>
        <w:ind w:firstLine="480"/>
        <w:spacing w:line="520" w:lineRule="exact"/>
        <w:rPr>
          <w:rFonts w:hint="eastAsia"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培训计划：培训工作贯穿于项目的整个过程，所有的培训需提前制定培训计划，明确培训内容、培训时间、培训方式等，提供培训所需的资料、文档，针对培训，还需要制定培训用的PPT讲演稿。</w:t>
      </w:r>
      <w:r/>
    </w:p>
    <w:p>
      <w:pPr>
        <w:numPr>
          <w:ilvl w:val="0"/>
          <w:numId w:val="5"/>
        </w:numPr>
        <w:spacing w:line="520" w:lineRule="exact"/>
        <w:rPr>
          <w:rFonts w:hint="eastAsia" w:ascii="宋体" w:hAnsi="宋体"/>
          <w:b/>
          <w:bCs/>
          <w:sz w:val="24"/>
          <w:szCs w:val="24"/>
        </w:rPr>
      </w:pPr>
      <w:r>
        <w:rPr>
          <w:rFonts w:hint="eastAsia" w:ascii="宋体" w:hAnsi="宋体"/>
          <w:b/>
          <w:bCs/>
          <w:sz w:val="24"/>
          <w:szCs w:val="24"/>
        </w:rPr>
        <w:t xml:space="preserve">项目售后服务方案要求</w:t>
      </w:r>
      <w:r/>
    </w:p>
    <w:p>
      <w:pPr>
        <w:ind w:firstLine="480"/>
        <w:spacing w:line="520" w:lineRule="exact"/>
        <w:rPr>
          <w:rFonts w:hint="eastAsia"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w:t>
      </w:r>
      <w:r>
        <w:rPr>
          <w:rFonts w:hint="eastAsia" w:ascii="宋体" w:hAnsi="宋体"/>
          <w:sz w:val="24"/>
          <w:szCs w:val="24"/>
        </w:rPr>
        <w:t xml:space="preserve">免费维保期</w:t>
      </w:r>
      <w:r>
        <w:rPr>
          <w:rFonts w:ascii="宋体" w:hAnsi="宋体"/>
          <w:sz w:val="24"/>
          <w:szCs w:val="24"/>
        </w:rPr>
        <w:t xml:space="preserve">、</w:t>
      </w:r>
      <w:r>
        <w:rPr>
          <w:rFonts w:hint="eastAsia" w:ascii="宋体" w:hAnsi="宋体"/>
          <w:sz w:val="24"/>
          <w:szCs w:val="24"/>
        </w:rPr>
        <w:t xml:space="preserve">免费维保期后的维保费用、</w:t>
      </w:r>
      <w:r>
        <w:rPr>
          <w:rFonts w:ascii="宋体" w:hAnsi="宋体"/>
          <w:sz w:val="24"/>
          <w:szCs w:val="24"/>
        </w:rPr>
        <w:t xml:space="preserve">售后要求、售后内容以及售后人员</w:t>
      </w:r>
      <w:r>
        <w:rPr>
          <w:rFonts w:hint="eastAsia" w:ascii="宋体" w:hAnsi="宋体"/>
          <w:sz w:val="24"/>
          <w:szCs w:val="24"/>
        </w:rPr>
        <w:t xml:space="preserve">等</w:t>
      </w:r>
      <w:r>
        <w:rPr>
          <w:rFonts w:ascii="宋体" w:hAnsi="宋体"/>
          <w:sz w:val="24"/>
          <w:szCs w:val="24"/>
        </w:rPr>
        <w:t xml:space="preserve">。</w:t>
      </w:r>
      <w:r/>
    </w:p>
    <w:p>
      <w:pPr>
        <w:numPr>
          <w:ilvl w:val="0"/>
          <w:numId w:val="8"/>
        </w:numPr>
        <w:ind w:firstLine="480"/>
        <w:spacing w:line="520" w:lineRule="exact"/>
        <w:rPr>
          <w:rFonts w:hint="eastAsia" w:ascii="宋体" w:hAnsi="宋体"/>
          <w:sz w:val="24"/>
          <w:szCs w:val="24"/>
        </w:rPr>
      </w:pPr>
      <w:r>
        <w:rPr>
          <w:rFonts w:hint="eastAsia" w:ascii="宋体" w:hAnsi="宋体"/>
          <w:sz w:val="24"/>
          <w:szCs w:val="24"/>
        </w:rPr>
        <w:t xml:space="preserve">维保期：报价中包含的自交货验收完毕之日起提供的维保期。</w:t>
      </w:r>
      <w:r/>
    </w:p>
    <w:p>
      <w:pPr>
        <w:numPr>
          <w:ilvl w:val="0"/>
          <w:numId w:val="8"/>
        </w:numPr>
        <w:ind w:firstLine="480"/>
        <w:spacing w:line="520" w:lineRule="exact"/>
        <w:rPr>
          <w:rFonts w:hint="eastAsia" w:ascii="宋体" w:hAnsi="宋体"/>
          <w:sz w:val="24"/>
          <w:szCs w:val="24"/>
        </w:rPr>
      </w:pPr>
      <w:r>
        <w:rPr>
          <w:rFonts w:hint="eastAsia" w:ascii="宋体" w:hAnsi="宋体"/>
          <w:sz w:val="24"/>
          <w:szCs w:val="24"/>
        </w:rPr>
        <w:t xml:space="preserve">维保期后的维保费用：维护期届满后，年度维保服务费占本项目中标金额的百分比。</w:t>
      </w:r>
      <w:r/>
    </w:p>
    <w:p>
      <w:pPr>
        <w:numPr>
          <w:ilvl w:val="0"/>
          <w:numId w:val="8"/>
        </w:numPr>
        <w:ind w:firstLine="480"/>
        <w:spacing w:line="520" w:lineRule="exact"/>
        <w:rPr>
          <w:rFonts w:hint="eastAsia" w:ascii="宋体" w:hAnsi="宋体"/>
          <w:sz w:val="24"/>
          <w:szCs w:val="24"/>
        </w:rPr>
      </w:pPr>
      <w:r>
        <w:rPr>
          <w:rFonts w:hint="eastAsia" w:ascii="宋体" w:hAnsi="宋体"/>
          <w:sz w:val="24"/>
          <w:szCs w:val="24"/>
        </w:rPr>
        <w:t xml:space="preserve">售后要求：投标供应商须承诺，7*24小时立即响应，2小时内到现场，4小时内解决。</w:t>
      </w:r>
      <w:r/>
    </w:p>
    <w:p>
      <w:pPr>
        <w:numPr>
          <w:ilvl w:val="0"/>
          <w:numId w:val="8"/>
        </w:numPr>
        <w:ind w:firstLine="480"/>
        <w:spacing w:line="520" w:lineRule="exact"/>
        <w:rPr>
          <w:rFonts w:hint="eastAsia" w:ascii="宋体" w:hAnsi="宋体"/>
          <w:b/>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p>
    <w:p>
      <w:pPr>
        <w:pStyle w:val="738"/>
        <w:rPr>
          <w:rFonts w:hint="eastAsia"/>
        </w:rPr>
      </w:pPr>
      <w:r>
        <w:rPr>
          <w:rFonts w:hint="eastAsia"/>
        </w:rPr>
      </w:r>
      <w:r/>
    </w:p>
    <w:p>
      <w:pPr>
        <w:pStyle w:val="9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四、商务要求</w:t>
      </w:r>
      <w:r/>
    </w:p>
    <w:p>
      <w:pPr>
        <w:ind w:firstLine="480"/>
        <w:spacing w:line="560" w:lineRule="exact"/>
        <w:rPr>
          <w:rFonts w:hint="eastAsia" w:ascii="宋体" w:hAnsi="宋体" w:eastAsia="宋体" w:cs="宋体"/>
          <w:b/>
          <w:bCs/>
          <w:sz w:val="24"/>
          <w:szCs w:val="24"/>
        </w:rPr>
      </w:pPr>
      <w:r>
        <w:rPr>
          <w:rFonts w:hint="eastAsia" w:ascii="宋体" w:hAnsi="宋体" w:eastAsia="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spacing w:line="520" w:lineRule="exact"/>
        <w:rPr>
          <w:rFonts w:hint="eastAsia" w:ascii="宋体" w:hAnsi="宋体"/>
          <w:b/>
          <w:bCs/>
          <w:color w:val="000000"/>
          <w:sz w:val="24"/>
          <w:szCs w:val="24"/>
        </w:rPr>
      </w:pPr>
      <w:r>
        <w:rPr>
          <w:rFonts w:hint="eastAsia" w:ascii="宋体" w:hAnsi="宋体"/>
          <w:b/>
          <w:bCs/>
          <w:color w:val="000000"/>
          <w:sz w:val="24"/>
          <w:szCs w:val="24"/>
        </w:rPr>
        <w:t xml:space="preserve">（一）项目人员要求</w:t>
      </w:r>
      <w:r/>
    </w:p>
    <w:p>
      <w:pPr>
        <w:ind w:firstLine="480"/>
        <w:spacing w:line="520" w:lineRule="exact"/>
        <w:rPr>
          <w:rFonts w:hint="eastAsia" w:ascii="宋体" w:hAnsi="宋体"/>
          <w:sz w:val="24"/>
          <w:szCs w:val="24"/>
        </w:rPr>
      </w:pPr>
      <w:r>
        <w:rPr>
          <w:rFonts w:hint="eastAsia" w:ascii="宋体" w:hAnsi="宋体"/>
          <w:sz w:val="24"/>
          <w:szCs w:val="24"/>
        </w:rPr>
        <w:t xml:space="preserve">中标人应成立针对本项目的项目工作组：</w:t>
      </w:r>
      <w:r/>
    </w:p>
    <w:p>
      <w:pPr>
        <w:ind w:firstLine="480"/>
        <w:spacing w:line="520" w:lineRule="exact"/>
        <w:rPr>
          <w:rFonts w:hint="eastAsia" w:ascii="宋体" w:hAnsi="宋体"/>
          <w:color w:val="000000"/>
          <w:sz w:val="24"/>
          <w:szCs w:val="24"/>
        </w:rPr>
      </w:pPr>
      <w:r>
        <w:rPr>
          <w:rFonts w:hint="eastAsia" w:ascii="宋体" w:hAnsi="宋体"/>
          <w:b/>
          <w:bCs/>
          <w:color w:val="000000"/>
          <w:sz w:val="24"/>
          <w:szCs w:val="24"/>
        </w:rPr>
        <w:t xml:space="preserve">1、项目配备项目经理一名</w:t>
      </w:r>
      <w:r>
        <w:rPr>
          <w:rFonts w:hint="eastAsia" w:ascii="宋体" w:hAnsi="宋体"/>
          <w:color w:val="000000"/>
          <w:sz w:val="24"/>
          <w:szCs w:val="24"/>
        </w:rPr>
        <w:t xml:space="preserve">：需要项目经理具备国家药品监督管理局颁布的GCP</w:t>
      </w:r>
      <w:r>
        <w:rPr>
          <w:rFonts w:hint="eastAsia" w:ascii="宋体" w:hAnsi="宋体"/>
          <w:color w:val="000000"/>
          <w:sz w:val="24"/>
          <w:szCs w:val="24"/>
          <w:lang w:val="en-US" w:eastAsia="zh-CN"/>
        </w:rPr>
        <w:t xml:space="preserve">培训</w:t>
      </w:r>
      <w:r>
        <w:rPr>
          <w:rFonts w:hint="eastAsia" w:ascii="宋体" w:hAnsi="宋体"/>
          <w:color w:val="000000"/>
          <w:sz w:val="24"/>
          <w:szCs w:val="24"/>
        </w:rPr>
        <w:t xml:space="preserve">证书，并具有</w:t>
      </w:r>
      <w:r>
        <w:rPr>
          <w:rFonts w:hint="eastAsia" w:ascii="宋体" w:hAnsi="宋体" w:cs="宋体"/>
          <w:color w:val="000000"/>
          <w:sz w:val="24"/>
          <w:szCs w:val="24"/>
        </w:rPr>
        <w:t xml:space="preserve">相关系统</w:t>
      </w:r>
      <w:r>
        <w:rPr>
          <w:rFonts w:hint="eastAsia" w:ascii="宋体" w:hAnsi="宋体"/>
          <w:color w:val="000000"/>
          <w:sz w:val="24"/>
          <w:szCs w:val="24"/>
        </w:rPr>
        <w:t xml:space="preserve">建设经验的。</w:t>
      </w:r>
      <w:r/>
    </w:p>
    <w:p>
      <w:pPr>
        <w:ind w:firstLine="480"/>
        <w:spacing w:line="520" w:lineRule="exact"/>
        <w:rPr>
          <w:rFonts w:hint="eastAsia" w:ascii="宋体" w:hAnsi="宋体"/>
          <w:color w:val="000000"/>
          <w:sz w:val="24"/>
          <w:szCs w:val="24"/>
        </w:rPr>
      </w:pPr>
      <w:r>
        <w:rPr>
          <w:rFonts w:hint="eastAsia" w:ascii="宋体" w:hAnsi="宋体"/>
          <w:b/>
          <w:bCs/>
          <w:color w:val="000000"/>
          <w:sz w:val="24"/>
          <w:szCs w:val="24"/>
        </w:rPr>
        <w:t xml:space="preserve">2、项目配备项目实施工程师四名</w:t>
      </w:r>
      <w:r>
        <w:rPr>
          <w:rFonts w:hint="eastAsia" w:ascii="宋体" w:hAnsi="宋体"/>
          <w:color w:val="000000"/>
          <w:sz w:val="24"/>
          <w:szCs w:val="24"/>
        </w:rPr>
        <w:t xml:space="preserve">：需要具备国家药品监督管理局颁布的GCP</w:t>
      </w:r>
      <w:r>
        <w:rPr>
          <w:rFonts w:hint="eastAsia" w:ascii="宋体" w:hAnsi="宋体"/>
          <w:color w:val="000000"/>
          <w:sz w:val="24"/>
          <w:szCs w:val="24"/>
          <w:lang w:val="en-US" w:eastAsia="zh-CN"/>
        </w:rPr>
        <w:t xml:space="preserve">培训</w:t>
      </w:r>
      <w:r>
        <w:rPr>
          <w:rFonts w:hint="eastAsia" w:ascii="宋体" w:hAnsi="宋体"/>
          <w:color w:val="000000"/>
          <w:sz w:val="24"/>
          <w:szCs w:val="24"/>
        </w:rPr>
        <w:t xml:space="preserve">证书。</w:t>
      </w:r>
      <w:r/>
    </w:p>
    <w:p>
      <w:pPr>
        <w:spacing w:line="520" w:lineRule="exact"/>
        <w:rPr>
          <w:rFonts w:hint="eastAsia" w:ascii="宋体" w:hAnsi="宋体"/>
          <w:b/>
          <w:bCs/>
          <w:color w:val="000000"/>
          <w:sz w:val="24"/>
          <w:szCs w:val="24"/>
        </w:rPr>
      </w:pPr>
      <w:r>
        <w:rPr>
          <w:rFonts w:hint="eastAsia" w:ascii="宋体" w:hAnsi="宋体"/>
          <w:b/>
          <w:bCs/>
          <w:color w:val="000000"/>
          <w:sz w:val="24"/>
          <w:szCs w:val="24"/>
        </w:rPr>
        <w:t xml:space="preserve">（二）公司实力</w:t>
      </w:r>
      <w:r/>
    </w:p>
    <w:p>
      <w:pPr>
        <w:ind w:firstLine="480"/>
        <w:spacing w:line="520" w:lineRule="exact"/>
        <w:rPr>
          <w:rFonts w:hint="eastAsia" w:ascii="宋体" w:hAnsi="宋体"/>
          <w:b/>
          <w:bCs/>
          <w:sz w:val="24"/>
          <w:szCs w:val="24"/>
        </w:rPr>
      </w:pPr>
      <w:r>
        <w:rPr>
          <w:rFonts w:hint="eastAsia" w:ascii="宋体" w:hAnsi="宋体"/>
          <w:b/>
          <w:bCs/>
          <w:sz w:val="24"/>
          <w:szCs w:val="24"/>
        </w:rPr>
        <w:t xml:space="preserve">1、企业资质</w:t>
      </w:r>
      <w:r/>
    </w:p>
    <w:p>
      <w:pPr>
        <w:ind w:firstLine="480"/>
        <w:spacing w:line="520" w:lineRule="exact"/>
        <w:rPr>
          <w:rFonts w:hint="eastAsia" w:ascii="宋体" w:hAnsi="宋体"/>
          <w:color w:val="000000" w:themeColor="text1"/>
          <w:sz w:val="24"/>
          <w:szCs w:val="24"/>
        </w:rPr>
      </w:pPr>
      <w:r>
        <w:rPr>
          <w:rFonts w:hint="eastAsia" w:ascii="宋体" w:hAnsi="宋体"/>
          <w:sz w:val="24"/>
          <w:szCs w:val="24"/>
        </w:rPr>
        <w:t xml:space="preserve">投标人需具</w:t>
      </w:r>
      <w:r>
        <w:rPr>
          <w:rFonts w:hint="eastAsia" w:ascii="宋体" w:hAnsi="宋体"/>
          <w:color w:val="000000"/>
          <w:sz w:val="24"/>
          <w:szCs w:val="24"/>
        </w:rPr>
        <w:t xml:space="preserve">有合法资质的第三方测评机构出具的有效信息安全测评报告、代码审计报告</w:t>
      </w:r>
      <w:r>
        <w:rPr>
          <w:rFonts w:hint="eastAsia" w:ascii="宋体" w:hAnsi="宋体"/>
          <w:color w:val="000000" w:themeColor="text1"/>
          <w:sz w:val="24"/>
          <w:szCs w:val="24"/>
        </w:rPr>
        <w:t xml:space="preserve">。</w:t>
      </w:r>
      <w:r>
        <w:rPr>
          <w:color w:val="000000" w:themeColor="text1"/>
        </w:rPr>
      </w:r>
      <w:r/>
    </w:p>
    <w:p>
      <w:pPr>
        <w:ind w:firstLine="480"/>
        <w:spacing w:line="520" w:lineRule="exact"/>
        <w:rPr>
          <w:rFonts w:hint="eastAsia" w:ascii="宋体" w:hAnsi="宋体"/>
          <w:b/>
          <w:bCs/>
          <w:sz w:val="24"/>
          <w:szCs w:val="24"/>
        </w:rPr>
      </w:pPr>
      <w:r>
        <w:rPr>
          <w:rFonts w:hint="eastAsia" w:ascii="宋体" w:hAnsi="宋体"/>
          <w:b/>
          <w:bCs/>
          <w:sz w:val="24"/>
          <w:szCs w:val="24"/>
        </w:rPr>
        <w:t xml:space="preserve">2、相关业绩要求</w:t>
      </w:r>
      <w:r/>
    </w:p>
    <w:p>
      <w:pPr>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供应商提供自2023年1月1日（含）以来同类业绩案例合同。投资产品实现研究病历电子化数据采集并与EDC系统无缝对接的应用项目案例，且通过国家药品监督管理局现场核查。</w:t>
      </w:r>
      <w:r/>
    </w:p>
    <w:p>
      <w:pPr>
        <w:ind w:firstLine="480"/>
        <w:spacing w:line="520" w:lineRule="exact"/>
        <w:rPr>
          <w:rFonts w:hint="eastAsia" w:ascii="宋体" w:hAnsi="宋体"/>
          <w:b/>
          <w:bCs/>
          <w:color w:val="000000"/>
          <w:sz w:val="24"/>
          <w:szCs w:val="24"/>
        </w:rPr>
      </w:pPr>
      <w:r>
        <w:rPr>
          <w:rFonts w:hint="eastAsia" w:ascii="宋体" w:hAnsi="宋体"/>
          <w:b/>
          <w:bCs/>
          <w:color w:val="000000"/>
          <w:sz w:val="24"/>
          <w:szCs w:val="24"/>
        </w:rPr>
        <w:t xml:space="preserve">3、企业能力</w:t>
      </w:r>
      <w:r/>
    </w:p>
    <w:p>
      <w:pPr>
        <w:ind w:firstLine="480"/>
        <w:spacing w:line="520" w:lineRule="exact"/>
        <w:rPr>
          <w:rFonts w:hint="eastAsia" w:ascii="宋体" w:hAnsi="宋体"/>
          <w:sz w:val="24"/>
          <w:szCs w:val="24"/>
        </w:rPr>
      </w:pPr>
      <w:r>
        <w:rPr>
          <w:rFonts w:hint="eastAsia" w:ascii="宋体" w:hAnsi="宋体"/>
          <w:sz w:val="24"/>
          <w:szCs w:val="24"/>
        </w:rPr>
        <w:t xml:space="preserve">投标人具有</w:t>
      </w:r>
      <w:r>
        <w:rPr>
          <w:rStyle w:val="942"/>
          <w:rFonts w:ascii="Times New Roman" w:hAnsi="Times New Roman" w:eastAsia="宋体" w:cs="Times New Roman"/>
          <w:color w:val="000000"/>
          <w:sz w:val="24"/>
          <w:szCs w:val="24"/>
        </w:rPr>
        <w:t xml:space="preserve">临床研究、 医患互动、 电子化患者报告相关软件著作权证书</w:t>
      </w:r>
      <w:r>
        <w:rPr>
          <w:rFonts w:hint="eastAsia" w:ascii="宋体" w:hAnsi="宋体"/>
          <w:sz w:val="24"/>
          <w:szCs w:val="24"/>
        </w:rPr>
        <w:t xml:space="preserve">。</w:t>
      </w:r>
      <w:r/>
    </w:p>
    <w:p>
      <w:pPr>
        <w:spacing w:line="520" w:lineRule="exact"/>
        <w:rPr>
          <w:rFonts w:hint="eastAsia" w:ascii="宋体" w:hAnsi="宋体"/>
          <w:b/>
          <w:bCs/>
          <w:sz w:val="24"/>
          <w:szCs w:val="24"/>
        </w:rPr>
      </w:pPr>
      <w:r>
        <w:rPr>
          <w:rFonts w:hint="eastAsia" w:ascii="宋体" w:hAnsi="宋体"/>
          <w:b/>
          <w:bCs/>
          <w:sz w:val="24"/>
          <w:szCs w:val="24"/>
        </w:rPr>
        <w:t xml:space="preserve">（三）付款方式</w:t>
      </w:r>
      <w:r/>
    </w:p>
    <w:p>
      <w:pPr>
        <w:ind w:firstLine="0"/>
        <w:spacing w:line="240" w:lineRule="auto"/>
        <w:rPr>
          <w:rFonts w:hint="eastAsia" w:ascii="宋体" w:hAnsi="宋体"/>
          <w:b w:val="0"/>
          <w:bCs w:val="0"/>
          <w:i/>
          <w:iCs/>
          <w:color w:val="auto"/>
          <w:sz w:val="24"/>
          <w:szCs w:val="24"/>
          <w:u w:val="single"/>
        </w:rPr>
      </w:pPr>
      <w:r>
        <w:rPr>
          <w:rFonts w:hint="eastAsia" w:ascii="宋体" w:hAnsi="宋体"/>
          <w:b w:val="0"/>
          <w:bCs w:val="0"/>
          <w:i/>
          <w:iCs/>
          <w:color w:val="auto"/>
          <w:sz w:val="24"/>
          <w:szCs w:val="24"/>
          <w:u w:val="single"/>
        </w:rPr>
        <w:t xml:space="preserve">合同生效收到合同总价10%的履约保证金且收到合格发票后支付合同总金额的30%，验收合格且收到正规发票后60日内支付合同总金额的70%。项目</w:t>
      </w:r>
      <w:r>
        <w:rPr>
          <w:rFonts w:hint="eastAsia" w:ascii="宋体" w:hAnsi="宋体"/>
          <w:b w:val="0"/>
          <w:bCs w:val="0"/>
          <w:i/>
          <w:iCs/>
          <w:color w:val="auto"/>
          <w:sz w:val="24"/>
          <w:szCs w:val="24"/>
          <w:u w:val="single"/>
          <w:lang w:val="en-US" w:eastAsia="zh-CN"/>
        </w:rPr>
        <w:t xml:space="preserve">验收合格</w:t>
      </w:r>
      <w:r>
        <w:rPr>
          <w:rFonts w:hint="eastAsia" w:ascii="宋体" w:hAnsi="宋体"/>
          <w:b w:val="0"/>
          <w:bCs w:val="0"/>
          <w:i/>
          <w:iCs/>
          <w:color w:val="auto"/>
          <w:sz w:val="24"/>
          <w:szCs w:val="24"/>
          <w:u w:val="single"/>
        </w:rPr>
        <w:t xml:space="preserve">满</w:t>
      </w:r>
      <w:r>
        <w:rPr>
          <w:rFonts w:hint="eastAsia" w:ascii="宋体" w:hAnsi="宋体"/>
          <w:b w:val="0"/>
          <w:bCs w:val="0"/>
          <w:i/>
          <w:iCs/>
          <w:color w:val="auto"/>
          <w:sz w:val="24"/>
          <w:szCs w:val="24"/>
          <w:u w:val="single"/>
          <w:lang w:val="en-US" w:eastAsia="zh-CN"/>
        </w:rPr>
        <w:t xml:space="preserve">半</w:t>
      </w:r>
      <w:r>
        <w:rPr>
          <w:rFonts w:hint="eastAsia" w:ascii="宋体" w:hAnsi="宋体"/>
          <w:b w:val="0"/>
          <w:bCs w:val="0"/>
          <w:i/>
          <w:iCs/>
          <w:color w:val="auto"/>
          <w:sz w:val="24"/>
          <w:szCs w:val="24"/>
          <w:u w:val="single"/>
        </w:rPr>
        <w:t xml:space="preserve">年后，甲方将无息退还乙方的履约保证金。</w:t>
      </w:r>
      <w:r/>
    </w:p>
    <w:p>
      <w:pPr>
        <w:spacing w:line="520" w:lineRule="exact"/>
        <w:rPr>
          <w:rFonts w:hint="eastAsia" w:ascii="宋体" w:hAnsi="宋体"/>
          <w:b/>
          <w:bCs/>
          <w:sz w:val="24"/>
          <w:szCs w:val="24"/>
        </w:rPr>
      </w:pPr>
      <w:r>
        <w:rPr>
          <w:rFonts w:hint="eastAsia" w:ascii="宋体" w:hAnsi="宋体"/>
          <w:b/>
          <w:bCs/>
          <w:sz w:val="24"/>
          <w:szCs w:val="24"/>
        </w:rPr>
        <w:t xml:space="preserve">（四）维保费用</w:t>
      </w:r>
      <w:r/>
    </w:p>
    <w:p>
      <w:pPr>
        <w:ind w:firstLine="482"/>
        <w:spacing w:line="520" w:lineRule="exact"/>
        <w:rPr>
          <w:rFonts w:hint="eastAsia" w:ascii="宋体" w:hAnsi="宋体"/>
          <w:b/>
          <w:bCs/>
          <w:sz w:val="24"/>
          <w:szCs w:val="24"/>
        </w:rPr>
      </w:pPr>
      <w:r>
        <w:rPr>
          <w:rFonts w:hint="eastAsia" w:ascii="宋体" w:hAnsi="宋体"/>
          <w:b/>
          <w:bCs/>
          <w:sz w:val="24"/>
          <w:szCs w:val="24"/>
        </w:rPr>
        <w:t xml:space="preserve">1、维护期</w:t>
      </w:r>
      <w:r/>
    </w:p>
    <w:p>
      <w:pPr>
        <w:ind w:firstLine="480"/>
        <w:spacing w:line="520" w:lineRule="exact"/>
        <w:rPr>
          <w:rFonts w:hint="eastAsia" w:ascii="宋体" w:hAnsi="宋体"/>
          <w:i/>
          <w:iCs/>
          <w:sz w:val="24"/>
          <w:szCs w:val="24"/>
          <w:u w:val="single"/>
        </w:rPr>
      </w:pPr>
      <w:r>
        <w:rPr>
          <w:rFonts w:hint="eastAsia" w:ascii="宋体" w:hAnsi="宋体"/>
          <w:b w:val="0"/>
          <w:bCs w:val="0"/>
          <w:i/>
          <w:iCs/>
          <w:sz w:val="24"/>
          <w:szCs w:val="24"/>
          <w:u w:val="single"/>
        </w:rPr>
        <w:t xml:space="preserve">自项目最终验收合格之日起算，中标人须为所供软件提供</w:t>
      </w:r>
      <w:r>
        <w:rPr>
          <w:rFonts w:hint="eastAsia" w:ascii="宋体" w:hAnsi="宋体"/>
          <w:b w:val="0"/>
          <w:bCs w:val="0"/>
          <w:i/>
          <w:iCs/>
          <w:sz w:val="24"/>
          <w:szCs w:val="24"/>
          <w:u w:val="single"/>
          <w:lang w:val="en-US" w:eastAsia="zh-CN"/>
        </w:rPr>
        <w:t xml:space="preserve">两</w:t>
      </w:r>
      <w:r>
        <w:rPr>
          <w:rFonts w:hint="eastAsia" w:ascii="宋体" w:hAnsi="宋体"/>
          <w:b w:val="0"/>
          <w:bCs w:val="0"/>
          <w:i/>
          <w:iCs/>
          <w:sz w:val="24"/>
          <w:szCs w:val="24"/>
          <w:u w:val="single"/>
        </w:rPr>
        <w:t xml:space="preserve">年及以上维护、技术支持与故障处理服务。投标文件中报价包含维护期内维保费，维</w:t>
      </w:r>
      <w:r>
        <w:rPr>
          <w:rFonts w:hint="eastAsia" w:ascii="宋体" w:hAnsi="宋体"/>
          <w:b w:val="0"/>
          <w:bCs w:val="0"/>
          <w:i/>
          <w:iCs/>
          <w:sz w:val="24"/>
          <w:szCs w:val="24"/>
          <w:u w:val="single"/>
          <w:lang w:val="en-US" w:eastAsia="zh-CN"/>
        </w:rPr>
        <w:t xml:space="preserve">护</w:t>
      </w:r>
      <w:r>
        <w:rPr>
          <w:rFonts w:hint="eastAsia" w:ascii="宋体" w:hAnsi="宋体"/>
          <w:b w:val="0"/>
          <w:bCs w:val="0"/>
          <w:i/>
          <w:iCs/>
          <w:sz w:val="24"/>
          <w:szCs w:val="24"/>
          <w:u w:val="single"/>
        </w:rPr>
        <w:t xml:space="preserve">期间不另外收取任何费用。</w:t>
      </w:r>
      <w:r/>
    </w:p>
    <w:p>
      <w:pPr>
        <w:ind w:firstLine="482"/>
        <w:spacing w:line="520" w:lineRule="exact"/>
        <w:rPr>
          <w:rFonts w:hint="eastAsia" w:ascii="宋体" w:hAnsi="宋体"/>
          <w:b/>
          <w:bCs/>
          <w:sz w:val="24"/>
          <w:szCs w:val="24"/>
        </w:rPr>
      </w:pPr>
      <w:r>
        <w:rPr>
          <w:rFonts w:hint="eastAsia" w:ascii="宋体" w:hAnsi="宋体"/>
          <w:b/>
          <w:bCs/>
          <w:sz w:val="24"/>
          <w:szCs w:val="24"/>
        </w:rPr>
        <w:t xml:space="preserve">2、后续维保费用</w:t>
      </w:r>
      <w:r/>
    </w:p>
    <w:p>
      <w:pPr>
        <w:ind w:firstLine="480"/>
        <w:spacing w:line="520" w:lineRule="exact"/>
        <w:rPr>
          <w:rFonts w:hint="eastAsia" w:ascii="宋体" w:hAnsi="宋体"/>
          <w:b w:val="0"/>
          <w:bCs w:val="0"/>
          <w:i/>
          <w:iCs/>
          <w:sz w:val="24"/>
          <w:szCs w:val="24"/>
          <w:u w:val="single"/>
        </w:rPr>
      </w:pPr>
      <w:r>
        <w:rPr>
          <w:rFonts w:hint="eastAsia" w:ascii="宋体" w:hAnsi="宋体"/>
          <w:b w:val="0"/>
          <w:bCs w:val="0"/>
          <w:i/>
          <w:iCs/>
          <w:sz w:val="24"/>
          <w:szCs w:val="24"/>
          <w:u w:val="single"/>
        </w:rPr>
        <w:t xml:space="preserve">维护期届满后，年度维保服务费率不得高于本项目中标金额的5%，具体服务标准由双方另行约定。</w:t>
      </w:r>
      <w:r/>
    </w:p>
    <w:p>
      <w:pPr>
        <w:ind w:firstLine="482"/>
        <w:spacing w:line="520" w:lineRule="exact"/>
        <w:rPr>
          <w:rFonts w:hint="eastAsia" w:ascii="宋体" w:hAnsi="宋体"/>
          <w:b/>
          <w:bCs/>
          <w:color w:val="000000"/>
          <w:sz w:val="24"/>
          <w:szCs w:val="24"/>
        </w:rPr>
      </w:pPr>
      <w:r>
        <w:rPr>
          <w:rFonts w:hint="eastAsia" w:ascii="宋体" w:hAnsi="宋体"/>
          <w:b/>
          <w:bCs/>
          <w:color w:val="000000"/>
          <w:sz w:val="24"/>
          <w:szCs w:val="24"/>
        </w:rPr>
        <w:t xml:space="preserve">（五）保密要求</w:t>
      </w:r>
      <w:r/>
    </w:p>
    <w:p>
      <w:pPr>
        <w:ind w:firstLine="480"/>
        <w:spacing w:line="520" w:lineRule="exact"/>
      </w:pPr>
      <w:r>
        <w:rPr>
          <w:rFonts w:hint="eastAsia" w:ascii="宋体" w:hAnsi="宋体"/>
          <w:i/>
          <w:iCs/>
          <w:sz w:val="24"/>
          <w:szCs w:val="24"/>
          <w:u w:val="single"/>
        </w:rPr>
        <w:t xml:space="preserve">投标供应商在参与本项目中，对于采购人披露和提供的所有信息应作为商业秘密对待并予以保护，未经采购人授权不得将任何信息泄漏给第三方，否则采购人有权追究供应商的责任。</w:t>
      </w:r>
      <w:r/>
    </w:p>
    <w:p>
      <w:pPr>
        <w:pStyle w:val="959"/>
        <w:ind w:firstLine="562"/>
        <w:spacing w:before="120" w:after="120" w:line="560" w:lineRule="exact"/>
        <w:rPr>
          <w:rFonts w:hint="eastAsia" w:ascii="宋体" w:hAnsi="宋体" w:eastAsia="宋体" w:cs="宋体"/>
          <w:b/>
          <w:bCs w:val="0"/>
          <w:sz w:val="28"/>
          <w:szCs w:val="28"/>
        </w:rPr>
      </w:pPr>
      <w:r>
        <w:rPr>
          <w:rFonts w:hint="eastAsia" w:ascii="宋体" w:hAnsi="宋体" w:eastAsia="宋体" w:cs="宋体"/>
          <w:b/>
          <w:bCs w:val="0"/>
          <w:sz w:val="28"/>
          <w:szCs w:val="28"/>
        </w:rPr>
        <w:t xml:space="preserve">五、其他要求</w:t>
      </w:r>
      <w:r/>
    </w:p>
    <w:p>
      <w:pPr>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服务类项目。</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2.演示要求</w:t>
      </w:r>
      <w:r/>
    </w:p>
    <w:p>
      <w:pPr>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演示方式 上传视频演示</w:t>
      </w:r>
      <w:r/>
    </w:p>
    <w:p>
      <w:pPr>
        <w:ind w:firstLine="480"/>
        <w:spacing w:line="560" w:lineRule="exact"/>
        <w:rPr>
          <w:rFonts w:hint="eastAsia" w:ascii="宋体" w:hAnsi="宋体" w:eastAsia="宋体" w:cs="宋体"/>
          <w:sz w:val="24"/>
          <w:szCs w:val="24"/>
        </w:rPr>
      </w:pPr>
      <w:r>
        <w:rPr>
          <w:rFonts w:hint="eastAsia" w:ascii="宋体" w:hAnsi="宋体" w:eastAsia="宋体" w:cs="宋体"/>
          <w:bCs/>
          <w:color w:val="000000"/>
          <w:sz w:val="24"/>
          <w:szCs w:val="24"/>
        </w:rPr>
        <w:t xml:space="preserve">1.投标人需按照招标文件规定的演示内容制作演示视频文件，视频文件的格式为</w:t>
      </w:r>
      <w:r>
        <w:rPr>
          <w:rFonts w:hint="eastAsia" w:ascii="宋体" w:hAnsi="宋体" w:eastAsia="宋体" w:cs="宋体"/>
          <w:color w:val="000000"/>
          <w:sz w:val="24"/>
          <w:szCs w:val="24"/>
        </w:rPr>
        <w:t xml:space="preserve">X.mp4</w:t>
      </w:r>
      <w:r>
        <w:rPr>
          <w:rFonts w:hint="eastAsia" w:ascii="宋体" w:hAnsi="宋体" w:eastAsia="宋体" w:cs="宋体"/>
          <w:bCs/>
          <w:color w:val="000000"/>
          <w:sz w:val="24"/>
          <w:szCs w:val="24"/>
        </w:rPr>
        <w:t xml:space="preserve">或</w:t>
      </w:r>
      <w:r>
        <w:rPr>
          <w:rFonts w:hint="eastAsia" w:ascii="宋体" w:hAnsi="宋体" w:eastAsia="宋体" w:cs="宋体"/>
          <w:color w:val="000000"/>
          <w:sz w:val="24"/>
          <w:szCs w:val="24"/>
        </w:rPr>
        <w:t xml:space="preserve">X.avi</w:t>
      </w:r>
      <w:r>
        <w:rPr>
          <w:rFonts w:hint="eastAsia" w:ascii="宋体" w:hAnsi="宋体" w:eastAsia="宋体" w:cs="宋体"/>
          <w:bCs/>
          <w:color w:val="000000"/>
          <w:sz w:val="24"/>
          <w:szCs w:val="24"/>
        </w:rPr>
        <w:t xml:space="preserve">，投标人须将视频文件分段压缩为</w:t>
      </w:r>
      <w:r>
        <w:rPr>
          <w:rFonts w:hint="eastAsia" w:ascii="宋体" w:hAnsi="宋体" w:eastAsia="宋体" w:cs="宋体"/>
          <w:color w:val="000000"/>
          <w:sz w:val="24"/>
          <w:szCs w:val="24"/>
        </w:rPr>
        <w:t xml:space="preserve">X.zip</w:t>
      </w:r>
      <w:r>
        <w:rPr>
          <w:rFonts w:hint="eastAsia" w:ascii="宋体" w:hAnsi="宋体" w:eastAsia="宋体" w:cs="宋体"/>
          <w:bCs/>
          <w:color w:val="000000"/>
          <w:sz w:val="24"/>
          <w:szCs w:val="24"/>
        </w:rPr>
        <w:t xml:space="preserve">文件上传（单个文件不得大于</w:t>
      </w:r>
      <w:r>
        <w:rPr>
          <w:rFonts w:hint="eastAsia" w:ascii="宋体" w:hAnsi="宋体" w:eastAsia="宋体" w:cs="宋体"/>
          <w:color w:val="000000"/>
          <w:sz w:val="24"/>
          <w:szCs w:val="24"/>
        </w:rPr>
        <w:t xml:space="preserve">50M</w:t>
      </w:r>
      <w:r>
        <w:rPr>
          <w:rFonts w:hint="eastAsia" w:ascii="宋体" w:hAnsi="宋体" w:eastAsia="宋体" w:cs="宋体"/>
          <w:bCs/>
          <w:color w:val="000000"/>
          <w:sz w:val="24"/>
          <w:szCs w:val="24"/>
        </w:rPr>
        <w:t xml:space="preserve">，所有文件总共不得大于</w:t>
      </w:r>
      <w:r>
        <w:rPr>
          <w:rFonts w:hint="eastAsia" w:ascii="宋体" w:hAnsi="宋体" w:eastAsia="宋体" w:cs="宋体"/>
          <w:color w:val="000000"/>
          <w:sz w:val="24"/>
          <w:szCs w:val="24"/>
        </w:rPr>
        <w:t xml:space="preserve">300M）</w:t>
      </w:r>
      <w:r>
        <w:rPr>
          <w:rFonts w:hint="eastAsia" w:ascii="宋体" w:hAnsi="宋体" w:eastAsia="宋体" w:cs="宋体"/>
          <w:bCs/>
          <w:color w:val="000000"/>
          <w:sz w:val="24"/>
          <w:szCs w:val="24"/>
        </w:rPr>
        <w:t xml:space="preserve">。文件上传方式见《操作手册》规定，上传的演示视频将作为投标文件的组成部分，视频时长总计不超过</w:t>
      </w:r>
      <w:r>
        <w:rPr>
          <w:rFonts w:hint="eastAsia" w:ascii="宋体" w:hAnsi="宋体" w:eastAsia="宋体" w:cs="宋体"/>
          <w:bCs/>
          <w:color w:val="000000"/>
          <w:sz w:val="24"/>
          <w:szCs w:val="24"/>
          <w:lang w:val="en-US" w:eastAsia="zh-CN"/>
        </w:rPr>
        <w:t xml:space="preserve">15</w:t>
      </w:r>
      <w:r>
        <w:rPr>
          <w:rFonts w:hint="eastAsia" w:ascii="宋体" w:hAnsi="宋体" w:eastAsia="宋体" w:cs="宋体"/>
          <w:bCs/>
          <w:color w:val="000000"/>
          <w:sz w:val="24"/>
          <w:szCs w:val="24"/>
        </w:rPr>
        <w:t xml:space="preserve">分钟</w:t>
      </w:r>
      <w:r>
        <w:rPr>
          <w:rFonts w:hint="eastAsia" w:ascii="宋体" w:hAnsi="宋体" w:eastAsia="宋体" w:cs="宋体"/>
          <w:bCs/>
          <w:sz w:val="24"/>
          <w:szCs w:val="24"/>
          <w:highlight w:val="none"/>
        </w:rPr>
        <w:t xml:space="preserve">。</w:t>
      </w:r>
      <w:r/>
    </w:p>
    <w:p>
      <w:pPr>
        <w:ind w:firstLine="480"/>
        <w:spacing w:line="5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2.演示内容如下：</w:t>
      </w:r>
      <w:r/>
    </w:p>
    <w:p>
      <w:pPr>
        <w:ind w:firstLine="480"/>
        <w:spacing w:line="480" w:lineRule="exact"/>
        <w:rPr>
          <w:sz w:val="24"/>
          <w:szCs w:val="24"/>
        </w:rPr>
      </w:pPr>
      <w:r>
        <w:rPr>
          <w:sz w:val="24"/>
          <w:szCs w:val="24"/>
        </w:rPr>
        <w:t xml:space="preserve">（1）可视化方案设计：支持拖拽式、时间轴式的方式配置试验全流程（筛选期、入住期、试验期、随访期），管理员可直接在时间轴上可灵活添加各类事件（如：入住、禁食禁水、采样、给药、生命体征、影像学检查、问卷调查等），并为每个事件配置复杂规则如：时间窗规则： 相对时间（如给药后±5分钟）、绝对时间等</w:t>
      </w:r>
      <w:r>
        <w:rPr>
          <w:rFonts w:hint="eastAsia"/>
          <w:sz w:val="24"/>
          <w:szCs w:val="24"/>
        </w:rPr>
        <w:t xml:space="preserve">；</w:t>
      </w:r>
      <w:r>
        <w:rPr>
          <w:sz w:val="24"/>
          <w:szCs w:val="24"/>
        </w:rPr>
        <w:t xml:space="preserve">依赖关系： 如“采血”必须依赖于“给药”完成后才能开始等</w:t>
      </w:r>
      <w:r>
        <w:rPr>
          <w:rFonts w:hint="eastAsia"/>
          <w:sz w:val="24"/>
          <w:szCs w:val="24"/>
        </w:rPr>
        <w:t xml:space="preserve">；</w:t>
      </w:r>
      <w:bookmarkStart w:id="202" w:name="_GoBack"/>
      <w:r/>
      <w:bookmarkEnd w:id="202"/>
      <w:r>
        <w:rPr>
          <w:sz w:val="24"/>
          <w:szCs w:val="24"/>
        </w:rPr>
        <w:t xml:space="preserve">执行规则： 是否需双人核对、是否需要强制录入原因才能偏离等</w:t>
      </w:r>
      <w:r>
        <w:rPr>
          <w:rFonts w:hint="eastAsia"/>
          <w:sz w:val="24"/>
          <w:szCs w:val="24"/>
        </w:rPr>
        <w:t xml:space="preserve">；</w:t>
      </w:r>
      <w:r>
        <w:rPr>
          <w:sz w:val="24"/>
          <w:szCs w:val="24"/>
        </w:rPr>
        <w:t xml:space="preserve">自动计算： 根据给药时间自动计算并生成后续所有采血/检查的计划时间点等。</w:t>
      </w:r>
      <w:r/>
    </w:p>
    <w:p>
      <w:pPr>
        <w:ind w:firstLine="480"/>
        <w:spacing w:line="480" w:lineRule="exact"/>
        <w:rPr>
          <w:sz w:val="24"/>
          <w:szCs w:val="24"/>
        </w:rPr>
      </w:pPr>
      <w:r>
        <w:rPr>
          <w:sz w:val="24"/>
          <w:szCs w:val="24"/>
        </w:rPr>
        <w:t xml:space="preserve">（2）系统支持通过接口获取到HIS系统中的医嘱项目字典，包括检验检查等项目名称、编码、费用等信息；支持根据试验方案预设医嘱套餐（如“D1访视套餐”），包含所有必需项目；支持套餐与访视计划自动关联，减少重复操作；支持与医院现有HIS业务系统集成并与医院现有HIS业务系统联动，实现研究者在线开具医嘱，包括药品、检查、检验、护理等项目；支持医嘱停止、作废、变更流程，需记录变更原因、操作人、时间等信息；支持医嘱版本历史查询，任何变更均记录审计追踪。</w:t>
      </w:r>
      <w:r/>
    </w:p>
    <w:p>
      <w:pPr>
        <w:ind w:firstLine="480"/>
        <w:spacing w:line="480" w:lineRule="exact"/>
        <w:rPr>
          <w:sz w:val="24"/>
          <w:szCs w:val="24"/>
        </w:rPr>
      </w:pPr>
      <w:r>
        <w:rPr>
          <w:sz w:val="24"/>
          <w:szCs w:val="24"/>
        </w:rPr>
        <w:t xml:space="preserve">（3）具备高度灵活的公式自定义功能，涵盖固定剂量、体重、体表面积等核心公式类型，可依据不同试验方案的个性化要求，自由组合参数、设定运算逻辑，同时，支持对计算结果的保留小数位数进行精准定义；内置合理用药规则库，自动审查药物相互作用、禁忌症、超剂量等；支持审查结果提示或强拦截，确保用药安全。</w:t>
      </w:r>
      <w:r/>
    </w:p>
    <w:p>
      <w:pPr>
        <w:ind w:firstLine="480"/>
        <w:spacing w:line="480" w:lineRule="exact"/>
        <w:rPr>
          <w:color w:val="000000"/>
          <w:sz w:val="24"/>
          <w:szCs w:val="24"/>
        </w:rPr>
      </w:pPr>
      <w:r>
        <w:rPr>
          <w:color w:val="000000"/>
          <w:sz w:val="24"/>
          <w:szCs w:val="24"/>
        </w:rPr>
        <w:t xml:space="preserve">（4）</w:t>
      </w:r>
      <w:r>
        <w:rPr>
          <w:rFonts w:hint="eastAsia"/>
          <w:color w:val="000000"/>
          <w:sz w:val="24"/>
          <w:szCs w:val="24"/>
        </w:rPr>
        <w:t xml:space="preserve">系统建立受试者筛选专属电子研究病历，完整记录受试者入组前全部基线信息，作为入组判定唯一溯源依据,内置标准化筛选表单，支持模板自定义、字段配置、逻辑校验：筛选访视记录表、基线信息表、入排核查表, 生命体征记录表、筛选检查汇总表，既往用药及禁忌筛查表、筛选失败记录表,支持检查数据自动对接LIS/设备系统回填，减少人工录入；系统提供受试者入组后自动启用试验期专项研究电子病历，覆盖从给药至试验结束全流程，聚焦安全监测、试验操作、数据溯源,内置试验期操作表单，支持访视周期自动触发、定时填报、超时预警。</w:t>
      </w:r>
      <w:r/>
    </w:p>
    <w:p>
      <w:pPr>
        <w:ind w:firstLine="480"/>
        <w:spacing w:line="560" w:lineRule="exact"/>
        <w:rPr>
          <w:rFonts w:hint="eastAsia" w:ascii="宋体" w:hAnsi="宋体" w:eastAsia="宋体" w:cs="宋体"/>
          <w:bCs/>
          <w:sz w:val="24"/>
          <w:szCs w:val="24"/>
          <w:highlight w:val="yellow"/>
        </w:rPr>
      </w:pPr>
      <w:r>
        <w:rPr>
          <w:sz w:val="24"/>
          <w:szCs w:val="24"/>
        </w:rPr>
        <w:t xml:space="preserve">（5）支持安全事件自动识别与提示，当研究者录入AE时，系统能根据其严重程度、结果（如导致死亡、危及生命、需住院治疗等）等信息，自动提示该事件可能为严重不良事件（SAE），需启动正式报告流程；按照GCP和NMPA的要求，支持研究者、临床研究协调员（CRC）、研究护士在线填写SAE报告表，并按照NMPA模板生成SAE上报文档。</w:t>
      </w:r>
      <w:r/>
    </w:p>
    <w:p>
      <w:pPr>
        <w:pStyle w:val="909"/>
        <w:rPr>
          <w:rFonts w:hint="eastAsia" w:ascii="黑体" w:eastAsia="黑体"/>
          <w:bCs/>
          <w:sz w:val="44"/>
        </w:rPr>
      </w:pPr>
      <w:r/>
      <w:bookmarkStart w:id="193" w:name="_Toc120614281"/>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p>
    <w:p>
      <w:pPr>
        <w:pStyle w:val="99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737"/>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4325"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92"/>
        <w:ind w:firstLine="439"/>
        <w:spacing w:line="0" w:lineRule="atLeast"/>
        <w:rPr>
          <w:rFonts w:hint="eastAsia" w:cs="Arial"/>
        </w:rPr>
      </w:pPr>
      <w:r>
        <w:rPr>
          <w:rFonts w:hint="eastAsia" w:cs="Arial"/>
        </w:rPr>
      </w:r>
      <w:r/>
    </w:p>
    <w:p>
      <w:pPr>
        <w:pStyle w:val="992"/>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92"/>
        <w:spacing w:line="0" w:lineRule="atLeast"/>
        <w:rPr>
          <w:rFonts w:hint="eastAsia" w:ascii="宋体" w:hAnsi="宋体"/>
        </w:rPr>
      </w:pPr>
      <w:r>
        <w:rPr>
          <w:rFonts w:hint="eastAsia" w:ascii="宋体" w:hAnsi="宋体"/>
        </w:rPr>
        <w:t xml:space="preserve">1、小微型企业价格扣除</w:t>
      </w:r>
      <w:r/>
    </w:p>
    <w:p>
      <w:pPr>
        <w:pStyle w:val="99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9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92"/>
        <w:spacing w:line="0" w:lineRule="atLeast"/>
        <w:rPr>
          <w:rFonts w:hint="eastAsia" w:ascii="宋体" w:hAnsi="宋体"/>
        </w:rPr>
      </w:pPr>
      <w:r>
        <w:rPr>
          <w:rFonts w:hint="eastAsia" w:ascii="宋体" w:hAnsi="宋体"/>
        </w:rPr>
        <w:t xml:space="preserve">2、残疾人福利单位价格扣除</w:t>
      </w:r>
      <w:r/>
    </w:p>
    <w:p>
      <w:pPr>
        <w:pStyle w:val="99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9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2"/>
        <w:spacing w:line="0" w:lineRule="atLeast"/>
        <w:rPr>
          <w:rFonts w:hint="eastAsia" w:ascii="宋体" w:hAnsi="宋体"/>
        </w:rPr>
      </w:pPr>
      <w:r>
        <w:rPr>
          <w:rFonts w:hint="eastAsia" w:ascii="宋体" w:hAnsi="宋体"/>
        </w:rPr>
        <w:t xml:space="preserve">3、监狱和戒毒企业价格扣除</w:t>
      </w:r>
      <w:r/>
    </w:p>
    <w:p>
      <w:pPr>
        <w:pStyle w:val="99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9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9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9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7.采购本国产品的支持政策</w:t>
      </w:r>
      <w:r/>
    </w:p>
    <w:p>
      <w:pPr>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sz w:val="24"/>
          <w:szCs w:val="24"/>
          <w:lang w:val="en-US" w:eastAsia="zh-CN" w:bidi="ar-SA"/>
        </w:rPr>
      </w:pPr>
      <w:r>
        <w:rPr>
          <w:rFonts w:hint="eastAsia" w:ascii="宋体" w:hAnsi="宋体"/>
          <w:sz w:val="24"/>
          <w:szCs w:val="24"/>
          <w:lang w:val="en-US" w:eastAsia="zh-CN" w:bidi="ar-SA"/>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2"/>
        <w:spacing w:line="400" w:lineRule="exact"/>
        <w:rPr>
          <w:rFonts w:hint="eastAsia" w:ascii="宋体" w:hAnsi="宋体"/>
        </w:rPr>
      </w:pPr>
      <w:r>
        <w:rPr>
          <w:rFonts w:hint="eastAsia" w:ascii="宋体" w:hAnsi="宋体"/>
        </w:rPr>
      </w:r>
      <w:r/>
    </w:p>
    <w:p>
      <w:pPr>
        <w:pStyle w:val="992"/>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737"/>
        <w:tblW w:w="94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29"/>
        <w:gridCol w:w="7318"/>
      </w:tblGrid>
      <w:tr>
        <w:trPr>
          <w:jc w:val="center"/>
        </w:trPr>
        <w:tc>
          <w:tcPr>
            <w:tcW w:w="1271" w:type="dxa"/>
            <w:vAlign w:val="center"/>
            <w:textDirection w:val="lrTb"/>
            <w:noWrap w:val="false"/>
          </w:tcPr>
          <w:p>
            <w:pPr>
              <w:spacing w:after="160" w:line="278"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评分内容</w:t>
            </w:r>
            <w:r/>
          </w:p>
        </w:tc>
        <w:tc>
          <w:tcPr>
            <w:tcW w:w="829" w:type="dxa"/>
            <w:vAlign w:val="center"/>
            <w:textDirection w:val="lrTb"/>
            <w:noWrap w:val="false"/>
          </w:tcPr>
          <w:p>
            <w:pPr>
              <w:jc w:val="center"/>
              <w:spacing w:after="160" w:line="278" w:lineRule="auto"/>
              <w:rPr>
                <w:rFonts w:hint="eastAsia" w:ascii="宋体" w:hAnsi="宋体" w:cs="宋体"/>
                <w:b/>
                <w:bCs/>
                <w:color w:val="000000"/>
                <w:sz w:val="24"/>
                <w:szCs w:val="24"/>
              </w:rPr>
            </w:pPr>
            <w:r>
              <w:rPr>
                <w:rFonts w:hint="eastAsia" w:ascii="宋体" w:hAnsi="宋体" w:cs="宋体"/>
                <w:b/>
                <w:bCs/>
                <w:color w:val="000000"/>
                <w:sz w:val="24"/>
                <w:szCs w:val="24"/>
              </w:rPr>
              <w:t xml:space="preserve">分值</w:t>
            </w:r>
            <w:r/>
          </w:p>
        </w:tc>
        <w:tc>
          <w:tcPr>
            <w:tcW w:w="7318" w:type="dxa"/>
            <w:vAlign w:val="center"/>
            <w:textDirection w:val="lrTb"/>
            <w:noWrap w:val="false"/>
          </w:tcPr>
          <w:p>
            <w:pPr>
              <w:jc w:val="center"/>
              <w:spacing w:after="160" w:line="278" w:lineRule="auto"/>
              <w:rPr>
                <w:rFonts w:hint="eastAsia" w:ascii="宋体" w:hAnsi="宋体" w:cs="宋体"/>
                <w:b/>
                <w:bCs/>
                <w:color w:val="000000"/>
                <w:sz w:val="24"/>
                <w:szCs w:val="24"/>
              </w:rPr>
            </w:pPr>
            <w:r>
              <w:rPr>
                <w:rFonts w:hint="eastAsia" w:ascii="宋体" w:hAnsi="宋体" w:cs="宋体"/>
                <w:b/>
                <w:bCs/>
                <w:color w:val="000000"/>
                <w:sz w:val="24"/>
                <w:szCs w:val="24"/>
              </w:rPr>
              <w:t xml:space="preserve">评分标准</w:t>
            </w:r>
            <w:r/>
          </w:p>
        </w:tc>
      </w:tr>
      <w:tr>
        <w:trPr>
          <w:jc w:val="center"/>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投标报价</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10</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p>
        </w:tc>
      </w:tr>
      <w:tr>
        <w:trPr>
          <w:jc w:val="center"/>
          <w:trHeight w:val="90"/>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2.1技术指标响应</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31</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投标人对招标文件第四章采购需求中“二、技术要求” 的响应进行评分，总分31分。其中：标注 “▲”的参数每有一项不满足的，扣1分（共计19项）；其余未标注项的参数，不满足要求的，每一项扣0.25分（共计48项），扣完本项得分为止。</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注：①以上“技术要求”响应情况均须在投标文件《技术要求响应及偏离表》中表述清楚，如表述不清或未按要求提供相关证明材料的，则按不满足（负偏离）处理。</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②《技术要求响应及偏离表》中的内容须是投标人投标产品的真实反映，投标人在投标时不得虚假响应和虚假承诺，否则将取消其投标资格；已中标的，将取消其中标资格，终止合同，对采购人造成损失的赔偿相应损失。</w:t>
            </w:r>
            <w:r/>
          </w:p>
        </w:tc>
      </w:tr>
      <w:tr>
        <w:trPr>
          <w:jc w:val="center"/>
          <w:trHeight w:val="90"/>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2.2 软件开发方案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”中“软件开发方案要求”要求的响应情况进行评审</w:t>
            </w:r>
            <w:r/>
          </w:p>
          <w:p>
            <w:pPr>
              <w:numPr>
                <w:ilvl w:val="0"/>
                <w:numId w:val="9"/>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投标文件未符合“软件开发方案要求”中全部条款要求的，视为不符合招标文件，本项得0分。</w:t>
            </w:r>
            <w:r/>
          </w:p>
          <w:p>
            <w:pPr>
              <w:numPr>
                <w:ilvl w:val="0"/>
                <w:numId w:val="9"/>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投标文件符合“软件开发方案要求”中全部条款要求的，视为符合招标文件，本项得2分。</w:t>
            </w:r>
            <w:r/>
          </w:p>
          <w:p>
            <w:pPr>
              <w:numPr>
                <w:ilvl w:val="0"/>
                <w:numId w:val="9"/>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经评委认定，投标文件对“软件开发方案要求”中“系统架构设计”“</w:t>
            </w:r>
            <w:r>
              <w:rPr>
                <w:rFonts w:hint="eastAsia" w:ascii="宋体" w:hAnsi="宋体"/>
                <w:color w:val="000000"/>
                <w:sz w:val="24"/>
                <w:szCs w:val="24"/>
              </w:rPr>
              <w:t xml:space="preserve">开发模式</w:t>
            </w:r>
            <w:r>
              <w:rPr>
                <w:rFonts w:hint="eastAsia" w:ascii="宋体" w:hAnsi="宋体" w:cs="宋体"/>
                <w:color w:val="000000"/>
                <w:sz w:val="22"/>
                <w:szCs w:val="22"/>
              </w:rPr>
              <w:t xml:space="preserve">”“</w:t>
            </w:r>
            <w:r>
              <w:rPr>
                <w:rFonts w:hint="eastAsia" w:ascii="宋体" w:hAnsi="宋体"/>
                <w:color w:val="000000"/>
                <w:sz w:val="24"/>
                <w:szCs w:val="24"/>
              </w:rPr>
              <w:t xml:space="preserve">功能实现</w:t>
            </w:r>
            <w:r>
              <w:rPr>
                <w:rFonts w:hint="eastAsia" w:ascii="宋体" w:hAnsi="宋体" w:cs="宋体"/>
                <w:color w:val="000000"/>
                <w:sz w:val="22"/>
                <w:szCs w:val="22"/>
              </w:rPr>
              <w:t xml:space="preserve">”三项要求的响应内容全部优于招标文件要求的(前提是投标文件对“设计方案”中除“软件开发方案要求”中“系统架构设计”“开发模式”“功能实现”外其他要求响应内容符合招标文件要求，本项得4分。</w:t>
            </w:r>
            <w:r/>
          </w:p>
        </w:tc>
      </w:tr>
      <w:tr>
        <w:trPr>
          <w:jc w:val="center"/>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2.3项目进度管理方案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”中“项目进度管理方案要求”要求的响应情况进行评审</w:t>
            </w:r>
            <w:r/>
          </w:p>
          <w:p>
            <w:pPr>
              <w:numPr>
                <w:ilvl w:val="0"/>
                <w:numId w:val="10"/>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投标文件未符合“项目进度管理方案要求”中全部条款要求的，视为不符合招标文件，本项得0分。</w:t>
            </w:r>
            <w:r/>
          </w:p>
          <w:p>
            <w:pPr>
              <w:numPr>
                <w:ilvl w:val="0"/>
                <w:numId w:val="10"/>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投标文件符合“项目进度管理方案要求”中全部条款要求的，视为符合招标文件，本项得2分。</w:t>
            </w:r>
            <w:r/>
          </w:p>
          <w:p>
            <w:pPr>
              <w:numPr>
                <w:ilvl w:val="0"/>
                <w:numId w:val="10"/>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项目进度管理方案要求”中“进度安排”“进度管理”“测试”三项要求的响应内容全部优于招标文件要求的(前提是投标文件对“项目进度管理方案要求”中“进度安排”“进度管理”“测试”外其他要求响应内容符合招标文件要求，本项得4分。</w:t>
            </w:r>
            <w:r/>
          </w:p>
        </w:tc>
      </w:tr>
      <w:tr>
        <w:trPr>
          <w:jc w:val="center"/>
          <w:trHeight w:val="867"/>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2.4项目质量管理方案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”中“项目质量管理方案要求”要求的响应情况进行评审</w:t>
            </w:r>
            <w:r/>
          </w:p>
          <w:p>
            <w:pPr>
              <w:numPr>
                <w:ilvl w:val="0"/>
                <w:numId w:val="11"/>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投标文件未符合“项目质量管理方案要求”中全部条款要求的，视为不符合招标文件，本项得0分。</w:t>
            </w:r>
            <w:r/>
          </w:p>
          <w:p>
            <w:pPr>
              <w:numPr>
                <w:ilvl w:val="0"/>
                <w:numId w:val="11"/>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投标文件符合“项目质量管理方案要求”中全部条款要求的，视为符合招标文件，本项得2分。</w:t>
            </w:r>
            <w:r/>
          </w:p>
          <w:p>
            <w:pPr>
              <w:numPr>
                <w:ilvl w:val="0"/>
                <w:numId w:val="11"/>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项目质量管理方案要求”中“质量标准”“质量管理体系”“风险管理”三项要求的响应内容全部优于招标文件要求的(前提是投标文件对“项目质量管理方案要求”中“质量标准”“质量管理体系”“风险管理”外其他要求响应内容符合招标文件要求，本项得4分。</w:t>
            </w:r>
            <w:r/>
          </w:p>
        </w:tc>
      </w:tr>
      <w:tr>
        <w:trPr>
          <w:jc w:val="center"/>
          <w:trHeight w:val="482"/>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2.5项目应急和安全服务方案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”中“项目应急和安全服务方案要求”要求的响应情况进行评审</w:t>
            </w:r>
            <w:r/>
          </w:p>
          <w:p>
            <w:pPr>
              <w:numPr>
                <w:ilvl w:val="0"/>
                <w:numId w:val="12"/>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投标文件未符合“项目应急和安全服务方案要求”中全部条款要求的，视为不符合招标文件，本项得0分。</w:t>
            </w:r>
            <w:r/>
          </w:p>
          <w:p>
            <w:pPr>
              <w:numPr>
                <w:ilvl w:val="0"/>
                <w:numId w:val="12"/>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投标文件符合“项目应急和安全服务方案要求”中全部条款要求的，视为符合招标文件，本项得2分。</w:t>
            </w:r>
            <w:r/>
          </w:p>
          <w:p>
            <w:pPr>
              <w:numPr>
                <w:ilvl w:val="0"/>
                <w:numId w:val="12"/>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项目应急和安全服务方案要求”中“应急管理方案”“系统安全保障方案”两项要求的响应内容全部优于招标文件要求的(前提是投标文件对“项目应急和安全服务方案要求”中“应急管理方案”“系统安全保障方案”外其他要求响应内容符合招标文件要求，本项得4分。</w:t>
            </w:r>
            <w:r/>
          </w:p>
        </w:tc>
      </w:tr>
      <w:tr>
        <w:trPr>
          <w:jc w:val="center"/>
          <w:trHeight w:val="482"/>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2.6项目培训方案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”中“项目培训方案要求”要求的响应情况进行评审</w:t>
            </w:r>
            <w:r/>
          </w:p>
          <w:p>
            <w:pPr>
              <w:numPr>
                <w:ilvl w:val="0"/>
                <w:numId w:val="13"/>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投标文件未符合“项目培训方案要求”中全部条款要求的，视为不符合招标文件，本项得0分。</w:t>
            </w:r>
            <w:r/>
          </w:p>
          <w:p>
            <w:pPr>
              <w:numPr>
                <w:ilvl w:val="0"/>
                <w:numId w:val="13"/>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投标文件符合“项目培训方案要求”中全部条款要求的，视为符合招标文件，本项得2分。</w:t>
            </w:r>
            <w:r/>
          </w:p>
          <w:p>
            <w:pPr>
              <w:numPr>
                <w:ilvl w:val="0"/>
                <w:numId w:val="13"/>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项目培训方案要求”中“培训方案”“培训内容”“培训材料”三项要求的响应内容全部优于招标文件要求的(前提是投标文件对“项目培训方案要求”中“培训方案”“培训内容”“培训材料”外其他要求响应内容符合招标文件要求，本项得4分。</w:t>
            </w:r>
            <w:r/>
          </w:p>
        </w:tc>
      </w:tr>
      <w:tr>
        <w:trPr>
          <w:jc w:val="center"/>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2.7项目售后服务方案</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w:t>
            </w:r>
            <w:r/>
          </w:p>
        </w:tc>
        <w:tc>
          <w:tcPr>
            <w:tcW w:w="7318" w:type="dxa"/>
            <w:vAlign w:val="center"/>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评委根据投标文件对招标文件第三章“</w:t>
            </w:r>
            <w:r>
              <w:rPr>
                <w:rFonts w:hint="eastAsia" w:ascii="宋体" w:hAnsi="宋体"/>
                <w:color w:val="000000"/>
                <w:sz w:val="24"/>
                <w:szCs w:val="24"/>
              </w:rPr>
              <w:t xml:space="preserve">项目升级与实施要求</w:t>
            </w:r>
            <w:r>
              <w:rPr>
                <w:rFonts w:hint="eastAsia" w:ascii="宋体" w:hAnsi="宋体" w:cs="宋体"/>
                <w:color w:val="000000"/>
                <w:sz w:val="22"/>
                <w:szCs w:val="22"/>
              </w:rPr>
              <w:t xml:space="preserve">”中“项目售后服务方案要求”要求的响应情况进行评审</w:t>
            </w:r>
            <w:r/>
          </w:p>
          <w:p>
            <w:pPr>
              <w:numPr>
                <w:ilvl w:val="0"/>
                <w:numId w:val="14"/>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投标文件未符合“项目售后服务方案要求”中全部条款要求的，视为不符合招标文件，本项得0分。</w:t>
            </w:r>
            <w:r/>
          </w:p>
          <w:p>
            <w:pPr>
              <w:numPr>
                <w:ilvl w:val="0"/>
                <w:numId w:val="14"/>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投标文件符合“项目售后服务方案要求”中全部条款要求的，视为符合招标文件，本项得2分。</w:t>
            </w:r>
            <w:r/>
          </w:p>
          <w:p>
            <w:pPr>
              <w:numPr>
                <w:ilvl w:val="0"/>
                <w:numId w:val="14"/>
              </w:num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经评委认定，投标文件对“项目售后服务方案要求”中“免费维保期”“免费维保期后的维保费用”两项要求的响应内容全部优于招标文件要求的(前提是投标文件对“项目售后服务方案要求”中“免费维保期”“免费维保期后的维保费用”外其他要求响应内容符合招标文件要求，本项得4分。</w:t>
            </w:r>
            <w:r/>
          </w:p>
        </w:tc>
      </w:tr>
      <w:tr>
        <w:trPr>
          <w:jc w:val="center"/>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bookmarkStart w:id="194" w:name="_Toc169700853"/>
            <w:r>
              <w:rPr>
                <w:rFonts w:hint="eastAsia" w:ascii="宋体" w:hAnsi="宋体" w:cs="宋体"/>
                <w:b/>
                <w:bCs/>
                <w:color w:val="000000"/>
                <w:sz w:val="22"/>
                <w:szCs w:val="22"/>
              </w:rPr>
              <w:t xml:space="preserve">2.8视频演示</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10</w:t>
            </w:r>
            <w:r/>
          </w:p>
        </w:tc>
        <w:tc>
          <w:tcPr>
            <w:tcW w:w="7318" w:type="dxa"/>
            <w:vAlign w:val="center"/>
            <w:textDirection w:val="lrTb"/>
            <w:noWrap w:val="false"/>
          </w:tcPr>
          <w:p>
            <w:pPr>
              <w:ind w:firstLine="440"/>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每项功能能够完全满足招标要求得2分，不能完全满足则不得分，本项最高得10分。使用真实系统或系统原型演示的最高可得满分，使用ppt、动画等其他形式演示的得分乘以0.5。</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演示内容如下：</w:t>
            </w:r>
            <w:bookmarkEnd w:id="194"/>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1）可视化方案设计：支持拖拽式、时间轴式的方式配置试验全流程（筛选期、入住期、试验期、随访期），管理员可直接在时间轴上可灵活添加各类事件（如：入住、禁食禁水、采样、给药、生命体征、影像学检查、问卷调查等），并为每个事件配置复杂规则如：时间窗规则： 相对时间（如给药后±5分钟）、绝对时间等；依赖关系： 如“采血”必须依赖于“给药”完成后才能开始等；执行规则： 是否需双人核对、是否需要强制录入原因才能偏离等；自动计算： 根据给药时间自动计算并生成后续所有采血/检查的计划时间点等。</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2）系统支持通过接口获取到HIS系统中的医嘱项目字典，包括检验检查等项目名称、编码、费用等信息；支持根据试验方案预设医嘱套餐（如“D1访视套餐”），包含所有必需项目；支持套餐与访视计划自动关联，减少重复操作；支持与医院现有HIS业务系统集成并与医院现有HIS业务系统联动，实现研究者在线开具医嘱，包括药品、检查、检验、护理等项目；支持医嘱停止、作废、变更流程，需记录变更原因、操作人、时间等信息；支持医嘱版本历史查询，任何变更均记录审计追踪。</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具备高度灵活的公式自定义功能，涵盖固定剂量、体重、体表面积等核心公式类型，可依据不同试验方案的个性化要求，自由组合参数、设定运算逻辑，同时，支持对计算结果的保留小数位数进行精准定义；内置合理用药规则库，自动审查药物相互作用、禁忌症、超剂量等；支持审查结果提示或强拦截，确保用药安全。</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4）系统建立受试者筛选专属电子研究病历，完整记录受试者入组前全部基线信息，作为入组判定唯一溯源依据,内置标准化筛选表单，支持模板自定义、字段配置、逻辑校验：筛选访视记录表、基线信息表、入排核查表, 生命体征记录表、筛选检查汇总表,既往用药及禁忌筛查表、筛选失败记录表,支持检查数据自动对接LIS/设备系统回填，减少人工录入；系统提供受试者入组后自动启用试验期专项研究电子病历，覆盖从给药至试验结束全流程，聚焦安全监测、试验操作、数据溯源,内置试验期操作表单，支持访视周期自动触发、定时填报、超时预警。</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5）支持安全事件自动识别与提示，当研究者录入AE时，系统能根据其严重程度、结果（如导致死亡、危及生命、需住院治疗等）等信息，自动提示该事件可能为严重不良事件（SAE），需启动正式报告流程；按照GCP和NMPA的要求，支持研究者、临床研究协调员（CRC）、研究护士在线填写SAE报告表，并按照NMPA模板生成SAE上报文档</w:t>
            </w:r>
            <w:r/>
          </w:p>
        </w:tc>
      </w:tr>
      <w:tr>
        <w:trPr>
          <w:jc w:val="center"/>
          <w:trHeight w:val="983"/>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bookmarkStart w:id="195" w:name="_Hlk216438166"/>
            <w:r>
              <w:rPr>
                <w:rFonts w:hint="eastAsia" w:ascii="宋体" w:hAnsi="宋体" w:cs="宋体"/>
                <w:b/>
                <w:bCs/>
                <w:color w:val="000000"/>
                <w:sz w:val="22"/>
                <w:szCs w:val="22"/>
              </w:rPr>
              <w:t xml:space="preserve">3.1人员配备</w:t>
            </w:r>
            <w:r/>
          </w:p>
        </w:tc>
        <w:tc>
          <w:tcPr>
            <w:tcW w:w="829" w:type="dxa"/>
            <w:vAlign w:val="center"/>
            <w:textDirection w:val="lrTb"/>
            <w:noWrap w:val="false"/>
          </w:tcPr>
          <w:p>
            <w:pPr>
              <w:jc w:val="center"/>
              <w:spacing w:after="160" w:line="278" w:lineRule="auto"/>
              <w:rPr>
                <w:rFonts w:hint="eastAsia" w:ascii="宋体" w:hAnsi="宋体" w:eastAsia="宋体" w:cs="宋体"/>
                <w:color w:val="000000"/>
                <w:sz w:val="22"/>
                <w:szCs w:val="22"/>
                <w:lang w:eastAsia="zh-CN"/>
              </w:rPr>
            </w:pP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1</w:t>
            </w:r>
            <w:r/>
          </w:p>
        </w:tc>
        <w:tc>
          <w:tcPr>
            <w:tcW w:w="7318" w:type="dxa"/>
            <w:vAlign w:val="top"/>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3.1.1项目经理证书。</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项目经理具备国家药品监督管理局颁布的GCP</w:t>
            </w:r>
            <w:r>
              <w:rPr>
                <w:rFonts w:hint="eastAsia" w:ascii="宋体" w:hAnsi="宋体" w:cs="宋体"/>
                <w:color w:val="000000"/>
                <w:sz w:val="22"/>
                <w:szCs w:val="22"/>
                <w:lang w:val="en-US" w:eastAsia="zh-CN"/>
              </w:rPr>
              <w:t xml:space="preserve">培训</w:t>
            </w:r>
            <w:r>
              <w:rPr>
                <w:rFonts w:hint="eastAsia" w:ascii="宋体" w:hAnsi="宋体" w:cs="宋体"/>
                <w:color w:val="000000"/>
                <w:sz w:val="22"/>
                <w:szCs w:val="22"/>
              </w:rPr>
              <w:t xml:space="preserve">证书的得2分。本项最高得</w:t>
            </w:r>
            <w:r>
              <w:rPr>
                <w:rFonts w:hint="eastAsia" w:ascii="宋体" w:hAnsi="宋体" w:cs="宋体"/>
                <w:color w:val="000000"/>
                <w:sz w:val="22"/>
                <w:szCs w:val="22"/>
                <w:lang w:val="en-US" w:eastAsia="zh-CN"/>
              </w:rPr>
              <w:t xml:space="preserve">2</w:t>
            </w:r>
            <w:r>
              <w:rPr>
                <w:rFonts w:hint="eastAsia" w:ascii="宋体" w:hAnsi="宋体" w:cs="宋体"/>
                <w:color w:val="000000"/>
                <w:sz w:val="22"/>
                <w:szCs w:val="22"/>
              </w:rPr>
              <w:t xml:space="preserve">分（提供证书扫描件或复印件并加盖投标人公章。）</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3.1.2项目经理经验。</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项目经理具有相关系统建设经验的，每提供一份相关经验证明文件得1分，本项最高得3分。（注：本项须提供①项目经理曾参与建设的项目合同或项目验收报告，合同或验收报告需体现项目经理姓名，相关材料加盖投标人公章。②近半年来任意一个月投标人为项目经理缴纳社保的证明文件并加盖投标人公章。上述两项需同时满足，否则不得分。）</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3.1.3项目实施人员</w:t>
            </w:r>
            <w:r/>
          </w:p>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项目组实施人员（项目经理除外）专业素质、技术能力、专业分布、经验等情况进行评价。项目实施人员中每有1人具有国家药品监督管理局颁布的GCP</w:t>
            </w:r>
            <w:r>
              <w:rPr>
                <w:rFonts w:hint="eastAsia" w:ascii="宋体" w:hAnsi="宋体" w:cs="宋体"/>
                <w:color w:val="000000"/>
                <w:sz w:val="22"/>
                <w:szCs w:val="22"/>
                <w:lang w:val="en-US" w:eastAsia="zh-CN"/>
              </w:rPr>
              <w:t xml:space="preserve">培训</w:t>
            </w:r>
            <w:r>
              <w:rPr>
                <w:rFonts w:hint="eastAsia" w:ascii="宋体" w:hAnsi="宋体" w:cs="宋体"/>
                <w:color w:val="000000"/>
                <w:sz w:val="22"/>
                <w:szCs w:val="22"/>
              </w:rPr>
              <w:t xml:space="preserve">证书得1.5分</w:t>
            </w:r>
            <w:r>
              <w:rPr>
                <w:rFonts w:hint="eastAsia" w:ascii="宋体" w:hAnsi="宋体" w:cs="宋体"/>
                <w:color w:val="000000"/>
                <w:sz w:val="22"/>
                <w:szCs w:val="22"/>
                <w:lang w:eastAsia="zh-CN"/>
              </w:rPr>
              <w:t xml:space="preserve">，本项最高得</w:t>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分。（注：须提供相关证书扫描件或复印件及近半年来任意一个月投标人为实施人员缴纳社保的证明文件，上述材料加盖投标人公章。）</w:t>
            </w:r>
            <w:r/>
          </w:p>
        </w:tc>
      </w:tr>
      <w:tr>
        <w:trPr>
          <w:jc w:val="center"/>
          <w:trHeight w:val="1180"/>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3.2业绩</w:t>
            </w:r>
            <w:r/>
          </w:p>
        </w:tc>
        <w:tc>
          <w:tcPr>
            <w:tcW w:w="829" w:type="dxa"/>
            <w:vAlign w:val="center"/>
            <w:textDirection w:val="lrTb"/>
            <w:noWrap w:val="false"/>
          </w:tcPr>
          <w:p>
            <w:pPr>
              <w:jc w:val="center"/>
              <w:spacing w:after="160" w:line="278" w:lineRule="auto"/>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11</w:t>
            </w:r>
            <w:r/>
          </w:p>
        </w:tc>
        <w:tc>
          <w:tcPr>
            <w:tcW w:w="7318" w:type="dxa"/>
            <w:vAlign w:val="top"/>
            <w:textDirection w:val="lrTb"/>
            <w:noWrap w:val="false"/>
          </w:tcPr>
          <w:p>
            <w:pPr>
              <w:ind w:left="0" w:right="0" w:firstLine="0"/>
              <w:jc w:val="both"/>
              <w:spacing w:before="0" w:after="0"/>
              <w:rPr>
                <w:rFonts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3.3.1供应商或投标产品实现研究病历电子化数据采集并与EDC系统无缝对接的应用项目案例，且通过国家药品监督管理局现场核查的,提供1个得3分，最多3分（提供案例业主出具的证明材料（包含所涉及的申办方研究项目名称）、国家药品监督管理局核查通过网页截图）。</w:t>
            </w:r>
            <w:r/>
          </w:p>
          <w:p>
            <w:pPr>
              <w:ind w:left="0" w:right="0" w:firstLine="0"/>
              <w:jc w:val="both"/>
              <w:spacing w:before="0" w:after="0"/>
              <w:rPr>
                <w:rFonts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3.3.2供应商提供其他自2023年1月1日（含）以来同类业绩案例合同，每一案例得2.5分，最多得5分。</w:t>
            </w:r>
            <w:r/>
          </w:p>
          <w:p>
            <w:pPr>
              <w:ind w:left="0" w:right="0" w:firstLine="0"/>
              <w:jc w:val="both"/>
              <w:spacing w:before="0" w:after="0"/>
              <w:rPr>
                <w:rFonts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3.3.3既往案例具有合法资质的第三方测评机构出具的有效信息安全测评报告、代码审计报告的，每提供一个计1.5分，最高计3分。</w:t>
            </w:r>
            <w:r/>
          </w:p>
          <w:p>
            <w:pPr>
              <w:ind w:left="0" w:right="0" w:firstLine="0"/>
              <w:jc w:val="both"/>
              <w:spacing w:before="0" w:after="0"/>
              <w:rPr>
                <w:rFonts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（注∶须提供合同扫描件或复印件并加盖投标人公章。合同中需体现甲乙双方名称、合同签订时间、甲乙双方章印齐全、合同服务内容，否则不予认可。未提供或未按要求提供材料的均不得分。）</w:t>
            </w:r>
            <w:r/>
          </w:p>
          <w:p>
            <w:pPr>
              <w:ind w:left="0" w:right="0" w:firstLine="0"/>
              <w:jc w:val="both"/>
              <w:spacing w:before="0" w:after="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本项最多得11分。</w:t>
            </w:r>
            <w:r/>
          </w:p>
        </w:tc>
      </w:tr>
      <w:tr>
        <w:trPr>
          <w:jc w:val="center"/>
        </w:trPr>
        <w:tc>
          <w:tcPr>
            <w:tcW w:w="1271" w:type="dxa"/>
            <w:vAlign w:val="center"/>
            <w:textDirection w:val="lrTb"/>
            <w:noWrap w:val="false"/>
          </w:tcPr>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3.3企业能力</w:t>
            </w:r>
            <w:r/>
          </w:p>
        </w:tc>
        <w:tc>
          <w:tcPr>
            <w:tcW w:w="829" w:type="dxa"/>
            <w:vAlign w:val="center"/>
            <w:textDirection w:val="lrTb"/>
            <w:noWrap w:val="false"/>
          </w:tcPr>
          <w:p>
            <w:pPr>
              <w:jc w:val="cente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3</w:t>
            </w:r>
            <w:r/>
          </w:p>
        </w:tc>
        <w:tc>
          <w:tcPr>
            <w:tcW w:w="7318" w:type="dxa"/>
            <w:vAlign w:val="top"/>
            <w:textDirection w:val="lrTb"/>
            <w:noWrap w:val="false"/>
          </w:tcPr>
          <w:p>
            <w:pPr>
              <w:spacing w:after="160" w:line="278" w:lineRule="auto"/>
              <w:rPr>
                <w:rFonts w:hint="eastAsia" w:ascii="宋体" w:hAnsi="宋体" w:cs="宋体"/>
                <w:color w:val="000000"/>
                <w:sz w:val="22"/>
                <w:szCs w:val="22"/>
              </w:rPr>
            </w:pPr>
            <w:r>
              <w:rPr>
                <w:rFonts w:hint="eastAsia" w:ascii="宋体" w:hAnsi="宋体" w:cs="宋体"/>
                <w:color w:val="000000"/>
                <w:sz w:val="22"/>
                <w:szCs w:val="22"/>
              </w:rPr>
              <w:t xml:space="preserve">投标人每提供一个以下关键词（包括：临床研究、 医患互动、 电子化患者报告等）的计算机软件著作权证书得1分，最高分3分。</w:t>
            </w:r>
            <w:r/>
          </w:p>
          <w:p>
            <w:pPr>
              <w:spacing w:after="160" w:line="278" w:lineRule="auto"/>
              <w:rPr>
                <w:rFonts w:hint="eastAsia" w:ascii="宋体" w:hAnsi="宋体" w:cs="宋体"/>
                <w:b/>
                <w:bCs/>
                <w:color w:val="000000"/>
                <w:sz w:val="22"/>
                <w:szCs w:val="22"/>
              </w:rPr>
            </w:pPr>
            <w:r>
              <w:rPr>
                <w:rFonts w:hint="eastAsia" w:ascii="宋体" w:hAnsi="宋体" w:cs="宋体"/>
                <w:b/>
                <w:bCs/>
                <w:color w:val="000000"/>
                <w:sz w:val="22"/>
                <w:szCs w:val="22"/>
              </w:rPr>
              <w:t xml:space="preserve">注：须提供证书扫描件或复印件并加盖投标人公章。如响应文件中提供的著作权名称表述与评审标准描述的关键字段不一致，能够在响应文件中证明供应商拥有的著作权具有相同或相似功能和效果的，视同符合要求。</w:t>
            </w:r>
            <w:bookmarkEnd w:id="195"/>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9"/>
        <w:rPr>
          <w:rFonts w:ascii="黑体" w:eastAsia="黑体"/>
          <w:bCs/>
          <w:sz w:val="44"/>
        </w:rPr>
      </w:pPr>
      <w:r>
        <w:rPr>
          <w:rFonts w:ascii="黑体" w:eastAsia="黑体"/>
          <w:bCs/>
          <w:sz w:val="44"/>
        </w:rPr>
      </w:r>
      <w:r/>
    </w:p>
    <w:p>
      <w:pPr>
        <w:pStyle w:val="909"/>
        <w:rPr>
          <w:rFonts w:ascii="黑体" w:eastAsia="黑体"/>
          <w:bCs/>
          <w:sz w:val="44"/>
        </w:rPr>
      </w:pPr>
      <w:r>
        <w:rPr>
          <w:rFonts w:ascii="黑体" w:eastAsia="黑体"/>
          <w:bCs/>
          <w:sz w:val="44"/>
        </w:rPr>
      </w:r>
      <w:r/>
    </w:p>
    <w:p>
      <w:pPr>
        <w:pStyle w:val="909"/>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jc w:val="center"/>
        <w:rPr>
          <w:rFonts w:hint="eastAsia" w:ascii="宋体" w:hAnsi="宋体"/>
          <w:b/>
          <w:sz w:val="72"/>
        </w:rPr>
      </w:pPr>
      <w:r/>
      <w:bookmarkStart w:id="196" w:name="_Hlt26671244"/>
      <w:r/>
      <w:bookmarkEnd w:id="196"/>
      <w:r/>
      <w:bookmarkStart w:id="197" w:name="_Hlt26955039"/>
      <w:r/>
      <w:bookmarkEnd w:id="197"/>
      <w:r/>
      <w:bookmarkStart w:id="198" w:name="_Toc120614282"/>
      <w:r/>
      <w:bookmarkStart w:id="199" w:name="_Toc26554094"/>
      <w:r/>
      <w:bookmarkStart w:id="200"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highlight w:val="yellow"/>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p>
    <w:p>
      <w:pPr>
        <w:ind w:firstLine="480"/>
        <w:spacing w:line="400" w:lineRule="exact"/>
        <w:rPr>
          <w:rFonts w:hint="eastAsia" w:ascii="宋体" w:hAnsi="宋体"/>
          <w:sz w:val="24"/>
        </w:rPr>
      </w:pPr>
      <w:r>
        <w:rPr>
          <w:rFonts w:hint="eastAsia"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采购编号：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73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2"/>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rPr>
          <w:rFonts w:hint="eastAsia" w:ascii="宋体" w:hAnsi="宋体"/>
          <w:b/>
          <w:sz w:val="24"/>
          <w:szCs w:val="24"/>
        </w:rPr>
      </w:pPr>
      <w:r>
        <w:rPr>
          <w:rFonts w:hint="eastAsia" w:ascii="宋体" w:hAnsi="宋体"/>
          <w:b/>
          <w:sz w:val="24"/>
          <w:szCs w:val="24"/>
        </w:rPr>
        <w:t xml:space="preserve">附件2 投标分项报价表（采购包号：XX）</w:t>
      </w:r>
      <w:r/>
    </w:p>
    <w:tbl>
      <w:tblPr>
        <w:tblStyle w:val="737"/>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3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4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24" w:type="dxa"/>
            <w:vAlign w:val="center"/>
            <w:textDirection w:val="lrTb"/>
            <w:noWrap w:val="false"/>
          </w:tcPr>
          <w:p>
            <w:pP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分项服务名称/货物名称</w:t>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制造商名称</w:t>
            </w:r>
            <w:r/>
          </w:p>
        </w:tc>
        <w:tc>
          <w:tcPr>
            <w:tcW w:w="104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交付期/服务期</w:t>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w:t>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highlight w:val="cyan"/>
              </w:rPr>
            </w:pPr>
            <w:r>
              <w:rPr>
                <w:rFonts w:hint="eastAsia" w:ascii="宋体" w:hAnsi="宋体" w:eastAsia="宋体" w:cs="宋体"/>
                <w:color w:val="000000"/>
                <w:sz w:val="24"/>
                <w:szCs w:val="24"/>
                <w:highlight w:val="cyan"/>
              </w:rPr>
            </w:r>
            <w:r/>
          </w:p>
        </w:tc>
        <w:tc>
          <w:tcPr>
            <w:tcW w:w="1040"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24"/>
        </w:trPr>
        <w:tc>
          <w:tcPr>
            <w:tcW w:w="7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3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7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3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0"/>
        </w:trPr>
        <w:tc>
          <w:tcPr>
            <w:tcW w:w="7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324"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846"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8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0" w:type="dxa"/>
            <w:vAlign w:val="top"/>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20"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61" w:type="dxa"/>
            <w:vAlign w:val="center"/>
            <w:textDirection w:val="lrTb"/>
            <w:noWrap w:val="false"/>
          </w:tcPr>
          <w:p>
            <w:pPr>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34"/>
        </w:trPr>
        <w:tc>
          <w:tcPr>
            <w:gridSpan w:val="10"/>
            <w:tcW w:w="9861" w:type="dxa"/>
            <w:vAlign w:val="top"/>
            <w:textDirection w:val="lrTb"/>
            <w:noWrap w:val="false"/>
          </w:tcPr>
          <w:p>
            <w:pPr>
              <w:spacing w:line="0" w:lineRule="atLeas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投标总报价（人民币：元）</w:t>
            </w:r>
            <w:r>
              <w:rPr>
                <w:rFonts w:hint="eastAsia" w:ascii="宋体" w:hAnsi="宋体" w:eastAsia="宋体" w:cs="宋体"/>
                <w:color w:val="000000"/>
                <w:sz w:val="24"/>
                <w:szCs w:val="24"/>
                <w:u w:val="single"/>
              </w:rPr>
              <w:t xml:space="preserve">                             </w:t>
            </w:r>
            <w:r/>
          </w:p>
        </w:tc>
      </w:tr>
      <w:tr>
        <w:trPr>
          <w:cantSplit/>
          <w:trHeight w:val="757"/>
        </w:trPr>
        <w:tc>
          <w:tcPr>
            <w:gridSpan w:val="10"/>
            <w:tcW w:w="9861" w:type="dxa"/>
            <w:vAlign w:val="top"/>
            <w:textDirection w:val="lrTb"/>
            <w:noWrap w:val="false"/>
          </w:tcPr>
          <w:p>
            <w:pPr>
              <w:pStyle w:val="977"/>
              <w:spacing w:before="0" w:beforeAutospacing="0" w:after="0" w:afterAutospacing="0"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本采购包中提供的符合本国产品标准的货物成本之和占该采购包全部成本之和的比例为</w:t>
            </w:r>
            <w:r>
              <w:rPr>
                <w:rFonts w:hint="eastAsia" w:ascii="宋体" w:hAnsi="宋体" w:eastAsia="宋体" w:cs="宋体"/>
                <w:color w:val="000000"/>
                <w:sz w:val="24"/>
                <w:szCs w:val="24"/>
                <w:u w:val="single"/>
              </w:rPr>
              <w:t xml:space="preserve">XX</w:t>
            </w:r>
            <w:r>
              <w:rPr>
                <w:rFonts w:hint="eastAsia" w:ascii="宋体" w:hAnsi="宋体" w:eastAsia="宋体" w:cs="宋体"/>
                <w:color w:val="000000"/>
                <w:sz w:val="24"/>
                <w:szCs w:val="24"/>
              </w:rPr>
              <w:t xml:space="preserve">%。</w:t>
            </w:r>
            <w:r/>
          </w:p>
        </w:tc>
      </w:tr>
    </w:tbl>
    <w:p>
      <w:pPr>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2.“投标分项报价表”中“投标总报价”数额应当与“开标一览表”中“投标总报价”数额一致。</w:t>
      </w:r>
      <w:r/>
    </w:p>
    <w:p>
      <w:pPr>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3.分项服务不需填写品牌、规格型号、制造商、产地。</w:t>
      </w:r>
      <w:r/>
    </w:p>
    <w:p>
      <w:pPr>
        <w:ind w:firstLine="48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ind w:firstLine="482"/>
        <w:spacing w:line="560" w:lineRule="exact"/>
      </w:pPr>
      <w:r>
        <w:rPr>
          <w:rFonts w:hint="eastAsia" w:ascii="宋体" w:hAnsi="宋体" w:eastAsia="宋体" w:cs="宋体"/>
          <w:color w:val="000000"/>
          <w:sz w:val="24"/>
          <w:szCs w:val="24"/>
        </w:rPr>
        <w:t xml:space="preserve">5.项目经办人可以根据项目实际需要对表格结构进行调整。</w:t>
      </w:r>
      <w:r/>
    </w:p>
    <w:p>
      <w:pPr>
        <w:spacing w:line="0" w:lineRule="atLeast"/>
        <w:rPr>
          <w:rFonts w:hint="eastAsia" w:ascii="宋体" w:hAnsi="宋体"/>
          <w:sz w:val="24"/>
          <w:szCs w:val="24"/>
        </w:rPr>
      </w:pPr>
      <w:r>
        <w:rPr>
          <w:rFonts w:hint="eastAsia"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7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737"/>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hint="eastAsia"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9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9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2"/>
        <w:ind w:left="420"/>
        <w:spacing w:before="0" w:after="0" w:line="420" w:lineRule="exact"/>
        <w:rPr>
          <w:rFonts w:hint="eastAsia" w:ascii="宋体" w:hAnsi="宋体"/>
          <w:szCs w:val="21"/>
        </w:rPr>
      </w:pPr>
      <w:r>
        <w:rPr>
          <w:rFonts w:hint="eastAsia" w:ascii="宋体" w:hAnsi="宋体"/>
          <w:szCs w:val="21"/>
        </w:rPr>
        <w:t xml:space="preserve">地          址：</w:t>
      </w:r>
      <w:r/>
    </w:p>
    <w:p>
      <w:pPr>
        <w:pStyle w:val="992"/>
        <w:ind w:left="420"/>
        <w:spacing w:before="0" w:after="0" w:line="420" w:lineRule="exact"/>
        <w:rPr>
          <w:rFonts w:hint="eastAsia" w:ascii="宋体" w:hAnsi="宋体"/>
          <w:szCs w:val="21"/>
        </w:rPr>
      </w:pPr>
      <w:r>
        <w:rPr>
          <w:rFonts w:hint="eastAsia" w:ascii="宋体" w:hAnsi="宋体"/>
          <w:szCs w:val="21"/>
        </w:rPr>
        <w:t xml:space="preserve">邮          编：</w:t>
      </w:r>
      <w:r/>
    </w:p>
    <w:p>
      <w:pPr>
        <w:pStyle w:val="992"/>
        <w:ind w:left="420"/>
        <w:spacing w:before="0" w:after="0" w:line="420" w:lineRule="exact"/>
        <w:rPr>
          <w:rFonts w:hint="eastAsia" w:ascii="宋体" w:hAnsi="宋体"/>
          <w:szCs w:val="21"/>
        </w:rPr>
      </w:pPr>
      <w:r>
        <w:rPr>
          <w:rFonts w:hint="eastAsia" w:ascii="宋体" w:hAnsi="宋体"/>
          <w:szCs w:val="21"/>
        </w:rPr>
        <w:t xml:space="preserve">电          话：</w:t>
      </w:r>
      <w:r/>
    </w:p>
    <w:p>
      <w:pPr>
        <w:pStyle w:val="992"/>
        <w:ind w:left="420"/>
        <w:spacing w:before="0" w:after="0" w:line="420" w:lineRule="exact"/>
        <w:rPr>
          <w:rFonts w:hint="eastAsia" w:ascii="宋体" w:hAnsi="宋体"/>
          <w:szCs w:val="21"/>
        </w:rPr>
      </w:pPr>
      <w:r>
        <w:rPr>
          <w:rFonts w:hint="eastAsia" w:ascii="宋体" w:hAnsi="宋体"/>
          <w:szCs w:val="21"/>
        </w:rPr>
        <w:t xml:space="preserve">传          真：</w:t>
      </w:r>
      <w:r/>
    </w:p>
    <w:p>
      <w:pPr>
        <w:pStyle w:val="99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2"/>
        <w:ind w:left="420"/>
        <w:spacing w:before="0" w:after="0" w:line="420" w:lineRule="exact"/>
        <w:rPr>
          <w:rFonts w:hint="eastAsia" w:ascii="宋体" w:hAnsi="宋体"/>
          <w:szCs w:val="21"/>
        </w:rPr>
      </w:pPr>
      <w:r>
        <w:rPr>
          <w:rFonts w:hint="eastAsia" w:ascii="宋体" w:hAnsi="宋体"/>
          <w:szCs w:val="21"/>
        </w:rPr>
        <w:t xml:space="preserve">账          号： </w:t>
      </w:r>
      <w:r/>
    </w:p>
    <w:p>
      <w:pPr>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99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p>
    <w:p>
      <w:pPr>
        <w:pStyle w:val="99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198"/>
      <w:r/>
      <w:bookmarkEnd w:id="199"/>
      <w:r/>
      <w:bookmarkEnd w:id="200"/>
      <w:r/>
      <w:r/>
    </w:p>
    <w:p>
      <w:pPr>
        <w:spacing w:line="460" w:lineRule="exact"/>
        <w:rPr>
          <w:rFonts w:hint="eastAsia" w:ascii="黑体" w:hAnsi="黑体" w:eastAsia="黑体"/>
          <w:b/>
          <w:sz w:val="32"/>
          <w:szCs w:val="32"/>
        </w:rPr>
      </w:pPr>
      <w:r/>
      <w:bookmarkStart w:id="201" w:name="_Toc120614284"/>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737"/>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p>
    <w:p>
      <w:pPr>
        <w:pStyle w:val="977"/>
        <w:ind w:firstLine="480"/>
        <w:spacing w:before="0" w:beforeAutospacing="0" w:after="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w:t>
      </w:r>
      <w:r>
        <w:rPr>
          <w:rStyle w:val="932"/>
          <w:rFonts w:hint="eastAsia" w:ascii="宋体" w:hAnsi="宋体" w:eastAsia="宋体" w:cs="宋体"/>
          <w:color w:val="000000"/>
          <w:sz w:val="24"/>
          <w:szCs w:val="24"/>
          <w:shd w:val="clear" w:color="auto" w:fill="auto"/>
        </w:rPr>
        <w:t xml:space="preserve">（产品名称1）</w:t>
      </w:r>
      <w:r>
        <w:rPr>
          <w:rStyle w:val="932"/>
          <w:rFonts w:hint="eastAsia" w:ascii="宋体" w:hAnsi="宋体" w:eastAsia="宋体" w:cs="宋体"/>
          <w:color w:val="000000"/>
          <w:sz w:val="24"/>
          <w:szCs w:val="24"/>
          <w:shd w:val="clear" w:color="auto" w:fill="auto"/>
          <w:vertAlign w:val="superscript"/>
        </w:rPr>
        <w:t xml:space="preserve">1</w:t>
      </w:r>
      <w:r>
        <w:rPr>
          <w:rFonts w:hint="eastAsia" w:ascii="宋体" w:hAnsi="宋体" w:eastAsia="宋体" w:cs="宋体"/>
          <w:color w:val="000000"/>
          <w:sz w:val="24"/>
          <w:szCs w:val="24"/>
          <w:shd w:val="clear" w:color="auto" w:fill="auto"/>
        </w:rPr>
        <w:t xml:space="preserve">，生产厂为</w:t>
      </w:r>
      <w:r>
        <w:rPr>
          <w:rStyle w:val="932"/>
          <w:rFonts w:hint="eastAsia" w:ascii="宋体" w:hAnsi="宋体" w:eastAsia="宋体" w:cs="宋体"/>
          <w:color w:val="000000"/>
          <w:sz w:val="24"/>
          <w:szCs w:val="24"/>
          <w:shd w:val="clear" w:color="auto" w:fill="auto"/>
        </w:rPr>
        <w:t xml:space="preserve">（厂名）</w:t>
      </w:r>
      <w:r>
        <w:rPr>
          <w:rStyle w:val="932"/>
          <w:rFonts w:hint="eastAsia" w:ascii="宋体" w:hAnsi="宋体" w:eastAsia="宋体" w:cs="宋体"/>
          <w:color w:val="000000"/>
          <w:sz w:val="24"/>
          <w:szCs w:val="24"/>
          <w:shd w:val="clear" w:color="auto" w:fill="auto"/>
          <w:vertAlign w:val="superscript"/>
        </w:rPr>
        <w:t xml:space="preserve">2</w:t>
      </w:r>
      <w:r>
        <w:rPr>
          <w:rFonts w:hint="eastAsia" w:ascii="宋体" w:hAnsi="宋体" w:eastAsia="宋体" w:cs="宋体"/>
          <w:color w:val="000000"/>
          <w:sz w:val="24"/>
          <w:szCs w:val="24"/>
          <w:shd w:val="clear" w:color="auto" w:fill="auto"/>
        </w:rPr>
        <w:t xml:space="preserve">，厂址为</w:t>
      </w:r>
      <w:r>
        <w:rPr>
          <w:rStyle w:val="93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Style w:val="932"/>
          <w:rFonts w:hint="eastAsia" w:ascii="宋体" w:hAnsi="宋体" w:eastAsia="宋体" w:cs="宋体"/>
          <w:color w:val="000000"/>
          <w:sz w:val="24"/>
          <w:szCs w:val="24"/>
          <w:shd w:val="clear" w:color="auto" w:fill="auto"/>
          <w:vertAlign w:val="superscript"/>
        </w:rPr>
        <w:t xml:space="preserve">3</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Style w:val="932"/>
          <w:rFonts w:hint="eastAsia" w:ascii="宋体" w:hAnsi="宋体" w:eastAsia="宋体" w:cs="宋体"/>
          <w:color w:val="000000"/>
          <w:sz w:val="24"/>
          <w:szCs w:val="24"/>
          <w:shd w:val="clear" w:color="auto" w:fill="auto"/>
          <w:vertAlign w:val="superscript"/>
        </w:rPr>
        <w:t xml:space="preserve">4</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Style w:val="932"/>
          <w:rFonts w:hint="eastAsia" w:ascii="宋体" w:hAnsi="宋体" w:eastAsia="宋体" w:cs="宋体"/>
          <w:color w:val="000000"/>
          <w:sz w:val="24"/>
          <w:szCs w:val="24"/>
          <w:shd w:val="clear" w:color="auto" w:fill="auto"/>
          <w:vertAlign w:val="superscript"/>
        </w:rPr>
        <w:t xml:space="preserve">5</w:t>
      </w:r>
      <w:r>
        <w:rPr>
          <w:rFonts w:hint="eastAsia" w:ascii="宋体" w:hAnsi="宋体" w:eastAsia="宋体" w:cs="宋体"/>
          <w:color w:val="000000"/>
          <w:sz w:val="24"/>
          <w:szCs w:val="24"/>
          <w:shd w:val="clear" w:color="auto" w:fill="auto"/>
        </w:rPr>
        <w:t xml:space="preserve">在中国境内完成。</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w:t>
      </w:r>
      <w:r>
        <w:rPr>
          <w:rStyle w:val="932"/>
          <w:rFonts w:hint="eastAsia" w:ascii="宋体" w:hAnsi="宋体" w:eastAsia="宋体" w:cs="宋体"/>
          <w:color w:val="000000"/>
          <w:sz w:val="24"/>
          <w:szCs w:val="24"/>
          <w:shd w:val="clear" w:color="auto" w:fill="auto"/>
        </w:rPr>
        <w:t xml:space="preserve">（产品名称2）</w:t>
      </w:r>
      <w:r>
        <w:rPr>
          <w:rFonts w:hint="eastAsia" w:ascii="宋体" w:hAnsi="宋体" w:eastAsia="宋体" w:cs="宋体"/>
          <w:color w:val="000000"/>
          <w:sz w:val="24"/>
          <w:szCs w:val="24"/>
          <w:shd w:val="clear" w:color="auto" w:fill="auto"/>
        </w:rPr>
        <w:t xml:space="preserve">，生产厂为</w:t>
      </w:r>
      <w:r>
        <w:rPr>
          <w:rStyle w:val="932"/>
          <w:rFonts w:hint="eastAsia" w:ascii="宋体" w:hAnsi="宋体" w:eastAsia="宋体" w:cs="宋体"/>
          <w:color w:val="000000"/>
          <w:sz w:val="24"/>
          <w:szCs w:val="24"/>
          <w:shd w:val="clear" w:color="auto" w:fill="auto"/>
        </w:rPr>
        <w:t xml:space="preserve">（厂名）</w:t>
      </w:r>
      <w:r>
        <w:rPr>
          <w:rFonts w:hint="eastAsia" w:ascii="宋体" w:hAnsi="宋体" w:eastAsia="宋体" w:cs="宋体"/>
          <w:color w:val="000000"/>
          <w:sz w:val="24"/>
          <w:szCs w:val="24"/>
          <w:shd w:val="clear" w:color="auto" w:fill="auto"/>
        </w:rPr>
        <w:t xml:space="preserve">，厂址为</w:t>
      </w:r>
      <w:r>
        <w:rPr>
          <w:rStyle w:val="932"/>
          <w:rFonts w:hint="eastAsia" w:ascii="宋体" w:hAnsi="宋体" w:eastAsia="宋体" w:cs="宋体"/>
          <w:color w:val="000000"/>
          <w:sz w:val="24"/>
          <w:szCs w:val="24"/>
          <w:shd w:val="clear" w:color="auto" w:fill="auto"/>
        </w:rPr>
        <w:t xml:space="preserve">（生产厂址）</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的中国境内生产的组件成本占比≥</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在中国境内生产。</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在中国境内完成。</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本公司（单位）对上述声明内容的真实性负责。如有虚假，愿承担相应法律责任。</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r>
      <w:r/>
    </w:p>
    <w:p>
      <w:pPr>
        <w:pStyle w:val="977"/>
        <w:ind w:firstLine="480"/>
        <w:jc w:val="right"/>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公司（单位）名称（加盖CA电子公章）：　        </w:t>
      </w:r>
      <w:r/>
    </w:p>
    <w:p>
      <w:pPr>
        <w:pStyle w:val="977"/>
        <w:ind w:firstLine="480"/>
        <w:jc w:val="center"/>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          日期：___年____月____日        </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__________________</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1.产品如有型号，请在“产品名称”栏一并填写。</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2.生产厂名与厂址应与生产厂营业执照载明的相关信息保持一致。</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3.该产品的中国境内生产的组件成本占比相关要求实施前，“规定比例”栏可不填，下同。</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4.该产品的关键组件要求实施前，“关键组件”栏可不填，下同。</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5.该产品的关键工序要求实施前，“关键工序”栏可不填，下同。</w:t>
      </w:r>
      <w:r/>
    </w:p>
    <w:p>
      <w:pPr>
        <w:pStyle w:val="977"/>
        <w:ind w:firstLine="480"/>
        <w:spacing w:before="30" w:beforeAutospacing="0" w:after="30" w:afterAutospacing="0" w:line="560" w:lineRule="exact"/>
        <w:rPr>
          <w:rFonts w:hint="eastAsia" w:ascii="宋体" w:hAnsi="宋体" w:eastAsia="宋体" w:cs="宋体"/>
          <w:color w:val="000000"/>
          <w:sz w:val="24"/>
          <w:szCs w:val="24"/>
          <w:shd w:val="clear" w:color="auto" w:fill="auto"/>
        </w:rPr>
      </w:pPr>
      <w:r>
        <w:rPr>
          <w:rFonts w:hint="eastAsia" w:ascii="宋体" w:hAnsi="宋体" w:eastAsia="宋体" w:cs="宋体"/>
          <w:color w:val="000000"/>
          <w:sz w:val="24"/>
          <w:szCs w:val="24"/>
          <w:shd w:val="clear" w:color="auto" w:fill="auto"/>
        </w:rPr>
        <w:t xml:space="preserve">6.《声明函》中标注“</w:t>
      </w:r>
      <w:r>
        <w:rPr>
          <w:rFonts w:hint="eastAsia" w:ascii="宋体" w:hAnsi="宋体" w:eastAsia="宋体" w:cs="宋体"/>
          <w:color w:val="000000"/>
          <w:sz w:val="24"/>
          <w:szCs w:val="24"/>
          <w:u w:val="single"/>
          <w:shd w:val="clear" w:color="auto" w:fill="auto"/>
        </w:rPr>
        <w:t xml:space="preserve">  </w:t>
      </w:r>
      <w:r>
        <w:rPr>
          <w:rStyle w:val="932"/>
          <w:rFonts w:hint="eastAsia" w:ascii="宋体" w:hAnsi="宋体" w:eastAsia="宋体" w:cs="宋体"/>
          <w:color w:val="000000"/>
          <w:sz w:val="24"/>
          <w:szCs w:val="24"/>
          <w:shd w:val="clear" w:color="auto" w:fill="auto"/>
        </w:rPr>
        <w:t xml:space="preserve">/  </w:t>
      </w:r>
      <w:r>
        <w:rPr>
          <w:rFonts w:hint="eastAsia" w:ascii="宋体" w:hAnsi="宋体" w:eastAsia="宋体" w:cs="宋体"/>
          <w:color w:val="000000"/>
          <w:sz w:val="24"/>
          <w:szCs w:val="24"/>
          <w:shd w:val="clear" w:color="auto" w:fill="auto"/>
        </w:rPr>
        <w:t xml:space="preserve">”的地方无需填写。</w:t>
      </w:r>
      <w:r/>
    </w:p>
    <w:p>
      <w:pPr>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bookmarkEnd w:id="189"/>
      <w:r/>
      <w:bookmarkEnd w:id="190"/>
      <w:r/>
      <w:bookmarkEnd w:id="201"/>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11"/>
        <w:rPr>
          <w:rFonts w:hint="eastAsia"/>
          <w:sz w:val="24"/>
          <w:szCs w:val="24"/>
        </w:rPr>
      </w:pPr>
      <w:r>
        <w:rPr>
          <w:rFonts w:hint="eastAsia"/>
          <w:sz w:val="24"/>
          <w:szCs w:val="24"/>
        </w:rPr>
      </w:r>
      <w:r/>
    </w:p>
    <w:p>
      <w:pPr>
        <w:pStyle w:val="91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30</w:t>
    </w:r>
    <w:r>
      <w:rPr>
        <w:rFonts w:ascii="宋体" w:hAnsi="宋体"/>
      </w:rPr>
      <w:fldChar w:fldCharType="end"/>
    </w:r>
    <w:r/>
  </w:p>
  <w:p>
    <w:pPr>
      <w:pStyle w:val="93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fldChar w:fldCharType="begin"/>
    </w:r>
    <w:r>
      <w:instrText xml:space="preserve">PAGE   \* MERGEFORMAT</w:instrText>
    </w:r>
    <w:r>
      <w:fldChar w:fldCharType="separate"/>
    </w:r>
    <w:r>
      <w:rPr>
        <w:lang w:val="zh-CN"/>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04"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5"/>
      <w:isLgl w:val="false"/>
      <w:suff w:val="nothing"/>
      <w:lvlText w:val=""/>
      <w:lvlJc w:val="left"/>
      <w:pPr>
        <w:ind w:left="0" w:firstLine="0"/>
      </w:pPr>
      <w:rPr>
        <w:rFonts w:hint="eastAsia"/>
      </w:rPr>
    </w:lvl>
    <w:lvl w:ilvl="6">
      <w:start w:val="1"/>
      <w:numFmt w:val="decimal"/>
      <w:pStyle w:val="916"/>
      <w:isLgl w:val="false"/>
      <w:suff w:val="nothing"/>
      <w:lvlText w:val=""/>
      <w:lvlJc w:val="left"/>
      <w:pPr>
        <w:ind w:left="0" w:firstLine="0"/>
      </w:pPr>
      <w:rPr>
        <w:rFonts w:hint="eastAsia"/>
      </w:rPr>
    </w:lvl>
    <w:lvl w:ilvl="7">
      <w:start w:val="1"/>
      <w:numFmt w:val="decimal"/>
      <w:pStyle w:val="917"/>
      <w:isLgl w:val="false"/>
      <w:suff w:val="nothing"/>
      <w:lvlText w:val=""/>
      <w:lvlJc w:val="left"/>
      <w:pPr>
        <w:ind w:left="0" w:firstLine="0"/>
      </w:pPr>
      <w:rPr>
        <w:rFonts w:hint="eastAsia"/>
      </w:rPr>
    </w:lvl>
    <w:lvl w:ilvl="8">
      <w:start w:val="1"/>
      <w:numFmt w:val="decimal"/>
      <w:pStyle w:val="918"/>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link w:val="97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7">
    <w:name w:val="Heading 1"/>
    <w:basedOn w:val="726"/>
    <w:next w:val="726"/>
    <w:link w:val="761"/>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62"/>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63"/>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64"/>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6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6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6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69"/>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tblPr>
      <w:tblLayout w:type="fixed"/>
      <w:tblCellMar>
        <w:left w:w="108" w:type="dxa"/>
        <w:top w:w="0" w:type="dxa"/>
        <w:right w:w="108" w:type="dxa"/>
        <w:bottom w:w="0" w:type="dxa"/>
      </w:tblCellMar>
    </w:tblPr>
  </w:style>
  <w:style w:type="paragraph" w:styleId="738" w:customStyle="1">
    <w:name w:val="索引 41"/>
    <w:basedOn w:val="726"/>
    <w:next w:val="726"/>
    <w:uiPriority w:val="0"/>
    <w:qFormat/>
    <w:pPr>
      <w:ind w:left="600"/>
      <w:jc w:val="both"/>
    </w:pPr>
    <w:rPr>
      <w:rFonts w:ascii="Calibri" w:hAnsi="Calibri" w:cs="Times New Roman"/>
      <w:sz w:val="21"/>
    </w:rPr>
  </w:style>
  <w:style w:type="paragraph" w:styleId="739">
    <w:name w:val="toc 7"/>
    <w:basedOn w:val="726"/>
    <w:next w:val="726"/>
    <w:uiPriority w:val="39"/>
    <w:unhideWhenUsed/>
    <w:qFormat/>
    <w:pPr>
      <w:ind w:left="1701" w:right="0" w:firstLine="0"/>
      <w:spacing w:after="57"/>
    </w:p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99"/>
    <w:semiHidden/>
    <w:unhideWhenUsed/>
    <w:pPr>
      <w:jc w:val="left"/>
    </w:pPr>
  </w:style>
  <w:style w:type="paragraph" w:styleId="742">
    <w:name w:val="toc 5"/>
    <w:basedOn w:val="726"/>
    <w:next w:val="726"/>
    <w:uiPriority w:val="39"/>
    <w:unhideWhenUsed/>
    <w:pPr>
      <w:ind w:left="1134" w:right="0" w:firstLine="0"/>
      <w:spacing w:after="57"/>
    </w:pPr>
  </w:style>
  <w:style w:type="paragraph" w:styleId="743">
    <w:name w:val="toc 3"/>
    <w:basedOn w:val="726"/>
    <w:next w:val="726"/>
    <w:uiPriority w:val="39"/>
    <w:unhideWhenUsed/>
    <w:qFormat/>
    <w:pPr>
      <w:ind w:left="567" w:right="0" w:firstLine="0"/>
      <w:spacing w:after="57"/>
    </w:pPr>
  </w:style>
  <w:style w:type="paragraph" w:styleId="744">
    <w:name w:val="toc 8"/>
    <w:basedOn w:val="726"/>
    <w:next w:val="726"/>
    <w:uiPriority w:val="39"/>
    <w:unhideWhenUsed/>
    <w:qFormat/>
    <w:pPr>
      <w:ind w:left="1984" w:right="0" w:firstLine="0"/>
      <w:spacing w:after="57"/>
    </w:pPr>
  </w:style>
  <w:style w:type="paragraph" w:styleId="745">
    <w:name w:val="endnote text"/>
    <w:basedOn w:val="726"/>
    <w:link w:val="907"/>
    <w:uiPriority w:val="99"/>
    <w:semiHidden/>
    <w:unhideWhenUsed/>
    <w:qFormat/>
    <w:pPr>
      <w:spacing w:after="0" w:line="240" w:lineRule="auto"/>
    </w:pPr>
    <w:rPr>
      <w:sz w:val="20"/>
    </w:rPr>
  </w:style>
  <w:style w:type="paragraph" w:styleId="746">
    <w:name w:val="Footer"/>
    <w:basedOn w:val="726"/>
    <w:link w:val="780"/>
    <w:uiPriority w:val="99"/>
    <w:unhideWhenUsed/>
    <w:qFormat/>
    <w:pPr>
      <w:spacing w:after="0" w:line="240" w:lineRule="auto"/>
      <w:tabs>
        <w:tab w:val="center" w:pos="7143" w:leader="none"/>
        <w:tab w:val="right" w:pos="14287" w:leader="none"/>
      </w:tabs>
    </w:pPr>
  </w:style>
  <w:style w:type="paragraph" w:styleId="747">
    <w:name w:val="Header"/>
    <w:basedOn w:val="726"/>
    <w:link w:val="778"/>
    <w:uiPriority w:val="99"/>
    <w:unhideWhenUsed/>
    <w:qFormat/>
    <w:pPr>
      <w:spacing w:after="0" w:line="240" w:lineRule="auto"/>
      <w:tabs>
        <w:tab w:val="center" w:pos="7143" w:leader="none"/>
        <w:tab w:val="right" w:pos="14287" w:leader="none"/>
      </w:tabs>
    </w:pPr>
  </w:style>
  <w:style w:type="paragraph" w:styleId="748">
    <w:name w:val="toc 1"/>
    <w:basedOn w:val="726"/>
    <w:next w:val="726"/>
    <w:uiPriority w:val="39"/>
    <w:unhideWhenUsed/>
    <w:pPr>
      <w:ind w:left="0" w:right="0" w:firstLine="0"/>
      <w:spacing w:after="57"/>
    </w:pPr>
  </w:style>
  <w:style w:type="paragraph" w:styleId="749">
    <w:name w:val="toc 4"/>
    <w:basedOn w:val="726"/>
    <w:next w:val="726"/>
    <w:uiPriority w:val="39"/>
    <w:unhideWhenUsed/>
    <w:qFormat/>
    <w:pPr>
      <w:ind w:left="850" w:right="0" w:firstLine="0"/>
      <w:spacing w:after="57"/>
    </w:pPr>
  </w:style>
  <w:style w:type="paragraph" w:styleId="750">
    <w:name w:val="Subtitle"/>
    <w:basedOn w:val="726"/>
    <w:next w:val="726"/>
    <w:link w:val="773"/>
    <w:uiPriority w:val="11"/>
    <w:qFormat/>
    <w:pPr>
      <w:spacing w:before="200" w:after="200"/>
    </w:pPr>
    <w:rPr>
      <w:sz w:val="24"/>
      <w:szCs w:val="24"/>
    </w:rPr>
  </w:style>
  <w:style w:type="paragraph" w:styleId="751">
    <w:name w:val="footnote text"/>
    <w:basedOn w:val="726"/>
    <w:link w:val="906"/>
    <w:uiPriority w:val="99"/>
    <w:semiHidden/>
    <w:unhideWhenUsed/>
    <w:qFormat/>
    <w:pPr>
      <w:spacing w:after="40" w:line="240" w:lineRule="auto"/>
    </w:pPr>
    <w:rPr>
      <w:sz w:val="18"/>
    </w:rPr>
  </w:style>
  <w:style w:type="paragraph" w:styleId="752">
    <w:name w:val="toc 6"/>
    <w:basedOn w:val="726"/>
    <w:next w:val="726"/>
    <w:uiPriority w:val="39"/>
    <w:unhideWhenUsed/>
    <w:pPr>
      <w:ind w:left="1417" w:right="0" w:firstLine="0"/>
      <w:spacing w:after="57"/>
    </w:pPr>
  </w:style>
  <w:style w:type="paragraph" w:styleId="753">
    <w:name w:val="table of figures"/>
    <w:basedOn w:val="726"/>
    <w:next w:val="726"/>
    <w:uiPriority w:val="99"/>
    <w:unhideWhenUsed/>
    <w:qFormat/>
    <w:pPr>
      <w:spacing w:after="0" w:afterAutospacing="0"/>
    </w:pPr>
  </w:style>
  <w:style w:type="paragraph" w:styleId="754">
    <w:name w:val="toc 2"/>
    <w:basedOn w:val="726"/>
    <w:next w:val="726"/>
    <w:uiPriority w:val="39"/>
    <w:unhideWhenUsed/>
    <w:pPr>
      <w:ind w:left="283" w:right="0" w:firstLine="0"/>
      <w:spacing w:after="57"/>
    </w:pPr>
  </w:style>
  <w:style w:type="paragraph" w:styleId="755">
    <w:name w:val="toc 9"/>
    <w:basedOn w:val="726"/>
    <w:next w:val="726"/>
    <w:uiPriority w:val="39"/>
    <w:unhideWhenUsed/>
    <w:qFormat/>
    <w:pPr>
      <w:ind w:left="2268" w:right="0" w:firstLine="0"/>
      <w:spacing w:after="57"/>
    </w:pPr>
  </w:style>
  <w:style w:type="paragraph" w:styleId="756">
    <w:name w:val="Title"/>
    <w:basedOn w:val="726"/>
    <w:next w:val="726"/>
    <w:link w:val="772"/>
    <w:uiPriority w:val="10"/>
    <w:qFormat/>
    <w:pPr>
      <w:contextualSpacing/>
      <w:spacing w:before="300" w:after="200"/>
    </w:pPr>
    <w:rPr>
      <w:sz w:val="48"/>
      <w:szCs w:val="48"/>
    </w:rPr>
  </w:style>
  <w:style w:type="table" w:styleId="75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58">
    <w:name w:val="endnote reference"/>
    <w:uiPriority w:val="99"/>
    <w:semiHidden/>
    <w:unhideWhenUsed/>
    <w:qFormat/>
    <w:rPr>
      <w:vertAlign w:val="superscript"/>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character" w:styleId="761" w:customStyle="1">
    <w:name w:val="Heading 1 Char"/>
    <w:link w:val="727"/>
    <w:uiPriority w:val="9"/>
    <w:qFormat/>
    <w:rPr>
      <w:rFonts w:ascii="Arial" w:hAnsi="Arial" w:eastAsia="Arial" w:cs="Arial"/>
      <w:sz w:val="40"/>
      <w:szCs w:val="40"/>
    </w:rPr>
  </w:style>
  <w:style w:type="character" w:styleId="762" w:customStyle="1">
    <w:name w:val="Heading 2 Char"/>
    <w:link w:val="728"/>
    <w:uiPriority w:val="9"/>
    <w:qFormat/>
    <w:rPr>
      <w:rFonts w:ascii="Arial" w:hAnsi="Arial" w:eastAsia="Arial" w:cs="Arial"/>
      <w:sz w:val="34"/>
    </w:rPr>
  </w:style>
  <w:style w:type="character" w:styleId="763" w:customStyle="1">
    <w:name w:val="Heading 3 Char"/>
    <w:link w:val="729"/>
    <w:uiPriority w:val="9"/>
    <w:qFormat/>
    <w:rPr>
      <w:rFonts w:ascii="Arial" w:hAnsi="Arial" w:eastAsia="Arial" w:cs="Arial"/>
      <w:sz w:val="30"/>
      <w:szCs w:val="30"/>
    </w:rPr>
  </w:style>
  <w:style w:type="character" w:styleId="764" w:customStyle="1">
    <w:name w:val="Heading 4 Char"/>
    <w:link w:val="730"/>
    <w:uiPriority w:val="9"/>
    <w:rPr>
      <w:rFonts w:ascii="Arial" w:hAnsi="Arial" w:eastAsia="Arial" w:cs="Arial"/>
      <w:b/>
      <w:bCs/>
      <w:sz w:val="26"/>
      <w:szCs w:val="26"/>
    </w:rPr>
  </w:style>
  <w:style w:type="character" w:styleId="765" w:customStyle="1">
    <w:name w:val="Heading 5 Char"/>
    <w:link w:val="731"/>
    <w:uiPriority w:val="9"/>
    <w:qFormat/>
    <w:rPr>
      <w:rFonts w:ascii="Arial" w:hAnsi="Arial" w:eastAsia="Arial" w:cs="Arial"/>
      <w:b/>
      <w:bCs/>
      <w:sz w:val="24"/>
      <w:szCs w:val="24"/>
    </w:rPr>
  </w:style>
  <w:style w:type="character" w:styleId="766" w:customStyle="1">
    <w:name w:val="Heading 6 Char"/>
    <w:link w:val="732"/>
    <w:uiPriority w:val="9"/>
    <w:qFormat/>
    <w:rPr>
      <w:rFonts w:ascii="Arial" w:hAnsi="Arial" w:eastAsia="Arial" w:cs="Arial"/>
      <w:b/>
      <w:bCs/>
      <w:sz w:val="22"/>
      <w:szCs w:val="22"/>
    </w:rPr>
  </w:style>
  <w:style w:type="character" w:styleId="767" w:customStyle="1">
    <w:name w:val="Heading 7 Char"/>
    <w:link w:val="733"/>
    <w:uiPriority w:val="9"/>
    <w:rPr>
      <w:rFonts w:ascii="Arial" w:hAnsi="Arial" w:eastAsia="Arial" w:cs="Arial"/>
      <w:b/>
      <w:bCs/>
      <w:i/>
      <w:iCs/>
      <w:sz w:val="22"/>
      <w:szCs w:val="22"/>
    </w:rPr>
  </w:style>
  <w:style w:type="character" w:styleId="768" w:customStyle="1">
    <w:name w:val="Heading 8 Char"/>
    <w:link w:val="734"/>
    <w:uiPriority w:val="9"/>
    <w:rPr>
      <w:rFonts w:ascii="Arial" w:hAnsi="Arial" w:eastAsia="Arial" w:cs="Arial"/>
      <w:i/>
      <w:iCs/>
      <w:sz w:val="22"/>
      <w:szCs w:val="22"/>
    </w:rPr>
  </w:style>
  <w:style w:type="character" w:styleId="769" w:customStyle="1">
    <w:name w:val="Heading 9 Char"/>
    <w:link w:val="735"/>
    <w:uiPriority w:val="9"/>
    <w:qFormat/>
    <w:rPr>
      <w:rFonts w:ascii="Arial" w:hAnsi="Arial" w:eastAsia="Arial" w:cs="Arial"/>
      <w:i/>
      <w:iCs/>
      <w:sz w:val="21"/>
      <w:szCs w:val="21"/>
    </w:rPr>
  </w:style>
  <w:style w:type="paragraph" w:styleId="770">
    <w:name w:val="List Paragraph"/>
    <w:basedOn w:val="726"/>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link w:val="756"/>
    <w:uiPriority w:val="10"/>
    <w:qFormat/>
    <w:rPr>
      <w:sz w:val="48"/>
      <w:szCs w:val="48"/>
    </w:rPr>
  </w:style>
  <w:style w:type="character" w:styleId="773" w:customStyle="1">
    <w:name w:val="Subtitle Char"/>
    <w:link w:val="750"/>
    <w:uiPriority w:val="11"/>
    <w:qFormat/>
    <w:rPr>
      <w:sz w:val="24"/>
      <w:szCs w:val="24"/>
    </w:rPr>
  </w:style>
  <w:style w:type="paragraph" w:styleId="774">
    <w:name w:val="Quote"/>
    <w:basedOn w:val="726"/>
    <w:next w:val="726"/>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726"/>
    <w:next w:val="726"/>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link w:val="747"/>
    <w:uiPriority w:val="99"/>
    <w:qFormat/>
  </w:style>
  <w:style w:type="character" w:styleId="779" w:customStyle="1">
    <w:name w:val="Footer Char"/>
    <w:link w:val="746"/>
    <w:uiPriority w:val="99"/>
    <w:qFormat/>
  </w:style>
  <w:style w:type="character" w:styleId="780" w:customStyle="1">
    <w:name w:val="Caption Char"/>
    <w:link w:val="746"/>
    <w:uiPriority w:val="99"/>
    <w:qFormat/>
  </w:style>
  <w:style w:type="table" w:styleId="7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51"/>
    <w:uiPriority w:val="99"/>
    <w:rPr>
      <w:sz w:val="18"/>
    </w:rPr>
  </w:style>
  <w:style w:type="character" w:styleId="907" w:customStyle="1">
    <w:name w:val="Endnote Text Char"/>
    <w:link w:val="745"/>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paragraph" w:styleId="909" w:customStyle="1">
    <w:name w:val="标题 11"/>
    <w:basedOn w:val="726"/>
    <w:next w:val="726"/>
    <w:link w:val="945"/>
    <w:uiPriority w:val="0"/>
    <w:qFormat/>
    <w:pPr>
      <w:jc w:val="center"/>
      <w:keepNext/>
      <w:outlineLvl w:val="0"/>
    </w:pPr>
    <w:rPr>
      <w:rFonts w:ascii="楷体_GB2312" w:eastAsia="楷体_GB2312"/>
      <w:sz w:val="28"/>
      <w:szCs w:val="28"/>
    </w:rPr>
  </w:style>
  <w:style w:type="paragraph" w:styleId="910" w:customStyle="1">
    <w:name w:val="标题 21"/>
    <w:basedOn w:val="726"/>
    <w:next w:val="911"/>
    <w:link w:val="946"/>
    <w:uiPriority w:val="0"/>
    <w:qFormat/>
    <w:pPr>
      <w:jc w:val="center"/>
      <w:keepLines/>
      <w:keepNext/>
      <w:spacing w:before="260" w:after="260" w:line="416" w:lineRule="auto"/>
      <w:outlineLvl w:val="1"/>
    </w:pPr>
    <w:rPr>
      <w:rFonts w:ascii="Arial" w:hAnsi="Arial" w:eastAsia="幼圆"/>
      <w:b/>
      <w:bCs/>
      <w:sz w:val="44"/>
      <w:szCs w:val="44"/>
    </w:rPr>
  </w:style>
  <w:style w:type="paragraph" w:styleId="911" w:customStyle="1">
    <w:name w:val="正文缩进1"/>
    <w:basedOn w:val="726"/>
    <w:link w:val="937"/>
    <w:uiPriority w:val="0"/>
    <w:qFormat/>
    <w:pPr>
      <w:ind w:firstLine="420"/>
    </w:pPr>
    <w:rPr>
      <w:sz w:val="20"/>
    </w:rPr>
  </w:style>
  <w:style w:type="paragraph" w:styleId="912" w:customStyle="1">
    <w:name w:val="标题 31"/>
    <w:basedOn w:val="726"/>
    <w:next w:val="911"/>
    <w:link w:val="947"/>
    <w:uiPriority w:val="0"/>
    <w:qFormat/>
    <w:pPr>
      <w:keepLines/>
      <w:keepNext/>
      <w:spacing w:before="260" w:after="260" w:line="416" w:lineRule="auto"/>
      <w:outlineLvl w:val="2"/>
    </w:pPr>
    <w:rPr>
      <w:b/>
      <w:bCs/>
      <w:sz w:val="32"/>
      <w:szCs w:val="32"/>
    </w:rPr>
  </w:style>
  <w:style w:type="paragraph" w:styleId="913" w:customStyle="1">
    <w:name w:val="标题 41"/>
    <w:basedOn w:val="726"/>
    <w:next w:val="911"/>
    <w:link w:val="921"/>
    <w:uiPriority w:val="0"/>
    <w:qFormat/>
    <w:pPr>
      <w:keepLines/>
      <w:keepNext/>
      <w:spacing w:before="280" w:after="290" w:line="376" w:lineRule="auto"/>
      <w:outlineLvl w:val="3"/>
    </w:pPr>
    <w:rPr>
      <w:rFonts w:ascii="Arial" w:hAnsi="Arial" w:eastAsia="黑体"/>
      <w:b/>
      <w:bCs/>
      <w:sz w:val="28"/>
      <w:szCs w:val="28"/>
    </w:rPr>
  </w:style>
  <w:style w:type="paragraph" w:styleId="914" w:customStyle="1">
    <w:name w:val="标题 51"/>
    <w:basedOn w:val="726"/>
    <w:next w:val="911"/>
    <w:link w:val="933"/>
    <w:uiPriority w:val="0"/>
    <w:qFormat/>
    <w:pPr>
      <w:keepNext/>
      <w:outlineLvl w:val="4"/>
    </w:pPr>
    <w:rPr>
      <w:rFonts w:ascii="宋体"/>
      <w:color w:val="000000"/>
      <w:sz w:val="28"/>
      <w:szCs w:val="28"/>
    </w:rPr>
  </w:style>
  <w:style w:type="paragraph" w:styleId="915" w:customStyle="1">
    <w:name w:val="标题 61"/>
    <w:basedOn w:val="726"/>
    <w:next w:val="726"/>
    <w:link w:val="94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customStyle="1">
    <w:name w:val="标题 71"/>
    <w:basedOn w:val="726"/>
    <w:next w:val="726"/>
    <w:link w:val="949"/>
    <w:uiPriority w:val="0"/>
    <w:qFormat/>
    <w:pPr>
      <w:numPr>
        <w:ilvl w:val="6"/>
        <w:numId w:val="1"/>
      </w:numPr>
      <w:keepLines/>
      <w:keepNext/>
      <w:spacing w:before="240" w:after="64" w:line="320" w:lineRule="auto"/>
      <w:outlineLvl w:val="6"/>
    </w:pPr>
    <w:rPr>
      <w:b/>
      <w:bCs/>
      <w:sz w:val="24"/>
      <w:szCs w:val="24"/>
    </w:rPr>
  </w:style>
  <w:style w:type="paragraph" w:styleId="917" w:customStyle="1">
    <w:name w:val="标题 81"/>
    <w:basedOn w:val="726"/>
    <w:next w:val="726"/>
    <w:link w:val="95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8" w:customStyle="1">
    <w:name w:val="标题 91"/>
    <w:basedOn w:val="726"/>
    <w:next w:val="726"/>
    <w:link w:val="951"/>
    <w:uiPriority w:val="0"/>
    <w:qFormat/>
    <w:pPr>
      <w:numPr>
        <w:ilvl w:val="8"/>
        <w:numId w:val="1"/>
      </w:numPr>
      <w:keepLines/>
      <w:keepNext/>
      <w:spacing w:before="240" w:after="64" w:line="320" w:lineRule="auto"/>
      <w:outlineLvl w:val="8"/>
    </w:pPr>
    <w:rPr>
      <w:rFonts w:ascii="Arial" w:hAnsi="Arial" w:eastAsia="黑体"/>
      <w:sz w:val="20"/>
    </w:rPr>
  </w:style>
  <w:style w:type="character" w:styleId="919" w:customStyle="1">
    <w:name w:val="默认段落字体1"/>
    <w:link w:val="726"/>
    <w:uiPriority w:val="1"/>
    <w:unhideWhenUsed/>
  </w:style>
  <w:style w:type="table" w:styleId="920" w:customStyle="1">
    <w:name w:val="普通表格1"/>
    <w:uiPriority w:val="99"/>
    <w:unhideWhenUsed/>
    <w:tblPr/>
  </w:style>
  <w:style w:type="character" w:styleId="921" w:customStyle="1">
    <w:name w:val="标题 4 Char"/>
    <w:link w:val="913"/>
    <w:uiPriority w:val="0"/>
    <w:qFormat/>
    <w:rPr>
      <w:rFonts w:ascii="Arial" w:hAnsi="Arial" w:eastAsia="黑体" w:cs="Arial"/>
      <w:b/>
      <w:bCs/>
      <w:sz w:val="28"/>
      <w:szCs w:val="28"/>
    </w:rPr>
  </w:style>
  <w:style w:type="character" w:styleId="922" w:customStyle="1">
    <w:name w:val="超链接1"/>
    <w:link w:val="726"/>
    <w:uiPriority w:val="0"/>
    <w:rPr>
      <w:color w:val="0000ff"/>
      <w:u w:val="single"/>
    </w:rPr>
  </w:style>
  <w:style w:type="character" w:styleId="923" w:customStyle="1">
    <w:name w:val="批注引用1"/>
    <w:link w:val="726"/>
    <w:uiPriority w:val="0"/>
    <w:semiHidden/>
    <w:rPr>
      <w:sz w:val="21"/>
      <w:szCs w:val="21"/>
    </w:rPr>
  </w:style>
  <w:style w:type="character" w:styleId="924" w:customStyle="1">
    <w:name w:val="批注主题 Char"/>
    <w:link w:val="925"/>
    <w:uiPriority w:val="0"/>
    <w:semiHidden/>
    <w:rPr>
      <w:rFonts w:ascii="Times New Roman" w:hAnsi="Times New Roman" w:eastAsia="宋体" w:cs="Times New Roman"/>
      <w:b/>
      <w:bCs/>
      <w:szCs w:val="21"/>
    </w:rPr>
  </w:style>
  <w:style w:type="paragraph" w:styleId="925" w:customStyle="1">
    <w:name w:val="批注主题1"/>
    <w:basedOn w:val="926"/>
    <w:next w:val="926"/>
    <w:link w:val="924"/>
    <w:uiPriority w:val="0"/>
    <w:semiHidden/>
    <w:qFormat/>
    <w:rPr>
      <w:b/>
      <w:bCs/>
      <w:sz w:val="20"/>
    </w:rPr>
  </w:style>
  <w:style w:type="paragraph" w:styleId="926" w:customStyle="1">
    <w:name w:val="批注文字1"/>
    <w:basedOn w:val="726"/>
    <w:link w:val="936"/>
    <w:uiPriority w:val="0"/>
    <w:semiHidden/>
    <w:qFormat/>
    <w:pPr>
      <w:jc w:val="left"/>
    </w:pPr>
    <w:rPr>
      <w:sz w:val="20"/>
    </w:rPr>
  </w:style>
  <w:style w:type="character" w:styleId="927" w:customStyle="1">
    <w:name w:val="要点1"/>
    <w:link w:val="726"/>
    <w:uiPriority w:val="0"/>
    <w:qFormat/>
    <w:rPr>
      <w:b/>
      <w:bCs/>
    </w:rPr>
  </w:style>
  <w:style w:type="character" w:styleId="928" w:customStyle="1">
    <w:name w:val="已访问的超链接1"/>
    <w:link w:val="726"/>
    <w:uiPriority w:val="0"/>
    <w:rPr>
      <w:color w:val="800080"/>
      <w:u w:val="single"/>
    </w:rPr>
  </w:style>
  <w:style w:type="character" w:styleId="929" w:customStyle="1">
    <w:name w:val="页码1"/>
    <w:link w:val="726"/>
    <w:uiPriority w:val="0"/>
    <w:qFormat/>
  </w:style>
  <w:style w:type="character" w:styleId="930" w:customStyle="1">
    <w:name w:val="正文文本 Char"/>
    <w:link w:val="931"/>
    <w:uiPriority w:val="0"/>
    <w:rPr>
      <w:rFonts w:ascii="楷体_GB2312" w:hAnsi="Arial" w:eastAsia="楷体_GB2312" w:cs="Times New Roman"/>
      <w:sz w:val="28"/>
      <w:szCs w:val="28"/>
    </w:rPr>
  </w:style>
  <w:style w:type="paragraph" w:styleId="931" w:customStyle="1">
    <w:name w:val="正文文本1"/>
    <w:basedOn w:val="726"/>
    <w:link w:val="930"/>
    <w:uiPriority w:val="0"/>
    <w:rPr>
      <w:rFonts w:ascii="楷体_GB2312" w:hAnsi="Arial" w:eastAsia="楷体_GB2312"/>
      <w:sz w:val="28"/>
      <w:szCs w:val="28"/>
    </w:rPr>
  </w:style>
  <w:style w:type="character" w:styleId="932" w:customStyle="1">
    <w:name w:val="强调1"/>
    <w:basedOn w:val="919"/>
    <w:link w:val="726"/>
    <w:uiPriority w:val="0"/>
    <w:qFormat/>
    <w:rPr>
      <w:i/>
    </w:rPr>
  </w:style>
  <w:style w:type="character" w:styleId="933" w:customStyle="1">
    <w:name w:val="标题 5 Char"/>
    <w:link w:val="914"/>
    <w:uiPriority w:val="0"/>
    <w:qFormat/>
    <w:rPr>
      <w:rFonts w:ascii="宋体" w:hAnsi="Times New Roman" w:eastAsia="宋体" w:cs="Times New Roman"/>
      <w:color w:val="000000"/>
      <w:sz w:val="28"/>
      <w:szCs w:val="28"/>
    </w:rPr>
  </w:style>
  <w:style w:type="character" w:styleId="934" w:customStyle="1">
    <w:name w:val="正文文本缩进 2 Char"/>
    <w:link w:val="935"/>
    <w:uiPriority w:val="0"/>
    <w:qFormat/>
    <w:rPr>
      <w:rFonts w:ascii="Arial" w:hAnsi="Arial" w:eastAsia="仿宋_GB2312" w:cs="Arial"/>
      <w:sz w:val="32"/>
      <w:szCs w:val="32"/>
    </w:rPr>
  </w:style>
  <w:style w:type="paragraph" w:styleId="935" w:customStyle="1">
    <w:name w:val="正文文本缩进 21"/>
    <w:basedOn w:val="726"/>
    <w:link w:val="934"/>
    <w:uiPriority w:val="0"/>
    <w:qFormat/>
    <w:pPr>
      <w:ind w:left="630" w:firstLine="645"/>
    </w:pPr>
    <w:rPr>
      <w:rFonts w:ascii="Arial" w:hAnsi="Arial" w:eastAsia="仿宋_GB2312"/>
      <w:sz w:val="32"/>
      <w:szCs w:val="32"/>
    </w:rPr>
  </w:style>
  <w:style w:type="character" w:styleId="936" w:customStyle="1">
    <w:name w:val="批注文字 Char"/>
    <w:link w:val="926"/>
    <w:uiPriority w:val="0"/>
    <w:semiHidden/>
    <w:qFormat/>
    <w:rPr>
      <w:rFonts w:ascii="Times New Roman" w:hAnsi="Times New Roman" w:eastAsia="宋体" w:cs="Times New Roman"/>
      <w:szCs w:val="21"/>
    </w:rPr>
  </w:style>
  <w:style w:type="character" w:styleId="937" w:customStyle="1">
    <w:name w:val="正文缩进 Char"/>
    <w:link w:val="911"/>
    <w:uiPriority w:val="0"/>
    <w:qFormat/>
    <w:rPr>
      <w:rFonts w:ascii="Times New Roman" w:hAnsi="Times New Roman" w:eastAsia="宋体" w:cs="Times New Roman"/>
      <w:szCs w:val="21"/>
    </w:rPr>
  </w:style>
  <w:style w:type="character" w:styleId="938" w:customStyle="1">
    <w:name w:val="页脚 Char"/>
    <w:link w:val="939"/>
    <w:uiPriority w:val="99"/>
    <w:rPr>
      <w:rFonts w:ascii="Times New Roman" w:hAnsi="Times New Roman" w:eastAsia="宋体" w:cs="Times New Roman"/>
      <w:sz w:val="18"/>
      <w:szCs w:val="18"/>
    </w:rPr>
  </w:style>
  <w:style w:type="paragraph" w:styleId="939" w:customStyle="1">
    <w:name w:val="页脚1"/>
    <w:basedOn w:val="726"/>
    <w:link w:val="938"/>
    <w:uiPriority w:val="99"/>
    <w:qFormat/>
    <w:pPr>
      <w:jc w:val="left"/>
      <w:tabs>
        <w:tab w:val="center" w:pos="4153" w:leader="none"/>
        <w:tab w:val="right" w:pos="8306" w:leader="none"/>
      </w:tabs>
    </w:pPr>
    <w:rPr>
      <w:sz w:val="18"/>
      <w:szCs w:val="18"/>
    </w:rPr>
  </w:style>
  <w:style w:type="character" w:styleId="940" w:customStyle="1">
    <w:name w:val="列出段落 Char"/>
    <w:link w:val="941"/>
    <w:uiPriority w:val="0"/>
    <w:qFormat/>
    <w:rPr>
      <w:rFonts w:ascii="Calibri" w:hAnsi="Calibri"/>
      <w:sz w:val="24"/>
      <w:szCs w:val="24"/>
      <w:lang w:eastAsia="en-US" w:bidi="en-US"/>
    </w:rPr>
  </w:style>
  <w:style w:type="paragraph" w:styleId="941" w:customStyle="1">
    <w:name w:val="列出段落1"/>
    <w:basedOn w:val="726"/>
    <w:link w:val="940"/>
    <w:uiPriority w:val="0"/>
    <w:qFormat/>
    <w:pPr>
      <w:contextualSpacing/>
      <w:ind w:left="720"/>
      <w:jc w:val="left"/>
      <w:widowControl/>
    </w:pPr>
    <w:rPr>
      <w:rFonts w:ascii="Calibri" w:hAnsi="Calibri"/>
      <w:sz w:val="24"/>
      <w:szCs w:val="24"/>
      <w:lang w:eastAsia="en-US" w:bidi="en-US"/>
    </w:rPr>
  </w:style>
  <w:style w:type="character" w:styleId="942" w:customStyle="1">
    <w:name w:val="font21"/>
    <w:basedOn w:val="919"/>
    <w:link w:val="726"/>
    <w:uiPriority w:val="0"/>
    <w:qFormat/>
    <w:rPr>
      <w:rFonts w:ascii="等线" w:hAnsi="等线" w:eastAsia="等线" w:cs="等线"/>
      <w:color w:val="000000"/>
      <w:sz w:val="22"/>
      <w:szCs w:val="22"/>
      <w:u w:val="none"/>
    </w:rPr>
  </w:style>
  <w:style w:type="character" w:styleId="943" w:customStyle="1">
    <w:name w:val="页眉 Char"/>
    <w:link w:val="944"/>
    <w:uiPriority w:val="0"/>
    <w:qFormat/>
    <w:rPr>
      <w:rFonts w:ascii="Times New Roman" w:hAnsi="Times New Roman" w:eastAsia="宋体" w:cs="Times New Roman"/>
      <w:sz w:val="18"/>
      <w:szCs w:val="18"/>
    </w:rPr>
  </w:style>
  <w:style w:type="paragraph" w:styleId="944" w:customStyle="1">
    <w:name w:val="页眉1"/>
    <w:basedOn w:val="726"/>
    <w:link w:val="943"/>
    <w:uiPriority w:val="0"/>
    <w:pPr>
      <w:jc w:val="center"/>
      <w:tabs>
        <w:tab w:val="center" w:pos="4153" w:leader="none"/>
        <w:tab w:val="right" w:pos="8306" w:leader="none"/>
      </w:tabs>
      <w:pBdr>
        <w:bottom w:val="single" w:color="000000" w:sz="6" w:space="1"/>
      </w:pBdr>
    </w:pPr>
    <w:rPr>
      <w:sz w:val="18"/>
      <w:szCs w:val="18"/>
    </w:rPr>
  </w:style>
  <w:style w:type="character" w:styleId="945" w:customStyle="1">
    <w:name w:val="标题 1 Char"/>
    <w:link w:val="909"/>
    <w:uiPriority w:val="0"/>
    <w:qFormat/>
    <w:rPr>
      <w:rFonts w:ascii="楷体_GB2312" w:hAnsi="Times New Roman" w:eastAsia="楷体_GB2312" w:cs="Times New Roman"/>
      <w:sz w:val="28"/>
      <w:szCs w:val="28"/>
    </w:rPr>
  </w:style>
  <w:style w:type="character" w:styleId="946" w:customStyle="1">
    <w:name w:val="标题 2 Char"/>
    <w:link w:val="910"/>
    <w:uiPriority w:val="0"/>
    <w:qFormat/>
    <w:rPr>
      <w:rFonts w:ascii="Arial" w:hAnsi="Arial" w:eastAsia="幼圆" w:cs="Arial"/>
      <w:b/>
      <w:bCs/>
      <w:sz w:val="44"/>
      <w:szCs w:val="44"/>
    </w:rPr>
  </w:style>
  <w:style w:type="character" w:styleId="947" w:customStyle="1">
    <w:name w:val="标题 3 Char"/>
    <w:link w:val="912"/>
    <w:uiPriority w:val="0"/>
    <w:rPr>
      <w:rFonts w:ascii="Times New Roman" w:hAnsi="Times New Roman" w:eastAsia="宋体" w:cs="Times New Roman"/>
      <w:b/>
      <w:bCs/>
      <w:sz w:val="32"/>
      <w:szCs w:val="32"/>
    </w:rPr>
  </w:style>
  <w:style w:type="character" w:styleId="948" w:customStyle="1">
    <w:name w:val="标题 6 Char"/>
    <w:link w:val="915"/>
    <w:uiPriority w:val="0"/>
    <w:rPr>
      <w:rFonts w:ascii="Arial" w:hAnsi="Arial" w:eastAsia="黑体" w:cs="Times New Roman"/>
      <w:b/>
      <w:bCs/>
      <w:sz w:val="24"/>
      <w:szCs w:val="24"/>
    </w:rPr>
  </w:style>
  <w:style w:type="character" w:styleId="949" w:customStyle="1">
    <w:name w:val="标题 7 Char"/>
    <w:link w:val="916"/>
    <w:uiPriority w:val="0"/>
    <w:rPr>
      <w:rFonts w:ascii="Times New Roman" w:hAnsi="Times New Roman" w:eastAsia="宋体" w:cs="Times New Roman"/>
      <w:b/>
      <w:bCs/>
      <w:sz w:val="24"/>
      <w:szCs w:val="24"/>
    </w:rPr>
  </w:style>
  <w:style w:type="character" w:styleId="950" w:customStyle="1">
    <w:name w:val="标题 8 Char"/>
    <w:link w:val="917"/>
    <w:uiPriority w:val="0"/>
    <w:rPr>
      <w:rFonts w:ascii="Arial" w:hAnsi="Arial" w:eastAsia="黑体" w:cs="Times New Roman"/>
      <w:sz w:val="24"/>
      <w:szCs w:val="24"/>
    </w:rPr>
  </w:style>
  <w:style w:type="character" w:styleId="951" w:customStyle="1">
    <w:name w:val="标题 9 Char"/>
    <w:link w:val="918"/>
    <w:uiPriority w:val="0"/>
    <w:rPr>
      <w:rFonts w:ascii="Arial" w:hAnsi="Arial" w:eastAsia="黑体" w:cs="Times New Roman"/>
      <w:szCs w:val="21"/>
    </w:rPr>
  </w:style>
  <w:style w:type="character" w:styleId="952" w:customStyle="1">
    <w:name w:val="文档结构图 Char"/>
    <w:link w:val="953"/>
    <w:uiPriority w:val="0"/>
    <w:semiHidden/>
    <w:rPr>
      <w:rFonts w:ascii="Times New Roman" w:hAnsi="Times New Roman" w:eastAsia="宋体" w:cs="Times New Roman"/>
      <w:szCs w:val="21"/>
      <w:shd w:val="clear" w:color="auto" w:fill="000080"/>
    </w:rPr>
  </w:style>
  <w:style w:type="paragraph" w:styleId="953" w:customStyle="1">
    <w:name w:val="文档结构图1"/>
    <w:basedOn w:val="726"/>
    <w:link w:val="952"/>
    <w:uiPriority w:val="0"/>
    <w:semiHidden/>
    <w:pPr>
      <w:shd w:val="clear" w:color="auto" w:fill="000080"/>
    </w:pPr>
    <w:rPr>
      <w:sz w:val="20"/>
    </w:rPr>
  </w:style>
  <w:style w:type="character" w:styleId="954" w:customStyle="1">
    <w:name w:val="正文文本 3 Char"/>
    <w:link w:val="955"/>
    <w:uiPriority w:val="0"/>
    <w:rPr>
      <w:rFonts w:ascii="仿宋_GB2312" w:hAnsi="Arial" w:eastAsia="仿宋_GB2312" w:cs="Times New Roman"/>
      <w:sz w:val="32"/>
      <w:szCs w:val="32"/>
    </w:rPr>
  </w:style>
  <w:style w:type="paragraph" w:styleId="955" w:customStyle="1">
    <w:name w:val="正文文本 31"/>
    <w:basedOn w:val="726"/>
    <w:link w:val="954"/>
    <w:uiPriority w:val="0"/>
    <w:rPr>
      <w:rFonts w:ascii="仿宋_GB2312" w:hAnsi="Arial" w:eastAsia="仿宋_GB2312"/>
      <w:sz w:val="32"/>
      <w:szCs w:val="32"/>
    </w:rPr>
  </w:style>
  <w:style w:type="character" w:styleId="956" w:customStyle="1">
    <w:name w:val="正文文本缩进 Char"/>
    <w:link w:val="957"/>
    <w:uiPriority w:val="0"/>
    <w:rPr>
      <w:rFonts w:ascii="楷体_GB2312" w:hAnsi="Times New Roman" w:eastAsia="楷体_GB2312" w:cs="Times New Roman"/>
      <w:sz w:val="32"/>
      <w:szCs w:val="32"/>
    </w:rPr>
  </w:style>
  <w:style w:type="paragraph" w:styleId="957" w:customStyle="1">
    <w:name w:val="正文文本缩进1"/>
    <w:basedOn w:val="726"/>
    <w:link w:val="956"/>
    <w:uiPriority w:val="0"/>
    <w:pPr>
      <w:ind w:firstLine="645"/>
    </w:pPr>
    <w:rPr>
      <w:rFonts w:ascii="楷体_GB2312" w:eastAsia="楷体_GB2312"/>
      <w:sz w:val="32"/>
      <w:szCs w:val="32"/>
    </w:rPr>
  </w:style>
  <w:style w:type="character" w:styleId="958" w:customStyle="1">
    <w:name w:val="纯文本 Char"/>
    <w:link w:val="959"/>
    <w:uiPriority w:val="0"/>
    <w:rPr>
      <w:rFonts w:ascii="宋体" w:hAnsi="Courier New" w:eastAsia="宋体" w:cs="Courier New"/>
      <w:szCs w:val="21"/>
    </w:rPr>
  </w:style>
  <w:style w:type="paragraph" w:styleId="959" w:customStyle="1">
    <w:name w:val="纯文本1"/>
    <w:basedOn w:val="726"/>
    <w:link w:val="958"/>
    <w:uiPriority w:val="0"/>
    <w:rPr>
      <w:rFonts w:ascii="宋体" w:hAnsi="Courier New"/>
      <w:sz w:val="20"/>
    </w:rPr>
  </w:style>
  <w:style w:type="character" w:styleId="960" w:customStyle="1">
    <w:name w:val="日期 Char"/>
    <w:link w:val="961"/>
    <w:uiPriority w:val="0"/>
    <w:rPr>
      <w:rFonts w:ascii="Times New Roman" w:hAnsi="Times New Roman" w:eastAsia="宋体" w:cs="Times New Roman"/>
      <w:sz w:val="24"/>
      <w:szCs w:val="24"/>
    </w:rPr>
  </w:style>
  <w:style w:type="paragraph" w:styleId="961" w:customStyle="1">
    <w:name w:val="日期1"/>
    <w:basedOn w:val="726"/>
    <w:next w:val="726"/>
    <w:link w:val="960"/>
    <w:uiPriority w:val="0"/>
    <w:rPr>
      <w:sz w:val="24"/>
      <w:szCs w:val="24"/>
    </w:rPr>
  </w:style>
  <w:style w:type="character" w:styleId="962" w:customStyle="1">
    <w:name w:val="批注框文本 Char"/>
    <w:link w:val="963"/>
    <w:uiPriority w:val="0"/>
    <w:semiHidden/>
    <w:rPr>
      <w:rFonts w:ascii="Times New Roman" w:hAnsi="Times New Roman" w:eastAsia="宋体" w:cs="Times New Roman"/>
      <w:sz w:val="18"/>
      <w:szCs w:val="18"/>
    </w:rPr>
  </w:style>
  <w:style w:type="paragraph" w:styleId="963" w:customStyle="1">
    <w:name w:val="批注框文本1"/>
    <w:basedOn w:val="726"/>
    <w:link w:val="962"/>
    <w:uiPriority w:val="0"/>
    <w:semiHidden/>
    <w:rPr>
      <w:sz w:val="18"/>
      <w:szCs w:val="18"/>
    </w:rPr>
  </w:style>
  <w:style w:type="character" w:styleId="964" w:customStyle="1">
    <w:name w:val="正文文本缩进 3 Char"/>
    <w:link w:val="965"/>
    <w:uiPriority w:val="0"/>
    <w:rPr>
      <w:rFonts w:ascii="Arial" w:hAnsi="Arial" w:eastAsia="仿宋_GB2312" w:cs="Arial"/>
      <w:color w:val="ffff00"/>
      <w:sz w:val="32"/>
      <w:szCs w:val="32"/>
    </w:rPr>
  </w:style>
  <w:style w:type="paragraph" w:styleId="965" w:customStyle="1">
    <w:name w:val="正文文本缩进 31"/>
    <w:basedOn w:val="726"/>
    <w:link w:val="964"/>
    <w:uiPriority w:val="0"/>
    <w:pPr>
      <w:ind w:left="645" w:firstLine="645"/>
    </w:pPr>
    <w:rPr>
      <w:rFonts w:ascii="Arial" w:hAnsi="Arial" w:eastAsia="仿宋_GB2312"/>
      <w:color w:val="ffff00"/>
      <w:sz w:val="32"/>
      <w:szCs w:val="32"/>
    </w:rPr>
  </w:style>
  <w:style w:type="character" w:styleId="966" w:customStyle="1">
    <w:name w:val="正文文本 2 Char"/>
    <w:link w:val="967"/>
    <w:uiPriority w:val="0"/>
    <w:rPr>
      <w:rFonts w:ascii="楷体_GB2312" w:hAnsi="Times New Roman" w:eastAsia="楷体_GB2312" w:cs="Times New Roman"/>
      <w:sz w:val="28"/>
      <w:szCs w:val="28"/>
    </w:rPr>
  </w:style>
  <w:style w:type="paragraph" w:styleId="967" w:customStyle="1">
    <w:name w:val="正文文本 21"/>
    <w:basedOn w:val="726"/>
    <w:link w:val="966"/>
    <w:uiPriority w:val="0"/>
    <w:pPr>
      <w:jc w:val="center"/>
      <w:widowControl/>
    </w:pPr>
    <w:rPr>
      <w:rFonts w:ascii="楷体_GB2312" w:eastAsia="楷体_GB2312"/>
      <w:sz w:val="28"/>
      <w:szCs w:val="28"/>
    </w:rPr>
  </w:style>
  <w:style w:type="character" w:styleId="968" w:customStyle="1">
    <w:name w:val="正文首行缩进 Char"/>
    <w:link w:val="969"/>
    <w:uiPriority w:val="0"/>
    <w:rPr>
      <w:rFonts w:ascii="仿宋_GB2312" w:hAnsi="Times New Roman" w:eastAsia="仿宋_GB2312" w:cs="Times New Roman"/>
      <w:sz w:val="30"/>
      <w:szCs w:val="30"/>
    </w:rPr>
  </w:style>
  <w:style w:type="paragraph" w:styleId="969" w:customStyle="1">
    <w:name w:val="正文首行缩进1"/>
    <w:basedOn w:val="726"/>
    <w:link w:val="968"/>
    <w:uiPriority w:val="0"/>
    <w:pPr>
      <w:ind w:firstLine="200"/>
      <w:spacing w:line="360" w:lineRule="auto"/>
    </w:pPr>
    <w:rPr>
      <w:rFonts w:ascii="仿宋_GB2312" w:eastAsia="仿宋_GB2312"/>
      <w:sz w:val="30"/>
      <w:szCs w:val="30"/>
    </w:rPr>
  </w:style>
  <w:style w:type="character" w:styleId="970" w:customStyle="1">
    <w:name w:val="正文首行缩进 2 Char"/>
    <w:link w:val="971"/>
    <w:uiPriority w:val="0"/>
    <w:rPr>
      <w:rFonts w:ascii="宋体" w:hAnsi="宋体" w:eastAsia="宋体" w:cs="Times New Roman"/>
      <w:sz w:val="32"/>
      <w:szCs w:val="20"/>
    </w:rPr>
  </w:style>
  <w:style w:type="paragraph" w:styleId="971" w:customStyle="1">
    <w:name w:val="正文首行缩进 21"/>
    <w:basedOn w:val="957"/>
    <w:link w:val="970"/>
    <w:uiPriority w:val="0"/>
    <w:pPr>
      <w:ind w:firstLine="420"/>
      <w:spacing w:line="360" w:lineRule="auto"/>
    </w:pPr>
    <w:rPr>
      <w:rFonts w:ascii="宋体" w:hAnsi="宋体" w:eastAsia="宋体"/>
      <w:szCs w:val="20"/>
    </w:rPr>
  </w:style>
  <w:style w:type="character" w:styleId="972" w:customStyle="1">
    <w:name w:val="font5 Char"/>
    <w:link w:val="726"/>
    <w:uiPriority w:val="0"/>
    <w:rPr>
      <w:rFonts w:ascii="宋体" w:hAnsi="宋体" w:eastAsia="宋体"/>
      <w:sz w:val="28"/>
      <w:szCs w:val="28"/>
      <w:lang w:val="en-US" w:eastAsia="zh-CN" w:bidi="ar-SA"/>
    </w:rPr>
  </w:style>
  <w:style w:type="character" w:styleId="973" w:customStyle="1">
    <w:name w:val="二级目录 Char"/>
    <w:link w:val="974"/>
    <w:uiPriority w:val="0"/>
    <w:rPr>
      <w:b/>
      <w:sz w:val="30"/>
      <w:szCs w:val="28"/>
      <w:lang w:val="en-US" w:eastAsia="zh-CN" w:bidi="ar-SA"/>
    </w:rPr>
  </w:style>
  <w:style w:type="paragraph" w:styleId="974" w:customStyle="1">
    <w:name w:val="二级目录"/>
    <w:next w:val="726"/>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75"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61"/>
    <w:basedOn w:val="726"/>
    <w:next w:val="726"/>
    <w:uiPriority w:val="0"/>
    <w:semiHidden/>
    <w:pPr>
      <w:ind w:left="1050"/>
      <w:jc w:val="left"/>
    </w:pPr>
  </w:style>
  <w:style w:type="paragraph" w:styleId="977" w:customStyle="1">
    <w:name w:val="普通(网站)1"/>
    <w:basedOn w:val="726"/>
    <w:uiPriority w:val="99"/>
    <w:pPr>
      <w:jc w:val="left"/>
      <w:spacing w:before="100" w:beforeAutospacing="1" w:after="100" w:afterAutospacing="1"/>
      <w:widowControl/>
    </w:pPr>
    <w:rPr>
      <w:rFonts w:ascii="宋体" w:hAnsi="宋体" w:cs="宋体"/>
      <w:sz w:val="24"/>
      <w:szCs w:val="24"/>
    </w:rPr>
  </w:style>
  <w:style w:type="paragraph" w:styleId="978" w:customStyle="1">
    <w:name w:val="目录 91"/>
    <w:basedOn w:val="726"/>
    <w:next w:val="726"/>
    <w:uiPriority w:val="0"/>
    <w:semiHidden/>
    <w:pPr>
      <w:ind w:left="1680"/>
      <w:jc w:val="left"/>
    </w:pPr>
  </w:style>
  <w:style w:type="paragraph" w:styleId="979" w:customStyle="1">
    <w:name w:val="目录 41"/>
    <w:basedOn w:val="726"/>
    <w:next w:val="726"/>
    <w:uiPriority w:val="0"/>
    <w:semiHidden/>
    <w:pPr>
      <w:ind w:left="630"/>
      <w:jc w:val="left"/>
    </w:pPr>
  </w:style>
  <w:style w:type="paragraph" w:styleId="980" w:customStyle="1">
    <w:name w:val="图表目录1"/>
    <w:basedOn w:val="726"/>
    <w:next w:val="726"/>
    <w:uiPriority w:val="0"/>
    <w:semiHidden/>
    <w:pPr>
      <w:ind w:left="840" w:hanging="420"/>
    </w:pPr>
  </w:style>
  <w:style w:type="paragraph" w:styleId="981" w:customStyle="1">
    <w:name w:val="目录 71"/>
    <w:basedOn w:val="726"/>
    <w:next w:val="726"/>
    <w:uiPriority w:val="0"/>
    <w:semiHidden/>
    <w:pPr>
      <w:ind w:left="1260"/>
      <w:jc w:val="left"/>
    </w:pPr>
  </w:style>
  <w:style w:type="paragraph" w:styleId="982" w:customStyle="1">
    <w:name w:val="列表1"/>
    <w:basedOn w:val="726"/>
    <w:uiPriority w:val="0"/>
    <w:pPr>
      <w:ind w:left="200" w:hanging="200"/>
    </w:pPr>
  </w:style>
  <w:style w:type="paragraph" w:styleId="983" w:customStyle="1">
    <w:name w:val="目录 31"/>
    <w:basedOn w:val="726"/>
    <w:next w:val="726"/>
    <w:uiPriority w:val="0"/>
    <w:semiHidden/>
    <w:pPr>
      <w:ind w:left="420"/>
      <w:jc w:val="left"/>
    </w:pPr>
    <w:rPr>
      <w:i/>
      <w:iCs/>
      <w:szCs w:val="24"/>
    </w:rPr>
  </w:style>
  <w:style w:type="paragraph" w:styleId="984" w:customStyle="1">
    <w:name w:val="索引 11"/>
    <w:basedOn w:val="726"/>
    <w:next w:val="726"/>
    <w:uiPriority w:val="0"/>
    <w:semiHidden/>
    <w:pPr>
      <w:spacing w:line="240" w:lineRule="atLeast"/>
    </w:pPr>
    <w:rPr>
      <w:b/>
      <w:bCs/>
    </w:rPr>
  </w:style>
  <w:style w:type="paragraph" w:styleId="985" w:customStyle="1">
    <w:name w:val="目录 51"/>
    <w:basedOn w:val="726"/>
    <w:next w:val="726"/>
    <w:uiPriority w:val="0"/>
    <w:semiHidden/>
    <w:pPr>
      <w:ind w:left="840"/>
      <w:jc w:val="left"/>
    </w:pPr>
  </w:style>
  <w:style w:type="paragraph" w:styleId="986" w:customStyle="1">
    <w:name w:val="列表 31"/>
    <w:basedOn w:val="726"/>
    <w:uiPriority w:val="0"/>
    <w:pPr>
      <w:ind w:left="100" w:hanging="200"/>
    </w:pPr>
  </w:style>
  <w:style w:type="paragraph" w:styleId="987" w:customStyle="1">
    <w:name w:val="目录 21"/>
    <w:basedOn w:val="726"/>
    <w:next w:val="726"/>
    <w:uiPriority w:val="0"/>
    <w:semiHidden/>
    <w:pPr>
      <w:ind w:left="210"/>
      <w:jc w:val="left"/>
    </w:pPr>
    <w:rPr>
      <w:smallCaps/>
      <w:szCs w:val="24"/>
    </w:rPr>
  </w:style>
  <w:style w:type="paragraph" w:styleId="988" w:customStyle="1">
    <w:name w:val="目录 81"/>
    <w:basedOn w:val="726"/>
    <w:next w:val="726"/>
    <w:uiPriority w:val="0"/>
    <w:semiHidden/>
    <w:pPr>
      <w:ind w:left="1470"/>
      <w:jc w:val="left"/>
    </w:pPr>
  </w:style>
  <w:style w:type="paragraph" w:styleId="989" w:customStyle="1">
    <w:name w:val="xl24"/>
    <w:basedOn w:val="72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Char Char Char"/>
    <w:basedOn w:val="953"/>
    <w:uiPriority w:val="0"/>
    <w:pPr>
      <w:spacing w:line="360" w:lineRule="auto"/>
    </w:pPr>
    <w:rPr>
      <w:rFonts w:ascii="Tahoma" w:hAnsi="Tahoma"/>
      <w:sz w:val="24"/>
      <w:szCs w:val="24"/>
    </w:rPr>
  </w:style>
  <w:style w:type="paragraph" w:styleId="991" w:customStyle="1">
    <w:name w:val="列表 21"/>
    <w:basedOn w:val="726"/>
    <w:uiPriority w:val="0"/>
    <w:pPr>
      <w:ind w:left="100" w:hanging="200"/>
    </w:pPr>
  </w:style>
  <w:style w:type="paragraph" w:styleId="992" w:customStyle="1">
    <w:name w:val="普通正文"/>
    <w:basedOn w:val="726"/>
    <w:uiPriority w:val="0"/>
    <w:pPr>
      <w:ind w:firstLine="480"/>
      <w:jc w:val="left"/>
      <w:spacing w:before="120" w:after="120" w:line="360" w:lineRule="auto"/>
    </w:pPr>
    <w:rPr>
      <w:rFonts w:ascii="Arial" w:hAnsi="Arial"/>
      <w:sz w:val="24"/>
      <w:szCs w:val="24"/>
    </w:rPr>
  </w:style>
  <w:style w:type="paragraph" w:styleId="993" w:customStyle="1">
    <w:name w:val="font7"/>
    <w:basedOn w:val="726"/>
    <w:uiPriority w:val="0"/>
    <w:pPr>
      <w:jc w:val="left"/>
      <w:spacing w:before="100" w:beforeAutospacing="1" w:after="100" w:afterAutospacing="1"/>
      <w:widowControl/>
    </w:pPr>
    <w:rPr>
      <w:rFonts w:hint="eastAsia" w:ascii="宋体" w:hAnsi="宋体"/>
      <w:sz w:val="18"/>
      <w:szCs w:val="18"/>
    </w:rPr>
  </w:style>
  <w:style w:type="paragraph" w:styleId="994" w:customStyle="1">
    <w:name w:val="图标"/>
    <w:basedOn w:val="726"/>
    <w:next w:val="72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font6"/>
    <w:basedOn w:val="726"/>
    <w:uiPriority w:val="0"/>
    <w:pPr>
      <w:jc w:val="left"/>
      <w:spacing w:before="100" w:beforeAutospacing="1" w:after="100" w:afterAutospacing="1"/>
      <w:widowControl/>
    </w:pPr>
    <w:rPr>
      <w:rFonts w:hint="eastAsia" w:ascii="宋体" w:hAnsi="宋体"/>
      <w:sz w:val="28"/>
      <w:szCs w:val="28"/>
      <w:u w:val="single"/>
    </w:rPr>
  </w:style>
  <w:style w:type="paragraph" w:styleId="996" w:customStyle="1">
    <w:name w:val=" Char"/>
    <w:basedOn w:val="953"/>
    <w:uiPriority w:val="0"/>
    <w:rPr>
      <w:rFonts w:ascii="Tahoma" w:hAnsi="Tahoma"/>
      <w:sz w:val="24"/>
      <w:szCs w:val="24"/>
    </w:rPr>
  </w:style>
  <w:style w:type="paragraph" w:styleId="997" w:customStyle="1">
    <w:name w:val="Char"/>
    <w:basedOn w:val="726"/>
    <w:uiPriority w:val="0"/>
    <w:pPr>
      <w:ind w:firstLine="200"/>
      <w:tabs>
        <w:tab w:val="left" w:pos="360" w:leader="none"/>
      </w:tabs>
    </w:pPr>
    <w:rPr>
      <w:sz w:val="28"/>
      <w:szCs w:val="30"/>
    </w:rPr>
  </w:style>
  <w:style w:type="paragraph" w:styleId="998" w:customStyle="1">
    <w:name w:val="xl26"/>
    <w:basedOn w:val="72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0" w:customStyle="1">
    <w:name w:val="普通 (Web)"/>
    <w:basedOn w:val="726"/>
    <w:uiPriority w:val="0"/>
    <w:pPr>
      <w:jc w:val="left"/>
      <w:spacing w:before="100" w:beforeAutospacing="1" w:after="100" w:afterAutospacing="1"/>
      <w:widowControl/>
    </w:pPr>
    <w:rPr>
      <w:rFonts w:ascii="宋体" w:hAnsi="宋体"/>
      <w:sz w:val="24"/>
      <w:szCs w:val="24"/>
    </w:rPr>
  </w:style>
  <w:style w:type="paragraph" w:styleId="1001" w:customStyle="1">
    <w:name w:val="Body Text(ch)"/>
    <w:basedOn w:val="726"/>
    <w:next w:val="931"/>
    <w:uiPriority w:val="0"/>
    <w:pPr>
      <w:spacing w:after="120"/>
    </w:pPr>
    <w:rPr>
      <w:rFonts w:ascii="宋体" w:hAnsi="Arial"/>
      <w:bCs/>
      <w:iCs/>
      <w:szCs w:val="24"/>
    </w:rPr>
  </w:style>
  <w:style w:type="paragraph" w:styleId="1002" w:customStyle="1">
    <w:name w:val="xl27"/>
    <w:basedOn w:val="72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5"/>
    <w:basedOn w:val="72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xl30"/>
    <w:basedOn w:val="726"/>
    <w:uiPriority w:val="0"/>
    <w:pPr>
      <w:jc w:val="center"/>
      <w:spacing w:before="100" w:beforeAutospacing="1" w:after="100" w:afterAutospacing="1"/>
      <w:widowControl/>
    </w:pPr>
    <w:rPr>
      <w:rFonts w:ascii="宋体" w:hAnsi="宋体"/>
      <w:b/>
      <w:bCs/>
      <w:sz w:val="36"/>
      <w:szCs w:val="36"/>
    </w:rPr>
  </w:style>
  <w:style w:type="paragraph" w:styleId="1005" w:customStyle="1">
    <w:name w:val="table_lines"/>
    <w:basedOn w:val="726"/>
    <w:uiPriority w:val="0"/>
    <w:qFormat/>
    <w:pPr>
      <w:jc w:val="left"/>
      <w:widowControl/>
    </w:pPr>
    <w:rPr>
      <w:sz w:val="20"/>
      <w:szCs w:val="20"/>
      <w:lang w:val="de-DE" w:eastAsia="de-DE"/>
    </w:rPr>
  </w:style>
  <w:style w:type="paragraph" w:styleId="1006" w:customStyle="1">
    <w:name w:val="Char Char Char Char Char Char Char Char"/>
    <w:basedOn w:val="726"/>
    <w:uiPriority w:val="0"/>
    <w:pPr>
      <w:jc w:val="left"/>
      <w:spacing w:after="160" w:line="240" w:lineRule="exact"/>
      <w:widowControl/>
    </w:pPr>
    <w:rPr>
      <w:rFonts w:ascii="Verdana" w:hAnsi="Verdana"/>
      <w:sz w:val="20"/>
      <w:szCs w:val="20"/>
      <w:lang w:eastAsia="en-US"/>
    </w:rPr>
  </w:style>
  <w:style w:type="paragraph" w:styleId="1007" w:customStyle="1">
    <w:name w:val="4"/>
    <w:basedOn w:val="726"/>
    <w:next w:val="965"/>
    <w:uiPriority w:val="0"/>
    <w:pPr>
      <w:ind w:firstLine="420"/>
      <w:spacing w:line="360" w:lineRule="auto"/>
    </w:pPr>
    <w:rPr>
      <w:color w:val="ff0000"/>
      <w:sz w:val="24"/>
      <w:szCs w:val="24"/>
    </w:rPr>
  </w:style>
  <w:style w:type="paragraph" w:styleId="100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9" w:customStyle="1">
    <w:name w:val=" Char Char Char Char Char Char Char Char Char Char"/>
    <w:basedOn w:val="726"/>
    <w:uiPriority w:val="0"/>
    <w:pPr>
      <w:spacing w:line="360" w:lineRule="auto"/>
    </w:pPr>
    <w:rPr>
      <w:sz w:val="24"/>
      <w:szCs w:val="20"/>
    </w:rPr>
  </w:style>
  <w:style w:type="paragraph" w:styleId="1010" w:customStyle="1">
    <w:name w:val="列出段落"/>
    <w:basedOn w:val="726"/>
    <w:uiPriority w:val="0"/>
    <w:qFormat/>
    <w:pPr>
      <w:contextualSpacing/>
      <w:ind w:left="720"/>
      <w:jc w:val="left"/>
      <w:widowControl/>
    </w:pPr>
    <w:rPr>
      <w:rFonts w:ascii="Calibri" w:hAnsi="Calibri"/>
      <w:sz w:val="24"/>
      <w:szCs w:val="24"/>
      <w:lang w:eastAsia="en-US" w:bidi="en-US"/>
    </w:rPr>
  </w:style>
  <w:style w:type="paragraph" w:styleId="1011" w:customStyle="1">
    <w:name w:val=" Char Char Char Char Char Char Char Char"/>
    <w:basedOn w:val="726"/>
    <w:uiPriority w:val="0"/>
    <w:pPr>
      <w:jc w:val="left"/>
      <w:spacing w:after="160" w:line="240" w:lineRule="exact"/>
      <w:widowControl/>
    </w:pPr>
    <w:rPr>
      <w:rFonts w:ascii="Verdana" w:hAnsi="Verdana"/>
      <w:sz w:val="20"/>
      <w:szCs w:val="20"/>
      <w:lang w:eastAsia="en-US"/>
    </w:rPr>
  </w:style>
  <w:style w:type="paragraph" w:styleId="1012"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xl28"/>
    <w:basedOn w:val="72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4" w:customStyle="1">
    <w:name w:val="font5"/>
    <w:basedOn w:val="726"/>
    <w:uiPriority w:val="0"/>
    <w:pPr>
      <w:jc w:val="left"/>
      <w:spacing w:before="100" w:beforeAutospacing="1" w:after="100" w:afterAutospacing="1"/>
      <w:widowControl/>
    </w:pPr>
    <w:rPr>
      <w:rFonts w:hint="eastAsia" w:ascii="宋体" w:hAnsi="宋体"/>
      <w:sz w:val="28"/>
      <w:szCs w:val="28"/>
    </w:rPr>
  </w:style>
  <w:style w:type="paragraph" w:styleId="1015" w:customStyle="1">
    <w:name w:val="标题1"/>
    <w:basedOn w:val="726"/>
    <w:next w:val="72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样式1"/>
    <w:basedOn w:val="726"/>
    <w:uiPriority w:val="0"/>
    <w:pPr>
      <w:numPr>
        <w:ilvl w:val="0"/>
        <w:numId w:val="3"/>
      </w:numPr>
    </w:pPr>
    <w:rPr>
      <w:rFonts w:ascii="宋体" w:hAnsi="宋体"/>
    </w:rPr>
  </w:style>
  <w:style w:type="paragraph" w:styleId="1017" w:customStyle="1">
    <w:name w:val="table_1stline"/>
    <w:basedOn w:val="726"/>
    <w:uiPriority w:val="0"/>
    <w:pPr>
      <w:jc w:val="left"/>
      <w:spacing w:before="120"/>
      <w:widowControl/>
    </w:pPr>
    <w:rPr>
      <w:bCs/>
      <w:sz w:val="20"/>
      <w:szCs w:val="20"/>
      <w:lang w:val="de-DE" w:eastAsia="de-DE"/>
    </w:rPr>
  </w:style>
  <w:style w:type="paragraph" w:styleId="1018" w:customStyle="1">
    <w:name w:val=" Char Char Char Char"/>
    <w:basedOn w:val="953"/>
    <w:uiPriority w:val="0"/>
    <w:pPr>
      <w:spacing w:line="360" w:lineRule="auto"/>
    </w:pPr>
    <w:rPr>
      <w:rFonts w:ascii="Tahoma" w:hAnsi="Tahoma"/>
      <w:sz w:val="24"/>
      <w:szCs w:val="24"/>
    </w:rPr>
  </w:style>
  <w:style w:type="paragraph" w:styleId="1019" w:customStyle="1">
    <w:name w:val="标题3"/>
    <w:basedOn w:val="726"/>
    <w:next w:val="726"/>
    <w:uiPriority w:val="0"/>
    <w:pPr>
      <w:ind w:firstLine="624"/>
      <w:spacing w:line="590" w:lineRule="atLeast"/>
    </w:pPr>
    <w:rPr>
      <w:rFonts w:ascii="方正黑体_GBK" w:eastAsia="方正黑体_GBK"/>
      <w:sz w:val="32"/>
      <w:szCs w:val="32"/>
    </w:rPr>
  </w:style>
  <w:style w:type="paragraph" w:styleId="1020" w:customStyle="1">
    <w:name w:val="修订"/>
    <w:uiPriority w:val="99"/>
    <w:semiHidden/>
    <w:rPr>
      <w:rFonts w:hint="default" w:ascii="Times New Roman" w:hAnsi="Times New Roman" w:eastAsia="宋体" w:cs="Times New Roman"/>
      <w:sz w:val="21"/>
      <w:szCs w:val="21"/>
      <w:lang w:val="en-US" w:eastAsia="zh-CN" w:bidi="ar-SA"/>
    </w:rPr>
  </w:style>
  <w:style w:type="table" w:styleId="1021" w:customStyle="1">
    <w:name w:val="网格型1"/>
    <w:basedOn w:val="920"/>
    <w:uiPriority w:val="0"/>
    <w:pPr>
      <w:jc w:val="both"/>
      <w:widowControl w:val="off"/>
    </w:pPr>
    <w:rPr>
      <w:rFonts w:ascii="Times New Roman" w:hAnsi="Times New Roman" w:eastAsia="宋体" w:cs="Times New Roman"/>
      <w:sz w:val="20"/>
      <w:szCs w:val="20"/>
    </w:rPr>
    <w:tblPr/>
  </w:style>
  <w:style w:type="numbering" w:styleId="1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9</cp:revision>
  <dcterms:created xsi:type="dcterms:W3CDTF">2023-03-16T02:16:00Z</dcterms:created>
  <dcterms:modified xsi:type="dcterms:W3CDTF">2026-06-30T08:17:15Z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eyJoZGlkIjoiZmVkMWJhMDkxMmFmM2Y1ZDY5MmEzMjk1YmZkOGRlODYiLCJ1c2VySWQiOiIxNTY4NDI5MjQ3In0=</vt:lpwstr>
  </property>
  <property fmtid="{D5CDD505-2E9C-101B-9397-08002B2CF9AE}" pid="3" name="KSOProductBuildVer">
    <vt:lpwstr>2052-...</vt:lpwstr>
  </property>
  <property fmtid="{D5CDD505-2E9C-101B-9397-08002B2CF9AE}" pid="4" name="ICV">
    <vt:lpwstr>5414851233BB4CD2B95D66D2E3544F03_12</vt:lpwstr>
  </property>
</Properties>
</file>