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ABFBE">
      <w:pPr>
        <w:pStyle w:val="48"/>
        <w:tabs>
          <w:tab w:val="left" w:pos="7642"/>
        </w:tabs>
        <w:ind w:firstLine="0"/>
        <w:rPr>
          <w:rFonts w:hint="eastAsia" w:ascii="宋体" w:hAnsi="宋体"/>
          <w:b/>
          <w:color w:val="000000" w:themeColor="text1"/>
          <w:sz w:val="52"/>
          <w:szCs w:val="52"/>
          <w:highlight w:val="none"/>
          <w14:textFill>
            <w14:solidFill>
              <w14:schemeClr w14:val="tx1"/>
            </w14:solidFill>
          </w14:textFill>
        </w:rPr>
      </w:pPr>
      <w:bookmarkStart w:id="150" w:name="_GoBack"/>
      <w:r>
        <w:rPr>
          <w:rFonts w:ascii="宋体" w:hAnsi="宋体"/>
          <w:b/>
          <w:color w:val="000000" w:themeColor="text1"/>
          <w:sz w:val="52"/>
          <w:szCs w:val="52"/>
          <w:highlight w:val="none"/>
          <w14:textFill>
            <w14:solidFill>
              <w14:schemeClr w14:val="tx1"/>
            </w14:solidFill>
          </w14:textFill>
        </w:rPr>
        <w:tab/>
      </w:r>
    </w:p>
    <w:p w14:paraId="41092A2D">
      <w:pPr>
        <w:pStyle w:val="48"/>
        <w:tabs>
          <w:tab w:val="left" w:pos="7642"/>
        </w:tabs>
        <w:ind w:firstLine="0"/>
        <w:rPr>
          <w:rFonts w:hint="eastAsia" w:ascii="宋体" w:hAnsi="宋体"/>
          <w:b/>
          <w:color w:val="000000" w:themeColor="text1"/>
          <w:sz w:val="52"/>
          <w:szCs w:val="52"/>
          <w:highlight w:val="none"/>
          <w14:textFill>
            <w14:solidFill>
              <w14:schemeClr w14:val="tx1"/>
            </w14:solidFill>
          </w14:textFill>
        </w:rPr>
      </w:pPr>
    </w:p>
    <w:p w14:paraId="5D00B629">
      <w:pPr>
        <w:pStyle w:val="48"/>
        <w:ind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 </w:t>
      </w:r>
      <w:r>
        <w:rPr>
          <w:rFonts w:hint="eastAsia" w:ascii="方正小标宋_GBK" w:hAnsi="方正小标宋_GBK" w:eastAsia="方正小标宋_GBK" w:cs="方正小标宋_GBK"/>
          <w:bCs/>
          <w:color w:val="000000" w:themeColor="text1"/>
          <w:kern w:val="2"/>
          <w:sz w:val="84"/>
          <w:szCs w:val="21"/>
          <w:highlight w:val="none"/>
          <w14:textFill>
            <w14:solidFill>
              <w14:schemeClr w14:val="tx1"/>
            </w14:solidFill>
          </w14:textFill>
        </w:rPr>
        <w:t>竞争性磋商文件</w:t>
      </w:r>
    </w:p>
    <w:p w14:paraId="51D78E69">
      <w:pPr>
        <w:pStyle w:val="48"/>
        <w:ind w:firstLine="0"/>
        <w:rPr>
          <w:rFonts w:hint="eastAsia" w:ascii="宋体" w:hAnsi="宋体"/>
          <w:b/>
          <w:bCs/>
          <w:color w:val="000000" w:themeColor="text1"/>
          <w:sz w:val="32"/>
          <w:szCs w:val="32"/>
          <w:highlight w:val="none"/>
          <w14:textFill>
            <w14:solidFill>
              <w14:schemeClr w14:val="tx1"/>
            </w14:solidFill>
          </w14:textFill>
        </w:rPr>
      </w:pPr>
    </w:p>
    <w:p w14:paraId="7073EF24">
      <w:pPr>
        <w:pStyle w:val="48"/>
        <w:ind w:firstLine="0"/>
        <w:rPr>
          <w:rFonts w:hint="eastAsia" w:ascii="宋体" w:hAnsi="宋体"/>
          <w:b/>
          <w:bCs/>
          <w:color w:val="000000" w:themeColor="text1"/>
          <w:sz w:val="32"/>
          <w:szCs w:val="32"/>
          <w:highlight w:val="none"/>
          <w14:textFill>
            <w14:solidFill>
              <w14:schemeClr w14:val="tx1"/>
            </w14:solidFill>
          </w14:textFill>
        </w:rPr>
      </w:pPr>
    </w:p>
    <w:p w14:paraId="625FD1FB">
      <w:pPr>
        <w:pStyle w:val="48"/>
        <w:ind w:firstLine="0"/>
        <w:rPr>
          <w:rFonts w:hint="eastAsia" w:ascii="宋体" w:hAnsi="宋体"/>
          <w:b/>
          <w:bCs/>
          <w:color w:val="000000" w:themeColor="text1"/>
          <w:sz w:val="32"/>
          <w:szCs w:val="32"/>
          <w:highlight w:val="none"/>
          <w14:textFill>
            <w14:solidFill>
              <w14:schemeClr w14:val="tx1"/>
            </w14:solidFill>
          </w14:textFill>
        </w:rPr>
      </w:pPr>
    </w:p>
    <w:p w14:paraId="3F6CAB5A">
      <w:pPr>
        <w:ind w:firstLine="1807" w:firstLineChars="500"/>
        <w:rPr>
          <w:rFonts w:ascii="宋体"/>
          <w:b/>
          <w:color w:val="000000" w:themeColor="text1"/>
          <w:sz w:val="36"/>
          <w:highlight w:val="none"/>
          <w14:textFill>
            <w14:solidFill>
              <w14:schemeClr w14:val="tx1"/>
            </w14:solidFill>
          </w14:textFill>
        </w:rPr>
      </w:pPr>
      <w:r>
        <w:rPr>
          <w:rFonts w:hint="eastAsia" w:ascii="宋体"/>
          <w:b/>
          <w:color w:val="000000" w:themeColor="text1"/>
          <w:sz w:val="36"/>
          <w:highlight w:val="none"/>
          <w14:textFill>
            <w14:solidFill>
              <w14:schemeClr w14:val="tx1"/>
            </w14:solidFill>
          </w14:textFill>
        </w:rPr>
        <w:t>项目编号：JSZC-320902-RHHH-C2026-0043</w:t>
      </w:r>
    </w:p>
    <w:p w14:paraId="5213F11A">
      <w:pPr>
        <w:jc w:val="center"/>
        <w:rPr>
          <w:rFonts w:eastAsia="黑体"/>
          <w:b/>
          <w:color w:val="000000" w:themeColor="text1"/>
          <w:sz w:val="32"/>
          <w:highlight w:val="none"/>
          <w14:textFill>
            <w14:solidFill>
              <w14:schemeClr w14:val="tx1"/>
            </w14:solidFill>
          </w14:textFill>
        </w:rPr>
      </w:pPr>
    </w:p>
    <w:p w14:paraId="1218CDFF">
      <w:pPr>
        <w:jc w:val="center"/>
        <w:rPr>
          <w:rFonts w:eastAsia="黑体"/>
          <w:b/>
          <w:color w:val="000000" w:themeColor="text1"/>
          <w:sz w:val="32"/>
          <w:highlight w:val="none"/>
          <w14:textFill>
            <w14:solidFill>
              <w14:schemeClr w14:val="tx1"/>
            </w14:solidFill>
          </w14:textFill>
        </w:rPr>
      </w:pPr>
    </w:p>
    <w:p w14:paraId="37B63DD5">
      <w:pPr>
        <w:ind w:firstLine="723" w:firstLineChars="200"/>
        <w:jc w:val="left"/>
        <w:rPr>
          <w:rFonts w:hint="eastAsia" w:ascii="宋体" w:hAnsi="宋体" w:eastAsia="宋体" w:cs="宋体"/>
          <w:b/>
          <w:color w:val="000000" w:themeColor="text1"/>
          <w:sz w:val="36"/>
          <w:szCs w:val="36"/>
          <w:highlight w:val="none"/>
          <w:lang w:eastAsia="zh-CN"/>
          <w14:textFill>
            <w14:solidFill>
              <w14:schemeClr w14:val="tx1"/>
            </w14:solidFill>
          </w14:textFill>
        </w:rPr>
      </w:pPr>
      <w:r>
        <w:rPr>
          <w:rFonts w:hint="eastAsia" w:ascii="宋体"/>
          <w:b/>
          <w:color w:val="000000" w:themeColor="text1"/>
          <w:sz w:val="36"/>
          <w:szCs w:val="36"/>
          <w:highlight w:val="none"/>
          <w14:textFill>
            <w14:solidFill>
              <w14:schemeClr w14:val="tx1"/>
            </w14:solidFill>
          </w14:textFill>
        </w:rPr>
        <w:t>项</w:t>
      </w:r>
      <w:r>
        <w:rPr>
          <w:rFonts w:hint="eastAsia" w:ascii="宋体" w:hAnsi="宋体" w:cs="宋体"/>
          <w:b/>
          <w:color w:val="000000" w:themeColor="text1"/>
          <w:sz w:val="36"/>
          <w:szCs w:val="36"/>
          <w:highlight w:val="none"/>
          <w14:textFill>
            <w14:solidFill>
              <w14:schemeClr w14:val="tx1"/>
            </w14:solidFill>
          </w14:textFill>
        </w:rPr>
        <w:t>目名称：</w:t>
      </w:r>
      <w:r>
        <w:rPr>
          <w:rFonts w:hint="eastAsia" w:ascii="宋体" w:hAnsi="宋体" w:cs="宋体"/>
          <w:b/>
          <w:color w:val="000000" w:themeColor="text1"/>
          <w:sz w:val="36"/>
          <w:szCs w:val="36"/>
          <w:highlight w:val="none"/>
          <w:lang w:eastAsia="zh-CN"/>
          <w14:textFill>
            <w14:solidFill>
              <w14:schemeClr w14:val="tx1"/>
            </w14:solidFill>
          </w14:textFill>
        </w:rPr>
        <w:t>盐城亭湖新区实验小学操场维修改造项目</w:t>
      </w:r>
    </w:p>
    <w:p w14:paraId="3FF9080C">
      <w:pPr>
        <w:rPr>
          <w:rFonts w:ascii="宋体"/>
          <w:b/>
          <w:color w:val="000000" w:themeColor="text1"/>
          <w:sz w:val="32"/>
          <w:highlight w:val="none"/>
          <w14:textFill>
            <w14:solidFill>
              <w14:schemeClr w14:val="tx1"/>
            </w14:solidFill>
          </w14:textFill>
        </w:rPr>
      </w:pPr>
    </w:p>
    <w:p w14:paraId="5AAEAC03">
      <w:pPr>
        <w:rPr>
          <w:rFonts w:ascii="宋体"/>
          <w:b/>
          <w:color w:val="000000" w:themeColor="text1"/>
          <w:sz w:val="32"/>
          <w:highlight w:val="none"/>
          <w14:textFill>
            <w14:solidFill>
              <w14:schemeClr w14:val="tx1"/>
            </w14:solidFill>
          </w14:textFill>
        </w:rPr>
      </w:pPr>
    </w:p>
    <w:p w14:paraId="3E95A082">
      <w:pPr>
        <w:jc w:val="center"/>
        <w:rPr>
          <w:rFonts w:ascii="宋体"/>
          <w:b/>
          <w:color w:val="000000" w:themeColor="text1"/>
          <w:sz w:val="32"/>
          <w:highlight w:val="none"/>
          <w14:textFill>
            <w14:solidFill>
              <w14:schemeClr w14:val="tx1"/>
            </w14:solidFill>
          </w14:textFill>
        </w:rPr>
      </w:pPr>
    </w:p>
    <w:p w14:paraId="5C64174D">
      <w:pPr>
        <w:jc w:val="center"/>
        <w:rPr>
          <w:rFonts w:ascii="宋体"/>
          <w:b/>
          <w:color w:val="000000" w:themeColor="text1"/>
          <w:sz w:val="32"/>
          <w:highlight w:val="none"/>
          <w14:textFill>
            <w14:solidFill>
              <w14:schemeClr w14:val="tx1"/>
            </w14:solidFill>
          </w14:textFill>
        </w:rPr>
      </w:pPr>
    </w:p>
    <w:p w14:paraId="467C1C4A">
      <w:pPr>
        <w:jc w:val="center"/>
        <w:rPr>
          <w:rFonts w:hint="eastAsia" w:ascii="宋体" w:eastAsia="宋体"/>
          <w:bCs/>
          <w:color w:val="000000" w:themeColor="text1"/>
          <w:sz w:val="36"/>
          <w:szCs w:val="36"/>
          <w:highlight w:val="none"/>
          <w:lang w:eastAsia="zh-CN"/>
          <w14:textFill>
            <w14:solidFill>
              <w14:schemeClr w14:val="tx1"/>
            </w14:solidFill>
          </w14:textFill>
        </w:rPr>
      </w:pPr>
      <w:r>
        <w:rPr>
          <w:rFonts w:hint="eastAsia" w:ascii="黑体" w:hAnsi="黑体" w:eastAsia="黑体" w:cs="黑体"/>
          <w:bCs/>
          <w:color w:val="000000" w:themeColor="text1"/>
          <w:spacing w:val="15"/>
          <w:sz w:val="36"/>
          <w:szCs w:val="36"/>
          <w:highlight w:val="none"/>
          <w:lang w:eastAsia="zh-CN"/>
          <w14:textFill>
            <w14:solidFill>
              <w14:schemeClr w14:val="tx1"/>
            </w14:solidFill>
          </w14:textFill>
        </w:rPr>
        <w:t>盐城亭湖新区实验小学</w:t>
      </w:r>
    </w:p>
    <w:p w14:paraId="7CD1428E">
      <w:pPr>
        <w:jc w:val="center"/>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202</w:t>
      </w:r>
      <w:r>
        <w:rPr>
          <w:rFonts w:hint="eastAsia" w:ascii="黑体" w:eastAsia="黑体"/>
          <w:color w:val="000000" w:themeColor="text1"/>
          <w:sz w:val="36"/>
          <w:szCs w:val="36"/>
          <w:highlight w:val="none"/>
          <w:lang w:val="en-US" w:eastAsia="zh-CN"/>
          <w14:textFill>
            <w14:solidFill>
              <w14:schemeClr w14:val="tx1"/>
            </w14:solidFill>
          </w14:textFill>
        </w:rPr>
        <w:t>6</w:t>
      </w:r>
      <w:r>
        <w:rPr>
          <w:rFonts w:ascii="黑体" w:eastAsia="黑体"/>
          <w:color w:val="000000" w:themeColor="text1"/>
          <w:sz w:val="36"/>
          <w:szCs w:val="36"/>
          <w:highlight w:val="none"/>
          <w14:textFill>
            <w14:solidFill>
              <w14:schemeClr w14:val="tx1"/>
            </w14:solidFill>
          </w14:textFill>
        </w:rPr>
        <w:t>年</w:t>
      </w:r>
      <w:r>
        <w:rPr>
          <w:rFonts w:hint="eastAsia" w:ascii="黑体" w:eastAsia="黑体"/>
          <w:color w:val="000000" w:themeColor="text1"/>
          <w:sz w:val="36"/>
          <w:szCs w:val="36"/>
          <w:highlight w:val="none"/>
          <w:lang w:val="en-US" w:eastAsia="zh-CN"/>
          <w14:textFill>
            <w14:solidFill>
              <w14:schemeClr w14:val="tx1"/>
            </w14:solidFill>
          </w14:textFill>
        </w:rPr>
        <w:t>7</w:t>
      </w:r>
      <w:r>
        <w:rPr>
          <w:rFonts w:ascii="黑体" w:eastAsia="黑体"/>
          <w:color w:val="000000" w:themeColor="text1"/>
          <w:sz w:val="36"/>
          <w:szCs w:val="36"/>
          <w:highlight w:val="none"/>
          <w14:textFill>
            <w14:solidFill>
              <w14:schemeClr w14:val="tx1"/>
            </w14:solidFill>
          </w14:textFill>
        </w:rPr>
        <w:t>月</w:t>
      </w:r>
    </w:p>
    <w:p w14:paraId="6C3627A6">
      <w:pPr>
        <w:pStyle w:val="48"/>
        <w:ind w:firstLine="0"/>
        <w:jc w:val="center"/>
        <w:rPr>
          <w:b/>
          <w:bCs/>
          <w:color w:val="000000" w:themeColor="text1"/>
          <w:sz w:val="32"/>
          <w:highlight w:val="none"/>
          <w14:textFill>
            <w14:solidFill>
              <w14:schemeClr w14:val="tx1"/>
            </w14:solidFill>
          </w14:textFill>
        </w:rPr>
      </w:pPr>
    </w:p>
    <w:p w14:paraId="281ABF45">
      <w:pPr>
        <w:rPr>
          <w:rFonts w:ascii="黑体" w:hAnsi="Arial" w:eastAsia="黑体"/>
          <w:b/>
          <w:color w:val="000000" w:themeColor="text1"/>
          <w:sz w:val="44"/>
          <w:szCs w:val="21"/>
          <w:highlight w:val="none"/>
          <w14:textFill>
            <w14:solidFill>
              <w14:schemeClr w14:val="tx1"/>
            </w14:solidFill>
          </w14:textFill>
        </w:rPr>
      </w:pPr>
    </w:p>
    <w:p w14:paraId="3199AAA6">
      <w:pPr>
        <w:rPr>
          <w:rFonts w:ascii="黑体" w:hAnsi="Arial" w:eastAsia="黑体"/>
          <w:b/>
          <w:color w:val="000000" w:themeColor="text1"/>
          <w:sz w:val="44"/>
          <w:szCs w:val="21"/>
          <w:highlight w:val="none"/>
          <w14:textFill>
            <w14:solidFill>
              <w14:schemeClr w14:val="tx1"/>
            </w14:solidFill>
          </w14:textFill>
        </w:rPr>
      </w:pPr>
    </w:p>
    <w:p w14:paraId="3D6B0A70">
      <w:pPr>
        <w:ind w:firstLine="3313" w:firstLineChars="750"/>
        <w:rPr>
          <w:rFonts w:ascii="黑体" w:hAnsi="Arial" w:eastAsia="黑体"/>
          <w:b/>
          <w:color w:val="000000" w:themeColor="text1"/>
          <w:sz w:val="44"/>
          <w:szCs w:val="21"/>
          <w:highlight w:val="none"/>
          <w14:textFill>
            <w14:solidFill>
              <w14:schemeClr w14:val="tx1"/>
            </w14:solidFill>
          </w14:textFill>
        </w:rPr>
        <w:sectPr>
          <w:headerReference r:id="rId4" w:type="first"/>
          <w:footerReference r:id="rId6" w:type="first"/>
          <w:headerReference r:id="rId3" w:type="even"/>
          <w:footerReference r:id="rId5" w:type="even"/>
          <w:pgSz w:w="11906" w:h="16838"/>
          <w:pgMar w:top="1015" w:right="1196" w:bottom="868" w:left="1259" w:header="851" w:footer="907" w:gutter="0"/>
          <w:pgNumType w:fmt="decimal" w:start="1"/>
          <w:cols w:space="720" w:num="1"/>
          <w:docGrid w:type="lines" w:linePitch="286" w:charSpace="0"/>
        </w:sectPr>
      </w:pPr>
    </w:p>
    <w:p w14:paraId="7CE613E6">
      <w:pPr>
        <w:jc w:val="center"/>
        <w:rPr>
          <w:rFonts w:hint="eastAsia" w:ascii="宋体" w:hAnsi="宋体"/>
          <w:b/>
          <w:color w:val="000000" w:themeColor="text1"/>
          <w:sz w:val="48"/>
          <w:szCs w:val="48"/>
          <w:highlight w:val="none"/>
          <w14:textFill>
            <w14:solidFill>
              <w14:schemeClr w14:val="tx1"/>
            </w14:solidFill>
          </w14:textFill>
        </w:rPr>
      </w:pPr>
      <w:r>
        <w:rPr>
          <w:rFonts w:hint="eastAsia" w:ascii="黑体" w:hAnsi="Arial" w:eastAsia="黑体"/>
          <w:b/>
          <w:color w:val="000000" w:themeColor="text1"/>
          <w:sz w:val="48"/>
          <w:szCs w:val="22"/>
          <w:highlight w:val="none"/>
          <w14:textFill>
            <w14:solidFill>
              <w14:schemeClr w14:val="tx1"/>
            </w14:solidFill>
          </w14:textFill>
        </w:rPr>
        <w:t>总 目 录</w:t>
      </w:r>
    </w:p>
    <w:p w14:paraId="5E678647">
      <w:pPr>
        <w:pStyle w:val="27"/>
        <w:spacing w:line="360" w:lineRule="auto"/>
        <w:rPr>
          <w:rFonts w:hint="eastAsia" w:ascii="宋体" w:hAnsi="宋体" w:eastAsia="宋体"/>
          <w:b w:val="0"/>
          <w:color w:val="000000" w:themeColor="text1"/>
          <w:sz w:val="24"/>
          <w:szCs w:val="24"/>
          <w:highlight w:val="none"/>
          <w14:textFill>
            <w14:solidFill>
              <w14:schemeClr w14:val="tx1"/>
            </w14:solidFill>
          </w14:textFill>
        </w:rPr>
      </w:pPr>
    </w:p>
    <w:p w14:paraId="1FD85730">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 xml:space="preserve">第一章   竞争性磋商公告                                       </w:t>
      </w:r>
    </w:p>
    <w:p w14:paraId="1061C4D3">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第二章   供应商须知</w:t>
      </w:r>
    </w:p>
    <w:p w14:paraId="7C3E454B">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第三章   合同条款及格式</w:t>
      </w:r>
    </w:p>
    <w:p w14:paraId="5ADBC2C9">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第四章   项目需求</w:t>
      </w:r>
    </w:p>
    <w:p w14:paraId="2474AC4B">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第五章   评审方法和评审标准</w:t>
      </w:r>
    </w:p>
    <w:p w14:paraId="7147A826">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第六章   竞争性磋商响应文件格式</w:t>
      </w:r>
    </w:p>
    <w:p w14:paraId="34693EEB">
      <w:pPr>
        <w:rPr>
          <w:rFonts w:hint="eastAsia" w:ascii="宋体" w:hAnsi="宋体"/>
          <w:color w:val="000000" w:themeColor="text1"/>
          <w:highlight w:val="none"/>
          <w14:textFill>
            <w14:solidFill>
              <w14:schemeClr w14:val="tx1"/>
            </w14:solidFill>
          </w14:textFill>
        </w:rPr>
      </w:pPr>
    </w:p>
    <w:p w14:paraId="5910A449">
      <w:pPr>
        <w:ind w:firstLine="1680" w:firstLineChars="800"/>
        <w:rPr>
          <w:rFonts w:hint="eastAsia" w:ascii="宋体" w:hAnsi="宋体"/>
          <w:color w:val="000000" w:themeColor="text1"/>
          <w:highlight w:val="none"/>
          <w:lang w:val="en-US" w:eastAsia="zh-CN"/>
          <w14:textFill>
            <w14:solidFill>
              <w14:schemeClr w14:val="tx1"/>
            </w14:solidFill>
          </w14:textFill>
        </w:rPr>
        <w:sectPr>
          <w:footerReference r:id="rId9" w:type="first"/>
          <w:headerReference r:id="rId7" w:type="default"/>
          <w:footerReference r:id="rId8" w:type="default"/>
          <w:pgSz w:w="11906" w:h="16838"/>
          <w:pgMar w:top="1015" w:right="1196" w:bottom="868" w:left="1259" w:header="851" w:footer="907" w:gutter="0"/>
          <w:pgNumType w:fmt="decimal"/>
          <w:cols w:space="720" w:num="1"/>
          <w:docGrid w:type="lines" w:linePitch="286" w:charSpace="0"/>
        </w:sectPr>
      </w:pPr>
    </w:p>
    <w:p w14:paraId="6FFA2FEA">
      <w:pPr>
        <w:ind w:firstLine="1680" w:firstLineChars="800"/>
        <w:rPr>
          <w:rFonts w:ascii="黑体" w:eastAsia="黑体"/>
          <w:color w:val="000000" w:themeColor="text1"/>
          <w:sz w:val="44"/>
          <w:szCs w:val="44"/>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黑体" w:eastAsia="黑体"/>
          <w:color w:val="000000" w:themeColor="text1"/>
          <w:sz w:val="44"/>
          <w:szCs w:val="44"/>
          <w:highlight w:val="none"/>
          <w14:textFill>
            <w14:solidFill>
              <w14:schemeClr w14:val="tx1"/>
            </w14:solidFill>
          </w14:textFill>
        </w:rPr>
        <w:t>第一章 竞争性磋商公告</w:t>
      </w:r>
    </w:p>
    <w:p w14:paraId="5D487236">
      <w:pPr>
        <w:rPr>
          <w:color w:val="000000" w:themeColor="text1"/>
          <w:highlight w:val="none"/>
          <w14:textFill>
            <w14:solidFill>
              <w14:schemeClr w14:val="tx1"/>
            </w14:solidFill>
          </w14:textFill>
        </w:rPr>
      </w:pPr>
      <w:bookmarkStart w:id="0" w:name="_Toc14577347"/>
      <w:bookmarkStart w:id="1" w:name="_Toc61149549"/>
      <w:bookmarkStart w:id="2" w:name="_Toc513029209"/>
    </w:p>
    <w:p w14:paraId="75BFFAC6">
      <w:pPr>
        <w:pBdr>
          <w:top w:val="single" w:color="auto" w:sz="4" w:space="1"/>
          <w:left w:val="single" w:color="auto" w:sz="4" w:space="4"/>
          <w:bottom w:val="single" w:color="auto" w:sz="4" w:space="1"/>
          <w:right w:val="single" w:color="auto" w:sz="4" w:space="4"/>
        </w:pBdr>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项目概况</w:t>
      </w:r>
    </w:p>
    <w:p w14:paraId="7C6AAFAF">
      <w:pPr>
        <w:pBdr>
          <w:top w:val="single" w:color="auto" w:sz="4" w:space="1"/>
          <w:left w:val="single" w:color="auto" w:sz="4" w:space="4"/>
          <w:bottom w:val="single" w:color="auto" w:sz="4" w:space="1"/>
          <w:right w:val="single" w:color="auto" w:sz="4" w:space="4"/>
        </w:pBdr>
        <w:spacing w:line="500" w:lineRule="exact"/>
        <w:ind w:firstLine="480"/>
        <w:rPr>
          <w:color w:val="000000" w:themeColor="text1"/>
          <w:highlight w:val="none"/>
          <w14:textFill>
            <w14:solidFill>
              <w14:schemeClr w14:val="tx1"/>
            </w14:solidFill>
          </w14:textFill>
        </w:rPr>
      </w:pPr>
      <w:bookmarkStart w:id="3" w:name="_Toc28359012"/>
      <w:bookmarkStart w:id="4" w:name="_Toc35393798"/>
      <w:bookmarkStart w:id="5" w:name="_Toc35393629"/>
      <w:bookmarkStart w:id="6" w:name="_Toc28359089"/>
      <w:r>
        <w:rPr>
          <w:rFonts w:hint="eastAsia" w:ascii="宋体" w:hAnsi="宋体" w:cs="Times New Roman"/>
          <w:color w:val="000000" w:themeColor="text1"/>
          <w:kern w:val="2"/>
          <w:sz w:val="24"/>
          <w:szCs w:val="24"/>
          <w:highlight w:val="none"/>
          <w:u w:val="single"/>
          <w:lang w:val="en-US" w:eastAsia="zh-CN" w:bidi="ar-SA"/>
          <w14:textFill>
            <w14:solidFill>
              <w14:schemeClr w14:val="tx1"/>
            </w14:solidFill>
          </w14:textFill>
        </w:rPr>
        <w:t>盐城亭湖新区实验小学操场维修改造项目</w:t>
      </w:r>
      <w:r>
        <w:rPr>
          <w:rFonts w:hint="eastAsia" w:ascii="宋体" w:hAnsi="宋体"/>
          <w:color w:val="000000" w:themeColor="text1"/>
          <w:sz w:val="24"/>
          <w:highlight w:val="none"/>
          <w14:textFill>
            <w14:solidFill>
              <w14:schemeClr w14:val="tx1"/>
            </w14:solidFill>
          </w14:textFill>
        </w:rPr>
        <w:t>的潜在投标人</w:t>
      </w:r>
      <w:r>
        <w:rPr>
          <w:rFonts w:hint="eastAsia" w:ascii="宋体" w:hAnsi="宋体"/>
          <w:color w:val="000000" w:themeColor="text1"/>
          <w:sz w:val="24"/>
          <w:highlight w:val="none"/>
          <w:lang w:val="en-US" w:eastAsia="zh-CN"/>
          <w14:textFill>
            <w14:solidFill>
              <w14:schemeClr w14:val="tx1"/>
            </w14:solidFill>
          </w14:textFill>
        </w:rPr>
        <w:t>可</w:t>
      </w:r>
      <w:r>
        <w:rPr>
          <w:rFonts w:hint="eastAsia" w:ascii="宋体" w:hAnsi="宋体"/>
          <w:color w:val="000000" w:themeColor="text1"/>
          <w:sz w:val="24"/>
          <w:highlight w:val="none"/>
          <w14:textFill>
            <w14:solidFill>
              <w14:schemeClr w14:val="tx1"/>
            </w14:solidFill>
          </w14:textFill>
        </w:rPr>
        <w:t>在“苏采云”系统内免费下载（投标人必须在苏采云系统中获取采购文件，方能参与政府采购项目），并于202</w:t>
      </w: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lang w:val="en-US" w:eastAsia="zh-CN"/>
          <w14:textFill>
            <w14:solidFill>
              <w14:schemeClr w14:val="tx1"/>
            </w14:solidFill>
          </w14:textFill>
        </w:rPr>
        <w:t>27</w:t>
      </w:r>
      <w:r>
        <w:rPr>
          <w:rFonts w:hint="eastAsia" w:ascii="宋体" w:hAnsi="宋体"/>
          <w:color w:val="000000" w:themeColor="text1"/>
          <w:sz w:val="24"/>
          <w:highlight w:val="none"/>
          <w14:textFill>
            <w14:solidFill>
              <w14:schemeClr w14:val="tx1"/>
            </w14:solidFill>
          </w14:textFill>
        </w:rPr>
        <w:t>日</w:t>
      </w:r>
      <w:r>
        <w:rPr>
          <w:rFonts w:hint="eastAsia" w:ascii="宋体" w:hAnsi="宋体"/>
          <w:color w:val="000000" w:themeColor="text1"/>
          <w:sz w:val="24"/>
          <w:highlight w:val="none"/>
          <w:lang w:val="en-US" w:eastAsia="zh-CN"/>
          <w14:textFill>
            <w14:solidFill>
              <w14:schemeClr w14:val="tx1"/>
            </w14:solidFill>
          </w14:textFill>
        </w:rPr>
        <w:t>9</w:t>
      </w:r>
      <w:r>
        <w:rPr>
          <w:rFonts w:hint="eastAsia" w:ascii="宋体" w:hAnsi="宋体"/>
          <w:color w:val="000000" w:themeColor="text1"/>
          <w:sz w:val="24"/>
          <w:highlight w:val="none"/>
          <w14:textFill>
            <w14:solidFill>
              <w14:schemeClr w14:val="tx1"/>
            </w14:solidFill>
          </w14:textFill>
        </w:rPr>
        <w:t>:00（北京时间）前递交投标文件</w:t>
      </w:r>
      <w:r>
        <w:rPr>
          <w:rFonts w:hint="eastAsia" w:ascii="宋体" w:hAnsi="宋体" w:cs="宋体"/>
          <w:color w:val="000000" w:themeColor="text1"/>
          <w:sz w:val="24"/>
          <w:highlight w:val="none"/>
          <w14:textFill>
            <w14:solidFill>
              <w14:schemeClr w14:val="tx1"/>
            </w14:solidFill>
          </w14:textFill>
        </w:rPr>
        <w:t>。</w:t>
      </w:r>
    </w:p>
    <w:p w14:paraId="75C103FF">
      <w:pPr>
        <w:pStyle w:val="4"/>
        <w:spacing w:line="460" w:lineRule="exact"/>
        <w:jc w:val="both"/>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一、项目基本情况</w:t>
      </w:r>
      <w:bookmarkEnd w:id="3"/>
      <w:bookmarkEnd w:id="4"/>
      <w:bookmarkEnd w:id="5"/>
      <w:bookmarkEnd w:id="6"/>
    </w:p>
    <w:p w14:paraId="21635627">
      <w:pPr>
        <w:spacing w:line="460" w:lineRule="exact"/>
        <w:ind w:firstLine="480" w:firstLineChars="200"/>
        <w:rPr>
          <w:rFonts w:hint="eastAsia" w:ascii="宋体" w:hAnsi="宋体" w:cs="宋体"/>
          <w:color w:val="000000" w:themeColor="text1"/>
          <w:sz w:val="24"/>
          <w:highlight w:val="none"/>
          <w:u w:val="singl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1.项目编号：</w:t>
      </w:r>
      <w:r>
        <w:rPr>
          <w:rFonts w:hint="eastAsia" w:ascii="宋体" w:hAnsi="宋体" w:cs="宋体"/>
          <w:color w:val="000000" w:themeColor="text1"/>
          <w:sz w:val="24"/>
          <w:highlight w:val="none"/>
          <w:u w:val="single"/>
          <w:lang w:val="en-US" w:eastAsia="zh-CN"/>
          <w14:textFill>
            <w14:solidFill>
              <w14:schemeClr w14:val="tx1"/>
            </w14:solidFill>
          </w14:textFill>
        </w:rPr>
        <w:t>JSZC-320902-RHHH-C2026-0043</w:t>
      </w:r>
    </w:p>
    <w:p w14:paraId="12AD0E03">
      <w:pPr>
        <w:spacing w:line="460" w:lineRule="exact"/>
        <w:ind w:firstLine="480" w:firstLineChars="200"/>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2.项目名称：</w:t>
      </w:r>
      <w:r>
        <w:rPr>
          <w:rFonts w:hint="eastAsia" w:ascii="宋体" w:hAnsi="宋体" w:cs="宋体"/>
          <w:color w:val="000000" w:themeColor="text1"/>
          <w:sz w:val="24"/>
          <w:highlight w:val="none"/>
          <w:u w:val="single"/>
          <w:lang w:eastAsia="zh-CN"/>
          <w14:textFill>
            <w14:solidFill>
              <w14:schemeClr w14:val="tx1"/>
            </w14:solidFill>
          </w14:textFill>
        </w:rPr>
        <w:t>盐城亭湖新区实验小学操场维修改造项目</w:t>
      </w:r>
    </w:p>
    <w:p w14:paraId="33991835">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3.采购方式：</w:t>
      </w:r>
      <w:r>
        <w:rPr>
          <w:rFonts w:hint="eastAsia" w:ascii="宋体" w:hAnsi="宋体" w:cs="宋体"/>
          <w:color w:val="000000" w:themeColor="text1"/>
          <w:sz w:val="24"/>
          <w:highlight w:val="none"/>
          <w:u w:val="single"/>
          <w14:textFill>
            <w14:solidFill>
              <w14:schemeClr w14:val="tx1"/>
            </w14:solidFill>
          </w14:textFill>
        </w:rPr>
        <w:t>竞争性磋商</w:t>
      </w:r>
    </w:p>
    <w:p w14:paraId="31AAE590">
      <w:pPr>
        <w:keepNext w:val="0"/>
        <w:keepLines w:val="0"/>
        <w:widowControl/>
        <w:suppressLineNumbers w:val="0"/>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4.预算金额：</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109.897076万</w:t>
      </w:r>
      <w:r>
        <w:rPr>
          <w:rFonts w:hint="eastAsia" w:ascii="宋体" w:hAnsi="宋体" w:cs="宋体"/>
          <w:sz w:val="24"/>
          <w:highlight w:val="none"/>
        </w:rPr>
        <w:t>元</w:t>
      </w:r>
      <w:r>
        <w:rPr>
          <w:rFonts w:hint="eastAsia" w:ascii="宋体" w:hAnsi="宋体" w:cs="宋体"/>
          <w:color w:val="000000" w:themeColor="text1"/>
          <w:sz w:val="24"/>
          <w:highlight w:val="none"/>
          <w14:textFill>
            <w14:solidFill>
              <w14:schemeClr w14:val="tx1"/>
            </w14:solidFill>
          </w14:textFill>
        </w:rPr>
        <w:t>。</w:t>
      </w:r>
    </w:p>
    <w:p w14:paraId="4671CCAD">
      <w:pPr>
        <w:spacing w:line="460" w:lineRule="exact"/>
        <w:ind w:firstLine="480" w:firstLineChars="200"/>
        <w:rPr>
          <w:highlight w:val="none"/>
        </w:rPr>
      </w:pPr>
      <w:r>
        <w:rPr>
          <w:rFonts w:hint="eastAsia" w:ascii="宋体" w:hAnsi="宋体" w:cs="宋体"/>
          <w:color w:val="000000" w:themeColor="text1"/>
          <w:sz w:val="24"/>
          <w:highlight w:val="none"/>
          <w14:textFill>
            <w14:solidFill>
              <w14:schemeClr w14:val="tx1"/>
            </w14:solidFill>
          </w14:textFill>
        </w:rPr>
        <w:t>5.最高限价：</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10</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5.27644万</w:t>
      </w:r>
      <w:r>
        <w:rPr>
          <w:rFonts w:hint="eastAsia" w:ascii="宋体" w:hAnsi="宋体" w:cs="宋体"/>
          <w:sz w:val="24"/>
          <w:highlight w:val="none"/>
        </w:rPr>
        <w:t>元</w:t>
      </w:r>
      <w:r>
        <w:rPr>
          <w:rFonts w:hint="eastAsia" w:ascii="宋体" w:hAnsi="宋体"/>
          <w:sz w:val="24"/>
          <w:highlight w:val="none"/>
        </w:rPr>
        <w:t>（响应报价高于最高限价的作无效标处理）。</w:t>
      </w:r>
      <w:bookmarkStart w:id="7" w:name="_Toc28359013"/>
      <w:bookmarkStart w:id="8" w:name="_Toc28359090"/>
      <w:bookmarkStart w:id="9" w:name="_Toc35393799"/>
      <w:bookmarkStart w:id="10" w:name="_Toc35393630"/>
    </w:p>
    <w:p w14:paraId="4BFF470F">
      <w:pPr>
        <w:spacing w:line="460" w:lineRule="exact"/>
        <w:ind w:firstLine="480" w:firstLineChars="200"/>
        <w:rPr>
          <w:rFonts w:hint="eastAsia" w:ascii="宋体" w:hAnsi="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6.采购</w:t>
      </w:r>
      <w:r>
        <w:rPr>
          <w:rFonts w:hint="eastAsia" w:ascii="宋体" w:hAnsi="宋体" w:cs="宋体"/>
          <w:color w:val="auto"/>
          <w:sz w:val="24"/>
          <w:highlight w:val="none"/>
        </w:rPr>
        <w:t>需求：</w:t>
      </w:r>
      <w:r>
        <w:rPr>
          <w:rFonts w:hint="eastAsia" w:ascii="宋体" w:hAnsi="宋体" w:cs="宋体"/>
          <w:color w:val="auto"/>
          <w:sz w:val="24"/>
          <w:highlight w:val="none"/>
          <w:lang w:eastAsia="zh-CN"/>
        </w:rPr>
        <w:t>盐城亭湖新区实验小学操场维修改造项目</w:t>
      </w:r>
      <w:r>
        <w:rPr>
          <w:rFonts w:hint="eastAsia" w:ascii="宋体" w:hAnsi="宋体" w:cs="宋体"/>
          <w:color w:val="auto"/>
          <w:sz w:val="24"/>
          <w:highlight w:val="none"/>
        </w:rPr>
        <w:t>，具体详见</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文件项目需求。</w:t>
      </w:r>
    </w:p>
    <w:p w14:paraId="37E89D13">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7.合同履行期限：</w:t>
      </w:r>
      <w:r>
        <w:rPr>
          <w:rFonts w:hint="eastAsia" w:ascii="宋体" w:hAnsi="宋体" w:eastAsia="宋体" w:cs="宋体"/>
          <w:color w:val="auto"/>
          <w:kern w:val="2"/>
          <w:sz w:val="24"/>
          <w:szCs w:val="24"/>
          <w:highlight w:val="none"/>
          <w:lang w:val="en-US" w:eastAsia="zh-CN" w:bidi="ar-SA"/>
        </w:rPr>
        <w:t>合同签订之日起</w:t>
      </w:r>
      <w:r>
        <w:rPr>
          <w:rFonts w:hint="eastAsia" w:ascii="宋体" w:hAnsi="宋体" w:cs="宋体"/>
          <w:color w:val="auto"/>
          <w:kern w:val="2"/>
          <w:sz w:val="24"/>
          <w:szCs w:val="24"/>
          <w:highlight w:val="none"/>
          <w:lang w:val="en-US" w:eastAsia="zh-CN" w:bidi="ar-SA"/>
        </w:rPr>
        <w:t>30天</w:t>
      </w:r>
      <w:r>
        <w:rPr>
          <w:rFonts w:hint="eastAsia" w:ascii="宋体" w:hAnsi="宋体" w:eastAsia="宋体" w:cs="宋体"/>
          <w:color w:val="auto"/>
          <w:kern w:val="2"/>
          <w:sz w:val="24"/>
          <w:szCs w:val="24"/>
          <w:highlight w:val="none"/>
          <w:lang w:val="en-US" w:eastAsia="zh-CN" w:bidi="ar-SA"/>
        </w:rPr>
        <w:t>内</w:t>
      </w:r>
      <w:r>
        <w:rPr>
          <w:rFonts w:hint="eastAsia" w:ascii="宋体" w:hAnsi="宋体" w:cs="宋体"/>
          <w:color w:val="auto"/>
          <w:kern w:val="2"/>
          <w:sz w:val="24"/>
          <w:szCs w:val="24"/>
          <w:highlight w:val="none"/>
          <w:lang w:val="en-US" w:eastAsia="zh-CN" w:bidi="ar-SA"/>
        </w:rPr>
        <w:t>。</w:t>
      </w:r>
    </w:p>
    <w:p w14:paraId="35E22768">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r>
        <w:rPr>
          <w:rFonts w:hint="eastAsia" w:ascii="宋体" w:hAnsi="宋体" w:cs="宋体"/>
          <w:sz w:val="24"/>
          <w:highlight w:val="none"/>
        </w:rPr>
        <w:t>本项目</w:t>
      </w:r>
      <w:r>
        <w:rPr>
          <w:rFonts w:hint="eastAsia" w:ascii="宋体" w:hAnsi="宋体" w:cs="宋体"/>
          <w:sz w:val="24"/>
          <w:highlight w:val="none"/>
          <w:lang w:val="en-US" w:eastAsia="zh-CN"/>
        </w:rPr>
        <w:t>不</w:t>
      </w:r>
      <w:r>
        <w:rPr>
          <w:rFonts w:hint="eastAsia" w:ascii="宋体" w:hAnsi="宋体" w:cs="宋体"/>
          <w:sz w:val="24"/>
          <w:highlight w:val="none"/>
          <w:u w:val="single"/>
        </w:rPr>
        <w:t>接受</w:t>
      </w:r>
      <w:r>
        <w:rPr>
          <w:rFonts w:hint="eastAsia" w:ascii="宋体" w:hAnsi="宋体" w:cs="宋体"/>
          <w:sz w:val="24"/>
          <w:highlight w:val="none"/>
        </w:rPr>
        <w:t>联合体</w:t>
      </w:r>
      <w:r>
        <w:rPr>
          <w:rFonts w:hint="eastAsia" w:ascii="宋体" w:hAnsi="宋体" w:cs="宋体"/>
          <w:color w:val="000000" w:themeColor="text1"/>
          <w:sz w:val="24"/>
          <w:highlight w:val="none"/>
          <w14:textFill>
            <w14:solidFill>
              <w14:schemeClr w14:val="tx1"/>
            </w14:solidFill>
          </w14:textFill>
        </w:rPr>
        <w:t>。</w:t>
      </w:r>
    </w:p>
    <w:p w14:paraId="4BF97330">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二、申请人的资格要求：</w:t>
      </w:r>
      <w:bookmarkEnd w:id="7"/>
      <w:bookmarkEnd w:id="8"/>
      <w:bookmarkEnd w:id="9"/>
      <w:bookmarkEnd w:id="10"/>
    </w:p>
    <w:p w14:paraId="27B82E7C">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bookmarkStart w:id="11" w:name="_Toc28359091"/>
      <w:bookmarkStart w:id="12" w:name="_Toc28359014"/>
      <w:r>
        <w:rPr>
          <w:rFonts w:hint="eastAsia" w:ascii="宋体" w:hAnsi="宋体" w:cs="宋体"/>
          <w:color w:val="000000" w:themeColor="text1"/>
          <w:sz w:val="24"/>
          <w:highlight w:val="none"/>
          <w14:textFill>
            <w14:solidFill>
              <w14:schemeClr w14:val="tx1"/>
            </w14:solidFill>
          </w14:textFill>
        </w:rPr>
        <w:t>1.满足《中华人民共和国政府采购法》第二十二条规定，并提供下列材料：</w:t>
      </w:r>
    </w:p>
    <w:p w14:paraId="18E030AD">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 法人或者其他组织的营业执照等证明文件</w:t>
      </w:r>
      <w:r>
        <w:rPr>
          <w:rFonts w:hint="eastAsia" w:ascii="宋体" w:hAnsi="宋体" w:cs="宋体"/>
          <w:color w:val="000000" w:themeColor="text1"/>
          <w:sz w:val="24"/>
          <w:highlight w:val="none"/>
          <w:lang w:val="en-US" w:eastAsia="zh-CN"/>
          <w14:textFill>
            <w14:solidFill>
              <w14:schemeClr w14:val="tx1"/>
            </w14:solidFill>
          </w14:textFill>
        </w:rPr>
        <w:t>或</w:t>
      </w:r>
      <w:r>
        <w:rPr>
          <w:rFonts w:hint="eastAsia" w:ascii="宋体" w:hAnsi="宋体" w:cs="宋体"/>
          <w:color w:val="000000" w:themeColor="text1"/>
          <w:sz w:val="24"/>
          <w:highlight w:val="none"/>
          <w14:textFill>
            <w14:solidFill>
              <w14:schemeClr w14:val="tx1"/>
            </w14:solidFill>
          </w14:textFill>
        </w:rPr>
        <w:t>自然人的身份证明；</w:t>
      </w:r>
    </w:p>
    <w:p w14:paraId="3A3E8F84">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1.2上一年度的财务状况报表(成立不满一年无需提供)；</w:t>
      </w:r>
    </w:p>
    <w:p w14:paraId="6DCC3BC3">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1.3具备履行合同所必需的设备和专业技术能力的书面声明；</w:t>
      </w:r>
    </w:p>
    <w:p w14:paraId="40B7052B">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2B831CFA">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1.5参加政府采购活动前3年内在经营活动中没有重大违法记录的书面声明。</w:t>
      </w:r>
    </w:p>
    <w:p w14:paraId="786AE8CD">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1.6法律、行政法规规定的其他条件。</w:t>
      </w:r>
    </w:p>
    <w:p w14:paraId="2742E0BF">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9A470D6">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1.8单位负责人为同一人或者存在直接控股、管理关系的不同供应商，不得参加同一合同项下的政府采购活动。</w:t>
      </w:r>
    </w:p>
    <w:p w14:paraId="381A2F1C">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2.落实政府采购政策需满足的资格要求：</w:t>
      </w:r>
      <w:r>
        <w:rPr>
          <w:rFonts w:hint="eastAsia" w:ascii="宋体" w:hAnsi="宋体" w:cs="宋体"/>
          <w:color w:val="auto"/>
          <w:sz w:val="24"/>
          <w:highlight w:val="none"/>
        </w:rPr>
        <w:t>本项目为专门面向中小企业采购的项目</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供应商必须为中小微企业，不接受非中小型企业参与本项目投标（具体中小企业划分标准详见《关于印发中小企业划型标准规定的通知》工信部联企业〔2011〕300号）。</w:t>
      </w:r>
    </w:p>
    <w:p w14:paraId="5FD95533">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bookmarkStart w:id="13" w:name="_Toc35393800"/>
      <w:bookmarkStart w:id="14" w:name="_Toc35393631"/>
      <w:r>
        <w:rPr>
          <w:rFonts w:hint="eastAsia" w:ascii="宋体" w:hAnsi="宋体" w:cs="宋体"/>
          <w:color w:val="000000" w:themeColor="text1"/>
          <w:sz w:val="24"/>
          <w:highlight w:val="none"/>
          <w14:textFill>
            <w14:solidFill>
              <w14:schemeClr w14:val="tx1"/>
            </w14:solidFill>
          </w14:textFill>
        </w:rPr>
        <w:t>3.投标人资质等级及范围</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投标人须具有建设行政主管部门核发的</w:t>
      </w:r>
      <w:r>
        <w:rPr>
          <w:rFonts w:hint="eastAsia" w:ascii="宋体" w:hAnsi="宋体" w:cs="宋体"/>
          <w:color w:val="000000" w:themeColor="text1"/>
          <w:sz w:val="24"/>
          <w:highlight w:val="none"/>
          <w:lang w:val="en-US" w:eastAsia="zh-CN"/>
          <w14:textFill>
            <w14:solidFill>
              <w14:schemeClr w14:val="tx1"/>
            </w14:solidFill>
          </w14:textFill>
        </w:rPr>
        <w:t>市政</w:t>
      </w:r>
      <w:r>
        <w:rPr>
          <w:rFonts w:hint="eastAsia" w:ascii="宋体" w:hAnsi="宋体" w:cs="宋体"/>
          <w:color w:val="000000" w:themeColor="text1"/>
          <w:sz w:val="24"/>
          <w:highlight w:val="none"/>
          <w14:textFill>
            <w14:solidFill>
              <w14:schemeClr w14:val="tx1"/>
            </w14:solidFill>
          </w14:textFill>
        </w:rPr>
        <w:t>工程施工总承包三级及以上资质的独立法人，并具有有效的安全生产许可证。</w:t>
      </w:r>
    </w:p>
    <w:p w14:paraId="4AD9F26C">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4.项目负责人资格类别和等级:具有</w:t>
      </w:r>
      <w:r>
        <w:rPr>
          <w:rFonts w:hint="eastAsia" w:ascii="宋体" w:hAnsi="宋体" w:cs="宋体"/>
          <w:color w:val="000000" w:themeColor="text1"/>
          <w:sz w:val="24"/>
          <w:highlight w:val="none"/>
          <w:lang w:val="en-US" w:eastAsia="zh-CN"/>
          <w14:textFill>
            <w14:solidFill>
              <w14:schemeClr w14:val="tx1"/>
            </w14:solidFill>
          </w14:textFill>
        </w:rPr>
        <w:t>市政</w:t>
      </w:r>
      <w:r>
        <w:rPr>
          <w:rFonts w:hint="eastAsia" w:ascii="宋体" w:hAnsi="宋体" w:cs="宋体"/>
          <w:color w:val="000000" w:themeColor="text1"/>
          <w:sz w:val="24"/>
          <w:highlight w:val="none"/>
          <w14:textFill>
            <w14:solidFill>
              <w14:schemeClr w14:val="tx1"/>
            </w14:solidFill>
          </w14:textFill>
        </w:rPr>
        <w:t>工程专业二级及以上注册建造师资格，同时具有有效的安全生产考核合格证（B类）。</w:t>
      </w:r>
    </w:p>
    <w:p w14:paraId="3F2C128B">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5.项目负责人从本工程响应文件递交截止之日起必须满足下列条件：</w:t>
      </w:r>
    </w:p>
    <w:p w14:paraId="514AC25A">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（1）项目负责人不得同时在两个或者两个以上单位受聘或者执业。</w:t>
      </w:r>
    </w:p>
    <w:p w14:paraId="7A163CA0">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（2）项目负责人是非变更后无在建工程，或项目负责人是变更后无在建工程（必须原合同工期已满且变更备案之日已满 6个月），或因非承包人原因致使工程项目停工或因故不能按期开工、且已办理了项目负责人解锁手续。</w:t>
      </w:r>
    </w:p>
    <w:p w14:paraId="111DD4B2">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项目负责人投标截止时不得同时在其他建设工程项目中担任现场管理人员、不在本项目兼任本项目的其它岗位。 </w:t>
      </w:r>
    </w:p>
    <w:p w14:paraId="5A142C6B">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4C96635C">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本项目招标文件项目负责人有在养护期内的绿化养护、市政养护项目的，不属于招标公告及文件规定的有在建工程。绿化养护、市政养护工程招标，对项目负责人是否有在建工程不作要求。</w:t>
      </w:r>
    </w:p>
    <w:bookmarkEnd w:id="11"/>
    <w:bookmarkEnd w:id="12"/>
    <w:bookmarkEnd w:id="13"/>
    <w:bookmarkEnd w:id="14"/>
    <w:p w14:paraId="5716EC9C">
      <w:pPr>
        <w:spacing w:line="460" w:lineRule="exact"/>
        <w:ind w:firstLine="482" w:firstLineChars="200"/>
        <w:rPr>
          <w:rFonts w:hint="eastAsia" w:ascii="宋体" w:hAnsi="宋体" w:cs="宋体"/>
          <w:b/>
          <w:color w:val="000000" w:themeColor="text1"/>
          <w:sz w:val="24"/>
          <w:highlight w:val="none"/>
          <w14:textFill>
            <w14:solidFill>
              <w14:schemeClr w14:val="tx1"/>
            </w14:solidFill>
          </w14:textFill>
        </w:rPr>
      </w:pPr>
      <w:bookmarkStart w:id="15" w:name="_Toc35393801"/>
      <w:bookmarkStart w:id="16" w:name="_Toc35393632"/>
      <w:bookmarkStart w:id="17" w:name="_Toc28359015"/>
      <w:bookmarkStart w:id="18" w:name="_Toc28359092"/>
      <w:r>
        <w:rPr>
          <w:rFonts w:hint="eastAsia" w:ascii="宋体" w:hAnsi="宋体" w:cs="宋体"/>
          <w:b/>
          <w:color w:val="000000" w:themeColor="text1"/>
          <w:sz w:val="24"/>
          <w:highlight w:val="none"/>
          <w14:textFill>
            <w14:solidFill>
              <w14:schemeClr w14:val="tx1"/>
            </w14:solidFill>
          </w14:textFill>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bookmarkEnd w:id="15"/>
    <w:bookmarkEnd w:id="16"/>
    <w:bookmarkEnd w:id="17"/>
    <w:bookmarkEnd w:id="18"/>
    <w:p w14:paraId="27CB6934">
      <w:pPr>
        <w:spacing w:line="460" w:lineRule="exact"/>
        <w:ind w:firstLine="480"/>
        <w:rPr>
          <w:rFonts w:hint="eastAsia" w:ascii="宋体" w:hAnsi="宋体" w:cs="宋体"/>
          <w:color w:val="000000" w:themeColor="text1"/>
          <w:sz w:val="24"/>
          <w:highlight w:val="none"/>
          <w14:textFill>
            <w14:solidFill>
              <w14:schemeClr w14:val="tx1"/>
            </w14:solidFill>
          </w14:textFill>
        </w:rPr>
      </w:pPr>
      <w:bookmarkStart w:id="19" w:name="_Toc35393624"/>
      <w:bookmarkStart w:id="20" w:name="_Toc35393793"/>
      <w:bookmarkStart w:id="21" w:name="_Toc28359082"/>
      <w:bookmarkStart w:id="22" w:name="_Toc28359005"/>
      <w:bookmarkStart w:id="23" w:name="_Toc28359084"/>
      <w:bookmarkStart w:id="24" w:name="_Toc28359007"/>
      <w:bookmarkStart w:id="25" w:name="_Toc35393794"/>
      <w:bookmarkStart w:id="26" w:name="_Toc35393625"/>
      <w:bookmarkStart w:id="27" w:name="_Toc28359018"/>
      <w:bookmarkStart w:id="28" w:name="_Toc28359095"/>
      <w:bookmarkStart w:id="29" w:name="_Toc35393805"/>
      <w:bookmarkStart w:id="30" w:name="_Toc35393636"/>
      <w:r>
        <w:rPr>
          <w:rFonts w:hint="eastAsia" w:ascii="宋体" w:hAnsi="宋体" w:eastAsia="宋体" w:cs="宋体"/>
          <w:color w:val="auto"/>
          <w:sz w:val="24"/>
          <w:szCs w:val="24"/>
          <w:highlight w:val="none"/>
          <w:shd w:val="clear" w:color="auto" w:fill="auto"/>
        </w:rPr>
        <w:t>1.</w:t>
      </w:r>
      <w:r>
        <w:rPr>
          <w:rFonts w:hint="eastAsia" w:ascii="宋体" w:hAnsi="宋体" w:cs="宋体"/>
          <w:color w:val="000000" w:themeColor="text1"/>
          <w:sz w:val="24"/>
          <w:highlight w:val="none"/>
          <w14:textFill>
            <w14:solidFill>
              <w14:schemeClr w14:val="tx1"/>
            </w14:solidFill>
          </w14:textFill>
        </w:rPr>
        <w:t>时间：自招标文件公告发布之日起5个工作日 </w:t>
      </w:r>
    </w:p>
    <w:p w14:paraId="51E79C59">
      <w:pPr>
        <w:spacing w:line="46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auto"/>
          <w:kern w:val="0"/>
          <w:sz w:val="24"/>
          <w:szCs w:val="24"/>
          <w:highlight w:val="none"/>
          <w:shd w:val="clear" w:color="auto" w:fill="auto"/>
          <w:lang w:val="en-US" w:eastAsia="zh-CN" w:bidi="ar-SA"/>
        </w:rPr>
        <w:t>2.</w:t>
      </w:r>
      <w:r>
        <w:rPr>
          <w:rFonts w:hint="eastAsia" w:ascii="宋体" w:hAnsi="宋体" w:cs="宋体"/>
          <w:color w:val="000000" w:themeColor="text1"/>
          <w:sz w:val="24"/>
          <w:highlight w:val="none"/>
          <w14:textFill>
            <w14:solidFill>
              <w14:schemeClr w14:val="tx1"/>
            </w14:solidFill>
          </w14:textFill>
        </w:rPr>
        <w:t>地点：“苏采云”系统内免费下载（投标人必须在苏采云系统中获取采购文件，方能参与政府采购项目）</w:t>
      </w:r>
    </w:p>
    <w:p w14:paraId="371E72C4">
      <w:pPr>
        <w:spacing w:line="46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auto"/>
          <w:kern w:val="0"/>
          <w:sz w:val="24"/>
          <w:szCs w:val="24"/>
          <w:highlight w:val="none"/>
          <w:shd w:val="clear" w:color="auto" w:fill="auto"/>
          <w:lang w:val="en-US" w:eastAsia="zh-CN" w:bidi="ar-SA"/>
        </w:rPr>
        <w:t>3.</w:t>
      </w:r>
      <w:r>
        <w:rPr>
          <w:rFonts w:hint="eastAsia" w:ascii="宋体" w:hAnsi="宋体" w:cs="宋体"/>
          <w:color w:val="000000" w:themeColor="text1"/>
          <w:sz w:val="24"/>
          <w:highlight w:val="none"/>
          <w14:textFill>
            <w14:solidFill>
              <w14:schemeClr w14:val="tx1"/>
            </w14:solidFill>
          </w14:textFill>
        </w:rPr>
        <w:t>方式：本项目采用网上注册登记方式。  </w:t>
      </w:r>
    </w:p>
    <w:p w14:paraId="3021DBD8">
      <w:pPr>
        <w:pStyle w:val="35"/>
        <w:keepNext/>
        <w:keepLines/>
        <w:spacing w:before="145" w:beforeAutospacing="0" w:after="145" w:afterAutospacing="0" w:line="460" w:lineRule="exact"/>
        <w:ind w:firstLine="498"/>
        <w:jc w:val="both"/>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售价：0.00元</w:t>
      </w:r>
      <w:bookmarkEnd w:id="19"/>
      <w:bookmarkEnd w:id="20"/>
      <w:bookmarkEnd w:id="21"/>
      <w:bookmarkEnd w:id="22"/>
    </w:p>
    <w:p w14:paraId="006E31C1">
      <w:pPr>
        <w:pStyle w:val="35"/>
        <w:keepNext/>
        <w:keepLines/>
        <w:spacing w:before="145" w:beforeAutospacing="0" w:after="145" w:afterAutospacing="0" w:line="460" w:lineRule="exact"/>
        <w:ind w:firstLine="498"/>
        <w:jc w:val="both"/>
        <w:rPr>
          <w:rFonts w:hint="eastAsia"/>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四、响应文件提交</w:t>
      </w:r>
    </w:p>
    <w:p w14:paraId="6177EC6D">
      <w:pPr>
        <w:spacing w:line="46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1.截止时间：</w:t>
      </w:r>
      <w:r>
        <w:rPr>
          <w:rFonts w:hint="eastAsia" w:ascii="宋体" w:hAnsi="宋体" w:cs="宋体"/>
          <w:color w:val="000000" w:themeColor="text1"/>
          <w:sz w:val="24"/>
          <w:highlight w:val="none"/>
          <w:u w:val="single"/>
          <w14:textFill>
            <w14:solidFill>
              <w14:schemeClr w14:val="tx1"/>
            </w14:solidFill>
          </w14:textFill>
        </w:rPr>
        <w:t>202</w:t>
      </w:r>
      <w:r>
        <w:rPr>
          <w:rFonts w:hint="eastAsia" w:ascii="宋体" w:hAnsi="宋体" w:cs="宋体"/>
          <w:color w:val="000000" w:themeColor="text1"/>
          <w:sz w:val="24"/>
          <w:highlight w:val="none"/>
          <w:u w:val="single"/>
          <w:lang w:val="en-US" w:eastAsia="zh-CN"/>
          <w14:textFill>
            <w14:solidFill>
              <w14:schemeClr w14:val="tx1"/>
            </w14:solidFill>
          </w14:textFill>
        </w:rPr>
        <w:t>6</w:t>
      </w:r>
      <w:r>
        <w:rPr>
          <w:rFonts w:hint="eastAsia" w:ascii="宋体" w:hAnsi="宋体" w:cs="宋体"/>
          <w:color w:val="000000" w:themeColor="text1"/>
          <w:sz w:val="24"/>
          <w:highlight w:val="none"/>
          <w:u w:val="single"/>
          <w14:textFill>
            <w14:solidFill>
              <w14:schemeClr w14:val="tx1"/>
            </w14:solidFill>
          </w14:textFill>
        </w:rPr>
        <w:t>年</w:t>
      </w:r>
      <w:r>
        <w:rPr>
          <w:rFonts w:hint="eastAsia" w:ascii="宋体" w:hAnsi="宋体" w:cs="宋体"/>
          <w:color w:val="000000" w:themeColor="text1"/>
          <w:sz w:val="24"/>
          <w:highlight w:val="none"/>
          <w:u w:val="single"/>
          <w:lang w:val="en-US" w:eastAsia="zh-CN"/>
          <w14:textFill>
            <w14:solidFill>
              <w14:schemeClr w14:val="tx1"/>
            </w14:solidFill>
          </w14:textFill>
        </w:rPr>
        <w:t>7</w:t>
      </w:r>
      <w:r>
        <w:rPr>
          <w:rFonts w:hint="eastAsia" w:ascii="宋体" w:hAnsi="宋体" w:cs="宋体"/>
          <w:color w:val="000000" w:themeColor="text1"/>
          <w:sz w:val="24"/>
          <w:highlight w:val="none"/>
          <w:u w:val="single"/>
          <w14:textFill>
            <w14:solidFill>
              <w14:schemeClr w14:val="tx1"/>
            </w14:solidFill>
          </w14:textFill>
        </w:rPr>
        <w:t>月</w:t>
      </w:r>
      <w:r>
        <w:rPr>
          <w:rFonts w:hint="eastAsia" w:ascii="宋体" w:hAnsi="宋体" w:cs="宋体"/>
          <w:color w:val="000000" w:themeColor="text1"/>
          <w:sz w:val="24"/>
          <w:highlight w:val="none"/>
          <w:u w:val="single"/>
          <w:lang w:val="en-US" w:eastAsia="zh-CN"/>
          <w14:textFill>
            <w14:solidFill>
              <w14:schemeClr w14:val="tx1"/>
            </w14:solidFill>
          </w14:textFill>
        </w:rPr>
        <w:t>27</w:t>
      </w:r>
      <w:r>
        <w:rPr>
          <w:rFonts w:hint="eastAsia" w:ascii="宋体" w:hAnsi="宋体" w:cs="宋体"/>
          <w:color w:val="000000" w:themeColor="text1"/>
          <w:sz w:val="24"/>
          <w:highlight w:val="none"/>
          <w:u w:val="single"/>
          <w14:textFill>
            <w14:solidFill>
              <w14:schemeClr w14:val="tx1"/>
            </w14:solidFill>
          </w14:textFill>
        </w:rPr>
        <w:t xml:space="preserve">日 </w:t>
      </w:r>
      <w:r>
        <w:rPr>
          <w:rFonts w:hint="eastAsia" w:ascii="宋体" w:hAnsi="宋体" w:cs="宋体"/>
          <w:color w:val="000000" w:themeColor="text1"/>
          <w:sz w:val="24"/>
          <w:highlight w:val="none"/>
          <w:u w:val="single"/>
          <w:lang w:val="en-US" w:eastAsia="zh-CN"/>
          <w14:textFill>
            <w14:solidFill>
              <w14:schemeClr w14:val="tx1"/>
            </w14:solidFill>
          </w14:textFill>
        </w:rPr>
        <w:t>9</w:t>
      </w:r>
      <w:r>
        <w:rPr>
          <w:rFonts w:hint="eastAsia" w:ascii="宋体" w:hAnsi="宋体" w:cs="宋体"/>
          <w:color w:val="000000" w:themeColor="text1"/>
          <w:sz w:val="24"/>
          <w:highlight w:val="none"/>
          <w:u w:val="single"/>
          <w14:textFill>
            <w14:solidFill>
              <w14:schemeClr w14:val="tx1"/>
            </w14:solidFill>
          </w14:textFill>
        </w:rPr>
        <w:t xml:space="preserve"> 点00分</w:t>
      </w:r>
      <w:r>
        <w:rPr>
          <w:rFonts w:hint="eastAsia" w:ascii="宋体" w:hAnsi="宋体" w:cs="宋体"/>
          <w:color w:val="000000" w:themeColor="text1"/>
          <w:sz w:val="24"/>
          <w:highlight w:val="none"/>
          <w14:textFill>
            <w14:solidFill>
              <w14:schemeClr w14:val="tx1"/>
            </w14:solidFill>
          </w14:textFill>
        </w:rPr>
        <w:t>（北京时间）。</w:t>
      </w:r>
    </w:p>
    <w:p w14:paraId="74EFFE1E">
      <w:pPr>
        <w:spacing w:line="46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.地点：</w:t>
      </w:r>
      <w:r>
        <w:rPr>
          <w:rFonts w:hint="eastAsia" w:ascii="宋体" w:hAnsi="宋体" w:cs="宋体"/>
          <w:color w:val="000000" w:themeColor="text1"/>
          <w:sz w:val="24"/>
          <w:highlight w:val="none"/>
          <w14:textFill>
            <w14:solidFill>
              <w14:schemeClr w14:val="tx1"/>
            </w14:solidFill>
          </w14:textFill>
        </w:rPr>
        <w:t>苏采云“不见面”开标大厅</w:t>
      </w:r>
      <w:r>
        <w:rPr>
          <w:rFonts w:ascii="宋体" w:hAnsi="宋体" w:cs="宋体"/>
          <w:color w:val="000000" w:themeColor="text1"/>
          <w:sz w:val="24"/>
          <w:highlight w:val="none"/>
          <w14:textFill>
            <w14:solidFill>
              <w14:schemeClr w14:val="tx1"/>
            </w14:solidFill>
          </w14:textFill>
        </w:rPr>
        <w:t>。</w:t>
      </w:r>
    </w:p>
    <w:bookmarkEnd w:id="23"/>
    <w:bookmarkEnd w:id="24"/>
    <w:bookmarkEnd w:id="25"/>
    <w:bookmarkEnd w:id="26"/>
    <w:p w14:paraId="04652980">
      <w:pPr>
        <w:pStyle w:val="35"/>
        <w:keepNext/>
        <w:keepLines/>
        <w:spacing w:before="145" w:beforeAutospacing="0" w:after="145" w:afterAutospacing="0" w:line="460" w:lineRule="exact"/>
        <w:ind w:firstLine="498"/>
        <w:jc w:val="both"/>
        <w:rPr>
          <w:rFonts w:hint="eastAsia"/>
          <w:b/>
          <w:color w:val="000000" w:themeColor="text1"/>
          <w:highlight w:val="none"/>
          <w14:textFill>
            <w14:solidFill>
              <w14:schemeClr w14:val="tx1"/>
            </w14:solidFill>
          </w14:textFill>
        </w:rPr>
      </w:pPr>
      <w:bookmarkStart w:id="31" w:name="_Toc35393795"/>
      <w:bookmarkStart w:id="32" w:name="_Toc35393626"/>
      <w:bookmarkStart w:id="33" w:name="_Toc38985268"/>
      <w:r>
        <w:rPr>
          <w:rFonts w:hint="eastAsia"/>
          <w:b/>
          <w:color w:val="000000" w:themeColor="text1"/>
          <w:highlight w:val="none"/>
          <w14:textFill>
            <w14:solidFill>
              <w14:schemeClr w14:val="tx1"/>
            </w14:solidFill>
          </w14:textFill>
        </w:rPr>
        <w:t>五、开启</w:t>
      </w:r>
    </w:p>
    <w:p w14:paraId="1BD4060E">
      <w:pPr>
        <w:spacing w:line="46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1.时间：</w:t>
      </w:r>
      <w:r>
        <w:rPr>
          <w:rFonts w:hint="eastAsia" w:ascii="宋体" w:hAnsi="宋体" w:cs="宋体"/>
          <w:color w:val="000000" w:themeColor="text1"/>
          <w:sz w:val="24"/>
          <w:highlight w:val="none"/>
          <w:u w:val="single"/>
          <w14:textFill>
            <w14:solidFill>
              <w14:schemeClr w14:val="tx1"/>
            </w14:solidFill>
          </w14:textFill>
        </w:rPr>
        <w:t>202</w:t>
      </w:r>
      <w:r>
        <w:rPr>
          <w:rFonts w:hint="eastAsia" w:ascii="宋体" w:hAnsi="宋体" w:cs="宋体"/>
          <w:color w:val="000000" w:themeColor="text1"/>
          <w:sz w:val="24"/>
          <w:highlight w:val="none"/>
          <w:u w:val="single"/>
          <w:lang w:val="en-US" w:eastAsia="zh-CN"/>
          <w14:textFill>
            <w14:solidFill>
              <w14:schemeClr w14:val="tx1"/>
            </w14:solidFill>
          </w14:textFill>
        </w:rPr>
        <w:t>6</w:t>
      </w:r>
      <w:r>
        <w:rPr>
          <w:rFonts w:hint="eastAsia" w:ascii="宋体" w:hAnsi="宋体" w:cs="宋体"/>
          <w:color w:val="000000" w:themeColor="text1"/>
          <w:sz w:val="24"/>
          <w:highlight w:val="none"/>
          <w:u w:val="single"/>
          <w14:textFill>
            <w14:solidFill>
              <w14:schemeClr w14:val="tx1"/>
            </w14:solidFill>
          </w14:textFill>
        </w:rPr>
        <w:t>年</w:t>
      </w:r>
      <w:r>
        <w:rPr>
          <w:rFonts w:hint="eastAsia" w:ascii="宋体" w:hAnsi="宋体" w:cs="宋体"/>
          <w:color w:val="000000" w:themeColor="text1"/>
          <w:sz w:val="24"/>
          <w:highlight w:val="none"/>
          <w:u w:val="single"/>
          <w:lang w:val="en-US" w:eastAsia="zh-CN"/>
          <w14:textFill>
            <w14:solidFill>
              <w14:schemeClr w14:val="tx1"/>
            </w14:solidFill>
          </w14:textFill>
        </w:rPr>
        <w:t>7</w:t>
      </w:r>
      <w:r>
        <w:rPr>
          <w:rFonts w:hint="eastAsia" w:ascii="宋体" w:hAnsi="宋体" w:cs="宋体"/>
          <w:color w:val="000000" w:themeColor="text1"/>
          <w:sz w:val="24"/>
          <w:highlight w:val="none"/>
          <w:u w:val="single"/>
          <w14:textFill>
            <w14:solidFill>
              <w14:schemeClr w14:val="tx1"/>
            </w14:solidFill>
          </w14:textFill>
        </w:rPr>
        <w:t xml:space="preserve"> 月</w:t>
      </w:r>
      <w:r>
        <w:rPr>
          <w:rFonts w:hint="eastAsia" w:ascii="宋体" w:hAnsi="宋体" w:cs="宋体"/>
          <w:color w:val="000000" w:themeColor="text1"/>
          <w:sz w:val="24"/>
          <w:highlight w:val="none"/>
          <w:u w:val="single"/>
          <w:lang w:val="en-US" w:eastAsia="zh-CN"/>
          <w14:textFill>
            <w14:solidFill>
              <w14:schemeClr w14:val="tx1"/>
            </w14:solidFill>
          </w14:textFill>
        </w:rPr>
        <w:t>27</w:t>
      </w:r>
      <w:r>
        <w:rPr>
          <w:rFonts w:hint="eastAsia" w:ascii="宋体" w:hAnsi="宋体" w:cs="宋体"/>
          <w:color w:val="000000" w:themeColor="text1"/>
          <w:sz w:val="24"/>
          <w:highlight w:val="none"/>
          <w:u w:val="single"/>
          <w14:textFill>
            <w14:solidFill>
              <w14:schemeClr w14:val="tx1"/>
            </w14:solidFill>
          </w14:textFill>
        </w:rPr>
        <w:t>日</w:t>
      </w:r>
      <w:r>
        <w:rPr>
          <w:rFonts w:hint="eastAsia" w:ascii="宋体" w:hAnsi="宋体" w:cs="宋体"/>
          <w:color w:val="000000" w:themeColor="text1"/>
          <w:sz w:val="24"/>
          <w:highlight w:val="none"/>
          <w:u w:val="single"/>
          <w:lang w:val="en-US" w:eastAsia="zh-CN"/>
          <w14:textFill>
            <w14:solidFill>
              <w14:schemeClr w14:val="tx1"/>
            </w14:solidFill>
          </w14:textFill>
        </w:rPr>
        <w:t>9</w:t>
      </w:r>
      <w:r>
        <w:rPr>
          <w:rFonts w:hint="eastAsia" w:ascii="宋体" w:hAnsi="宋体" w:cs="宋体"/>
          <w:color w:val="000000" w:themeColor="text1"/>
          <w:sz w:val="24"/>
          <w:highlight w:val="none"/>
          <w:u w:val="single"/>
          <w14:textFill>
            <w14:solidFill>
              <w14:schemeClr w14:val="tx1"/>
            </w14:solidFill>
          </w14:textFill>
        </w:rPr>
        <w:t>点00分</w:t>
      </w:r>
      <w:r>
        <w:rPr>
          <w:rFonts w:hint="eastAsia" w:ascii="宋体" w:hAnsi="宋体" w:cs="宋体"/>
          <w:color w:val="000000" w:themeColor="text1"/>
          <w:sz w:val="24"/>
          <w:highlight w:val="none"/>
          <w14:textFill>
            <w14:solidFill>
              <w14:schemeClr w14:val="tx1"/>
            </w14:solidFill>
          </w14:textFill>
        </w:rPr>
        <w:t>（北京时间）。</w:t>
      </w:r>
      <w:bookmarkEnd w:id="31"/>
      <w:bookmarkEnd w:id="32"/>
      <w:bookmarkEnd w:id="33"/>
    </w:p>
    <w:p w14:paraId="1A623FCC">
      <w:pPr>
        <w:spacing w:line="46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2.地点：</w:t>
      </w:r>
      <w:r>
        <w:rPr>
          <w:rFonts w:hint="eastAsia" w:ascii="宋体" w:hAnsi="宋体" w:cs="宋体"/>
          <w:color w:val="000000" w:themeColor="text1"/>
          <w:sz w:val="24"/>
          <w:highlight w:val="none"/>
          <w:u w:val="single"/>
          <w14:textFill>
            <w14:solidFill>
              <w14:schemeClr w14:val="tx1"/>
            </w14:solidFill>
          </w14:textFill>
        </w:rPr>
        <w:t>苏采云“不见面”开标大厅。</w:t>
      </w:r>
    </w:p>
    <w:p w14:paraId="6BAB2386">
      <w:pPr>
        <w:pStyle w:val="35"/>
        <w:keepNext/>
        <w:keepLines/>
        <w:spacing w:before="145" w:beforeAutospacing="0" w:after="145" w:afterAutospacing="0" w:line="460" w:lineRule="exact"/>
        <w:ind w:firstLine="498"/>
        <w:jc w:val="both"/>
        <w:rPr>
          <w:rFonts w:hint="eastAsia"/>
          <w:b/>
          <w:color w:val="000000" w:themeColor="text1"/>
          <w:highlight w:val="none"/>
          <w14:textFill>
            <w14:solidFill>
              <w14:schemeClr w14:val="tx1"/>
            </w14:solidFill>
          </w14:textFill>
        </w:rPr>
      </w:pPr>
      <w:bookmarkStart w:id="34" w:name="_Toc28359094"/>
      <w:r>
        <w:rPr>
          <w:rFonts w:hint="eastAsia"/>
          <w:b/>
          <w:color w:val="000000" w:themeColor="text1"/>
          <w:highlight w:val="none"/>
          <w14:textFill>
            <w14:solidFill>
              <w14:schemeClr w14:val="tx1"/>
            </w14:solidFill>
          </w14:textFill>
        </w:rPr>
        <w:t>六、公告期限</w:t>
      </w:r>
      <w:bookmarkEnd w:id="34"/>
    </w:p>
    <w:p w14:paraId="0126CF4B">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自本公告发布之日起3个工作日</w:t>
      </w:r>
    </w:p>
    <w:p w14:paraId="39A92A65">
      <w:pPr>
        <w:pStyle w:val="35"/>
        <w:spacing w:before="0" w:beforeAutospacing="0" w:after="0" w:afterAutospacing="0" w:line="520" w:lineRule="exact"/>
        <w:ind w:firstLine="498"/>
        <w:rPr>
          <w:rFonts w:hint="eastAsia"/>
          <w:b/>
          <w:color w:val="000000" w:themeColor="text1"/>
          <w:highlight w:val="none"/>
          <w14:textFill>
            <w14:solidFill>
              <w14:schemeClr w14:val="tx1"/>
            </w14:solidFill>
          </w14:textFill>
        </w:rPr>
      </w:pPr>
      <w:r>
        <w:rPr>
          <w:rFonts w:hint="eastAsia" w:cs="宋体"/>
          <w:b/>
          <w:color w:val="000000" w:themeColor="text1"/>
          <w:sz w:val="24"/>
          <w:highlight w:val="none"/>
          <w:lang w:val="en-US" w:eastAsia="zh-CN"/>
          <w14:textFill>
            <w14:solidFill>
              <w14:schemeClr w14:val="tx1"/>
            </w14:solidFill>
          </w14:textFill>
        </w:rPr>
        <w:t>七、</w:t>
      </w:r>
      <w:r>
        <w:rPr>
          <w:rFonts w:hint="eastAsia"/>
          <w:b/>
          <w:color w:val="000000" w:themeColor="text1"/>
          <w:highlight w:val="none"/>
          <w14:textFill>
            <w14:solidFill>
              <w14:schemeClr w14:val="tx1"/>
            </w14:solidFill>
          </w14:textFill>
        </w:rPr>
        <w:t>其他补充事宜</w:t>
      </w:r>
    </w:p>
    <w:p w14:paraId="0F26751C">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6C5DF4D5">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743A99E5">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 潜在供应商访问电子招标响应交易平台的网络地址和方法：    </w:t>
      </w:r>
    </w:p>
    <w:p w14:paraId="45929CC3">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0E5E0EC9">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2.2潜在投标人访问“苏采云”系统方法：江苏省政府采购网首页-“苏采云”链接。 </w:t>
      </w:r>
    </w:p>
    <w:p w14:paraId="32286706">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2.3 采购文件（后缀名为“.kedt”）、供应商操作手册及政府采购客户端 工具可通过“苏采云”系统相应链接进行下载。 </w:t>
      </w:r>
    </w:p>
    <w:p w14:paraId="16C1BD7B">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2.4采购代理机构将数据电文形式的采购文件加载至“苏采云”系统，供潜在供应商下载或者查阅。 </w:t>
      </w:r>
    </w:p>
    <w:p w14:paraId="4C2670AB">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2.5请潜在投标单位提前安装相应的控件（详见《“苏采云”系统供应商操作手册》）并使用谷歌浏览器登录“苏采云”系统参与不见面开评标。</w:t>
      </w:r>
    </w:p>
    <w:p w14:paraId="3ECE76A7">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如潜在投标人未按上述要求操作，将自行承担所产生的风险。</w:t>
      </w:r>
    </w:p>
    <w:p w14:paraId="1C483CBA">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3.有关本次磋商的事项若存在变动或修改，敬请及时关注采购人在“中国政府采购网”、“江苏政府采购网”、“盐城市政府采购网”发布的更正公告。</w:t>
      </w:r>
    </w:p>
    <w:p w14:paraId="4AF24B27">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4.供应商不得提供虚假材料谋取中标成交的或采取不正当手段诋毁、排挤其他供应商。</w:t>
      </w:r>
    </w:p>
    <w:p w14:paraId="13657D33">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5</w:t>
      </w:r>
      <w:r>
        <w:rPr>
          <w:rFonts w:ascii="宋体" w:hAnsi="宋体" w:eastAsia="宋体" w:cs="宋体"/>
          <w:sz w:val="24"/>
          <w:highlight w:val="none"/>
        </w:rPr>
        <w:t>.</w:t>
      </w:r>
      <w:r>
        <w:rPr>
          <w:rFonts w:hint="eastAsia" w:ascii="宋体" w:hAnsi="宋体" w:eastAsia="宋体" w:cs="宋体"/>
          <w:sz w:val="24"/>
          <w:highlight w:val="none"/>
        </w:rPr>
        <w:t>供应商存在串通投标、以他人名义投标、弄虚作假等违法违规行为，或者无正当理由放弃投标、中标资格，造成项目招标失败的，不得参加该项目重新招标的投标。</w:t>
      </w:r>
    </w:p>
    <w:p w14:paraId="2639A49D">
      <w:pP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6</w:t>
      </w:r>
      <w:r>
        <w:rPr>
          <w:rFonts w:ascii="宋体" w:hAnsi="宋体" w:eastAsia="宋体" w:cs="宋体"/>
          <w:sz w:val="24"/>
          <w:highlight w:val="none"/>
        </w:rPr>
        <w:t>.</w:t>
      </w:r>
      <w:r>
        <w:rPr>
          <w:rFonts w:hint="eastAsia" w:ascii="宋体" w:hAnsi="宋体" w:eastAsia="宋体" w:cs="宋体"/>
          <w:sz w:val="24"/>
          <w:highlight w:val="none"/>
        </w:rPr>
        <w:t>因供应商的系统环境、操作等原因导致项目参与、开评标过程中出现问题由供应商自行承担负责。</w:t>
      </w:r>
    </w:p>
    <w:p w14:paraId="6F586C93">
      <w:pPr>
        <w:numPr>
          <w:ilvl w:val="0"/>
          <w:numId w:val="0"/>
        </w:numPr>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7.本次磋商不收取投标保证金，不收取质量保证金。</w:t>
      </w:r>
    </w:p>
    <w:p w14:paraId="4FA605A1">
      <w:pPr>
        <w:numPr>
          <w:ilvl w:val="0"/>
          <w:numId w:val="0"/>
        </w:numPr>
        <w:adjustRightInd w:val="0"/>
        <w:snapToGrid w:val="0"/>
        <w:spacing w:line="46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八、</w:t>
      </w:r>
      <w:r>
        <w:rPr>
          <w:rFonts w:hint="eastAsia" w:ascii="宋体" w:hAnsi="宋体" w:cs="宋体"/>
          <w:b/>
          <w:bCs/>
          <w:color w:val="000000" w:themeColor="text1"/>
          <w:sz w:val="24"/>
          <w:highlight w:val="none"/>
          <w14:textFill>
            <w14:solidFill>
              <w14:schemeClr w14:val="tx1"/>
            </w14:solidFill>
          </w14:textFill>
        </w:rPr>
        <w:t>凡对本次采购提出询问，请按以下方式联系。</w:t>
      </w:r>
      <w:bookmarkEnd w:id="27"/>
      <w:bookmarkEnd w:id="28"/>
      <w:bookmarkEnd w:id="29"/>
      <w:bookmarkEnd w:id="30"/>
    </w:p>
    <w:p w14:paraId="7D89E0F4">
      <w:pPr>
        <w:keepNext w:val="0"/>
        <w:keepLines w:val="0"/>
        <w:pageBreakBefore w:val="0"/>
        <w:widowControl w:val="0"/>
        <w:kinsoku/>
        <w:wordWrap/>
        <w:overflowPunct/>
        <w:topLinePunct w:val="0"/>
        <w:autoSpaceDE/>
        <w:autoSpaceDN/>
        <w:bidi w:val="0"/>
        <w:adjustRightInd/>
        <w:snapToGrid/>
        <w:spacing w:line="450" w:lineRule="exact"/>
        <w:ind w:left="1080" w:leftChars="371" w:hanging="301" w:hangingChars="125"/>
        <w:jc w:val="left"/>
        <w:textAlignment w:val="auto"/>
        <w:rPr>
          <w:rFonts w:hint="eastAsia" w:ascii="宋体" w:hAnsi="宋体" w:cs="宋体"/>
          <w:b/>
          <w:bCs/>
          <w:sz w:val="24"/>
          <w:highlight w:val="none"/>
        </w:rPr>
      </w:pPr>
      <w:r>
        <w:rPr>
          <w:rFonts w:hint="eastAsia" w:ascii="宋体" w:hAnsi="宋体" w:cs="宋体"/>
          <w:b/>
          <w:bCs/>
          <w:sz w:val="24"/>
          <w:highlight w:val="none"/>
        </w:rPr>
        <w:t>1.采购人信息</w:t>
      </w:r>
    </w:p>
    <w:p w14:paraId="36A83B48">
      <w:pPr>
        <w:keepNext w:val="0"/>
        <w:keepLines w:val="0"/>
        <w:pageBreakBefore w:val="0"/>
        <w:widowControl w:val="0"/>
        <w:kinsoku/>
        <w:wordWrap/>
        <w:overflowPunct/>
        <w:topLinePunct w:val="0"/>
        <w:autoSpaceDE/>
        <w:autoSpaceDN/>
        <w:bidi w:val="0"/>
        <w:adjustRightInd/>
        <w:snapToGrid/>
        <w:spacing w:line="450" w:lineRule="exact"/>
        <w:ind w:left="1078" w:leftChars="485" w:hanging="60" w:hangingChars="25"/>
        <w:jc w:val="left"/>
        <w:textAlignment w:val="auto"/>
        <w:rPr>
          <w:rFonts w:hint="eastAsia" w:ascii="宋体" w:hAnsi="宋体" w:eastAsia="宋体" w:cs="宋体"/>
          <w:sz w:val="24"/>
          <w:highlight w:val="none"/>
          <w:u w:val="none"/>
          <w:lang w:eastAsia="zh-CN"/>
        </w:rPr>
      </w:pPr>
      <w:r>
        <w:rPr>
          <w:rFonts w:hint="eastAsia" w:ascii="宋体" w:hAnsi="宋体" w:cs="宋体"/>
          <w:sz w:val="24"/>
          <w:highlight w:val="none"/>
          <w:u w:val="none"/>
        </w:rPr>
        <w:t>名    称：</w:t>
      </w:r>
      <w:r>
        <w:rPr>
          <w:rFonts w:hint="eastAsia" w:ascii="宋体" w:hAnsi="宋体" w:cs="宋体"/>
          <w:sz w:val="24"/>
          <w:highlight w:val="none"/>
          <w:u w:val="none"/>
          <w:lang w:eastAsia="zh-CN"/>
        </w:rPr>
        <w:t>盐城亭湖新区实验小学</w:t>
      </w:r>
    </w:p>
    <w:p w14:paraId="090791C0">
      <w:pPr>
        <w:keepNext w:val="0"/>
        <w:keepLines w:val="0"/>
        <w:pageBreakBefore w:val="0"/>
        <w:widowControl w:val="0"/>
        <w:kinsoku/>
        <w:wordWrap/>
        <w:overflowPunct/>
        <w:topLinePunct w:val="0"/>
        <w:autoSpaceDE/>
        <w:autoSpaceDN/>
        <w:bidi w:val="0"/>
        <w:adjustRightInd/>
        <w:snapToGrid/>
        <w:spacing w:line="450" w:lineRule="exact"/>
        <w:ind w:left="1078" w:leftChars="485" w:hanging="60" w:hangingChars="25"/>
        <w:jc w:val="left"/>
        <w:textAlignment w:val="auto"/>
        <w:rPr>
          <w:rFonts w:hint="eastAsia" w:ascii="宋体" w:hAnsi="宋体" w:cs="宋体"/>
          <w:sz w:val="24"/>
          <w:highlight w:val="none"/>
          <w:u w:val="none"/>
        </w:rPr>
      </w:pPr>
      <w:r>
        <w:rPr>
          <w:rFonts w:hint="eastAsia" w:ascii="宋体" w:hAnsi="宋体" w:cs="宋体"/>
          <w:sz w:val="24"/>
          <w:highlight w:val="none"/>
          <w:u w:val="none"/>
        </w:rPr>
        <w:t>地    址：江苏省盐城市亭湖区长亭路 9 号</w:t>
      </w:r>
    </w:p>
    <w:p w14:paraId="02E9BBF7">
      <w:pPr>
        <w:keepNext w:val="0"/>
        <w:keepLines w:val="0"/>
        <w:pageBreakBefore w:val="0"/>
        <w:widowControl w:val="0"/>
        <w:kinsoku/>
        <w:wordWrap/>
        <w:overflowPunct/>
        <w:topLinePunct w:val="0"/>
        <w:autoSpaceDE/>
        <w:autoSpaceDN/>
        <w:bidi w:val="0"/>
        <w:adjustRightInd/>
        <w:snapToGrid/>
        <w:spacing w:line="450" w:lineRule="exact"/>
        <w:ind w:left="1078" w:leftChars="485" w:hanging="60" w:hangingChars="25"/>
        <w:jc w:val="left"/>
        <w:textAlignment w:val="auto"/>
        <w:rPr>
          <w:rFonts w:hint="default" w:ascii="宋体" w:hAnsi="宋体" w:cs="宋体"/>
          <w:sz w:val="24"/>
          <w:highlight w:val="none"/>
          <w:u w:val="none"/>
          <w:lang w:val="en-US"/>
        </w:rPr>
      </w:pPr>
      <w:r>
        <w:rPr>
          <w:rFonts w:hint="eastAsia" w:ascii="宋体" w:hAnsi="宋体" w:cs="宋体"/>
          <w:sz w:val="24"/>
          <w:highlight w:val="none"/>
          <w:u w:val="none"/>
        </w:rPr>
        <w:t>联 系 人：</w:t>
      </w:r>
      <w:r>
        <w:rPr>
          <w:rFonts w:hint="eastAsia" w:ascii="宋体" w:hAnsi="宋体" w:cs="宋体"/>
          <w:sz w:val="24"/>
          <w:highlight w:val="none"/>
          <w:u w:val="none"/>
          <w:lang w:val="en-US" w:eastAsia="zh-CN"/>
        </w:rPr>
        <w:t xml:space="preserve"> 戴主任</w:t>
      </w:r>
    </w:p>
    <w:p w14:paraId="77BCB199">
      <w:pPr>
        <w:keepNext w:val="0"/>
        <w:keepLines w:val="0"/>
        <w:pageBreakBefore w:val="0"/>
        <w:widowControl w:val="0"/>
        <w:kinsoku/>
        <w:wordWrap/>
        <w:overflowPunct/>
        <w:topLinePunct w:val="0"/>
        <w:autoSpaceDE/>
        <w:autoSpaceDN/>
        <w:bidi w:val="0"/>
        <w:adjustRightInd/>
        <w:snapToGrid/>
        <w:spacing w:line="450" w:lineRule="exact"/>
        <w:ind w:left="1078" w:leftChars="485" w:hanging="60" w:hangingChars="25"/>
        <w:jc w:val="left"/>
        <w:textAlignment w:val="auto"/>
        <w:rPr>
          <w:rFonts w:ascii="宋体" w:hAnsi="宋体" w:cs="宋体"/>
          <w:sz w:val="24"/>
          <w:highlight w:val="none"/>
          <w:u w:val="none"/>
        </w:rPr>
      </w:pPr>
      <w:r>
        <w:rPr>
          <w:rFonts w:hint="eastAsia" w:ascii="宋体" w:hAnsi="宋体" w:cs="宋体"/>
          <w:sz w:val="24"/>
          <w:highlight w:val="none"/>
          <w:u w:val="none"/>
        </w:rPr>
        <w:t>联系电话：</w:t>
      </w:r>
      <w:r>
        <w:rPr>
          <w:rFonts w:hint="eastAsia" w:ascii="宋体" w:hAnsi="宋体" w:cs="宋体"/>
          <w:sz w:val="24"/>
          <w:highlight w:val="none"/>
          <w:u w:val="none"/>
          <w:lang w:val="en-US" w:eastAsia="zh-CN"/>
        </w:rPr>
        <w:t xml:space="preserve"> 15396885555</w:t>
      </w:r>
      <w:r>
        <w:rPr>
          <w:rFonts w:hint="eastAsia" w:ascii="宋体" w:hAnsi="宋体" w:cs="宋体"/>
          <w:sz w:val="24"/>
          <w:highlight w:val="none"/>
          <w:u w:val="none"/>
        </w:rPr>
        <w:t>　</w:t>
      </w:r>
    </w:p>
    <w:p w14:paraId="474B63B0">
      <w:pPr>
        <w:keepNext w:val="0"/>
        <w:keepLines w:val="0"/>
        <w:pageBreakBefore w:val="0"/>
        <w:widowControl w:val="0"/>
        <w:kinsoku/>
        <w:wordWrap/>
        <w:overflowPunct/>
        <w:topLinePunct w:val="0"/>
        <w:autoSpaceDE/>
        <w:autoSpaceDN/>
        <w:bidi w:val="0"/>
        <w:adjustRightInd/>
        <w:snapToGrid/>
        <w:spacing w:line="450" w:lineRule="exact"/>
        <w:ind w:left="1080" w:leftChars="371" w:hanging="301" w:hangingChars="125"/>
        <w:jc w:val="left"/>
        <w:textAlignment w:val="auto"/>
        <w:rPr>
          <w:rFonts w:ascii="宋体" w:hAnsi="宋体" w:cs="宋体"/>
          <w:b/>
          <w:bCs/>
          <w:sz w:val="24"/>
          <w:highlight w:val="none"/>
        </w:rPr>
      </w:pPr>
      <w:r>
        <w:rPr>
          <w:rFonts w:hint="eastAsia" w:ascii="宋体" w:hAnsi="宋体" w:cs="宋体"/>
          <w:b/>
          <w:bCs/>
          <w:sz w:val="24"/>
          <w:highlight w:val="none"/>
        </w:rPr>
        <w:t>2.招标代理机构信息</w:t>
      </w:r>
    </w:p>
    <w:p w14:paraId="7F4FF46B">
      <w:pPr>
        <w:keepNext w:val="0"/>
        <w:keepLines w:val="0"/>
        <w:pageBreakBefore w:val="0"/>
        <w:widowControl w:val="0"/>
        <w:kinsoku/>
        <w:wordWrap/>
        <w:overflowPunct/>
        <w:topLinePunct w:val="0"/>
        <w:autoSpaceDE/>
        <w:autoSpaceDN/>
        <w:bidi w:val="0"/>
        <w:adjustRightInd/>
        <w:snapToGrid/>
        <w:spacing w:line="450" w:lineRule="exact"/>
        <w:ind w:left="989" w:leftChars="471"/>
        <w:jc w:val="left"/>
        <w:textAlignment w:val="auto"/>
        <w:rPr>
          <w:rFonts w:ascii="宋体" w:hAnsi="宋体" w:cs="宋体"/>
          <w:sz w:val="24"/>
          <w:highlight w:val="none"/>
          <w:u w:val="none"/>
        </w:rPr>
      </w:pPr>
      <w:r>
        <w:rPr>
          <w:rFonts w:hint="eastAsia" w:ascii="宋体" w:hAnsi="宋体" w:cs="宋体"/>
          <w:sz w:val="24"/>
          <w:highlight w:val="none"/>
          <w:u w:val="none"/>
        </w:rPr>
        <w:t>名    称：江苏仁禾中衡工程咨询房地产估价有限公司</w:t>
      </w:r>
    </w:p>
    <w:p w14:paraId="2233653B">
      <w:pPr>
        <w:keepNext w:val="0"/>
        <w:keepLines w:val="0"/>
        <w:pageBreakBefore w:val="0"/>
        <w:widowControl w:val="0"/>
        <w:kinsoku/>
        <w:wordWrap/>
        <w:overflowPunct/>
        <w:topLinePunct w:val="0"/>
        <w:autoSpaceDE/>
        <w:autoSpaceDN/>
        <w:bidi w:val="0"/>
        <w:adjustRightInd/>
        <w:snapToGrid/>
        <w:spacing w:line="450" w:lineRule="exact"/>
        <w:ind w:left="989" w:leftChars="471"/>
        <w:jc w:val="left"/>
        <w:textAlignment w:val="auto"/>
        <w:rPr>
          <w:rFonts w:ascii="宋体" w:hAnsi="宋体" w:cs="宋体"/>
          <w:sz w:val="24"/>
          <w:highlight w:val="none"/>
          <w:u w:val="none"/>
        </w:rPr>
      </w:pPr>
      <w:r>
        <w:rPr>
          <w:rFonts w:hint="eastAsia" w:ascii="宋体" w:hAnsi="宋体" w:cs="宋体"/>
          <w:sz w:val="24"/>
          <w:highlight w:val="none"/>
          <w:u w:val="none"/>
        </w:rPr>
        <w:t>地　　址：盐城市世纪大道1188号服务大厦2007室</w:t>
      </w:r>
    </w:p>
    <w:p w14:paraId="5AB43E99">
      <w:pPr>
        <w:keepNext w:val="0"/>
        <w:keepLines w:val="0"/>
        <w:pageBreakBefore w:val="0"/>
        <w:kinsoku/>
        <w:wordWrap/>
        <w:overflowPunct/>
        <w:topLinePunct w:val="0"/>
        <w:autoSpaceDE/>
        <w:autoSpaceDN/>
        <w:bidi w:val="0"/>
        <w:adjustRightInd/>
        <w:snapToGrid/>
        <w:spacing w:line="440" w:lineRule="exact"/>
        <w:ind w:left="989"/>
        <w:jc w:val="left"/>
        <w:textAlignment w:val="auto"/>
        <w:outlineLvl w:val="9"/>
        <w:rPr>
          <w:rFonts w:ascii="宋体" w:hAnsi="宋体" w:cs="宋体"/>
          <w:sz w:val="24"/>
          <w:highlight w:val="none"/>
        </w:rPr>
      </w:pPr>
      <w:r>
        <w:rPr>
          <w:rFonts w:hint="eastAsia" w:ascii="宋体" w:hAnsi="宋体" w:cs="宋体"/>
          <w:sz w:val="24"/>
          <w:highlight w:val="none"/>
          <w:u w:val="none"/>
        </w:rPr>
        <w:t>联 系 人：</w:t>
      </w:r>
      <w:r>
        <w:rPr>
          <w:rFonts w:hint="eastAsia" w:ascii="宋体" w:hAnsi="宋体" w:cs="宋体"/>
          <w:sz w:val="24"/>
          <w:highlight w:val="none"/>
        </w:rPr>
        <w:t>徐女士</w:t>
      </w:r>
      <w:r>
        <w:rPr>
          <w:rFonts w:hint="eastAsia" w:ascii="宋体" w:hAnsi="宋体" w:cs="宋体"/>
          <w:sz w:val="24"/>
          <w:highlight w:val="none"/>
          <w:lang w:eastAsia="zh-CN"/>
        </w:rPr>
        <w:t>、</w:t>
      </w:r>
      <w:r>
        <w:rPr>
          <w:rFonts w:hint="eastAsia" w:ascii="宋体" w:hAnsi="宋体" w:cs="宋体"/>
          <w:sz w:val="24"/>
          <w:highlight w:val="none"/>
          <w:lang w:val="en-US" w:eastAsia="zh-CN"/>
        </w:rPr>
        <w:t>王先生</w:t>
      </w:r>
      <w:r>
        <w:rPr>
          <w:rFonts w:hint="eastAsia" w:ascii="宋体" w:hAnsi="宋体" w:cs="宋体"/>
          <w:sz w:val="24"/>
          <w:highlight w:val="none"/>
        </w:rPr>
        <w:t xml:space="preserve">      </w:t>
      </w:r>
    </w:p>
    <w:p w14:paraId="2B0DEACB">
      <w:pPr>
        <w:keepNext w:val="0"/>
        <w:keepLines w:val="0"/>
        <w:pageBreakBefore w:val="0"/>
        <w:kinsoku/>
        <w:wordWrap/>
        <w:overflowPunct/>
        <w:topLinePunct w:val="0"/>
        <w:autoSpaceDE/>
        <w:autoSpaceDN/>
        <w:bidi w:val="0"/>
        <w:adjustRightInd/>
        <w:snapToGrid/>
        <w:spacing w:line="440" w:lineRule="exact"/>
        <w:ind w:left="989"/>
        <w:jc w:val="left"/>
        <w:textAlignment w:val="auto"/>
        <w:outlineLvl w:val="9"/>
        <w:rPr>
          <w:rFonts w:hint="default" w:ascii="宋体" w:hAnsi="宋体" w:eastAsia="宋体" w:cs="宋体"/>
          <w:sz w:val="24"/>
          <w:highlight w:val="none"/>
          <w:lang w:val="en-US" w:eastAsia="zh-CN"/>
        </w:rPr>
      </w:pPr>
      <w:r>
        <w:rPr>
          <w:rFonts w:hint="eastAsia" w:ascii="宋体" w:hAnsi="宋体" w:cs="宋体"/>
          <w:sz w:val="24"/>
          <w:highlight w:val="none"/>
        </w:rPr>
        <w:t>联系电话：0515-69085191</w:t>
      </w:r>
      <w:r>
        <w:rPr>
          <w:rFonts w:hint="eastAsia" w:ascii="宋体" w:hAnsi="宋体" w:cs="宋体"/>
          <w:sz w:val="24"/>
          <w:highlight w:val="none"/>
          <w:lang w:eastAsia="zh-CN"/>
        </w:rPr>
        <w:t>、</w:t>
      </w:r>
      <w:r>
        <w:rPr>
          <w:rFonts w:hint="eastAsia" w:ascii="宋体" w:hAnsi="宋体" w:cs="宋体"/>
          <w:sz w:val="24"/>
          <w:highlight w:val="none"/>
          <w:lang w:val="en-US" w:eastAsia="zh-CN"/>
        </w:rPr>
        <w:t>15961991218</w:t>
      </w:r>
    </w:p>
    <w:p w14:paraId="7F77C6B0">
      <w:pPr>
        <w:keepNext w:val="0"/>
        <w:keepLines w:val="0"/>
        <w:pageBreakBefore w:val="0"/>
        <w:widowControl w:val="0"/>
        <w:kinsoku/>
        <w:wordWrap/>
        <w:overflowPunct/>
        <w:topLinePunct w:val="0"/>
        <w:autoSpaceDE/>
        <w:autoSpaceDN/>
        <w:bidi w:val="0"/>
        <w:adjustRightInd/>
        <w:snapToGrid/>
        <w:spacing w:line="450" w:lineRule="exact"/>
        <w:ind w:left="1080" w:leftChars="371" w:hanging="301" w:hangingChars="125"/>
        <w:jc w:val="left"/>
        <w:textAlignment w:val="auto"/>
        <w:rPr>
          <w:rFonts w:hint="eastAsia" w:ascii="宋体" w:hAnsi="宋体" w:cs="宋体"/>
          <w:b/>
          <w:bCs/>
          <w:sz w:val="24"/>
          <w:highlight w:val="none"/>
        </w:rPr>
      </w:pPr>
      <w:bookmarkStart w:id="35" w:name="_Hlt26954810"/>
      <w:bookmarkEnd w:id="35"/>
      <w:bookmarkStart w:id="36" w:name="_Hlt26670330"/>
      <w:bookmarkEnd w:id="36"/>
      <w:bookmarkStart w:id="37" w:name="_Hlt26954907"/>
      <w:bookmarkEnd w:id="37"/>
      <w:bookmarkStart w:id="38" w:name="_Hlt26954824"/>
      <w:bookmarkEnd w:id="38"/>
      <w:bookmarkStart w:id="39" w:name="_Hlt26668836"/>
      <w:bookmarkEnd w:id="39"/>
      <w:r>
        <w:rPr>
          <w:rFonts w:hint="eastAsia" w:ascii="宋体" w:hAnsi="宋体" w:cs="宋体"/>
          <w:b/>
          <w:bCs/>
          <w:sz w:val="24"/>
          <w:highlight w:val="none"/>
        </w:rPr>
        <w:t>3.项目联系方式</w:t>
      </w:r>
    </w:p>
    <w:p w14:paraId="78B47405">
      <w:pPr>
        <w:keepNext w:val="0"/>
        <w:keepLines w:val="0"/>
        <w:pageBreakBefore w:val="0"/>
        <w:widowControl w:val="0"/>
        <w:kinsoku/>
        <w:wordWrap/>
        <w:overflowPunct/>
        <w:topLinePunct w:val="0"/>
        <w:autoSpaceDE/>
        <w:autoSpaceDN/>
        <w:bidi w:val="0"/>
        <w:adjustRightInd/>
        <w:snapToGrid/>
        <w:spacing w:line="480" w:lineRule="exact"/>
        <w:ind w:left="1078" w:leftChars="485" w:hanging="60" w:hangingChars="25"/>
        <w:jc w:val="left"/>
        <w:textAlignment w:val="auto"/>
        <w:rPr>
          <w:rFonts w:hint="eastAsia" w:ascii="宋体" w:hAnsi="宋体" w:cs="宋体"/>
          <w:sz w:val="24"/>
          <w:highlight w:val="none"/>
          <w:u w:val="none"/>
        </w:rPr>
      </w:pPr>
      <w:r>
        <w:rPr>
          <w:rFonts w:hint="eastAsia" w:ascii="宋体" w:hAnsi="宋体" w:cs="宋体"/>
          <w:b w:val="0"/>
          <w:bCs w:val="0"/>
          <w:sz w:val="24"/>
          <w:highlight w:val="none"/>
        </w:rPr>
        <w:t>项目联系人：</w:t>
      </w:r>
      <w:r>
        <w:rPr>
          <w:rFonts w:hint="eastAsia" w:ascii="宋体" w:hAnsi="宋体" w:cs="宋体"/>
          <w:sz w:val="24"/>
          <w:highlight w:val="none"/>
        </w:rPr>
        <w:t>徐女士</w:t>
      </w:r>
      <w:r>
        <w:rPr>
          <w:rFonts w:hint="eastAsia" w:ascii="宋体" w:hAnsi="宋体" w:cs="宋体"/>
          <w:sz w:val="24"/>
          <w:highlight w:val="none"/>
          <w:lang w:eastAsia="zh-CN"/>
        </w:rPr>
        <w:t>、</w:t>
      </w:r>
      <w:r>
        <w:rPr>
          <w:rFonts w:hint="eastAsia" w:ascii="宋体" w:hAnsi="宋体" w:cs="宋体"/>
          <w:sz w:val="24"/>
          <w:highlight w:val="none"/>
          <w:lang w:val="en-US" w:eastAsia="zh-CN"/>
        </w:rPr>
        <w:t>王先生</w:t>
      </w:r>
      <w:r>
        <w:rPr>
          <w:rFonts w:hint="eastAsia" w:ascii="宋体" w:hAnsi="宋体" w:cs="宋体"/>
          <w:sz w:val="24"/>
          <w:highlight w:val="none"/>
          <w:u w:val="none"/>
          <w:lang w:val="en-US" w:eastAsia="zh-CN"/>
        </w:rPr>
        <w:t xml:space="preserve"> </w:t>
      </w:r>
    </w:p>
    <w:p w14:paraId="2615B457">
      <w:pPr>
        <w:keepNext w:val="0"/>
        <w:keepLines w:val="0"/>
        <w:pageBreakBefore w:val="0"/>
        <w:kinsoku/>
        <w:wordWrap/>
        <w:overflowPunct/>
        <w:topLinePunct w:val="0"/>
        <w:autoSpaceDE/>
        <w:autoSpaceDN/>
        <w:bidi w:val="0"/>
        <w:adjustRightInd/>
        <w:snapToGrid/>
        <w:spacing w:line="440" w:lineRule="exact"/>
        <w:ind w:left="989"/>
        <w:jc w:val="left"/>
        <w:textAlignment w:val="auto"/>
        <w:outlineLvl w:val="9"/>
        <w:rPr>
          <w:rFonts w:hint="eastAsia" w:ascii="宋体" w:hAnsi="宋体" w:cs="宋体"/>
          <w:sz w:val="24"/>
          <w:highlight w:val="none"/>
          <w:lang w:val="en-US" w:eastAsia="zh-CN"/>
        </w:rPr>
      </w:pPr>
      <w:r>
        <w:rPr>
          <w:rFonts w:hint="eastAsia" w:ascii="宋体" w:hAnsi="宋体" w:cs="宋体"/>
          <w:b w:val="0"/>
          <w:bCs w:val="0"/>
          <w:sz w:val="24"/>
          <w:highlight w:val="none"/>
        </w:rPr>
        <w:t>电话：</w:t>
      </w:r>
      <w:r>
        <w:rPr>
          <w:rFonts w:hint="eastAsia" w:ascii="宋体" w:hAnsi="宋体" w:cs="宋体"/>
          <w:b w:val="0"/>
          <w:bCs w:val="0"/>
          <w:sz w:val="24"/>
          <w:highlight w:val="none"/>
          <w:lang w:val="en-US" w:eastAsia="zh-CN"/>
        </w:rPr>
        <w:t xml:space="preserve"> </w:t>
      </w:r>
      <w:r>
        <w:rPr>
          <w:rFonts w:hint="eastAsia" w:ascii="宋体" w:hAnsi="宋体" w:cs="宋体"/>
          <w:sz w:val="24"/>
          <w:highlight w:val="none"/>
        </w:rPr>
        <w:t>0515-69085191</w:t>
      </w:r>
      <w:r>
        <w:rPr>
          <w:rFonts w:hint="eastAsia" w:ascii="宋体" w:hAnsi="宋体" w:cs="宋体"/>
          <w:sz w:val="24"/>
          <w:highlight w:val="none"/>
          <w:lang w:eastAsia="zh-CN"/>
        </w:rPr>
        <w:t>、</w:t>
      </w:r>
      <w:r>
        <w:rPr>
          <w:rFonts w:hint="eastAsia" w:ascii="宋体" w:hAnsi="宋体" w:cs="宋体"/>
          <w:sz w:val="24"/>
          <w:highlight w:val="none"/>
          <w:lang w:val="en-US" w:eastAsia="zh-CN"/>
        </w:rPr>
        <w:t>15961991218</w:t>
      </w:r>
      <w:bookmarkEnd w:id="0"/>
      <w:bookmarkEnd w:id="1"/>
      <w:bookmarkEnd w:id="2"/>
    </w:p>
    <w:p w14:paraId="1D7DD05E">
      <w:pPr>
        <w:pStyle w:val="2"/>
        <w:rPr>
          <w:rFonts w:hint="eastAsia" w:ascii="宋体" w:hAnsi="宋体" w:cs="宋体"/>
          <w:sz w:val="24"/>
          <w:highlight w:val="none"/>
          <w:lang w:val="en-US" w:eastAsia="zh-CN"/>
        </w:rPr>
      </w:pPr>
    </w:p>
    <w:p w14:paraId="115E83FC">
      <w:pPr>
        <w:pStyle w:val="2"/>
        <w:rPr>
          <w:rFonts w:hint="eastAsia" w:ascii="宋体" w:hAnsi="宋体" w:cs="宋体"/>
          <w:sz w:val="24"/>
          <w:highlight w:val="none"/>
          <w:lang w:val="en-US" w:eastAsia="zh-CN"/>
        </w:rPr>
      </w:pPr>
    </w:p>
    <w:p w14:paraId="6EAC373C">
      <w:pPr>
        <w:pStyle w:val="4"/>
        <w:tabs>
          <w:tab w:val="left" w:pos="3492"/>
        </w:tabs>
        <w:jc w:val="center"/>
        <w:rPr>
          <w:rFonts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t xml:space="preserve">第二章 </w:t>
      </w:r>
      <w:r>
        <w:rPr>
          <w:rFonts w:hint="eastAsia" w:ascii="黑体" w:hAnsi="宋体" w:eastAsia="黑体" w:cs="黑体"/>
          <w:color w:val="000000" w:themeColor="text1"/>
          <w:szCs w:val="44"/>
          <w:highlight w:val="none"/>
          <w14:textFill>
            <w14:solidFill>
              <w14:schemeClr w14:val="tx1"/>
            </w14:solidFill>
          </w14:textFill>
        </w:rPr>
        <w:t>供应商须知</w:t>
      </w:r>
    </w:p>
    <w:p w14:paraId="5E8DCCC4">
      <w:pPr>
        <w:tabs>
          <w:tab w:val="left" w:pos="900"/>
        </w:tabs>
        <w:spacing w:line="460" w:lineRule="exact"/>
        <w:ind w:firstLine="585" w:firstLineChars="243"/>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一、总则</w:t>
      </w:r>
    </w:p>
    <w:p w14:paraId="59667C5F">
      <w:pPr>
        <w:tabs>
          <w:tab w:val="left" w:pos="900"/>
        </w:tabs>
        <w:spacing w:line="460" w:lineRule="exact"/>
        <w:ind w:firstLine="597" w:firstLineChars="249"/>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1、采购方式</w:t>
      </w:r>
    </w:p>
    <w:p w14:paraId="58A5948A">
      <w:pPr>
        <w:tabs>
          <w:tab w:val="left" w:pos="900"/>
        </w:tabs>
        <w:spacing w:line="460" w:lineRule="exact"/>
        <w:ind w:firstLine="597" w:firstLineChars="249"/>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 本次政府采购活动采取竞争性磋商(以下简称磋商)方式，本磋商文件仅适用于磋商公告中所述项目。</w:t>
      </w:r>
    </w:p>
    <w:p w14:paraId="052714D6">
      <w:pPr>
        <w:tabs>
          <w:tab w:val="left" w:pos="900"/>
        </w:tabs>
        <w:spacing w:line="460" w:lineRule="exact"/>
        <w:ind w:firstLine="597" w:firstLineChars="249"/>
        <w:rPr>
          <w:rFonts w:hint="eastAsia" w:ascii="宋体" w:hAnsi="宋体"/>
          <w:color w:val="000000" w:themeColor="text1"/>
          <w:sz w:val="24"/>
          <w:highlight w:val="none"/>
          <w14:textFill>
            <w14:solidFill>
              <w14:schemeClr w14:val="tx1"/>
            </w14:solidFill>
          </w14:textFill>
        </w:rPr>
      </w:pPr>
      <w:bookmarkStart w:id="40" w:name="_Toc16938521"/>
      <w:bookmarkStart w:id="41" w:name="_Toc513029205"/>
      <w:bookmarkStart w:id="42" w:name="_Toc20823277"/>
      <w:r>
        <w:rPr>
          <w:rFonts w:hint="eastAsia" w:ascii="宋体" w:hAnsi="宋体"/>
          <w:color w:val="000000" w:themeColor="text1"/>
          <w:sz w:val="24"/>
          <w:highlight w:val="none"/>
          <w14:textFill>
            <w14:solidFill>
              <w14:schemeClr w14:val="tx1"/>
            </w14:solidFill>
          </w14:textFill>
        </w:rPr>
        <w:t>2、合格的</w:t>
      </w:r>
      <w:bookmarkEnd w:id="40"/>
      <w:bookmarkEnd w:id="41"/>
      <w:bookmarkEnd w:id="42"/>
      <w:r>
        <w:rPr>
          <w:rFonts w:hint="eastAsia" w:ascii="宋体" w:hAnsi="宋体"/>
          <w:color w:val="000000" w:themeColor="text1"/>
          <w:sz w:val="24"/>
          <w:highlight w:val="none"/>
          <w14:textFill>
            <w14:solidFill>
              <w14:schemeClr w14:val="tx1"/>
            </w14:solidFill>
          </w14:textFill>
        </w:rPr>
        <w:t>供应商</w:t>
      </w:r>
    </w:p>
    <w:p w14:paraId="4361669F">
      <w:pPr>
        <w:tabs>
          <w:tab w:val="left" w:pos="900"/>
        </w:tabs>
        <w:spacing w:line="460" w:lineRule="exact"/>
        <w:ind w:firstLine="597" w:firstLineChars="249"/>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2.1满足磋商公告中供应商资格要求的规定。</w:t>
      </w:r>
    </w:p>
    <w:p w14:paraId="7006F1FD">
      <w:pPr>
        <w:tabs>
          <w:tab w:val="left" w:pos="900"/>
        </w:tabs>
        <w:spacing w:line="460" w:lineRule="exact"/>
        <w:ind w:firstLine="597" w:firstLineChars="249"/>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 满足本磋商文件实质性要求和条件的规定。</w:t>
      </w:r>
    </w:p>
    <w:p w14:paraId="2BAA0C49">
      <w:pPr>
        <w:tabs>
          <w:tab w:val="left" w:pos="900"/>
        </w:tabs>
        <w:spacing w:line="460" w:lineRule="exact"/>
        <w:ind w:firstLine="597" w:firstLineChars="249"/>
        <w:rPr>
          <w:rFonts w:hint="eastAsia" w:ascii="宋体" w:hAnsi="宋体"/>
          <w:color w:val="000000" w:themeColor="text1"/>
          <w:sz w:val="24"/>
          <w:highlight w:val="none"/>
          <w14:textFill>
            <w14:solidFill>
              <w14:schemeClr w14:val="tx1"/>
            </w14:solidFill>
          </w14:textFill>
        </w:rPr>
      </w:pPr>
      <w:bookmarkStart w:id="43" w:name="_Toc20823278"/>
      <w:bookmarkStart w:id="44" w:name="_Toc513029206"/>
      <w:bookmarkStart w:id="45" w:name="_Toc16938522"/>
      <w:r>
        <w:rPr>
          <w:rFonts w:hint="eastAsia" w:ascii="宋体" w:hAnsi="宋体"/>
          <w:color w:val="000000" w:themeColor="text1"/>
          <w:sz w:val="24"/>
          <w:highlight w:val="none"/>
          <w14:textFill>
            <w14:solidFill>
              <w14:schemeClr w14:val="tx1"/>
            </w14:solidFill>
          </w14:textFill>
        </w:rPr>
        <w:t>3、适用法律</w:t>
      </w:r>
      <w:bookmarkEnd w:id="43"/>
      <w:bookmarkEnd w:id="44"/>
      <w:bookmarkEnd w:id="45"/>
    </w:p>
    <w:p w14:paraId="07D6651B">
      <w:pPr>
        <w:tabs>
          <w:tab w:val="left" w:pos="900"/>
        </w:tabs>
        <w:spacing w:line="460" w:lineRule="exact"/>
        <w:ind w:firstLine="597" w:firstLineChars="249"/>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本次磋商及由此产生的合同受中华人民共和国有关的法律法规制约和保护。</w:t>
      </w:r>
    </w:p>
    <w:p w14:paraId="6FDC0644">
      <w:pPr>
        <w:tabs>
          <w:tab w:val="left" w:pos="900"/>
        </w:tabs>
        <w:spacing w:line="460" w:lineRule="exact"/>
        <w:ind w:firstLine="597" w:firstLineChars="249"/>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4、磋商费用</w:t>
      </w:r>
    </w:p>
    <w:p w14:paraId="41222660">
      <w:pPr>
        <w:tabs>
          <w:tab w:val="left" w:pos="900"/>
        </w:tabs>
        <w:spacing w:line="460" w:lineRule="exact"/>
        <w:ind w:firstLine="597" w:firstLineChars="249"/>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4.1参加磋商供应商应自行承担所有与参加磋商有关的费用。不论最终的成交结果如何，采购代理机构和采购人在任何情况下均无义务和责任承担这些费用。</w:t>
      </w:r>
    </w:p>
    <w:p w14:paraId="5CA1B334">
      <w:pPr>
        <w:tabs>
          <w:tab w:val="left" w:pos="900"/>
        </w:tabs>
        <w:spacing w:line="460" w:lineRule="exact"/>
        <w:ind w:firstLine="597" w:firstLineChars="249"/>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4.2招标代理服务费（中标/成交服务费）：根据代理合同约定苏招协[2022]002号文收费标准的</w:t>
      </w:r>
      <w:r>
        <w:rPr>
          <w:rFonts w:hint="eastAsia" w:ascii="宋体" w:hAnsi="宋体" w:cs="Times New Roman"/>
          <w:color w:val="000000" w:themeColor="text1"/>
          <w:kern w:val="2"/>
          <w:sz w:val="24"/>
          <w:szCs w:val="24"/>
          <w:highlight w:val="none"/>
          <w:lang w:val="en-US" w:eastAsia="zh-CN" w:bidi="ar-SA"/>
          <w14:textFill>
            <w14:solidFill>
              <w14:schemeClr w14:val="tx1"/>
            </w14:solidFill>
          </w14:textFill>
        </w:rPr>
        <w:t>45</w:t>
      </w: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%收取代理服务费，费用低于</w:t>
      </w:r>
      <w:r>
        <w:rPr>
          <w:rFonts w:hint="eastAsia" w:ascii="宋体" w:hAnsi="宋体" w:cs="Times New Roman"/>
          <w:color w:val="000000" w:themeColor="text1"/>
          <w:kern w:val="2"/>
          <w:sz w:val="24"/>
          <w:szCs w:val="24"/>
          <w:highlight w:val="none"/>
          <w:lang w:val="en-US" w:eastAsia="zh-CN" w:bidi="ar-SA"/>
          <w14:textFill>
            <w14:solidFill>
              <w14:schemeClr w14:val="tx1"/>
            </w14:solidFill>
          </w14:textFill>
        </w:rPr>
        <w:t>9500</w:t>
      </w: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元按</w:t>
      </w:r>
      <w:r>
        <w:rPr>
          <w:rFonts w:hint="eastAsia" w:ascii="宋体" w:hAnsi="宋体" w:cs="Times New Roman"/>
          <w:color w:val="000000" w:themeColor="text1"/>
          <w:kern w:val="2"/>
          <w:sz w:val="24"/>
          <w:szCs w:val="24"/>
          <w:highlight w:val="none"/>
          <w:lang w:val="en-US" w:eastAsia="zh-CN" w:bidi="ar-SA"/>
          <w14:textFill>
            <w14:solidFill>
              <w14:schemeClr w14:val="tx1"/>
            </w14:solidFill>
          </w14:textFill>
        </w:rPr>
        <w:t>9500</w:t>
      </w: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元计取，由成交供应商向代理公司支付。供应商投标时综合考虑招标代理服务费及相关费用进报价中，此项费用不得单列，凡漏项或少计均视为优惠采购人，不另行增加费用。中标后由成交供应商在领取中标（成交）通知书前直接向招标代理公司一次性付清。</w:t>
      </w:r>
    </w:p>
    <w:p w14:paraId="30B97803">
      <w:pPr>
        <w:tabs>
          <w:tab w:val="left" w:pos="900"/>
        </w:tabs>
        <w:spacing w:line="460" w:lineRule="exact"/>
        <w:ind w:firstLine="720" w:firstLineChars="3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磋商文件的约束力</w:t>
      </w:r>
    </w:p>
    <w:p w14:paraId="6701A711">
      <w:pPr>
        <w:pStyle w:val="35"/>
        <w:spacing w:beforeAutospacing="0" w:afterAutospacing="0" w:line="0" w:lineRule="atLeast"/>
        <w:ind w:firstLine="720" w:firstLineChars="300"/>
        <w:jc w:val="both"/>
        <w:rPr>
          <w:rFonts w:hint="eastAsia" w:ascii="宋体" w:hAnsi="宋体" w:eastAsia="宋体" w:cs="宋体"/>
          <w:color w:val="auto"/>
          <w:sz w:val="24"/>
          <w:szCs w:val="24"/>
          <w:highlight w:val="none"/>
        </w:rPr>
      </w:pPr>
      <w:bookmarkStart w:id="46" w:name="_Toc120614215"/>
      <w:bookmarkStart w:id="47" w:name="_Toc16938525"/>
      <w:bookmarkStart w:id="48" w:name="_Toc20823281"/>
      <w:r>
        <w:rPr>
          <w:rFonts w:hint="eastAsia" w:cs="宋体"/>
          <w:color w:val="auto"/>
          <w:sz w:val="24"/>
          <w:szCs w:val="24"/>
          <w:highlight w:val="none"/>
          <w:lang w:val="en-US" w:eastAsia="zh-CN"/>
        </w:rPr>
        <w:t>5.1</w:t>
      </w:r>
      <w:r>
        <w:rPr>
          <w:rFonts w:hint="eastAsia" w:ascii="宋体" w:hAnsi="宋体" w:eastAsia="宋体" w:cs="宋体"/>
          <w:color w:val="auto"/>
          <w:sz w:val="24"/>
          <w:szCs w:val="24"/>
          <w:highlight w:val="none"/>
        </w:rPr>
        <w:t>供应商一旦参加本项目采购活动，即被认为接受了本磋商文件的规定和约束。</w:t>
      </w:r>
    </w:p>
    <w:p w14:paraId="57A37BCB">
      <w:pPr>
        <w:pStyle w:val="35"/>
        <w:keepNext/>
        <w:keepLines/>
        <w:spacing w:before="145" w:beforeAutospacing="0" w:after="145" w:afterAutospacing="0" w:line="460" w:lineRule="exact"/>
        <w:ind w:firstLine="321"/>
        <w:jc w:val="both"/>
        <w:rPr>
          <w:rFonts w:hint="eastAsia"/>
          <w:color w:val="000000" w:themeColor="text1"/>
          <w:highlight w:val="none"/>
          <w14:textFill>
            <w14:solidFill>
              <w14:schemeClr w14:val="tx1"/>
            </w14:solidFill>
          </w14:textFill>
        </w:rPr>
      </w:pPr>
      <w:r>
        <w:rPr>
          <w:rFonts w:ascii="Times New Roman" w:hAnsi="Times New Roman"/>
          <w:b/>
          <w:color w:val="000000" w:themeColor="text1"/>
          <w:sz w:val="32"/>
          <w:szCs w:val="32"/>
          <w:highlight w:val="none"/>
          <w14:textFill>
            <w14:solidFill>
              <w14:schemeClr w14:val="tx1"/>
            </w14:solidFill>
          </w14:textFill>
        </w:rPr>
        <w:t>二、</w:t>
      </w:r>
      <w:bookmarkEnd w:id="46"/>
      <w:bookmarkEnd w:id="47"/>
      <w:bookmarkEnd w:id="48"/>
      <w:r>
        <w:rPr>
          <w:rFonts w:ascii="Times New Roman" w:hAnsi="Times New Roman"/>
          <w:b/>
          <w:color w:val="000000" w:themeColor="text1"/>
          <w:sz w:val="32"/>
          <w:szCs w:val="32"/>
          <w:highlight w:val="none"/>
          <w14:textFill>
            <w14:solidFill>
              <w14:schemeClr w14:val="tx1"/>
            </w14:solidFill>
          </w14:textFill>
        </w:rPr>
        <w:t>磋商文件</w:t>
      </w:r>
    </w:p>
    <w:p w14:paraId="3F7B4D0E">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bookmarkStart w:id="49" w:name="_Toc513029210"/>
      <w:bookmarkStart w:id="50" w:name="_Toc20823282"/>
      <w:bookmarkStart w:id="51" w:name="_Toc16938526"/>
      <w:r>
        <w:rPr>
          <w:rFonts w:ascii="Arial" w:hAnsi="Arial" w:cs="Arial"/>
          <w:color w:val="000000" w:themeColor="text1"/>
          <w:sz w:val="28"/>
          <w:szCs w:val="28"/>
          <w:highlight w:val="none"/>
          <w14:textFill>
            <w14:solidFill>
              <w14:schemeClr w14:val="tx1"/>
            </w14:solidFill>
          </w14:textFill>
        </w:rPr>
        <w:t>6、磋商文件构成</w:t>
      </w:r>
      <w:bookmarkEnd w:id="49"/>
      <w:bookmarkEnd w:id="50"/>
      <w:bookmarkEnd w:id="51"/>
    </w:p>
    <w:p w14:paraId="5ECBAB56">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6.1磋商文件由以下部分组成：</w:t>
      </w:r>
    </w:p>
    <w:p w14:paraId="44A88DAD">
      <w:pPr>
        <w:pStyle w:val="35"/>
        <w:numPr>
          <w:ilvl w:val="0"/>
          <w:numId w:val="3"/>
        </w:numPr>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磋商公告</w:t>
      </w:r>
    </w:p>
    <w:p w14:paraId="6170419B">
      <w:pPr>
        <w:pStyle w:val="35"/>
        <w:numPr>
          <w:ilvl w:val="0"/>
          <w:numId w:val="3"/>
        </w:numPr>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供应商须知</w:t>
      </w:r>
    </w:p>
    <w:p w14:paraId="075AE4E2">
      <w:pPr>
        <w:pStyle w:val="35"/>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（3）合同文本</w:t>
      </w:r>
    </w:p>
    <w:p w14:paraId="1E4B14A5">
      <w:pPr>
        <w:pStyle w:val="35"/>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（4）采购需求</w:t>
      </w:r>
    </w:p>
    <w:p w14:paraId="5C99DA69">
      <w:pPr>
        <w:pStyle w:val="35"/>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ascii="Times New Roman" w:hAnsi="Times New Roman"/>
          <w:color w:val="000000" w:themeColor="text1"/>
          <w:highlight w:val="none"/>
          <w14:textFill>
            <w14:solidFill>
              <w14:schemeClr w14:val="tx1"/>
            </w14:solidFill>
          </w14:textFill>
        </w:rPr>
        <w:t>评审方法与评审标准</w:t>
      </w:r>
    </w:p>
    <w:p w14:paraId="7A2E4E95">
      <w:pPr>
        <w:pStyle w:val="35"/>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（6）响应文件格式</w:t>
      </w:r>
    </w:p>
    <w:p w14:paraId="12FC9A13">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请仔细检查磋商文件是否齐全，如有缺漏请立即与</w:t>
      </w:r>
      <w:r>
        <w:rPr>
          <w:rFonts w:hint="eastAsia"/>
          <w:color w:val="000000" w:themeColor="text1"/>
          <w:szCs w:val="21"/>
          <w:highlight w:val="none"/>
          <w14:textFill>
            <w14:solidFill>
              <w14:schemeClr w14:val="tx1"/>
            </w14:solidFill>
          </w14:textFill>
        </w:rPr>
        <w:t>采购人或代理公司</w:t>
      </w:r>
      <w:r>
        <w:rPr>
          <w:rFonts w:hint="eastAsia"/>
          <w:color w:val="000000" w:themeColor="text1"/>
          <w:highlight w:val="none"/>
          <w14:textFill>
            <w14:solidFill>
              <w14:schemeClr w14:val="tx1"/>
            </w14:solidFill>
          </w14:textFill>
        </w:rPr>
        <w:t>联系解决。</w:t>
      </w:r>
    </w:p>
    <w:p w14:paraId="7C03A5AE">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4F15268">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6.3中标人在中标公告结束后将加盖公章的投标文件（正本份数：1份，副本份数：4份）书面送至采购代理机构。</w:t>
      </w:r>
    </w:p>
    <w:p w14:paraId="1F9105E6">
      <w:pPr>
        <w:pStyle w:val="35"/>
        <w:keepNext/>
        <w:keepLines/>
        <w:spacing w:before="0" w:beforeAutospacing="0" w:after="0" w:afterAutospacing="0" w:line="460" w:lineRule="exact"/>
        <w:ind w:firstLine="560"/>
        <w:jc w:val="both"/>
        <w:rPr>
          <w:rFonts w:hint="eastAsia"/>
          <w:color w:val="000000" w:themeColor="text1"/>
          <w:highlight w:val="none"/>
          <w14:textFill>
            <w14:solidFill>
              <w14:schemeClr w14:val="tx1"/>
            </w14:solidFill>
          </w14:textFill>
        </w:rPr>
      </w:pPr>
      <w:bookmarkStart w:id="52" w:name="_Toc513029211"/>
      <w:bookmarkStart w:id="53" w:name="_Toc462564070"/>
      <w:bookmarkStart w:id="54" w:name="_Toc20823283"/>
      <w:bookmarkStart w:id="55" w:name="_Toc16938527"/>
      <w:r>
        <w:rPr>
          <w:rFonts w:ascii="Arial" w:hAnsi="Arial" w:cs="Arial"/>
          <w:color w:val="000000" w:themeColor="text1"/>
          <w:sz w:val="28"/>
          <w:szCs w:val="28"/>
          <w:highlight w:val="none"/>
          <w14:textFill>
            <w14:solidFill>
              <w14:schemeClr w14:val="tx1"/>
            </w14:solidFill>
          </w14:textFill>
        </w:rPr>
        <w:t>7、磋商文件的澄清</w:t>
      </w:r>
      <w:bookmarkEnd w:id="52"/>
      <w:bookmarkEnd w:id="53"/>
      <w:bookmarkEnd w:id="54"/>
      <w:bookmarkEnd w:id="55"/>
    </w:p>
    <w:p w14:paraId="40FB5289">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7.1 任何要求对磋商文件进行澄清的供应商，应在磋商截止期5日</w:t>
      </w:r>
      <w:r>
        <w:rPr>
          <w:rFonts w:ascii="仿宋_GB2312" w:eastAsia="仿宋_GB2312" w:cs="仿宋_GB2312"/>
          <w:color w:val="000000" w:themeColor="text1"/>
          <w:highlight w:val="none"/>
          <w14:textFill>
            <w14:solidFill>
              <w14:schemeClr w14:val="tx1"/>
            </w14:solidFill>
          </w14:textFill>
        </w:rPr>
        <w:t>前</w:t>
      </w:r>
      <w:r>
        <w:rPr>
          <w:rFonts w:hint="eastAsia"/>
          <w:color w:val="000000" w:themeColor="text1"/>
          <w:highlight w:val="none"/>
          <w14:textFill>
            <w14:solidFill>
              <w14:schemeClr w14:val="tx1"/>
            </w14:solidFill>
          </w14:textFill>
        </w:rPr>
        <w:t>按磋商公告中的通讯地址，以书面形式通知</w:t>
      </w:r>
      <w:r>
        <w:rPr>
          <w:rFonts w:hint="eastAsia"/>
          <w:color w:val="000000" w:themeColor="text1"/>
          <w:szCs w:val="21"/>
          <w:highlight w:val="none"/>
          <w14:textFill>
            <w14:solidFill>
              <w14:schemeClr w14:val="tx1"/>
            </w14:solidFill>
          </w14:textFill>
        </w:rPr>
        <w:t>采购人或代理公司</w:t>
      </w:r>
      <w:r>
        <w:rPr>
          <w:rFonts w:hint="eastAsia"/>
          <w:color w:val="000000" w:themeColor="text1"/>
          <w:highlight w:val="none"/>
          <w14:textFill>
            <w14:solidFill>
              <w14:schemeClr w14:val="tx1"/>
            </w14:solidFill>
          </w14:textFill>
        </w:rPr>
        <w:t>。</w:t>
      </w:r>
    </w:p>
    <w:p w14:paraId="772B388F">
      <w:pPr>
        <w:pStyle w:val="35"/>
        <w:keepNext/>
        <w:keepLines/>
        <w:spacing w:before="0" w:beforeAutospacing="0" w:after="0" w:afterAutospacing="0" w:line="460" w:lineRule="exact"/>
        <w:ind w:firstLine="560"/>
        <w:jc w:val="both"/>
        <w:rPr>
          <w:rFonts w:hint="eastAsia"/>
          <w:color w:val="000000" w:themeColor="text1"/>
          <w:highlight w:val="none"/>
          <w14:textFill>
            <w14:solidFill>
              <w14:schemeClr w14:val="tx1"/>
            </w14:solidFill>
          </w14:textFill>
        </w:rPr>
      </w:pPr>
      <w:bookmarkStart w:id="56" w:name="_Toc16938528"/>
      <w:bookmarkStart w:id="57" w:name="_Toc20823284"/>
      <w:bookmarkStart w:id="58" w:name="_Toc513029212"/>
      <w:bookmarkStart w:id="59" w:name="_Toc462564071"/>
      <w:r>
        <w:rPr>
          <w:rFonts w:ascii="Arial" w:hAnsi="Arial" w:cs="Arial"/>
          <w:color w:val="000000" w:themeColor="text1"/>
          <w:sz w:val="28"/>
          <w:szCs w:val="28"/>
          <w:highlight w:val="none"/>
          <w14:textFill>
            <w14:solidFill>
              <w14:schemeClr w14:val="tx1"/>
            </w14:solidFill>
          </w14:textFill>
        </w:rPr>
        <w:t>8、磋商文件的澄清和修改</w:t>
      </w:r>
      <w:bookmarkEnd w:id="56"/>
      <w:bookmarkEnd w:id="57"/>
      <w:bookmarkEnd w:id="58"/>
      <w:bookmarkEnd w:id="59"/>
    </w:p>
    <w:p w14:paraId="6A64D13C">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8.1 在响应文件提交截止时间</w:t>
      </w:r>
      <w:r>
        <w:rPr>
          <w:rFonts w:hint="eastAsia"/>
          <w:color w:val="000000" w:themeColor="text1"/>
          <w:highlight w:val="none"/>
          <w:lang w:val="en-US" w:eastAsia="zh-CN"/>
          <w14:textFill>
            <w14:solidFill>
              <w14:schemeClr w14:val="tx1"/>
            </w14:solidFill>
          </w14:textFill>
        </w:rPr>
        <w:t>前</w:t>
      </w:r>
      <w:r>
        <w:rPr>
          <w:rFonts w:hint="eastAsia"/>
          <w:color w:val="000000" w:themeColor="text1"/>
          <w:highlight w:val="none"/>
          <w14:textFill>
            <w14:solidFill>
              <w14:schemeClr w14:val="tx1"/>
            </w14:solidFill>
          </w14:textFill>
        </w:rPr>
        <w:t>，采购人可以对磋商文件进行澄清和修改,</w:t>
      </w:r>
      <w:r>
        <w:rPr>
          <w:rFonts w:ascii="Times New Roman" w:hAnsi="Times New Roman"/>
          <w:color w:val="000000" w:themeColor="text1"/>
          <w:sz w:val="21"/>
          <w:szCs w:val="21"/>
          <w:highlight w:val="none"/>
          <w14:textFill>
            <w14:solidFill>
              <w14:schemeClr w14:val="tx1"/>
            </w14:solidFill>
          </w14:textFill>
        </w:rPr>
        <w:t> </w:t>
      </w:r>
      <w:r>
        <w:rPr>
          <w:rFonts w:hint="eastAsia"/>
          <w:color w:val="000000" w:themeColor="text1"/>
          <w:highlight w:val="none"/>
          <w14:textFill>
            <w14:solidFill>
              <w14:schemeClr w14:val="tx1"/>
            </w14:solidFill>
          </w14:textFill>
        </w:rPr>
        <w:t>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p>
    <w:p w14:paraId="3B50255E">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8.2采购人可以视采购项目的具体情况，组织供应商进行现场考察或召开磋商前答疑会，但不单独或分别组织只有一个供应商参加的现场考察和答疑会。</w:t>
      </w:r>
    </w:p>
    <w:p w14:paraId="682B7FAD">
      <w:pPr>
        <w:pStyle w:val="35"/>
        <w:keepNext/>
        <w:keepLines/>
        <w:spacing w:before="0" w:beforeAutospacing="0" w:after="0" w:afterAutospacing="0" w:line="460" w:lineRule="exact"/>
        <w:ind w:firstLine="482"/>
        <w:jc w:val="both"/>
        <w:rPr>
          <w:rFonts w:hint="eastAsia"/>
          <w:color w:val="000000" w:themeColor="text1"/>
          <w:highlight w:val="none"/>
          <w14:textFill>
            <w14:solidFill>
              <w14:schemeClr w14:val="tx1"/>
            </w14:solidFill>
          </w14:textFill>
        </w:rPr>
      </w:pPr>
      <w:bookmarkStart w:id="60" w:name="_Toc16938529"/>
      <w:bookmarkStart w:id="61" w:name="_Toc120614216"/>
      <w:bookmarkStart w:id="62" w:name="_Toc462564072"/>
      <w:bookmarkStart w:id="63" w:name="_Toc513029213"/>
      <w:bookmarkStart w:id="64" w:name="_Toc20823285"/>
      <w:r>
        <w:rPr>
          <w:rFonts w:ascii="Times New Roman" w:hAnsi="Times New Roman"/>
          <w:b/>
          <w:color w:val="000000" w:themeColor="text1"/>
          <w:sz w:val="32"/>
          <w:szCs w:val="32"/>
          <w:highlight w:val="none"/>
          <w14:textFill>
            <w14:solidFill>
              <w14:schemeClr w14:val="tx1"/>
            </w14:solidFill>
          </w14:textFill>
        </w:rPr>
        <w:t>三、响应文件的编制</w:t>
      </w:r>
      <w:bookmarkEnd w:id="60"/>
      <w:bookmarkEnd w:id="61"/>
      <w:bookmarkEnd w:id="62"/>
      <w:bookmarkEnd w:id="63"/>
      <w:bookmarkEnd w:id="64"/>
    </w:p>
    <w:p w14:paraId="57B98E00">
      <w:pPr>
        <w:pStyle w:val="35"/>
        <w:keepNext/>
        <w:keepLines/>
        <w:spacing w:before="0" w:beforeAutospacing="0" w:after="0" w:afterAutospacing="0" w:line="460" w:lineRule="exact"/>
        <w:ind w:firstLine="560"/>
        <w:jc w:val="both"/>
        <w:rPr>
          <w:rFonts w:hint="eastAsia"/>
          <w:color w:val="000000" w:themeColor="text1"/>
          <w:highlight w:val="none"/>
          <w14:textFill>
            <w14:solidFill>
              <w14:schemeClr w14:val="tx1"/>
            </w14:solidFill>
          </w14:textFill>
        </w:rPr>
      </w:pPr>
      <w:bookmarkStart w:id="65" w:name="_Toc16938530"/>
      <w:bookmarkStart w:id="66" w:name="_Toc20823286"/>
      <w:bookmarkStart w:id="67" w:name="_Toc513029214"/>
      <w:bookmarkStart w:id="68" w:name="_Toc462564073"/>
      <w:r>
        <w:rPr>
          <w:rFonts w:ascii="Arial" w:hAnsi="Arial" w:cs="Arial"/>
          <w:color w:val="000000" w:themeColor="text1"/>
          <w:sz w:val="28"/>
          <w:szCs w:val="28"/>
          <w:highlight w:val="none"/>
          <w14:textFill>
            <w14:solidFill>
              <w14:schemeClr w14:val="tx1"/>
            </w14:solidFill>
          </w14:textFill>
        </w:rPr>
        <w:t>9、响应文件的语言及度量衡单位</w:t>
      </w:r>
      <w:bookmarkEnd w:id="65"/>
      <w:bookmarkEnd w:id="66"/>
      <w:bookmarkEnd w:id="67"/>
      <w:bookmarkEnd w:id="68"/>
    </w:p>
    <w:p w14:paraId="7921C108">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9.1供应商提交的响应文件以及供应商与</w:t>
      </w:r>
      <w:r>
        <w:rPr>
          <w:rFonts w:hint="eastAsia"/>
          <w:color w:val="000000" w:themeColor="text1"/>
          <w:szCs w:val="21"/>
          <w:highlight w:val="none"/>
          <w14:textFill>
            <w14:solidFill>
              <w14:schemeClr w14:val="tx1"/>
            </w14:solidFill>
          </w14:textFill>
        </w:rPr>
        <w:t>采购人（或代理公司）</w:t>
      </w:r>
      <w:r>
        <w:rPr>
          <w:rFonts w:hint="eastAsia"/>
          <w:color w:val="000000" w:themeColor="text1"/>
          <w:highlight w:val="none"/>
          <w14:textFill>
            <w14:solidFill>
              <w14:schemeClr w14:val="tx1"/>
            </w14:solidFill>
          </w14:textFill>
        </w:rPr>
        <w:t>就有关磋商的所有来往通知、函件和文件均应使用</w:t>
      </w:r>
      <w:r>
        <w:rPr>
          <w:rFonts w:hint="eastAsia"/>
          <w:b/>
          <w:color w:val="000000" w:themeColor="text1"/>
          <w:highlight w:val="none"/>
          <w14:textFill>
            <w14:solidFill>
              <w14:schemeClr w14:val="tx1"/>
            </w14:solidFill>
          </w14:textFill>
        </w:rPr>
        <w:t>简体中文</w:t>
      </w:r>
      <w:r>
        <w:rPr>
          <w:rFonts w:hint="eastAsia"/>
          <w:color w:val="000000" w:themeColor="text1"/>
          <w:highlight w:val="none"/>
          <w14:textFill>
            <w14:solidFill>
              <w14:schemeClr w14:val="tx1"/>
            </w14:solidFill>
          </w14:textFill>
        </w:rPr>
        <w:t>。</w:t>
      </w:r>
    </w:p>
    <w:p w14:paraId="5632C737">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9.2 除技术性能另有规定外，响应文件所使用的度量衡单位，均须采用国家法定计量单位。</w:t>
      </w:r>
    </w:p>
    <w:p w14:paraId="24079D3A">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bookmarkStart w:id="69" w:name="_Toc16938531"/>
      <w:bookmarkStart w:id="70" w:name="_Toc513029215"/>
      <w:bookmarkStart w:id="71" w:name="_Toc20823287"/>
      <w:bookmarkStart w:id="72" w:name="_Toc462564074"/>
      <w:r>
        <w:rPr>
          <w:rFonts w:ascii="Arial" w:hAnsi="Arial" w:cs="Arial"/>
          <w:color w:val="000000" w:themeColor="text1"/>
          <w:sz w:val="28"/>
          <w:szCs w:val="28"/>
          <w:highlight w:val="none"/>
          <w14:textFill>
            <w14:solidFill>
              <w14:schemeClr w14:val="tx1"/>
            </w14:solidFill>
          </w14:textFill>
        </w:rPr>
        <w:t>10、响应文件构成</w:t>
      </w:r>
      <w:bookmarkEnd w:id="69"/>
      <w:bookmarkEnd w:id="70"/>
      <w:bookmarkEnd w:id="71"/>
      <w:bookmarkEnd w:id="72"/>
    </w:p>
    <w:p w14:paraId="3C7ED8FF">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10.1供应商编写的响应文件应包括资格证明文件、符合性证明文件、分项报价表、技术要求响应及偏离表、商务要求响应及偏离表、其他证明文件、磋商响应函等部分。</w:t>
      </w:r>
    </w:p>
    <w:p w14:paraId="49229C32">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10.2 如标书制作工具中格式和内容与“中国政府采购网”、“江苏政府采购网”、“盐城市政府采购网”发布的磋商文件不一致，请以“中国政府采购网”、“江苏政府采购网”、“盐城市政府采购网”发布的磋商文件为准。</w:t>
      </w:r>
    </w:p>
    <w:p w14:paraId="7F3A065D">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bookmarkStart w:id="73" w:name="_Toc49090509"/>
      <w:bookmarkStart w:id="74" w:name="_Toc49090508"/>
      <w:bookmarkStart w:id="75" w:name="_Toc513029216"/>
      <w:bookmarkStart w:id="76" w:name="_Toc49090507"/>
      <w:bookmarkStart w:id="77" w:name="_Toc14577357"/>
      <w:bookmarkStart w:id="78" w:name="_Toc513029219"/>
      <w:bookmarkStart w:id="79" w:name="_Toc14577354"/>
      <w:bookmarkStart w:id="80" w:name="_Toc14577355"/>
      <w:r>
        <w:rPr>
          <w:rFonts w:ascii="Arial" w:hAnsi="Arial" w:cs="Arial"/>
          <w:color w:val="000000" w:themeColor="text1"/>
          <w:sz w:val="28"/>
          <w:szCs w:val="28"/>
          <w:highlight w:val="none"/>
          <w14:textFill>
            <w14:solidFill>
              <w14:schemeClr w14:val="tx1"/>
            </w14:solidFill>
          </w14:textFill>
        </w:rPr>
        <w:t>11、证明磋商响应标的符合磋商文件规定的文件</w:t>
      </w:r>
      <w:bookmarkEnd w:id="73"/>
      <w:bookmarkEnd w:id="74"/>
      <w:bookmarkEnd w:id="75"/>
      <w:bookmarkEnd w:id="76"/>
      <w:bookmarkEnd w:id="77"/>
      <w:bookmarkEnd w:id="78"/>
      <w:bookmarkEnd w:id="79"/>
      <w:bookmarkEnd w:id="80"/>
    </w:p>
    <w:p w14:paraId="680D2CF5">
      <w:pPr>
        <w:pStyle w:val="35"/>
        <w:spacing w:before="0" w:beforeAutospacing="0" w:after="0" w:afterAutospacing="0" w:line="460" w:lineRule="exact"/>
        <w:ind w:firstLine="480" w:firstLineChars="20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11.1供应商应按照磋商文件要求提交证明文件，证明其及磋商响应标的符合磋商文件规定。</w:t>
      </w:r>
    </w:p>
    <w:p w14:paraId="55FE5176">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11.2磋商文件对证明文件无明确形式要求的，证明文件可以以文字资料、图纸和数据等形式提交。</w:t>
      </w:r>
    </w:p>
    <w:p w14:paraId="792CE622">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12、分项报价表</w:t>
      </w:r>
    </w:p>
    <w:p w14:paraId="662D8D44">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12.1供应商应按照磋商文件规定格式填报分项报价表。</w:t>
      </w:r>
    </w:p>
    <w:p w14:paraId="1B89E0ED">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12.2磋商货币。响应文件中的单价和总价无特殊规定的采用人民币报价，以元为单位标注。磋商文件中另有规定的按规定执行。</w:t>
      </w:r>
    </w:p>
    <w:p w14:paraId="77DCE15B">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13、技术要求响应及偏离表、商务要求响应及偏离表</w:t>
      </w:r>
    </w:p>
    <w:p w14:paraId="23A6645F">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13.1供应商需对磋商文件中的技术要求与商务要求逐项作出响应或偏离，并说明原因。</w:t>
      </w:r>
    </w:p>
    <w:p w14:paraId="2F070618">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13.2供应商可在响应文件中提供认为需要的其他技术文件或说明。</w:t>
      </w:r>
    </w:p>
    <w:p w14:paraId="3DCE2BFC">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14、</w:t>
      </w:r>
      <w:r>
        <w:rPr>
          <w:rFonts w:hint="eastAsia" w:ascii="Arial" w:hAnsi="Arial" w:cs="Arial"/>
          <w:color w:val="000000" w:themeColor="text1"/>
          <w:sz w:val="28"/>
          <w:szCs w:val="28"/>
          <w:highlight w:val="none"/>
          <w14:textFill>
            <w14:solidFill>
              <w14:schemeClr w14:val="tx1"/>
            </w14:solidFill>
          </w14:textFill>
        </w:rPr>
        <w:t>服务承诺、培训计划、人员安排及其他</w:t>
      </w:r>
    </w:p>
    <w:p w14:paraId="4AA55969">
      <w:pPr>
        <w:pStyle w:val="35"/>
        <w:spacing w:beforeAutospacing="0" w:afterAutospacing="0" w:line="460" w:lineRule="exact"/>
        <w:ind w:firstLine="480"/>
        <w:jc w:val="both"/>
        <w:rPr>
          <w:rFonts w:hint="eastAsia"/>
          <w:color w:val="000000" w:themeColor="text1"/>
          <w:highlight w:val="none"/>
          <w14:textFill>
            <w14:solidFill>
              <w14:schemeClr w14:val="tx1"/>
            </w14:solidFill>
          </w14:textFill>
        </w:rPr>
      </w:pPr>
      <w:bookmarkStart w:id="81" w:name="_Toc14577359"/>
      <w:bookmarkStart w:id="82" w:name="_Toc49090510"/>
      <w:r>
        <w:rPr>
          <w:rFonts w:hint="eastAsia"/>
          <w:color w:val="000000" w:themeColor="text1"/>
          <w:highlight w:val="none"/>
          <w14:textFill>
            <w14:solidFill>
              <w14:schemeClr w14:val="tx1"/>
            </w14:solidFill>
          </w14:textFill>
        </w:rPr>
        <w:t>14.1供应商需根据磋商文件要求提供有关售后服务的管理制度，售后服务机构的分布情况，售后服务人员的数量、素质、技术水平及售后服务的反应能力等。</w:t>
      </w:r>
    </w:p>
    <w:p w14:paraId="6ADF99C4">
      <w:pPr>
        <w:pStyle w:val="35"/>
        <w:spacing w:beforeAutospacing="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14.2供应商需根据磋商文件要求提供培训计划。</w:t>
      </w:r>
    </w:p>
    <w:p w14:paraId="2E62651F">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14.3供应商需根据磋商文件要求提供磋商响应标的的主要组成部分、功能设计、实现思路及关键技术等。</w:t>
      </w:r>
    </w:p>
    <w:p w14:paraId="4FD38B8F">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15、磋商响应函</w:t>
      </w:r>
      <w:bookmarkEnd w:id="81"/>
      <w:bookmarkEnd w:id="82"/>
    </w:p>
    <w:p w14:paraId="14D92A45">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15.1供应商应按照磋商文件中提供的格式完整、正确填写磋商响应函。</w:t>
      </w:r>
    </w:p>
    <w:p w14:paraId="0C4AC6A6">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bookmarkStart w:id="83" w:name="_Toc14577360"/>
      <w:bookmarkStart w:id="84" w:name="_Toc49090511"/>
      <w:r>
        <w:rPr>
          <w:rFonts w:ascii="Arial" w:hAnsi="Arial" w:cs="Arial"/>
          <w:color w:val="000000" w:themeColor="text1"/>
          <w:sz w:val="28"/>
          <w:szCs w:val="28"/>
          <w:highlight w:val="none"/>
          <w14:textFill>
            <w14:solidFill>
              <w14:schemeClr w14:val="tx1"/>
            </w14:solidFill>
          </w14:textFill>
        </w:rPr>
        <w:t>16、磋商有效期</w:t>
      </w:r>
      <w:bookmarkEnd w:id="83"/>
      <w:bookmarkEnd w:id="84"/>
    </w:p>
    <w:p w14:paraId="0753C9E7">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16.1磋商有效期为采购人规定的提交响应文件截止之日后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color w:val="000000" w:themeColor="text1"/>
          <w:highlight w:val="none"/>
          <w14:textFill>
            <w14:solidFill>
              <w14:schemeClr w14:val="tx1"/>
            </w14:solidFill>
          </w14:textFill>
        </w:rPr>
        <w:t>。磋商有效期比规定短的将被视为非实质性响应磋商文件而予以拒绝。</w:t>
      </w:r>
    </w:p>
    <w:p w14:paraId="7834263A">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17、磋商有效期的延长</w:t>
      </w:r>
    </w:p>
    <w:p w14:paraId="6FD55D7B">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85" w:name="_Toc120614217"/>
      <w:bookmarkStart w:id="86" w:name="_Toc20823296"/>
      <w:bookmarkStart w:id="87" w:name="_Toc513029224"/>
      <w:bookmarkStart w:id="88" w:name="_Toc16938540"/>
    </w:p>
    <w:p w14:paraId="0FB3A179">
      <w:pPr>
        <w:pStyle w:val="35"/>
        <w:numPr>
          <w:ilvl w:val="0"/>
          <w:numId w:val="4"/>
        </w:numPr>
        <w:spacing w:before="0" w:beforeAutospacing="0" w:after="0" w:afterAutospacing="0" w:line="460" w:lineRule="exact"/>
        <w:ind w:firstLine="480"/>
        <w:jc w:val="both"/>
        <w:rPr>
          <w:rFonts w:ascii="Times New Roman" w:hAnsi="Times New Roman"/>
          <w:b/>
          <w:color w:val="000000" w:themeColor="text1"/>
          <w:sz w:val="32"/>
          <w:szCs w:val="32"/>
          <w:highlight w:val="none"/>
          <w14:textFill>
            <w14:solidFill>
              <w14:schemeClr w14:val="tx1"/>
            </w14:solidFill>
          </w14:textFill>
        </w:rPr>
      </w:pPr>
      <w:r>
        <w:rPr>
          <w:rFonts w:ascii="Times New Roman" w:hAnsi="Times New Roman"/>
          <w:b/>
          <w:color w:val="000000" w:themeColor="text1"/>
          <w:sz w:val="32"/>
          <w:szCs w:val="32"/>
          <w:highlight w:val="none"/>
          <w14:textFill>
            <w14:solidFill>
              <w14:schemeClr w14:val="tx1"/>
            </w14:solidFill>
          </w14:textFill>
        </w:rPr>
        <w:t>响应文件的递交</w:t>
      </w:r>
      <w:bookmarkEnd w:id="85"/>
      <w:bookmarkEnd w:id="86"/>
      <w:bookmarkEnd w:id="87"/>
      <w:bookmarkEnd w:id="88"/>
      <w:bookmarkStart w:id="89" w:name="_Toc462564084"/>
      <w:bookmarkStart w:id="90" w:name="_Toc20823297"/>
      <w:bookmarkStart w:id="91" w:name="_Toc16938541"/>
      <w:bookmarkStart w:id="92" w:name="_Toc513029225"/>
    </w:p>
    <w:p w14:paraId="5BC9FDD4">
      <w:pPr>
        <w:pStyle w:val="35"/>
        <w:spacing w:before="0" w:beforeAutospacing="0" w:after="0" w:afterAutospacing="0" w:line="460" w:lineRule="exact"/>
        <w:ind w:firstLine="560" w:firstLineChars="200"/>
        <w:jc w:val="both"/>
        <w:rPr>
          <w:rFonts w:ascii="Arial" w:hAnsi="Arial" w:cs="Arial"/>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18、电子</w:t>
      </w:r>
      <w:r>
        <w:rPr>
          <w:rFonts w:hint="eastAsia" w:ascii="Arial" w:hAnsi="Arial" w:cs="Arial"/>
          <w:color w:val="000000" w:themeColor="text1"/>
          <w:sz w:val="28"/>
          <w:szCs w:val="28"/>
          <w:highlight w:val="none"/>
          <w14:textFill>
            <w14:solidFill>
              <w14:schemeClr w14:val="tx1"/>
            </w14:solidFill>
          </w14:textFill>
        </w:rPr>
        <w:t>磋商</w:t>
      </w:r>
      <w:bookmarkEnd w:id="89"/>
      <w:bookmarkEnd w:id="90"/>
      <w:bookmarkEnd w:id="91"/>
      <w:bookmarkEnd w:id="92"/>
      <w:r>
        <w:rPr>
          <w:rFonts w:hint="eastAsia" w:ascii="Arial" w:hAnsi="Arial" w:cs="Arial"/>
          <w:color w:val="000000" w:themeColor="text1"/>
          <w:sz w:val="28"/>
          <w:szCs w:val="28"/>
          <w:highlight w:val="none"/>
          <w14:textFill>
            <w14:solidFill>
              <w14:schemeClr w14:val="tx1"/>
            </w14:solidFill>
          </w14:textFill>
        </w:rPr>
        <w:t>响应文件的递交</w:t>
      </w:r>
    </w:p>
    <w:p w14:paraId="3BE17C00">
      <w:pPr>
        <w:pStyle w:val="35"/>
        <w:spacing w:before="0" w:beforeAutospacing="0" w:after="0" w:afterAutospacing="0" w:line="460" w:lineRule="exact"/>
        <w:ind w:firstLine="480" w:firstLineChars="20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18.1供应商应当按照《操作手册》规定，在提交响应文件截止时间前制作并上传电子响应文件。</w:t>
      </w:r>
      <w:bookmarkStart w:id="93" w:name="_Toc16938542"/>
      <w:bookmarkEnd w:id="93"/>
      <w:bookmarkStart w:id="94" w:name="_Toc20823298"/>
      <w:bookmarkEnd w:id="94"/>
    </w:p>
    <w:p w14:paraId="738EC31A">
      <w:pPr>
        <w:pStyle w:val="35"/>
        <w:keepNext/>
        <w:keepLines/>
        <w:spacing w:before="0" w:beforeAutospacing="0" w:after="0" w:afterAutospacing="0" w:line="460" w:lineRule="exact"/>
        <w:ind w:firstLine="420"/>
        <w:jc w:val="both"/>
        <w:rPr>
          <w:rFonts w:ascii="Arial" w:hAnsi="Arial" w:cs="Arial"/>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19、提交响应文件截止时间</w:t>
      </w:r>
    </w:p>
    <w:p w14:paraId="57896BDB">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i/>
          <w:color w:val="000000" w:themeColor="text1"/>
          <w:highlight w:val="none"/>
          <w:u w:val="single"/>
          <w14:textFill>
            <w14:solidFill>
              <w14:schemeClr w14:val="tx1"/>
            </w14:solidFill>
          </w14:textFill>
        </w:rPr>
        <w:t>19.1供应商上传电子响应文件的时间不得迟于磋商公告中规定的提交响应文件截止时间。</w:t>
      </w:r>
    </w:p>
    <w:p w14:paraId="138A0871">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供应商应充分考虑到网络环境、网络带宽等风险因素，如因供应商自身原因造成的电子响应文件上传不成功的按照本磋商文件第二章第26.3.2条规定做无效响应处理。</w:t>
      </w:r>
    </w:p>
    <w:p w14:paraId="2F482E14">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19.2 采购人可以按照规定，通过修改磋商文件酌情延长提交响应文件截止日期，在此情况下，供应商的所有权利和义务以及供应商受制的截止日期均应以延长后新的截止日期为准。</w:t>
      </w:r>
    </w:p>
    <w:p w14:paraId="31F27881">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bookmarkStart w:id="95" w:name="_Toc513029227"/>
      <w:bookmarkStart w:id="96" w:name="_Toc16938543"/>
      <w:bookmarkStart w:id="97" w:name="_Toc20823299"/>
      <w:r>
        <w:rPr>
          <w:rFonts w:ascii="Arial" w:hAnsi="Arial" w:cs="Arial"/>
          <w:color w:val="000000" w:themeColor="text1"/>
          <w:sz w:val="28"/>
          <w:szCs w:val="28"/>
          <w:highlight w:val="none"/>
          <w14:textFill>
            <w14:solidFill>
              <w14:schemeClr w14:val="tx1"/>
            </w14:solidFill>
          </w14:textFill>
        </w:rPr>
        <w:t>20、响应文件</w:t>
      </w:r>
      <w:bookmarkEnd w:id="95"/>
      <w:bookmarkEnd w:id="96"/>
      <w:bookmarkEnd w:id="97"/>
      <w:r>
        <w:rPr>
          <w:rFonts w:ascii="Arial" w:hAnsi="Arial" w:cs="Arial"/>
          <w:color w:val="000000" w:themeColor="text1"/>
          <w:sz w:val="28"/>
          <w:szCs w:val="28"/>
          <w:highlight w:val="none"/>
          <w14:textFill>
            <w14:solidFill>
              <w14:schemeClr w14:val="tx1"/>
            </w14:solidFill>
          </w14:textFill>
        </w:rPr>
        <w:t>的拒收</w:t>
      </w:r>
    </w:p>
    <w:p w14:paraId="45F003BF">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20.1 采购人拒绝接收在其规定的提交响应文件截止时间后上传的任何电子响应文件。</w:t>
      </w:r>
    </w:p>
    <w:p w14:paraId="1D7515C6">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bookmarkStart w:id="98" w:name="_Toc513029228"/>
      <w:bookmarkStart w:id="99" w:name="_Toc16938544"/>
      <w:bookmarkStart w:id="100" w:name="_Toc20823300"/>
      <w:r>
        <w:rPr>
          <w:rFonts w:ascii="Arial" w:hAnsi="Arial" w:cs="Arial"/>
          <w:color w:val="000000" w:themeColor="text1"/>
          <w:sz w:val="28"/>
          <w:szCs w:val="28"/>
          <w:highlight w:val="none"/>
          <w14:textFill>
            <w14:solidFill>
              <w14:schemeClr w14:val="tx1"/>
            </w14:solidFill>
          </w14:textFill>
        </w:rPr>
        <w:t>21、响应文件的撤回和修改</w:t>
      </w:r>
      <w:bookmarkEnd w:id="98"/>
      <w:bookmarkEnd w:id="99"/>
      <w:bookmarkEnd w:id="100"/>
    </w:p>
    <w:p w14:paraId="205CAF5C">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21.1响应文件的撤回</w:t>
      </w:r>
    </w:p>
    <w:p w14:paraId="5587DAB4">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21.1.1 电子响应文件的撤回</w:t>
      </w:r>
    </w:p>
    <w:p w14:paraId="58B88598">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供应商可在提交响应文件截止时间前，撤回其电子响应文件，具体操作方法见《操作手册》。</w:t>
      </w:r>
    </w:p>
    <w:p w14:paraId="1353BFDF">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21.1.2供应商撤回电子响应文件，则认为其不再参与本项目磋商活动。</w:t>
      </w:r>
    </w:p>
    <w:p w14:paraId="3FAD131A">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21.2响应文件的修改</w:t>
      </w:r>
    </w:p>
    <w:p w14:paraId="4DE5FAF0">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供应商可在提交响应文件截止时间前，对其电子响应文件进行修改，具体操作方法见《操作手册》。</w:t>
      </w:r>
    </w:p>
    <w:p w14:paraId="12B451B7">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21.3 在提交响应文件截止时间之后，供应商不得对其电子响应文件作任何修改。</w:t>
      </w:r>
    </w:p>
    <w:p w14:paraId="3D47AD72">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21.4 在提交响应文件截止时间至磋商文件中规定的磋商有效期满之间的这段时间内，供应商不得撤回其响应文件。</w:t>
      </w:r>
    </w:p>
    <w:p w14:paraId="653C0068">
      <w:pPr>
        <w:pStyle w:val="35"/>
        <w:keepNext/>
        <w:keepLines/>
        <w:spacing w:before="0" w:beforeAutospacing="0" w:after="0" w:afterAutospacing="0" w:line="460" w:lineRule="exact"/>
        <w:ind w:firstLine="482"/>
        <w:jc w:val="both"/>
        <w:rPr>
          <w:rFonts w:hint="eastAsia"/>
          <w:color w:val="000000" w:themeColor="text1"/>
          <w:highlight w:val="none"/>
          <w14:textFill>
            <w14:solidFill>
              <w14:schemeClr w14:val="tx1"/>
            </w14:solidFill>
          </w14:textFill>
        </w:rPr>
      </w:pPr>
      <w:bookmarkStart w:id="101" w:name="_Toc513029229"/>
      <w:bookmarkStart w:id="102" w:name="_Toc20823301"/>
      <w:bookmarkStart w:id="103" w:name="_Toc16938545"/>
      <w:bookmarkStart w:id="104" w:name="_Toc120614218"/>
      <w:r>
        <w:rPr>
          <w:rFonts w:ascii="Times New Roman" w:hAnsi="Times New Roman"/>
          <w:b/>
          <w:color w:val="000000" w:themeColor="text1"/>
          <w:sz w:val="32"/>
          <w:szCs w:val="32"/>
          <w:highlight w:val="none"/>
          <w14:textFill>
            <w14:solidFill>
              <w14:schemeClr w14:val="tx1"/>
            </w14:solidFill>
          </w14:textFill>
        </w:rPr>
        <w:t>五、响应文件的解密与评审</w:t>
      </w:r>
      <w:bookmarkEnd w:id="101"/>
      <w:bookmarkEnd w:id="102"/>
      <w:bookmarkEnd w:id="103"/>
      <w:bookmarkEnd w:id="104"/>
    </w:p>
    <w:p w14:paraId="376A95C3">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bookmarkStart w:id="105" w:name="_Toc20823302"/>
      <w:bookmarkStart w:id="106" w:name="_Toc16938546"/>
      <w:bookmarkStart w:id="107" w:name="_Toc513029230"/>
      <w:r>
        <w:rPr>
          <w:rFonts w:ascii="Arial" w:hAnsi="Arial" w:cs="Arial"/>
          <w:color w:val="000000" w:themeColor="text1"/>
          <w:sz w:val="28"/>
          <w:szCs w:val="28"/>
          <w:highlight w:val="none"/>
          <w14:textFill>
            <w14:solidFill>
              <w14:schemeClr w14:val="tx1"/>
            </w14:solidFill>
          </w14:textFill>
        </w:rPr>
        <w:t>22、</w:t>
      </w:r>
      <w:bookmarkEnd w:id="105"/>
      <w:bookmarkEnd w:id="106"/>
      <w:bookmarkEnd w:id="107"/>
      <w:r>
        <w:rPr>
          <w:rFonts w:ascii="Arial" w:hAnsi="Arial" w:cs="Arial"/>
          <w:color w:val="000000" w:themeColor="text1"/>
          <w:sz w:val="28"/>
          <w:szCs w:val="28"/>
          <w:highlight w:val="none"/>
          <w14:textFill>
            <w14:solidFill>
              <w14:schemeClr w14:val="tx1"/>
            </w14:solidFill>
          </w14:textFill>
        </w:rPr>
        <w:t>响应文件解密</w:t>
      </w:r>
    </w:p>
    <w:p w14:paraId="3B6615F3">
      <w:pPr>
        <w:pStyle w:val="35"/>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22.1供应商应当按照《操作手册》规定，在苏采云系统规定的时间内对磋商响应文件进行解密。</w:t>
      </w:r>
    </w:p>
    <w:p w14:paraId="3F2FCD66">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bookmarkStart w:id="108" w:name="_Toc513029231"/>
      <w:bookmarkStart w:id="109" w:name="_Toc16938547"/>
      <w:bookmarkStart w:id="110" w:name="_Toc20823303"/>
      <w:r>
        <w:rPr>
          <w:rFonts w:ascii="Arial" w:hAnsi="Arial" w:cs="Arial"/>
          <w:color w:val="000000" w:themeColor="text1"/>
          <w:sz w:val="28"/>
          <w:szCs w:val="28"/>
          <w:highlight w:val="none"/>
          <w14:textFill>
            <w14:solidFill>
              <w14:schemeClr w14:val="tx1"/>
            </w14:solidFill>
          </w14:textFill>
        </w:rPr>
        <w:t>23、磋商小组</w:t>
      </w:r>
      <w:bookmarkEnd w:id="108"/>
      <w:bookmarkEnd w:id="109"/>
      <w:bookmarkEnd w:id="110"/>
    </w:p>
    <w:p w14:paraId="7FCF3B70">
      <w:pPr>
        <w:pStyle w:val="35"/>
        <w:spacing w:before="0" w:beforeAutospacing="0" w:after="0" w:afterAutospacing="0" w:line="460" w:lineRule="exact"/>
        <w:jc w:val="both"/>
        <w:rPr>
          <w:rFonts w:hint="eastAsia"/>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23.1采购人将组织磋商小组对响应文件进行评审。磋商小组由采购人代表和有关技术、经济等方面的专家组成，且人员构成符合政府采购有关规定。</w:t>
      </w:r>
    </w:p>
    <w:p w14:paraId="31AC4F62">
      <w:pPr>
        <w:pStyle w:val="35"/>
        <w:spacing w:before="0" w:beforeAutospacing="0" w:after="0" w:afterAutospacing="0" w:line="460" w:lineRule="exact"/>
        <w:jc w:val="both"/>
        <w:rPr>
          <w:rFonts w:hint="eastAsia"/>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23.2磋商小组独立工作，负责评审所有响应文件并确定成交侯选人。</w:t>
      </w:r>
    </w:p>
    <w:p w14:paraId="58BB758B">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r>
        <w:rPr>
          <w:rFonts w:hint="eastAsia" w:ascii="黑体" w:eastAsia="黑体" w:cs="黑体"/>
          <w:color w:val="000000" w:themeColor="text1"/>
          <w:sz w:val="28"/>
          <w:szCs w:val="28"/>
          <w:highlight w:val="none"/>
          <w14:textFill>
            <w14:solidFill>
              <w14:schemeClr w14:val="tx1"/>
            </w14:solidFill>
          </w14:textFill>
        </w:rPr>
        <w:t>24、评审过程的保密与公正</w:t>
      </w:r>
    </w:p>
    <w:p w14:paraId="2F1126A2">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24.1磋商小组、采购人和代理公司工作人员、相关监督人员等与评审工作有关的人员，对评审情况以及在评审过程中获悉的国家秘密、商业秘密负有保密责任。</w:t>
      </w:r>
    </w:p>
    <w:p w14:paraId="22E5386C">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24.2在评审过程中，供应商不得以任何行为影响磋商评审过程，否则其响应文件将被作为无效响应文件。</w:t>
      </w:r>
    </w:p>
    <w:p w14:paraId="50DCEE0C">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24.3在项目评审期间，采购人将设专门人员与供应商联系。</w:t>
      </w:r>
    </w:p>
    <w:p w14:paraId="6FC05927">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24.4 采购人和磋商小组不向未成交的供应商解释未成交原因，也不公布评审过程中的相关细节。</w:t>
      </w:r>
    </w:p>
    <w:p w14:paraId="1E466DF6">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bookmarkStart w:id="111" w:name="_Toc20823304"/>
      <w:bookmarkStart w:id="112" w:name="_Toc16938548"/>
      <w:bookmarkStart w:id="113" w:name="_Toc513029232"/>
      <w:r>
        <w:rPr>
          <w:rFonts w:ascii="Arial" w:hAnsi="Arial" w:cs="Arial"/>
          <w:color w:val="000000" w:themeColor="text1"/>
          <w:sz w:val="28"/>
          <w:szCs w:val="28"/>
          <w:highlight w:val="none"/>
          <w14:textFill>
            <w14:solidFill>
              <w14:schemeClr w14:val="tx1"/>
            </w14:solidFill>
          </w14:textFill>
        </w:rPr>
        <w:t>25、评审过程中的的澄清</w:t>
      </w:r>
      <w:bookmarkEnd w:id="111"/>
      <w:bookmarkEnd w:id="112"/>
      <w:bookmarkEnd w:id="113"/>
    </w:p>
    <w:p w14:paraId="3937EADC">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C62B3DF">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磋商小组并非对每个供应商都作澄清要求。</w:t>
      </w:r>
    </w:p>
    <w:p w14:paraId="41671214">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340E3EB">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25.3 接到磋商小组澄清、说明和更正要求的供应商如未按规定做出澄清、说明和 更正，其风险由供应商自行承担。</w:t>
      </w:r>
    </w:p>
    <w:p w14:paraId="1D51790F">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bookmarkStart w:id="114" w:name="_Toc20823305"/>
      <w:bookmarkStart w:id="115" w:name="_Toc513029233"/>
      <w:bookmarkStart w:id="116" w:name="_Toc16938549"/>
      <w:r>
        <w:rPr>
          <w:rFonts w:ascii="Arial" w:hAnsi="Arial" w:cs="Arial"/>
          <w:color w:val="000000" w:themeColor="text1"/>
          <w:sz w:val="28"/>
          <w:szCs w:val="28"/>
          <w:highlight w:val="none"/>
          <w14:textFill>
            <w14:solidFill>
              <w14:schemeClr w14:val="tx1"/>
            </w14:solidFill>
          </w14:textFill>
        </w:rPr>
        <w:t>26、对响应文件的审</w:t>
      </w:r>
      <w:bookmarkEnd w:id="114"/>
      <w:bookmarkEnd w:id="115"/>
      <w:bookmarkEnd w:id="116"/>
      <w:r>
        <w:rPr>
          <w:rFonts w:ascii="Arial" w:hAnsi="Arial" w:cs="Arial"/>
          <w:color w:val="000000" w:themeColor="text1"/>
          <w:sz w:val="28"/>
          <w:szCs w:val="28"/>
          <w:highlight w:val="none"/>
          <w14:textFill>
            <w14:solidFill>
              <w14:schemeClr w14:val="tx1"/>
            </w14:solidFill>
          </w14:textFill>
        </w:rPr>
        <w:t>查</w:t>
      </w:r>
    </w:p>
    <w:p w14:paraId="3CA09C85">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26.1响应文件审查分为资格审查和符合性审查。</w:t>
      </w:r>
    </w:p>
    <w:p w14:paraId="16C7A834">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26.1.1 资格审查：由磋商小组依据法律法规和磋商文件的规定，对响应文件中的资格证明文件进行审查，以确定供应商是否具备参加磋商的资格。</w:t>
      </w:r>
    </w:p>
    <w:p w14:paraId="02BA6FB5">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磋商小组在进行资格审查的同时，将在“信用中国”网站查询供应商的信用记录，以确定供应商是否具备磋商资格,查询结果留存并归档。</w:t>
      </w:r>
    </w:p>
    <w:p w14:paraId="4A6FAC0A">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74187841">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26.1.2 符合性审查：依据磋商文件的规定，由磋商小组从响应文件的有效性、完整性和对磋商文件的响应程度进行审查，以确定是否对磋商文件的实质性要求作出响应。</w:t>
      </w:r>
    </w:p>
    <w:p w14:paraId="5369FC91">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26.1.3 未通过资格审查或符合性审查的供应商，磋商小组将在苏采云系统中告知未通过资格审查或符合性审查的原因，评审结束后，磋商小组将不再告知未通过资格审查或符合性审查的原因。</w:t>
      </w:r>
    </w:p>
    <w:p w14:paraId="5E84D920">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26.2在详细评审之前，磋商小组将首先审查每份响应文件是否实质性响应了磋商文件的要求。实质性响应的响应文件应该是与磋商文件要求的条款、条件和规格相符，没有重大偏离或保留。</w:t>
      </w:r>
    </w:p>
    <w:p w14:paraId="6491E4CC">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F3EEE6">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26.3未实质性响应磋商文件的情形</w:t>
      </w:r>
    </w:p>
    <w:p w14:paraId="2FEC9A09">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26.3.1供应商在苏采云系统规定的时间内未成功解密电子响应文件的。</w:t>
      </w:r>
    </w:p>
    <w:p w14:paraId="7EFE90C0">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26.3.2供应商未按照磋商文件要求上传电子响应文件的。</w:t>
      </w:r>
    </w:p>
    <w:p w14:paraId="13A81754">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26.3.3同一供应商提交两个（含两个）以上不同的响应文件或者最后报价的。</w:t>
      </w:r>
    </w:p>
    <w:p w14:paraId="5D7A114C">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26.3.4供应商不具备磋商文件中规定资格要求的。</w:t>
      </w:r>
    </w:p>
    <w:p w14:paraId="5E4A31F0">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26.3.5供应商的最后报价超过了采购预算。</w:t>
      </w:r>
    </w:p>
    <w:p w14:paraId="695C29FE">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26.3.6不符合磋商文件中规定的实质性要求和条件的</w:t>
      </w:r>
      <w:r>
        <w:rPr>
          <w:rFonts w:hint="eastAsia"/>
          <w:i/>
          <w:color w:val="000000" w:themeColor="text1"/>
          <w:highlight w:val="none"/>
          <w:u w:val="single"/>
          <w14:textFill>
            <w14:solidFill>
              <w14:schemeClr w14:val="tx1"/>
            </w14:solidFill>
          </w14:textFill>
        </w:rPr>
        <w:t>（本磋商文件中斜体且有下划线部分为实质性要求和条件）。</w:t>
      </w:r>
    </w:p>
    <w:p w14:paraId="5D8CFC17">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AE0D653">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26.3.8 响应文件含有采购人不能接受的附加条件的。</w:t>
      </w:r>
    </w:p>
    <w:p w14:paraId="1BEFF1BB">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35"/>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.10投标人不能证明其报价合理性的，评标委员会应当将其作为无效投标处理。</w:t>
      </w:r>
    </w:p>
    <w:p w14:paraId="4DBC899D">
      <w:pPr>
        <w:pStyle w:val="35"/>
        <w:spacing w:beforeAutospacing="0" w:afterAutospacing="0" w:line="0" w:lineRule="atLeast"/>
        <w:ind w:firstLine="48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（一）评审过程中出现下列情形之一的，评标委员会应当启动异常低价投标审查程序：</w:t>
      </w:r>
    </w:p>
    <w:p w14:paraId="142F51C3">
      <w:pPr>
        <w:pStyle w:val="35"/>
        <w:spacing w:beforeAutospacing="0" w:afterAutospacing="0" w:line="0" w:lineRule="atLeast"/>
        <w:ind w:firstLine="480"/>
        <w:jc w:val="both"/>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698A7F0F">
      <w:pPr>
        <w:pStyle w:val="35"/>
        <w:spacing w:beforeAutospacing="0" w:afterAutospacing="0" w:line="0" w:lineRule="atLeast"/>
        <w:ind w:firstLine="480"/>
        <w:jc w:val="both"/>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54A4056">
      <w:pPr>
        <w:pStyle w:val="35"/>
        <w:spacing w:beforeAutospacing="0" w:afterAutospacing="0" w:line="0" w:lineRule="atLeast"/>
        <w:ind w:firstLine="480"/>
        <w:jc w:val="both"/>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3.投标（响应）报价低于采购项目最高限价45%的，即投标（响应）报价&lt;采购项目最高限价×45%；</w:t>
      </w:r>
    </w:p>
    <w:p w14:paraId="4EEC6373">
      <w:pPr>
        <w:pStyle w:val="35"/>
        <w:spacing w:beforeAutospacing="0" w:afterAutospacing="0" w:line="0" w:lineRule="atLeast"/>
        <w:ind w:firstLine="480"/>
        <w:jc w:val="both"/>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4.评审委员会基于专业判断，认为供应商报价过低，有可能影响产品质量或者不能诚信履约的其他情形。</w:t>
      </w:r>
    </w:p>
    <w:p w14:paraId="74DC75B0">
      <w:pPr>
        <w:pStyle w:val="35"/>
        <w:spacing w:beforeAutospacing="0" w:afterAutospacing="0" w:line="0" w:lineRule="atLeast"/>
        <w:ind w:firstLine="480"/>
        <w:jc w:val="both"/>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相关法律法规对供应商报价有规定的，从其规定。</w:t>
      </w:r>
    </w:p>
    <w:p w14:paraId="178BE3B6">
      <w:pPr>
        <w:pStyle w:val="35"/>
        <w:keepNext/>
        <w:keepLines/>
        <w:tabs>
          <w:tab w:val="left" w:pos="7612"/>
        </w:tabs>
        <w:spacing w:beforeAutospacing="0" w:afterAutospacing="0" w:line="480" w:lineRule="exact"/>
        <w:ind w:left="239" w:leftChars="114" w:firstLine="240" w:firstLineChars="100"/>
        <w:rPr>
          <w:rFonts w:cs="Times New Roman"/>
          <w:color w:val="FF0000"/>
          <w:highlight w:val="none"/>
        </w:rPr>
      </w:pPr>
      <w:r>
        <w:rPr>
          <w:rFonts w:hint="eastAsia"/>
          <w:color w:val="FF0000"/>
          <w:highlight w:val="none"/>
        </w:rPr>
        <w:t>（二）评审委员会启动异常低价投标（响应）审查后，属于前述第</w:t>
      </w:r>
      <w:r>
        <w:rPr>
          <w:color w:val="FF0000"/>
          <w:highlight w:val="none"/>
        </w:rPr>
        <w:t>1</w:t>
      </w:r>
      <w:r>
        <w:rPr>
          <w:rFonts w:hint="eastAsia"/>
          <w:color w:val="FF0000"/>
          <w:highlight w:val="none"/>
        </w:rPr>
        <w:t>项至第</w:t>
      </w:r>
      <w:r>
        <w:rPr>
          <w:color w:val="FF0000"/>
          <w:highlight w:val="none"/>
        </w:rPr>
        <w:t>4</w:t>
      </w:r>
      <w:r>
        <w:rPr>
          <w:rFonts w:hint="eastAsia"/>
          <w:color w:val="FF0000"/>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color w:val="FF0000"/>
          <w:highlight w:val="none"/>
        </w:rPr>
        <w:t>30</w:t>
      </w:r>
      <w:r>
        <w:rPr>
          <w:rFonts w:hint="eastAsia"/>
          <w:color w:val="FF0000"/>
          <w:highlight w:val="none"/>
        </w:rPr>
        <w:t>分钟。其中，属于第</w:t>
      </w:r>
      <w:r>
        <w:rPr>
          <w:color w:val="FF0000"/>
          <w:highlight w:val="none"/>
        </w:rPr>
        <w:t>3</w:t>
      </w:r>
      <w:r>
        <w:rPr>
          <w:rFonts w:hint="eastAsia"/>
          <w:color w:val="FF0000"/>
          <w:highlight w:val="none"/>
        </w:rPr>
        <w:t>项情形，供应商已随投标（响应）文件一并提交相关书面说明及必要的证明材料的，在评审现场可不再重复提交。</w:t>
      </w:r>
    </w:p>
    <w:p w14:paraId="38793FD0">
      <w:pPr>
        <w:pStyle w:val="35"/>
        <w:keepNext/>
        <w:keepLines/>
        <w:spacing w:beforeAutospacing="0" w:afterAutospacing="0" w:line="480" w:lineRule="exact"/>
        <w:ind w:firstLine="482"/>
        <w:jc w:val="both"/>
        <w:rPr>
          <w:rFonts w:cs="Times New Roman"/>
          <w:color w:val="FF0000"/>
          <w:highlight w:val="none"/>
        </w:rPr>
      </w:pPr>
      <w:r>
        <w:rPr>
          <w:rFonts w:hint="eastAsia"/>
          <w:color w:val="FF000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CBF37A9">
      <w:pPr>
        <w:pStyle w:val="35"/>
        <w:keepNext/>
        <w:keepLines/>
        <w:spacing w:beforeAutospacing="0" w:afterAutospacing="0" w:line="480" w:lineRule="exact"/>
        <w:ind w:firstLine="482"/>
        <w:jc w:val="both"/>
        <w:rPr>
          <w:rFonts w:cs="Times New Roman"/>
          <w:color w:val="FF0000"/>
          <w:highlight w:val="none"/>
        </w:rPr>
      </w:pPr>
      <w:r>
        <w:rPr>
          <w:rFonts w:hint="eastAsia"/>
          <w:color w:val="FF0000"/>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B3E6BC">
      <w:pPr>
        <w:pStyle w:val="35"/>
        <w:keepNext/>
        <w:keepLines/>
        <w:spacing w:beforeAutospacing="0" w:afterAutospacing="0" w:line="480" w:lineRule="exact"/>
        <w:ind w:firstLine="482"/>
        <w:jc w:val="both"/>
        <w:rPr>
          <w:rFonts w:cs="Times New Roman"/>
          <w:color w:val="FF0000"/>
          <w:highlight w:val="none"/>
        </w:rPr>
      </w:pPr>
      <w:r>
        <w:rPr>
          <w:rFonts w:hint="eastAsia"/>
          <w:color w:val="FF0000"/>
          <w:highlight w:val="none"/>
        </w:rPr>
        <w:t>异常低价投标（响应）审查的启动原因、审查意见和审查结果应当在评审报告中记录，并随供应商提供的相关书面说明及证明材料，以及评审委员会有关互联网浏览、查询历史一并归档。</w:t>
      </w:r>
    </w:p>
    <w:p w14:paraId="116A2C88">
      <w:pPr>
        <w:pStyle w:val="35"/>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2B503B3">
      <w:pPr>
        <w:pStyle w:val="35"/>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5F91C60">
      <w:pPr>
        <w:pStyle w:val="35"/>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53784EA5">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bookmarkStart w:id="117" w:name="_Toc16938550"/>
      <w:bookmarkStart w:id="118" w:name="_Toc513029234"/>
      <w:bookmarkStart w:id="119" w:name="_Toc20823306"/>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，并安排专人与采购中心及磋商小组联系。</w:t>
      </w:r>
      <w:bookmarkEnd w:id="117"/>
      <w:bookmarkEnd w:id="118"/>
      <w:bookmarkEnd w:id="119"/>
    </w:p>
    <w:p w14:paraId="200ED6F5">
      <w:pPr>
        <w:pStyle w:val="35"/>
        <w:keepNext/>
        <w:keepLines/>
        <w:spacing w:before="0" w:beforeAutospacing="0" w:after="0" w:afterAutospacing="0" w:line="460" w:lineRule="exact"/>
        <w:ind w:firstLine="420"/>
        <w:jc w:val="both"/>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27、磋商程序及评审方法和评审标准</w:t>
      </w:r>
    </w:p>
    <w:p w14:paraId="55D61845">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27.1磋商程序</w:t>
      </w:r>
    </w:p>
    <w:p w14:paraId="2DE7C76A">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5C0FE59">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DBD6FE2">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A5315D6">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DF4D74E">
      <w:pPr>
        <w:pStyle w:val="35"/>
        <w:tabs>
          <w:tab w:val="left" w:pos="901"/>
        </w:tabs>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42B07B81">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9DF5B14">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27.2 评审方法和评审标准</w:t>
      </w:r>
    </w:p>
    <w:p w14:paraId="49EDE625">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27.2.1评审方法。经磋商确定最终采购需求和提交最后报价的供应商后，由磋商小组采用综合评分法对提交最后报价的供应商的响应文件和最后报价进行综合评分。</w:t>
      </w:r>
    </w:p>
    <w:p w14:paraId="4380FDA0">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9C009FD">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27.2.2评审标准</w:t>
      </w:r>
    </w:p>
    <w:p w14:paraId="3E61A712">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见本磋商文件第五章规定。</w:t>
      </w:r>
    </w:p>
    <w:p w14:paraId="2D5DA993">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27.3采购活动终止的情况</w:t>
      </w:r>
    </w:p>
    <w:p w14:paraId="533D3CDF">
      <w:pPr>
        <w:pStyle w:val="35"/>
        <w:tabs>
          <w:tab w:val="left" w:pos="901"/>
        </w:tabs>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出现下列情形之一的，本次竞争性磋商采购活动将被终止：</w:t>
      </w:r>
    </w:p>
    <w:p w14:paraId="017AF4C3">
      <w:pPr>
        <w:pStyle w:val="35"/>
        <w:tabs>
          <w:tab w:val="left" w:pos="901"/>
        </w:tabs>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27.3.1因情况变化，不再符合规定的竞争性磋商采购方式适用情形的。</w:t>
      </w:r>
    </w:p>
    <w:p w14:paraId="10B35BFD">
      <w:pPr>
        <w:pStyle w:val="35"/>
        <w:tabs>
          <w:tab w:val="left" w:pos="901"/>
        </w:tabs>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27.3.2出现影响采购公正的违法、违规行为的。</w:t>
      </w:r>
    </w:p>
    <w:p w14:paraId="4B6E5E68">
      <w:pPr>
        <w:pStyle w:val="35"/>
        <w:tabs>
          <w:tab w:val="left" w:pos="901"/>
        </w:tabs>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27.3.3除本磋商文件第二章第27.1.2条第三款规定的情形外，在采购过程中符合要求的供应商或者最后报价未超过采购预算的供应商不足3家的。</w:t>
      </w:r>
    </w:p>
    <w:p w14:paraId="24743851">
      <w:pPr>
        <w:pStyle w:val="35"/>
        <w:tabs>
          <w:tab w:val="left" w:pos="901"/>
        </w:tabs>
        <w:spacing w:before="0" w:beforeAutospacing="0" w:after="0" w:afterAutospacing="0" w:line="460" w:lineRule="exact"/>
        <w:ind w:firstLine="3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27.3.4在苏采云系统规定时间内成功解密电子响应文件的供应商不足3家的。</w:t>
      </w:r>
    </w:p>
    <w:p w14:paraId="3F723CF7">
      <w:pPr>
        <w:pStyle w:val="35"/>
        <w:keepNext/>
        <w:keepLines/>
        <w:spacing w:before="0" w:beforeAutospacing="0" w:after="0" w:afterAutospacing="0" w:line="460" w:lineRule="exact"/>
        <w:ind w:firstLine="482"/>
        <w:jc w:val="both"/>
        <w:rPr>
          <w:rFonts w:hint="eastAsia"/>
          <w:color w:val="000000" w:themeColor="text1"/>
          <w:highlight w:val="none"/>
          <w14:textFill>
            <w14:solidFill>
              <w14:schemeClr w14:val="tx1"/>
            </w14:solidFill>
          </w14:textFill>
        </w:rPr>
      </w:pPr>
      <w:bookmarkStart w:id="120" w:name="_Toc16938551"/>
      <w:bookmarkStart w:id="121" w:name="_Toc120614219"/>
      <w:bookmarkStart w:id="122" w:name="_Toc513029235"/>
      <w:bookmarkStart w:id="123" w:name="_Toc20823307"/>
      <w:r>
        <w:rPr>
          <w:rFonts w:ascii="Times New Roman" w:hAnsi="Times New Roman"/>
          <w:b/>
          <w:color w:val="000000" w:themeColor="text1"/>
          <w:sz w:val="32"/>
          <w:szCs w:val="32"/>
          <w:highlight w:val="none"/>
          <w14:textFill>
            <w14:solidFill>
              <w14:schemeClr w14:val="tx1"/>
            </w14:solidFill>
          </w14:textFill>
        </w:rPr>
        <w:t>六、</w:t>
      </w:r>
      <w:bookmarkEnd w:id="120"/>
      <w:bookmarkEnd w:id="121"/>
      <w:bookmarkEnd w:id="122"/>
      <w:bookmarkEnd w:id="123"/>
      <w:r>
        <w:rPr>
          <w:rFonts w:ascii="Times New Roman" w:hAnsi="Times New Roman"/>
          <w:b/>
          <w:color w:val="000000" w:themeColor="text1"/>
          <w:sz w:val="32"/>
          <w:szCs w:val="32"/>
          <w:highlight w:val="none"/>
          <w14:textFill>
            <w14:solidFill>
              <w14:schemeClr w14:val="tx1"/>
            </w14:solidFill>
          </w14:textFill>
        </w:rPr>
        <w:t>成交</w:t>
      </w:r>
    </w:p>
    <w:p w14:paraId="24EA68B1">
      <w:pPr>
        <w:pStyle w:val="35"/>
        <w:keepNext/>
        <w:keepLines/>
        <w:spacing w:before="0" w:beforeAutospacing="0" w:after="0" w:afterAutospacing="0" w:line="460" w:lineRule="exact"/>
        <w:ind w:firstLine="600"/>
        <w:jc w:val="both"/>
        <w:rPr>
          <w:rFonts w:hint="eastAsia"/>
          <w:color w:val="000000" w:themeColor="text1"/>
          <w:highlight w:val="none"/>
          <w14:textFill>
            <w14:solidFill>
              <w14:schemeClr w14:val="tx1"/>
            </w14:solidFill>
          </w14:textFill>
        </w:rPr>
      </w:pPr>
      <w:bookmarkStart w:id="124" w:name="_Toc20823310"/>
      <w:bookmarkStart w:id="125" w:name="_Toc513029238"/>
      <w:bookmarkStart w:id="126" w:name="_Toc16938554"/>
      <w:r>
        <w:rPr>
          <w:rFonts w:hint="eastAsia" w:ascii="黑体" w:eastAsia="黑体" w:cs="黑体"/>
          <w:color w:val="000000" w:themeColor="text1"/>
          <w:sz w:val="30"/>
          <w:szCs w:val="30"/>
          <w:highlight w:val="none"/>
          <w14:textFill>
            <w14:solidFill>
              <w14:schemeClr w14:val="tx1"/>
            </w14:solidFill>
          </w14:textFill>
        </w:rPr>
        <w:t>28、</w:t>
      </w:r>
      <w:bookmarkEnd w:id="124"/>
      <w:r>
        <w:rPr>
          <w:rFonts w:hint="eastAsia" w:ascii="黑体" w:eastAsia="黑体" w:cs="黑体"/>
          <w:color w:val="000000" w:themeColor="text1"/>
          <w:sz w:val="30"/>
          <w:szCs w:val="30"/>
          <w:highlight w:val="none"/>
          <w14:textFill>
            <w14:solidFill>
              <w14:schemeClr w14:val="tx1"/>
            </w14:solidFill>
          </w14:textFill>
        </w:rPr>
        <w:t>确定</w:t>
      </w:r>
      <w:bookmarkEnd w:id="125"/>
      <w:bookmarkEnd w:id="126"/>
      <w:r>
        <w:rPr>
          <w:rFonts w:hint="eastAsia" w:ascii="黑体" w:eastAsia="黑体" w:cs="黑体"/>
          <w:color w:val="000000" w:themeColor="text1"/>
          <w:sz w:val="30"/>
          <w:szCs w:val="30"/>
          <w:highlight w:val="none"/>
          <w14:textFill>
            <w14:solidFill>
              <w14:schemeClr w14:val="tx1"/>
            </w14:solidFill>
          </w14:textFill>
        </w:rPr>
        <w:t>成交单位</w:t>
      </w:r>
    </w:p>
    <w:p w14:paraId="5404BCC0">
      <w:pPr>
        <w:pStyle w:val="35"/>
        <w:tabs>
          <w:tab w:val="left" w:pos="901"/>
        </w:tabs>
        <w:spacing w:before="0" w:beforeAutospacing="0" w:after="0" w:afterAutospacing="0" w:line="460" w:lineRule="exact"/>
        <w:ind w:firstLine="47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2C630B2">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A5752A5">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4F671208">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28.3若有充分证据证明，成交供应商出现下列情况之一的，一经查实，将被取消成交资格：</w:t>
      </w:r>
    </w:p>
    <w:p w14:paraId="791EA9CF">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28.3.1提供虚假材料谋取成交的。</w:t>
      </w:r>
    </w:p>
    <w:p w14:paraId="6C559A73">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28.3.2与评审专家、采购人、其他供应商或者代理公司工作人员恶意串通的。</w:t>
      </w:r>
    </w:p>
    <w:p w14:paraId="272AF6ED">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28.3.3向评审专家、采购人或代理公司工作人员行贿或者提供其他不正当利益的。</w:t>
      </w:r>
    </w:p>
    <w:p w14:paraId="6E47F6DF">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28.3.4恶意竞争，最后报价明显低于其自身合理成本且又无法提供证明的。</w:t>
      </w:r>
    </w:p>
    <w:p w14:paraId="5CC9EA8A">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28.3.5不满足本磋商文件规定的实质性要求，但在评审过程中又未被磋商小组发现的。</w:t>
      </w:r>
    </w:p>
    <w:p w14:paraId="2FC16709">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28.3.6成交后无正当理由拒不与采购人签订政府采购合同或者未按照磋商文件确定的事项签订政府采购合同的。</w:t>
      </w:r>
    </w:p>
    <w:p w14:paraId="5E9D256C">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28.3.7将政府采购合同转包的。</w:t>
      </w:r>
    </w:p>
    <w:p w14:paraId="096EDD52">
      <w:pPr>
        <w:pStyle w:val="35"/>
        <w:keepNext/>
        <w:keepLines/>
        <w:spacing w:before="0" w:beforeAutospacing="0" w:after="0" w:afterAutospacing="0" w:line="460" w:lineRule="exact"/>
        <w:ind w:firstLine="600"/>
        <w:jc w:val="both"/>
        <w:rPr>
          <w:rFonts w:hint="eastAsia"/>
          <w:color w:val="000000" w:themeColor="text1"/>
          <w:highlight w:val="none"/>
          <w14:textFill>
            <w14:solidFill>
              <w14:schemeClr w14:val="tx1"/>
            </w14:solidFill>
          </w14:textFill>
        </w:rPr>
      </w:pPr>
      <w:bookmarkStart w:id="127" w:name="_Toc200451960"/>
      <w:r>
        <w:rPr>
          <w:rFonts w:hint="eastAsia" w:ascii="黑体" w:eastAsia="黑体" w:cs="黑体"/>
          <w:color w:val="000000" w:themeColor="text1"/>
          <w:sz w:val="30"/>
          <w:szCs w:val="30"/>
          <w:highlight w:val="none"/>
          <w14:textFill>
            <w14:solidFill>
              <w14:schemeClr w14:val="tx1"/>
            </w14:solidFill>
          </w14:textFill>
        </w:rPr>
        <w:t>29、质疑处理</w:t>
      </w:r>
      <w:bookmarkEnd w:id="127"/>
    </w:p>
    <w:p w14:paraId="1E04DEB0">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29.1 提出质疑的供应商应当是参与所质疑项目采购活动的供应商。潜在供应商依法获取其可质疑的采购文件的，可以对采购文件提出质疑。</w:t>
      </w:r>
    </w:p>
    <w:p w14:paraId="0F0EDFD0">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p>
    <w:p w14:paraId="23935B75">
      <w:pPr>
        <w:pStyle w:val="35"/>
        <w:spacing w:before="0" w:beforeAutospacing="0" w:after="0" w:afterAutospacing="0" w:line="460" w:lineRule="exact"/>
        <w:ind w:firstLine="480"/>
        <w:jc w:val="both"/>
        <w:rPr>
          <w:rFonts w:ascii="Times New Roman" w:hAnsi="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29.2.1</w:t>
      </w:r>
      <w:r>
        <w:rPr>
          <w:rFonts w:ascii="Times New Roman" w:hAnsi="Times New Roman"/>
          <w:color w:val="000000" w:themeColor="text1"/>
          <w:highlight w:val="none"/>
          <w14:textFill>
            <w14:solidFill>
              <w14:schemeClr w14:val="tx1"/>
            </w14:solidFill>
          </w14:textFill>
        </w:rPr>
        <w:t>对可以质疑的采购文件提出质疑的，为收到采购文件之日或者采购文件公告期限届满之日。</w:t>
      </w:r>
    </w:p>
    <w:p w14:paraId="454649A6">
      <w:pPr>
        <w:pStyle w:val="35"/>
        <w:spacing w:before="0" w:beforeAutospacing="0" w:after="0" w:afterAutospacing="0" w:line="460" w:lineRule="exact"/>
        <w:ind w:firstLine="480"/>
        <w:jc w:val="both"/>
        <w:rPr>
          <w:rFonts w:ascii="Times New Roman" w:hAnsi="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29.2.2</w:t>
      </w:r>
      <w:r>
        <w:rPr>
          <w:rFonts w:ascii="Times New Roman" w:hAnsi="Times New Roman"/>
          <w:color w:val="000000" w:themeColor="text1"/>
          <w:highlight w:val="none"/>
          <w14:textFill>
            <w14:solidFill>
              <w14:schemeClr w14:val="tx1"/>
            </w14:solidFill>
          </w14:textFill>
        </w:rPr>
        <w:t>对采购过程提出质疑的，为各采购程序环节结束之日。</w:t>
      </w:r>
    </w:p>
    <w:p w14:paraId="342C5A73">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29.2.3</w:t>
      </w:r>
      <w:r>
        <w:rPr>
          <w:rFonts w:ascii="Times New Roman" w:hAnsi="Times New Roman"/>
          <w:color w:val="000000" w:themeColor="text1"/>
          <w:highlight w:val="none"/>
          <w14:textFill>
            <w14:solidFill>
              <w14:schemeClr w14:val="tx1"/>
            </w14:solidFill>
          </w14:textFill>
        </w:rPr>
        <w:t>对成交结果提出质疑的，为成交结果公告期限届满之日。</w:t>
      </w:r>
    </w:p>
    <w:p w14:paraId="5FF2FCD4">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color w:val="000000" w:themeColor="text1"/>
          <w:szCs w:val="21"/>
          <w:highlight w:val="none"/>
          <w14:textFill>
            <w14:solidFill>
              <w14:schemeClr w14:val="tx1"/>
            </w14:solidFill>
          </w14:textFill>
        </w:rPr>
        <w:t>采购人、代理公司</w:t>
      </w:r>
      <w:r>
        <w:rPr>
          <w:rFonts w:ascii="Times New Roman" w:hAnsi="Times New Roman"/>
          <w:color w:val="000000" w:themeColor="text1"/>
          <w:highlight w:val="none"/>
          <w14:textFill>
            <w14:solidFill>
              <w14:schemeClr w14:val="tx1"/>
            </w14:solidFill>
          </w14:textFill>
        </w:rPr>
        <w:t>将只对供应商第一次质疑作出答复。</w:t>
      </w:r>
    </w:p>
    <w:p w14:paraId="2DDA039B">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29.3质疑函必须按照本磋商文件中《质疑函范本》要求的格式和内容进行填写。供应商如组成联合体参加磋商，则《质疑函范本》中要求签字、盖章、加盖公章之处，联合体各方均须按要求签字、盖章、加盖公章。</w:t>
      </w:r>
    </w:p>
    <w:p w14:paraId="3CC46D9A">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29.4 以下情形的质疑不予受理</w:t>
      </w:r>
    </w:p>
    <w:p w14:paraId="2E713A1E">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29.4.1 内容不符合《政府采购质疑和投诉办法》第十二条规定的质疑。</w:t>
      </w:r>
    </w:p>
    <w:p w14:paraId="552512BE">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29.4.2 超出政府采购法定期限的质疑。</w:t>
      </w:r>
    </w:p>
    <w:p w14:paraId="4AE89430">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29.4.3 以传真、电子邮件等方式递交的非原件形式的质疑。</w:t>
      </w:r>
    </w:p>
    <w:p w14:paraId="7B4FFCF6">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29.4.4 未参加磋商活动的供应商或在磋商活动中自身权益未受到损害的供应商所提出的质疑。</w:t>
      </w:r>
    </w:p>
    <w:p w14:paraId="7034FBF6">
      <w:pPr>
        <w:pStyle w:val="35"/>
        <w:spacing w:before="0" w:beforeAutospacing="0" w:after="0" w:afterAutospacing="0" w:line="46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29.4.5供应商组成联合体参加磋商，联合体中任何一方或多方未按要求签字、盖章、加盖公章的质疑。</w:t>
      </w:r>
    </w:p>
    <w:p w14:paraId="1D83C3D1">
      <w:pPr>
        <w:pStyle w:val="35"/>
        <w:spacing w:before="0" w:beforeAutospacing="0" w:after="0" w:afterAutospacing="0" w:line="460" w:lineRule="exact"/>
        <w:ind w:firstLine="46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C7F7CD6">
      <w:pPr>
        <w:pStyle w:val="35"/>
        <w:keepNext/>
        <w:keepLines/>
        <w:spacing w:before="0" w:beforeAutospacing="0" w:after="0" w:afterAutospacing="0" w:line="460" w:lineRule="exact"/>
        <w:ind w:firstLine="600"/>
        <w:jc w:val="both"/>
        <w:rPr>
          <w:rFonts w:hint="eastAsia"/>
          <w:color w:val="000000" w:themeColor="text1"/>
          <w:highlight w:val="none"/>
          <w14:textFill>
            <w14:solidFill>
              <w14:schemeClr w14:val="tx1"/>
            </w14:solidFill>
          </w14:textFill>
        </w:rPr>
      </w:pPr>
      <w:r>
        <w:rPr>
          <w:rFonts w:hint="eastAsia" w:ascii="黑体" w:eastAsia="黑体" w:cs="黑体"/>
          <w:color w:val="000000" w:themeColor="text1"/>
          <w:sz w:val="30"/>
          <w:szCs w:val="30"/>
          <w:highlight w:val="none"/>
          <w14:textFill>
            <w14:solidFill>
              <w14:schemeClr w14:val="tx1"/>
            </w14:solidFill>
          </w14:textFill>
        </w:rPr>
        <w:t>30、成交通知书</w:t>
      </w:r>
    </w:p>
    <w:p w14:paraId="76E9C88A">
      <w:pPr>
        <w:pStyle w:val="35"/>
        <w:spacing w:before="0" w:beforeAutospacing="0" w:after="0" w:afterAutospacing="0" w:line="460" w:lineRule="exact"/>
        <w:ind w:firstLine="60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3BCB1DE">
      <w:pPr>
        <w:pStyle w:val="35"/>
        <w:spacing w:before="0" w:beforeAutospacing="0" w:after="0" w:afterAutospacing="0" w:line="460" w:lineRule="exact"/>
        <w:ind w:firstLine="60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30.2成交通知书将是合同的一个组成部分。对采购人和成交供应商均具有法律效力。成交通知书发出后，采购人改变成交结果的，或者成交供应商放弃成交项目的，应当依法承担法律责任。</w:t>
      </w:r>
    </w:p>
    <w:p w14:paraId="51451D70">
      <w:pPr>
        <w:spacing w:line="360" w:lineRule="auto"/>
        <w:ind w:firstLine="482"/>
        <w:rPr>
          <w:rFonts w:ascii="宋体" w:hAnsi="宋体" w:cs="宋体"/>
          <w:sz w:val="24"/>
          <w:highlight w:val="none"/>
        </w:rPr>
      </w:pPr>
      <w:r>
        <w:rPr>
          <w:rFonts w:hint="eastAsia" w:ascii="宋体" w:hAnsi="宋体" w:cs="宋体"/>
          <w:b/>
          <w:sz w:val="24"/>
          <w:highlight w:val="none"/>
        </w:rPr>
        <w:t>七、授予合同</w:t>
      </w:r>
    </w:p>
    <w:p w14:paraId="4F8674E0">
      <w:pPr>
        <w:spacing w:line="360" w:lineRule="auto"/>
        <w:ind w:firstLine="480"/>
        <w:rPr>
          <w:rFonts w:ascii="宋体" w:hAnsi="宋体" w:cs="宋体"/>
          <w:sz w:val="24"/>
          <w:highlight w:val="none"/>
        </w:rPr>
      </w:pPr>
      <w:bookmarkStart w:id="128" w:name="_Toc16938553"/>
      <w:bookmarkStart w:id="129" w:name="_Toc20823309"/>
      <w:bookmarkStart w:id="130" w:name="_Toc513029237"/>
      <w:r>
        <w:rPr>
          <w:rFonts w:hint="eastAsia" w:ascii="宋体" w:hAnsi="宋体" w:cs="宋体"/>
          <w:sz w:val="24"/>
          <w:highlight w:val="none"/>
        </w:rPr>
        <w:t>30、签订合同</w:t>
      </w:r>
      <w:bookmarkEnd w:id="128"/>
      <w:bookmarkEnd w:id="129"/>
      <w:bookmarkEnd w:id="130"/>
    </w:p>
    <w:p w14:paraId="6D43C9F4">
      <w:pPr>
        <w:spacing w:line="360" w:lineRule="auto"/>
        <w:ind w:firstLine="480"/>
        <w:rPr>
          <w:rFonts w:ascii="宋体" w:hAnsi="宋体" w:cs="宋体"/>
          <w:sz w:val="24"/>
          <w:highlight w:val="none"/>
        </w:rPr>
      </w:pPr>
      <w:r>
        <w:rPr>
          <w:rFonts w:hint="eastAsia" w:ascii="宋体" w:hAnsi="宋体" w:cs="宋体"/>
          <w:sz w:val="24"/>
          <w:highlight w:val="none"/>
        </w:rPr>
        <w:t>30.l中标人应当在中标通知书发出之日起三十日内，按照招标文件确定的事项与采购人签订政府采购合同。</w:t>
      </w:r>
    </w:p>
    <w:p w14:paraId="36C7A620">
      <w:pPr>
        <w:spacing w:line="360" w:lineRule="auto"/>
        <w:ind w:firstLine="480"/>
        <w:rPr>
          <w:rFonts w:ascii="宋体" w:hAnsi="宋体" w:cs="宋体"/>
          <w:sz w:val="24"/>
          <w:highlight w:val="none"/>
        </w:rPr>
      </w:pPr>
      <w:r>
        <w:rPr>
          <w:rFonts w:hint="eastAsia" w:ascii="宋体" w:hAnsi="宋体" w:cs="宋体"/>
          <w:sz w:val="24"/>
          <w:highlight w:val="none"/>
        </w:rPr>
        <w:t>30.2招标文件、中标人的投标文件及招标过程中有关澄清、承诺文件均应作为合同附件。</w:t>
      </w:r>
    </w:p>
    <w:p w14:paraId="6A88A97C">
      <w:pPr>
        <w:spacing w:line="360" w:lineRule="auto"/>
        <w:ind w:firstLine="480"/>
        <w:rPr>
          <w:rFonts w:ascii="宋体" w:hAnsi="宋体" w:cs="宋体"/>
          <w:sz w:val="24"/>
          <w:highlight w:val="none"/>
        </w:rPr>
      </w:pPr>
      <w:r>
        <w:rPr>
          <w:rFonts w:hint="eastAsia" w:ascii="宋体" w:hAnsi="宋体" w:cs="宋体"/>
          <w:sz w:val="24"/>
          <w:highlight w:val="none"/>
        </w:rPr>
        <w:t>30.3签订合同后，</w:t>
      </w:r>
      <w:r>
        <w:rPr>
          <w:rFonts w:hint="eastAsia" w:ascii="宋体" w:hAnsi="宋体" w:cs="宋体"/>
          <w:i w:val="0"/>
          <w:iCs/>
          <w:sz w:val="24"/>
          <w:highlight w:val="none"/>
          <w:u w:val="none"/>
        </w:rPr>
        <w:t>中标人不得将合同标的进行转包</w:t>
      </w:r>
      <w:r>
        <w:rPr>
          <w:rFonts w:hint="eastAsia" w:ascii="宋体" w:hAnsi="宋体" w:cs="宋体"/>
          <w:i w:val="0"/>
          <w:iCs/>
          <w:sz w:val="24"/>
          <w:highlight w:val="none"/>
          <w:u w:val="none"/>
          <w:lang w:val="en-US" w:eastAsia="zh-CN"/>
        </w:rPr>
        <w:t>和分包。</w:t>
      </w:r>
      <w:r>
        <w:rPr>
          <w:rFonts w:hint="eastAsia" w:ascii="宋体" w:hAnsi="宋体" w:cs="宋体"/>
          <w:sz w:val="24"/>
          <w:highlight w:val="none"/>
        </w:rPr>
        <w:t>未经采购人同意，中标人也不得采用分包的形式履行合同，否则采购人有权终止合同。转包或分包造成采购人损失的，中标人应承担相应赔偿责任。</w:t>
      </w:r>
    </w:p>
    <w:p w14:paraId="3DA11E0D">
      <w:pPr>
        <w:spacing w:line="360" w:lineRule="auto"/>
        <w:ind w:firstLine="480"/>
        <w:rPr>
          <w:rFonts w:ascii="宋体" w:hAnsi="宋体" w:cs="宋体"/>
          <w:sz w:val="24"/>
          <w:highlight w:val="none"/>
        </w:rPr>
      </w:pPr>
      <w:r>
        <w:rPr>
          <w:rFonts w:hint="eastAsia" w:ascii="宋体" w:hAnsi="宋体" w:cs="宋体"/>
          <w:sz w:val="24"/>
          <w:highlight w:val="none"/>
        </w:rPr>
        <w:t>31、服务（包含与服务相关的货物）的追加</w:t>
      </w:r>
    </w:p>
    <w:p w14:paraId="73021EFC">
      <w:pPr>
        <w:spacing w:line="360" w:lineRule="auto"/>
        <w:ind w:firstLine="480"/>
        <w:rPr>
          <w:rFonts w:ascii="宋体" w:hAnsi="宋体" w:cs="宋体"/>
          <w:sz w:val="24"/>
          <w:highlight w:val="none"/>
        </w:rPr>
      </w:pPr>
      <w:r>
        <w:rPr>
          <w:rFonts w:hint="eastAsia" w:ascii="宋体" w:hAnsi="宋体" w:cs="宋体"/>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052437D">
      <w:pPr>
        <w:spacing w:line="360" w:lineRule="auto"/>
        <w:ind w:firstLine="480"/>
        <w:rPr>
          <w:rFonts w:ascii="宋体" w:hAnsi="宋体" w:cs="宋体"/>
          <w:sz w:val="24"/>
          <w:highlight w:val="none"/>
        </w:rPr>
      </w:pPr>
      <w:r>
        <w:rPr>
          <w:rFonts w:hint="eastAsia" w:ascii="宋体" w:hAnsi="宋体" w:cs="宋体"/>
          <w:sz w:val="24"/>
          <w:highlight w:val="none"/>
        </w:rPr>
        <w:t>32、政府采购政策功能落实</w:t>
      </w:r>
    </w:p>
    <w:p w14:paraId="7ED52E17">
      <w:pPr>
        <w:spacing w:line="360" w:lineRule="auto"/>
        <w:ind w:firstLine="480"/>
        <w:rPr>
          <w:rFonts w:ascii="宋体" w:hAnsi="宋体" w:cs="宋体"/>
          <w:sz w:val="24"/>
          <w:highlight w:val="none"/>
        </w:rPr>
      </w:pPr>
      <w:r>
        <w:rPr>
          <w:rFonts w:hint="eastAsia" w:ascii="宋体" w:hAnsi="宋体" w:cs="宋体"/>
          <w:sz w:val="24"/>
          <w:highlight w:val="none"/>
        </w:rPr>
        <w:t>32.1政府采购线上合同信用融资政策</w:t>
      </w:r>
    </w:p>
    <w:p w14:paraId="2DFB9F5C">
      <w:pPr>
        <w:spacing w:line="360" w:lineRule="auto"/>
        <w:ind w:firstLine="480"/>
        <w:rPr>
          <w:rFonts w:ascii="宋体" w:hAnsi="宋体" w:cs="宋体"/>
          <w:sz w:val="24"/>
          <w:highlight w:val="none"/>
        </w:rPr>
      </w:pPr>
      <w:r>
        <w:rPr>
          <w:rFonts w:hint="eastAsia" w:ascii="宋体" w:hAnsi="宋体" w:cs="宋体"/>
          <w:sz w:val="24"/>
          <w:highlight w:val="none"/>
        </w:rPr>
        <w:t>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23AF3C39">
      <w:pPr>
        <w:tabs>
          <w:tab w:val="left" w:pos="1381"/>
        </w:tabs>
        <w:spacing w:line="360" w:lineRule="auto"/>
        <w:ind w:firstLine="480"/>
        <w:rPr>
          <w:rFonts w:ascii="宋体" w:hAnsi="宋体" w:cs="宋体"/>
          <w:sz w:val="24"/>
          <w:highlight w:val="none"/>
        </w:rPr>
      </w:pPr>
      <w:r>
        <w:rPr>
          <w:rFonts w:hint="eastAsia" w:ascii="宋体" w:hAnsi="宋体" w:cs="宋体"/>
          <w:sz w:val="24"/>
          <w:highlight w:val="none"/>
        </w:rPr>
        <w:t>32.2进口产品</w:t>
      </w:r>
    </w:p>
    <w:p w14:paraId="4FF01122">
      <w:pPr>
        <w:spacing w:line="360" w:lineRule="auto"/>
        <w:ind w:firstLine="480"/>
        <w:rPr>
          <w:rFonts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5E92AF0">
      <w:pPr>
        <w:tabs>
          <w:tab w:val="left" w:pos="1381"/>
        </w:tabs>
        <w:spacing w:line="360" w:lineRule="auto"/>
        <w:ind w:firstLine="480"/>
        <w:rPr>
          <w:rFonts w:ascii="宋体" w:hAnsi="宋体" w:cs="宋体"/>
          <w:sz w:val="24"/>
          <w:highlight w:val="none"/>
        </w:rPr>
      </w:pPr>
      <w:r>
        <w:rPr>
          <w:rFonts w:hint="eastAsia" w:ascii="宋体" w:hAnsi="宋体" w:cs="宋体"/>
          <w:sz w:val="24"/>
          <w:highlight w:val="none"/>
        </w:rPr>
        <w:t>32.3中小企业、监狱企业及残疾人福利性单位</w:t>
      </w:r>
    </w:p>
    <w:p w14:paraId="349CA0E7">
      <w:pPr>
        <w:spacing w:line="360" w:lineRule="auto"/>
        <w:ind w:firstLine="480"/>
        <w:rPr>
          <w:rFonts w:ascii="宋体" w:hAnsi="宋体" w:cs="宋体"/>
          <w:sz w:val="24"/>
          <w:highlight w:val="none"/>
        </w:rPr>
      </w:pPr>
      <w:r>
        <w:rPr>
          <w:rFonts w:hint="eastAsia" w:ascii="宋体" w:hAnsi="宋体" w:cs="宋体"/>
          <w:sz w:val="24"/>
          <w:highlight w:val="none"/>
        </w:rPr>
        <w:t>32.3.1中小企业定义：</w:t>
      </w:r>
    </w:p>
    <w:p w14:paraId="5AC23081">
      <w:pPr>
        <w:spacing w:line="360" w:lineRule="auto"/>
        <w:ind w:firstLine="480"/>
        <w:rPr>
          <w:rFonts w:ascii="宋体" w:hAnsi="宋体" w:cs="宋体"/>
          <w:sz w:val="24"/>
          <w:highlight w:val="none"/>
        </w:rPr>
      </w:pPr>
      <w:r>
        <w:rPr>
          <w:rFonts w:hint="eastAsia" w:ascii="宋体" w:hAnsi="宋体" w:cs="宋体"/>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360C166">
      <w:pPr>
        <w:spacing w:line="360" w:lineRule="auto"/>
        <w:ind w:firstLine="480"/>
        <w:rPr>
          <w:rFonts w:ascii="宋体" w:hAnsi="宋体" w:cs="宋体"/>
          <w:sz w:val="24"/>
          <w:highlight w:val="none"/>
        </w:rPr>
      </w:pPr>
      <w:r>
        <w:rPr>
          <w:rFonts w:hint="eastAsia" w:ascii="宋体" w:hAnsi="宋体" w:cs="宋体"/>
          <w:sz w:val="24"/>
          <w:highlight w:val="none"/>
        </w:rPr>
        <w:t>32.3.2投标人提供的货物、工程或者服务符合下列情形的，享受中小企业扶持政策：</w:t>
      </w:r>
    </w:p>
    <w:p w14:paraId="6C03EBBA">
      <w:pPr>
        <w:spacing w:line="360" w:lineRule="auto"/>
        <w:ind w:firstLine="480"/>
        <w:rPr>
          <w:rFonts w:ascii="宋体" w:hAnsi="宋体" w:cs="宋体"/>
          <w:sz w:val="24"/>
          <w:highlight w:val="none"/>
        </w:rPr>
      </w:pPr>
      <w:r>
        <w:rPr>
          <w:rFonts w:hint="eastAsia" w:ascii="宋体" w:hAnsi="宋体" w:cs="宋体"/>
          <w:sz w:val="24"/>
          <w:highlight w:val="none"/>
        </w:rPr>
        <w:t>32.3.2.1在货物采购项目中，货物由中小企业制造，即货物由中小企业生产且使用该中小企业商号或者注册商标；</w:t>
      </w:r>
    </w:p>
    <w:p w14:paraId="39E81C15">
      <w:pPr>
        <w:spacing w:line="360" w:lineRule="auto"/>
        <w:ind w:firstLine="480"/>
        <w:rPr>
          <w:rFonts w:ascii="宋体" w:hAnsi="宋体" w:cs="宋体"/>
          <w:sz w:val="24"/>
          <w:highlight w:val="none"/>
        </w:rPr>
      </w:pPr>
      <w:r>
        <w:rPr>
          <w:rFonts w:hint="eastAsia" w:ascii="宋体" w:hAnsi="宋体" w:cs="宋体"/>
          <w:sz w:val="24"/>
          <w:highlight w:val="none"/>
        </w:rPr>
        <w:t>32.3.2.2在工程采购项目中，工程由中小企业承建，即工程施工单位为中小企业；</w:t>
      </w:r>
    </w:p>
    <w:p w14:paraId="64301EEB">
      <w:pPr>
        <w:spacing w:line="360" w:lineRule="auto"/>
        <w:ind w:firstLine="480"/>
        <w:rPr>
          <w:rFonts w:ascii="宋体" w:hAnsi="宋体" w:cs="宋体"/>
          <w:sz w:val="24"/>
          <w:highlight w:val="none"/>
        </w:rPr>
      </w:pPr>
      <w:r>
        <w:rPr>
          <w:rFonts w:hint="eastAsia" w:ascii="宋体" w:hAnsi="宋体" w:cs="宋体"/>
          <w:sz w:val="24"/>
          <w:highlight w:val="none"/>
        </w:rPr>
        <w:t>32.3.2.3在服务采购项目中，服务由中小企业承接，即提供服务的人员为中小企业依照《中华人民共和国劳动合同法》订立劳动合同的从业人员。</w:t>
      </w:r>
    </w:p>
    <w:p w14:paraId="68369863">
      <w:pPr>
        <w:spacing w:line="360" w:lineRule="auto"/>
        <w:ind w:firstLine="480"/>
        <w:rPr>
          <w:rFonts w:ascii="宋体" w:hAnsi="宋体" w:cs="宋体"/>
          <w:sz w:val="24"/>
          <w:highlight w:val="none"/>
        </w:rPr>
      </w:pPr>
      <w:r>
        <w:rPr>
          <w:rFonts w:hint="eastAsia" w:ascii="宋体" w:hAnsi="宋体" w:cs="宋体"/>
          <w:sz w:val="24"/>
          <w:highlight w:val="none"/>
        </w:rPr>
        <w:t>32.3.3在货物采购项目中，投标人提供的货物既有中小企业制造货物，也有大型企业制造货物的，不享受中小企业扶持政策。</w:t>
      </w:r>
    </w:p>
    <w:p w14:paraId="23277EEE">
      <w:pPr>
        <w:spacing w:line="360" w:lineRule="auto"/>
        <w:ind w:firstLine="480"/>
        <w:rPr>
          <w:rFonts w:ascii="宋体" w:hAnsi="宋体" w:cs="宋体"/>
          <w:sz w:val="24"/>
          <w:highlight w:val="none"/>
        </w:rPr>
      </w:pPr>
      <w:r>
        <w:rPr>
          <w:rFonts w:hint="eastAsia" w:ascii="宋体" w:hAnsi="宋体" w:cs="宋体"/>
          <w:sz w:val="24"/>
          <w:highlight w:val="none"/>
        </w:rPr>
        <w:t>32.3.4以联合体形式参加政府采购活动，联合体各方均为中小企业的，联合体视同中小企业。其中，联合体各方均为小微企业的，联合体视同小微企业。</w:t>
      </w:r>
    </w:p>
    <w:p w14:paraId="1FC4E54B">
      <w:pPr>
        <w:spacing w:line="360" w:lineRule="auto"/>
        <w:ind w:firstLine="480"/>
        <w:rPr>
          <w:rFonts w:ascii="宋体" w:hAnsi="宋体" w:cs="宋体"/>
          <w:sz w:val="24"/>
          <w:highlight w:val="none"/>
        </w:rPr>
      </w:pPr>
      <w:r>
        <w:rPr>
          <w:rFonts w:hint="eastAsia" w:ascii="宋体" w:hAnsi="宋体" w:cs="宋体"/>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655F0D">
      <w:pPr>
        <w:spacing w:line="360" w:lineRule="auto"/>
        <w:ind w:firstLine="480"/>
        <w:rPr>
          <w:rFonts w:ascii="宋体" w:hAnsi="宋体" w:cs="宋体"/>
          <w:sz w:val="24"/>
          <w:highlight w:val="none"/>
        </w:rPr>
      </w:pPr>
      <w:r>
        <w:rPr>
          <w:rFonts w:hint="eastAsia" w:ascii="宋体" w:hAnsi="宋体" w:cs="宋体"/>
          <w:sz w:val="24"/>
          <w:highlight w:val="none"/>
        </w:rPr>
        <w:t>32.3.6残疾人福利单位定义：享受政府采购支持政策的残疾人福利性单位应当同时满足以下条件：</w:t>
      </w:r>
    </w:p>
    <w:p w14:paraId="4D356180">
      <w:pPr>
        <w:spacing w:line="360" w:lineRule="auto"/>
        <w:ind w:firstLine="480"/>
        <w:rPr>
          <w:rFonts w:ascii="宋体" w:hAnsi="宋体" w:cs="宋体"/>
          <w:sz w:val="24"/>
          <w:highlight w:val="none"/>
        </w:rPr>
      </w:pPr>
      <w:r>
        <w:rPr>
          <w:rFonts w:hint="eastAsia" w:ascii="宋体" w:hAnsi="宋体" w:cs="宋体"/>
          <w:sz w:val="24"/>
          <w:highlight w:val="none"/>
        </w:rPr>
        <w:t>32.3.6.1安置的残疾人占本单位在职职工人数的比例不低于25%（含25%），并且安置的残疾人人数不少于10人（含10人）；</w:t>
      </w:r>
    </w:p>
    <w:p w14:paraId="01877D2F">
      <w:pPr>
        <w:spacing w:line="360" w:lineRule="auto"/>
        <w:ind w:firstLine="480"/>
        <w:rPr>
          <w:rFonts w:ascii="宋体" w:hAnsi="宋体" w:cs="宋体"/>
          <w:sz w:val="24"/>
          <w:highlight w:val="none"/>
        </w:rPr>
      </w:pPr>
      <w:r>
        <w:rPr>
          <w:rFonts w:hint="eastAsia" w:ascii="宋体" w:hAnsi="宋体" w:cs="宋体"/>
          <w:sz w:val="24"/>
          <w:highlight w:val="none"/>
        </w:rPr>
        <w:t>32.3.6.2依法与安置的每位残疾人签订了一年以上（含一年）的劳动合同或服务协议；</w:t>
      </w:r>
    </w:p>
    <w:p w14:paraId="15516636">
      <w:pPr>
        <w:spacing w:line="360" w:lineRule="auto"/>
        <w:ind w:firstLine="480"/>
        <w:rPr>
          <w:rFonts w:ascii="宋体" w:hAnsi="宋体" w:cs="宋体"/>
          <w:sz w:val="24"/>
          <w:highlight w:val="none"/>
        </w:rPr>
      </w:pPr>
      <w:r>
        <w:rPr>
          <w:rFonts w:hint="eastAsia" w:ascii="宋体" w:hAnsi="宋体" w:cs="宋体"/>
          <w:sz w:val="24"/>
          <w:highlight w:val="none"/>
        </w:rPr>
        <w:t>32.3.6.3为安置的每位残疾人按月足额缴纳了基本养老保险、基本医疗保险、失业保险、工伤保险和生育保险等社会保险费；</w:t>
      </w:r>
    </w:p>
    <w:p w14:paraId="7534E5DD">
      <w:pPr>
        <w:spacing w:line="360" w:lineRule="auto"/>
        <w:ind w:firstLine="480"/>
        <w:rPr>
          <w:rFonts w:ascii="宋体" w:hAnsi="宋体" w:cs="宋体"/>
          <w:sz w:val="24"/>
          <w:highlight w:val="none"/>
        </w:rPr>
      </w:pPr>
      <w:r>
        <w:rPr>
          <w:rFonts w:hint="eastAsia" w:ascii="宋体" w:hAnsi="宋体" w:cs="宋体"/>
          <w:sz w:val="24"/>
          <w:highlight w:val="none"/>
        </w:rPr>
        <w:t>32.3.6.4通过银行等金融机构向安置的每位残疾人，按月支付了不低于单位所在区县适用的经省级人民政府批准的月最低工资标准的工资；</w:t>
      </w:r>
    </w:p>
    <w:p w14:paraId="29E9C8F1">
      <w:pPr>
        <w:spacing w:line="360" w:lineRule="auto"/>
        <w:ind w:firstLine="480"/>
        <w:rPr>
          <w:rFonts w:ascii="宋体" w:hAnsi="宋体" w:cs="宋体"/>
          <w:sz w:val="24"/>
          <w:highlight w:val="none"/>
        </w:rPr>
      </w:pPr>
      <w:r>
        <w:rPr>
          <w:rFonts w:hint="eastAsia" w:ascii="宋体" w:hAnsi="宋体" w:cs="宋体"/>
          <w:sz w:val="24"/>
          <w:highlight w:val="none"/>
        </w:rPr>
        <w:t>32.3.6.5提供本单位制造的货物、承担的工程或者服务（以下简称产品），或者提供其他残疾人福利性单位制造的货物（不包括使用非残疾人福利性单位注册商标的货物）；</w:t>
      </w:r>
    </w:p>
    <w:p w14:paraId="1319D947">
      <w:pPr>
        <w:spacing w:line="360" w:lineRule="auto"/>
        <w:ind w:firstLine="480"/>
        <w:rPr>
          <w:rFonts w:ascii="宋体" w:hAnsi="宋体" w:cs="宋体"/>
          <w:sz w:val="24"/>
          <w:highlight w:val="none"/>
        </w:rPr>
      </w:pPr>
      <w:r>
        <w:rPr>
          <w:rFonts w:hint="eastAsia" w:ascii="宋体" w:hAnsi="宋体" w:cs="宋体"/>
          <w:sz w:val="24"/>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7A7C99B">
      <w:pPr>
        <w:spacing w:line="360" w:lineRule="auto"/>
        <w:ind w:firstLine="480"/>
        <w:rPr>
          <w:rFonts w:ascii="宋体" w:hAnsi="宋体" w:cs="宋体"/>
          <w:sz w:val="24"/>
          <w:highlight w:val="none"/>
        </w:rPr>
      </w:pPr>
      <w:r>
        <w:rPr>
          <w:rFonts w:hint="eastAsia" w:ascii="宋体" w:hAnsi="宋体" w:cs="宋体"/>
          <w:sz w:val="24"/>
          <w:highlight w:val="none"/>
        </w:rPr>
        <w:t>32.3.7本项目是否专门面向中小企业预留采购份额见第一章《招标公告》。</w:t>
      </w:r>
    </w:p>
    <w:p w14:paraId="4A4D69EE">
      <w:pPr>
        <w:spacing w:line="360" w:lineRule="auto"/>
        <w:ind w:firstLine="480"/>
        <w:rPr>
          <w:rFonts w:ascii="宋体" w:hAnsi="宋体" w:cs="宋体"/>
          <w:sz w:val="24"/>
          <w:highlight w:val="none"/>
        </w:rPr>
      </w:pPr>
      <w:r>
        <w:rPr>
          <w:rFonts w:hint="eastAsia" w:ascii="宋体" w:hAnsi="宋体" w:cs="宋体"/>
          <w:sz w:val="24"/>
          <w:highlight w:val="none"/>
        </w:rPr>
        <w:t>32.3.8采购标的对应的中小企业划分标准所属行业见第四章《采购需求》。</w:t>
      </w:r>
    </w:p>
    <w:p w14:paraId="0664EA4D">
      <w:pPr>
        <w:spacing w:line="360" w:lineRule="auto"/>
        <w:ind w:firstLine="480"/>
        <w:rPr>
          <w:rFonts w:ascii="宋体" w:hAnsi="宋体" w:cs="宋体"/>
          <w:sz w:val="24"/>
          <w:highlight w:val="none"/>
        </w:rPr>
      </w:pPr>
      <w:r>
        <w:rPr>
          <w:rFonts w:hint="eastAsia" w:ascii="宋体" w:hAnsi="宋体" w:cs="宋体"/>
          <w:sz w:val="24"/>
          <w:highlight w:val="none"/>
        </w:rPr>
        <w:t>32.3.9小微企业价格评审优惠的政策：见第五章《评标方法和评标标准》。</w:t>
      </w:r>
    </w:p>
    <w:p w14:paraId="4E29B2CC">
      <w:pPr>
        <w:spacing w:line="360" w:lineRule="auto"/>
        <w:ind w:firstLine="480"/>
        <w:rPr>
          <w:rFonts w:ascii="宋体" w:hAnsi="宋体" w:cs="宋体"/>
          <w:sz w:val="24"/>
          <w:highlight w:val="none"/>
        </w:rPr>
      </w:pPr>
      <w:r>
        <w:rPr>
          <w:rFonts w:hint="eastAsia" w:ascii="宋体" w:hAnsi="宋体" w:cs="宋体"/>
          <w:sz w:val="24"/>
          <w:highlight w:val="none"/>
        </w:rPr>
        <w:t>32.4政府采购节能产品、环境标志产品</w:t>
      </w:r>
    </w:p>
    <w:p w14:paraId="48DCF030">
      <w:pPr>
        <w:spacing w:line="360" w:lineRule="auto"/>
        <w:ind w:firstLine="480"/>
        <w:rPr>
          <w:rFonts w:ascii="宋体" w:hAnsi="宋体" w:cs="宋体"/>
          <w:sz w:val="24"/>
          <w:highlight w:val="none"/>
        </w:rPr>
      </w:pPr>
      <w:r>
        <w:rPr>
          <w:rFonts w:hint="eastAsia" w:ascii="宋体" w:hAnsi="宋体" w:cs="宋体"/>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4DB51F7">
      <w:pPr>
        <w:spacing w:line="360" w:lineRule="auto"/>
        <w:ind w:firstLine="480"/>
        <w:rPr>
          <w:rFonts w:ascii="宋体" w:hAnsi="宋体" w:cs="宋体"/>
          <w:sz w:val="24"/>
          <w:highlight w:val="none"/>
        </w:rPr>
      </w:pPr>
      <w:r>
        <w:rPr>
          <w:rFonts w:hint="eastAsia" w:ascii="宋体" w:hAnsi="宋体" w:cs="宋体"/>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1F57B20">
      <w:pPr>
        <w:spacing w:line="360" w:lineRule="auto"/>
        <w:ind w:firstLine="480"/>
        <w:rPr>
          <w:rFonts w:ascii="宋体" w:hAnsi="宋体" w:cs="宋体"/>
          <w:sz w:val="24"/>
          <w:highlight w:val="none"/>
        </w:rPr>
      </w:pPr>
      <w:r>
        <w:rPr>
          <w:rFonts w:hint="eastAsia" w:ascii="宋体" w:hAnsi="宋体" w:cs="宋体"/>
          <w:sz w:val="24"/>
          <w:highlight w:val="none"/>
        </w:rPr>
        <w:t>32.5绿色包装</w:t>
      </w:r>
    </w:p>
    <w:p w14:paraId="66637545">
      <w:pPr>
        <w:spacing w:line="360" w:lineRule="auto"/>
        <w:ind w:firstLine="480"/>
        <w:rPr>
          <w:rFonts w:ascii="宋体" w:hAnsi="宋体" w:cs="宋体"/>
          <w:sz w:val="24"/>
          <w:highlight w:val="none"/>
        </w:rPr>
      </w:pPr>
      <w:r>
        <w:rPr>
          <w:rFonts w:hint="eastAsia" w:ascii="宋体" w:hAnsi="宋体" w:cs="宋体"/>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6517675">
      <w:pPr>
        <w:tabs>
          <w:tab w:val="left" w:pos="1381"/>
        </w:tabs>
        <w:spacing w:line="360" w:lineRule="auto"/>
        <w:ind w:firstLine="480"/>
        <w:rPr>
          <w:rFonts w:ascii="宋体" w:hAnsi="宋体" w:cs="宋体"/>
          <w:sz w:val="24"/>
          <w:highlight w:val="none"/>
        </w:rPr>
      </w:pPr>
      <w:r>
        <w:rPr>
          <w:rFonts w:hint="eastAsia" w:ascii="宋体" w:hAnsi="宋体" w:cs="宋体"/>
          <w:sz w:val="24"/>
          <w:highlight w:val="none"/>
        </w:rPr>
        <w:t>32.6政府采购创新产品</w:t>
      </w:r>
    </w:p>
    <w:p w14:paraId="54EBC4E6">
      <w:pPr>
        <w:spacing w:line="360" w:lineRule="auto"/>
        <w:ind w:firstLine="480"/>
        <w:rPr>
          <w:rFonts w:ascii="宋体" w:hAnsi="宋体" w:cs="宋体"/>
          <w:sz w:val="24"/>
          <w:highlight w:val="none"/>
        </w:rPr>
      </w:pPr>
      <w:r>
        <w:rPr>
          <w:rFonts w:hint="eastAsia" w:ascii="宋体" w:hAnsi="宋体" w:cs="宋体"/>
          <w:sz w:val="24"/>
          <w:highlight w:val="none"/>
        </w:rPr>
        <w:t>采购人优先采购各级政府部门公开发布的有效期内的创新产品、创新服务、首台套、首购首用等《目录》的创新产品。</w:t>
      </w:r>
    </w:p>
    <w:p w14:paraId="26955E02">
      <w:pPr>
        <w:keepNext w:val="0"/>
        <w:keepLines w:val="0"/>
        <w:pageBreakBefore w:val="0"/>
        <w:widowControl w:val="0"/>
        <w:tabs>
          <w:tab w:val="left" w:pos="1381"/>
        </w:tabs>
        <w:kinsoku/>
        <w:wordWrap/>
        <w:overflowPunct/>
        <w:topLinePunct w:val="0"/>
        <w:autoSpaceDE/>
        <w:autoSpaceDN/>
        <w:bidi w:val="0"/>
        <w:adjustRightInd/>
        <w:snapToGrid/>
        <w:spacing w:line="500" w:lineRule="exact"/>
        <w:ind w:firstLine="480"/>
        <w:textAlignment w:val="auto"/>
        <w:rPr>
          <w:rFonts w:ascii="宋体" w:hAnsi="宋体" w:cs="宋体"/>
          <w:sz w:val="24"/>
          <w:highlight w:val="none"/>
        </w:rPr>
      </w:pPr>
      <w:r>
        <w:rPr>
          <w:rFonts w:hint="eastAsia" w:ascii="宋体" w:hAnsi="宋体" w:cs="宋体"/>
          <w:sz w:val="24"/>
          <w:highlight w:val="none"/>
        </w:rPr>
        <w:t>32.7绿色数据中心政策</w:t>
      </w:r>
    </w:p>
    <w:p w14:paraId="7F42CD9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sz w:val="24"/>
          <w:highlight w:val="none"/>
        </w:rPr>
      </w:pPr>
      <w:r>
        <w:rPr>
          <w:rFonts w:hint="eastAsia" w:ascii="宋体" w:hAnsi="宋体" w:cs="宋体"/>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p>
    <w:p w14:paraId="1F3C8645">
      <w:pPr>
        <w:keepNext w:val="0"/>
        <w:keepLines w:val="0"/>
        <w:pageBreakBefore w:val="0"/>
        <w:widowControl w:val="0"/>
        <w:tabs>
          <w:tab w:val="left" w:pos="1381"/>
        </w:tabs>
        <w:kinsoku/>
        <w:wordWrap/>
        <w:overflowPunct/>
        <w:topLinePunct w:val="0"/>
        <w:autoSpaceDE/>
        <w:autoSpaceDN/>
        <w:bidi w:val="0"/>
        <w:adjustRightInd/>
        <w:snapToGrid/>
        <w:spacing w:line="500" w:lineRule="exact"/>
        <w:ind w:firstLine="480" w:firstLineChars="0"/>
        <w:jc w:val="both"/>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32.</w:t>
      </w:r>
      <w:r>
        <w:rPr>
          <w:rFonts w:hint="eastAsia" w:ascii="宋体" w:hAnsi="宋体" w:cs="宋体"/>
          <w:sz w:val="24"/>
          <w:szCs w:val="24"/>
          <w:highlight w:val="none"/>
          <w:lang w:val="en-US" w:eastAsia="zh-CN" w:bidi="ar-SA"/>
        </w:rPr>
        <w:t>8</w:t>
      </w:r>
      <w:r>
        <w:rPr>
          <w:rFonts w:hint="eastAsia" w:ascii="宋体" w:hAnsi="宋体" w:eastAsia="宋体" w:cs="宋体"/>
          <w:sz w:val="24"/>
          <w:szCs w:val="24"/>
          <w:highlight w:val="none"/>
          <w:lang w:val="en-US" w:eastAsia="zh-CN" w:bidi="ar-SA"/>
        </w:rPr>
        <w:t>履约保证金政策</w:t>
      </w:r>
    </w:p>
    <w:p w14:paraId="01163BB5">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both"/>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确需收取履约保证金的，履约保证金的缴纳形式：</w:t>
      </w:r>
    </w:p>
    <w:p w14:paraId="22868508">
      <w:pPr>
        <w:keepNext w:val="0"/>
        <w:keepLines w:val="0"/>
        <w:pageBreakBefore w:val="0"/>
        <w:widowControl w:val="0"/>
        <w:kinsoku/>
        <w:wordWrap/>
        <w:overflowPunct/>
        <w:topLinePunct w:val="0"/>
        <w:autoSpaceDE/>
        <w:autoSpaceDN/>
        <w:bidi w:val="0"/>
        <w:adjustRightInd/>
        <w:snapToGrid/>
        <w:spacing w:line="500" w:lineRule="exact"/>
        <w:ind w:leftChars="0" w:firstLine="482" w:firstLineChars="0"/>
        <w:jc w:val="both"/>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8FAF7C">
      <w:pPr>
        <w:keepNext w:val="0"/>
        <w:keepLines w:val="0"/>
        <w:pageBreakBefore w:val="0"/>
        <w:widowControl w:val="0"/>
        <w:kinsoku/>
        <w:wordWrap/>
        <w:overflowPunct/>
        <w:topLinePunct w:val="0"/>
        <w:autoSpaceDE/>
        <w:autoSpaceDN/>
        <w:bidi w:val="0"/>
        <w:adjustRightInd/>
        <w:snapToGrid/>
        <w:spacing w:line="500" w:lineRule="exact"/>
        <w:ind w:leftChars="0" w:firstLine="482" w:firstLineChars="0"/>
        <w:jc w:val="both"/>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如以履约保函（保险）形式缴纳履约保证金，供应商可通过政府采购电子履约保函（保险）平台（www.jsdzbh.com）在线申请履约保函（保险）。</w:t>
      </w:r>
    </w:p>
    <w:p w14:paraId="47516786">
      <w:pPr>
        <w:keepNext w:val="0"/>
        <w:keepLines w:val="0"/>
        <w:pageBreakBefore w:val="0"/>
        <w:widowControl w:val="0"/>
        <w:kinsoku/>
        <w:wordWrap/>
        <w:overflowPunct/>
        <w:topLinePunct w:val="0"/>
        <w:autoSpaceDE/>
        <w:autoSpaceDN/>
        <w:bidi w:val="0"/>
        <w:adjustRightInd/>
        <w:snapToGrid/>
        <w:spacing w:line="500" w:lineRule="exact"/>
        <w:ind w:leftChars="0" w:firstLine="482" w:firstLineChars="0"/>
        <w:jc w:val="both"/>
        <w:textAlignment w:val="auto"/>
        <w:rPr>
          <w:highlight w:val="none"/>
        </w:rPr>
      </w:pPr>
      <w:r>
        <w:rPr>
          <w:rFonts w:hint="eastAsia" w:ascii="宋体" w:hAnsi="宋体" w:eastAsia="宋体" w:cs="宋体"/>
          <w:sz w:val="24"/>
          <w:szCs w:val="24"/>
          <w:highlight w:val="none"/>
          <w:lang w:val="en-US" w:eastAsia="zh-CN" w:bidi="ar-SA"/>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4CB7FE42">
      <w:pPr>
        <w:keepNext w:val="0"/>
        <w:keepLines w:val="0"/>
        <w:pageBreakBefore w:val="0"/>
        <w:widowControl w:val="0"/>
        <w:kinsoku/>
        <w:wordWrap/>
        <w:overflowPunct/>
        <w:topLinePunct w:val="0"/>
        <w:autoSpaceDE/>
        <w:autoSpaceDN/>
        <w:bidi w:val="0"/>
        <w:adjustRightInd/>
        <w:snapToGrid/>
        <w:spacing w:line="500" w:lineRule="exact"/>
        <w:ind w:leftChars="0" w:firstLine="482" w:firstLineChars="0"/>
        <w:jc w:val="both"/>
        <w:textAlignment w:val="auto"/>
        <w:rPr>
          <w:rFonts w:hint="default" w:ascii="Times New Roman" w:hAnsi="Times New Roman" w:cs="Times New Roman"/>
          <w:sz w:val="21"/>
          <w:highlight w:val="none"/>
          <w:lang w:val="en-US" w:eastAsia="zh-CN"/>
        </w:rPr>
      </w:pPr>
      <w:r>
        <w:rPr>
          <w:rFonts w:hint="eastAsia" w:ascii="宋体" w:hAnsi="宋体" w:cs="宋体"/>
          <w:sz w:val="24"/>
          <w:highlight w:val="none"/>
          <w:lang w:val="en-US" w:eastAsia="zh-CN"/>
        </w:rPr>
        <w:t>注：本项目履约保证金（合同金额的10%）；于合同履行完毕后同合同款一起无息退还。引用盐城信用办推行的第三方信用报告，AAA的供应商免交履约保证金，AA的供应商按一半金额缴纳(需提供信用管理部门备案的第三方信用报告)。</w:t>
      </w:r>
    </w:p>
    <w:p w14:paraId="4E72C9CA">
      <w:pPr>
        <w:keepNext w:val="0"/>
        <w:keepLines w:val="0"/>
        <w:pageBreakBefore w:val="0"/>
        <w:widowControl w:val="0"/>
        <w:kinsoku/>
        <w:wordWrap/>
        <w:overflowPunct/>
        <w:topLinePunct w:val="0"/>
        <w:autoSpaceDE/>
        <w:autoSpaceDN/>
        <w:bidi w:val="0"/>
        <w:adjustRightInd/>
        <w:snapToGrid/>
        <w:spacing w:line="500" w:lineRule="exact"/>
        <w:ind w:firstLine="482" w:firstLineChars="0"/>
        <w:jc w:val="both"/>
        <w:textAlignment w:val="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33. 预付款制度</w:t>
      </w:r>
    </w:p>
    <w:p w14:paraId="40026CE8">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0"/>
        <w:jc w:val="both"/>
        <w:textAlignment w:val="auto"/>
        <w:rPr>
          <w:highlight w:val="none"/>
        </w:rPr>
      </w:pPr>
      <w:r>
        <w:rPr>
          <w:rFonts w:hint="eastAsia" w:ascii="宋体" w:hAnsi="宋体" w:eastAsia="宋体" w:cs="宋体"/>
          <w:sz w:val="24"/>
          <w:szCs w:val="24"/>
          <w:highlight w:val="none"/>
          <w:lang w:val="en-US" w:eastAsia="zh-CN" w:bidi="ar-SA"/>
        </w:rPr>
        <w:t>本项目落实预付款制度，预付款比例为</w:t>
      </w:r>
      <w:r>
        <w:rPr>
          <w:rFonts w:hint="eastAsia" w:ascii="宋体" w:hAnsi="宋体" w:cs="宋体"/>
          <w:sz w:val="24"/>
          <w:szCs w:val="24"/>
          <w:highlight w:val="none"/>
          <w:lang w:val="en-US" w:eastAsia="zh-CN" w:bidi="ar-SA"/>
        </w:rPr>
        <w:t>1</w:t>
      </w:r>
      <w:r>
        <w:rPr>
          <w:rFonts w:hint="eastAsia" w:ascii="宋体" w:hAnsi="宋体" w:eastAsia="宋体" w:cs="宋体"/>
          <w:sz w:val="24"/>
          <w:szCs w:val="24"/>
          <w:highlight w:val="none"/>
          <w:lang w:val="en-US" w:eastAsia="zh-CN" w:bidi="ar-SA"/>
        </w:rPr>
        <w:t>0%。在签订合同时，中标、成交供应商明确书面表示无需预付款或者主动要求降低预付款比例的，采购人可就预付款比例作相应调整。</w:t>
      </w:r>
    </w:p>
    <w:p w14:paraId="5E160495">
      <w:pPr>
        <w:jc w:val="left"/>
        <w:rPr>
          <w:rFonts w:ascii="宋体" w:hAnsi="宋体" w:cs="宋体"/>
          <w:bCs/>
          <w:sz w:val="28"/>
          <w:szCs w:val="28"/>
          <w:highlight w:val="none"/>
        </w:rPr>
      </w:pPr>
    </w:p>
    <w:p w14:paraId="78EBA61E">
      <w:pPr>
        <w:pStyle w:val="4"/>
        <w:spacing w:before="0" w:after="0" w:line="360" w:lineRule="auto"/>
        <w:jc w:val="both"/>
        <w:rPr>
          <w:rFonts w:hint="eastAsia" w:ascii="黑体" w:eastAsia="黑体" w:cs="Arial"/>
          <w:bCs/>
          <w:szCs w:val="44"/>
          <w:highlight w:val="none"/>
        </w:rPr>
      </w:pPr>
    </w:p>
    <w:p w14:paraId="77972830">
      <w:pPr>
        <w:rPr>
          <w:rFonts w:hint="eastAsia" w:ascii="黑体" w:eastAsia="黑体" w:cs="Arial"/>
          <w:bCs/>
          <w:szCs w:val="44"/>
          <w:highlight w:val="none"/>
        </w:rPr>
      </w:pPr>
    </w:p>
    <w:p w14:paraId="5016786A">
      <w:pPr>
        <w:rPr>
          <w:rFonts w:hint="eastAsia" w:ascii="黑体" w:eastAsia="黑体" w:cs="Arial"/>
          <w:bCs/>
          <w:szCs w:val="44"/>
          <w:highlight w:val="none"/>
        </w:rPr>
      </w:pPr>
    </w:p>
    <w:p w14:paraId="624C920B">
      <w:pPr>
        <w:rPr>
          <w:rFonts w:hint="eastAsia" w:ascii="黑体" w:eastAsia="黑体" w:cs="Arial"/>
          <w:bCs/>
          <w:szCs w:val="44"/>
          <w:highlight w:val="none"/>
        </w:rPr>
      </w:pPr>
    </w:p>
    <w:p w14:paraId="0BF27C0E">
      <w:pPr>
        <w:rPr>
          <w:rFonts w:hint="eastAsia" w:ascii="黑体" w:eastAsia="黑体" w:cs="Arial"/>
          <w:bCs/>
          <w:szCs w:val="44"/>
          <w:highlight w:val="none"/>
        </w:rPr>
      </w:pPr>
    </w:p>
    <w:p w14:paraId="059A5865">
      <w:pPr>
        <w:rPr>
          <w:rFonts w:hint="eastAsia" w:ascii="黑体" w:eastAsia="黑体" w:cs="Arial"/>
          <w:bCs/>
          <w:szCs w:val="44"/>
          <w:highlight w:val="none"/>
        </w:rPr>
      </w:pPr>
    </w:p>
    <w:p w14:paraId="45898E51">
      <w:pPr>
        <w:rPr>
          <w:rFonts w:hint="eastAsia" w:ascii="黑体" w:eastAsia="黑体" w:cs="Arial"/>
          <w:bCs/>
          <w:szCs w:val="44"/>
          <w:highlight w:val="none"/>
        </w:rPr>
      </w:pPr>
    </w:p>
    <w:p w14:paraId="6921B5BA">
      <w:pPr>
        <w:rPr>
          <w:rFonts w:hint="eastAsia" w:ascii="黑体" w:eastAsia="黑体" w:cs="Arial"/>
          <w:bCs/>
          <w:szCs w:val="44"/>
          <w:highlight w:val="none"/>
        </w:rPr>
      </w:pPr>
    </w:p>
    <w:p w14:paraId="59E6291C">
      <w:pPr>
        <w:rPr>
          <w:rFonts w:hint="eastAsia" w:ascii="黑体" w:eastAsia="黑体" w:cs="Arial"/>
          <w:bCs/>
          <w:szCs w:val="44"/>
          <w:highlight w:val="none"/>
        </w:rPr>
      </w:pPr>
    </w:p>
    <w:p w14:paraId="6C9D8702">
      <w:pPr>
        <w:rPr>
          <w:rFonts w:hint="eastAsia" w:ascii="黑体" w:eastAsia="黑体" w:cs="Arial"/>
          <w:bCs/>
          <w:szCs w:val="44"/>
          <w:highlight w:val="none"/>
        </w:rPr>
      </w:pPr>
    </w:p>
    <w:p w14:paraId="689FB933">
      <w:pPr>
        <w:rPr>
          <w:rFonts w:hint="eastAsia" w:ascii="黑体" w:eastAsia="黑体" w:cs="Arial"/>
          <w:bCs/>
          <w:szCs w:val="44"/>
          <w:highlight w:val="none"/>
        </w:rPr>
      </w:pPr>
    </w:p>
    <w:p w14:paraId="05299846">
      <w:pPr>
        <w:rPr>
          <w:rFonts w:hint="eastAsia" w:ascii="黑体" w:eastAsia="黑体" w:cs="Arial"/>
          <w:bCs/>
          <w:szCs w:val="44"/>
          <w:highlight w:val="none"/>
        </w:rPr>
      </w:pPr>
    </w:p>
    <w:p w14:paraId="6C13A25D">
      <w:pPr>
        <w:rPr>
          <w:rFonts w:hint="eastAsia" w:ascii="黑体" w:eastAsia="黑体" w:cs="Arial"/>
          <w:bCs/>
          <w:szCs w:val="44"/>
          <w:highlight w:val="none"/>
        </w:rPr>
      </w:pPr>
    </w:p>
    <w:p w14:paraId="115C6AB7">
      <w:pPr>
        <w:rPr>
          <w:rFonts w:hint="eastAsia" w:ascii="黑体" w:eastAsia="黑体" w:cs="Arial"/>
          <w:bCs/>
          <w:szCs w:val="44"/>
          <w:highlight w:val="none"/>
        </w:rPr>
      </w:pPr>
    </w:p>
    <w:p w14:paraId="58E251FD">
      <w:pPr>
        <w:rPr>
          <w:rFonts w:hint="eastAsia" w:ascii="黑体" w:eastAsia="黑体" w:cs="Arial"/>
          <w:bCs/>
          <w:szCs w:val="44"/>
          <w:highlight w:val="none"/>
        </w:rPr>
      </w:pPr>
    </w:p>
    <w:p w14:paraId="5C3EB38F">
      <w:pPr>
        <w:rPr>
          <w:rFonts w:hint="eastAsia" w:ascii="黑体" w:eastAsia="黑体" w:cs="Arial"/>
          <w:bCs/>
          <w:szCs w:val="44"/>
          <w:highlight w:val="none"/>
        </w:rPr>
      </w:pPr>
    </w:p>
    <w:p w14:paraId="7AA39EDA">
      <w:pPr>
        <w:rPr>
          <w:rFonts w:hint="eastAsia" w:ascii="黑体" w:eastAsia="黑体" w:cs="Arial"/>
          <w:bCs/>
          <w:szCs w:val="44"/>
          <w:highlight w:val="none"/>
        </w:rPr>
      </w:pPr>
    </w:p>
    <w:p w14:paraId="588FC0AB">
      <w:pPr>
        <w:rPr>
          <w:rFonts w:hint="eastAsia" w:ascii="黑体" w:eastAsia="黑体" w:cs="Arial"/>
          <w:bCs/>
          <w:szCs w:val="44"/>
          <w:highlight w:val="none"/>
        </w:rPr>
      </w:pPr>
    </w:p>
    <w:p w14:paraId="1F5BDF7D">
      <w:pPr>
        <w:rPr>
          <w:rFonts w:hint="eastAsia" w:ascii="黑体" w:eastAsia="黑体" w:cs="Arial"/>
          <w:bCs/>
          <w:szCs w:val="44"/>
          <w:highlight w:val="none"/>
        </w:rPr>
      </w:pPr>
    </w:p>
    <w:p w14:paraId="57286B03">
      <w:pPr>
        <w:rPr>
          <w:rFonts w:hint="eastAsia" w:ascii="黑体" w:eastAsia="黑体" w:cs="Arial"/>
          <w:bCs/>
          <w:szCs w:val="44"/>
          <w:highlight w:val="none"/>
        </w:rPr>
      </w:pPr>
    </w:p>
    <w:p w14:paraId="75D11801">
      <w:pPr>
        <w:rPr>
          <w:rFonts w:hint="eastAsia" w:ascii="黑体" w:eastAsia="黑体" w:cs="Arial"/>
          <w:bCs/>
          <w:szCs w:val="44"/>
          <w:highlight w:val="none"/>
        </w:rPr>
      </w:pPr>
    </w:p>
    <w:p w14:paraId="7AC74FC2">
      <w:pPr>
        <w:pStyle w:val="2"/>
        <w:rPr>
          <w:rFonts w:hint="eastAsia"/>
          <w:highlight w:val="none"/>
        </w:rPr>
      </w:pPr>
    </w:p>
    <w:p w14:paraId="054F2C2F">
      <w:pPr>
        <w:rPr>
          <w:rFonts w:hint="eastAsia" w:ascii="黑体" w:eastAsia="黑体" w:cs="Arial"/>
          <w:bCs/>
          <w:szCs w:val="44"/>
          <w:highlight w:val="none"/>
        </w:rPr>
      </w:pPr>
    </w:p>
    <w:p w14:paraId="1D3F4C7A">
      <w:pPr>
        <w:rPr>
          <w:rFonts w:hint="eastAsia" w:ascii="黑体" w:eastAsia="黑体" w:cs="Arial"/>
          <w:bCs/>
          <w:szCs w:val="44"/>
          <w:highlight w:val="none"/>
        </w:rPr>
      </w:pPr>
    </w:p>
    <w:p w14:paraId="01F626DB">
      <w:pPr>
        <w:pStyle w:val="4"/>
        <w:spacing w:before="0" w:after="0" w:line="360" w:lineRule="auto"/>
        <w:rPr>
          <w:rFonts w:ascii="黑体" w:eastAsia="黑体" w:cs="Arial"/>
          <w:bCs/>
          <w:szCs w:val="44"/>
          <w:highlight w:val="none"/>
        </w:rPr>
      </w:pPr>
      <w:r>
        <w:rPr>
          <w:rFonts w:hint="eastAsia" w:ascii="黑体" w:eastAsia="黑体" w:cs="Arial"/>
          <w:bCs/>
          <w:szCs w:val="44"/>
          <w:highlight w:val="none"/>
        </w:rPr>
        <w:t>第三章  合同条款及格式</w:t>
      </w:r>
    </w:p>
    <w:p w14:paraId="14FFD940">
      <w:pPr>
        <w:kinsoku w:val="0"/>
        <w:overflowPunct w:val="0"/>
        <w:autoSpaceDE w:val="0"/>
        <w:autoSpaceDN w:val="0"/>
        <w:adjustRightInd w:val="0"/>
        <w:snapToGrid w:val="0"/>
        <w:spacing w:line="460" w:lineRule="exact"/>
        <w:ind w:firstLine="420" w:firstLineChars="200"/>
        <w:rPr>
          <w:rFonts w:ascii="宋体" w:hAnsi="宋体"/>
          <w:bCs/>
          <w:highlight w:val="none"/>
        </w:rPr>
      </w:pPr>
      <w:r>
        <w:rPr>
          <w:rFonts w:hint="eastAsia" w:ascii="宋体" w:hAnsi="宋体"/>
          <w:bCs/>
          <w:highlight w:val="none"/>
        </w:rPr>
        <w:t>以下为成交后签订本项目合同的通用条款，成交供应商不得提出实质性的修改，关于专用条款将由采购人与成交供应商结合本项目具体情况协商后签订。</w:t>
      </w:r>
    </w:p>
    <w:p w14:paraId="4EC6EA96">
      <w:pPr>
        <w:pStyle w:val="5"/>
        <w:rPr>
          <w:highlight w:val="none"/>
        </w:rPr>
      </w:pPr>
    </w:p>
    <w:p w14:paraId="5A8B6A67">
      <w:pPr>
        <w:jc w:val="left"/>
        <w:rPr>
          <w:rFonts w:ascii="宋体" w:hAnsi="宋体" w:cs="宋体"/>
          <w:bCs/>
          <w:sz w:val="28"/>
          <w:szCs w:val="28"/>
          <w:highlight w:val="none"/>
        </w:rPr>
      </w:pPr>
    </w:p>
    <w:p w14:paraId="5031BF8B">
      <w:pPr>
        <w:jc w:val="left"/>
        <w:rPr>
          <w:rFonts w:ascii="宋体" w:hAnsi="宋体" w:cs="宋体"/>
          <w:bCs/>
          <w:sz w:val="28"/>
          <w:szCs w:val="28"/>
          <w:highlight w:val="none"/>
        </w:rPr>
      </w:pPr>
      <w:r>
        <w:rPr>
          <w:rFonts w:hint="eastAsia" w:ascii="宋体" w:hAnsi="宋体" w:cs="宋体"/>
          <w:bCs/>
          <w:sz w:val="28"/>
          <w:szCs w:val="28"/>
          <w:highlight w:val="none"/>
        </w:rPr>
        <w:t>（GF—2017—0201）</w:t>
      </w:r>
    </w:p>
    <w:p w14:paraId="6481E779">
      <w:pPr>
        <w:jc w:val="center"/>
        <w:rPr>
          <w:rFonts w:ascii="宋体" w:hAnsi="宋体" w:cs="宋体"/>
          <w:b/>
          <w:sz w:val="52"/>
          <w:szCs w:val="52"/>
          <w:highlight w:val="none"/>
        </w:rPr>
      </w:pPr>
    </w:p>
    <w:p w14:paraId="5C07C651">
      <w:pPr>
        <w:jc w:val="both"/>
        <w:rPr>
          <w:rFonts w:ascii="宋体" w:hAnsi="宋体" w:cs="宋体"/>
          <w:b/>
          <w:sz w:val="52"/>
          <w:szCs w:val="52"/>
          <w:highlight w:val="none"/>
        </w:rPr>
      </w:pPr>
    </w:p>
    <w:p w14:paraId="2889257A">
      <w:pPr>
        <w:jc w:val="center"/>
        <w:rPr>
          <w:rFonts w:ascii="宋体" w:hAnsi="宋体" w:cs="宋体"/>
          <w:b/>
          <w:sz w:val="52"/>
          <w:szCs w:val="52"/>
          <w:highlight w:val="none"/>
        </w:rPr>
      </w:pPr>
    </w:p>
    <w:p w14:paraId="622128F0">
      <w:pPr>
        <w:jc w:val="center"/>
        <w:rPr>
          <w:rFonts w:ascii="宋体" w:hAnsi="宋体" w:cs="宋体"/>
          <w:b/>
          <w:sz w:val="52"/>
          <w:szCs w:val="52"/>
          <w:highlight w:val="none"/>
        </w:rPr>
      </w:pPr>
      <w:r>
        <w:rPr>
          <w:rFonts w:hint="eastAsia" w:ascii="宋体" w:hAnsi="宋体" w:cs="宋体"/>
          <w:b/>
          <w:sz w:val="52"/>
          <w:szCs w:val="52"/>
          <w:highlight w:val="none"/>
        </w:rPr>
        <w:t>建设工程施工合同</w:t>
      </w:r>
    </w:p>
    <w:p w14:paraId="12059649">
      <w:pPr>
        <w:rPr>
          <w:rFonts w:ascii="宋体" w:hAnsi="宋体" w:cs="宋体"/>
          <w:b/>
          <w:sz w:val="28"/>
          <w:szCs w:val="28"/>
          <w:highlight w:val="none"/>
        </w:rPr>
      </w:pPr>
    </w:p>
    <w:p w14:paraId="430A4C5D">
      <w:pPr>
        <w:rPr>
          <w:rFonts w:ascii="宋体" w:hAnsi="宋体" w:cs="宋体"/>
          <w:b/>
          <w:sz w:val="28"/>
          <w:szCs w:val="28"/>
          <w:highlight w:val="none"/>
        </w:rPr>
      </w:pPr>
    </w:p>
    <w:p w14:paraId="7686A6EE">
      <w:pPr>
        <w:rPr>
          <w:rFonts w:ascii="宋体" w:hAnsi="宋体" w:cs="宋体"/>
          <w:b/>
          <w:sz w:val="28"/>
          <w:szCs w:val="28"/>
          <w:highlight w:val="none"/>
        </w:rPr>
      </w:pPr>
    </w:p>
    <w:p w14:paraId="28271169">
      <w:pPr>
        <w:rPr>
          <w:rFonts w:ascii="宋体" w:hAnsi="宋体" w:cs="宋体"/>
          <w:b/>
          <w:sz w:val="28"/>
          <w:szCs w:val="28"/>
          <w:highlight w:val="none"/>
        </w:rPr>
      </w:pPr>
    </w:p>
    <w:p w14:paraId="35841B9A">
      <w:pPr>
        <w:rPr>
          <w:rFonts w:ascii="宋体" w:hAnsi="宋体" w:cs="宋体"/>
          <w:b/>
          <w:sz w:val="28"/>
          <w:szCs w:val="28"/>
          <w:highlight w:val="none"/>
        </w:rPr>
      </w:pPr>
    </w:p>
    <w:p w14:paraId="25345FE1">
      <w:pPr>
        <w:rPr>
          <w:rFonts w:ascii="宋体" w:hAnsi="宋体" w:cs="宋体"/>
          <w:b/>
          <w:sz w:val="28"/>
          <w:szCs w:val="28"/>
          <w:highlight w:val="none"/>
        </w:rPr>
      </w:pPr>
    </w:p>
    <w:p w14:paraId="4BBBA542">
      <w:pPr>
        <w:rPr>
          <w:rFonts w:ascii="宋体" w:hAnsi="宋体" w:cs="宋体"/>
          <w:b/>
          <w:sz w:val="28"/>
          <w:szCs w:val="28"/>
          <w:highlight w:val="none"/>
        </w:rPr>
      </w:pPr>
    </w:p>
    <w:p w14:paraId="309FA8CB">
      <w:pPr>
        <w:rPr>
          <w:rFonts w:ascii="宋体" w:hAnsi="宋体" w:cs="宋体"/>
          <w:b/>
          <w:sz w:val="28"/>
          <w:szCs w:val="28"/>
          <w:highlight w:val="none"/>
        </w:rPr>
      </w:pPr>
    </w:p>
    <w:p w14:paraId="23940D9D">
      <w:pPr>
        <w:ind w:right="2719" w:rightChars="1295" w:firstLine="2738" w:firstLineChars="1304"/>
        <w:jc w:val="distribute"/>
        <w:rPr>
          <w:rFonts w:ascii="宋体" w:hAnsi="宋体" w:cs="宋体"/>
          <w:b/>
          <w:sz w:val="32"/>
          <w:szCs w:val="28"/>
          <w:highlight w:val="none"/>
        </w:rPr>
      </w:pPr>
      <w:r>
        <w:rPr>
          <w:rFonts w:ascii="宋体" w:hAnsi="宋体" w:cs="宋体"/>
          <w:highlight w:val="none"/>
        </w:rPr>
        <mc:AlternateContent>
          <mc:Choice Requires="wps">
            <w:drawing>
              <wp:anchor distT="0" distB="0" distL="114300" distR="114300" simplePos="0" relativeHeight="251659264" behindDoc="0" locked="0" layoutInCell="1" allowOverlap="1">
                <wp:simplePos x="0" y="0"/>
                <wp:positionH relativeFrom="column">
                  <wp:posOffset>4406265</wp:posOffset>
                </wp:positionH>
                <wp:positionV relativeFrom="paragraph">
                  <wp:posOffset>140335</wp:posOffset>
                </wp:positionV>
                <wp:extent cx="723900" cy="457200"/>
                <wp:effectExtent l="4445" t="4445" r="18415" b="10795"/>
                <wp:wrapNone/>
                <wp:docPr id="4" name="文本框 4"/>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6B86925F">
                            <w:pPr>
                              <w:ind w:firstLine="161" w:firstLineChars="50"/>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46.95pt;margin-top:11.05pt;height:36pt;width:57pt;z-index:251659264;mso-width-relative:page;mso-height-relative:page;" filled="f" stroked="t" coordsize="21600,21600" o:gfxdata="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3CbR/ZAAAACQEAAA8AAAAAAAAAAQAgAAAAIgAAAGRy&#10;cy9kb3ducmV2LnhtbFBLAQIUABQAAAAIAIdO4kCuO5i/BAIAAAwEAAAOAAAAAAAAAAEAIAAAACgB&#10;AABkcnMvZTJvRG9jLnhtbFBLBQYAAAAABgAGAFkBAACeBQAAAAA=&#10;">
                <v:fill on="f" focussize="0,0"/>
                <v:stroke color="#FFFFFF" joinstyle="miter"/>
                <v:imagedata o:title=""/>
                <o:lock v:ext="edit" aspectratio="f"/>
                <v:textbox>
                  <w:txbxContent>
                    <w:p w14:paraId="6B86925F">
                      <w:pPr>
                        <w:ind w:firstLine="161" w:firstLineChars="50"/>
                        <w:rPr>
                          <w:b/>
                          <w:bCs/>
                          <w:sz w:val="32"/>
                        </w:rPr>
                      </w:pPr>
                      <w:r>
                        <w:rPr>
                          <w:rFonts w:hint="eastAsia"/>
                          <w:b/>
                          <w:bCs/>
                          <w:sz w:val="32"/>
                        </w:rPr>
                        <w:t>制定</w:t>
                      </w:r>
                    </w:p>
                  </w:txbxContent>
                </v:textbox>
              </v:shape>
            </w:pict>
          </mc:Fallback>
        </mc:AlternateContent>
      </w:r>
      <w:r>
        <w:rPr>
          <w:rFonts w:hint="eastAsia" w:ascii="宋体" w:hAnsi="宋体" w:cs="宋体"/>
          <w:b/>
          <w:sz w:val="32"/>
          <w:szCs w:val="28"/>
          <w:highlight w:val="none"/>
        </w:rPr>
        <w:t>住房和城乡建设部</w:t>
      </w:r>
    </w:p>
    <w:p w14:paraId="08D911C7">
      <w:pPr>
        <w:ind w:right="2719" w:rightChars="1295" w:firstLine="2750" w:firstLineChars="856"/>
        <w:jc w:val="distribute"/>
        <w:rPr>
          <w:rFonts w:hint="eastAsia" w:ascii="宋体" w:hAnsi="宋体" w:cs="宋体"/>
          <w:b/>
          <w:sz w:val="32"/>
          <w:szCs w:val="28"/>
          <w:highlight w:val="none"/>
        </w:rPr>
      </w:pPr>
      <w:r>
        <w:rPr>
          <w:rFonts w:hint="eastAsia" w:ascii="宋体" w:hAnsi="宋体" w:cs="宋体"/>
          <w:b/>
          <w:sz w:val="32"/>
          <w:szCs w:val="28"/>
          <w:highlight w:val="none"/>
        </w:rPr>
        <w:t>国家工商行政管理总局</w:t>
      </w:r>
    </w:p>
    <w:p w14:paraId="0B87AA27">
      <w:pPr>
        <w:pStyle w:val="102"/>
        <w:spacing w:before="0" w:after="0" w:line="400" w:lineRule="exact"/>
        <w:jc w:val="both"/>
        <w:rPr>
          <w:rFonts w:hint="eastAsia" w:eastAsia="华文中宋"/>
          <w:sz w:val="32"/>
          <w:szCs w:val="32"/>
          <w:highlight w:val="none"/>
          <w:lang w:val="zh-CN"/>
        </w:rPr>
      </w:pPr>
    </w:p>
    <w:p w14:paraId="08770AD9">
      <w:pPr>
        <w:rPr>
          <w:rFonts w:hint="eastAsia"/>
          <w:highlight w:val="none"/>
          <w:lang w:val="zh-CN"/>
        </w:rPr>
      </w:pPr>
    </w:p>
    <w:p w14:paraId="2DD9AE0E">
      <w:pPr>
        <w:pStyle w:val="2"/>
        <w:rPr>
          <w:rFonts w:hint="eastAsia"/>
          <w:highlight w:val="none"/>
          <w:lang w:val="zh-CN"/>
        </w:rPr>
      </w:pPr>
    </w:p>
    <w:p w14:paraId="56342252">
      <w:pPr>
        <w:pStyle w:val="102"/>
        <w:spacing w:before="0" w:after="0" w:line="400" w:lineRule="exact"/>
        <w:jc w:val="center"/>
        <w:rPr>
          <w:rFonts w:eastAsia="华文中宋"/>
          <w:sz w:val="32"/>
          <w:szCs w:val="32"/>
          <w:highlight w:val="none"/>
          <w:lang w:val="zh-CN"/>
        </w:rPr>
      </w:pPr>
      <w:r>
        <w:rPr>
          <w:rFonts w:hint="eastAsia" w:eastAsia="华文中宋"/>
          <w:sz w:val="32"/>
          <w:szCs w:val="32"/>
          <w:highlight w:val="none"/>
          <w:lang w:val="zh-CN"/>
        </w:rPr>
        <w:t>说</w:t>
      </w:r>
      <w:r>
        <w:rPr>
          <w:rFonts w:hint="eastAsia" w:eastAsia="华文中宋"/>
          <w:sz w:val="32"/>
          <w:szCs w:val="32"/>
          <w:highlight w:val="none"/>
        </w:rPr>
        <w:t xml:space="preserve"> </w:t>
      </w:r>
      <w:r>
        <w:rPr>
          <w:rFonts w:hint="eastAsia" w:eastAsia="华文中宋"/>
          <w:sz w:val="32"/>
          <w:szCs w:val="32"/>
          <w:highlight w:val="none"/>
          <w:lang w:val="zh-CN"/>
        </w:rPr>
        <w:t>明</w:t>
      </w:r>
    </w:p>
    <w:p w14:paraId="572BBCA1">
      <w:pPr>
        <w:spacing w:line="400" w:lineRule="exact"/>
        <w:ind w:firstLine="420"/>
        <w:rPr>
          <w:rFonts w:ascii="宋体" w:hAnsi="宋体"/>
          <w:highlight w:val="none"/>
        </w:rPr>
      </w:pPr>
      <w:r>
        <w:rPr>
          <w:rFonts w:hint="eastAsia" w:ascii="宋体" w:hAnsi="宋体"/>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513C5B9B">
      <w:pPr>
        <w:spacing w:line="400" w:lineRule="exact"/>
        <w:ind w:firstLine="420"/>
        <w:rPr>
          <w:rFonts w:ascii="宋体" w:hAnsi="宋体"/>
          <w:highlight w:val="none"/>
        </w:rPr>
      </w:pPr>
      <w:r>
        <w:rPr>
          <w:rFonts w:hint="eastAsia" w:ascii="宋体" w:hAnsi="宋体"/>
          <w:highlight w:val="none"/>
        </w:rPr>
        <w:t>一、《示范文本》的组成</w:t>
      </w:r>
    </w:p>
    <w:p w14:paraId="374A9AB7">
      <w:pPr>
        <w:spacing w:line="400" w:lineRule="exact"/>
        <w:ind w:firstLine="420"/>
        <w:rPr>
          <w:rFonts w:ascii="宋体" w:hAnsi="宋体"/>
          <w:highlight w:val="none"/>
        </w:rPr>
      </w:pPr>
      <w:r>
        <w:rPr>
          <w:rFonts w:hint="eastAsia" w:ascii="宋体" w:hAnsi="宋体"/>
          <w:highlight w:val="none"/>
        </w:rPr>
        <w:t>《示范文本》由合同协议书、通用合同条款和专用合同条款三部分组成。</w:t>
      </w:r>
    </w:p>
    <w:p w14:paraId="71C33157">
      <w:pPr>
        <w:spacing w:line="400" w:lineRule="exact"/>
        <w:ind w:firstLine="420"/>
        <w:rPr>
          <w:rFonts w:ascii="宋体" w:hAnsi="宋体"/>
          <w:highlight w:val="none"/>
        </w:rPr>
      </w:pPr>
      <w:r>
        <w:rPr>
          <w:rFonts w:hint="eastAsia" w:ascii="宋体" w:hAnsi="宋体"/>
          <w:highlight w:val="none"/>
        </w:rPr>
        <w:t>（一）合同协议书</w:t>
      </w:r>
    </w:p>
    <w:p w14:paraId="14A5BB5D">
      <w:pPr>
        <w:spacing w:line="400" w:lineRule="exact"/>
        <w:ind w:firstLine="420"/>
        <w:rPr>
          <w:rFonts w:ascii="宋体" w:hAnsi="宋体"/>
          <w:highlight w:val="none"/>
        </w:rPr>
      </w:pPr>
      <w:r>
        <w:rPr>
          <w:rFonts w:hint="eastAsia" w:ascii="宋体" w:hAnsi="宋体"/>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220A1756">
      <w:pPr>
        <w:spacing w:line="400" w:lineRule="exact"/>
        <w:ind w:firstLine="420"/>
        <w:rPr>
          <w:rFonts w:ascii="宋体" w:hAnsi="宋体"/>
          <w:highlight w:val="none"/>
        </w:rPr>
      </w:pPr>
      <w:r>
        <w:rPr>
          <w:rFonts w:hint="eastAsia" w:ascii="宋体" w:hAnsi="宋体"/>
          <w:highlight w:val="none"/>
        </w:rPr>
        <w:t>（二）通用合同条款</w:t>
      </w:r>
    </w:p>
    <w:p w14:paraId="7A003EF4">
      <w:pPr>
        <w:spacing w:line="400" w:lineRule="exact"/>
        <w:ind w:firstLine="420"/>
        <w:rPr>
          <w:rFonts w:ascii="宋体" w:hAnsi="宋体"/>
          <w:highlight w:val="none"/>
        </w:rPr>
      </w:pPr>
      <w:r>
        <w:rPr>
          <w:rFonts w:hint="eastAsia" w:ascii="宋体" w:hAnsi="宋体"/>
          <w:highlight w:val="none"/>
        </w:rPr>
        <w:t>通用合同条款是合同当事人根据《中华人民共和国建筑法》、《中华人民共和国民法典》等法律法规的规定，就工程建设的实施及相关事项，对合同当事人的权利义务作出的原则性约定。</w:t>
      </w:r>
    </w:p>
    <w:p w14:paraId="5BA01571">
      <w:pPr>
        <w:spacing w:line="400" w:lineRule="exact"/>
        <w:ind w:firstLine="420"/>
        <w:rPr>
          <w:rFonts w:ascii="宋体" w:hAnsi="宋体"/>
          <w:highlight w:val="none"/>
        </w:rPr>
      </w:pPr>
      <w:r>
        <w:rPr>
          <w:rFonts w:hint="eastAsia" w:ascii="宋体" w:hAnsi="宋体"/>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46A19FF4">
      <w:pPr>
        <w:spacing w:line="400" w:lineRule="exact"/>
        <w:ind w:firstLine="420"/>
        <w:rPr>
          <w:rFonts w:ascii="宋体" w:hAnsi="宋体"/>
          <w:highlight w:val="none"/>
        </w:rPr>
      </w:pPr>
      <w:r>
        <w:rPr>
          <w:rFonts w:hint="eastAsia" w:ascii="宋体" w:hAnsi="宋体"/>
          <w:highlight w:val="none"/>
        </w:rPr>
        <w:t>（三）专用合同条款</w:t>
      </w:r>
    </w:p>
    <w:p w14:paraId="52615F01">
      <w:pPr>
        <w:spacing w:line="400" w:lineRule="exact"/>
        <w:ind w:firstLine="420"/>
        <w:rPr>
          <w:rFonts w:ascii="宋体" w:hAnsi="宋体"/>
          <w:highlight w:val="none"/>
        </w:rPr>
      </w:pPr>
      <w:r>
        <w:rPr>
          <w:rFonts w:hint="eastAsia" w:ascii="宋体" w:hAnsi="宋体"/>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233ACDF4">
      <w:pPr>
        <w:spacing w:line="400" w:lineRule="exact"/>
        <w:ind w:firstLine="420"/>
        <w:rPr>
          <w:rFonts w:ascii="宋体" w:hAnsi="宋体"/>
          <w:highlight w:val="none"/>
        </w:rPr>
      </w:pPr>
      <w:r>
        <w:rPr>
          <w:rFonts w:hint="eastAsia" w:ascii="宋体" w:hAnsi="宋体"/>
          <w:highlight w:val="none"/>
        </w:rPr>
        <w:t>1.专用合同条款的编号应与相应的通用合同条款的编号一致；</w:t>
      </w:r>
    </w:p>
    <w:p w14:paraId="666AE993">
      <w:pPr>
        <w:spacing w:line="400" w:lineRule="exact"/>
        <w:ind w:firstLine="420"/>
        <w:rPr>
          <w:rFonts w:ascii="宋体" w:hAnsi="宋体"/>
          <w:highlight w:val="none"/>
        </w:rPr>
      </w:pPr>
      <w:r>
        <w:rPr>
          <w:rFonts w:hint="eastAsia" w:ascii="宋体" w:hAnsi="宋体"/>
          <w:highlight w:val="none"/>
        </w:rPr>
        <w:t>2.合同当事人可以通过对专用合同条款的修改，满足具体建设工程的特殊要求，避免直接修改通用合同条款；</w:t>
      </w:r>
    </w:p>
    <w:p w14:paraId="6AFD3219">
      <w:pPr>
        <w:spacing w:line="400" w:lineRule="exact"/>
        <w:ind w:firstLine="420"/>
        <w:rPr>
          <w:rFonts w:ascii="宋体" w:hAnsi="宋体"/>
          <w:highlight w:val="none"/>
        </w:rPr>
      </w:pPr>
      <w:r>
        <w:rPr>
          <w:rFonts w:hint="eastAsia" w:ascii="宋体" w:hAnsi="宋体"/>
          <w:highlight w:val="none"/>
        </w:rPr>
        <w:t>3.在专用合同条款中有横道线的地方，合同当事人可针对相应的通用合同条款进行细化、完善、补充、修改或另行约定；如无细化、完善、补充、修改或另行约定，则填写“无”或划“/”。</w:t>
      </w:r>
    </w:p>
    <w:p w14:paraId="7DDDEC44">
      <w:pPr>
        <w:spacing w:line="400" w:lineRule="exact"/>
        <w:ind w:firstLine="420"/>
        <w:rPr>
          <w:rFonts w:ascii="宋体" w:hAnsi="宋体"/>
          <w:highlight w:val="none"/>
        </w:rPr>
      </w:pPr>
      <w:r>
        <w:rPr>
          <w:rFonts w:hint="eastAsia" w:ascii="宋体" w:hAnsi="宋体"/>
          <w:highlight w:val="none"/>
        </w:rPr>
        <w:t>二、《示范文本》的性质和适用范围</w:t>
      </w:r>
    </w:p>
    <w:p w14:paraId="6E580F1E">
      <w:pPr>
        <w:spacing w:line="400" w:lineRule="exact"/>
        <w:ind w:firstLine="420"/>
        <w:rPr>
          <w:rFonts w:ascii="宋体" w:hAnsi="宋体"/>
          <w:highlight w:val="none"/>
        </w:rPr>
      </w:pPr>
      <w:r>
        <w:rPr>
          <w:rFonts w:hint="eastAsia" w:ascii="宋体" w:hAnsi="宋体"/>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61876FCE">
      <w:pPr>
        <w:keepNext/>
        <w:pageBreakBefore/>
        <w:spacing w:line="400" w:lineRule="exact"/>
        <w:jc w:val="center"/>
        <w:rPr>
          <w:rFonts w:ascii="宋体" w:hAnsi="宋体"/>
          <w:b/>
          <w:bCs/>
          <w:sz w:val="30"/>
          <w:szCs w:val="30"/>
          <w:highlight w:val="none"/>
        </w:rPr>
      </w:pPr>
      <w:r>
        <w:rPr>
          <w:rFonts w:hint="eastAsia"/>
          <w:b/>
          <w:sz w:val="30"/>
          <w:szCs w:val="30"/>
          <w:highlight w:val="none"/>
        </w:rPr>
        <w:t>第一部分  合同协议书</w:t>
      </w:r>
    </w:p>
    <w:p w14:paraId="494CC7D8">
      <w:pPr>
        <w:tabs>
          <w:tab w:val="left" w:pos="6180"/>
        </w:tabs>
        <w:spacing w:line="400" w:lineRule="exact"/>
        <w:jc w:val="left"/>
        <w:rPr>
          <w:rFonts w:ascii="宋体" w:hAnsi="宋体" w:cs="宋体"/>
          <w:highlight w:val="none"/>
        </w:rPr>
      </w:pPr>
      <w:r>
        <w:rPr>
          <w:rFonts w:hint="eastAsia" w:ascii="宋体" w:hAnsi="宋体" w:cs="宋体"/>
          <w:highlight w:val="none"/>
        </w:rPr>
        <w:t>　</w:t>
      </w:r>
    </w:p>
    <w:p w14:paraId="7819DFD5">
      <w:pPr>
        <w:keepNext w:val="0"/>
        <w:keepLines w:val="0"/>
        <w:pageBreakBefore w:val="0"/>
        <w:widowControl w:val="0"/>
        <w:tabs>
          <w:tab w:val="left" w:pos="6180"/>
        </w:tabs>
        <w:kinsoku/>
        <w:wordWrap/>
        <w:overflowPunct/>
        <w:topLinePunct w:val="0"/>
        <w:autoSpaceDE/>
        <w:autoSpaceDN/>
        <w:bidi w:val="0"/>
        <w:adjustRightInd/>
        <w:snapToGrid/>
        <w:spacing w:line="380" w:lineRule="exact"/>
        <w:ind w:firstLine="315"/>
        <w:jc w:val="left"/>
        <w:textAlignment w:val="auto"/>
        <w:rPr>
          <w:rFonts w:ascii="宋体" w:hAnsi="宋体"/>
          <w:highlight w:val="none"/>
        </w:rPr>
      </w:pPr>
      <w:r>
        <w:rPr>
          <w:rFonts w:hint="eastAsia" w:ascii="宋体" w:hAnsi="宋体" w:cs="宋体"/>
          <w:highlight w:val="none"/>
        </w:rPr>
        <w:t>　发包人</w:t>
      </w:r>
      <w:r>
        <w:rPr>
          <w:rFonts w:hint="eastAsia" w:ascii="宋体" w:hAnsi="宋体" w:cs="MS PGothic"/>
          <w:highlight w:val="none"/>
        </w:rPr>
        <w:t>(</w:t>
      </w:r>
      <w:r>
        <w:rPr>
          <w:rFonts w:hint="eastAsia" w:ascii="宋体" w:hAnsi="宋体" w:cs="宋体"/>
          <w:highlight w:val="none"/>
        </w:rPr>
        <w:t>全称</w:t>
      </w:r>
      <w:r>
        <w:rPr>
          <w:rFonts w:hint="eastAsia" w:ascii="宋体" w:hAnsi="宋体" w:cs="MS PGothic"/>
          <w:highlight w:val="none"/>
        </w:rPr>
        <w:t>)：</w:t>
      </w:r>
      <w:r>
        <w:rPr>
          <w:rFonts w:hint="eastAsia" w:ascii="宋体" w:hAnsi="宋体" w:cs="宋体"/>
          <w:highlight w:val="none"/>
          <w:u w:val="single"/>
        </w:rPr>
        <w:t xml:space="preserve">  </w:t>
      </w:r>
      <w:r>
        <w:rPr>
          <w:rFonts w:hint="eastAsia" w:ascii="宋体" w:hAnsi="宋体"/>
          <w:highlight w:val="none"/>
          <w:u w:val="single"/>
          <w:lang w:eastAsia="zh-CN"/>
        </w:rPr>
        <w:t>盐城亭湖新区实验小学</w:t>
      </w:r>
      <w:r>
        <w:rPr>
          <w:rFonts w:hint="eastAsia" w:ascii="宋体" w:hAnsi="宋体" w:cs="宋体"/>
          <w:highlight w:val="none"/>
          <w:u w:val="single"/>
        </w:rPr>
        <w:t xml:space="preserve">   </w:t>
      </w:r>
    </w:p>
    <w:p w14:paraId="6AAFA68B">
      <w:pPr>
        <w:keepNext w:val="0"/>
        <w:keepLines w:val="0"/>
        <w:pageBreakBefore w:val="0"/>
        <w:widowControl w:val="0"/>
        <w:kinsoku/>
        <w:wordWrap/>
        <w:overflowPunct/>
        <w:topLinePunct w:val="0"/>
        <w:autoSpaceDE/>
        <w:autoSpaceDN/>
        <w:bidi w:val="0"/>
        <w:adjustRightInd/>
        <w:snapToGrid/>
        <w:spacing w:line="380" w:lineRule="exact"/>
        <w:ind w:right="120" w:firstLine="525"/>
        <w:jc w:val="left"/>
        <w:textAlignment w:val="auto"/>
        <w:rPr>
          <w:rFonts w:ascii="宋体" w:hAnsi="宋体" w:cs="宋体"/>
          <w:highlight w:val="none"/>
          <w:u w:val="single"/>
        </w:rPr>
      </w:pPr>
      <w:r>
        <w:rPr>
          <w:rFonts w:hint="eastAsia" w:ascii="宋体" w:hAnsi="宋体" w:cs="宋体"/>
          <w:highlight w:val="none"/>
        </w:rPr>
        <w:t>承包人</w:t>
      </w:r>
      <w:r>
        <w:rPr>
          <w:rFonts w:hint="eastAsia" w:ascii="宋体" w:hAnsi="宋体" w:cs="MS PGothic"/>
          <w:highlight w:val="none"/>
        </w:rPr>
        <w:t>(</w:t>
      </w:r>
      <w:r>
        <w:rPr>
          <w:rFonts w:hint="eastAsia" w:ascii="宋体" w:hAnsi="宋体" w:cs="宋体"/>
          <w:highlight w:val="none"/>
        </w:rPr>
        <w:t>全称</w:t>
      </w:r>
      <w:r>
        <w:rPr>
          <w:rFonts w:hint="eastAsia" w:ascii="宋体" w:hAnsi="宋体" w:cs="MS PGothic"/>
          <w:highlight w:val="none"/>
        </w:rPr>
        <w:t>)：</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   </w:t>
      </w:r>
      <w:r>
        <w:rPr>
          <w:rFonts w:hint="eastAsia" w:ascii="宋体" w:hAnsi="宋体" w:cs="宋体"/>
          <w:highlight w:val="none"/>
          <w:u w:val="single"/>
        </w:rPr>
        <w:t xml:space="preserve">              </w:t>
      </w:r>
      <w:r>
        <w:rPr>
          <w:rFonts w:hint="eastAsia" w:ascii="宋体" w:hAnsi="宋体" w:cs="宋体"/>
          <w:highlight w:val="none"/>
        </w:rPr>
        <w:t xml:space="preserve">  　　                         </w:t>
      </w:r>
    </w:p>
    <w:p w14:paraId="2A85DC63">
      <w:pPr>
        <w:keepNext w:val="0"/>
        <w:keepLines w:val="0"/>
        <w:pageBreakBefore w:val="0"/>
        <w:widowControl w:val="0"/>
        <w:kinsoku/>
        <w:wordWrap/>
        <w:overflowPunct/>
        <w:topLinePunct w:val="0"/>
        <w:autoSpaceDE/>
        <w:autoSpaceDN/>
        <w:bidi w:val="0"/>
        <w:adjustRightInd/>
        <w:snapToGrid/>
        <w:spacing w:line="380" w:lineRule="exact"/>
        <w:ind w:right="120" w:firstLine="510"/>
        <w:jc w:val="left"/>
        <w:textAlignment w:val="auto"/>
        <w:rPr>
          <w:rFonts w:ascii="宋体" w:hAnsi="宋体"/>
          <w:highlight w:val="none"/>
        </w:rPr>
      </w:pPr>
      <w:r>
        <w:rPr>
          <w:rFonts w:hint="eastAsia" w:ascii="宋体" w:hAnsi="宋体" w:cs="宋体"/>
          <w:highlight w:val="none"/>
        </w:rPr>
        <w:t>根据《中华人民共和国民法典》、《中华人民共和国建筑法》及有关法律规定</w:t>
      </w:r>
      <w:r>
        <w:rPr>
          <w:rFonts w:hint="eastAsia" w:ascii="宋体" w:hAnsi="宋体" w:cs="MS PGothic"/>
          <w:highlight w:val="none"/>
        </w:rPr>
        <w:t>，</w:t>
      </w:r>
      <w:r>
        <w:rPr>
          <w:rFonts w:hint="eastAsia" w:ascii="宋体" w:hAnsi="宋体" w:cs="宋体"/>
          <w:highlight w:val="none"/>
        </w:rPr>
        <w:t>遵循平等、自愿、公平和诚实信用的原则</w:t>
      </w:r>
      <w:r>
        <w:rPr>
          <w:rFonts w:hint="eastAsia" w:ascii="宋体" w:hAnsi="宋体" w:cs="MS PGothic"/>
          <w:highlight w:val="none"/>
        </w:rPr>
        <w:t>，</w:t>
      </w:r>
      <w:r>
        <w:rPr>
          <w:rFonts w:hint="eastAsia" w:ascii="宋体" w:hAnsi="宋体" w:cs="宋体"/>
          <w:highlight w:val="none"/>
        </w:rPr>
        <w:t>双方就</w:t>
      </w:r>
      <w:r>
        <w:rPr>
          <w:rFonts w:hint="eastAsia" w:ascii="宋体" w:hAnsi="宋体"/>
          <w:highlight w:val="none"/>
          <w:u w:val="single"/>
          <w:lang w:eastAsia="zh-CN"/>
        </w:rPr>
        <w:t>盐城亭湖新区实验小学操场维修改造项目</w:t>
      </w:r>
      <w:r>
        <w:rPr>
          <w:rFonts w:hint="eastAsia" w:ascii="宋体" w:hAnsi="宋体" w:cs="宋体"/>
          <w:highlight w:val="none"/>
        </w:rPr>
        <w:t>及有关事项协商一致</w:t>
      </w:r>
      <w:r>
        <w:rPr>
          <w:rFonts w:hint="eastAsia" w:ascii="宋体" w:hAnsi="宋体" w:cs="MS PGothic"/>
          <w:highlight w:val="none"/>
        </w:rPr>
        <w:t>，</w:t>
      </w:r>
      <w:r>
        <w:rPr>
          <w:rFonts w:hint="eastAsia" w:ascii="宋体" w:hAnsi="宋体" w:cs="宋体"/>
          <w:highlight w:val="none"/>
        </w:rPr>
        <w:t>共同达成如下协议</w:t>
      </w:r>
      <w:r>
        <w:rPr>
          <w:rFonts w:hint="eastAsia" w:ascii="宋体" w:hAnsi="宋体" w:cs="MS PGothic"/>
          <w:highlight w:val="none"/>
        </w:rPr>
        <w:t>：</w:t>
      </w:r>
    </w:p>
    <w:p w14:paraId="6AF9B445">
      <w:pPr>
        <w:keepNext w:val="0"/>
        <w:keepLines w:val="0"/>
        <w:pageBreakBefore w:val="0"/>
        <w:widowControl w:val="0"/>
        <w:tabs>
          <w:tab w:val="left" w:pos="5080"/>
          <w:tab w:val="left" w:pos="9960"/>
          <w:tab w:val="left" w:pos="1010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一、工程概况</w:t>
      </w:r>
    </w:p>
    <w:p w14:paraId="4E039405">
      <w:pPr>
        <w:keepNext w:val="0"/>
        <w:keepLines w:val="0"/>
        <w:pageBreakBefore w:val="0"/>
        <w:widowControl w:val="0"/>
        <w:tabs>
          <w:tab w:val="left" w:pos="2160"/>
          <w:tab w:val="left" w:pos="5080"/>
          <w:tab w:val="left" w:pos="9960"/>
          <w:tab w:val="left" w:pos="10100"/>
        </w:tabs>
        <w:kinsoku/>
        <w:wordWrap/>
        <w:overflowPunct/>
        <w:topLinePunct w:val="0"/>
        <w:autoSpaceDE/>
        <w:autoSpaceDN/>
        <w:bidi w:val="0"/>
        <w:adjustRightInd/>
        <w:snapToGrid/>
        <w:spacing w:line="380" w:lineRule="exact"/>
        <w:jc w:val="left"/>
        <w:textAlignment w:val="auto"/>
        <w:rPr>
          <w:rFonts w:ascii="宋体" w:hAnsi="宋体" w:cs="宋体"/>
          <w:highlight w:val="none"/>
          <w:u w:val="single"/>
        </w:rPr>
      </w:pPr>
      <w:r>
        <w:rPr>
          <w:rFonts w:hint="eastAsia" w:ascii="宋体" w:hAnsi="宋体" w:cs="宋体"/>
          <w:highlight w:val="none"/>
        </w:rPr>
        <w:t>　　</w:t>
      </w:r>
      <w:r>
        <w:rPr>
          <w:rFonts w:hint="eastAsia" w:ascii="宋体" w:hAnsi="宋体" w:cs="MS PGothic"/>
          <w:highlight w:val="none"/>
        </w:rPr>
        <w:t>1.</w:t>
      </w:r>
      <w:r>
        <w:rPr>
          <w:rFonts w:hint="eastAsia" w:ascii="宋体" w:hAnsi="宋体" w:cs="宋体"/>
          <w:highlight w:val="none"/>
        </w:rPr>
        <w:t>工程名称：</w:t>
      </w:r>
      <w:r>
        <w:rPr>
          <w:rFonts w:hint="eastAsia" w:ascii="宋体" w:hAnsi="宋体"/>
          <w:highlight w:val="none"/>
          <w:u w:val="single"/>
          <w:lang w:eastAsia="zh-CN"/>
        </w:rPr>
        <w:t>盐城亭湖新区实验小学操场维修改造项目</w:t>
      </w:r>
    </w:p>
    <w:p w14:paraId="524C089D">
      <w:pPr>
        <w:keepNext w:val="0"/>
        <w:keepLines w:val="0"/>
        <w:pageBreakBefore w:val="0"/>
        <w:widowControl w:val="0"/>
        <w:tabs>
          <w:tab w:val="left" w:pos="2160"/>
          <w:tab w:val="left" w:pos="5080"/>
          <w:tab w:val="left" w:pos="9960"/>
          <w:tab w:val="left" w:pos="1010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w:t>
      </w:r>
      <w:r>
        <w:rPr>
          <w:rFonts w:hint="eastAsia" w:ascii="宋体" w:hAnsi="宋体" w:cs="MS PGothic"/>
          <w:highlight w:val="none"/>
        </w:rPr>
        <w:t>2.</w:t>
      </w:r>
      <w:r>
        <w:rPr>
          <w:rFonts w:hint="eastAsia" w:ascii="宋体" w:hAnsi="宋体" w:cs="宋体"/>
          <w:highlight w:val="none"/>
        </w:rPr>
        <w:t>工程地点</w:t>
      </w:r>
      <w:r>
        <w:rPr>
          <w:rFonts w:hint="eastAsia" w:ascii="宋体" w:hAnsi="宋体" w:cs="MS PGothic"/>
          <w:highlight w:val="none"/>
        </w:rPr>
        <w:t>：</w:t>
      </w:r>
      <w:r>
        <w:rPr>
          <w:rFonts w:hint="eastAsia" w:ascii="宋体" w:hAnsi="宋体" w:cs="宋体"/>
          <w:highlight w:val="none"/>
          <w:u w:val="single"/>
          <w:lang w:eastAsia="zh-CN"/>
        </w:rPr>
        <w:t>盐城亭湖新区实验小学</w:t>
      </w:r>
      <w:r>
        <w:rPr>
          <w:rFonts w:hint="eastAsia" w:ascii="宋体" w:hAnsi="宋体" w:cs="宋体"/>
          <w:highlight w:val="none"/>
        </w:rPr>
        <w:t>。</w:t>
      </w:r>
    </w:p>
    <w:p w14:paraId="1B2D2AC0">
      <w:pPr>
        <w:keepNext w:val="0"/>
        <w:keepLines w:val="0"/>
        <w:pageBreakBefore w:val="0"/>
        <w:widowControl w:val="0"/>
        <w:tabs>
          <w:tab w:val="left" w:pos="3200"/>
          <w:tab w:val="left" w:pos="5080"/>
          <w:tab w:val="left" w:pos="9960"/>
          <w:tab w:val="left" w:pos="1010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w:t>
      </w:r>
      <w:r>
        <w:rPr>
          <w:rFonts w:hint="eastAsia" w:ascii="宋体" w:hAnsi="宋体" w:cs="MS PGothic"/>
          <w:highlight w:val="none"/>
        </w:rPr>
        <w:t>3.</w:t>
      </w:r>
      <w:r>
        <w:rPr>
          <w:rFonts w:hint="eastAsia" w:ascii="宋体" w:hAnsi="宋体" w:cs="宋体"/>
          <w:highlight w:val="none"/>
        </w:rPr>
        <w:t>资金来源</w:t>
      </w:r>
      <w:r>
        <w:rPr>
          <w:rFonts w:hint="eastAsia" w:ascii="宋体" w:hAnsi="宋体" w:cs="MS PGothic"/>
          <w:highlight w:val="none"/>
        </w:rPr>
        <w:t>：</w:t>
      </w:r>
      <w:r>
        <w:rPr>
          <w:rFonts w:ascii="宋体" w:hAnsi="宋体" w:cs="宋体"/>
          <w:highlight w:val="none"/>
          <w:u w:val="single"/>
        </w:rPr>
        <w:t>财政资金</w:t>
      </w:r>
      <w:r>
        <w:rPr>
          <w:rFonts w:hint="eastAsia" w:ascii="宋体" w:hAnsi="宋体" w:cs="宋体"/>
          <w:highlight w:val="none"/>
          <w:u w:val="single"/>
        </w:rPr>
        <w:t>，100%</w:t>
      </w:r>
      <w:r>
        <w:rPr>
          <w:rFonts w:hint="eastAsia" w:ascii="宋体" w:hAnsi="宋体" w:cs="宋体"/>
          <w:highlight w:val="none"/>
        </w:rPr>
        <w:t>。</w:t>
      </w:r>
    </w:p>
    <w:p w14:paraId="0C878B30">
      <w:pPr>
        <w:keepNext w:val="0"/>
        <w:keepLines w:val="0"/>
        <w:pageBreakBefore w:val="0"/>
        <w:widowControl w:val="0"/>
        <w:tabs>
          <w:tab w:val="left" w:pos="2160"/>
          <w:tab w:val="left" w:pos="5080"/>
          <w:tab w:val="left" w:pos="9960"/>
          <w:tab w:val="left" w:pos="1010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w:t>
      </w:r>
      <w:r>
        <w:rPr>
          <w:rFonts w:hint="eastAsia" w:ascii="宋体" w:hAnsi="宋体" w:cs="MS PGothic"/>
          <w:highlight w:val="none"/>
        </w:rPr>
        <w:t>4.</w:t>
      </w:r>
      <w:r>
        <w:rPr>
          <w:rFonts w:hint="eastAsia" w:ascii="宋体" w:hAnsi="宋体" w:cs="宋体"/>
          <w:highlight w:val="none"/>
        </w:rPr>
        <w:t>工程内容</w:t>
      </w:r>
      <w:r>
        <w:rPr>
          <w:rFonts w:hint="eastAsia" w:ascii="宋体" w:hAnsi="宋体" w:cs="MS PGothic"/>
          <w:highlight w:val="none"/>
        </w:rPr>
        <w:t>：</w:t>
      </w:r>
      <w:r>
        <w:rPr>
          <w:rFonts w:hint="eastAsia" w:ascii="宋体" w:hAnsi="宋体"/>
          <w:highlight w:val="none"/>
          <w:u w:val="single"/>
        </w:rPr>
        <w:tab/>
      </w:r>
      <w:r>
        <w:rPr>
          <w:rFonts w:hint="eastAsia" w:ascii="宋体" w:hAnsi="宋体"/>
          <w:highlight w:val="none"/>
          <w:u w:val="single"/>
        </w:rPr>
        <w:t xml:space="preserve">工程包工包料施工    </w:t>
      </w:r>
      <w:r>
        <w:rPr>
          <w:rFonts w:hint="eastAsia" w:ascii="宋体" w:hAnsi="宋体" w:cs="宋体"/>
          <w:highlight w:val="none"/>
        </w:rPr>
        <w:t>。</w:t>
      </w:r>
    </w:p>
    <w:p w14:paraId="3FB34AEA">
      <w:pPr>
        <w:keepNext w:val="0"/>
        <w:keepLines w:val="0"/>
        <w:pageBreakBefore w:val="0"/>
        <w:widowControl w:val="0"/>
        <w:tabs>
          <w:tab w:val="left" w:pos="1950"/>
          <w:tab w:val="left" w:pos="2600"/>
          <w:tab w:val="left" w:pos="3200"/>
          <w:tab w:val="left" w:pos="5080"/>
          <w:tab w:val="left" w:pos="996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w:t>
      </w:r>
      <w:r>
        <w:rPr>
          <w:rFonts w:hint="eastAsia" w:ascii="宋体" w:hAnsi="宋体" w:cs="MS PGothic"/>
          <w:highlight w:val="none"/>
        </w:rPr>
        <w:t>5.</w:t>
      </w:r>
      <w:r>
        <w:rPr>
          <w:rFonts w:hint="eastAsia" w:ascii="宋体" w:hAnsi="宋体" w:cs="宋体"/>
          <w:highlight w:val="none"/>
        </w:rPr>
        <w:t>工程承包范围</w:t>
      </w:r>
      <w:r>
        <w:rPr>
          <w:rFonts w:hint="eastAsia" w:ascii="宋体" w:hAnsi="宋体" w:cs="MS PGothic"/>
          <w:highlight w:val="none"/>
        </w:rPr>
        <w:t>：</w:t>
      </w:r>
      <w:r>
        <w:rPr>
          <w:rFonts w:hint="eastAsia" w:ascii="宋体" w:hAnsi="宋体" w:cs="宋体"/>
          <w:highlight w:val="none"/>
          <w:u w:val="single"/>
        </w:rPr>
        <w:t>包含</w:t>
      </w:r>
      <w:r>
        <w:rPr>
          <w:rFonts w:hint="eastAsia" w:ascii="宋体" w:hAnsi="宋体"/>
          <w:highlight w:val="none"/>
          <w:u w:val="single"/>
          <w:lang w:eastAsia="zh-CN"/>
        </w:rPr>
        <w:t>原塑胶跑道拆除出新、AI50米测试仪、体测机等。改造面积约为11000平方米</w:t>
      </w:r>
      <w:r>
        <w:rPr>
          <w:rFonts w:hint="eastAsia" w:ascii="宋体" w:hAnsi="宋体" w:cs="宋体"/>
          <w:highlight w:val="none"/>
        </w:rPr>
        <w:t>。</w:t>
      </w:r>
    </w:p>
    <w:p w14:paraId="0F34DBCE">
      <w:pPr>
        <w:keepNext w:val="0"/>
        <w:keepLines w:val="0"/>
        <w:pageBreakBefore w:val="0"/>
        <w:widowControl w:val="0"/>
        <w:tabs>
          <w:tab w:val="left" w:pos="5080"/>
          <w:tab w:val="left" w:pos="9960"/>
          <w:tab w:val="left" w:pos="1010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二、合同工期</w:t>
      </w:r>
    </w:p>
    <w:p w14:paraId="35A3383F">
      <w:pPr>
        <w:keepNext w:val="0"/>
        <w:keepLines w:val="0"/>
        <w:pageBreakBefore w:val="0"/>
        <w:widowControl w:val="0"/>
        <w:tabs>
          <w:tab w:val="left" w:pos="2175"/>
          <w:tab w:val="left" w:pos="5080"/>
          <w:tab w:val="left" w:pos="9960"/>
          <w:tab w:val="left" w:pos="1010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计划开工日期</w:t>
      </w:r>
      <w:r>
        <w:rPr>
          <w:rFonts w:hint="eastAsia" w:ascii="宋体" w:hAnsi="宋体" w:cs="MS PGothic"/>
          <w:highlight w:val="none"/>
        </w:rPr>
        <w:t>：</w:t>
      </w:r>
      <w:r>
        <w:rPr>
          <w:rFonts w:hint="eastAsia" w:ascii="宋体" w:hAnsi="宋体"/>
          <w:highlight w:val="none"/>
          <w:u w:val="single"/>
        </w:rPr>
        <w:t xml:space="preserve">      （以</w:t>
      </w:r>
      <w:r>
        <w:rPr>
          <w:rFonts w:ascii="宋体" w:hAnsi="宋体"/>
          <w:highlight w:val="none"/>
          <w:u w:val="single"/>
        </w:rPr>
        <w:t>发包人书面通知为准）</w:t>
      </w:r>
      <w:r>
        <w:rPr>
          <w:rFonts w:hint="eastAsia" w:ascii="宋体" w:hAnsi="宋体"/>
          <w:highlight w:val="none"/>
          <w:u w:val="single"/>
        </w:rPr>
        <w:t xml:space="preserve">    </w:t>
      </w:r>
      <w:r>
        <w:rPr>
          <w:rFonts w:hint="eastAsia" w:ascii="宋体" w:hAnsi="宋体" w:cs="宋体"/>
          <w:highlight w:val="none"/>
        </w:rPr>
        <w:t>。</w:t>
      </w:r>
    </w:p>
    <w:p w14:paraId="2CB95276">
      <w:pPr>
        <w:keepNext w:val="0"/>
        <w:keepLines w:val="0"/>
        <w:pageBreakBefore w:val="0"/>
        <w:widowControl w:val="0"/>
        <w:tabs>
          <w:tab w:val="left" w:pos="2805"/>
          <w:tab w:val="left" w:pos="5400"/>
          <w:tab w:val="left" w:pos="9960"/>
          <w:tab w:val="left" w:pos="1010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计划竣工日期</w:t>
      </w:r>
      <w:r>
        <w:rPr>
          <w:rFonts w:hint="eastAsia" w:ascii="宋体" w:hAnsi="宋体" w:cs="MS PGothic"/>
          <w:highlight w:val="none"/>
        </w:rPr>
        <w:t>：</w:t>
      </w:r>
      <w:r>
        <w:rPr>
          <w:rFonts w:hint="eastAsia" w:ascii="宋体" w:hAnsi="宋体"/>
          <w:highlight w:val="none"/>
          <w:u w:val="single"/>
        </w:rPr>
        <w:tab/>
      </w:r>
      <w:r>
        <w:rPr>
          <w:rFonts w:hint="eastAsia" w:ascii="宋体" w:hAnsi="宋体"/>
          <w:highlight w:val="none"/>
          <w:u w:val="single"/>
        </w:rPr>
        <w:tab/>
      </w:r>
      <w:r>
        <w:rPr>
          <w:rFonts w:hint="eastAsia" w:ascii="宋体" w:hAnsi="宋体" w:cs="宋体"/>
          <w:highlight w:val="none"/>
        </w:rPr>
        <w:t>。</w:t>
      </w:r>
    </w:p>
    <w:p w14:paraId="336F4CBD">
      <w:pPr>
        <w:keepNext w:val="0"/>
        <w:keepLines w:val="0"/>
        <w:pageBreakBefore w:val="0"/>
        <w:widowControl w:val="0"/>
        <w:tabs>
          <w:tab w:val="left" w:pos="280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工期总日历天数</w:t>
      </w:r>
      <w:r>
        <w:rPr>
          <w:rFonts w:hint="eastAsia" w:ascii="宋体" w:hAnsi="宋体" w:cs="MS PGothic"/>
          <w:highlight w:val="none"/>
        </w:rPr>
        <w:t>：</w:t>
      </w:r>
      <w:r>
        <w:rPr>
          <w:rFonts w:hint="eastAsia" w:ascii="宋体" w:hAnsi="宋体" w:cs="MS PGothic"/>
          <w:highlight w:val="none"/>
          <w:u w:val="single"/>
        </w:rPr>
        <w:t xml:space="preserve"> </w:t>
      </w:r>
      <w:r>
        <w:rPr>
          <w:rFonts w:hint="eastAsia" w:ascii="宋体" w:hAnsi="宋体"/>
          <w:highlight w:val="none"/>
          <w:u w:val="single"/>
        </w:rPr>
        <w:t xml:space="preserve"> </w:t>
      </w:r>
      <w:r>
        <w:rPr>
          <w:rFonts w:hint="eastAsia" w:ascii="宋体" w:hAnsi="宋体"/>
          <w:highlight w:val="none"/>
          <w:u w:val="single"/>
          <w:lang w:val="en-US" w:eastAsia="zh-CN"/>
        </w:rPr>
        <w:t xml:space="preserve">30天 </w:t>
      </w:r>
      <w:r>
        <w:rPr>
          <w:rFonts w:hint="eastAsia" w:ascii="宋体" w:hAnsi="宋体"/>
          <w:highlight w:val="none"/>
          <w:u w:val="single"/>
          <w:lang w:val="en-US" w:eastAsia="zh-CN"/>
        </w:rPr>
        <w:t xml:space="preserve"> </w:t>
      </w:r>
      <w:r>
        <w:rPr>
          <w:rFonts w:hint="eastAsia" w:ascii="宋体" w:hAnsi="宋体" w:cs="宋体"/>
          <w:highlight w:val="none"/>
        </w:rPr>
        <w:t>。工期总日历天数与根据前述计划开竣工日期计算的工期天数不一致的</w:t>
      </w:r>
      <w:r>
        <w:rPr>
          <w:rFonts w:hint="eastAsia" w:ascii="宋体" w:hAnsi="宋体" w:cs="MS PGothic"/>
          <w:highlight w:val="none"/>
        </w:rPr>
        <w:t>，</w:t>
      </w:r>
      <w:r>
        <w:rPr>
          <w:rFonts w:hint="eastAsia" w:ascii="宋体" w:hAnsi="宋体" w:cs="宋体"/>
          <w:highlight w:val="none"/>
        </w:rPr>
        <w:t>以工期总日历天数为准。</w:t>
      </w:r>
    </w:p>
    <w:p w14:paraId="4551EBFE">
      <w:pPr>
        <w:keepNext w:val="0"/>
        <w:keepLines w:val="0"/>
        <w:pageBreakBefore w:val="0"/>
        <w:widowControl w:val="0"/>
        <w:tabs>
          <w:tab w:val="left" w:pos="2800"/>
          <w:tab w:val="left" w:pos="3880"/>
          <w:tab w:val="left" w:pos="7580"/>
          <w:tab w:val="left" w:pos="7960"/>
          <w:tab w:val="left" w:pos="9500"/>
          <w:tab w:val="left" w:pos="998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三、质量标准</w:t>
      </w:r>
    </w:p>
    <w:p w14:paraId="254C17EE">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宋体" w:hAnsi="宋体"/>
          <w:highlight w:val="none"/>
        </w:rPr>
      </w:pPr>
      <w:r>
        <w:rPr>
          <w:rFonts w:hint="eastAsia" w:ascii="宋体" w:hAnsi="宋体"/>
          <w:highlight w:val="none"/>
        </w:rPr>
        <w:t>工程质量标准：</w:t>
      </w:r>
      <w:r>
        <w:rPr>
          <w:rFonts w:hint="eastAsia" w:ascii="宋体" w:hAnsi="宋体"/>
          <w:highlight w:val="none"/>
          <w:u w:val="single"/>
        </w:rPr>
        <w:t xml:space="preserve">合同约定的标准、设计图纸、设计文件中的技术数据和技术条件是工程材料设备采购、施工质量及建筑物竣工验收质量的依据。所有工程设计、采购和施工及双方约定的其他内容，须达到建筑物功能需求。 </w:t>
      </w:r>
      <w:r>
        <w:rPr>
          <w:rFonts w:hint="eastAsia" w:ascii="宋体" w:hAnsi="宋体"/>
          <w:highlight w:val="none"/>
        </w:rPr>
        <w:t xml:space="preserve"> </w:t>
      </w:r>
    </w:p>
    <w:p w14:paraId="362E9115">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宋体" w:hAnsi="宋体"/>
          <w:highlight w:val="none"/>
          <w:u w:val="single"/>
        </w:rPr>
      </w:pPr>
      <w:r>
        <w:rPr>
          <w:rFonts w:hint="eastAsia" w:ascii="宋体" w:hAnsi="宋体"/>
          <w:highlight w:val="none"/>
          <w:u w:val="single"/>
        </w:rPr>
        <w:t>（</w:t>
      </w:r>
      <w:r>
        <w:rPr>
          <w:rFonts w:hint="eastAsia" w:ascii="宋体" w:hAnsi="宋体"/>
          <w:highlight w:val="none"/>
          <w:u w:val="single"/>
          <w:lang w:val="en-US" w:eastAsia="zh-CN"/>
        </w:rPr>
        <w:t>1</w:t>
      </w:r>
      <w:r>
        <w:rPr>
          <w:rFonts w:hint="eastAsia" w:ascii="宋体" w:hAnsi="宋体"/>
          <w:highlight w:val="none"/>
          <w:u w:val="single"/>
        </w:rPr>
        <w:t>）施工质量标准：符合现行国家施工及验收规范标准要求，质量标准达国家“合格”标准。配合</w:t>
      </w:r>
      <w:r>
        <w:rPr>
          <w:rFonts w:hint="eastAsia" w:ascii="宋体" w:hAnsi="宋体"/>
          <w:highlight w:val="none"/>
          <w:u w:val="single"/>
          <w:lang w:eastAsia="zh-CN"/>
        </w:rPr>
        <w:t>盐城亭湖新区实验小学</w:t>
      </w:r>
      <w:r>
        <w:rPr>
          <w:rFonts w:hint="eastAsia" w:ascii="宋体" w:hAnsi="宋体"/>
          <w:highlight w:val="none"/>
          <w:u w:val="single"/>
        </w:rPr>
        <w:t>五级质量提升项目竣工验收。</w:t>
      </w:r>
    </w:p>
    <w:p w14:paraId="19CE6F9C">
      <w:pPr>
        <w:keepNext w:val="0"/>
        <w:keepLines w:val="0"/>
        <w:pageBreakBefore w:val="0"/>
        <w:widowControl w:val="0"/>
        <w:tabs>
          <w:tab w:val="left" w:pos="9500"/>
          <w:tab w:val="left" w:pos="998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四、暂定合同价与合同价格形式</w:t>
      </w:r>
    </w:p>
    <w:p w14:paraId="75A5DAC5">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宋体" w:hAnsi="宋体"/>
          <w:highlight w:val="none"/>
        </w:rPr>
      </w:pPr>
      <w:r>
        <w:rPr>
          <w:rFonts w:hint="eastAsia" w:ascii="宋体" w:hAnsi="宋体"/>
          <w:highlight w:val="none"/>
        </w:rPr>
        <w:t>暂定合同总价为人民币（大写）：</w:t>
      </w:r>
      <w:r>
        <w:rPr>
          <w:rFonts w:hint="eastAsia" w:ascii="宋体" w:hAnsi="宋体"/>
          <w:highlight w:val="none"/>
          <w:u w:val="single"/>
        </w:rPr>
        <w:t xml:space="preserve">         </w:t>
      </w:r>
      <w:r>
        <w:rPr>
          <w:rFonts w:hint="eastAsia" w:ascii="宋体" w:hAnsi="宋体"/>
          <w:highlight w:val="none"/>
        </w:rPr>
        <w:t>元（小写金额：</w:t>
      </w:r>
      <w:r>
        <w:rPr>
          <w:rFonts w:hint="eastAsia" w:ascii="宋体" w:hAnsi="宋体"/>
          <w:highlight w:val="none"/>
          <w:u w:val="single"/>
        </w:rPr>
        <w:t xml:space="preserve">         </w:t>
      </w:r>
      <w:r>
        <w:rPr>
          <w:rFonts w:hint="eastAsia" w:ascii="宋体" w:hAnsi="宋体"/>
          <w:highlight w:val="none"/>
        </w:rPr>
        <w:t>元）；</w:t>
      </w:r>
    </w:p>
    <w:p w14:paraId="7AE3B690">
      <w:pPr>
        <w:keepNext w:val="0"/>
        <w:keepLines w:val="0"/>
        <w:pageBreakBefore w:val="0"/>
        <w:widowControl w:val="0"/>
        <w:tabs>
          <w:tab w:val="left" w:pos="1971"/>
          <w:tab w:val="left" w:pos="4572"/>
          <w:tab w:val="left" w:pos="5292"/>
          <w:tab w:val="left" w:pos="7960"/>
          <w:tab w:val="left" w:pos="9980"/>
        </w:tabs>
        <w:kinsoku/>
        <w:wordWrap/>
        <w:overflowPunct/>
        <w:topLinePunct w:val="0"/>
        <w:autoSpaceDE/>
        <w:autoSpaceDN/>
        <w:bidi w:val="0"/>
        <w:adjustRightInd/>
        <w:snapToGrid/>
        <w:spacing w:line="380" w:lineRule="exact"/>
        <w:ind w:firstLine="420" w:firstLineChars="200"/>
        <w:jc w:val="left"/>
        <w:textAlignment w:val="auto"/>
        <w:rPr>
          <w:rFonts w:ascii="宋体" w:hAnsi="宋体"/>
          <w:highlight w:val="none"/>
        </w:rPr>
      </w:pPr>
      <w:r>
        <w:rPr>
          <w:rFonts w:hint="eastAsia" w:ascii="宋体" w:hAnsi="宋体"/>
          <w:highlight w:val="none"/>
        </w:rPr>
        <w:t>合同价格形式：固定</w:t>
      </w:r>
      <w:r>
        <w:rPr>
          <w:rFonts w:hint="eastAsia" w:ascii="宋体" w:hAnsi="宋体"/>
          <w:highlight w:val="none"/>
          <w:lang w:val="en-US" w:eastAsia="zh-CN"/>
        </w:rPr>
        <w:t>单</w:t>
      </w:r>
      <w:r>
        <w:rPr>
          <w:rFonts w:hint="eastAsia" w:ascii="宋体" w:hAnsi="宋体"/>
          <w:highlight w:val="none"/>
        </w:rPr>
        <w:t>价合同。</w:t>
      </w:r>
    </w:p>
    <w:p w14:paraId="0ECA9127">
      <w:pPr>
        <w:keepNext w:val="0"/>
        <w:keepLines w:val="0"/>
        <w:pageBreakBefore w:val="0"/>
        <w:widowControl w:val="0"/>
        <w:tabs>
          <w:tab w:val="left" w:pos="2900"/>
          <w:tab w:val="left" w:pos="7580"/>
          <w:tab w:val="left" w:pos="7960"/>
          <w:tab w:val="left" w:pos="998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五、工程总承包项目经理</w:t>
      </w:r>
    </w:p>
    <w:p w14:paraId="5177C417">
      <w:pPr>
        <w:keepNext w:val="0"/>
        <w:keepLines w:val="0"/>
        <w:pageBreakBefore w:val="0"/>
        <w:widowControl w:val="0"/>
        <w:tabs>
          <w:tab w:val="left" w:pos="4240"/>
          <w:tab w:val="left" w:pos="7835"/>
          <w:tab w:val="left" w:pos="998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工程总承包项目经理</w:t>
      </w:r>
      <w:r>
        <w:rPr>
          <w:rFonts w:hint="eastAsia" w:ascii="宋体" w:hAnsi="宋体" w:cs="MS PGothic"/>
          <w:highlight w:val="none"/>
        </w:rPr>
        <w:t>：</w:t>
      </w:r>
      <w:r>
        <w:rPr>
          <w:rFonts w:hint="eastAsia" w:ascii="宋体" w:hAnsi="宋体"/>
          <w:highlight w:val="none"/>
          <w:u w:val="single"/>
        </w:rPr>
        <w:tab/>
      </w:r>
      <w:r>
        <w:rPr>
          <w:rFonts w:hint="eastAsia" w:ascii="宋体" w:hAnsi="宋体" w:cs="宋体"/>
          <w:highlight w:val="none"/>
        </w:rPr>
        <w:t>。</w:t>
      </w:r>
    </w:p>
    <w:p w14:paraId="3BE665B4">
      <w:pPr>
        <w:keepNext w:val="0"/>
        <w:keepLines w:val="0"/>
        <w:pageBreakBefore w:val="0"/>
        <w:widowControl w:val="0"/>
        <w:tabs>
          <w:tab w:val="left" w:pos="2900"/>
          <w:tab w:val="left" w:pos="7580"/>
          <w:tab w:val="left" w:pos="7960"/>
          <w:tab w:val="left" w:pos="9980"/>
        </w:tabs>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六、合同文件构成</w:t>
      </w:r>
    </w:p>
    <w:p w14:paraId="53F5E7B5">
      <w:pPr>
        <w:keepNext w:val="0"/>
        <w:keepLines w:val="0"/>
        <w:pageBreakBefore w:val="0"/>
        <w:widowControl w:val="0"/>
        <w:kinsoku/>
        <w:wordWrap/>
        <w:overflowPunct/>
        <w:topLinePunct w:val="0"/>
        <w:autoSpaceDE/>
        <w:autoSpaceDN/>
        <w:bidi w:val="0"/>
        <w:adjustRightInd/>
        <w:snapToGrid/>
        <w:spacing w:line="380" w:lineRule="exact"/>
        <w:ind w:left="510" w:right="-37"/>
        <w:jc w:val="left"/>
        <w:textAlignment w:val="auto"/>
        <w:rPr>
          <w:rFonts w:ascii="宋体" w:hAnsi="宋体" w:cs="宋体"/>
          <w:highlight w:val="none"/>
        </w:rPr>
      </w:pPr>
      <w:r>
        <w:rPr>
          <w:rFonts w:hint="eastAsia" w:ascii="宋体" w:hAnsi="宋体" w:cs="宋体"/>
          <w:highlight w:val="none"/>
        </w:rPr>
        <w:t>本协议书与下列文件一起构成合同文件</w:t>
      </w:r>
      <w:r>
        <w:rPr>
          <w:rFonts w:hint="eastAsia" w:ascii="宋体" w:hAnsi="宋体" w:cs="MS PGothic"/>
          <w:highlight w:val="none"/>
        </w:rPr>
        <w:t>：</w:t>
      </w:r>
    </w:p>
    <w:p w14:paraId="5C88D88F">
      <w:pPr>
        <w:keepNext w:val="0"/>
        <w:keepLines w:val="0"/>
        <w:pageBreakBefore w:val="0"/>
        <w:widowControl w:val="0"/>
        <w:kinsoku/>
        <w:wordWrap/>
        <w:overflowPunct/>
        <w:topLinePunct w:val="0"/>
        <w:autoSpaceDE/>
        <w:autoSpaceDN/>
        <w:bidi w:val="0"/>
        <w:adjustRightInd/>
        <w:snapToGrid/>
        <w:spacing w:line="380" w:lineRule="exact"/>
        <w:ind w:left="510" w:right="-37"/>
        <w:jc w:val="left"/>
        <w:textAlignment w:val="auto"/>
        <w:rPr>
          <w:rFonts w:ascii="宋体" w:hAnsi="宋体" w:cs="宋体"/>
          <w:highlight w:val="none"/>
        </w:rPr>
      </w:pPr>
      <w:r>
        <w:rPr>
          <w:rFonts w:hint="eastAsia" w:ascii="宋体" w:hAnsi="宋体" w:cs="MS PGothic"/>
          <w:highlight w:val="none"/>
        </w:rPr>
        <w:t>（1）</w:t>
      </w:r>
      <w:r>
        <w:rPr>
          <w:rFonts w:hint="eastAsia" w:ascii="宋体" w:hAnsi="宋体" w:cs="宋体"/>
          <w:highlight w:val="none"/>
        </w:rPr>
        <w:t>中标通知书</w:t>
      </w:r>
      <w:r>
        <w:rPr>
          <w:rFonts w:hint="eastAsia" w:ascii="宋体" w:hAnsi="宋体" w:cs="MS PGothic"/>
          <w:highlight w:val="none"/>
        </w:rPr>
        <w:t>（</w:t>
      </w:r>
      <w:r>
        <w:rPr>
          <w:rFonts w:hint="eastAsia" w:ascii="宋体" w:hAnsi="宋体" w:cs="宋体"/>
          <w:highlight w:val="none"/>
        </w:rPr>
        <w:t>如果有</w:t>
      </w:r>
      <w:r>
        <w:rPr>
          <w:rFonts w:hint="eastAsia" w:ascii="宋体" w:hAnsi="宋体" w:cs="MS PGothic"/>
          <w:highlight w:val="none"/>
        </w:rPr>
        <w:t>）</w:t>
      </w:r>
    </w:p>
    <w:p w14:paraId="0212215C">
      <w:pPr>
        <w:keepNext w:val="0"/>
        <w:keepLines w:val="0"/>
        <w:pageBreakBefore w:val="0"/>
        <w:widowControl w:val="0"/>
        <w:kinsoku/>
        <w:wordWrap/>
        <w:overflowPunct/>
        <w:topLinePunct w:val="0"/>
        <w:autoSpaceDE/>
        <w:autoSpaceDN/>
        <w:bidi w:val="0"/>
        <w:adjustRightInd/>
        <w:snapToGrid/>
        <w:spacing w:line="380" w:lineRule="exact"/>
        <w:ind w:right="5040" w:firstLine="510"/>
        <w:jc w:val="left"/>
        <w:textAlignment w:val="auto"/>
        <w:rPr>
          <w:rFonts w:ascii="宋体" w:hAnsi="宋体" w:cs="宋体"/>
          <w:highlight w:val="none"/>
        </w:rPr>
      </w:pPr>
      <w:r>
        <w:rPr>
          <w:rFonts w:hint="eastAsia" w:ascii="宋体" w:hAnsi="宋体" w:cs="MS PGothic"/>
          <w:highlight w:val="none"/>
        </w:rPr>
        <w:t>（2）</w:t>
      </w:r>
      <w:r>
        <w:rPr>
          <w:rFonts w:hint="eastAsia" w:ascii="宋体" w:hAnsi="宋体" w:cs="宋体"/>
          <w:highlight w:val="none"/>
        </w:rPr>
        <w:t>投标函及其附录</w:t>
      </w:r>
      <w:r>
        <w:rPr>
          <w:rFonts w:hint="eastAsia" w:ascii="宋体" w:hAnsi="宋体" w:cs="MS PGothic"/>
          <w:highlight w:val="none"/>
        </w:rPr>
        <w:t>（</w:t>
      </w:r>
      <w:r>
        <w:rPr>
          <w:rFonts w:hint="eastAsia" w:ascii="宋体" w:hAnsi="宋体" w:cs="宋体"/>
          <w:highlight w:val="none"/>
        </w:rPr>
        <w:t>如果有</w:t>
      </w:r>
      <w:r>
        <w:rPr>
          <w:rFonts w:hint="eastAsia" w:ascii="宋体" w:hAnsi="宋体" w:cs="MS PGothic"/>
          <w:highlight w:val="none"/>
        </w:rPr>
        <w:t>）；</w:t>
      </w:r>
    </w:p>
    <w:p w14:paraId="45A46746">
      <w:pPr>
        <w:keepNext w:val="0"/>
        <w:keepLines w:val="0"/>
        <w:pageBreakBefore w:val="0"/>
        <w:widowControl w:val="0"/>
        <w:kinsoku/>
        <w:wordWrap/>
        <w:overflowPunct/>
        <w:topLinePunct w:val="0"/>
        <w:autoSpaceDE/>
        <w:autoSpaceDN/>
        <w:bidi w:val="0"/>
        <w:adjustRightInd/>
        <w:snapToGrid/>
        <w:spacing w:line="380" w:lineRule="exact"/>
        <w:ind w:right="5040" w:firstLine="510"/>
        <w:jc w:val="left"/>
        <w:textAlignment w:val="auto"/>
        <w:rPr>
          <w:rFonts w:ascii="宋体" w:hAnsi="宋体" w:cs="宋体"/>
          <w:highlight w:val="none"/>
        </w:rPr>
      </w:pPr>
      <w:r>
        <w:rPr>
          <w:rFonts w:hint="eastAsia" w:ascii="宋体" w:hAnsi="宋体" w:cs="MS PGothic"/>
          <w:highlight w:val="none"/>
        </w:rPr>
        <w:t>（3）</w:t>
      </w:r>
      <w:r>
        <w:rPr>
          <w:rFonts w:hint="eastAsia" w:ascii="宋体" w:hAnsi="宋体" w:cs="宋体"/>
          <w:highlight w:val="none"/>
        </w:rPr>
        <w:t>专用合同条款及其附件</w:t>
      </w:r>
      <w:r>
        <w:rPr>
          <w:rFonts w:hint="eastAsia" w:ascii="宋体" w:hAnsi="宋体" w:cs="MS PGothic"/>
          <w:highlight w:val="none"/>
        </w:rPr>
        <w:t>；</w:t>
      </w:r>
    </w:p>
    <w:p w14:paraId="270AEFA7">
      <w:pPr>
        <w:keepNext w:val="0"/>
        <w:keepLines w:val="0"/>
        <w:pageBreakBefore w:val="0"/>
        <w:widowControl w:val="0"/>
        <w:kinsoku/>
        <w:wordWrap/>
        <w:overflowPunct/>
        <w:topLinePunct w:val="0"/>
        <w:autoSpaceDE/>
        <w:autoSpaceDN/>
        <w:bidi w:val="0"/>
        <w:adjustRightInd/>
        <w:snapToGrid/>
        <w:spacing w:line="380" w:lineRule="exact"/>
        <w:ind w:right="5040" w:firstLine="510"/>
        <w:jc w:val="left"/>
        <w:textAlignment w:val="auto"/>
        <w:rPr>
          <w:rFonts w:ascii="宋体" w:hAnsi="宋体" w:cs="宋体"/>
          <w:highlight w:val="none"/>
        </w:rPr>
      </w:pPr>
      <w:r>
        <w:rPr>
          <w:rFonts w:hint="eastAsia" w:ascii="宋体" w:hAnsi="宋体" w:cs="MS PGothic"/>
          <w:highlight w:val="none"/>
        </w:rPr>
        <w:t>（4）</w:t>
      </w:r>
      <w:r>
        <w:rPr>
          <w:rFonts w:hint="eastAsia" w:ascii="宋体" w:hAnsi="宋体" w:cs="宋体"/>
          <w:highlight w:val="none"/>
        </w:rPr>
        <w:t>通用合同条款</w:t>
      </w:r>
      <w:r>
        <w:rPr>
          <w:rFonts w:hint="eastAsia" w:ascii="宋体" w:hAnsi="宋体" w:cs="MS PGothic"/>
          <w:highlight w:val="none"/>
        </w:rPr>
        <w:t>；</w:t>
      </w:r>
    </w:p>
    <w:p w14:paraId="1E119F2D">
      <w:pPr>
        <w:keepNext w:val="0"/>
        <w:keepLines w:val="0"/>
        <w:pageBreakBefore w:val="0"/>
        <w:widowControl w:val="0"/>
        <w:kinsoku/>
        <w:wordWrap/>
        <w:overflowPunct/>
        <w:topLinePunct w:val="0"/>
        <w:autoSpaceDE/>
        <w:autoSpaceDN/>
        <w:bidi w:val="0"/>
        <w:adjustRightInd/>
        <w:snapToGrid/>
        <w:spacing w:line="380" w:lineRule="exact"/>
        <w:ind w:right="5040" w:firstLine="510"/>
        <w:jc w:val="left"/>
        <w:textAlignment w:val="auto"/>
        <w:rPr>
          <w:rFonts w:ascii="宋体" w:hAnsi="宋体" w:cs="宋体"/>
          <w:highlight w:val="none"/>
        </w:rPr>
      </w:pPr>
      <w:r>
        <w:rPr>
          <w:rFonts w:hint="eastAsia" w:ascii="宋体" w:hAnsi="宋体" w:cs="MS PGothic"/>
          <w:highlight w:val="none"/>
        </w:rPr>
        <w:t>（5）</w:t>
      </w:r>
      <w:r>
        <w:rPr>
          <w:rFonts w:hint="eastAsia" w:ascii="宋体" w:hAnsi="宋体" w:cs="宋体"/>
          <w:highlight w:val="none"/>
        </w:rPr>
        <w:t>技术标准和要求</w:t>
      </w:r>
      <w:r>
        <w:rPr>
          <w:rFonts w:hint="eastAsia" w:ascii="宋体" w:hAnsi="宋体" w:cs="MS PGothic"/>
          <w:highlight w:val="none"/>
        </w:rPr>
        <w:t>；</w:t>
      </w:r>
      <w:r>
        <w:rPr>
          <w:rFonts w:hint="eastAsia" w:ascii="宋体" w:hAnsi="宋体" w:cs="宋体"/>
          <w:highlight w:val="none"/>
        </w:rPr>
        <w:t xml:space="preserve"> 　　</w:t>
      </w:r>
    </w:p>
    <w:p w14:paraId="0AED6BBC">
      <w:pPr>
        <w:keepNext w:val="0"/>
        <w:keepLines w:val="0"/>
        <w:pageBreakBefore w:val="0"/>
        <w:widowControl w:val="0"/>
        <w:kinsoku/>
        <w:wordWrap/>
        <w:overflowPunct/>
        <w:topLinePunct w:val="0"/>
        <w:autoSpaceDE/>
        <w:autoSpaceDN/>
        <w:bidi w:val="0"/>
        <w:adjustRightInd/>
        <w:snapToGrid/>
        <w:spacing w:line="380" w:lineRule="exact"/>
        <w:ind w:right="5040" w:firstLine="510"/>
        <w:jc w:val="left"/>
        <w:textAlignment w:val="auto"/>
        <w:rPr>
          <w:rFonts w:ascii="宋体" w:hAnsi="宋体" w:cs="宋体"/>
          <w:highlight w:val="none"/>
        </w:rPr>
      </w:pPr>
      <w:r>
        <w:rPr>
          <w:rFonts w:hint="eastAsia" w:ascii="宋体" w:hAnsi="宋体" w:cs="MS PGothic"/>
          <w:highlight w:val="none"/>
        </w:rPr>
        <w:t>（6）</w:t>
      </w:r>
      <w:r>
        <w:rPr>
          <w:rFonts w:hint="eastAsia" w:ascii="宋体" w:hAnsi="宋体" w:cs="宋体"/>
          <w:highlight w:val="none"/>
        </w:rPr>
        <w:t>图纸（如有）</w:t>
      </w:r>
      <w:r>
        <w:rPr>
          <w:rFonts w:hint="eastAsia" w:ascii="宋体" w:hAnsi="宋体" w:cs="MS PGothic"/>
          <w:highlight w:val="none"/>
        </w:rPr>
        <w:t>；</w:t>
      </w:r>
    </w:p>
    <w:p w14:paraId="49E019FB">
      <w:pPr>
        <w:keepNext w:val="0"/>
        <w:keepLines w:val="0"/>
        <w:pageBreakBefore w:val="0"/>
        <w:widowControl w:val="0"/>
        <w:kinsoku/>
        <w:wordWrap/>
        <w:overflowPunct/>
        <w:topLinePunct w:val="0"/>
        <w:autoSpaceDE/>
        <w:autoSpaceDN/>
        <w:bidi w:val="0"/>
        <w:adjustRightInd/>
        <w:snapToGrid/>
        <w:spacing w:line="380" w:lineRule="exact"/>
        <w:ind w:right="5040" w:firstLine="510"/>
        <w:jc w:val="left"/>
        <w:textAlignment w:val="auto"/>
        <w:rPr>
          <w:rFonts w:ascii="宋体" w:hAnsi="宋体" w:cs="宋体"/>
          <w:highlight w:val="none"/>
        </w:rPr>
      </w:pPr>
      <w:r>
        <w:rPr>
          <w:rFonts w:hint="eastAsia" w:ascii="宋体" w:hAnsi="宋体" w:cs="MS PGothic"/>
          <w:highlight w:val="none"/>
        </w:rPr>
        <w:t>（7）</w:t>
      </w:r>
      <w:r>
        <w:rPr>
          <w:rFonts w:hint="eastAsia" w:ascii="宋体" w:hAnsi="宋体" w:cs="宋体"/>
          <w:highlight w:val="none"/>
        </w:rPr>
        <w:t>其他合同文件。</w:t>
      </w:r>
    </w:p>
    <w:p w14:paraId="414BB5D3">
      <w:pPr>
        <w:keepNext w:val="0"/>
        <w:keepLines w:val="0"/>
        <w:pageBreakBefore w:val="0"/>
        <w:widowControl w:val="0"/>
        <w:kinsoku/>
        <w:wordWrap/>
        <w:overflowPunct/>
        <w:topLinePunct w:val="0"/>
        <w:autoSpaceDE/>
        <w:autoSpaceDN/>
        <w:bidi w:val="0"/>
        <w:adjustRightInd/>
        <w:snapToGrid/>
        <w:spacing w:line="380" w:lineRule="exact"/>
        <w:ind w:right="80" w:firstLine="405"/>
        <w:jc w:val="left"/>
        <w:textAlignment w:val="auto"/>
        <w:rPr>
          <w:rFonts w:ascii="宋体" w:hAnsi="宋体" w:cs="宋体"/>
          <w:highlight w:val="none"/>
        </w:rPr>
      </w:pPr>
      <w:r>
        <w:rPr>
          <w:rFonts w:hint="eastAsia" w:ascii="宋体" w:hAnsi="宋体" w:cs="宋体"/>
          <w:highlight w:val="none"/>
        </w:rPr>
        <w:t>在合同订立及履行过程中形成的与合同有关的文件均构成合同文件组成部分。 　　</w:t>
      </w:r>
    </w:p>
    <w:p w14:paraId="5CFD1C03">
      <w:pPr>
        <w:keepNext w:val="0"/>
        <w:keepLines w:val="0"/>
        <w:pageBreakBefore w:val="0"/>
        <w:widowControl w:val="0"/>
        <w:kinsoku/>
        <w:wordWrap/>
        <w:overflowPunct/>
        <w:topLinePunct w:val="0"/>
        <w:autoSpaceDE/>
        <w:autoSpaceDN/>
        <w:bidi w:val="0"/>
        <w:adjustRightInd/>
        <w:snapToGrid/>
        <w:spacing w:line="380" w:lineRule="exact"/>
        <w:ind w:right="140" w:firstLine="510"/>
        <w:jc w:val="left"/>
        <w:textAlignment w:val="auto"/>
        <w:rPr>
          <w:rFonts w:ascii="宋体" w:hAnsi="宋体" w:cs="MS PGothic"/>
          <w:highlight w:val="none"/>
        </w:rPr>
      </w:pPr>
      <w:r>
        <w:rPr>
          <w:rFonts w:hint="eastAsia" w:ascii="宋体" w:hAnsi="宋体" w:cs="宋体"/>
          <w:highlight w:val="none"/>
        </w:rPr>
        <w:t>上述各项合同文件包括合同当事人就该项合同文件所作出的补充和修改</w:t>
      </w:r>
      <w:r>
        <w:rPr>
          <w:rFonts w:hint="eastAsia" w:ascii="宋体" w:hAnsi="宋体" w:cs="MS PGothic"/>
          <w:highlight w:val="none"/>
        </w:rPr>
        <w:t>，</w:t>
      </w:r>
      <w:r>
        <w:rPr>
          <w:rFonts w:hint="eastAsia" w:ascii="宋体" w:hAnsi="宋体" w:cs="宋体"/>
          <w:highlight w:val="none"/>
        </w:rPr>
        <w:t>属于同一类内容的</w:t>
      </w:r>
      <w:r>
        <w:rPr>
          <w:rFonts w:hint="eastAsia" w:ascii="宋体" w:hAnsi="宋体" w:cs="MS PGothic"/>
          <w:highlight w:val="none"/>
        </w:rPr>
        <w:t>文件，应以最新签署的为准。专用合同条款及其附件须经合同当事人签字或盖章。</w:t>
      </w:r>
    </w:p>
    <w:p w14:paraId="0AC01C7A">
      <w:pPr>
        <w:keepNext w:val="0"/>
        <w:keepLines w:val="0"/>
        <w:pageBreakBefore w:val="0"/>
        <w:widowControl w:val="0"/>
        <w:kinsoku/>
        <w:wordWrap/>
        <w:overflowPunct/>
        <w:topLinePunct w:val="0"/>
        <w:autoSpaceDE/>
        <w:autoSpaceDN/>
        <w:bidi w:val="0"/>
        <w:adjustRightInd/>
        <w:snapToGrid/>
        <w:spacing w:line="380" w:lineRule="exact"/>
        <w:ind w:right="140" w:firstLine="510"/>
        <w:jc w:val="left"/>
        <w:textAlignment w:val="auto"/>
        <w:rPr>
          <w:rFonts w:ascii="宋体" w:hAnsi="宋体" w:cs="MS PGothic"/>
          <w:highlight w:val="none"/>
        </w:rPr>
      </w:pPr>
      <w:r>
        <w:rPr>
          <w:rFonts w:hint="eastAsia" w:ascii="宋体" w:hAnsi="宋体" w:cs="MS PGothic"/>
          <w:highlight w:val="none"/>
        </w:rPr>
        <w:t>七、承诺</w:t>
      </w:r>
    </w:p>
    <w:p w14:paraId="4D5429AB">
      <w:pPr>
        <w:keepNext w:val="0"/>
        <w:keepLines w:val="0"/>
        <w:pageBreakBefore w:val="0"/>
        <w:widowControl w:val="0"/>
        <w:kinsoku/>
        <w:wordWrap/>
        <w:overflowPunct/>
        <w:topLinePunct w:val="0"/>
        <w:autoSpaceDE/>
        <w:autoSpaceDN/>
        <w:bidi w:val="0"/>
        <w:adjustRightInd/>
        <w:snapToGrid/>
        <w:spacing w:line="380" w:lineRule="exact"/>
        <w:ind w:right="140" w:firstLine="510"/>
        <w:jc w:val="left"/>
        <w:textAlignment w:val="auto"/>
        <w:rPr>
          <w:rFonts w:ascii="宋体" w:hAnsi="宋体" w:cs="MS PGothic"/>
          <w:highlight w:val="none"/>
        </w:rPr>
      </w:pPr>
      <w:r>
        <w:rPr>
          <w:rFonts w:hint="eastAsia" w:ascii="宋体" w:hAnsi="宋体" w:cs="MS PGothic"/>
          <w:highlight w:val="none"/>
        </w:rPr>
        <w:t>1.发包人承诺按照法律规定履行项目审批手续、筹集工程建设资金并按照合同约定的期限和方式支付合同价款。 　　</w:t>
      </w:r>
    </w:p>
    <w:p w14:paraId="4CD187EB">
      <w:pPr>
        <w:keepNext w:val="0"/>
        <w:keepLines w:val="0"/>
        <w:pageBreakBefore w:val="0"/>
        <w:widowControl w:val="0"/>
        <w:kinsoku/>
        <w:wordWrap/>
        <w:overflowPunct/>
        <w:topLinePunct w:val="0"/>
        <w:autoSpaceDE/>
        <w:autoSpaceDN/>
        <w:bidi w:val="0"/>
        <w:adjustRightInd/>
        <w:snapToGrid/>
        <w:spacing w:line="380" w:lineRule="exact"/>
        <w:ind w:right="140" w:firstLine="510"/>
        <w:jc w:val="left"/>
        <w:textAlignment w:val="auto"/>
        <w:rPr>
          <w:rFonts w:ascii="宋体" w:hAnsi="宋体"/>
          <w:highlight w:val="none"/>
        </w:rPr>
      </w:pPr>
      <w:r>
        <w:rPr>
          <w:rFonts w:hint="eastAsia" w:ascii="宋体" w:hAnsi="宋体" w:cs="MS PGothic"/>
          <w:highlight w:val="none"/>
        </w:rPr>
        <w:t>2.</w:t>
      </w:r>
      <w:r>
        <w:rPr>
          <w:rFonts w:hint="eastAsia" w:ascii="宋体" w:hAnsi="宋体"/>
          <w:highlight w:val="none"/>
        </w:rPr>
        <w:t>承包人承诺按照法律规定及合同约定组织完成工程的设计、采购和施工等工作，确保工程质量和安全，不进行转包及违法分包，并在缺陷责任期及保修期内承担相应的工程维修责任。</w:t>
      </w:r>
    </w:p>
    <w:p w14:paraId="178BFCA3">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highlight w:val="none"/>
        </w:rPr>
      </w:pPr>
      <w:bookmarkStart w:id="131" w:name="page4"/>
      <w:bookmarkEnd w:id="131"/>
      <w:r>
        <w:rPr>
          <w:rFonts w:hint="eastAsia" w:ascii="宋体" w:hAnsi="宋体" w:cs="宋体"/>
          <w:highlight w:val="none"/>
        </w:rPr>
        <w:t>　　八、词语含义</w:t>
      </w:r>
    </w:p>
    <w:p w14:paraId="06FF1EB3">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本协议书中词语含义与第二部分通用合同条款中赋予的含义相同。</w:t>
      </w:r>
    </w:p>
    <w:p w14:paraId="66AFCB98">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九、签订时间</w:t>
      </w:r>
    </w:p>
    <w:p w14:paraId="4524597D">
      <w:pPr>
        <w:pStyle w:val="103"/>
        <w:keepNext w:val="0"/>
        <w:keepLines w:val="0"/>
        <w:pageBreakBefore w:val="0"/>
        <w:widowControl w:val="0"/>
        <w:kinsoku/>
        <w:wordWrap/>
        <w:overflowPunct/>
        <w:topLinePunct w:val="0"/>
        <w:autoSpaceDE/>
        <w:autoSpaceDN/>
        <w:bidi w:val="0"/>
        <w:adjustRightInd/>
        <w:snapToGrid/>
        <w:spacing w:line="380" w:lineRule="exact"/>
        <w:textAlignment w:val="auto"/>
        <w:rPr>
          <w:rFonts w:hint="default"/>
          <w:highlight w:val="none"/>
        </w:rPr>
      </w:pPr>
      <w:r>
        <w:rPr>
          <w:highlight w:val="none"/>
          <w:u w:val="none"/>
        </w:rPr>
        <w:t>　　本合同于</w:t>
      </w:r>
      <w:r>
        <w:rPr>
          <w:highlight w:val="none"/>
        </w:rPr>
        <w:t xml:space="preserve">                          签订。</w:t>
      </w:r>
    </w:p>
    <w:p w14:paraId="32CE88C1">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十、签订地点</w:t>
      </w:r>
    </w:p>
    <w:p w14:paraId="7E498C0A">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highlight w:val="none"/>
        </w:rPr>
      </w:pPr>
      <w:r>
        <w:rPr>
          <w:rFonts w:hint="eastAsia" w:ascii="宋体" w:hAnsi="宋体" w:cs="宋体"/>
          <w:highlight w:val="none"/>
        </w:rPr>
        <w:t>　　本合同在</w:t>
      </w:r>
      <w:r>
        <w:rPr>
          <w:rFonts w:hint="eastAsia" w:ascii="宋体" w:hAnsi="宋体" w:cs="宋体"/>
          <w:highlight w:val="none"/>
          <w:u w:val="single"/>
        </w:rPr>
        <w:t xml:space="preserve">                         </w:t>
      </w:r>
      <w:r>
        <w:rPr>
          <w:rFonts w:hint="eastAsia" w:ascii="宋体" w:hAnsi="宋体" w:cs="宋体"/>
          <w:highlight w:val="none"/>
        </w:rPr>
        <w:t>签订。</w:t>
      </w:r>
    </w:p>
    <w:p w14:paraId="77CA5977">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ascii="宋体" w:hAnsi="宋体" w:cs="宋体"/>
          <w:highlight w:val="none"/>
        </w:rPr>
      </w:pPr>
      <w:r>
        <w:rPr>
          <w:rFonts w:hint="eastAsia" w:ascii="宋体" w:hAnsi="宋体" w:cs="宋体"/>
          <w:highlight w:val="none"/>
        </w:rPr>
        <w:t>十一、补充协议 　　</w:t>
      </w:r>
    </w:p>
    <w:p w14:paraId="70B32978">
      <w:pPr>
        <w:keepNext w:val="0"/>
        <w:keepLines w:val="0"/>
        <w:pageBreakBefore w:val="0"/>
        <w:widowControl w:val="0"/>
        <w:kinsoku/>
        <w:wordWrap/>
        <w:overflowPunct/>
        <w:topLinePunct w:val="0"/>
        <w:autoSpaceDE/>
        <w:autoSpaceDN/>
        <w:bidi w:val="0"/>
        <w:adjustRightInd/>
        <w:snapToGrid/>
        <w:spacing w:line="380" w:lineRule="exact"/>
        <w:ind w:left="615" w:hanging="105"/>
        <w:jc w:val="left"/>
        <w:textAlignment w:val="auto"/>
        <w:rPr>
          <w:rFonts w:ascii="宋体" w:hAnsi="宋体" w:cs="宋体"/>
          <w:highlight w:val="none"/>
        </w:rPr>
      </w:pPr>
      <w:r>
        <w:rPr>
          <w:rFonts w:hint="eastAsia" w:ascii="宋体" w:hAnsi="宋体" w:cs="宋体"/>
          <w:highlight w:val="none"/>
        </w:rPr>
        <w:t>合同未尽事宜</w:t>
      </w:r>
      <w:r>
        <w:rPr>
          <w:rFonts w:hint="eastAsia" w:ascii="宋体" w:hAnsi="宋体" w:cs="MS PGothic"/>
          <w:highlight w:val="none"/>
        </w:rPr>
        <w:t>，</w:t>
      </w:r>
      <w:r>
        <w:rPr>
          <w:rFonts w:hint="eastAsia" w:ascii="宋体" w:hAnsi="宋体" w:cs="宋体"/>
          <w:highlight w:val="none"/>
        </w:rPr>
        <w:t>合同当事人另行签订补充协议</w:t>
      </w:r>
      <w:r>
        <w:rPr>
          <w:rFonts w:hint="eastAsia" w:ascii="宋体" w:hAnsi="宋体" w:cs="MS PGothic"/>
          <w:highlight w:val="none"/>
        </w:rPr>
        <w:t>，</w:t>
      </w:r>
      <w:r>
        <w:rPr>
          <w:rFonts w:hint="eastAsia" w:ascii="宋体" w:hAnsi="宋体" w:cs="宋体"/>
          <w:highlight w:val="none"/>
        </w:rPr>
        <w:t xml:space="preserve">补充协议是合同的组成部分。 </w:t>
      </w:r>
    </w:p>
    <w:p w14:paraId="5C3F5584">
      <w:pPr>
        <w:keepNext w:val="0"/>
        <w:keepLines w:val="0"/>
        <w:pageBreakBefore w:val="0"/>
        <w:widowControl w:val="0"/>
        <w:kinsoku/>
        <w:wordWrap/>
        <w:overflowPunct/>
        <w:topLinePunct w:val="0"/>
        <w:autoSpaceDE/>
        <w:autoSpaceDN/>
        <w:bidi w:val="0"/>
        <w:adjustRightInd/>
        <w:snapToGrid/>
        <w:spacing w:line="380" w:lineRule="exact"/>
        <w:ind w:firstLine="420"/>
        <w:jc w:val="left"/>
        <w:textAlignment w:val="auto"/>
        <w:rPr>
          <w:rFonts w:ascii="宋体" w:hAnsi="宋体" w:cs="宋体"/>
          <w:highlight w:val="none"/>
        </w:rPr>
      </w:pPr>
      <w:r>
        <w:rPr>
          <w:rFonts w:hint="eastAsia" w:ascii="宋体" w:hAnsi="宋体" w:cs="宋体"/>
          <w:highlight w:val="none"/>
        </w:rPr>
        <w:t>十二、合同生效 　　</w:t>
      </w:r>
    </w:p>
    <w:p w14:paraId="06B29C96">
      <w:pPr>
        <w:keepNext w:val="0"/>
        <w:keepLines w:val="0"/>
        <w:pageBreakBefore w:val="0"/>
        <w:widowControl w:val="0"/>
        <w:kinsoku/>
        <w:wordWrap/>
        <w:overflowPunct/>
        <w:topLinePunct w:val="0"/>
        <w:autoSpaceDE/>
        <w:autoSpaceDN/>
        <w:bidi w:val="0"/>
        <w:adjustRightInd/>
        <w:snapToGrid/>
        <w:spacing w:line="380" w:lineRule="exact"/>
        <w:ind w:left="615" w:hanging="105"/>
        <w:jc w:val="left"/>
        <w:textAlignment w:val="auto"/>
        <w:rPr>
          <w:rFonts w:ascii="宋体" w:hAnsi="宋体"/>
          <w:highlight w:val="none"/>
        </w:rPr>
      </w:pPr>
      <w:r>
        <w:rPr>
          <w:rFonts w:hint="eastAsia" w:ascii="宋体" w:hAnsi="宋体" w:cs="宋体"/>
          <w:highlight w:val="none"/>
        </w:rPr>
        <w:t>本合同自</w:t>
      </w:r>
      <w:r>
        <w:rPr>
          <w:rFonts w:hint="eastAsia" w:ascii="宋体" w:hAnsi="宋体" w:cs="宋体"/>
          <w:highlight w:val="none"/>
          <w:u w:val="single"/>
        </w:rPr>
        <w:t xml:space="preserve"> 双方签字盖章后 </w:t>
      </w:r>
      <w:r>
        <w:rPr>
          <w:rFonts w:hint="eastAsia" w:ascii="宋体" w:hAnsi="宋体" w:cs="宋体"/>
          <w:highlight w:val="none"/>
        </w:rPr>
        <w:t>生效。</w:t>
      </w:r>
    </w:p>
    <w:p w14:paraId="449A6B50">
      <w:pPr>
        <w:keepNext w:val="0"/>
        <w:keepLines w:val="0"/>
        <w:pageBreakBefore w:val="0"/>
        <w:widowControl w:val="0"/>
        <w:kinsoku/>
        <w:wordWrap/>
        <w:overflowPunct/>
        <w:topLinePunct w:val="0"/>
        <w:autoSpaceDE/>
        <w:autoSpaceDN/>
        <w:bidi w:val="0"/>
        <w:adjustRightInd/>
        <w:snapToGrid/>
        <w:spacing w:line="380" w:lineRule="exact"/>
        <w:ind w:right="1240" w:firstLine="510"/>
        <w:jc w:val="left"/>
        <w:textAlignment w:val="auto"/>
        <w:rPr>
          <w:rFonts w:ascii="宋体" w:hAnsi="宋体" w:cs="宋体"/>
          <w:highlight w:val="none"/>
        </w:rPr>
      </w:pPr>
      <w:r>
        <w:rPr>
          <w:rFonts w:hint="eastAsia" w:ascii="宋体" w:hAnsi="宋体" w:cs="宋体"/>
          <w:highlight w:val="none"/>
        </w:rPr>
        <w:t>十三、合同份数 　　</w:t>
      </w:r>
    </w:p>
    <w:p w14:paraId="124A08B8">
      <w:pPr>
        <w:keepNext w:val="0"/>
        <w:keepLines w:val="0"/>
        <w:pageBreakBefore w:val="0"/>
        <w:widowControl w:val="0"/>
        <w:kinsoku/>
        <w:wordWrap/>
        <w:overflowPunct/>
        <w:topLinePunct w:val="0"/>
        <w:autoSpaceDE/>
        <w:autoSpaceDN/>
        <w:bidi w:val="0"/>
        <w:adjustRightInd/>
        <w:snapToGrid/>
        <w:spacing w:line="380" w:lineRule="exact"/>
        <w:ind w:right="1240" w:firstLine="510"/>
        <w:jc w:val="left"/>
        <w:textAlignment w:val="auto"/>
        <w:rPr>
          <w:rFonts w:ascii="宋体" w:hAnsi="宋体"/>
          <w:sz w:val="24"/>
          <w:highlight w:val="none"/>
        </w:rPr>
      </w:pPr>
      <w:r>
        <w:rPr>
          <w:rFonts w:hint="eastAsia" w:ascii="宋体" w:hAnsi="宋体" w:cs="宋体"/>
          <w:highlight w:val="none"/>
        </w:rPr>
        <w:t>本合同一式</w:t>
      </w:r>
      <w:r>
        <w:rPr>
          <w:rFonts w:hint="eastAsia" w:ascii="宋体" w:hAnsi="宋体" w:cs="宋体"/>
          <w:highlight w:val="none"/>
          <w:u w:val="single"/>
        </w:rPr>
        <w:t xml:space="preserve"> </w:t>
      </w:r>
      <w:r>
        <w:rPr>
          <w:rFonts w:hint="eastAsia" w:ascii="宋体" w:hAnsi="宋体" w:cs="宋体"/>
          <w:highlight w:val="none"/>
          <w:u w:val="single"/>
          <w:lang w:val="en-US" w:eastAsia="zh-CN"/>
        </w:rPr>
        <w:t>捌</w:t>
      </w:r>
      <w:r>
        <w:rPr>
          <w:rFonts w:hint="eastAsia" w:ascii="宋体" w:hAnsi="宋体" w:cs="宋体"/>
          <w:highlight w:val="none"/>
          <w:u w:val="single"/>
        </w:rPr>
        <w:t xml:space="preserve"> </w:t>
      </w:r>
      <w:r>
        <w:rPr>
          <w:rFonts w:hint="eastAsia" w:ascii="宋体" w:hAnsi="宋体" w:cs="宋体"/>
          <w:highlight w:val="none"/>
        </w:rPr>
        <w:t>份</w:t>
      </w:r>
      <w:r>
        <w:rPr>
          <w:rFonts w:hint="eastAsia" w:ascii="宋体" w:hAnsi="宋体" w:cs="MS PGothic"/>
          <w:highlight w:val="none"/>
        </w:rPr>
        <w:t>，</w:t>
      </w:r>
      <w:r>
        <w:rPr>
          <w:rFonts w:hint="eastAsia" w:ascii="宋体" w:hAnsi="宋体" w:cs="宋体"/>
          <w:highlight w:val="none"/>
        </w:rPr>
        <w:t>均具有同等法律效力</w:t>
      </w:r>
      <w:r>
        <w:rPr>
          <w:rFonts w:hint="eastAsia" w:ascii="宋体" w:hAnsi="宋体" w:cs="MS PGothic"/>
          <w:highlight w:val="none"/>
        </w:rPr>
        <w:t>，</w:t>
      </w:r>
      <w:r>
        <w:rPr>
          <w:rFonts w:hint="eastAsia" w:ascii="宋体" w:hAnsi="宋体" w:cs="宋体"/>
          <w:highlight w:val="none"/>
        </w:rPr>
        <w:t xml:space="preserve"> 发包人执</w:t>
      </w:r>
      <w:r>
        <w:rPr>
          <w:rFonts w:hint="eastAsia" w:ascii="宋体" w:hAnsi="宋体" w:cs="宋体"/>
          <w:highlight w:val="none"/>
          <w:u w:val="single"/>
        </w:rPr>
        <w:t xml:space="preserve"> </w:t>
      </w:r>
      <w:r>
        <w:rPr>
          <w:rFonts w:hint="eastAsia" w:ascii="宋体" w:hAnsi="宋体" w:cs="宋体"/>
          <w:highlight w:val="none"/>
          <w:u w:val="single"/>
          <w:lang w:val="en-US" w:eastAsia="zh-CN"/>
        </w:rPr>
        <w:t>肆</w:t>
      </w:r>
      <w:r>
        <w:rPr>
          <w:rFonts w:hint="eastAsia" w:ascii="宋体" w:hAnsi="宋体" w:cs="宋体"/>
          <w:highlight w:val="none"/>
          <w:u w:val="single"/>
        </w:rPr>
        <w:t xml:space="preserve"> </w:t>
      </w:r>
      <w:r>
        <w:rPr>
          <w:rFonts w:hint="eastAsia" w:ascii="宋体" w:hAnsi="宋体" w:cs="宋体"/>
          <w:highlight w:val="none"/>
        </w:rPr>
        <w:t>份</w:t>
      </w:r>
      <w:r>
        <w:rPr>
          <w:rFonts w:hint="eastAsia" w:ascii="宋体" w:hAnsi="宋体" w:cs="MS PGothic"/>
          <w:highlight w:val="none"/>
        </w:rPr>
        <w:t>，</w:t>
      </w:r>
      <w:r>
        <w:rPr>
          <w:rFonts w:hint="eastAsia" w:ascii="宋体" w:hAnsi="宋体" w:cs="宋体"/>
          <w:highlight w:val="none"/>
        </w:rPr>
        <w:t xml:space="preserve">承包人执 </w:t>
      </w:r>
      <w:r>
        <w:rPr>
          <w:rFonts w:hint="eastAsia" w:ascii="宋体" w:hAnsi="宋体" w:cs="宋体"/>
          <w:highlight w:val="none"/>
          <w:u w:val="single"/>
          <w:lang w:val="en-US" w:eastAsia="zh-CN"/>
        </w:rPr>
        <w:t>肆</w:t>
      </w:r>
      <w:r>
        <w:rPr>
          <w:rFonts w:hint="eastAsia" w:ascii="宋体" w:hAnsi="宋体" w:cs="宋体"/>
          <w:highlight w:val="none"/>
          <w:u w:val="single"/>
        </w:rPr>
        <w:t xml:space="preserve"> </w:t>
      </w:r>
      <w:r>
        <w:rPr>
          <w:rFonts w:hint="eastAsia" w:ascii="宋体" w:hAnsi="宋体" w:cs="宋体"/>
          <w:highlight w:val="none"/>
        </w:rPr>
        <w:t>份。</w:t>
      </w:r>
    </w:p>
    <w:p w14:paraId="7670759E">
      <w:pPr>
        <w:keepNext w:val="0"/>
        <w:keepLines w:val="0"/>
        <w:pageBreakBefore w:val="0"/>
        <w:widowControl w:val="0"/>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发包人：  (公章)                             承包人：  (公章)</w:t>
      </w:r>
    </w:p>
    <w:p w14:paraId="06C5D7D6">
      <w:pPr>
        <w:keepNext w:val="0"/>
        <w:keepLines w:val="0"/>
        <w:pageBreakBefore w:val="0"/>
        <w:widowControl w:val="0"/>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法定代表人或其委托代理人：                   法定代表人或其委托代理人：</w:t>
      </w:r>
    </w:p>
    <w:p w14:paraId="4267BCB0">
      <w:pPr>
        <w:keepNext w:val="0"/>
        <w:keepLines w:val="0"/>
        <w:pageBreakBefore w:val="0"/>
        <w:widowControl w:val="0"/>
        <w:kinsoku/>
        <w:wordWrap/>
        <w:overflowPunct/>
        <w:topLinePunct w:val="0"/>
        <w:autoSpaceDE/>
        <w:autoSpaceDN/>
        <w:bidi w:val="0"/>
        <w:adjustRightInd/>
        <w:snapToGrid/>
        <w:spacing w:line="380" w:lineRule="exact"/>
        <w:ind w:firstLine="105"/>
        <w:textAlignment w:val="auto"/>
        <w:rPr>
          <w:rFonts w:ascii="宋体" w:hAnsi="宋体"/>
          <w:highlight w:val="none"/>
          <w:u w:val="single"/>
        </w:rPr>
      </w:pPr>
      <w:r>
        <w:rPr>
          <w:rFonts w:hint="eastAsia" w:ascii="宋体" w:hAnsi="宋体"/>
          <w:highlight w:val="none"/>
        </w:rPr>
        <w:t>（签字或盖章）                                （签字或盖章）</w:t>
      </w:r>
    </w:p>
    <w:p w14:paraId="599AAABA">
      <w:pPr>
        <w:keepNext w:val="0"/>
        <w:keepLines w:val="0"/>
        <w:pageBreakBefore w:val="0"/>
        <w:widowControl w:val="0"/>
        <w:tabs>
          <w:tab w:val="left" w:pos="4410"/>
        </w:tabs>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组织机构代码：</w:t>
      </w:r>
      <w:r>
        <w:rPr>
          <w:rFonts w:hint="eastAsia" w:ascii="宋体" w:hAnsi="宋体"/>
          <w:highlight w:val="none"/>
          <w:u w:val="single"/>
        </w:rPr>
        <w:t xml:space="preserve">       </w:t>
      </w:r>
      <w:r>
        <w:rPr>
          <w:rFonts w:hint="eastAsia" w:ascii="宋体" w:hAnsi="宋体"/>
          <w:highlight w:val="none"/>
        </w:rPr>
        <w:t xml:space="preserve">                        组织机构代码：</w:t>
      </w:r>
      <w:r>
        <w:rPr>
          <w:rFonts w:hint="eastAsia" w:ascii="宋体" w:hAnsi="宋体"/>
          <w:highlight w:val="none"/>
          <w:u w:val="single"/>
        </w:rPr>
        <w:t xml:space="preserve">          </w:t>
      </w:r>
      <w:r>
        <w:rPr>
          <w:rFonts w:hint="eastAsia" w:ascii="宋体" w:hAnsi="宋体"/>
          <w:highlight w:val="none"/>
        </w:rPr>
        <w:t xml:space="preserve"> </w:t>
      </w:r>
    </w:p>
    <w:p w14:paraId="1F2989AB">
      <w:pPr>
        <w:keepNext w:val="0"/>
        <w:keepLines w:val="0"/>
        <w:pageBreakBefore w:val="0"/>
        <w:widowControl w:val="0"/>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地  址：</w:t>
      </w:r>
      <w:r>
        <w:rPr>
          <w:rFonts w:hint="eastAsia" w:ascii="宋体" w:hAnsi="宋体"/>
          <w:highlight w:val="none"/>
          <w:u w:val="single"/>
        </w:rPr>
        <w:t xml:space="preserve">             </w:t>
      </w:r>
      <w:r>
        <w:rPr>
          <w:rFonts w:hint="eastAsia" w:ascii="宋体" w:hAnsi="宋体"/>
          <w:highlight w:val="none"/>
        </w:rPr>
        <w:t xml:space="preserve">                        地  址：</w:t>
      </w:r>
      <w:r>
        <w:rPr>
          <w:rFonts w:hint="eastAsia" w:ascii="宋体" w:hAnsi="宋体"/>
          <w:highlight w:val="none"/>
          <w:u w:val="single"/>
        </w:rPr>
        <w:t xml:space="preserve">                </w:t>
      </w:r>
    </w:p>
    <w:p w14:paraId="5FF15C99">
      <w:pPr>
        <w:keepNext w:val="0"/>
        <w:keepLines w:val="0"/>
        <w:pageBreakBefore w:val="0"/>
        <w:widowControl w:val="0"/>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邮政编码：</w:t>
      </w:r>
      <w:r>
        <w:rPr>
          <w:rFonts w:hint="eastAsia" w:ascii="宋体" w:hAnsi="宋体"/>
          <w:highlight w:val="none"/>
          <w:u w:val="single"/>
        </w:rPr>
        <w:t xml:space="preserve">          </w:t>
      </w:r>
      <w:r>
        <w:rPr>
          <w:rFonts w:hint="eastAsia" w:ascii="宋体" w:hAnsi="宋体"/>
          <w:highlight w:val="none"/>
        </w:rPr>
        <w:t xml:space="preserve">                         邮政编码：</w:t>
      </w:r>
      <w:r>
        <w:rPr>
          <w:rFonts w:hint="eastAsia" w:ascii="宋体" w:hAnsi="宋体"/>
          <w:highlight w:val="none"/>
          <w:u w:val="single"/>
        </w:rPr>
        <w:t xml:space="preserve">                   </w:t>
      </w:r>
    </w:p>
    <w:p w14:paraId="3587424A">
      <w:pPr>
        <w:keepNext w:val="0"/>
        <w:keepLines w:val="0"/>
        <w:pageBreakBefore w:val="0"/>
        <w:widowControl w:val="0"/>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法定代表人：</w:t>
      </w:r>
      <w:r>
        <w:rPr>
          <w:rFonts w:hint="eastAsia" w:ascii="宋体" w:hAnsi="宋体"/>
          <w:highlight w:val="none"/>
          <w:u w:val="single"/>
        </w:rPr>
        <w:t xml:space="preserve">         </w:t>
      </w:r>
      <w:r>
        <w:rPr>
          <w:rFonts w:hint="eastAsia" w:ascii="宋体" w:hAnsi="宋体"/>
          <w:highlight w:val="none"/>
        </w:rPr>
        <w:t xml:space="preserve">                        法定代表人：</w:t>
      </w:r>
      <w:r>
        <w:rPr>
          <w:rFonts w:hint="eastAsia" w:ascii="宋体" w:hAnsi="宋体"/>
          <w:highlight w:val="none"/>
          <w:u w:val="single"/>
        </w:rPr>
        <w:t xml:space="preserve">               </w:t>
      </w:r>
    </w:p>
    <w:p w14:paraId="68317E74">
      <w:pPr>
        <w:keepNext w:val="0"/>
        <w:keepLines w:val="0"/>
        <w:pageBreakBefore w:val="0"/>
        <w:widowControl w:val="0"/>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委托代理人：</w:t>
      </w:r>
      <w:r>
        <w:rPr>
          <w:rFonts w:hint="eastAsia" w:ascii="宋体" w:hAnsi="宋体"/>
          <w:highlight w:val="none"/>
          <w:u w:val="single"/>
        </w:rPr>
        <w:t xml:space="preserve">          </w:t>
      </w:r>
      <w:r>
        <w:rPr>
          <w:rFonts w:hint="eastAsia" w:ascii="宋体" w:hAnsi="宋体"/>
          <w:highlight w:val="none"/>
        </w:rPr>
        <w:t xml:space="preserve">                       委托代理人：</w:t>
      </w:r>
      <w:r>
        <w:rPr>
          <w:rFonts w:hint="eastAsia" w:ascii="宋体" w:hAnsi="宋体"/>
          <w:highlight w:val="none"/>
          <w:u w:val="single"/>
        </w:rPr>
        <w:t xml:space="preserve">                  </w:t>
      </w:r>
    </w:p>
    <w:p w14:paraId="5F684770">
      <w:pPr>
        <w:keepNext w:val="0"/>
        <w:keepLines w:val="0"/>
        <w:pageBreakBefore w:val="0"/>
        <w:widowControl w:val="0"/>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电  话：</w:t>
      </w:r>
      <w:r>
        <w:rPr>
          <w:rFonts w:hint="eastAsia" w:ascii="宋体" w:hAnsi="宋体"/>
          <w:highlight w:val="none"/>
          <w:u w:val="single"/>
        </w:rPr>
        <w:t xml:space="preserve">               </w:t>
      </w:r>
      <w:r>
        <w:rPr>
          <w:rFonts w:hint="eastAsia" w:ascii="宋体" w:hAnsi="宋体"/>
          <w:highlight w:val="none"/>
        </w:rPr>
        <w:t xml:space="preserve">                      电  话：</w:t>
      </w:r>
      <w:r>
        <w:rPr>
          <w:rFonts w:hint="eastAsia" w:ascii="宋体" w:hAnsi="宋体"/>
          <w:highlight w:val="none"/>
          <w:u w:val="single"/>
        </w:rPr>
        <w:t xml:space="preserve">                     </w:t>
      </w:r>
    </w:p>
    <w:p w14:paraId="7E861F60">
      <w:pPr>
        <w:keepNext w:val="0"/>
        <w:keepLines w:val="0"/>
        <w:pageBreakBefore w:val="0"/>
        <w:widowControl w:val="0"/>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传  真：</w:t>
      </w:r>
      <w:r>
        <w:rPr>
          <w:rFonts w:hint="eastAsia" w:ascii="宋体" w:hAnsi="宋体"/>
          <w:highlight w:val="none"/>
          <w:u w:val="single"/>
        </w:rPr>
        <w:t xml:space="preserve">                 </w:t>
      </w:r>
      <w:r>
        <w:rPr>
          <w:rFonts w:hint="eastAsia" w:ascii="宋体" w:hAnsi="宋体"/>
          <w:highlight w:val="none"/>
        </w:rPr>
        <w:t xml:space="preserve">                    传  真：</w:t>
      </w:r>
      <w:r>
        <w:rPr>
          <w:rFonts w:hint="eastAsia" w:ascii="宋体" w:hAnsi="宋体"/>
          <w:highlight w:val="none"/>
          <w:u w:val="single"/>
        </w:rPr>
        <w:t xml:space="preserve">                      </w:t>
      </w:r>
    </w:p>
    <w:p w14:paraId="612410FE">
      <w:pPr>
        <w:keepNext w:val="0"/>
        <w:keepLines w:val="0"/>
        <w:pageBreakBefore w:val="0"/>
        <w:widowControl w:val="0"/>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电子信箱：</w:t>
      </w:r>
      <w:r>
        <w:rPr>
          <w:rFonts w:hint="eastAsia" w:ascii="宋体" w:hAnsi="宋体"/>
          <w:highlight w:val="none"/>
          <w:u w:val="single"/>
        </w:rPr>
        <w:t xml:space="preserve">                 </w:t>
      </w:r>
      <w:r>
        <w:rPr>
          <w:rFonts w:hint="eastAsia" w:ascii="宋体" w:hAnsi="宋体"/>
          <w:highlight w:val="none"/>
        </w:rPr>
        <w:t xml:space="preserve">                  电子信箱：</w:t>
      </w:r>
      <w:r>
        <w:rPr>
          <w:rFonts w:hint="eastAsia" w:ascii="宋体" w:hAnsi="宋体"/>
          <w:highlight w:val="none"/>
          <w:u w:val="single"/>
        </w:rPr>
        <w:t xml:space="preserve">                  </w:t>
      </w:r>
    </w:p>
    <w:p w14:paraId="061448DA">
      <w:pPr>
        <w:keepNext w:val="0"/>
        <w:keepLines w:val="0"/>
        <w:pageBreakBefore w:val="0"/>
        <w:widowControl w:val="0"/>
        <w:kinsoku/>
        <w:wordWrap/>
        <w:overflowPunct/>
        <w:topLinePunct w:val="0"/>
        <w:autoSpaceDE/>
        <w:autoSpaceDN/>
        <w:bidi w:val="0"/>
        <w:adjustRightInd/>
        <w:snapToGrid/>
        <w:spacing w:line="380" w:lineRule="exact"/>
        <w:ind w:firstLine="210"/>
        <w:textAlignment w:val="auto"/>
        <w:rPr>
          <w:rFonts w:ascii="宋体" w:hAnsi="宋体"/>
          <w:highlight w:val="none"/>
        </w:rPr>
      </w:pPr>
      <w:r>
        <w:rPr>
          <w:rFonts w:hint="eastAsia" w:ascii="宋体" w:hAnsi="宋体"/>
          <w:highlight w:val="none"/>
        </w:rPr>
        <w:t>开户银行：</w:t>
      </w:r>
      <w:r>
        <w:rPr>
          <w:rFonts w:hint="eastAsia" w:ascii="宋体" w:hAnsi="宋体"/>
          <w:highlight w:val="none"/>
          <w:u w:val="single"/>
        </w:rPr>
        <w:t xml:space="preserve">                 </w:t>
      </w:r>
      <w:r>
        <w:rPr>
          <w:rFonts w:hint="eastAsia" w:ascii="宋体" w:hAnsi="宋体"/>
          <w:highlight w:val="none"/>
        </w:rPr>
        <w:t xml:space="preserve">                  开户银行：</w:t>
      </w:r>
      <w:r>
        <w:rPr>
          <w:rFonts w:hint="eastAsia" w:ascii="宋体" w:hAnsi="宋体"/>
          <w:highlight w:val="none"/>
          <w:u w:val="single"/>
        </w:rPr>
        <w:t xml:space="preserve">                 </w:t>
      </w:r>
      <w:r>
        <w:rPr>
          <w:rFonts w:hint="eastAsia" w:ascii="宋体" w:hAnsi="宋体"/>
          <w:highlight w:val="none"/>
        </w:rPr>
        <w:t xml:space="preserve">  </w:t>
      </w:r>
    </w:p>
    <w:p w14:paraId="1DBEE3E7">
      <w:pPr>
        <w:keepNext w:val="0"/>
        <w:keepLines w:val="0"/>
        <w:pageBreakBefore w:val="0"/>
        <w:widowControl w:val="0"/>
        <w:kinsoku/>
        <w:wordWrap/>
        <w:overflowPunct/>
        <w:topLinePunct w:val="0"/>
        <w:autoSpaceDE/>
        <w:autoSpaceDN/>
        <w:bidi w:val="0"/>
        <w:adjustRightInd/>
        <w:snapToGrid/>
        <w:spacing w:line="380" w:lineRule="exact"/>
        <w:ind w:firstLine="210"/>
        <w:jc w:val="left"/>
        <w:textAlignment w:val="auto"/>
        <w:rPr>
          <w:rFonts w:ascii="宋体" w:hAnsi="宋体"/>
          <w:highlight w:val="none"/>
        </w:rPr>
      </w:pPr>
      <w:r>
        <w:rPr>
          <w:rFonts w:hint="eastAsia" w:ascii="宋体" w:hAnsi="宋体"/>
          <w:highlight w:val="none"/>
        </w:rPr>
        <w:t>账  号：</w:t>
      </w:r>
      <w:r>
        <w:rPr>
          <w:rFonts w:hint="eastAsia" w:ascii="宋体" w:hAnsi="宋体"/>
          <w:highlight w:val="none"/>
          <w:u w:val="single"/>
        </w:rPr>
        <w:t xml:space="preserve">                    </w:t>
      </w:r>
      <w:r>
        <w:rPr>
          <w:rFonts w:hint="eastAsia" w:ascii="宋体" w:hAnsi="宋体"/>
          <w:highlight w:val="none"/>
        </w:rPr>
        <w:t xml:space="preserve">                  账  号：</w:t>
      </w:r>
      <w:r>
        <w:rPr>
          <w:rFonts w:hint="eastAsia" w:ascii="宋体" w:hAnsi="宋体"/>
          <w:highlight w:val="none"/>
          <w:u w:val="single"/>
        </w:rPr>
        <w:t xml:space="preserve">                     </w:t>
      </w:r>
    </w:p>
    <w:p w14:paraId="0ED6CD71">
      <w:pPr>
        <w:spacing w:line="400" w:lineRule="exact"/>
        <w:jc w:val="left"/>
        <w:rPr>
          <w:rFonts w:ascii="宋体" w:hAnsi="宋体"/>
          <w:highlight w:val="none"/>
        </w:rPr>
      </w:pPr>
    </w:p>
    <w:p w14:paraId="05B921CF">
      <w:pPr>
        <w:pageBreakBefore/>
        <w:spacing w:line="400" w:lineRule="exact"/>
        <w:jc w:val="center"/>
        <w:rPr>
          <w:rFonts w:ascii="宋体" w:hAnsi="宋体"/>
          <w:b/>
          <w:sz w:val="30"/>
          <w:szCs w:val="30"/>
          <w:highlight w:val="none"/>
        </w:rPr>
      </w:pPr>
      <w:r>
        <w:rPr>
          <w:rFonts w:hint="eastAsia" w:ascii="宋体" w:hAnsi="宋体"/>
          <w:b/>
          <w:sz w:val="30"/>
          <w:szCs w:val="30"/>
          <w:highlight w:val="none"/>
        </w:rPr>
        <w:t>第二部分   通用合同条款</w:t>
      </w:r>
      <w:bookmarkStart w:id="132" w:name="page5"/>
      <w:bookmarkEnd w:id="132"/>
    </w:p>
    <w:p w14:paraId="4961E020">
      <w:pPr>
        <w:spacing w:line="400" w:lineRule="exact"/>
        <w:jc w:val="left"/>
        <w:rPr>
          <w:rFonts w:ascii="宋体" w:hAnsi="宋体" w:cs="宋体"/>
          <w:sz w:val="30"/>
          <w:szCs w:val="30"/>
          <w:highlight w:val="none"/>
        </w:rPr>
      </w:pPr>
    </w:p>
    <w:p w14:paraId="4E75B2CB">
      <w:pPr>
        <w:ind w:firstLine="480"/>
        <w:rPr>
          <w:rFonts w:hint="eastAsia" w:ascii="宋体" w:hAnsi="宋体" w:cs="宋体"/>
          <w:b/>
          <w:sz w:val="32"/>
          <w:szCs w:val="32"/>
          <w:highlight w:val="none"/>
        </w:rPr>
      </w:pPr>
      <w:r>
        <w:rPr>
          <w:rFonts w:hint="eastAsia" w:ascii="宋体" w:hAnsi="宋体"/>
          <w:sz w:val="24"/>
          <w:highlight w:val="none"/>
        </w:rPr>
        <w:t>同建设工程施工合同（示范文本）（GF—2017—0201）内的通用合同条款。</w:t>
      </w:r>
    </w:p>
    <w:p w14:paraId="00604353">
      <w:pPr>
        <w:widowControl/>
        <w:ind w:firstLine="321" w:firstLineChars="100"/>
        <w:jc w:val="center"/>
        <w:rPr>
          <w:rFonts w:ascii="宋体" w:hAnsi="宋体" w:cs="宋体"/>
          <w:highlight w:val="none"/>
        </w:rPr>
      </w:pPr>
      <w:r>
        <w:rPr>
          <w:rFonts w:hint="eastAsia" w:ascii="宋体" w:hAnsi="宋体" w:cs="宋体"/>
          <w:b/>
          <w:sz w:val="32"/>
          <w:szCs w:val="32"/>
          <w:highlight w:val="none"/>
        </w:rPr>
        <w:t>第三部分 专用合同条款</w:t>
      </w:r>
    </w:p>
    <w:p w14:paraId="3A8DFDD6">
      <w:pPr>
        <w:widowControl/>
        <w:spacing w:line="460" w:lineRule="exact"/>
        <w:ind w:firstLine="420" w:firstLineChars="200"/>
        <w:jc w:val="left"/>
        <w:rPr>
          <w:rFonts w:ascii="宋体" w:hAnsi="宋体" w:cs="宋体"/>
          <w:highlight w:val="none"/>
        </w:rPr>
      </w:pPr>
      <w:r>
        <w:rPr>
          <w:rFonts w:hint="eastAsia" w:ascii="宋体" w:hAnsi="宋体" w:cs="宋体"/>
          <w:highlight w:val="none"/>
        </w:rPr>
        <w:t>1. 一般约定</w:t>
      </w:r>
    </w:p>
    <w:p w14:paraId="465B4014">
      <w:pPr>
        <w:widowControl/>
        <w:spacing w:line="460" w:lineRule="exact"/>
        <w:ind w:firstLine="420" w:firstLineChars="200"/>
        <w:jc w:val="left"/>
        <w:rPr>
          <w:rFonts w:ascii="宋体" w:hAnsi="宋体" w:cs="宋体"/>
          <w:highlight w:val="none"/>
        </w:rPr>
      </w:pPr>
      <w:r>
        <w:rPr>
          <w:rFonts w:hint="eastAsia" w:ascii="宋体" w:hAnsi="宋体" w:cs="宋体"/>
          <w:highlight w:val="none"/>
        </w:rPr>
        <w:t>1.1 词语定义</w:t>
      </w:r>
    </w:p>
    <w:p w14:paraId="4A90D6E4">
      <w:pPr>
        <w:widowControl/>
        <w:spacing w:line="460" w:lineRule="exact"/>
        <w:ind w:firstLine="420" w:firstLineChars="200"/>
        <w:jc w:val="left"/>
        <w:rPr>
          <w:rFonts w:ascii="宋体" w:hAnsi="宋体" w:cs="宋体"/>
          <w:highlight w:val="none"/>
        </w:rPr>
      </w:pPr>
      <w:r>
        <w:rPr>
          <w:rFonts w:hint="eastAsia" w:ascii="宋体" w:hAnsi="宋体" w:cs="宋体"/>
          <w:highlight w:val="none"/>
        </w:rPr>
        <w:t>1.1.1合同</w:t>
      </w:r>
    </w:p>
    <w:p w14:paraId="5F0C59C0">
      <w:pPr>
        <w:widowControl/>
        <w:spacing w:line="460" w:lineRule="exact"/>
        <w:ind w:firstLine="420" w:firstLineChars="200"/>
        <w:jc w:val="left"/>
        <w:rPr>
          <w:rFonts w:ascii="宋体" w:hAnsi="宋体" w:cs="宋体"/>
          <w:highlight w:val="none"/>
        </w:rPr>
      </w:pPr>
      <w:r>
        <w:rPr>
          <w:rFonts w:hint="eastAsia" w:ascii="宋体" w:hAnsi="宋体" w:cs="宋体"/>
          <w:highlight w:val="none"/>
        </w:rPr>
        <w:t>1.1.1.10其他合同文件包括：</w:t>
      </w:r>
      <w:r>
        <w:rPr>
          <w:rFonts w:hint="eastAsia" w:ascii="宋体" w:hAnsi="宋体" w:cs="宋体"/>
          <w:highlight w:val="none"/>
          <w:u w:val="single"/>
        </w:rPr>
        <w:t>《招标文件》、《投标文件》、发包人的工程量清单及最高限价文件（预算书）。合同履行中，发包人承包人有关工程的洽商、变更等书面协议或文件视为本合同专用条款的组成部分。若对同一问题合同文件出现矛盾和含糊，则以时间在后的文件或条款为准。</w:t>
      </w:r>
    </w:p>
    <w:p w14:paraId="4F744E58">
      <w:pPr>
        <w:widowControl/>
        <w:spacing w:line="460" w:lineRule="exact"/>
        <w:ind w:firstLine="420" w:firstLineChars="200"/>
        <w:jc w:val="left"/>
        <w:rPr>
          <w:rFonts w:ascii="宋体" w:hAnsi="宋体" w:cs="宋体"/>
          <w:highlight w:val="none"/>
        </w:rPr>
      </w:pPr>
      <w:r>
        <w:rPr>
          <w:rFonts w:hint="eastAsia" w:ascii="宋体" w:hAnsi="宋体" w:cs="宋体"/>
          <w:highlight w:val="none"/>
        </w:rPr>
        <w:t>1.1.2 合同当事人及其他相关方</w:t>
      </w:r>
    </w:p>
    <w:p w14:paraId="2F68DDBC">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1.1.2.4监理人： </w:t>
      </w:r>
    </w:p>
    <w:p w14:paraId="613DF918">
      <w:pPr>
        <w:widowControl/>
        <w:spacing w:line="460" w:lineRule="exact"/>
        <w:ind w:firstLine="420" w:firstLineChars="200"/>
        <w:jc w:val="left"/>
        <w:rPr>
          <w:rFonts w:ascii="宋体" w:hAnsi="宋体" w:cs="宋体"/>
          <w:highlight w:val="none"/>
        </w:rPr>
      </w:pPr>
      <w:r>
        <w:rPr>
          <w:rFonts w:hint="eastAsia" w:ascii="宋体" w:hAnsi="宋体" w:cs="宋体"/>
          <w:highlight w:val="none"/>
        </w:rPr>
        <w:t>名 称：</w:t>
      </w:r>
      <w:r>
        <w:rPr>
          <w:rFonts w:hint="eastAsia" w:ascii="宋体" w:hAnsi="宋体" w:cs="宋体"/>
          <w:highlight w:val="none"/>
          <w:u w:val="single"/>
        </w:rPr>
        <w:t xml:space="preserve">          /            </w:t>
      </w:r>
      <w:r>
        <w:rPr>
          <w:rFonts w:hint="eastAsia" w:ascii="宋体" w:hAnsi="宋体" w:cs="宋体"/>
          <w:highlight w:val="none"/>
        </w:rPr>
        <w:t xml:space="preserve">； </w:t>
      </w:r>
    </w:p>
    <w:p w14:paraId="62BAF473">
      <w:pPr>
        <w:widowControl/>
        <w:spacing w:line="460" w:lineRule="exact"/>
        <w:ind w:firstLine="420" w:firstLineChars="200"/>
        <w:jc w:val="left"/>
        <w:rPr>
          <w:rFonts w:ascii="宋体" w:hAnsi="宋体" w:cs="宋体"/>
          <w:highlight w:val="none"/>
        </w:rPr>
      </w:pPr>
      <w:r>
        <w:rPr>
          <w:rFonts w:hint="eastAsia" w:ascii="宋体" w:hAnsi="宋体" w:cs="宋体"/>
          <w:highlight w:val="none"/>
        </w:rPr>
        <w:t>联系电话：</w:t>
      </w:r>
      <w:r>
        <w:rPr>
          <w:rFonts w:hint="eastAsia" w:ascii="宋体" w:hAnsi="宋体" w:cs="宋体"/>
          <w:highlight w:val="none"/>
          <w:u w:val="single"/>
        </w:rPr>
        <w:t xml:space="preserve">       /            </w:t>
      </w:r>
      <w:r>
        <w:rPr>
          <w:rFonts w:hint="eastAsia" w:ascii="宋体" w:hAnsi="宋体" w:cs="宋体"/>
          <w:highlight w:val="none"/>
        </w:rPr>
        <w:t xml:space="preserve">； </w:t>
      </w:r>
    </w:p>
    <w:p w14:paraId="48C386DA">
      <w:pPr>
        <w:widowControl/>
        <w:spacing w:line="460" w:lineRule="exact"/>
        <w:ind w:firstLine="420" w:firstLineChars="200"/>
        <w:jc w:val="left"/>
        <w:rPr>
          <w:rFonts w:ascii="宋体" w:hAnsi="宋体" w:cs="宋体"/>
          <w:highlight w:val="none"/>
        </w:rPr>
      </w:pPr>
      <w:r>
        <w:rPr>
          <w:rFonts w:hint="eastAsia" w:ascii="宋体" w:hAnsi="宋体" w:cs="宋体"/>
          <w:highlight w:val="none"/>
        </w:rPr>
        <w:t>电子信箱：</w:t>
      </w:r>
      <w:r>
        <w:rPr>
          <w:rFonts w:hint="eastAsia" w:ascii="宋体" w:hAnsi="宋体" w:cs="宋体"/>
          <w:highlight w:val="none"/>
          <w:u w:val="single"/>
        </w:rPr>
        <w:t xml:space="preserve">       /            </w:t>
      </w:r>
      <w:r>
        <w:rPr>
          <w:rFonts w:hint="eastAsia" w:ascii="宋体" w:hAnsi="宋体" w:cs="宋体"/>
          <w:highlight w:val="none"/>
        </w:rPr>
        <w:t xml:space="preserve">； </w:t>
      </w:r>
    </w:p>
    <w:p w14:paraId="06713679">
      <w:pPr>
        <w:widowControl/>
        <w:spacing w:line="460" w:lineRule="exact"/>
        <w:ind w:firstLine="420" w:firstLineChars="200"/>
        <w:jc w:val="left"/>
        <w:rPr>
          <w:rFonts w:ascii="宋体" w:hAnsi="宋体" w:cs="宋体"/>
          <w:highlight w:val="none"/>
        </w:rPr>
      </w:pPr>
      <w:r>
        <w:rPr>
          <w:rFonts w:hint="eastAsia" w:ascii="宋体" w:hAnsi="宋体" w:cs="宋体"/>
          <w:highlight w:val="none"/>
        </w:rPr>
        <w:t>通信地址：</w:t>
      </w:r>
      <w:r>
        <w:rPr>
          <w:rFonts w:hint="eastAsia" w:ascii="宋体" w:hAnsi="宋体" w:cs="宋体"/>
          <w:highlight w:val="none"/>
          <w:u w:val="single"/>
        </w:rPr>
        <w:t xml:space="preserve">       /            </w:t>
      </w:r>
      <w:r>
        <w:rPr>
          <w:rFonts w:hint="eastAsia" w:ascii="宋体" w:hAnsi="宋体" w:cs="宋体"/>
          <w:highlight w:val="none"/>
        </w:rPr>
        <w:t xml:space="preserve">。 </w:t>
      </w:r>
    </w:p>
    <w:p w14:paraId="70538247">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1.1.2.5 设计人： </w:t>
      </w:r>
    </w:p>
    <w:p w14:paraId="4D0EFBAD">
      <w:pPr>
        <w:widowControl/>
        <w:spacing w:line="460" w:lineRule="exact"/>
        <w:ind w:firstLine="420" w:firstLineChars="200"/>
        <w:jc w:val="left"/>
        <w:rPr>
          <w:rFonts w:ascii="宋体" w:hAnsi="宋体" w:cs="宋体"/>
          <w:highlight w:val="none"/>
        </w:rPr>
      </w:pPr>
      <w:r>
        <w:rPr>
          <w:rFonts w:hint="eastAsia" w:ascii="宋体" w:hAnsi="宋体" w:cs="宋体"/>
          <w:highlight w:val="none"/>
        </w:rPr>
        <w:t>名 称：</w:t>
      </w:r>
      <w:r>
        <w:rPr>
          <w:rFonts w:hint="eastAsia" w:ascii="宋体" w:hAnsi="宋体" w:cs="宋体"/>
          <w:highlight w:val="none"/>
          <w:u w:val="single"/>
        </w:rPr>
        <w:t xml:space="preserve">          /            </w:t>
      </w:r>
      <w:r>
        <w:rPr>
          <w:rFonts w:hint="eastAsia" w:ascii="宋体" w:hAnsi="宋体" w:cs="宋体"/>
          <w:highlight w:val="none"/>
        </w:rPr>
        <w:t xml:space="preserve">； </w:t>
      </w:r>
    </w:p>
    <w:p w14:paraId="5C4F61E9">
      <w:pPr>
        <w:widowControl/>
        <w:spacing w:line="460" w:lineRule="exact"/>
        <w:ind w:firstLine="420" w:firstLineChars="200"/>
        <w:jc w:val="left"/>
        <w:rPr>
          <w:rFonts w:ascii="宋体" w:hAnsi="宋体" w:cs="宋体"/>
          <w:highlight w:val="none"/>
        </w:rPr>
      </w:pPr>
      <w:r>
        <w:rPr>
          <w:rFonts w:hint="eastAsia" w:ascii="宋体" w:hAnsi="宋体" w:cs="宋体"/>
          <w:highlight w:val="none"/>
        </w:rPr>
        <w:t>联系电话：</w:t>
      </w:r>
      <w:r>
        <w:rPr>
          <w:rFonts w:hint="eastAsia" w:ascii="宋体" w:hAnsi="宋体" w:cs="宋体"/>
          <w:highlight w:val="none"/>
          <w:u w:val="single"/>
        </w:rPr>
        <w:t xml:space="preserve">       /            </w:t>
      </w:r>
      <w:r>
        <w:rPr>
          <w:rFonts w:hint="eastAsia" w:ascii="宋体" w:hAnsi="宋体" w:cs="宋体"/>
          <w:highlight w:val="none"/>
        </w:rPr>
        <w:t xml:space="preserve">； </w:t>
      </w:r>
    </w:p>
    <w:p w14:paraId="31690984">
      <w:pPr>
        <w:widowControl/>
        <w:spacing w:line="460" w:lineRule="exact"/>
        <w:ind w:firstLine="420" w:firstLineChars="200"/>
        <w:jc w:val="left"/>
        <w:rPr>
          <w:rFonts w:ascii="宋体" w:hAnsi="宋体" w:cs="宋体"/>
          <w:highlight w:val="none"/>
        </w:rPr>
      </w:pPr>
      <w:r>
        <w:rPr>
          <w:rFonts w:hint="eastAsia" w:ascii="宋体" w:hAnsi="宋体" w:cs="宋体"/>
          <w:highlight w:val="none"/>
        </w:rPr>
        <w:t>电子信箱：</w:t>
      </w:r>
      <w:r>
        <w:rPr>
          <w:rFonts w:hint="eastAsia" w:ascii="宋体" w:hAnsi="宋体" w:cs="宋体"/>
          <w:highlight w:val="none"/>
          <w:u w:val="single"/>
        </w:rPr>
        <w:t xml:space="preserve">       /            </w:t>
      </w:r>
      <w:r>
        <w:rPr>
          <w:rFonts w:hint="eastAsia" w:ascii="宋体" w:hAnsi="宋体" w:cs="宋体"/>
          <w:highlight w:val="none"/>
        </w:rPr>
        <w:t xml:space="preserve">； </w:t>
      </w:r>
    </w:p>
    <w:p w14:paraId="218C956A">
      <w:pPr>
        <w:widowControl/>
        <w:spacing w:line="460" w:lineRule="exact"/>
        <w:ind w:firstLine="420" w:firstLineChars="200"/>
        <w:jc w:val="left"/>
        <w:rPr>
          <w:rFonts w:ascii="宋体" w:hAnsi="宋体" w:cs="宋体"/>
          <w:highlight w:val="none"/>
        </w:rPr>
      </w:pPr>
      <w:r>
        <w:rPr>
          <w:rFonts w:hint="eastAsia" w:ascii="宋体" w:hAnsi="宋体" w:cs="宋体"/>
          <w:highlight w:val="none"/>
        </w:rPr>
        <w:t>通信地址：</w:t>
      </w:r>
      <w:r>
        <w:rPr>
          <w:rFonts w:hint="eastAsia" w:ascii="宋体" w:hAnsi="宋体" w:cs="宋体"/>
          <w:highlight w:val="none"/>
          <w:u w:val="single"/>
        </w:rPr>
        <w:t xml:space="preserve">       /            </w:t>
      </w:r>
      <w:r>
        <w:rPr>
          <w:rFonts w:hint="eastAsia" w:ascii="宋体" w:hAnsi="宋体" w:cs="宋体"/>
          <w:highlight w:val="none"/>
        </w:rPr>
        <w:t xml:space="preserve">。 </w:t>
      </w:r>
    </w:p>
    <w:p w14:paraId="349A22CC">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1.1.3 工程和设备 </w:t>
      </w:r>
    </w:p>
    <w:p w14:paraId="2E37018D">
      <w:pPr>
        <w:widowControl/>
        <w:spacing w:line="460" w:lineRule="exact"/>
        <w:ind w:firstLine="420" w:firstLineChars="200"/>
        <w:jc w:val="left"/>
        <w:rPr>
          <w:rFonts w:ascii="宋体" w:hAnsi="宋体" w:cs="宋体"/>
          <w:highlight w:val="none"/>
        </w:rPr>
      </w:pPr>
      <w:r>
        <w:rPr>
          <w:rFonts w:hint="eastAsia" w:ascii="宋体" w:hAnsi="宋体" w:cs="宋体"/>
          <w:highlight w:val="none"/>
        </w:rPr>
        <w:t>1.1.3.7 作为施工现场组成部分的其他场所包括：</w:t>
      </w:r>
      <w:r>
        <w:rPr>
          <w:rFonts w:hint="eastAsia" w:ascii="宋体" w:hAnsi="宋体" w:cs="宋体"/>
          <w:highlight w:val="none"/>
          <w:u w:val="single"/>
        </w:rPr>
        <w:t xml:space="preserve">      /    </w:t>
      </w:r>
      <w:r>
        <w:rPr>
          <w:rFonts w:hint="eastAsia" w:ascii="宋体" w:hAnsi="宋体" w:cs="宋体"/>
          <w:highlight w:val="none"/>
        </w:rPr>
        <w:t xml:space="preserve">。 </w:t>
      </w:r>
    </w:p>
    <w:p w14:paraId="244BE3EA">
      <w:pPr>
        <w:widowControl/>
        <w:spacing w:line="460" w:lineRule="exact"/>
        <w:ind w:firstLine="420" w:firstLineChars="200"/>
        <w:jc w:val="left"/>
        <w:rPr>
          <w:rFonts w:ascii="宋体" w:hAnsi="宋体" w:cs="宋体"/>
          <w:highlight w:val="none"/>
        </w:rPr>
      </w:pPr>
      <w:r>
        <w:rPr>
          <w:rFonts w:hint="eastAsia" w:ascii="宋体" w:hAnsi="宋体" w:cs="宋体"/>
          <w:highlight w:val="none"/>
        </w:rPr>
        <w:t>1.1.3.9 永久占地包括：</w:t>
      </w:r>
      <w:r>
        <w:rPr>
          <w:rFonts w:hint="eastAsia" w:ascii="宋体" w:hAnsi="宋体" w:cs="宋体"/>
          <w:highlight w:val="none"/>
          <w:u w:val="single"/>
        </w:rPr>
        <w:t xml:space="preserve">    无    </w:t>
      </w:r>
      <w:r>
        <w:rPr>
          <w:rFonts w:hint="eastAsia" w:ascii="宋体" w:hAnsi="宋体" w:cs="宋体"/>
          <w:highlight w:val="none"/>
        </w:rPr>
        <w:t xml:space="preserve">。 </w:t>
      </w:r>
    </w:p>
    <w:p w14:paraId="5BA7C2D6">
      <w:pPr>
        <w:widowControl/>
        <w:spacing w:line="460" w:lineRule="exact"/>
        <w:ind w:firstLine="420" w:firstLineChars="200"/>
        <w:jc w:val="left"/>
        <w:rPr>
          <w:rFonts w:ascii="宋体" w:hAnsi="宋体" w:cs="宋体"/>
          <w:highlight w:val="none"/>
        </w:rPr>
      </w:pPr>
      <w:r>
        <w:rPr>
          <w:rFonts w:hint="eastAsia" w:ascii="宋体" w:hAnsi="宋体" w:cs="宋体"/>
          <w:highlight w:val="none"/>
        </w:rPr>
        <w:t>1.1.3.10 临时占地包括：</w:t>
      </w:r>
      <w:r>
        <w:rPr>
          <w:rFonts w:hint="eastAsia" w:ascii="宋体" w:hAnsi="宋体" w:cs="宋体"/>
          <w:highlight w:val="none"/>
          <w:u w:val="single"/>
        </w:rPr>
        <w:t>施工临时设施</w:t>
      </w:r>
      <w:r>
        <w:rPr>
          <w:rFonts w:hint="eastAsia" w:ascii="宋体" w:hAnsi="宋体" w:cs="宋体"/>
          <w:highlight w:val="none"/>
        </w:rPr>
        <w:t xml:space="preserve">。 </w:t>
      </w:r>
    </w:p>
    <w:p w14:paraId="3531AE30">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1.3法律 </w:t>
      </w:r>
    </w:p>
    <w:p w14:paraId="6EA10993">
      <w:pPr>
        <w:widowControl/>
        <w:spacing w:line="460" w:lineRule="exact"/>
        <w:ind w:firstLine="420" w:firstLineChars="200"/>
        <w:jc w:val="left"/>
        <w:rPr>
          <w:rFonts w:ascii="宋体" w:hAnsi="宋体" w:cs="宋体"/>
          <w:highlight w:val="none"/>
        </w:rPr>
      </w:pPr>
      <w:r>
        <w:rPr>
          <w:rFonts w:hint="eastAsia" w:ascii="宋体" w:hAnsi="宋体" w:cs="宋体"/>
          <w:highlight w:val="none"/>
        </w:rPr>
        <w:t>适用于合同的其他规范性文件：</w:t>
      </w:r>
      <w:r>
        <w:rPr>
          <w:rFonts w:hint="eastAsia" w:ascii="宋体" w:hAnsi="宋体" w:cs="宋体"/>
          <w:highlight w:val="none"/>
          <w:u w:val="single"/>
        </w:rPr>
        <w:t>《中华人民共和国民法典》、《中华人民共和国建筑法》、《中华人民共和国政府采购法》、《建设工程质量管理条例》、《中华人民共和国安全生产法》及部省市建设主管部门现行的法律、法规等。</w:t>
      </w:r>
      <w:r>
        <w:rPr>
          <w:rFonts w:hint="eastAsia" w:ascii="宋体" w:hAnsi="宋体" w:cs="宋体"/>
          <w:highlight w:val="none"/>
        </w:rPr>
        <w:t xml:space="preserve"> </w:t>
      </w:r>
    </w:p>
    <w:p w14:paraId="5B36F3EE">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1.4 标准和规范 </w:t>
      </w:r>
    </w:p>
    <w:p w14:paraId="3B432FEF">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1.4.1适用于工程的标准规范包括：</w:t>
      </w:r>
      <w:r>
        <w:rPr>
          <w:rFonts w:hint="eastAsia" w:ascii="宋体" w:hAnsi="宋体" w:cs="宋体"/>
          <w:highlight w:val="none"/>
          <w:u w:val="single"/>
        </w:rPr>
        <w:t>国家标准、行业标准、工程所在地的地方标准以及相应的规范、规程等</w:t>
      </w:r>
      <w:r>
        <w:rPr>
          <w:rFonts w:hint="eastAsia" w:ascii="宋体" w:hAnsi="宋体" w:cs="宋体"/>
          <w:highlight w:val="none"/>
        </w:rPr>
        <w:t xml:space="preserve">。 </w:t>
      </w:r>
    </w:p>
    <w:p w14:paraId="5721AEEE">
      <w:pPr>
        <w:widowControl/>
        <w:spacing w:line="460" w:lineRule="exact"/>
        <w:ind w:firstLine="420" w:firstLineChars="200"/>
        <w:jc w:val="left"/>
        <w:rPr>
          <w:rFonts w:ascii="宋体" w:hAnsi="宋体" w:cs="宋体"/>
          <w:highlight w:val="none"/>
        </w:rPr>
      </w:pPr>
      <w:r>
        <w:rPr>
          <w:rFonts w:hint="eastAsia" w:ascii="宋体" w:hAnsi="宋体" w:cs="宋体"/>
          <w:highlight w:val="none"/>
        </w:rPr>
        <w:t>1.4.2 发包人提供国外标准、规范的名称：</w:t>
      </w:r>
      <w:r>
        <w:rPr>
          <w:rFonts w:hint="eastAsia" w:ascii="宋体" w:hAnsi="宋体" w:cs="宋体"/>
          <w:highlight w:val="none"/>
          <w:u w:val="single"/>
        </w:rPr>
        <w:t xml:space="preserve">        /        </w:t>
      </w:r>
      <w:r>
        <w:rPr>
          <w:rFonts w:hint="eastAsia" w:ascii="宋体" w:hAnsi="宋体" w:cs="宋体"/>
          <w:highlight w:val="none"/>
        </w:rPr>
        <w:t>；</w:t>
      </w:r>
    </w:p>
    <w:p w14:paraId="65F1DF60">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发包人提供国外标准、规范的份数：</w:t>
      </w:r>
      <w:r>
        <w:rPr>
          <w:rFonts w:hint="eastAsia" w:ascii="宋体" w:hAnsi="宋体" w:cs="宋体"/>
          <w:highlight w:val="none"/>
          <w:u w:val="single"/>
        </w:rPr>
        <w:t xml:space="preserve">            /          </w:t>
      </w:r>
      <w:r>
        <w:rPr>
          <w:rFonts w:hint="eastAsia" w:ascii="宋体" w:hAnsi="宋体" w:cs="宋体"/>
          <w:highlight w:val="none"/>
        </w:rPr>
        <w:t xml:space="preserve">； </w:t>
      </w:r>
    </w:p>
    <w:p w14:paraId="5D331BE5">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发包人提供国外标准、规范的名称：</w:t>
      </w:r>
      <w:r>
        <w:rPr>
          <w:rFonts w:hint="eastAsia" w:ascii="宋体" w:hAnsi="宋体" w:cs="宋体"/>
          <w:highlight w:val="none"/>
          <w:u w:val="single"/>
        </w:rPr>
        <w:t xml:space="preserve">            /          </w:t>
      </w:r>
      <w:r>
        <w:rPr>
          <w:rFonts w:hint="eastAsia" w:ascii="宋体" w:hAnsi="宋体" w:cs="宋体"/>
          <w:highlight w:val="none"/>
        </w:rPr>
        <w:t xml:space="preserve">。 </w:t>
      </w:r>
    </w:p>
    <w:p w14:paraId="191F8A92">
      <w:pPr>
        <w:widowControl/>
        <w:spacing w:line="460" w:lineRule="exact"/>
        <w:ind w:firstLine="420" w:firstLineChars="200"/>
        <w:jc w:val="left"/>
        <w:rPr>
          <w:rFonts w:ascii="宋体" w:hAnsi="宋体" w:cs="宋体"/>
          <w:highlight w:val="none"/>
        </w:rPr>
      </w:pPr>
      <w:r>
        <w:rPr>
          <w:rFonts w:hint="eastAsia" w:ascii="宋体" w:hAnsi="宋体" w:cs="宋体"/>
          <w:highlight w:val="none"/>
        </w:rPr>
        <w:t>1.4.3发包人对工程的技术标准和功能要求的特殊要求：</w:t>
      </w:r>
      <w:r>
        <w:rPr>
          <w:rFonts w:hint="eastAsia" w:ascii="宋体" w:hAnsi="宋体" w:cs="宋体"/>
          <w:highlight w:val="none"/>
          <w:u w:val="single"/>
        </w:rPr>
        <w:t xml:space="preserve">         /          </w:t>
      </w:r>
      <w:r>
        <w:rPr>
          <w:rFonts w:hint="eastAsia" w:ascii="宋体" w:hAnsi="宋体" w:cs="宋体"/>
          <w:highlight w:val="none"/>
        </w:rPr>
        <w:t xml:space="preserve">。 </w:t>
      </w:r>
    </w:p>
    <w:p w14:paraId="1C5FEB1A">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1.5 合同文件的优先顺序 </w:t>
      </w:r>
    </w:p>
    <w:p w14:paraId="09944567">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合同文件组成及优先顺序为：</w:t>
      </w:r>
      <w:r>
        <w:rPr>
          <w:rFonts w:hint="eastAsia" w:ascii="宋体" w:hAnsi="宋体" w:cs="宋体"/>
          <w:highlight w:val="none"/>
          <w:u w:val="single"/>
        </w:rPr>
        <w:t xml:space="preserve"> ①本合同协议书；②中标通知书；③招投标书及其附件(含投标函及其附录)；④本合同专用条款；⑤本合同通用条款；⑥标准、规范及有关技术文件；⑦工程量清单；⑧发包人委托编制的预算书；⑨双方有关工程的洽商、变更等书面协议或文件等</w:t>
      </w:r>
      <w:r>
        <w:rPr>
          <w:rFonts w:hint="eastAsia" w:ascii="宋体" w:hAnsi="宋体" w:cs="宋体"/>
          <w:highlight w:val="none"/>
        </w:rPr>
        <w:t xml:space="preserve">。 </w:t>
      </w:r>
    </w:p>
    <w:p w14:paraId="2AC5F345">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 图纸和承包人文件 </w:t>
      </w:r>
    </w:p>
    <w:p w14:paraId="283BA4C6">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1.6.1 图纸的提供 </w:t>
      </w:r>
    </w:p>
    <w:p w14:paraId="674ED50E">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发包人向承包人提供图纸的期限：</w:t>
      </w:r>
      <w:r>
        <w:rPr>
          <w:rFonts w:hint="eastAsia" w:ascii="宋体" w:hAnsi="宋体" w:cs="宋体"/>
          <w:highlight w:val="none"/>
          <w:u w:val="single"/>
        </w:rPr>
        <w:t xml:space="preserve">            /          </w:t>
      </w:r>
      <w:r>
        <w:rPr>
          <w:rFonts w:hint="eastAsia" w:ascii="宋体" w:hAnsi="宋体" w:cs="宋体"/>
          <w:highlight w:val="none"/>
        </w:rPr>
        <w:t xml:space="preserve">； </w:t>
      </w:r>
    </w:p>
    <w:p w14:paraId="3D0658FB">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发包人向承包人提供图纸的数量：</w:t>
      </w:r>
      <w:r>
        <w:rPr>
          <w:rFonts w:hint="eastAsia" w:ascii="宋体" w:hAnsi="宋体" w:cs="宋体"/>
          <w:highlight w:val="none"/>
          <w:u w:val="single"/>
        </w:rPr>
        <w:t xml:space="preserve">            /          </w:t>
      </w:r>
      <w:r>
        <w:rPr>
          <w:rFonts w:hint="eastAsia" w:ascii="宋体" w:hAnsi="宋体" w:cs="宋体"/>
          <w:highlight w:val="none"/>
        </w:rPr>
        <w:t>；</w:t>
      </w:r>
    </w:p>
    <w:p w14:paraId="47544E74">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发包人向承包人提供图纸的内容：</w:t>
      </w:r>
      <w:r>
        <w:rPr>
          <w:rFonts w:hint="eastAsia" w:ascii="宋体" w:hAnsi="宋体" w:cs="宋体"/>
          <w:highlight w:val="none"/>
          <w:u w:val="single"/>
        </w:rPr>
        <w:t xml:space="preserve">            /          </w:t>
      </w:r>
      <w:r>
        <w:rPr>
          <w:rFonts w:hint="eastAsia" w:ascii="宋体" w:hAnsi="宋体" w:cs="宋体"/>
          <w:highlight w:val="none"/>
        </w:rPr>
        <w:t>。</w:t>
      </w:r>
    </w:p>
    <w:p w14:paraId="333C186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1.6.4 承包人文件 </w:t>
      </w:r>
    </w:p>
    <w:p w14:paraId="394A8BA6">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需要由承包人提供的文件，包括：</w:t>
      </w:r>
      <w:r>
        <w:rPr>
          <w:rFonts w:hint="eastAsia" w:ascii="宋体" w:hAnsi="宋体" w:cs="宋体"/>
          <w:highlight w:val="none"/>
          <w:u w:val="single"/>
        </w:rPr>
        <w:t xml:space="preserve">施工组织设计、专项方案、技术方案等，以及发包人(实施单位)要求提供的其他资料。 </w:t>
      </w:r>
    </w:p>
    <w:p w14:paraId="314A400D">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承包人提供的文件的期限为：</w:t>
      </w:r>
      <w:r>
        <w:rPr>
          <w:rFonts w:hint="eastAsia" w:ascii="宋体" w:hAnsi="宋体" w:cs="宋体"/>
          <w:highlight w:val="none"/>
          <w:u w:val="single"/>
        </w:rPr>
        <w:t xml:space="preserve">根据发包人(实施单位)要求执行； </w:t>
      </w:r>
    </w:p>
    <w:p w14:paraId="241D5B36">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承包人提供的文件的数量为：</w:t>
      </w:r>
      <w:r>
        <w:rPr>
          <w:rFonts w:hint="eastAsia" w:ascii="宋体" w:hAnsi="宋体" w:cs="宋体"/>
          <w:highlight w:val="none"/>
          <w:u w:val="single"/>
        </w:rPr>
        <w:t xml:space="preserve">根据发包人(实施单位)要求； </w:t>
      </w:r>
    </w:p>
    <w:p w14:paraId="67998053">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承包人提供的文件的形式为：</w:t>
      </w:r>
      <w:r>
        <w:rPr>
          <w:rFonts w:hint="eastAsia" w:ascii="宋体" w:hAnsi="宋体" w:cs="宋体"/>
          <w:highlight w:val="none"/>
          <w:u w:val="single"/>
        </w:rPr>
        <w:t>书面及电子版；</w:t>
      </w:r>
    </w:p>
    <w:p w14:paraId="0D9F4C01">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发包人审批承包人文件的期限：</w:t>
      </w:r>
      <w:r>
        <w:rPr>
          <w:rFonts w:hint="eastAsia" w:ascii="宋体" w:hAnsi="宋体" w:cs="宋体"/>
          <w:highlight w:val="none"/>
          <w:u w:val="single"/>
        </w:rPr>
        <w:t xml:space="preserve">在7天内。 </w:t>
      </w:r>
    </w:p>
    <w:p w14:paraId="63F0A64D">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1.6.5 现场图纸准备 </w:t>
      </w:r>
    </w:p>
    <w:p w14:paraId="36B1EDF1">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关于现场图纸准备的约定：</w:t>
      </w:r>
      <w:r>
        <w:rPr>
          <w:rFonts w:hint="eastAsia" w:ascii="宋体" w:hAnsi="宋体" w:cs="宋体"/>
          <w:highlight w:val="none"/>
          <w:u w:val="single"/>
        </w:rPr>
        <w:t xml:space="preserve">        /          </w:t>
      </w:r>
      <w:r>
        <w:rPr>
          <w:rFonts w:hint="eastAsia" w:ascii="宋体" w:hAnsi="宋体" w:cs="宋体"/>
          <w:highlight w:val="none"/>
        </w:rPr>
        <w:t>。</w:t>
      </w:r>
    </w:p>
    <w:p w14:paraId="66A57DA7">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1.7 联络 </w:t>
      </w:r>
    </w:p>
    <w:p w14:paraId="4B4A4620">
      <w:pPr>
        <w:widowControl/>
        <w:spacing w:line="460" w:lineRule="exact"/>
        <w:ind w:firstLine="420" w:firstLineChars="200"/>
        <w:jc w:val="left"/>
        <w:rPr>
          <w:rFonts w:ascii="宋体" w:hAnsi="宋体" w:cs="宋体"/>
          <w:highlight w:val="none"/>
        </w:rPr>
      </w:pPr>
      <w:r>
        <w:rPr>
          <w:rFonts w:hint="eastAsia" w:ascii="宋体" w:hAnsi="宋体" w:cs="宋体"/>
          <w:highlight w:val="none"/>
        </w:rPr>
        <w:t>1.7.1发包人和承包人应当在</w:t>
      </w:r>
      <w:r>
        <w:rPr>
          <w:rFonts w:hint="eastAsia" w:ascii="宋体" w:hAnsi="宋体" w:cs="宋体"/>
          <w:highlight w:val="none"/>
          <w:u w:val="single"/>
        </w:rPr>
        <w:t>7</w:t>
      </w:r>
      <w:r>
        <w:rPr>
          <w:rFonts w:hint="eastAsia" w:ascii="宋体" w:hAnsi="宋体" w:cs="宋体"/>
          <w:highlight w:val="none"/>
        </w:rPr>
        <w:t xml:space="preserve">天内将与合同有关的通知、批准、证明、证书、指示、指令、要求、请求、同意、意见、确定和决定等书面函件送达对方当事人。 </w:t>
      </w:r>
    </w:p>
    <w:p w14:paraId="069921A3">
      <w:pPr>
        <w:widowControl/>
        <w:spacing w:line="460" w:lineRule="exact"/>
        <w:ind w:firstLine="420" w:firstLineChars="200"/>
        <w:jc w:val="left"/>
        <w:rPr>
          <w:rFonts w:ascii="宋体" w:hAnsi="宋体" w:cs="宋体"/>
          <w:highlight w:val="none"/>
        </w:rPr>
      </w:pPr>
      <w:r>
        <w:rPr>
          <w:rFonts w:hint="eastAsia" w:ascii="宋体" w:hAnsi="宋体" w:cs="宋体"/>
          <w:highlight w:val="none"/>
        </w:rPr>
        <w:t>1.7.2 发包人接收文件的地点：</w:t>
      </w:r>
      <w:r>
        <w:rPr>
          <w:rFonts w:hint="eastAsia" w:ascii="宋体" w:hAnsi="宋体" w:cs="宋体"/>
          <w:highlight w:val="none"/>
          <w:u w:val="single"/>
        </w:rPr>
        <w:t>施工现场</w:t>
      </w:r>
      <w:r>
        <w:rPr>
          <w:rFonts w:hint="eastAsia" w:ascii="宋体" w:hAnsi="宋体" w:cs="宋体"/>
          <w:highlight w:val="none"/>
        </w:rPr>
        <w:t xml:space="preserve">。 </w:t>
      </w:r>
    </w:p>
    <w:p w14:paraId="410A9A9F">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发包人指定的接收人为：</w:t>
      </w:r>
      <w:r>
        <w:rPr>
          <w:rFonts w:hint="eastAsia" w:ascii="宋体" w:hAnsi="宋体" w:cs="宋体"/>
          <w:highlight w:val="none"/>
          <w:u w:val="single"/>
        </w:rPr>
        <w:t>实施单位现场代表</w:t>
      </w:r>
      <w:r>
        <w:rPr>
          <w:rFonts w:hint="eastAsia" w:ascii="宋体" w:hAnsi="宋体" w:cs="宋体"/>
          <w:highlight w:val="none"/>
        </w:rPr>
        <w:t xml:space="preserve">。 </w:t>
      </w:r>
    </w:p>
    <w:p w14:paraId="6993F69F">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承包人接收文件的地点：</w:t>
      </w:r>
      <w:r>
        <w:rPr>
          <w:rFonts w:hint="eastAsia" w:ascii="宋体" w:hAnsi="宋体" w:cs="宋体"/>
          <w:highlight w:val="none"/>
          <w:u w:val="single"/>
        </w:rPr>
        <w:t>施工现场</w:t>
      </w:r>
      <w:r>
        <w:rPr>
          <w:rFonts w:hint="eastAsia" w:ascii="宋体" w:hAnsi="宋体" w:cs="宋体"/>
          <w:highlight w:val="none"/>
        </w:rPr>
        <w:t xml:space="preserve">。 </w:t>
      </w:r>
    </w:p>
    <w:p w14:paraId="783D5032">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承包人指定的接收人为：</w:t>
      </w:r>
      <w:r>
        <w:rPr>
          <w:rFonts w:hint="eastAsia" w:ascii="宋体" w:hAnsi="宋体" w:cs="宋体"/>
          <w:highlight w:val="none"/>
          <w:u w:val="single"/>
        </w:rPr>
        <w:t>项目经理</w:t>
      </w:r>
      <w:r>
        <w:rPr>
          <w:rFonts w:hint="eastAsia" w:ascii="宋体" w:hAnsi="宋体" w:cs="宋体"/>
          <w:highlight w:val="none"/>
        </w:rPr>
        <w:t xml:space="preserve">。 </w:t>
      </w:r>
    </w:p>
    <w:p w14:paraId="1AAAA738">
      <w:pPr>
        <w:widowControl/>
        <w:spacing w:line="460" w:lineRule="exact"/>
        <w:ind w:firstLine="420" w:firstLineChars="200"/>
        <w:jc w:val="left"/>
        <w:rPr>
          <w:rFonts w:ascii="宋体" w:hAnsi="宋体" w:cs="宋体"/>
          <w:highlight w:val="none"/>
        </w:rPr>
      </w:pPr>
      <w:r>
        <w:rPr>
          <w:rFonts w:hint="eastAsia" w:ascii="宋体" w:hAnsi="宋体" w:cs="宋体"/>
          <w:highlight w:val="none"/>
        </w:rPr>
        <w:t>监理人接收文件的地点：</w:t>
      </w:r>
      <w:r>
        <w:rPr>
          <w:rFonts w:hint="eastAsia" w:ascii="宋体" w:hAnsi="宋体" w:cs="宋体"/>
          <w:highlight w:val="none"/>
          <w:u w:val="single"/>
        </w:rPr>
        <w:t xml:space="preserve">    /   </w:t>
      </w:r>
      <w:r>
        <w:rPr>
          <w:rFonts w:hint="eastAsia" w:ascii="宋体" w:hAnsi="宋体" w:cs="宋体"/>
          <w:highlight w:val="none"/>
        </w:rPr>
        <w:t>。</w:t>
      </w:r>
    </w:p>
    <w:p w14:paraId="4333FBD0">
      <w:pPr>
        <w:widowControl/>
        <w:spacing w:line="460" w:lineRule="exact"/>
        <w:ind w:firstLine="420" w:firstLineChars="200"/>
        <w:jc w:val="left"/>
        <w:rPr>
          <w:rFonts w:ascii="宋体" w:hAnsi="宋体" w:cs="宋体"/>
          <w:highlight w:val="none"/>
        </w:rPr>
      </w:pPr>
      <w:r>
        <w:rPr>
          <w:rFonts w:hint="eastAsia" w:ascii="宋体" w:hAnsi="宋体" w:cs="宋体"/>
          <w:highlight w:val="none"/>
        </w:rPr>
        <w:t>监理人指定的接收人为：</w:t>
      </w:r>
      <w:r>
        <w:rPr>
          <w:rFonts w:hint="eastAsia" w:ascii="宋体" w:hAnsi="宋体" w:cs="宋体"/>
          <w:highlight w:val="none"/>
          <w:u w:val="single"/>
        </w:rPr>
        <w:t xml:space="preserve">    /   </w:t>
      </w:r>
      <w:r>
        <w:rPr>
          <w:rFonts w:hint="eastAsia" w:ascii="宋体" w:hAnsi="宋体" w:cs="宋体"/>
          <w:highlight w:val="none"/>
        </w:rPr>
        <w:t>。</w:t>
      </w:r>
    </w:p>
    <w:p w14:paraId="2684E39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1.10 交通运输 </w:t>
      </w:r>
    </w:p>
    <w:p w14:paraId="125E9F2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1.10.1 出入现场的权利 </w:t>
      </w:r>
    </w:p>
    <w:p w14:paraId="1DD2829B">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关于出入现场的权利的约定：</w:t>
      </w:r>
      <w:r>
        <w:rPr>
          <w:rFonts w:hint="eastAsia" w:ascii="宋体" w:hAnsi="宋体" w:cs="宋体"/>
          <w:highlight w:val="none"/>
          <w:u w:val="single"/>
        </w:rPr>
        <w:t>根据施工需要，承包人负责取得出入施工现场所需的批准手续，以及取得因施工所需修建有关基础设施的权利，并承担相关手续费用和建设费用。承包人应在订立合同前查勘施工现场，并根据工程规模及技术参数，合理预见工程施工所需的进出施工现场的方式、手段、路径等。因承包人未合理预见，所增加的费用或延误的工期由承包人自行承担</w:t>
      </w:r>
      <w:r>
        <w:rPr>
          <w:rFonts w:hint="eastAsia" w:ascii="宋体" w:hAnsi="宋体" w:cs="宋体"/>
          <w:highlight w:val="none"/>
        </w:rPr>
        <w:t xml:space="preserve">。 </w:t>
      </w:r>
    </w:p>
    <w:p w14:paraId="6E89879D">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1.10.3 场内交通 </w:t>
      </w:r>
    </w:p>
    <w:p w14:paraId="444604E3">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关于场外交通和场内交通的边界的约定：</w:t>
      </w:r>
      <w:r>
        <w:rPr>
          <w:rFonts w:hint="eastAsia" w:ascii="宋体" w:hAnsi="宋体" w:cs="宋体"/>
          <w:highlight w:val="none"/>
          <w:u w:val="single"/>
        </w:rPr>
        <w:t xml:space="preserve">发包人仅提供现有场内、外交通设施的技术参数和具体条件，承包人应遵守有关交通法规，严格按照道路和桥梁的限制荷载行驶，执行有关道路限速、限行、禁止超载的规定，并配合交通管理部门的监督和检查。场内、外交通设施无法满足工程施工需要的，由承包人负责完善并承担相关费用。因承包人原因造成上述道路或交通设施损坏的，承包人负责修复并承担由此增加的费用。 </w:t>
      </w:r>
    </w:p>
    <w:p w14:paraId="147B2436">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关于发包人向承包人免费提供满足工程施工需要的场内道路和交通设施的约定：</w:t>
      </w:r>
      <w:r>
        <w:rPr>
          <w:rFonts w:hint="eastAsia" w:ascii="宋体" w:hAnsi="宋体" w:cs="宋体"/>
          <w:highlight w:val="none"/>
          <w:u w:val="single"/>
        </w:rPr>
        <w:t>发包人按现状交给承包人。其它由承包人自行办理，费用由承包人承担</w:t>
      </w:r>
      <w:r>
        <w:rPr>
          <w:rFonts w:hint="eastAsia" w:ascii="宋体" w:hAnsi="宋体" w:cs="宋体"/>
          <w:highlight w:val="none"/>
        </w:rPr>
        <w:t xml:space="preserve">。 </w:t>
      </w:r>
    </w:p>
    <w:p w14:paraId="6903F96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1.10.4超大件和超重件的运输 </w:t>
      </w:r>
    </w:p>
    <w:p w14:paraId="55916FD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运输超大件或超重件所需的道路和桥梁临时加固改造费用和其他有关费用由</w:t>
      </w:r>
      <w:r>
        <w:rPr>
          <w:rFonts w:hint="eastAsia" w:ascii="宋体" w:hAnsi="宋体" w:cs="宋体"/>
          <w:highlight w:val="none"/>
          <w:u w:val="single"/>
        </w:rPr>
        <w:t>承包人</w:t>
      </w:r>
      <w:r>
        <w:rPr>
          <w:rFonts w:hint="eastAsia" w:ascii="宋体" w:hAnsi="宋体" w:cs="宋体"/>
          <w:highlight w:val="none"/>
        </w:rPr>
        <w:t xml:space="preserve">自行承担。 </w:t>
      </w:r>
    </w:p>
    <w:p w14:paraId="1EDF9033">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1.11 知识产权 </w:t>
      </w:r>
    </w:p>
    <w:p w14:paraId="4505D301">
      <w:pPr>
        <w:widowControl/>
        <w:spacing w:line="460" w:lineRule="exact"/>
        <w:ind w:firstLine="420" w:firstLineChars="200"/>
        <w:jc w:val="left"/>
        <w:rPr>
          <w:rFonts w:ascii="宋体" w:hAnsi="宋体" w:cs="宋体"/>
          <w:highlight w:val="none"/>
        </w:rPr>
      </w:pPr>
      <w:r>
        <w:rPr>
          <w:rFonts w:hint="eastAsia" w:ascii="宋体" w:hAnsi="宋体" w:cs="宋体"/>
          <w:highlight w:val="none"/>
        </w:rPr>
        <w:t>1.11.1关于发包人提供给承包人的图纸、发包人为实施工程自行编制或委托编制的技术规范以及反 映发包人关于合同要求或其他类似性质的文件的著作权的归属：</w:t>
      </w:r>
      <w:r>
        <w:rPr>
          <w:rFonts w:hint="eastAsia" w:ascii="宋体" w:hAnsi="宋体" w:cs="宋体"/>
          <w:highlight w:val="none"/>
          <w:u w:val="single"/>
        </w:rPr>
        <w:t>发包人</w:t>
      </w:r>
      <w:r>
        <w:rPr>
          <w:rFonts w:hint="eastAsia" w:ascii="宋体" w:hAnsi="宋体" w:cs="宋体"/>
          <w:highlight w:val="none"/>
        </w:rPr>
        <w:t xml:space="preserve">。 </w:t>
      </w:r>
    </w:p>
    <w:p w14:paraId="2235CD11">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关于发包人提供的上述文件的使用限制的要求：</w:t>
      </w:r>
      <w:r>
        <w:rPr>
          <w:rFonts w:hint="eastAsia" w:ascii="宋体" w:hAnsi="宋体" w:cs="宋体"/>
          <w:highlight w:val="none"/>
          <w:u w:val="single"/>
        </w:rPr>
        <w:t>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highlight w:val="none"/>
        </w:rPr>
        <w:t xml:space="preserve"> </w:t>
      </w:r>
    </w:p>
    <w:p w14:paraId="0FA0AEDA">
      <w:pPr>
        <w:widowControl/>
        <w:spacing w:line="460" w:lineRule="exact"/>
        <w:ind w:firstLine="420" w:firstLineChars="200"/>
        <w:jc w:val="left"/>
        <w:rPr>
          <w:rFonts w:ascii="宋体" w:hAnsi="宋体" w:cs="宋体"/>
          <w:highlight w:val="none"/>
        </w:rPr>
      </w:pPr>
      <w:r>
        <w:rPr>
          <w:rFonts w:hint="eastAsia" w:ascii="宋体" w:hAnsi="宋体" w:cs="宋体"/>
          <w:highlight w:val="none"/>
        </w:rPr>
        <w:t>1.11.2 关于承包人为实施工程所编制文件的著作权的归属：</w:t>
      </w:r>
      <w:r>
        <w:rPr>
          <w:rFonts w:hint="eastAsia" w:ascii="宋体" w:hAnsi="宋体" w:cs="宋体"/>
          <w:highlight w:val="none"/>
          <w:u w:val="single"/>
        </w:rPr>
        <w:t>发包人。</w:t>
      </w:r>
      <w:r>
        <w:rPr>
          <w:rFonts w:hint="eastAsia" w:ascii="宋体" w:hAnsi="宋体" w:cs="宋体"/>
          <w:highlight w:val="none"/>
        </w:rPr>
        <w:t xml:space="preserve"> </w:t>
      </w:r>
    </w:p>
    <w:p w14:paraId="19E44E2B">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关于承包人提供的上述文件的使用限制的要求：</w:t>
      </w:r>
      <w:r>
        <w:rPr>
          <w:rFonts w:hint="eastAsia" w:ascii="宋体" w:hAnsi="宋体" w:cs="宋体"/>
          <w:highlight w:val="none"/>
          <w:u w:val="single"/>
        </w:rPr>
        <w:t>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3A2E266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1.11.4 承包人在施工过程中所采用的专利、专有技术、技术秘密的使用费的承担方式：</w:t>
      </w:r>
      <w:r>
        <w:rPr>
          <w:rFonts w:hint="eastAsia" w:ascii="宋体" w:hAnsi="宋体" w:cs="宋体"/>
          <w:highlight w:val="none"/>
          <w:u w:val="single"/>
        </w:rPr>
        <w:t xml:space="preserve">由承包人承担,费用含在合同价中。 </w:t>
      </w:r>
    </w:p>
    <w:p w14:paraId="09B4E29F">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1.13工程量清单错误的修正 </w:t>
      </w:r>
    </w:p>
    <w:p w14:paraId="65291904">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1.13.1出现工程量清单错误时，是否调整合同价格：</w:t>
      </w:r>
      <w:r>
        <w:rPr>
          <w:rFonts w:hint="eastAsia" w:ascii="宋体" w:hAnsi="宋体" w:cs="宋体"/>
          <w:highlight w:val="none"/>
          <w:u w:val="single"/>
        </w:rPr>
        <w:t>调整。</w:t>
      </w:r>
    </w:p>
    <w:p w14:paraId="1CDA32D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 xml:space="preserve">1.13.2允许调整合同价格的工程量偏差范围： </w:t>
      </w:r>
      <w:r>
        <w:rPr>
          <w:rFonts w:hint="eastAsia" w:ascii="宋体" w:hAnsi="宋体" w:cs="宋体"/>
          <w:highlight w:val="none"/>
          <w:u w:val="single"/>
        </w:rPr>
        <w:t>(1)工程量清单存在缺项、漏项的；（2)非承包人原因造成的工程变更（含设计变更）或其它不可预见的工程量。</w:t>
      </w:r>
    </w:p>
    <w:p w14:paraId="3281EC70">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 发包人 </w:t>
      </w:r>
    </w:p>
    <w:p w14:paraId="798C45A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2.2 发包人代表 </w:t>
      </w:r>
    </w:p>
    <w:p w14:paraId="7B33BDAB">
      <w:pPr>
        <w:widowControl/>
        <w:spacing w:line="460" w:lineRule="exact"/>
        <w:ind w:firstLine="420" w:firstLineChars="200"/>
        <w:jc w:val="left"/>
        <w:rPr>
          <w:rFonts w:ascii="宋体" w:hAnsi="宋体" w:cs="宋体"/>
          <w:highlight w:val="none"/>
        </w:rPr>
      </w:pPr>
      <w:r>
        <w:rPr>
          <w:rFonts w:hint="eastAsia" w:ascii="宋体" w:hAnsi="宋体" w:cs="宋体"/>
          <w:highlight w:val="none"/>
        </w:rPr>
        <w:t>姓 名：</w:t>
      </w:r>
      <w:r>
        <w:rPr>
          <w:rFonts w:hint="eastAsia" w:ascii="宋体" w:hAnsi="宋体" w:cs="宋体"/>
          <w:highlight w:val="none"/>
          <w:u w:val="single"/>
        </w:rPr>
        <w:t xml:space="preserve">                  </w:t>
      </w:r>
      <w:r>
        <w:rPr>
          <w:rFonts w:hint="eastAsia" w:ascii="宋体" w:hAnsi="宋体" w:cs="宋体"/>
          <w:highlight w:val="none"/>
        </w:rPr>
        <w:t xml:space="preserve">； </w:t>
      </w:r>
    </w:p>
    <w:p w14:paraId="13BEFAEA">
      <w:pPr>
        <w:widowControl/>
        <w:spacing w:line="460" w:lineRule="exact"/>
        <w:ind w:firstLine="420" w:firstLineChars="200"/>
        <w:jc w:val="left"/>
        <w:rPr>
          <w:rFonts w:ascii="宋体" w:hAnsi="宋体" w:cs="宋体"/>
          <w:highlight w:val="none"/>
        </w:rPr>
      </w:pPr>
      <w:r>
        <w:rPr>
          <w:rFonts w:hint="eastAsia" w:ascii="宋体" w:hAnsi="宋体" w:cs="宋体"/>
          <w:highlight w:val="none"/>
        </w:rPr>
        <w:t>职 务：</w:t>
      </w:r>
      <w:r>
        <w:rPr>
          <w:rFonts w:hint="eastAsia" w:ascii="宋体" w:hAnsi="宋体" w:cs="宋体"/>
          <w:highlight w:val="none"/>
          <w:u w:val="single"/>
        </w:rPr>
        <w:t xml:space="preserve">                  </w:t>
      </w:r>
      <w:r>
        <w:rPr>
          <w:rFonts w:hint="eastAsia" w:ascii="宋体" w:hAnsi="宋体" w:cs="宋体"/>
          <w:highlight w:val="none"/>
        </w:rPr>
        <w:t xml:space="preserve">； </w:t>
      </w:r>
    </w:p>
    <w:p w14:paraId="67D497AD">
      <w:pPr>
        <w:widowControl/>
        <w:spacing w:line="460" w:lineRule="exact"/>
        <w:ind w:firstLine="420" w:firstLineChars="200"/>
        <w:jc w:val="left"/>
        <w:rPr>
          <w:rFonts w:ascii="宋体" w:hAnsi="宋体" w:cs="宋体"/>
          <w:highlight w:val="none"/>
        </w:rPr>
      </w:pPr>
      <w:r>
        <w:rPr>
          <w:rFonts w:hint="eastAsia" w:ascii="宋体" w:hAnsi="宋体" w:cs="宋体"/>
          <w:highlight w:val="none"/>
        </w:rPr>
        <w:t>联系电话：</w:t>
      </w:r>
      <w:r>
        <w:rPr>
          <w:rFonts w:hint="eastAsia" w:ascii="宋体" w:hAnsi="宋体" w:cs="宋体"/>
          <w:highlight w:val="none"/>
          <w:u w:val="single"/>
        </w:rPr>
        <w:t xml:space="preserve">               </w:t>
      </w:r>
      <w:r>
        <w:rPr>
          <w:rFonts w:hint="eastAsia" w:ascii="宋体" w:hAnsi="宋体" w:cs="宋体"/>
          <w:highlight w:val="none"/>
        </w:rPr>
        <w:t xml:space="preserve">； </w:t>
      </w:r>
    </w:p>
    <w:p w14:paraId="34C5C174">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发包人对发包人代表的授权范围如下</w:t>
      </w:r>
      <w:r>
        <w:rPr>
          <w:rFonts w:hint="eastAsia" w:ascii="宋体" w:hAnsi="宋体" w:cs="宋体"/>
          <w:highlight w:val="none"/>
          <w:u w:val="none"/>
        </w:rPr>
        <w:t>：</w:t>
      </w:r>
      <w:r>
        <w:rPr>
          <w:rFonts w:hint="eastAsia" w:ascii="宋体" w:hAnsi="宋体" w:cs="宋体"/>
          <w:highlight w:val="none"/>
          <w:u w:val="single"/>
        </w:rPr>
        <w:t>发包人代表负责工程协调管理，按程序办理签证及变更方案实施</w:t>
      </w:r>
      <w:r>
        <w:rPr>
          <w:rFonts w:hint="eastAsia" w:ascii="宋体" w:hAnsi="宋体" w:cs="宋体"/>
          <w:highlight w:val="none"/>
          <w:u w:val="single"/>
          <w:lang w:eastAsia="zh-CN"/>
        </w:rPr>
        <w:t>、</w:t>
      </w:r>
      <w:r>
        <w:rPr>
          <w:rFonts w:hint="eastAsia" w:ascii="宋体" w:hAnsi="宋体" w:cs="宋体"/>
          <w:highlight w:val="none"/>
          <w:u w:val="single"/>
        </w:rPr>
        <w:t>确认现场工程量项目、</w:t>
      </w:r>
      <w:r>
        <w:rPr>
          <w:rFonts w:ascii="宋体" w:hAnsi="宋体" w:cs="宋体"/>
          <w:highlight w:val="none"/>
          <w:u w:val="single"/>
        </w:rPr>
        <w:t>对工程质量、施工进度、造价控制、合同管理、信息管理及组织协调等各方面全面监督和管理</w:t>
      </w:r>
    </w:p>
    <w:p w14:paraId="7D6C568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2.4 施工现场、施工条件和基础资料的提供。 </w:t>
      </w:r>
    </w:p>
    <w:p w14:paraId="03167B31">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2.4.1 提供施工现场 </w:t>
      </w:r>
    </w:p>
    <w:p w14:paraId="32AA6248">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关于发包人移交施工现场的期限要求：</w:t>
      </w:r>
      <w:r>
        <w:rPr>
          <w:rFonts w:hint="eastAsia" w:ascii="宋体" w:hAnsi="宋体" w:cs="宋体"/>
          <w:highlight w:val="none"/>
          <w:u w:val="single"/>
        </w:rPr>
        <w:t>开工前3天提供承包人相应的工作面。</w:t>
      </w:r>
      <w:r>
        <w:rPr>
          <w:rFonts w:hint="eastAsia" w:ascii="宋体" w:hAnsi="宋体" w:cs="宋体"/>
          <w:highlight w:val="none"/>
        </w:rPr>
        <w:t xml:space="preserve"> </w:t>
      </w:r>
    </w:p>
    <w:p w14:paraId="4B38D7EC">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2.4.2 提供施工条件 </w:t>
      </w:r>
    </w:p>
    <w:p w14:paraId="56948FE5">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关于发包人应负责提供施工所需要的条件，包括：</w:t>
      </w:r>
      <w:r>
        <w:rPr>
          <w:rFonts w:hint="eastAsia" w:ascii="宋体" w:hAnsi="宋体" w:cs="宋体"/>
          <w:highlight w:val="none"/>
          <w:u w:val="single"/>
        </w:rPr>
        <w:t>本工程发包人仅提供临时用水、用电接入口，具体由承包人自行接入到位并单独挂表计量，费用由承包人自行缴纳；施工场地与公共道路的通道开通，开工前由发包人配合承包人进行，费用由承包人负责；开工前 5 天内协调处理施工场地周围地下管线和邻近建筑物、构筑（含文物保护建筑）、古树名木的保护工作，费用由承包人负责。</w:t>
      </w:r>
    </w:p>
    <w:p w14:paraId="01F5A28F">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2.5 资金来源证明及支付担保 </w:t>
      </w:r>
    </w:p>
    <w:p w14:paraId="0E59269E">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发包人提供资金来源证明的期限要求：</w:t>
      </w:r>
      <w:r>
        <w:rPr>
          <w:rFonts w:hint="eastAsia" w:ascii="宋体" w:hAnsi="宋体" w:cs="宋体"/>
          <w:highlight w:val="none"/>
          <w:u w:val="single"/>
        </w:rPr>
        <w:t xml:space="preserve">       /        </w:t>
      </w:r>
      <w:r>
        <w:rPr>
          <w:rFonts w:hint="eastAsia" w:ascii="宋体" w:hAnsi="宋体" w:cs="宋体"/>
          <w:highlight w:val="none"/>
        </w:rPr>
        <w:t xml:space="preserve">。 </w:t>
      </w:r>
    </w:p>
    <w:p w14:paraId="25214C04">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发包人是否提供支付担保：</w:t>
      </w:r>
      <w:r>
        <w:rPr>
          <w:rFonts w:hint="eastAsia" w:ascii="宋体" w:hAnsi="宋体" w:cs="宋体"/>
          <w:highlight w:val="none"/>
          <w:u w:val="single"/>
        </w:rPr>
        <w:t xml:space="preserve">       /        </w:t>
      </w:r>
      <w:r>
        <w:rPr>
          <w:rFonts w:hint="eastAsia" w:ascii="宋体" w:hAnsi="宋体" w:cs="宋体"/>
          <w:highlight w:val="none"/>
        </w:rPr>
        <w:t>。</w:t>
      </w:r>
    </w:p>
    <w:p w14:paraId="038AF4CA">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发包人提供支付担保的形式：</w:t>
      </w:r>
      <w:r>
        <w:rPr>
          <w:rFonts w:hint="eastAsia" w:ascii="宋体" w:hAnsi="宋体" w:cs="宋体"/>
          <w:highlight w:val="none"/>
          <w:u w:val="single"/>
        </w:rPr>
        <w:t xml:space="preserve">        /       </w:t>
      </w:r>
      <w:r>
        <w:rPr>
          <w:rFonts w:hint="eastAsia" w:ascii="宋体" w:hAnsi="宋体" w:cs="宋体"/>
          <w:highlight w:val="none"/>
        </w:rPr>
        <w:t xml:space="preserve">。 </w:t>
      </w:r>
    </w:p>
    <w:p w14:paraId="756D83C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 承包人 </w:t>
      </w:r>
    </w:p>
    <w:p w14:paraId="157C10CF">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3.1 承包人的一般义务 </w:t>
      </w:r>
    </w:p>
    <w:p w14:paraId="0E1EA9B0">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承包人提交的竣工资料的内容：</w:t>
      </w:r>
      <w:r>
        <w:rPr>
          <w:rFonts w:hint="eastAsia" w:ascii="宋体" w:hAnsi="宋体" w:cs="宋体"/>
          <w:highlight w:val="none"/>
          <w:u w:val="single"/>
        </w:rPr>
        <w:t xml:space="preserve">按发包人要求提交全套施工资料及竣工图。 </w:t>
      </w:r>
    </w:p>
    <w:p w14:paraId="11230777">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承包人需要提交的竣工资料套数：</w:t>
      </w:r>
      <w:r>
        <w:rPr>
          <w:rFonts w:hint="eastAsia" w:ascii="宋体" w:hAnsi="宋体" w:cs="宋体"/>
          <w:highlight w:val="none"/>
          <w:u w:val="single"/>
          <w:lang w:val="en-US" w:eastAsia="zh-CN"/>
        </w:rPr>
        <w:t>不少于伍份</w:t>
      </w:r>
      <w:r>
        <w:rPr>
          <w:rFonts w:hint="eastAsia" w:ascii="宋体" w:hAnsi="宋体" w:cs="宋体"/>
          <w:highlight w:val="none"/>
          <w:u w:val="single"/>
        </w:rPr>
        <w:t>。</w:t>
      </w:r>
    </w:p>
    <w:p w14:paraId="6851C364">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承包人提交的竣工资料的费用承担：</w:t>
      </w:r>
      <w:r>
        <w:rPr>
          <w:rFonts w:hint="eastAsia" w:ascii="宋体" w:hAnsi="宋体" w:cs="宋体"/>
          <w:highlight w:val="none"/>
          <w:u w:val="single"/>
        </w:rPr>
        <w:t>由承包人承担。</w:t>
      </w:r>
      <w:r>
        <w:rPr>
          <w:rFonts w:hint="eastAsia" w:ascii="宋体" w:hAnsi="宋体" w:cs="宋体"/>
          <w:highlight w:val="none"/>
        </w:rPr>
        <w:t xml:space="preserve"> </w:t>
      </w:r>
    </w:p>
    <w:p w14:paraId="7FDE0980">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承包人提交的竣工资料移交时间：</w:t>
      </w:r>
      <w:r>
        <w:rPr>
          <w:rFonts w:hint="eastAsia" w:ascii="宋体" w:hAnsi="宋体" w:cs="宋体"/>
          <w:highlight w:val="none"/>
          <w:u w:val="single"/>
        </w:rPr>
        <w:t>工程竣工验收合格后28日内。</w:t>
      </w:r>
      <w:r>
        <w:rPr>
          <w:rFonts w:hint="eastAsia" w:ascii="宋体" w:hAnsi="宋体" w:cs="宋体"/>
          <w:highlight w:val="none"/>
        </w:rPr>
        <w:t xml:space="preserve"> </w:t>
      </w:r>
    </w:p>
    <w:p w14:paraId="562126E3">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承包人提交的竣工资料形式要求：</w:t>
      </w:r>
      <w:r>
        <w:rPr>
          <w:rFonts w:hint="eastAsia" w:ascii="宋体" w:hAnsi="宋体" w:cs="宋体"/>
          <w:highlight w:val="none"/>
          <w:u w:val="single"/>
        </w:rPr>
        <w:t>书面资料及电子档资料。</w:t>
      </w:r>
      <w:r>
        <w:rPr>
          <w:rFonts w:hint="eastAsia" w:ascii="宋体" w:hAnsi="宋体" w:cs="宋体"/>
          <w:highlight w:val="none"/>
        </w:rPr>
        <w:t xml:space="preserve"> </w:t>
      </w:r>
    </w:p>
    <w:p w14:paraId="4EB6EC13">
      <w:pPr>
        <w:spacing w:line="360" w:lineRule="auto"/>
        <w:ind w:firstLine="42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highlight w:val="none"/>
        </w:rPr>
        <w:t>承包人应履行的其他义务：</w:t>
      </w:r>
      <w:r>
        <w:rPr>
          <w:rFonts w:hint="eastAsia" w:ascii="宋体" w:hAnsi="宋体" w:cs="宋体"/>
          <w:highlight w:val="none"/>
          <w:u w:val="single"/>
        </w:rPr>
        <w:t>①承担施工安全保卫工作及非夜间施工照明的责任和要求：承包人在各种危险部位设置明显的安全警示标志，安全警示标志必须符合国家标准，如发生安全事故，责任概由承包人承担，并按招标文件的相关约定要求进行处罚。②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③已完工程成品保护的特殊要求及费用承担： 已竣工工程未交付发包人之前，负责已完成工程的保护工作，所需费用含在合同价内。④承包人必须对施工场地周围地下管线和邻近建筑物、构筑物进行保护，费用由承包人负责；如因承包人没有及时报告和保护而造成的一切经济损失和法律责任由承包人承担。⑤施工场地清洁卫生的要求：按文明工地标准，施工现场材料堆放要整齐，并有遮盖，不得扬尘，机械停放有序，符合清洁卫生要求，承担因自身原因违反有关规定造成的损失和罚款。⑥双方约定承包人应做的其他工作：施工场地要设立标语、标牌，做到文明施工，树立企业形象，主动接受社会监督和有关部门的管理。⑦承包人在本专业工程竣工验收后七日内拆除所有临时设施，并清运出现场，费用由承包人负责。否则，如发生相关费用由发包人在工程竣工结算价款中扣除。⑧如发包人代扣代缴本工程应由承包人缴纳的各种费用，承包人必须履行发包人要求的各项手续，费用由承包人负责。⑨本工程向建设主管部门办理的工程施工许可手续，由承包人代为办理，发包人协助，费用按规定承担。⑩承包人无条件服从发包人管理工作的要求。自行协调与其它专业工程施工承包人（如有）之间的矛盾，如发生相关费用，由承包人自行承担。</w:t>
      </w:r>
    </w:p>
    <w:p w14:paraId="16C46465">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3.2 项目经理 </w:t>
      </w:r>
    </w:p>
    <w:p w14:paraId="66B8B10A">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3.2.1 项目经理： </w:t>
      </w:r>
    </w:p>
    <w:p w14:paraId="018F534D">
      <w:pPr>
        <w:widowControl/>
        <w:spacing w:line="460" w:lineRule="exact"/>
        <w:ind w:firstLine="420" w:firstLineChars="200"/>
        <w:jc w:val="left"/>
        <w:rPr>
          <w:rFonts w:ascii="宋体" w:hAnsi="宋体" w:cs="宋体"/>
          <w:highlight w:val="none"/>
        </w:rPr>
      </w:pPr>
      <w:r>
        <w:rPr>
          <w:rFonts w:hint="eastAsia" w:ascii="宋体" w:hAnsi="宋体" w:cs="宋体"/>
          <w:highlight w:val="none"/>
        </w:rPr>
        <w:t>姓 名：</w:t>
      </w:r>
      <w:r>
        <w:rPr>
          <w:rFonts w:hint="eastAsia" w:ascii="宋体" w:hAnsi="宋体" w:cs="宋体"/>
          <w:highlight w:val="none"/>
          <w:u w:val="single"/>
        </w:rPr>
        <w:t xml:space="preserve">                              </w:t>
      </w:r>
      <w:r>
        <w:rPr>
          <w:rFonts w:hint="eastAsia" w:ascii="宋体" w:hAnsi="宋体" w:cs="宋体"/>
          <w:highlight w:val="none"/>
        </w:rPr>
        <w:t xml:space="preserve">； </w:t>
      </w:r>
    </w:p>
    <w:p w14:paraId="6C1624BE">
      <w:pPr>
        <w:widowControl/>
        <w:spacing w:line="460" w:lineRule="exact"/>
        <w:ind w:firstLine="420" w:firstLineChars="200"/>
        <w:jc w:val="left"/>
        <w:rPr>
          <w:rFonts w:ascii="宋体" w:hAnsi="宋体" w:cs="宋体"/>
          <w:highlight w:val="none"/>
        </w:rPr>
      </w:pPr>
      <w:r>
        <w:rPr>
          <w:rFonts w:hint="eastAsia" w:ascii="宋体" w:hAnsi="宋体" w:cs="宋体"/>
          <w:highlight w:val="none"/>
        </w:rPr>
        <w:t>身份证号：</w:t>
      </w:r>
      <w:r>
        <w:rPr>
          <w:rFonts w:hint="eastAsia" w:ascii="宋体" w:hAnsi="宋体" w:cs="宋体"/>
          <w:highlight w:val="none"/>
          <w:u w:val="single"/>
        </w:rPr>
        <w:t xml:space="preserve">                           </w:t>
      </w:r>
      <w:r>
        <w:rPr>
          <w:rFonts w:hint="eastAsia" w:ascii="宋体" w:hAnsi="宋体" w:cs="宋体"/>
          <w:highlight w:val="none"/>
        </w:rPr>
        <w:t>；</w:t>
      </w:r>
    </w:p>
    <w:p w14:paraId="785B191F">
      <w:pPr>
        <w:widowControl/>
        <w:spacing w:line="460" w:lineRule="exact"/>
        <w:ind w:firstLine="420" w:firstLineChars="200"/>
        <w:jc w:val="left"/>
        <w:rPr>
          <w:rFonts w:ascii="宋体" w:hAnsi="宋体" w:cs="宋体"/>
          <w:highlight w:val="none"/>
        </w:rPr>
      </w:pPr>
      <w:r>
        <w:rPr>
          <w:rFonts w:hint="eastAsia" w:ascii="宋体" w:hAnsi="宋体" w:cs="宋体"/>
          <w:highlight w:val="none"/>
        </w:rPr>
        <w:t>建造师执业资格等级：</w:t>
      </w:r>
      <w:r>
        <w:rPr>
          <w:rFonts w:hint="eastAsia" w:ascii="宋体" w:hAnsi="宋体" w:cs="宋体"/>
          <w:highlight w:val="none"/>
          <w:u w:val="single"/>
        </w:rPr>
        <w:t xml:space="preserve">                 </w:t>
      </w:r>
      <w:r>
        <w:rPr>
          <w:rFonts w:hint="eastAsia" w:ascii="宋体" w:hAnsi="宋体" w:cs="宋体"/>
          <w:highlight w:val="none"/>
        </w:rPr>
        <w:t xml:space="preserve">； </w:t>
      </w:r>
    </w:p>
    <w:p w14:paraId="4958AC58">
      <w:pPr>
        <w:widowControl/>
        <w:spacing w:line="460" w:lineRule="exact"/>
        <w:ind w:firstLine="420" w:firstLineChars="200"/>
        <w:jc w:val="left"/>
        <w:rPr>
          <w:rFonts w:ascii="宋体" w:hAnsi="宋体" w:cs="宋体"/>
          <w:highlight w:val="none"/>
        </w:rPr>
      </w:pPr>
      <w:r>
        <w:rPr>
          <w:rFonts w:hint="eastAsia" w:ascii="宋体" w:hAnsi="宋体" w:cs="宋体"/>
          <w:highlight w:val="none"/>
        </w:rPr>
        <w:t>建造师注册证书号：</w:t>
      </w:r>
      <w:r>
        <w:rPr>
          <w:rFonts w:hint="eastAsia" w:ascii="宋体" w:hAnsi="宋体" w:cs="宋体"/>
          <w:highlight w:val="none"/>
          <w:u w:val="single"/>
        </w:rPr>
        <w:t xml:space="preserve">                   </w:t>
      </w:r>
      <w:r>
        <w:rPr>
          <w:rFonts w:hint="eastAsia" w:ascii="宋体" w:hAnsi="宋体" w:cs="宋体"/>
          <w:highlight w:val="none"/>
        </w:rPr>
        <w:t>；</w:t>
      </w:r>
    </w:p>
    <w:p w14:paraId="2104C812">
      <w:pPr>
        <w:widowControl/>
        <w:spacing w:line="460" w:lineRule="exact"/>
        <w:ind w:firstLine="420" w:firstLineChars="200"/>
        <w:jc w:val="left"/>
        <w:rPr>
          <w:rFonts w:ascii="宋体" w:hAnsi="宋体" w:cs="宋体"/>
          <w:highlight w:val="none"/>
        </w:rPr>
      </w:pPr>
      <w:r>
        <w:rPr>
          <w:rFonts w:hint="eastAsia" w:ascii="宋体" w:hAnsi="宋体" w:cs="宋体"/>
          <w:highlight w:val="none"/>
        </w:rPr>
        <w:t>建造师执业印章号：</w:t>
      </w:r>
      <w:r>
        <w:rPr>
          <w:rFonts w:hint="eastAsia" w:ascii="宋体" w:hAnsi="宋体" w:cs="宋体"/>
          <w:highlight w:val="none"/>
          <w:u w:val="single"/>
        </w:rPr>
        <w:t xml:space="preserve">                   </w:t>
      </w:r>
      <w:r>
        <w:rPr>
          <w:rFonts w:hint="eastAsia" w:ascii="宋体" w:hAnsi="宋体" w:cs="宋体"/>
          <w:highlight w:val="none"/>
        </w:rPr>
        <w:t>；</w:t>
      </w:r>
    </w:p>
    <w:p w14:paraId="3DC9747F">
      <w:pPr>
        <w:widowControl/>
        <w:spacing w:line="460" w:lineRule="exact"/>
        <w:ind w:firstLine="420" w:firstLineChars="200"/>
        <w:jc w:val="left"/>
        <w:rPr>
          <w:rFonts w:ascii="宋体" w:hAnsi="宋体" w:cs="宋体"/>
          <w:highlight w:val="none"/>
        </w:rPr>
      </w:pPr>
      <w:r>
        <w:rPr>
          <w:rFonts w:hint="eastAsia" w:ascii="宋体" w:hAnsi="宋体" w:cs="宋体"/>
          <w:highlight w:val="none"/>
        </w:rPr>
        <w:t>安全生产考核合格证书号：</w:t>
      </w:r>
      <w:r>
        <w:rPr>
          <w:rFonts w:hint="eastAsia" w:ascii="宋体" w:hAnsi="宋体" w:cs="宋体"/>
          <w:highlight w:val="none"/>
          <w:u w:val="single"/>
        </w:rPr>
        <w:t xml:space="preserve">             </w:t>
      </w:r>
      <w:r>
        <w:rPr>
          <w:rFonts w:hint="eastAsia" w:ascii="宋体" w:hAnsi="宋体" w:cs="宋体"/>
          <w:highlight w:val="none"/>
        </w:rPr>
        <w:t>；</w:t>
      </w:r>
    </w:p>
    <w:p w14:paraId="77A78B54">
      <w:pPr>
        <w:widowControl/>
        <w:spacing w:line="460" w:lineRule="exact"/>
        <w:ind w:firstLine="420" w:firstLineChars="200"/>
        <w:jc w:val="left"/>
        <w:rPr>
          <w:rFonts w:ascii="宋体" w:hAnsi="宋体" w:cs="宋体"/>
          <w:highlight w:val="none"/>
        </w:rPr>
      </w:pPr>
      <w:r>
        <w:rPr>
          <w:rFonts w:hint="eastAsia" w:ascii="宋体" w:hAnsi="宋体" w:cs="宋体"/>
          <w:highlight w:val="none"/>
        </w:rPr>
        <w:t>联系电话：</w:t>
      </w:r>
      <w:r>
        <w:rPr>
          <w:rFonts w:hint="eastAsia" w:ascii="宋体" w:hAnsi="宋体" w:cs="宋体"/>
          <w:highlight w:val="none"/>
          <w:u w:val="single"/>
        </w:rPr>
        <w:t xml:space="preserve">                           </w:t>
      </w:r>
      <w:r>
        <w:rPr>
          <w:rFonts w:hint="eastAsia" w:ascii="宋体" w:hAnsi="宋体" w:cs="宋体"/>
          <w:highlight w:val="none"/>
        </w:rPr>
        <w:t>；</w:t>
      </w:r>
    </w:p>
    <w:p w14:paraId="53E8EFA6">
      <w:pPr>
        <w:widowControl/>
        <w:spacing w:line="460" w:lineRule="exact"/>
        <w:ind w:firstLine="420" w:firstLineChars="200"/>
        <w:jc w:val="left"/>
        <w:rPr>
          <w:rFonts w:ascii="宋体" w:hAnsi="宋体" w:cs="宋体"/>
          <w:highlight w:val="none"/>
        </w:rPr>
      </w:pPr>
      <w:r>
        <w:rPr>
          <w:rFonts w:hint="eastAsia" w:ascii="宋体" w:hAnsi="宋体" w:cs="宋体"/>
          <w:highlight w:val="none"/>
        </w:rPr>
        <w:t>电子信箱：</w:t>
      </w:r>
      <w:r>
        <w:rPr>
          <w:rFonts w:hint="eastAsia" w:ascii="宋体" w:hAnsi="宋体" w:cs="宋体"/>
          <w:highlight w:val="none"/>
          <w:u w:val="single"/>
        </w:rPr>
        <w:t xml:space="preserve">                           </w:t>
      </w:r>
      <w:r>
        <w:rPr>
          <w:rFonts w:hint="eastAsia" w:ascii="宋体" w:hAnsi="宋体" w:cs="宋体"/>
          <w:highlight w:val="none"/>
        </w:rPr>
        <w:t>；</w:t>
      </w:r>
    </w:p>
    <w:p w14:paraId="147CFF86">
      <w:pPr>
        <w:widowControl/>
        <w:spacing w:line="460" w:lineRule="exact"/>
        <w:ind w:firstLine="420" w:firstLineChars="200"/>
        <w:jc w:val="left"/>
        <w:rPr>
          <w:rFonts w:ascii="宋体" w:hAnsi="宋体" w:cs="宋体"/>
          <w:highlight w:val="none"/>
        </w:rPr>
      </w:pPr>
      <w:r>
        <w:rPr>
          <w:rFonts w:hint="eastAsia" w:ascii="宋体" w:hAnsi="宋体" w:cs="宋体"/>
          <w:highlight w:val="none"/>
        </w:rPr>
        <w:t>通信地址：</w:t>
      </w:r>
      <w:r>
        <w:rPr>
          <w:rFonts w:hint="eastAsia" w:ascii="宋体" w:hAnsi="宋体" w:cs="宋体"/>
          <w:highlight w:val="none"/>
          <w:u w:val="single"/>
        </w:rPr>
        <w:t xml:space="preserve">                           </w:t>
      </w:r>
      <w:r>
        <w:rPr>
          <w:rFonts w:hint="eastAsia" w:ascii="宋体" w:hAnsi="宋体" w:cs="宋体"/>
          <w:highlight w:val="none"/>
        </w:rPr>
        <w:t>；</w:t>
      </w:r>
    </w:p>
    <w:p w14:paraId="50500339">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承包人对项目经理的授权范围如下：</w:t>
      </w:r>
      <w:r>
        <w:rPr>
          <w:rFonts w:hint="eastAsia" w:ascii="宋体" w:hAnsi="宋体" w:cs="宋体"/>
          <w:highlight w:val="none"/>
          <w:u w:val="single"/>
        </w:rPr>
        <w:t xml:space="preserve">具体负责本项目施工管理和合同履行。 </w:t>
      </w:r>
    </w:p>
    <w:p w14:paraId="34FDCE42">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关于项目经理每月在施工现场的时间要求：</w:t>
      </w:r>
      <w:r>
        <w:rPr>
          <w:rFonts w:hint="eastAsia" w:ascii="宋体" w:hAnsi="宋体" w:cs="宋体"/>
          <w:highlight w:val="none"/>
          <w:u w:val="single"/>
        </w:rPr>
        <w:t xml:space="preserve"> 该工程施工过程中项目经理和签订合同前经发包人及主管部门认定的项目部其他人员必须常驻现场实施施工管理。</w:t>
      </w:r>
      <w:r>
        <w:rPr>
          <w:rFonts w:hint="eastAsia" w:ascii="宋体" w:hAnsi="宋体" w:cs="宋体"/>
          <w:highlight w:val="none"/>
        </w:rPr>
        <w:t xml:space="preserve"> </w:t>
      </w:r>
    </w:p>
    <w:p w14:paraId="4D538C34">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承包人未提交劳动合同，以及没有为项目经理缴纳社会保险证明的违约责任：</w:t>
      </w:r>
      <w:r>
        <w:rPr>
          <w:rFonts w:hint="eastAsia" w:ascii="宋体" w:hAnsi="宋体" w:cs="宋体"/>
          <w:highlight w:val="none"/>
          <w:u w:val="single"/>
        </w:rPr>
        <w:t>按通用条款。</w:t>
      </w:r>
      <w:r>
        <w:rPr>
          <w:rFonts w:hint="eastAsia" w:ascii="宋体" w:hAnsi="宋体" w:cs="宋体"/>
          <w:highlight w:val="none"/>
        </w:rPr>
        <w:t xml:space="preserve"> </w:t>
      </w:r>
    </w:p>
    <w:p w14:paraId="48543FB0">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420" w:firstLineChars="200"/>
        <w:textAlignment w:val="auto"/>
        <w:rPr>
          <w:rFonts w:ascii="宋体" w:hAnsi="宋体" w:cs="宋体"/>
          <w:highlight w:val="none"/>
          <w:u w:val="single"/>
        </w:rPr>
      </w:pPr>
      <w:r>
        <w:rPr>
          <w:rFonts w:hint="eastAsia" w:ascii="宋体" w:hAnsi="宋体" w:cs="宋体"/>
          <w:highlight w:val="none"/>
        </w:rPr>
        <w:t>项目经理未经批准，擅自离开施工现场的违约责任：</w:t>
      </w:r>
      <w:r>
        <w:rPr>
          <w:rFonts w:ascii="宋体" w:hAnsi="宋体"/>
          <w:color w:val="auto"/>
          <w:highlight w:val="none"/>
          <w:u w:val="single"/>
        </w:rPr>
        <w:t>项目负责人每月在工地现场的时间不少于本月施工时间的</w:t>
      </w:r>
      <w:r>
        <w:rPr>
          <w:rFonts w:hint="eastAsia" w:ascii="宋体" w:hAnsi="宋体"/>
          <w:color w:val="auto"/>
          <w:highlight w:val="none"/>
          <w:u w:val="single"/>
        </w:rPr>
        <w:t>80</w:t>
      </w:r>
      <w:r>
        <w:rPr>
          <w:rFonts w:ascii="宋体" w:hAnsi="宋体"/>
          <w:color w:val="auto"/>
          <w:highlight w:val="none"/>
          <w:u w:val="single"/>
        </w:rPr>
        <w:t>％</w:t>
      </w:r>
      <w:r>
        <w:rPr>
          <w:rFonts w:hint="eastAsia" w:ascii="宋体" w:hAnsi="宋体"/>
          <w:color w:val="auto"/>
          <w:highlight w:val="none"/>
          <w:u w:val="single"/>
          <w:lang w:eastAsia="zh-CN"/>
        </w:rPr>
        <w:t>，</w:t>
      </w:r>
      <w:r>
        <w:rPr>
          <w:rFonts w:hint="eastAsia" w:ascii="宋体" w:hAnsi="宋体" w:cs="宋体"/>
          <w:highlight w:val="none"/>
          <w:u w:val="single"/>
        </w:rPr>
        <w:t>中途项目经理需离岗必须履行书面请假手续并经发包人同意。未经发包人同意擅自离岗的，将处以每人每天（以8小时为1天）或每次5000元的违约金，所扣违约金在支付工程款时，从应付的工程款中扣除。若擅自离岗累计达7次或累计达7天的，经发包人提出仍未改正的，发包人有权终止合同并没收承包人缴纳的全部履约保证金，因此给发包人造成损失的，发包人将依法追偿。</w:t>
      </w:r>
    </w:p>
    <w:p w14:paraId="4451CFF1">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3.2.3 承包人擅自更换项目经理的违约责任：</w:t>
      </w:r>
      <w:r>
        <w:rPr>
          <w:rFonts w:hint="eastAsia" w:ascii="宋体" w:hAnsi="宋体" w:cs="宋体"/>
          <w:highlight w:val="none"/>
          <w:u w:val="single"/>
        </w:rPr>
        <w:t xml:space="preserve">未经发包人同意，发包人可中止合同 </w:t>
      </w:r>
    </w:p>
    <w:p w14:paraId="547B5CB3">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3.2.4 承包人无正当理由拒绝更换项目经理的违约责任：</w:t>
      </w:r>
      <w:r>
        <w:rPr>
          <w:rFonts w:hint="eastAsia" w:ascii="宋体" w:hAnsi="宋体" w:cs="宋体"/>
          <w:highlight w:val="none"/>
          <w:u w:val="single"/>
        </w:rPr>
        <w:t xml:space="preserve">发包人将有权终止合同并没收全部履约保证金，并将依法追偿由此给发包人造成的直接和间接损失。 </w:t>
      </w:r>
    </w:p>
    <w:p w14:paraId="6C5F42E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3.3 承包人人员 </w:t>
      </w:r>
    </w:p>
    <w:p w14:paraId="1B621BA6">
      <w:pPr>
        <w:widowControl/>
        <w:spacing w:line="460" w:lineRule="exact"/>
        <w:ind w:firstLine="420" w:firstLineChars="200"/>
        <w:jc w:val="left"/>
        <w:rPr>
          <w:rFonts w:ascii="宋体" w:hAnsi="宋体" w:cs="宋体"/>
          <w:highlight w:val="none"/>
        </w:rPr>
      </w:pPr>
      <w:r>
        <w:rPr>
          <w:rFonts w:hint="eastAsia" w:ascii="宋体" w:hAnsi="宋体" w:cs="宋体"/>
          <w:highlight w:val="none"/>
        </w:rPr>
        <w:t>3.3.1 承包人提交项目管理机构及施工现场管理人员安排报告的期限：</w:t>
      </w:r>
      <w:r>
        <w:rPr>
          <w:rFonts w:hint="eastAsia" w:ascii="宋体" w:hAnsi="宋体" w:cs="宋体"/>
          <w:highlight w:val="none"/>
          <w:u w:val="single"/>
        </w:rPr>
        <w:t xml:space="preserve">进场3日内。 </w:t>
      </w:r>
    </w:p>
    <w:p w14:paraId="356A8862">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3.3.3 承包人无正当理由拒绝撤换主要施工管理人员的违约责任：</w:t>
      </w:r>
      <w:r>
        <w:rPr>
          <w:rFonts w:hint="eastAsia" w:ascii="宋体" w:hAnsi="宋体" w:cs="宋体"/>
          <w:highlight w:val="none"/>
          <w:u w:val="single"/>
        </w:rPr>
        <w:t xml:space="preserve">发包人有权终止合同同时没收全部履约保证金,并依法追偿由此给发包人造成的直接和间接损失。 </w:t>
      </w:r>
    </w:p>
    <w:p w14:paraId="2BB272A9">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3.3.4 承包人主要施工管理人员离开施工现场的批准要求：</w:t>
      </w:r>
      <w:r>
        <w:rPr>
          <w:rFonts w:hint="eastAsia" w:ascii="宋体" w:hAnsi="宋体" w:cs="宋体"/>
          <w:highlight w:val="none"/>
          <w:u w:val="single"/>
        </w:rPr>
        <w:t xml:space="preserve">中途施工管理人员需离岗必须履行书面请假手续并经发包人同意。 </w:t>
      </w:r>
    </w:p>
    <w:p w14:paraId="01059994">
      <w:pPr>
        <w:widowControl/>
        <w:spacing w:line="460" w:lineRule="exact"/>
        <w:ind w:firstLine="420" w:firstLineChars="200"/>
        <w:jc w:val="left"/>
        <w:rPr>
          <w:rFonts w:ascii="宋体" w:hAnsi="宋体" w:cs="宋体"/>
          <w:highlight w:val="none"/>
        </w:rPr>
      </w:pPr>
      <w:r>
        <w:rPr>
          <w:rFonts w:hint="eastAsia" w:ascii="宋体" w:hAnsi="宋体" w:cs="宋体"/>
          <w:highlight w:val="none"/>
        </w:rPr>
        <w:t>3.3.5承包人擅自更换主要施工管理人员的违约责任：</w:t>
      </w:r>
      <w:r>
        <w:rPr>
          <w:rFonts w:hint="eastAsia" w:ascii="宋体" w:hAnsi="宋体" w:cs="宋体"/>
          <w:highlight w:val="none"/>
          <w:u w:val="single"/>
        </w:rPr>
        <w:t>未经发包人同意，发包人可中止合同。</w:t>
      </w:r>
      <w:r>
        <w:rPr>
          <w:rFonts w:hint="eastAsia" w:ascii="宋体" w:hAnsi="宋体" w:cs="宋体"/>
          <w:highlight w:val="none"/>
        </w:rPr>
        <w:t xml:space="preserve"> </w:t>
      </w:r>
    </w:p>
    <w:p w14:paraId="44AEE274">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3.3.6承包人主要施工管理人员擅自离开施工现场的违约责任：</w:t>
      </w:r>
      <w:r>
        <w:rPr>
          <w:rFonts w:hint="eastAsia" w:ascii="宋体" w:hAnsi="宋体" w:cs="宋体"/>
          <w:highlight w:val="none"/>
          <w:u w:val="single"/>
        </w:rPr>
        <w:t>若未经发包人同意而擅自离岗的，将处以每人每天</w:t>
      </w:r>
      <w:r>
        <w:rPr>
          <w:rFonts w:hint="eastAsia" w:ascii="宋体" w:hAnsi="宋体" w:cs="宋体"/>
          <w:highlight w:val="none"/>
          <w:u w:val="single"/>
          <w:lang w:val="en-US" w:eastAsia="zh-CN"/>
        </w:rPr>
        <w:t>2</w:t>
      </w:r>
      <w:r>
        <w:rPr>
          <w:rFonts w:hint="eastAsia" w:ascii="宋体" w:hAnsi="宋体" w:cs="宋体"/>
          <w:highlight w:val="none"/>
          <w:u w:val="single"/>
        </w:rPr>
        <w:t>000元的违约金，在支付工程款时从应付的工程款中扣除。若擅自离岗连续达2天以上的，经发包人提出仍未改正的，发包人有权终止合同，因此给发包人造成损失的，发包人将依法追偿。</w:t>
      </w:r>
    </w:p>
    <w:p w14:paraId="536A1341">
      <w:pPr>
        <w:widowControl/>
        <w:spacing w:line="460" w:lineRule="exact"/>
        <w:ind w:firstLine="420" w:firstLineChars="200"/>
        <w:jc w:val="left"/>
        <w:rPr>
          <w:highlight w:val="none"/>
        </w:rPr>
      </w:pPr>
      <w:r>
        <w:rPr>
          <w:rFonts w:hint="eastAsia" w:ascii="宋体" w:hAnsi="宋体" w:cs="宋体"/>
          <w:highlight w:val="none"/>
        </w:rPr>
        <w:t>注：工程项目部管理人员必须严格按招投标文件要求及时配备到位。所有人员有持证要求的必须持证上 岗，在项目经理的统一领导下，尽心尽职地做好本职工作。如不能胜任工作的，发包人将有权建议更换 ，直到更换至能胜任现场管理工作为止。</w:t>
      </w:r>
    </w:p>
    <w:p w14:paraId="5072E83B">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3.5 分包 </w:t>
      </w:r>
    </w:p>
    <w:p w14:paraId="3892224A">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3.5.1 分包的一般约定 </w:t>
      </w:r>
    </w:p>
    <w:p w14:paraId="1603E1D2">
      <w:pPr>
        <w:widowControl/>
        <w:spacing w:line="460" w:lineRule="exact"/>
        <w:ind w:firstLine="420" w:firstLineChars="200"/>
        <w:jc w:val="left"/>
        <w:rPr>
          <w:rFonts w:ascii="宋体" w:hAnsi="宋体" w:cs="宋体"/>
          <w:highlight w:val="none"/>
        </w:rPr>
      </w:pPr>
      <w:r>
        <w:rPr>
          <w:rFonts w:hint="eastAsia" w:ascii="宋体" w:hAnsi="宋体" w:cs="宋体"/>
          <w:highlight w:val="none"/>
        </w:rPr>
        <w:t>禁止分包的工程包括：</w:t>
      </w:r>
      <w:r>
        <w:rPr>
          <w:rFonts w:hint="eastAsia" w:ascii="宋体" w:hAnsi="宋体" w:cs="宋体"/>
          <w:highlight w:val="none"/>
          <w:u w:val="single"/>
        </w:rPr>
        <w:t>本工程不允许分包、转包。</w:t>
      </w:r>
      <w:r>
        <w:rPr>
          <w:rFonts w:hint="eastAsia" w:ascii="宋体" w:hAnsi="宋体" w:cs="宋体"/>
          <w:highlight w:val="none"/>
        </w:rPr>
        <w:t xml:space="preserve"> </w:t>
      </w:r>
    </w:p>
    <w:p w14:paraId="3AC7DAB3">
      <w:pPr>
        <w:widowControl/>
        <w:spacing w:line="460" w:lineRule="exact"/>
        <w:ind w:firstLine="420" w:firstLineChars="200"/>
        <w:jc w:val="left"/>
        <w:rPr>
          <w:rFonts w:ascii="宋体" w:hAnsi="宋体" w:cs="宋体"/>
          <w:highlight w:val="none"/>
        </w:rPr>
      </w:pPr>
      <w:r>
        <w:rPr>
          <w:rFonts w:hint="eastAsia" w:ascii="宋体" w:hAnsi="宋体" w:cs="宋体"/>
          <w:highlight w:val="none"/>
        </w:rPr>
        <w:t>主体结构、关键性工作的范围：</w:t>
      </w:r>
      <w:r>
        <w:rPr>
          <w:rFonts w:hint="eastAsia" w:ascii="宋体" w:hAnsi="宋体" w:cs="宋体"/>
          <w:highlight w:val="none"/>
          <w:u w:val="single"/>
        </w:rPr>
        <w:t xml:space="preserve">  /  </w:t>
      </w:r>
      <w:r>
        <w:rPr>
          <w:rFonts w:hint="eastAsia" w:ascii="宋体" w:hAnsi="宋体" w:cs="宋体"/>
          <w:highlight w:val="none"/>
        </w:rPr>
        <w:t xml:space="preserve">。 </w:t>
      </w:r>
    </w:p>
    <w:p w14:paraId="451ACE4D">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3.5.2分包的确定 </w:t>
      </w:r>
    </w:p>
    <w:p w14:paraId="00477012">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允许分包的专业工程包括：</w:t>
      </w:r>
      <w:r>
        <w:rPr>
          <w:rFonts w:hint="eastAsia" w:ascii="宋体" w:hAnsi="宋体" w:cs="宋体"/>
          <w:highlight w:val="none"/>
          <w:u w:val="single"/>
        </w:rPr>
        <w:t xml:space="preserve">  /  </w:t>
      </w:r>
      <w:r>
        <w:rPr>
          <w:rFonts w:hint="eastAsia" w:ascii="宋体" w:hAnsi="宋体" w:cs="宋体"/>
          <w:highlight w:val="none"/>
        </w:rPr>
        <w:t>。</w:t>
      </w:r>
    </w:p>
    <w:p w14:paraId="7EB5994A">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其他关于分包的约定：</w:t>
      </w:r>
      <w:r>
        <w:rPr>
          <w:rFonts w:hint="eastAsia" w:ascii="宋体" w:hAnsi="宋体" w:cs="宋体"/>
          <w:highlight w:val="none"/>
          <w:u w:val="single"/>
        </w:rPr>
        <w:t xml:space="preserve">  /  </w:t>
      </w:r>
      <w:r>
        <w:rPr>
          <w:rFonts w:hint="eastAsia" w:ascii="宋体" w:hAnsi="宋体" w:cs="宋体"/>
          <w:highlight w:val="none"/>
        </w:rPr>
        <w:t>。</w:t>
      </w:r>
    </w:p>
    <w:p w14:paraId="26139A91">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3.5.4 分包合同价款 </w:t>
      </w:r>
    </w:p>
    <w:p w14:paraId="576A9F20">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关于分包合同价款支付的约定：</w:t>
      </w:r>
      <w:r>
        <w:rPr>
          <w:rFonts w:hint="eastAsia" w:ascii="宋体" w:hAnsi="宋体" w:cs="宋体"/>
          <w:highlight w:val="none"/>
          <w:u w:val="single"/>
        </w:rPr>
        <w:t>按分包合同约定。</w:t>
      </w:r>
      <w:r>
        <w:rPr>
          <w:rFonts w:hint="eastAsia" w:ascii="宋体" w:hAnsi="宋体" w:cs="宋体"/>
          <w:highlight w:val="none"/>
        </w:rPr>
        <w:t xml:space="preserve"> </w:t>
      </w:r>
    </w:p>
    <w:p w14:paraId="7BDBFFB0">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3.6 工程照管与成品、半成品保护 </w:t>
      </w:r>
    </w:p>
    <w:p w14:paraId="08C20856">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承包人负责照管工程及工程相关的材料、工程设备的起始时间：</w:t>
      </w:r>
      <w:r>
        <w:rPr>
          <w:rFonts w:hint="eastAsia" w:ascii="宋体" w:hAnsi="宋体" w:cs="宋体"/>
          <w:highlight w:val="none"/>
          <w:u w:val="single"/>
        </w:rPr>
        <w:t>进场直至施工完成交付使用，费用由承包人承担</w:t>
      </w:r>
      <w:r>
        <w:rPr>
          <w:rFonts w:hint="eastAsia" w:ascii="宋体" w:hAnsi="宋体" w:cs="宋体"/>
          <w:highlight w:val="none"/>
        </w:rPr>
        <w:t xml:space="preserve">。 </w:t>
      </w:r>
    </w:p>
    <w:p w14:paraId="7E877BF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3.7 履约担保 </w:t>
      </w:r>
    </w:p>
    <w:p w14:paraId="21D3E120">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承包人是否提供履约担保：</w:t>
      </w:r>
      <w:r>
        <w:rPr>
          <w:rFonts w:hint="eastAsia" w:ascii="宋体" w:hAnsi="宋体" w:cs="宋体"/>
          <w:highlight w:val="none"/>
          <w:u w:val="single"/>
        </w:rPr>
        <w:t>是</w:t>
      </w:r>
      <w:r>
        <w:rPr>
          <w:rFonts w:hint="eastAsia" w:ascii="宋体" w:hAnsi="宋体" w:cs="宋体"/>
          <w:highlight w:val="none"/>
        </w:rPr>
        <w:t xml:space="preserve">。 </w:t>
      </w:r>
    </w:p>
    <w:p w14:paraId="1330F601">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3.7.1乙方交纳人民币（大写）</w:t>
      </w:r>
      <w:r>
        <w:rPr>
          <w:rFonts w:hint="eastAsia" w:ascii="宋体" w:hAnsi="宋体" w:cs="宋体"/>
          <w:highlight w:val="none"/>
          <w:u w:val="single"/>
          <w:lang w:val="en-US" w:eastAsia="zh-CN"/>
        </w:rPr>
        <w:t xml:space="preserve">         </w:t>
      </w:r>
      <w:r>
        <w:rPr>
          <w:rFonts w:hint="eastAsia" w:ascii="宋体" w:hAnsi="宋体" w:cs="宋体"/>
          <w:highlight w:val="none"/>
          <w:lang w:val="en-US" w:eastAsia="zh-CN"/>
        </w:rPr>
        <w:t>圆整（¥</w:t>
      </w:r>
      <w:r>
        <w:rPr>
          <w:rFonts w:hint="eastAsia" w:ascii="宋体" w:hAnsi="宋体" w:cs="宋体"/>
          <w:highlight w:val="none"/>
          <w:u w:val="single"/>
          <w:lang w:val="en-US" w:eastAsia="zh-CN"/>
        </w:rPr>
        <w:t xml:space="preserve">         </w:t>
      </w:r>
      <w:r>
        <w:rPr>
          <w:rFonts w:hint="eastAsia" w:ascii="宋体" w:hAnsi="宋体" w:cs="宋体"/>
          <w:highlight w:val="none"/>
          <w:lang w:val="en-US" w:eastAsia="zh-CN"/>
        </w:rPr>
        <w:t>元）作为本合同的履约保证金（合同金额的10%）；于合同履行完毕后同合同款一起无息退还。引用盐城信用办推行的第三方信用报告，AAA的供应商免交履约保证金，AA的供应商按一半金额缴纳(需提供信用管理部门备案的第三方信用报告)。</w:t>
      </w:r>
    </w:p>
    <w:p w14:paraId="2DDA918D">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3.7.2确需收取履约保证金的，履约保证金的缴纳形式：</w:t>
      </w:r>
    </w:p>
    <w:p w14:paraId="0B1BE45E">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64707D2">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3.7.2.2 如以履约保函（保险）形式缴纳履约保证金，供应商可通过政府采购电子履约保函（保险）平台（www.jsdzbh.com）在线申请履约保函（保险）。</w:t>
      </w:r>
    </w:p>
    <w:p w14:paraId="7F6793D7">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3.7.3合同履行结束后，甲方应及时退还交纳的履约保证金。</w:t>
      </w:r>
    </w:p>
    <w:p w14:paraId="67795C8E">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3.7.4履约保证金的退还：</w:t>
      </w:r>
    </w:p>
    <w:p w14:paraId="2B5CDBBF">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3.7.4.1方式：无息退还至投标人缴纳履约保证金的账户。如为保函，在到期时自行失效。</w:t>
      </w:r>
    </w:p>
    <w:p w14:paraId="3A6861CC">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3.7.4.2时间：验收合格且采购人收到发票后30日内。</w:t>
      </w:r>
    </w:p>
    <w:p w14:paraId="7A1F886C">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3.7.4.3条件：按合同要求全部履约完成并经采购人验收合格，且采购人收到中标人出具的发票。</w:t>
      </w:r>
    </w:p>
    <w:p w14:paraId="337C6196">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3.7.4.4不予退还情形：</w:t>
      </w:r>
    </w:p>
    <w:p w14:paraId="34E28B20">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rPr>
        <w:t>除不可抗力情况外，投标人出现下列情形之一的，其履约保证金，招标人将视情节决定不予退还或部分不予退还。</w:t>
      </w:r>
    </w:p>
    <w:p w14:paraId="09BF3BB3">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（1）中标人无正当理由拒绝签订合同的，或者在签订合同时向采购人提出附加条件或者更改合同实质性内容要求的；</w:t>
      </w:r>
    </w:p>
    <w:p w14:paraId="5084EDBE">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（2）中标人不履行与采购人订立的合同的；</w:t>
      </w:r>
    </w:p>
    <w:p w14:paraId="507B71C6">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（3）中标人所供货物或服务不符合招标文件规定要求的；</w:t>
      </w:r>
    </w:p>
    <w:p w14:paraId="230E5696">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（4）中标人采取欺骗、弄虚作假方式投标的或与其它投标人串通投标的；</w:t>
      </w:r>
    </w:p>
    <w:p w14:paraId="169A2EB1">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（5）中标人将合同内容转包、违法分包的；</w:t>
      </w:r>
    </w:p>
    <w:p w14:paraId="1C358274">
      <w:pPr>
        <w:widowControl/>
        <w:spacing w:line="460" w:lineRule="exact"/>
        <w:ind w:firstLine="420" w:firstLineChars="200"/>
        <w:jc w:val="left"/>
        <w:rPr>
          <w:rFonts w:hint="eastAsia" w:ascii="宋体" w:hAnsi="宋体" w:cs="宋体"/>
          <w:highlight w:val="none"/>
          <w:lang w:val="en-US" w:eastAsia="zh-CN"/>
        </w:rPr>
      </w:pPr>
      <w:r>
        <w:rPr>
          <w:rFonts w:hint="eastAsia" w:ascii="宋体" w:hAnsi="宋体" w:cs="宋体"/>
          <w:highlight w:val="none"/>
          <w:lang w:val="en-US" w:eastAsia="zh-CN"/>
        </w:rPr>
        <w:t>（6）中标人故意捏造事实或伪造证明材料，进行虚假恶意投诉或反映的。</w:t>
      </w:r>
    </w:p>
    <w:p w14:paraId="5EB8FA25">
      <w:pPr>
        <w:widowControl/>
        <w:spacing w:line="460" w:lineRule="exact"/>
        <w:ind w:firstLine="420" w:firstLineChars="200"/>
        <w:jc w:val="left"/>
        <w:rPr>
          <w:rFonts w:hint="eastAsia" w:ascii="宋体" w:hAnsi="宋体" w:eastAsia="宋体" w:cs="宋体"/>
          <w:color w:val="000000"/>
          <w:kern w:val="0"/>
          <w:sz w:val="22"/>
          <w:szCs w:val="22"/>
          <w:highlight w:val="none"/>
          <w:lang w:val="en-US" w:eastAsia="zh-CN" w:bidi="ar-SA"/>
        </w:rPr>
      </w:pPr>
      <w:r>
        <w:rPr>
          <w:rFonts w:hint="eastAsia" w:ascii="宋体" w:hAnsi="宋体" w:cs="宋体"/>
          <w:highlight w:val="none"/>
          <w:lang w:val="en-US" w:eastAsia="zh-CN"/>
        </w:rPr>
        <w:t>3.7.4.5逾期退还的违约责任：采购人逾期无故未退还履约保证金的，按中国人民银行同期贷款基准利率上浮20%</w:t>
      </w:r>
      <w:r>
        <w:rPr>
          <w:rFonts w:hint="eastAsia" w:ascii="宋体" w:hAnsi="宋体" w:eastAsia="宋体" w:cs="宋体"/>
          <w:color w:val="000000"/>
          <w:kern w:val="0"/>
          <w:sz w:val="22"/>
          <w:szCs w:val="22"/>
          <w:highlight w:val="none"/>
          <w:lang w:val="en-US" w:eastAsia="zh-CN" w:bidi="ar-SA"/>
        </w:rPr>
        <w:t>后的利率支付超期资金占用费，但因供应商自身原因导致无法及时退还的除外。</w:t>
      </w:r>
    </w:p>
    <w:p w14:paraId="625125DA">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4. 监理人 </w:t>
      </w:r>
    </w:p>
    <w:p w14:paraId="2248E0A3">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4.1监理人的一般规定 </w:t>
      </w:r>
    </w:p>
    <w:p w14:paraId="64BFBA6C">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关于监理人的监理内容：</w:t>
      </w:r>
      <w:r>
        <w:rPr>
          <w:rFonts w:hint="eastAsia" w:ascii="宋体" w:hAnsi="宋体" w:cs="宋体"/>
          <w:highlight w:val="none"/>
          <w:u w:val="single"/>
        </w:rPr>
        <w:t>监理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highlight w:val="none"/>
        </w:rPr>
        <w:t>。</w:t>
      </w:r>
    </w:p>
    <w:p w14:paraId="6BB96A5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关于监理人的监理权限：</w:t>
      </w:r>
      <w:r>
        <w:rPr>
          <w:rFonts w:hint="eastAsia" w:ascii="宋体" w:hAnsi="宋体" w:cs="宋体"/>
          <w:highlight w:val="none"/>
          <w:u w:val="single"/>
        </w:rPr>
        <w:t xml:space="preserve">  /  </w:t>
      </w:r>
      <w:r>
        <w:rPr>
          <w:rFonts w:hint="eastAsia" w:ascii="宋体" w:hAnsi="宋体" w:cs="宋体"/>
          <w:highlight w:val="none"/>
        </w:rPr>
        <w:t>。</w:t>
      </w:r>
    </w:p>
    <w:p w14:paraId="712F4CBC">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关于监理人在施工现场的办公场所、生活场所的提供和费用承担的约定：</w:t>
      </w:r>
      <w:r>
        <w:rPr>
          <w:rFonts w:hint="eastAsia" w:ascii="宋体" w:hAnsi="宋体" w:cs="宋体"/>
          <w:highlight w:val="none"/>
          <w:u w:val="single"/>
        </w:rPr>
        <w:t xml:space="preserve">  /  </w:t>
      </w:r>
      <w:r>
        <w:rPr>
          <w:rFonts w:hint="eastAsia" w:ascii="宋体" w:hAnsi="宋体" w:cs="宋体"/>
          <w:highlight w:val="none"/>
        </w:rPr>
        <w:t>。</w:t>
      </w:r>
    </w:p>
    <w:p w14:paraId="200148E7">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4.2 监理人员 </w:t>
      </w:r>
    </w:p>
    <w:p w14:paraId="368D2D1E">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总监理工程师： </w:t>
      </w:r>
    </w:p>
    <w:p w14:paraId="7C55114C">
      <w:pPr>
        <w:widowControl/>
        <w:spacing w:line="460" w:lineRule="exact"/>
        <w:ind w:firstLine="420" w:firstLineChars="200"/>
        <w:jc w:val="left"/>
        <w:rPr>
          <w:rFonts w:ascii="宋体" w:hAnsi="宋体" w:cs="宋体"/>
          <w:highlight w:val="none"/>
        </w:rPr>
      </w:pPr>
      <w:r>
        <w:rPr>
          <w:rFonts w:hint="eastAsia" w:ascii="宋体" w:hAnsi="宋体" w:cs="宋体"/>
          <w:highlight w:val="none"/>
        </w:rPr>
        <w:t>姓 名：</w:t>
      </w:r>
      <w:r>
        <w:rPr>
          <w:rFonts w:hint="eastAsia" w:ascii="宋体" w:hAnsi="宋体" w:cs="宋体"/>
          <w:highlight w:val="none"/>
          <w:u w:val="single"/>
        </w:rPr>
        <w:t xml:space="preserve">      /      </w:t>
      </w:r>
      <w:r>
        <w:rPr>
          <w:rFonts w:hint="eastAsia" w:ascii="宋体" w:hAnsi="宋体" w:cs="宋体"/>
          <w:highlight w:val="none"/>
        </w:rPr>
        <w:t xml:space="preserve">； </w:t>
      </w:r>
    </w:p>
    <w:p w14:paraId="3F679749">
      <w:pPr>
        <w:widowControl/>
        <w:spacing w:line="460" w:lineRule="exact"/>
        <w:ind w:firstLine="420" w:firstLineChars="200"/>
        <w:jc w:val="left"/>
        <w:rPr>
          <w:rFonts w:ascii="宋体" w:hAnsi="宋体" w:cs="宋体"/>
          <w:highlight w:val="none"/>
        </w:rPr>
      </w:pPr>
      <w:r>
        <w:rPr>
          <w:rFonts w:hint="eastAsia" w:ascii="宋体" w:hAnsi="宋体" w:cs="宋体"/>
          <w:highlight w:val="none"/>
        </w:rPr>
        <w:t>职 务：</w:t>
      </w:r>
      <w:r>
        <w:rPr>
          <w:rFonts w:hint="eastAsia" w:ascii="宋体" w:hAnsi="宋体" w:cs="宋体"/>
          <w:highlight w:val="none"/>
          <w:u w:val="single"/>
        </w:rPr>
        <w:t xml:space="preserve">      /      </w:t>
      </w:r>
      <w:r>
        <w:rPr>
          <w:rFonts w:hint="eastAsia" w:ascii="宋体" w:hAnsi="宋体" w:cs="宋体"/>
          <w:highlight w:val="none"/>
        </w:rPr>
        <w:t xml:space="preserve">； </w:t>
      </w:r>
    </w:p>
    <w:p w14:paraId="4535EE58">
      <w:pPr>
        <w:widowControl/>
        <w:spacing w:line="460" w:lineRule="exact"/>
        <w:ind w:firstLine="420" w:firstLineChars="200"/>
        <w:jc w:val="left"/>
        <w:rPr>
          <w:rFonts w:ascii="宋体" w:hAnsi="宋体" w:cs="宋体"/>
          <w:highlight w:val="none"/>
        </w:rPr>
      </w:pPr>
      <w:r>
        <w:rPr>
          <w:rFonts w:hint="eastAsia" w:ascii="宋体" w:hAnsi="宋体" w:cs="宋体"/>
          <w:highlight w:val="none"/>
        </w:rPr>
        <w:t>监理工程师执业资格证书号：</w:t>
      </w:r>
      <w:r>
        <w:rPr>
          <w:rFonts w:hint="eastAsia" w:ascii="宋体" w:hAnsi="宋体" w:cs="宋体"/>
          <w:highlight w:val="none"/>
          <w:u w:val="single"/>
        </w:rPr>
        <w:t xml:space="preserve">      /      </w:t>
      </w:r>
      <w:r>
        <w:rPr>
          <w:rFonts w:hint="eastAsia" w:ascii="宋体" w:hAnsi="宋体" w:cs="宋体"/>
          <w:highlight w:val="none"/>
        </w:rPr>
        <w:t>；</w:t>
      </w:r>
    </w:p>
    <w:p w14:paraId="2944408D">
      <w:pPr>
        <w:widowControl/>
        <w:spacing w:line="460" w:lineRule="exact"/>
        <w:ind w:firstLine="420" w:firstLineChars="200"/>
        <w:jc w:val="left"/>
        <w:rPr>
          <w:rFonts w:ascii="宋体" w:hAnsi="宋体" w:cs="宋体"/>
          <w:highlight w:val="none"/>
        </w:rPr>
      </w:pPr>
      <w:r>
        <w:rPr>
          <w:rFonts w:hint="eastAsia" w:ascii="宋体" w:hAnsi="宋体" w:cs="宋体"/>
          <w:highlight w:val="none"/>
        </w:rPr>
        <w:t>联系电话：</w:t>
      </w:r>
      <w:r>
        <w:rPr>
          <w:rFonts w:hint="eastAsia" w:ascii="宋体" w:hAnsi="宋体" w:cs="宋体"/>
          <w:highlight w:val="none"/>
          <w:u w:val="single"/>
        </w:rPr>
        <w:t xml:space="preserve">      /      </w:t>
      </w:r>
      <w:r>
        <w:rPr>
          <w:rFonts w:hint="eastAsia" w:ascii="宋体" w:hAnsi="宋体" w:cs="宋体"/>
          <w:highlight w:val="none"/>
        </w:rPr>
        <w:t xml:space="preserve">； </w:t>
      </w:r>
    </w:p>
    <w:p w14:paraId="5CDC1723">
      <w:pPr>
        <w:widowControl/>
        <w:spacing w:line="460" w:lineRule="exact"/>
        <w:ind w:firstLine="420" w:firstLineChars="200"/>
        <w:jc w:val="left"/>
        <w:rPr>
          <w:rFonts w:ascii="宋体" w:hAnsi="宋体" w:cs="宋体"/>
          <w:highlight w:val="none"/>
        </w:rPr>
      </w:pPr>
      <w:r>
        <w:rPr>
          <w:rFonts w:hint="eastAsia" w:ascii="宋体" w:hAnsi="宋体" w:cs="宋体"/>
          <w:highlight w:val="none"/>
        </w:rPr>
        <w:t>电子信箱：</w:t>
      </w:r>
      <w:r>
        <w:rPr>
          <w:rFonts w:hint="eastAsia" w:ascii="宋体" w:hAnsi="宋体" w:cs="宋体"/>
          <w:highlight w:val="none"/>
          <w:u w:val="single"/>
        </w:rPr>
        <w:t xml:space="preserve">      /      </w:t>
      </w:r>
      <w:r>
        <w:rPr>
          <w:rFonts w:hint="eastAsia" w:ascii="宋体" w:hAnsi="宋体" w:cs="宋体"/>
          <w:highlight w:val="none"/>
        </w:rPr>
        <w:t xml:space="preserve">； </w:t>
      </w:r>
    </w:p>
    <w:p w14:paraId="44F40F1F">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通信地址：</w:t>
      </w:r>
      <w:r>
        <w:rPr>
          <w:rFonts w:hint="eastAsia" w:ascii="宋体" w:hAnsi="宋体" w:cs="宋体"/>
          <w:highlight w:val="none"/>
          <w:u w:val="single"/>
        </w:rPr>
        <w:t xml:space="preserve">      /      </w:t>
      </w:r>
      <w:r>
        <w:rPr>
          <w:rFonts w:hint="eastAsia" w:ascii="宋体" w:hAnsi="宋体" w:cs="宋体"/>
          <w:highlight w:val="none"/>
        </w:rPr>
        <w:t>；</w:t>
      </w:r>
    </w:p>
    <w:p w14:paraId="470EAEF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关于监理人的其他约定：/。 </w:t>
      </w:r>
    </w:p>
    <w:p w14:paraId="1D6B03E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4.4 商定或确定 </w:t>
      </w:r>
    </w:p>
    <w:p w14:paraId="00F13A0D">
      <w:pPr>
        <w:widowControl/>
        <w:spacing w:line="460" w:lineRule="exact"/>
        <w:ind w:firstLine="420" w:firstLineChars="200"/>
        <w:jc w:val="left"/>
        <w:rPr>
          <w:rFonts w:ascii="宋体" w:hAnsi="宋体" w:cs="宋体"/>
          <w:highlight w:val="none"/>
        </w:rPr>
      </w:pPr>
      <w:r>
        <w:rPr>
          <w:rFonts w:hint="eastAsia" w:ascii="宋体" w:hAnsi="宋体" w:cs="宋体"/>
          <w:highlight w:val="none"/>
        </w:rPr>
        <w:t>在发包人和承包人不能通过协商达成一致意见时，发包人授权监理人对以下事项进行确定：</w:t>
      </w:r>
      <w:r>
        <w:rPr>
          <w:rFonts w:hint="eastAsia" w:ascii="宋体" w:hAnsi="宋体" w:cs="宋体"/>
          <w:highlight w:val="none"/>
          <w:u w:val="single"/>
        </w:rPr>
        <w:t xml:space="preserve">  /  </w:t>
      </w:r>
      <w:r>
        <w:rPr>
          <w:rFonts w:hint="eastAsia" w:ascii="宋体" w:hAnsi="宋体" w:cs="宋体"/>
          <w:highlight w:val="none"/>
        </w:rPr>
        <w:t xml:space="preserve">。 </w:t>
      </w:r>
    </w:p>
    <w:p w14:paraId="66086B6C">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5. 工程质量 </w:t>
      </w:r>
    </w:p>
    <w:p w14:paraId="77CB770A">
      <w:pPr>
        <w:widowControl/>
        <w:spacing w:line="460" w:lineRule="exact"/>
        <w:ind w:firstLine="420" w:firstLineChars="200"/>
        <w:jc w:val="left"/>
        <w:rPr>
          <w:rFonts w:ascii="宋体" w:hAnsi="宋体" w:cs="宋体"/>
          <w:highlight w:val="none"/>
        </w:rPr>
      </w:pPr>
      <w:r>
        <w:rPr>
          <w:rFonts w:hint="eastAsia" w:ascii="宋体" w:hAnsi="宋体" w:cs="宋体"/>
          <w:highlight w:val="none"/>
        </w:rPr>
        <w:t>5.1 质量要求：国家“合格”标准。</w:t>
      </w:r>
    </w:p>
    <w:p w14:paraId="43EB3DBD">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5.1.1 特殊质量标准和要求： </w:t>
      </w:r>
    </w:p>
    <w:p w14:paraId="3E3402BF">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本工程质量标准为国家“合格”标准，并通过相关主管部门验收。若一次性验收不合格者，承包人须无条件整改达到承诺的质量标准及目标并承担相应的费用，由此造成的工期延误将不予顺延，承包人还将承担给发包人造成的实际经济损失。施工中发生严重的质量问题承包人必须同时向发包人承担承包范围内工程总造价3%的违约金。由此造成的工期延误将不予顺延，给发包人造成实际损失的还将承担经济赔偿责任。同时，承包人必须无偿整改达到承诺质量标准，保证工程按期交付使用。</w:t>
      </w:r>
    </w:p>
    <w:p w14:paraId="6C0B3EC1">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承包人须严格按照招标文件技术要求、质量标准、验收规范等组织施工，接受发包人的检查。若发生工序、检验批等验收不符合质量目标要求的，每发生一次接受发包人以每次不少于2000元的经济处罚，相关费用直接从工程款中扣除。若发生分项工程验收不符合质量目标要求的，每发生一次接受发包人以每次不少于3000元的经济处罚，相关费用直接从工程款中扣除。若发生分部工程验收不符合质量目标要求的，每发生一次接受发包人以每次不少于5000元的经济处罚，相关费用直接从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按实际发生的费用的1.5倍从承包人的工程款中扣除。拒不整改的发包人有权终止施工合同，已经发生的合格工作量按照70%结算。</w:t>
      </w:r>
    </w:p>
    <w:p w14:paraId="0F3F8F9A">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承包人须按法律法规及相关规定要求将建筑材料、试件及有关材料等送有相应资质的检测单位检测，承包人最终将凭具有相应资质的检测单位出具的检测报告作为对工程质量评定的依据。对关键部位、关键工序及隐蔽部位须按相关规定要求报质量监督部门验收，并出具合格的质量监督证明，否则发包人不予认可。非发包人原因，质量整改所发生的费用不予增加。</w:t>
      </w:r>
    </w:p>
    <w:p w14:paraId="736C377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为保证工程质量，发包人有权要求承包人提供材料样品，承包人必须无条件配合（相关费用已在投标报价中综合考虑），材料样品经发包人书面确认后方可进场施工。如承包人施工质量达不到发包人要求，承包人须无条件整改到位，若整改后仍达不到发包人要求的，发包人有权清退承包人，已完工程量按对应合同价款 70%结算，同时由此造成的损失均由承包人承担。</w:t>
      </w:r>
    </w:p>
    <w:p w14:paraId="6EBEB0C1">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关于工程奖项的约定：</w:t>
      </w:r>
      <w:r>
        <w:rPr>
          <w:rFonts w:hint="eastAsia" w:ascii="宋体" w:hAnsi="宋体" w:cs="宋体"/>
          <w:highlight w:val="none"/>
          <w:u w:val="single"/>
        </w:rPr>
        <w:t xml:space="preserve">  /  </w:t>
      </w:r>
      <w:r>
        <w:rPr>
          <w:rFonts w:hint="eastAsia" w:ascii="宋体" w:hAnsi="宋体" w:cs="宋体"/>
          <w:highlight w:val="none"/>
        </w:rPr>
        <w:t>。</w:t>
      </w:r>
    </w:p>
    <w:p w14:paraId="403EB57A">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5.3 隐蔽工程检查 </w:t>
      </w:r>
    </w:p>
    <w:p w14:paraId="7D6BA06F">
      <w:pPr>
        <w:widowControl/>
        <w:spacing w:line="460" w:lineRule="exact"/>
        <w:ind w:firstLine="420" w:firstLineChars="200"/>
        <w:jc w:val="left"/>
        <w:rPr>
          <w:rFonts w:ascii="宋体" w:hAnsi="宋体" w:cs="宋体"/>
          <w:highlight w:val="none"/>
        </w:rPr>
      </w:pPr>
      <w:r>
        <w:rPr>
          <w:rFonts w:hint="eastAsia" w:ascii="宋体" w:hAnsi="宋体" w:cs="宋体"/>
          <w:highlight w:val="none"/>
        </w:rPr>
        <w:t>5.3.2承包人提前通知监理人隐蔽工程检查的期限的约定：</w:t>
      </w:r>
      <w:r>
        <w:rPr>
          <w:rFonts w:hint="eastAsia" w:ascii="宋体" w:hAnsi="宋体" w:cs="宋体"/>
          <w:highlight w:val="none"/>
          <w:u w:val="single"/>
        </w:rPr>
        <w:t xml:space="preserve">  /  </w:t>
      </w:r>
      <w:r>
        <w:rPr>
          <w:rFonts w:hint="eastAsia" w:ascii="宋体" w:hAnsi="宋体" w:cs="宋体"/>
          <w:highlight w:val="none"/>
        </w:rPr>
        <w:t>。</w:t>
      </w:r>
    </w:p>
    <w:p w14:paraId="4FC3F93C">
      <w:pPr>
        <w:widowControl/>
        <w:spacing w:line="460" w:lineRule="exact"/>
        <w:ind w:firstLine="420" w:firstLineChars="200"/>
        <w:jc w:val="left"/>
        <w:rPr>
          <w:rFonts w:ascii="宋体" w:hAnsi="宋体" w:cs="宋体"/>
          <w:highlight w:val="none"/>
        </w:rPr>
      </w:pPr>
      <w:r>
        <w:rPr>
          <w:rFonts w:hint="eastAsia" w:ascii="宋体" w:hAnsi="宋体" w:cs="宋体"/>
          <w:highlight w:val="none"/>
        </w:rPr>
        <w:t>监理人不能按时进行检查时，应提前</w:t>
      </w:r>
      <w:r>
        <w:rPr>
          <w:rFonts w:hint="eastAsia" w:ascii="宋体" w:hAnsi="宋体" w:cs="宋体"/>
          <w:highlight w:val="none"/>
          <w:u w:val="single"/>
        </w:rPr>
        <w:t>/</w:t>
      </w:r>
      <w:r>
        <w:rPr>
          <w:rFonts w:hint="eastAsia" w:ascii="宋体" w:hAnsi="宋体" w:cs="宋体"/>
          <w:highlight w:val="none"/>
        </w:rPr>
        <w:t xml:space="preserve">小时提交书面延期要求。 </w:t>
      </w:r>
    </w:p>
    <w:p w14:paraId="0AF86D50">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关于延期最长不得超过：</w:t>
      </w:r>
      <w:r>
        <w:rPr>
          <w:rFonts w:hint="eastAsia" w:ascii="宋体" w:hAnsi="宋体" w:cs="宋体"/>
          <w:highlight w:val="none"/>
          <w:u w:val="single"/>
        </w:rPr>
        <w:t xml:space="preserve">  /  </w:t>
      </w:r>
      <w:r>
        <w:rPr>
          <w:rFonts w:hint="eastAsia" w:ascii="宋体" w:hAnsi="宋体" w:cs="宋体"/>
          <w:highlight w:val="none"/>
        </w:rPr>
        <w:t xml:space="preserve">小时。 </w:t>
      </w:r>
    </w:p>
    <w:p w14:paraId="5094D781">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6. 安全文明施工与环境保护 </w:t>
      </w:r>
    </w:p>
    <w:p w14:paraId="21C5CAB1">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6.1安全文明施工 </w:t>
      </w:r>
    </w:p>
    <w:p w14:paraId="5BB8AE4A">
      <w:pPr>
        <w:widowControl/>
        <w:spacing w:line="460" w:lineRule="exact"/>
        <w:ind w:firstLine="420" w:firstLineChars="200"/>
        <w:jc w:val="left"/>
        <w:rPr>
          <w:rFonts w:ascii="宋体" w:hAnsi="宋体" w:cs="宋体"/>
          <w:highlight w:val="none"/>
        </w:rPr>
      </w:pPr>
      <w:r>
        <w:rPr>
          <w:rFonts w:hint="eastAsia" w:ascii="宋体" w:hAnsi="宋体" w:cs="宋体"/>
          <w:highlight w:val="none"/>
        </w:rPr>
        <w:t>6.1.1 项目安全生产的达标目标及相应事项的约定：</w:t>
      </w:r>
    </w:p>
    <w:p w14:paraId="1BFB87E5">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1、承包人必须遵守江苏省建设厅及盐城市建设主管部门颁布的《建设工程施工安全管理规定》和《建设工程文明施工管理规定》。</w:t>
      </w:r>
    </w:p>
    <w:p w14:paraId="4A615165">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2、承包人进场后，必须服从发包人对施工场地总平面的规划，服从发包人的统一调度和指挥。如出现不服从管理和下列现象的，发包人将视情节轻重认定承包人是否违约，并根据情况要求承包人承担违约责任，支付违约金。</w:t>
      </w:r>
    </w:p>
    <w:p w14:paraId="365A9EA2">
      <w:pPr>
        <w:widowControl/>
        <w:spacing w:line="460" w:lineRule="exact"/>
        <w:ind w:firstLine="420" w:firstLineChars="200"/>
        <w:jc w:val="left"/>
        <w:rPr>
          <w:rFonts w:hint="eastAsia" w:ascii="宋体" w:hAnsi="宋体" w:cs="宋体"/>
          <w:highlight w:val="none"/>
          <w:u w:val="single"/>
        </w:rPr>
      </w:pPr>
      <w:r>
        <w:rPr>
          <w:rFonts w:hint="eastAsia" w:ascii="宋体" w:hAnsi="宋体" w:cs="宋体"/>
          <w:highlight w:val="none"/>
          <w:u w:val="single"/>
        </w:rPr>
        <w:t>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p>
    <w:p w14:paraId="566F64FD">
      <w:pPr>
        <w:widowControl/>
        <w:spacing w:line="240" w:lineRule="auto"/>
        <w:ind w:firstLine="420" w:firstLineChars="200"/>
        <w:jc w:val="left"/>
        <w:rPr>
          <w:rFonts w:hint="eastAsia" w:ascii="宋体" w:hAnsi="宋体" w:cs="宋体"/>
          <w:highlight w:val="none"/>
          <w:u w:val="single"/>
          <w:lang w:val="en-US" w:eastAsia="zh-CN"/>
        </w:rPr>
      </w:pPr>
      <w:r>
        <w:rPr>
          <w:rFonts w:hint="eastAsia" w:ascii="宋体" w:hAnsi="宋体" w:cs="宋体"/>
          <w:highlight w:val="none"/>
          <w:u w:val="single"/>
          <w:lang w:val="en-US" w:eastAsia="zh-CN"/>
        </w:rPr>
        <w:t>4、本工程</w:t>
      </w:r>
      <w:r>
        <w:rPr>
          <w:rFonts w:hint="eastAsia" w:ascii="宋体" w:hAnsi="宋体" w:eastAsia="宋体" w:cs="宋体"/>
          <w:kern w:val="2"/>
          <w:sz w:val="21"/>
          <w:szCs w:val="24"/>
          <w:highlight w:val="none"/>
          <w:u w:val="single"/>
          <w:lang w:val="en-US" w:eastAsia="zh-CN" w:bidi="ar-SA"/>
        </w:rPr>
        <w:t>要求危险作业（包括动火）必须安排专门人员进行现场安全管理。特种作业人员未持证上岗或未安排现场安全管理，将对</w:t>
      </w:r>
      <w:r>
        <w:rPr>
          <w:rFonts w:hint="eastAsia" w:ascii="宋体" w:hAnsi="宋体" w:cs="宋体"/>
          <w:kern w:val="2"/>
          <w:sz w:val="21"/>
          <w:szCs w:val="24"/>
          <w:highlight w:val="none"/>
          <w:u w:val="single"/>
          <w:lang w:val="en-US" w:eastAsia="zh-CN" w:bidi="ar-SA"/>
        </w:rPr>
        <w:t>承包人</w:t>
      </w:r>
      <w:r>
        <w:rPr>
          <w:rFonts w:hint="eastAsia" w:ascii="宋体" w:hAnsi="宋体" w:eastAsia="宋体" w:cs="宋体"/>
          <w:kern w:val="2"/>
          <w:sz w:val="21"/>
          <w:szCs w:val="24"/>
          <w:highlight w:val="none"/>
          <w:u w:val="single"/>
          <w:lang w:val="en-US" w:eastAsia="zh-CN" w:bidi="ar-SA"/>
        </w:rPr>
        <w:t>进行处罚每次3000元的罚金</w:t>
      </w:r>
      <w:r>
        <w:rPr>
          <w:rFonts w:hint="eastAsia" w:ascii="宋体" w:hAnsi="宋体" w:cs="宋体"/>
          <w:kern w:val="2"/>
          <w:sz w:val="21"/>
          <w:szCs w:val="24"/>
          <w:highlight w:val="none"/>
          <w:u w:val="single"/>
          <w:lang w:val="en-US" w:eastAsia="zh-CN" w:bidi="ar-SA"/>
        </w:rPr>
        <w:t>。</w:t>
      </w:r>
    </w:p>
    <w:p w14:paraId="376B389F">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lang w:val="en-US" w:eastAsia="zh-CN"/>
        </w:rPr>
        <w:t>5</w:t>
      </w:r>
      <w:r>
        <w:rPr>
          <w:rFonts w:hint="eastAsia" w:ascii="宋体" w:hAnsi="宋体" w:cs="宋体"/>
          <w:highlight w:val="none"/>
          <w:u w:val="single"/>
        </w:rPr>
        <w:t>、本工程施工期间发生的一切安全事故，其责任由承包人承担。承包人应按</w:t>
      </w:r>
      <w:r>
        <w:rPr>
          <w:rFonts w:hint="eastAsia" w:ascii="宋体" w:hAnsi="宋体" w:cs="宋体"/>
          <w:highlight w:val="none"/>
          <w:u w:val="single"/>
        </w:rPr>
        <w:t>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p>
    <w:p w14:paraId="5D6E1FAA">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lang w:val="en-US" w:eastAsia="zh-CN"/>
        </w:rPr>
        <w:t>6</w:t>
      </w:r>
      <w:r>
        <w:rPr>
          <w:rFonts w:hint="eastAsia" w:ascii="宋体" w:hAnsi="宋体" w:cs="宋体"/>
          <w:highlight w:val="none"/>
          <w:u w:val="single"/>
        </w:rPr>
        <w:t>、施工过程中如遇地下管线、电缆等破坏修复费用、施工过程中及保修期内未及时修复而发生的一切安全责任，均由施工方自行承担。</w:t>
      </w:r>
    </w:p>
    <w:p w14:paraId="7B7AB2B6">
      <w:pPr>
        <w:widowControl/>
        <w:spacing w:line="460" w:lineRule="exact"/>
        <w:ind w:firstLine="420" w:firstLineChars="200"/>
        <w:jc w:val="left"/>
        <w:rPr>
          <w:rFonts w:ascii="宋体" w:hAnsi="宋体" w:cs="宋体"/>
          <w:highlight w:val="none"/>
        </w:rPr>
      </w:pPr>
      <w:r>
        <w:rPr>
          <w:rFonts w:hint="eastAsia" w:ascii="宋体" w:hAnsi="宋体" w:cs="宋体"/>
          <w:highlight w:val="none"/>
          <w:u w:val="single"/>
          <w:lang w:val="en-US" w:eastAsia="zh-CN"/>
        </w:rPr>
        <w:t>7</w:t>
      </w:r>
      <w:r>
        <w:rPr>
          <w:rFonts w:hint="eastAsia" w:ascii="宋体" w:hAnsi="宋体" w:cs="宋体"/>
          <w:highlight w:val="none"/>
          <w:u w:val="single"/>
        </w:rPr>
        <w:t>、承包人应保障施工现场过往车辆及行人的安全，对安全生产负全责。</w:t>
      </w:r>
    </w:p>
    <w:p w14:paraId="2B7DD723">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7</w:t>
      </w:r>
      <w:r>
        <w:rPr>
          <w:rFonts w:hint="eastAsia" w:ascii="宋体" w:hAnsi="宋体" w:cs="宋体"/>
          <w:highlight w:val="none"/>
        </w:rPr>
        <w:t>.1.4 关于治安保卫的特别约定：</w:t>
      </w:r>
      <w:r>
        <w:rPr>
          <w:rFonts w:hint="eastAsia" w:ascii="宋体" w:hAnsi="宋体" w:cs="宋体"/>
          <w:highlight w:val="none"/>
          <w:u w:val="single"/>
        </w:rPr>
        <w:t xml:space="preserve">  按通用条款  </w:t>
      </w:r>
      <w:r>
        <w:rPr>
          <w:rFonts w:hint="eastAsia" w:ascii="宋体" w:hAnsi="宋体" w:cs="宋体"/>
          <w:highlight w:val="none"/>
        </w:rPr>
        <w:t>。</w:t>
      </w:r>
    </w:p>
    <w:p w14:paraId="74130569">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关于编制施工场地治安管理计划的约定：</w:t>
      </w:r>
      <w:r>
        <w:rPr>
          <w:rFonts w:hint="eastAsia" w:ascii="宋体" w:hAnsi="宋体" w:cs="宋体"/>
          <w:highlight w:val="none"/>
          <w:u w:val="single"/>
        </w:rPr>
        <w:t xml:space="preserve">  按通用条款  </w:t>
      </w:r>
      <w:r>
        <w:rPr>
          <w:rFonts w:hint="eastAsia" w:ascii="宋体" w:hAnsi="宋体" w:cs="宋体"/>
          <w:highlight w:val="none"/>
        </w:rPr>
        <w:t>。</w:t>
      </w:r>
    </w:p>
    <w:p w14:paraId="01BE278C">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7</w:t>
      </w:r>
      <w:r>
        <w:rPr>
          <w:rFonts w:hint="eastAsia" w:ascii="宋体" w:hAnsi="宋体" w:cs="宋体"/>
          <w:highlight w:val="none"/>
        </w:rPr>
        <w:t xml:space="preserve">.1.5 文明施工 </w:t>
      </w:r>
    </w:p>
    <w:p w14:paraId="4458BD71">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合同当事人对文明施工的要求： </w:t>
      </w:r>
    </w:p>
    <w:p w14:paraId="221E2AC0">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1）施工现场应在适当位置悬挂施工标准和文明施工标语，危险区域应当设置危险警示标牌和警示灯。现场围护要求坚固、稳定、整洁、美观，施工现场车辆应当采取有效措施，确保不污染道路和环境，发包人有权监督承包人的文明施工措施按照相关管理规定实施到位。由于承包人疏于采取文明施工措施所造成的必要费用的支出，应由承包人支付，承包人未支付或迟延支付的，发包人可从履约保证金或到期工程款中予以扣除。 </w:t>
      </w:r>
    </w:p>
    <w:p w14:paraId="2AAD1B17">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（2）承包人在施工中污染周围环境、施工噪音干扰他人等所引起的政府职能部门罚款或停工整改或引起周围居民纠纷和索赔时，其所有发生的费用与损失将全部由承包人自行承担。</w:t>
      </w:r>
    </w:p>
    <w:p w14:paraId="31890379">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3）承包人应负责整个场地的安全文明卫生管理,做到文明施工、保持施工场地清洁。本工程所有施工建筑垃圾均应全部清运出现场。服从发包人及相关主管部门的管理要求，主动协调、解决问题，若在施工期间出现因场地不清洁、交通不畅等违反文明施工管理规定的情况，所发生的一切费用均由承包人承担，同时还需接受发包人每次3000元的罚金。承包人必须遵守江苏省建设厅及盐城市建设主管部门颁布的《建设工程施工安全管理规定》和《建设工程文明施工管理规定》。 </w:t>
      </w:r>
    </w:p>
    <w:p w14:paraId="37FC6DA2">
      <w:pPr>
        <w:widowControl/>
        <w:spacing w:line="460" w:lineRule="exact"/>
        <w:ind w:firstLine="420" w:firstLineChars="200"/>
        <w:jc w:val="left"/>
        <w:rPr>
          <w:rFonts w:hint="eastAsia" w:ascii="宋体" w:hAnsi="宋体" w:eastAsia="宋体" w:cs="宋体"/>
          <w:highlight w:val="none"/>
          <w:u w:val="single"/>
          <w:lang w:val="en-US" w:eastAsia="zh-CN"/>
        </w:rPr>
      </w:pPr>
      <w:r>
        <w:rPr>
          <w:rFonts w:hint="eastAsia" w:ascii="宋体" w:hAnsi="宋体" w:cs="宋体"/>
          <w:highlight w:val="none"/>
          <w:u w:val="single"/>
        </w:rPr>
        <w:t xml:space="preserve">（4）发包人将定期对承包人的施工质量、安全、文明施工进行检查，如发现工程现场及生活区内安全、文明施工管理较差的，有权要求承包人整改并通报批评，如发生二次通报批评情况，可按照合同总价0.1%对承包人处以违约金。 </w:t>
      </w:r>
    </w:p>
    <w:p w14:paraId="4CB5D9E1">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（5）严禁在施工现场焚烧垃圾</w:t>
      </w:r>
      <w:r>
        <w:rPr>
          <w:rFonts w:hint="eastAsia" w:ascii="宋体" w:hAnsi="宋体" w:cs="宋体"/>
          <w:highlight w:val="none"/>
          <w:u w:val="single"/>
          <w:lang w:eastAsia="zh-CN"/>
        </w:rPr>
        <w:t>、</w:t>
      </w:r>
      <w:r>
        <w:rPr>
          <w:rFonts w:hint="eastAsia" w:ascii="宋体" w:hAnsi="宋体" w:cs="宋体"/>
          <w:highlight w:val="none"/>
          <w:u w:val="single"/>
          <w:lang w:val="en-US" w:eastAsia="zh-CN"/>
        </w:rPr>
        <w:t>乱扔烟头，</w:t>
      </w:r>
      <w:r>
        <w:rPr>
          <w:rFonts w:hint="eastAsia" w:ascii="宋体" w:hAnsi="宋体" w:cs="宋体"/>
          <w:highlight w:val="none"/>
          <w:u w:val="single"/>
        </w:rPr>
        <w:t xml:space="preserve">如发现一次, 可按照合同总价0.2%对承包人处以违约金。进入施工现场的所有施工人员必须带好安全帽,如发现有一人次进入施工现场未带安全帽, 发包人则按50 元/人次对承包人处以违约金,如一天发现3人以上进入施工现场未带安全帽, 发包人则按200元/人次对承包人处以违约金。 </w:t>
      </w:r>
    </w:p>
    <w:p w14:paraId="7830BF7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（6）承包人不得在施工现场发生打架、斗殴、偷窃行为，发生一次，发包人可对承包人处</w:t>
      </w:r>
      <w:r>
        <w:rPr>
          <w:rFonts w:hint="eastAsia" w:ascii="宋体" w:hAnsi="宋体" w:cs="宋体"/>
          <w:highlight w:val="none"/>
          <w:u w:val="single"/>
          <w:lang w:val="en-US" w:eastAsia="zh-CN"/>
        </w:rPr>
        <w:t>5</w:t>
      </w:r>
      <w:r>
        <w:rPr>
          <w:rFonts w:hint="eastAsia" w:ascii="宋体" w:hAnsi="宋体" w:cs="宋体"/>
          <w:highlight w:val="none"/>
          <w:u w:val="single"/>
        </w:rPr>
        <w:t xml:space="preserve">000元/次违约金。 </w:t>
      </w:r>
    </w:p>
    <w:p w14:paraId="4795866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7）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p>
    <w:p w14:paraId="78579752">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8）承包人竣工清场前，必须将现场的建筑垃圾及生产、生活等临时设施拆除、清运出施工现场，并运至发包人指定地点，否则发包人有权让第三方代为实施，但所发生的费用由发包人直接在承包人到期工程款中扣除</w:t>
      </w:r>
      <w:r>
        <w:rPr>
          <w:rFonts w:hint="eastAsia" w:ascii="宋体" w:hAnsi="宋体" w:cs="宋体"/>
          <w:highlight w:val="none"/>
        </w:rPr>
        <w:t xml:space="preserve">。  </w:t>
      </w:r>
    </w:p>
    <w:p w14:paraId="7AC6244A">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lang w:val="en-US" w:eastAsia="zh-CN"/>
        </w:rPr>
        <w:t>7</w:t>
      </w:r>
      <w:r>
        <w:rPr>
          <w:rFonts w:hint="eastAsia" w:ascii="宋体" w:hAnsi="宋体" w:cs="宋体"/>
          <w:highlight w:val="none"/>
        </w:rPr>
        <w:t>.1.6 关于安全文明施工费支付比例和支付期限的约定：</w:t>
      </w:r>
      <w:r>
        <w:rPr>
          <w:rFonts w:hint="eastAsia" w:ascii="宋体" w:hAnsi="宋体" w:cs="宋体"/>
          <w:highlight w:val="none"/>
          <w:u w:val="single"/>
        </w:rPr>
        <w:t xml:space="preserve">本工程安全文明施工费不单独支付，包含在工程款中支付。 </w:t>
      </w:r>
    </w:p>
    <w:p w14:paraId="22F7A59F">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 工期和进度 </w:t>
      </w:r>
    </w:p>
    <w:p w14:paraId="601D8445">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.1 施工组织设计 </w:t>
      </w:r>
    </w:p>
    <w:p w14:paraId="11E0FD09">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lang w:val="en-US" w:eastAsia="zh-CN"/>
        </w:rPr>
        <w:t>8</w:t>
      </w:r>
      <w:r>
        <w:rPr>
          <w:rFonts w:hint="eastAsia" w:ascii="宋体" w:hAnsi="宋体" w:cs="宋体"/>
          <w:highlight w:val="none"/>
        </w:rPr>
        <w:t>.1.1 合同当事人约定的施工组织设计应包括的其他内容：</w:t>
      </w:r>
      <w:r>
        <w:rPr>
          <w:rFonts w:hint="eastAsia" w:ascii="宋体" w:hAnsi="宋体" w:cs="宋体"/>
          <w:highlight w:val="none"/>
          <w:u w:val="single"/>
        </w:rPr>
        <w:t>（1）施工方案；（2）施工现场平面布置图；（3）施工进度计划和保证措施；（4）劳动力及材料供应计划；（5）施工机械设备的选用；（6）质量保证体系及措施；（7）安全生产、文明施工措施；（8）环境保护、成本控制措施；（9）合同当事人约定的其他内容。</w:t>
      </w:r>
    </w:p>
    <w:p w14:paraId="59699673">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.1.2 施工组织设计的提交和修改 </w:t>
      </w:r>
    </w:p>
    <w:p w14:paraId="1A934FD8">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承包人提交详细施工组织设计的期限的约定：</w:t>
      </w:r>
      <w:r>
        <w:rPr>
          <w:rFonts w:hint="eastAsia" w:ascii="宋体" w:hAnsi="宋体" w:cs="宋体"/>
          <w:highlight w:val="none"/>
          <w:u w:val="single"/>
        </w:rPr>
        <w:t>开工前</w:t>
      </w:r>
      <w:r>
        <w:rPr>
          <w:rFonts w:hint="eastAsia" w:ascii="宋体" w:hAnsi="宋体" w:cs="宋体"/>
          <w:highlight w:val="none"/>
          <w:u w:val="single"/>
          <w:lang w:val="en-US" w:eastAsia="zh-CN"/>
        </w:rPr>
        <w:t>7</w:t>
      </w:r>
      <w:r>
        <w:rPr>
          <w:rFonts w:hint="eastAsia" w:ascii="宋体" w:hAnsi="宋体" w:cs="宋体"/>
          <w:highlight w:val="none"/>
          <w:u w:val="single"/>
        </w:rPr>
        <w:t xml:space="preserve">日内 </w:t>
      </w:r>
    </w:p>
    <w:p w14:paraId="7CFD088C">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发包人和监理人在收到详细的施工组织设计后确认或提出修改意见的期限：</w:t>
      </w:r>
      <w:r>
        <w:rPr>
          <w:rFonts w:hint="eastAsia" w:ascii="宋体" w:hAnsi="宋体" w:cs="宋体"/>
          <w:highlight w:val="none"/>
          <w:u w:val="single"/>
        </w:rPr>
        <w:t xml:space="preserve">7天。 </w:t>
      </w:r>
    </w:p>
    <w:p w14:paraId="0C2797FD">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.2 施工进度计划 </w:t>
      </w:r>
    </w:p>
    <w:p w14:paraId="29528759">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.2.2 施工进度计划的修订 </w:t>
      </w:r>
    </w:p>
    <w:p w14:paraId="4C18E9DC">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发包人和监理人在收到修订的施工进度计划后确认或提出修改意见的期限：</w:t>
      </w:r>
      <w:r>
        <w:rPr>
          <w:rFonts w:hint="eastAsia" w:ascii="宋体" w:hAnsi="宋体" w:cs="宋体"/>
          <w:highlight w:val="none"/>
          <w:u w:val="single"/>
        </w:rPr>
        <w:t>7天。</w:t>
      </w:r>
      <w:r>
        <w:rPr>
          <w:rFonts w:hint="eastAsia" w:ascii="宋体" w:hAnsi="宋体" w:cs="宋体"/>
          <w:highlight w:val="none"/>
        </w:rPr>
        <w:t xml:space="preserve"> </w:t>
      </w:r>
    </w:p>
    <w:p w14:paraId="48720AA2">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.3 开工 </w:t>
      </w:r>
    </w:p>
    <w:p w14:paraId="11C55365">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.3.1 开工准备 </w:t>
      </w:r>
    </w:p>
    <w:p w14:paraId="11352999">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关于承包人提交工程开工报审表的期限：</w:t>
      </w:r>
      <w:r>
        <w:rPr>
          <w:rFonts w:hint="eastAsia" w:ascii="宋体" w:hAnsi="宋体" w:cs="宋体"/>
          <w:highlight w:val="none"/>
          <w:u w:val="single"/>
        </w:rPr>
        <w:t>计划开工日期前</w:t>
      </w:r>
      <w:r>
        <w:rPr>
          <w:rFonts w:hint="eastAsia" w:ascii="宋体" w:hAnsi="宋体" w:cs="宋体"/>
          <w:highlight w:val="none"/>
          <w:u w:val="single"/>
          <w:lang w:val="en-US" w:eastAsia="zh-CN"/>
        </w:rPr>
        <w:t>一周内</w:t>
      </w:r>
      <w:r>
        <w:rPr>
          <w:rFonts w:hint="eastAsia" w:ascii="宋体" w:hAnsi="宋体" w:cs="宋体"/>
          <w:highlight w:val="none"/>
          <w:u w:val="single"/>
        </w:rPr>
        <w:t>提交开工报审表或开工报告，实际开工时间以发包人发出的开工通知日期为准</w:t>
      </w:r>
      <w:r>
        <w:rPr>
          <w:rFonts w:hint="eastAsia" w:ascii="宋体" w:hAnsi="宋体" w:cs="宋体"/>
          <w:highlight w:val="none"/>
        </w:rPr>
        <w:t xml:space="preserve">。 </w:t>
      </w:r>
    </w:p>
    <w:p w14:paraId="7B0BE509">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关于发包人应完成的其他开工准备工作及期限：</w:t>
      </w:r>
      <w:r>
        <w:rPr>
          <w:rFonts w:hint="eastAsia" w:ascii="宋体" w:hAnsi="宋体" w:cs="宋体"/>
          <w:highlight w:val="none"/>
          <w:u w:val="single"/>
        </w:rPr>
        <w:t>开工前配合承包人将施工所需的水、电、电讯线路接至施工场地 ；开工前提供工程地质和地下管线资料；办理的施工所需证件、批件；交验水准点与坐标控制点交验，费用由承包人承担</w:t>
      </w:r>
      <w:r>
        <w:rPr>
          <w:rFonts w:hint="eastAsia" w:ascii="宋体" w:hAnsi="宋体" w:cs="宋体"/>
          <w:highlight w:val="none"/>
        </w:rPr>
        <w:t>。</w:t>
      </w:r>
    </w:p>
    <w:p w14:paraId="557D5054">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关于承包人应完成的其他开工准备工作及期限：</w:t>
      </w:r>
      <w:r>
        <w:rPr>
          <w:rFonts w:ascii="宋体" w:hAnsi="宋体" w:cs="宋体"/>
          <w:highlight w:val="none"/>
          <w:u w:val="single"/>
        </w:rPr>
        <w:t>开工前必须向</w:t>
      </w:r>
      <w:r>
        <w:rPr>
          <w:rFonts w:hint="eastAsia" w:ascii="宋体" w:hAnsi="宋体" w:cs="宋体"/>
          <w:highlight w:val="none"/>
          <w:u w:val="single"/>
        </w:rPr>
        <w:t>发包人(实施单位)</w:t>
      </w:r>
      <w:r>
        <w:rPr>
          <w:rFonts w:ascii="宋体" w:hAnsi="宋体" w:cs="宋体"/>
          <w:highlight w:val="none"/>
          <w:u w:val="single"/>
        </w:rPr>
        <w:t>提供施工进度计划、材料清单、材料进场计划、劳动力计划</w:t>
      </w:r>
      <w:r>
        <w:rPr>
          <w:rFonts w:hint="eastAsia" w:ascii="宋体" w:hAnsi="宋体" w:cs="宋体"/>
          <w:highlight w:val="none"/>
        </w:rPr>
        <w:t>。</w:t>
      </w:r>
    </w:p>
    <w:p w14:paraId="3DB7BB87">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.3.2开工通知 </w:t>
      </w:r>
    </w:p>
    <w:p w14:paraId="13A62C59">
      <w:pPr>
        <w:widowControl/>
        <w:spacing w:line="460" w:lineRule="exact"/>
        <w:ind w:firstLine="420" w:firstLineChars="200"/>
        <w:jc w:val="left"/>
        <w:rPr>
          <w:rFonts w:ascii="宋体" w:hAnsi="宋体" w:cs="宋体"/>
          <w:highlight w:val="none"/>
        </w:rPr>
      </w:pPr>
      <w:r>
        <w:rPr>
          <w:rFonts w:hint="eastAsia" w:ascii="宋体" w:hAnsi="宋体" w:cs="宋体"/>
          <w:highlight w:val="none"/>
        </w:rPr>
        <w:t>因发包人原因造成监理人未能在计划开工日期之日起</w:t>
      </w:r>
      <w:r>
        <w:rPr>
          <w:rFonts w:hint="eastAsia" w:ascii="宋体" w:hAnsi="宋体" w:cs="宋体"/>
          <w:highlight w:val="none"/>
          <w:u w:val="single"/>
        </w:rPr>
        <w:t>/</w:t>
      </w:r>
      <w:r>
        <w:rPr>
          <w:rFonts w:hint="eastAsia" w:ascii="宋体" w:hAnsi="宋体" w:cs="宋体"/>
          <w:highlight w:val="none"/>
        </w:rPr>
        <w:t xml:space="preserve">天内发出开工通知的，承包人有权提出价格调整要求，或者解除合同。 </w:t>
      </w:r>
    </w:p>
    <w:p w14:paraId="60451D11">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.4 测量放线 </w:t>
      </w:r>
    </w:p>
    <w:p w14:paraId="3F2008FC">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lang w:val="en-US" w:eastAsia="zh-CN"/>
        </w:rPr>
        <w:t>8</w:t>
      </w:r>
      <w:r>
        <w:rPr>
          <w:rFonts w:hint="eastAsia" w:ascii="宋体" w:hAnsi="宋体" w:cs="宋体"/>
          <w:highlight w:val="none"/>
        </w:rPr>
        <w:t>.4.1发包人通过监理人向承包人提供测量基准点、基准线和水准点及其书面资料的期限：</w:t>
      </w:r>
      <w:r>
        <w:rPr>
          <w:rFonts w:hint="eastAsia" w:ascii="宋体" w:hAnsi="宋体" w:cs="宋体"/>
          <w:highlight w:val="none"/>
          <w:u w:val="single"/>
        </w:rPr>
        <w:t>开工前现场交验</w:t>
      </w:r>
      <w:r>
        <w:rPr>
          <w:rFonts w:hint="eastAsia" w:ascii="宋体" w:hAnsi="宋体" w:cs="宋体"/>
          <w:highlight w:val="none"/>
        </w:rPr>
        <w:t xml:space="preserve">。 </w:t>
      </w:r>
    </w:p>
    <w:p w14:paraId="2BF4A322">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.5 工期延误 </w:t>
      </w:r>
    </w:p>
    <w:p w14:paraId="3ABA6D7E">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.5.1 因发包人原因导致工期延误 </w:t>
      </w:r>
    </w:p>
    <w:p w14:paraId="34D715A5">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因发包人原因导致工期延误的其他情形 ：</w:t>
      </w:r>
      <w:r>
        <w:rPr>
          <w:rFonts w:hint="eastAsia" w:ascii="宋体" w:hAnsi="宋体" w:cs="宋体"/>
          <w:highlight w:val="none"/>
          <w:u w:val="single"/>
        </w:rPr>
        <w:t xml:space="preserve">  /  </w:t>
      </w:r>
    </w:p>
    <w:p w14:paraId="0659B9EE">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.5.2 因承包人原因导致工期延误 </w:t>
      </w:r>
    </w:p>
    <w:p w14:paraId="7E0048EC">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承包人应按照投标文件承诺的工期确保工程验收，不得以任何借口停工怠工，如因承包人原因延误工期的（含不按期开工等情形），承包人应承担违约责任。造成工期延误的，按每延误一天处以合同价千分之二的违约金，且同时按招标文件最高限价确定依据中的赶工措施费费率扣除赶工费用；以上处罚费用直接从本工程的履约保证金或到期工程款中扣除。如因发包人原因并且符合工程工期顺延的情况，经发包人签证确认后顺延。签订合同后，承包人应编制施工组织设计报监理工程师批准。工程实施过程中,承包人严格按照经批准的施工组织设计组织施工，接受发包人对进度的检查、监督。发包人将对照确认的施工方案和进度计划对承包人的施工进度进行严格考核，每一周为一个考核周期。承包人将严格按照进度计划组织施工，如在一个考核周期内发生未能按照进度计划表约定的节点工期建设，将在限期内整改，同时接受发包人以每次10000元的经济处罚，相关费用直接从工程款项中扣除，并要求承包人在下一个考核周期内抢工补救上一个考核周期内的施工任务和本考核周期内的施工任务。如在下一个考核周期内没有完成既定施工任务的，承包人将承担违约责任，发包人将对承包人处以每个考核周期不少于20000元的违约金直至施工任务完成达到施工方案和进度计划的要求。如承包人拒绝执行上述条款的，建设单位有权清退承包单位，已完工作量按70%结算，同时由此造成的损失均由承包单位承担</w:t>
      </w:r>
      <w:r>
        <w:rPr>
          <w:rFonts w:hint="eastAsia" w:ascii="宋体" w:hAnsi="宋体" w:cs="宋体"/>
          <w:highlight w:val="none"/>
        </w:rPr>
        <w:t xml:space="preserve">。 </w:t>
      </w:r>
    </w:p>
    <w:p w14:paraId="46B86279">
      <w:pPr>
        <w:widowControl/>
        <w:spacing w:line="460" w:lineRule="exact"/>
        <w:ind w:firstLine="420" w:firstLineChars="200"/>
        <w:jc w:val="left"/>
        <w:rPr>
          <w:rFonts w:ascii="宋体" w:hAnsi="宋体" w:cs="宋体"/>
          <w:highlight w:val="none"/>
        </w:rPr>
      </w:pPr>
      <w:r>
        <w:rPr>
          <w:rFonts w:hint="eastAsia" w:ascii="宋体" w:hAnsi="宋体" w:cs="宋体"/>
          <w:highlight w:val="none"/>
        </w:rPr>
        <w:t>因承包人原因造成工期延误，逾期竣工违约金的上限：</w:t>
      </w:r>
      <w:r>
        <w:rPr>
          <w:rFonts w:hint="eastAsia" w:ascii="宋体" w:hAnsi="宋体" w:cs="宋体"/>
          <w:highlight w:val="none"/>
          <w:u w:val="single"/>
        </w:rPr>
        <w:t xml:space="preserve">  /  </w:t>
      </w:r>
      <w:r>
        <w:rPr>
          <w:rFonts w:hint="eastAsia" w:ascii="宋体" w:hAnsi="宋体" w:cs="宋体"/>
          <w:highlight w:val="none"/>
        </w:rPr>
        <w:t xml:space="preserve">。 </w:t>
      </w:r>
    </w:p>
    <w:p w14:paraId="4B016651">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.6 不利物质条件 </w:t>
      </w:r>
    </w:p>
    <w:p w14:paraId="1918EB14">
      <w:pPr>
        <w:widowControl/>
        <w:spacing w:line="460" w:lineRule="exact"/>
        <w:ind w:firstLine="420" w:firstLineChars="200"/>
        <w:jc w:val="left"/>
        <w:rPr>
          <w:rFonts w:ascii="宋体" w:hAnsi="宋体" w:cs="宋体"/>
          <w:highlight w:val="none"/>
        </w:rPr>
      </w:pPr>
      <w:r>
        <w:rPr>
          <w:rFonts w:hint="eastAsia" w:ascii="宋体" w:hAnsi="宋体" w:cs="宋体"/>
          <w:highlight w:val="none"/>
        </w:rPr>
        <w:t>不利物质条件的其他情形和有关约定：</w:t>
      </w:r>
      <w:r>
        <w:rPr>
          <w:rFonts w:hint="eastAsia" w:ascii="宋体" w:hAnsi="宋体" w:cs="宋体"/>
          <w:highlight w:val="none"/>
          <w:u w:val="single"/>
        </w:rPr>
        <w:t xml:space="preserve">  /  </w:t>
      </w:r>
    </w:p>
    <w:p w14:paraId="7C9656CB">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.7异常恶劣的气候条件 </w:t>
      </w:r>
    </w:p>
    <w:p w14:paraId="1C43CD94">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发包人和承包人同意以下情形视为异常恶劣的气候条件：</w:t>
      </w:r>
      <w:r>
        <w:rPr>
          <w:rFonts w:hint="eastAsia" w:ascii="宋体" w:hAnsi="宋体" w:cs="宋体"/>
          <w:highlight w:val="none"/>
          <w:u w:val="single"/>
        </w:rPr>
        <w:t>执行通用条款</w:t>
      </w:r>
      <w:r>
        <w:rPr>
          <w:rFonts w:hint="eastAsia" w:ascii="宋体" w:hAnsi="宋体" w:cs="宋体"/>
          <w:highlight w:val="none"/>
        </w:rPr>
        <w:t xml:space="preserve">。 </w:t>
      </w:r>
    </w:p>
    <w:p w14:paraId="3C01381B">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 xml:space="preserve">.9 提前竣工的奖励 </w:t>
      </w:r>
    </w:p>
    <w:p w14:paraId="04D0DAE0">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.9.2提前竣工的奖励：</w:t>
      </w:r>
      <w:r>
        <w:rPr>
          <w:rFonts w:hint="eastAsia" w:ascii="宋体" w:hAnsi="宋体" w:cs="宋体"/>
          <w:highlight w:val="none"/>
          <w:u w:val="single"/>
        </w:rPr>
        <w:t xml:space="preserve">  /  </w:t>
      </w:r>
    </w:p>
    <w:p w14:paraId="1D66A819">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 xml:space="preserve">. 材料与设备 </w:t>
      </w:r>
    </w:p>
    <w:p w14:paraId="63848CD9">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 xml:space="preserve">.4材料与工程设备的保管与使用 </w:t>
      </w:r>
    </w:p>
    <w:p w14:paraId="7FD306E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lang w:val="en-US" w:eastAsia="zh-CN"/>
        </w:rPr>
        <w:t>9</w:t>
      </w:r>
      <w:r>
        <w:rPr>
          <w:rFonts w:hint="eastAsia" w:ascii="宋体" w:hAnsi="宋体" w:cs="宋体"/>
          <w:highlight w:val="none"/>
        </w:rPr>
        <w:t xml:space="preserve">.4.1发包人供应的材料设备的保管费用的承担： </w:t>
      </w:r>
    </w:p>
    <w:p w14:paraId="7DB4082D">
      <w:pPr>
        <w:widowControl/>
        <w:spacing w:line="460" w:lineRule="exact"/>
        <w:ind w:firstLine="420" w:firstLineChars="200"/>
        <w:jc w:val="left"/>
        <w:rPr>
          <w:rFonts w:ascii="宋体" w:hAnsi="宋体" w:cs="宋体"/>
          <w:highlight w:val="none"/>
        </w:rPr>
      </w:pPr>
      <w:r>
        <w:rPr>
          <w:rFonts w:hint="eastAsia" w:ascii="宋体" w:hAnsi="宋体" w:cs="宋体"/>
          <w:highlight w:val="none"/>
          <w:u w:val="single"/>
        </w:rPr>
        <w:t>除招标文件中确定的《其他项目清单计价与汇总表》中的“暂估价”的材料外，其它材料均由承包人自行组织采购。凡由承包人采购的材料，承包人应按照设计文件、技术规范、强制性标准、招标文件、品牌要求的约定采购符合上述要求的材料，并向发包人和实施单位提供质量保证书、出厂合格证及现场抽样检测报告等证明材料，对材料质量负责。如不符合质量及技术标准要求或规格有差异的，承包人应按发包人(实施单位)要求的时间，将不符合要求的材料无条件运出施工现场，重新采购符合要求的材料。若已使用，由承包人负责整改处理，确保达到要求的质量目标。因使用不符合要求的材料造成的损失及责任由承包人承担，由此延误的工期不予顺延</w:t>
      </w:r>
      <w:r>
        <w:rPr>
          <w:rFonts w:hint="eastAsia" w:ascii="宋体" w:hAnsi="宋体" w:cs="宋体"/>
          <w:highlight w:val="none"/>
        </w:rPr>
        <w:t>。</w:t>
      </w:r>
    </w:p>
    <w:p w14:paraId="59AEA283">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承包人必须严格按招标文件、工程量清单等要求提供本工程设备材料的样品，供发包人比较选择确定，以保证选用质优价好的材料用于本项目，同时防止出现以劣充优，以次充好，谋取不正当利益的情况，同时发包人有权对设备材料生产基地进行实地考察，承包人须无条件予以配合，承包人提供的设备材料样品经发包人及实施单位书面同意后方可进行批量采购。在施工前或施工过程中，发包人要求调整、变更材料品种，承包人应无条件认可，其变更后的材料价格由发包人签证认可确定。设备材料进场交货、验收必须由该品牌的供应商到场参加。承包人在施工中偷工减料的，使用不合格的建筑材料、建筑构配件和设备的，或者有不按照工程设计图纸或者施工技术标准施工的其他行为的，责令改正，结合相关法律法规规定，处以合同总价百分之四的罚款；造成建设工程质量不符合规定的质量标准的，负责返工、修理，并赔偿因此造成的损失；情节严重的，责令停业整顿，降低资质等级或者吊销资质证书。</w:t>
      </w:r>
    </w:p>
    <w:p w14:paraId="48F6D1B6">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承包人未对建筑材料、建筑构配件、设备和商品混凝土进行检验，或者未对涉及结构安全的试块、试件以及有关材料取样检测的，责令改正，处1万元以上5万元以下的罚款；情节严重的，责令停业整顿，降低资质等级或者吊销资质证书；造成损失的，依法承担赔偿责任。</w:t>
      </w:r>
    </w:p>
    <w:p w14:paraId="15705D59">
      <w:pPr>
        <w:widowControl/>
        <w:spacing w:line="460" w:lineRule="exact"/>
        <w:ind w:firstLine="420" w:firstLineChars="200"/>
        <w:jc w:val="left"/>
        <w:rPr>
          <w:highlight w:val="none"/>
        </w:rPr>
      </w:pPr>
      <w:r>
        <w:rPr>
          <w:rFonts w:hint="eastAsia" w:ascii="宋体" w:hAnsi="宋体" w:cs="宋体"/>
          <w:highlight w:val="none"/>
          <w:u w:val="single"/>
        </w:rPr>
        <w:t>承包人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承包人承担，对于已发生的还将进行“以一罚十”的处罚。</w:t>
      </w:r>
    </w:p>
    <w:p w14:paraId="0AEBB38F">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 xml:space="preserve">.6 样品 </w:t>
      </w:r>
    </w:p>
    <w:p w14:paraId="2A5F6E38">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 xml:space="preserve">.6.1 样品的报送与封存 </w:t>
      </w:r>
    </w:p>
    <w:p w14:paraId="6D57F980">
      <w:pPr>
        <w:widowControl/>
        <w:spacing w:line="460" w:lineRule="exact"/>
        <w:ind w:firstLine="420" w:firstLineChars="200"/>
        <w:jc w:val="left"/>
        <w:rPr>
          <w:rFonts w:ascii="宋体" w:hAnsi="宋体" w:cs="宋体"/>
          <w:highlight w:val="none"/>
        </w:rPr>
      </w:pPr>
      <w:r>
        <w:rPr>
          <w:rFonts w:hint="eastAsia" w:ascii="宋体" w:hAnsi="宋体" w:cs="宋体"/>
          <w:highlight w:val="none"/>
        </w:rPr>
        <w:t>需要承包人报送样品的材料或工程设备，样品的种类、名称、规格、数量要求：</w:t>
      </w:r>
      <w:r>
        <w:rPr>
          <w:rFonts w:hint="eastAsia" w:ascii="宋体" w:hAnsi="宋体" w:cs="宋体"/>
          <w:highlight w:val="none"/>
          <w:u w:val="single"/>
        </w:rPr>
        <w:t xml:space="preserve">  </w:t>
      </w:r>
      <w:r>
        <w:rPr>
          <w:rFonts w:hint="eastAsia" w:ascii="宋体" w:hAnsi="宋体" w:cs="宋体"/>
          <w:highlight w:val="none"/>
          <w:u w:val="single"/>
          <w:lang w:val="en-US" w:eastAsia="zh-CN"/>
        </w:rPr>
        <w:t>两份</w:t>
      </w:r>
      <w:r>
        <w:rPr>
          <w:rFonts w:hint="eastAsia" w:ascii="宋体" w:hAnsi="宋体" w:cs="宋体"/>
          <w:highlight w:val="none"/>
          <w:u w:val="single"/>
        </w:rPr>
        <w:t xml:space="preserve">  </w:t>
      </w:r>
    </w:p>
    <w:p w14:paraId="2E22145F">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 xml:space="preserve">.8 施工设备和临时设施 </w:t>
      </w:r>
    </w:p>
    <w:p w14:paraId="003E9FD2">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 xml:space="preserve">.8.1 承包人提供的施工设备和临时设施 </w:t>
      </w:r>
    </w:p>
    <w:p w14:paraId="0A970A21">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关于修建临时设施费用承担的约定：</w:t>
      </w:r>
      <w:r>
        <w:rPr>
          <w:rFonts w:hint="eastAsia" w:ascii="宋体" w:hAnsi="宋体" w:cs="宋体"/>
          <w:highlight w:val="none"/>
          <w:u w:val="single"/>
        </w:rPr>
        <w:t>由承包人负责并承担费用</w:t>
      </w:r>
      <w:r>
        <w:rPr>
          <w:rFonts w:hint="eastAsia" w:ascii="宋体" w:hAnsi="宋体" w:cs="宋体"/>
          <w:highlight w:val="none"/>
        </w:rPr>
        <w:t xml:space="preserve">。 </w:t>
      </w:r>
    </w:p>
    <w:p w14:paraId="54578959">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10</w:t>
      </w:r>
      <w:r>
        <w:rPr>
          <w:rFonts w:hint="eastAsia" w:ascii="宋体" w:hAnsi="宋体" w:cs="宋体"/>
          <w:highlight w:val="none"/>
        </w:rPr>
        <w:t xml:space="preserve">. 试验与检验 </w:t>
      </w:r>
    </w:p>
    <w:p w14:paraId="61C6F008">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10</w:t>
      </w:r>
      <w:r>
        <w:rPr>
          <w:rFonts w:hint="eastAsia" w:ascii="宋体" w:hAnsi="宋体" w:cs="宋体"/>
          <w:highlight w:val="none"/>
        </w:rPr>
        <w:t xml:space="preserve">.1试验设备与试验人员 </w:t>
      </w:r>
    </w:p>
    <w:p w14:paraId="74A991CB">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10</w:t>
      </w:r>
      <w:r>
        <w:rPr>
          <w:rFonts w:hint="eastAsia" w:ascii="宋体" w:hAnsi="宋体" w:cs="宋体"/>
          <w:highlight w:val="none"/>
        </w:rPr>
        <w:t xml:space="preserve">.1.2 试验设备 </w:t>
      </w:r>
    </w:p>
    <w:p w14:paraId="05569399">
      <w:pPr>
        <w:widowControl/>
        <w:spacing w:line="460" w:lineRule="exact"/>
        <w:ind w:firstLine="420" w:firstLineChars="200"/>
        <w:jc w:val="left"/>
        <w:rPr>
          <w:rFonts w:ascii="宋体" w:hAnsi="宋体" w:cs="宋体"/>
          <w:highlight w:val="none"/>
        </w:rPr>
      </w:pPr>
      <w:r>
        <w:rPr>
          <w:rFonts w:hint="eastAsia" w:ascii="宋体" w:hAnsi="宋体" w:cs="宋体"/>
          <w:highlight w:val="none"/>
        </w:rPr>
        <w:t>施工现场需要配置的试验场所：</w:t>
      </w:r>
      <w:r>
        <w:rPr>
          <w:rFonts w:hint="eastAsia" w:ascii="宋体" w:hAnsi="宋体" w:cs="宋体"/>
          <w:highlight w:val="none"/>
          <w:u w:val="single"/>
        </w:rPr>
        <w:t>执行通用条款。</w:t>
      </w:r>
      <w:r>
        <w:rPr>
          <w:rFonts w:hint="eastAsia" w:ascii="宋体" w:hAnsi="宋体" w:cs="宋体"/>
          <w:highlight w:val="none"/>
        </w:rPr>
        <w:t xml:space="preserve"> </w:t>
      </w:r>
    </w:p>
    <w:p w14:paraId="0FF5B32B">
      <w:pPr>
        <w:widowControl/>
        <w:spacing w:line="460" w:lineRule="exact"/>
        <w:ind w:firstLine="420" w:firstLineChars="200"/>
        <w:jc w:val="left"/>
        <w:rPr>
          <w:rFonts w:ascii="宋体" w:hAnsi="宋体" w:cs="宋体"/>
          <w:highlight w:val="none"/>
        </w:rPr>
      </w:pPr>
      <w:r>
        <w:rPr>
          <w:rFonts w:hint="eastAsia" w:ascii="宋体" w:hAnsi="宋体" w:cs="宋体"/>
          <w:highlight w:val="none"/>
        </w:rPr>
        <w:t>施工现场需要配备的试验设备：</w:t>
      </w:r>
      <w:r>
        <w:rPr>
          <w:rFonts w:hint="eastAsia" w:ascii="宋体" w:hAnsi="宋体" w:cs="宋体"/>
          <w:highlight w:val="none"/>
          <w:u w:val="single"/>
        </w:rPr>
        <w:t>执行通用条款。</w:t>
      </w:r>
      <w:r>
        <w:rPr>
          <w:rFonts w:hint="eastAsia" w:ascii="宋体" w:hAnsi="宋体" w:cs="宋体"/>
          <w:highlight w:val="none"/>
        </w:rPr>
        <w:t xml:space="preserve"> </w:t>
      </w:r>
    </w:p>
    <w:p w14:paraId="269EEDD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施工现场需要具备的其他试验条件：</w:t>
      </w:r>
      <w:r>
        <w:rPr>
          <w:rFonts w:hint="eastAsia" w:ascii="宋体" w:hAnsi="宋体" w:cs="宋体"/>
          <w:highlight w:val="none"/>
          <w:u w:val="single"/>
        </w:rPr>
        <w:t>执行通用条款。</w:t>
      </w:r>
    </w:p>
    <w:p w14:paraId="393A964E">
      <w:pPr>
        <w:widowControl/>
        <w:spacing w:line="460" w:lineRule="exact"/>
        <w:ind w:firstLine="420" w:firstLineChars="200"/>
        <w:jc w:val="left"/>
        <w:rPr>
          <w:rFonts w:ascii="宋体" w:hAnsi="宋体" w:cs="宋体"/>
          <w:highlight w:val="none"/>
        </w:rPr>
      </w:pPr>
      <w:r>
        <w:rPr>
          <w:rFonts w:hint="eastAsia" w:ascii="宋体" w:hAnsi="宋体" w:cs="宋体"/>
          <w:highlight w:val="none"/>
          <w:lang w:val="en-US" w:eastAsia="zh-CN"/>
        </w:rPr>
        <w:t>10</w:t>
      </w:r>
      <w:r>
        <w:rPr>
          <w:rFonts w:hint="eastAsia" w:ascii="宋体" w:hAnsi="宋体" w:cs="宋体"/>
          <w:highlight w:val="none"/>
        </w:rPr>
        <w:t xml:space="preserve">.4 现场工艺试验 </w:t>
      </w:r>
    </w:p>
    <w:p w14:paraId="22C8570D">
      <w:pPr>
        <w:widowControl/>
        <w:spacing w:line="460" w:lineRule="exact"/>
        <w:ind w:firstLine="420" w:firstLineChars="200"/>
        <w:jc w:val="left"/>
        <w:rPr>
          <w:rFonts w:ascii="宋体" w:hAnsi="宋体" w:cs="宋体"/>
          <w:highlight w:val="none"/>
        </w:rPr>
      </w:pPr>
      <w:r>
        <w:rPr>
          <w:rFonts w:hint="eastAsia" w:ascii="宋体" w:hAnsi="宋体" w:cs="宋体"/>
          <w:highlight w:val="none"/>
        </w:rPr>
        <w:t>现场工艺试验的有关约定：</w:t>
      </w:r>
      <w:r>
        <w:rPr>
          <w:rFonts w:hint="eastAsia" w:ascii="宋体" w:hAnsi="宋体" w:cs="宋体"/>
          <w:highlight w:val="none"/>
          <w:u w:val="single"/>
        </w:rPr>
        <w:t xml:space="preserve">执行通用条款 </w:t>
      </w:r>
    </w:p>
    <w:p w14:paraId="77E0829E">
      <w:pPr>
        <w:widowControl/>
        <w:spacing w:line="460" w:lineRule="exact"/>
        <w:ind w:firstLine="420" w:firstLineChars="200"/>
        <w:jc w:val="left"/>
        <w:rPr>
          <w:rFonts w:ascii="宋体" w:hAnsi="宋体" w:cs="宋体"/>
          <w:highlight w:val="none"/>
        </w:rPr>
      </w:pPr>
      <w:r>
        <w:rPr>
          <w:rFonts w:hint="eastAsia" w:ascii="宋体" w:hAnsi="宋体" w:cs="宋体"/>
          <w:highlight w:val="none"/>
        </w:rPr>
        <w:t>10.</w:t>
      </w:r>
      <w:r>
        <w:rPr>
          <w:rFonts w:hint="eastAsia" w:ascii="宋体" w:hAnsi="宋体" w:cs="宋体"/>
          <w:highlight w:val="none"/>
          <w:lang w:val="en-US" w:eastAsia="zh-CN"/>
        </w:rPr>
        <w:t>.5</w:t>
      </w:r>
      <w:r>
        <w:rPr>
          <w:rFonts w:hint="eastAsia" w:ascii="宋体" w:hAnsi="宋体" w:cs="宋体"/>
          <w:highlight w:val="none"/>
        </w:rPr>
        <w:t xml:space="preserve"> 变更 </w:t>
      </w:r>
    </w:p>
    <w:p w14:paraId="546A2FA7">
      <w:pPr>
        <w:widowControl/>
        <w:spacing w:line="460" w:lineRule="exact"/>
        <w:ind w:firstLine="420" w:firstLineChars="200"/>
        <w:jc w:val="left"/>
        <w:rPr>
          <w:rFonts w:ascii="宋体" w:hAnsi="宋体" w:cs="宋体"/>
          <w:highlight w:val="none"/>
        </w:rPr>
      </w:pPr>
      <w:r>
        <w:rPr>
          <w:rFonts w:hint="eastAsia" w:ascii="宋体" w:hAnsi="宋体" w:cs="宋体"/>
          <w:highlight w:val="none"/>
        </w:rPr>
        <w:t>10.</w:t>
      </w:r>
      <w:r>
        <w:rPr>
          <w:rFonts w:hint="eastAsia" w:ascii="宋体" w:hAnsi="宋体" w:cs="宋体"/>
          <w:highlight w:val="none"/>
          <w:lang w:val="en-US" w:eastAsia="zh-CN"/>
        </w:rPr>
        <w:t>5.1</w:t>
      </w:r>
      <w:r>
        <w:rPr>
          <w:rFonts w:hint="eastAsia" w:ascii="宋体" w:hAnsi="宋体" w:cs="宋体"/>
          <w:highlight w:val="none"/>
        </w:rPr>
        <w:t xml:space="preserve">变更的范围 </w:t>
      </w:r>
    </w:p>
    <w:p w14:paraId="0B6062BD">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关于变更的范围的约定：</w:t>
      </w:r>
      <w:r>
        <w:rPr>
          <w:rFonts w:hint="eastAsia" w:ascii="宋体" w:hAnsi="宋体" w:cs="宋体"/>
          <w:highlight w:val="none"/>
          <w:u w:val="single"/>
        </w:rPr>
        <w:t>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宋体"/>
          <w:highlight w:val="none"/>
        </w:rPr>
        <w:t xml:space="preserve">。 </w:t>
      </w:r>
    </w:p>
    <w:p w14:paraId="2F032509">
      <w:pPr>
        <w:widowControl/>
        <w:spacing w:line="460" w:lineRule="exact"/>
        <w:ind w:firstLine="420" w:firstLineChars="200"/>
        <w:jc w:val="left"/>
        <w:rPr>
          <w:rFonts w:ascii="宋体" w:hAnsi="宋体" w:cs="宋体"/>
          <w:highlight w:val="none"/>
        </w:rPr>
      </w:pPr>
      <w:r>
        <w:rPr>
          <w:rFonts w:hint="eastAsia" w:ascii="宋体" w:hAnsi="宋体" w:cs="宋体"/>
          <w:highlight w:val="none"/>
        </w:rPr>
        <w:t>10.</w:t>
      </w:r>
      <w:r>
        <w:rPr>
          <w:rFonts w:hint="eastAsia" w:ascii="宋体" w:hAnsi="宋体" w:cs="宋体"/>
          <w:highlight w:val="none"/>
          <w:lang w:val="en-US" w:eastAsia="zh-CN"/>
        </w:rPr>
        <w:t>6</w:t>
      </w:r>
      <w:r>
        <w:rPr>
          <w:rFonts w:hint="eastAsia" w:ascii="宋体" w:hAnsi="宋体" w:cs="宋体"/>
          <w:highlight w:val="none"/>
        </w:rPr>
        <w:t xml:space="preserve"> 变更估价 </w:t>
      </w:r>
    </w:p>
    <w:p w14:paraId="54EE219C">
      <w:pPr>
        <w:widowControl/>
        <w:spacing w:line="460" w:lineRule="exact"/>
        <w:ind w:firstLine="420" w:firstLineChars="200"/>
        <w:jc w:val="left"/>
        <w:rPr>
          <w:rFonts w:ascii="宋体" w:hAnsi="宋体" w:cs="宋体"/>
          <w:highlight w:val="none"/>
        </w:rPr>
      </w:pPr>
      <w:r>
        <w:rPr>
          <w:rFonts w:hint="eastAsia" w:ascii="宋体" w:hAnsi="宋体" w:cs="宋体"/>
          <w:highlight w:val="none"/>
        </w:rPr>
        <w:t>10.</w:t>
      </w:r>
      <w:r>
        <w:rPr>
          <w:rFonts w:hint="eastAsia" w:ascii="宋体" w:hAnsi="宋体" w:cs="宋体"/>
          <w:highlight w:val="none"/>
          <w:lang w:val="en-US" w:eastAsia="zh-CN"/>
        </w:rPr>
        <w:t>6</w:t>
      </w:r>
      <w:r>
        <w:rPr>
          <w:rFonts w:hint="eastAsia" w:ascii="宋体" w:hAnsi="宋体" w:cs="宋体"/>
          <w:highlight w:val="none"/>
        </w:rPr>
        <w:t xml:space="preserve">.1 变更估价原则 </w:t>
      </w:r>
    </w:p>
    <w:p w14:paraId="0323493B">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关于变更估价的约定:</w:t>
      </w:r>
    </w:p>
    <w:p w14:paraId="3072535C">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57638FB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2) 签证的时限要求。施工中发生的应由发包人承担责任的设计变更及其他变更，承包人应在发生后7天内办理好签证手续报监理单位和发包人签证认可；</w:t>
      </w:r>
    </w:p>
    <w:p w14:paraId="70723E9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3) 由于承包人原因导致的工程变更，承包人无权要求签证赔偿；</w:t>
      </w:r>
    </w:p>
    <w:p w14:paraId="46F9CC0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4) 签证单的签证程序必须严格按照发包人规定执行，否则，视为无效签证单。无效签证单发包人不予承认，责任由承包人自负；</w:t>
      </w:r>
    </w:p>
    <w:p w14:paraId="07C4A68D">
      <w:pPr>
        <w:widowControl/>
        <w:spacing w:line="460" w:lineRule="exact"/>
        <w:ind w:firstLine="420" w:firstLineChars="200"/>
        <w:jc w:val="left"/>
        <w:rPr>
          <w:rFonts w:hint="eastAsia" w:ascii="宋体" w:hAnsi="宋体" w:cs="宋体"/>
          <w:highlight w:val="none"/>
        </w:rPr>
      </w:pPr>
      <w:r>
        <w:rPr>
          <w:rFonts w:hint="eastAsia" w:ascii="宋体" w:hAnsi="宋体" w:cs="宋体"/>
          <w:highlight w:val="none"/>
          <w:u w:val="single"/>
        </w:rPr>
        <w:t>5) 若发包人有明确的工作指令，承包人不应以工程签证未办理完成为借口，延误工作进展</w:t>
      </w:r>
      <w:r>
        <w:rPr>
          <w:rFonts w:hint="eastAsia" w:ascii="宋体" w:hAnsi="宋体" w:cs="宋体"/>
          <w:highlight w:val="none"/>
        </w:rPr>
        <w:t>。</w:t>
      </w:r>
    </w:p>
    <w:p w14:paraId="17C9795C">
      <w:pPr>
        <w:widowControl/>
        <w:spacing w:line="460" w:lineRule="exact"/>
        <w:ind w:firstLine="420" w:firstLineChars="200"/>
        <w:jc w:val="left"/>
        <w:rPr>
          <w:rFonts w:hint="eastAsia" w:ascii="宋体" w:hAnsi="宋体" w:cs="宋体"/>
          <w:highlight w:val="none"/>
        </w:rPr>
      </w:pPr>
      <w:r>
        <w:rPr>
          <w:rFonts w:hint="eastAsia" w:ascii="宋体" w:hAnsi="宋体" w:cs="宋体"/>
          <w:highlight w:val="none"/>
          <w:u w:val="single"/>
          <w:lang w:val="en-US" w:eastAsia="zh-CN"/>
        </w:rPr>
        <w:t>6</w:t>
      </w:r>
      <w:r>
        <w:rPr>
          <w:rFonts w:hint="eastAsia" w:ascii="宋体" w:hAnsi="宋体" w:cs="宋体"/>
          <w:highlight w:val="none"/>
          <w:u w:val="single"/>
        </w:rPr>
        <w:t>)所有工程变更（包括设计变更、现场签证、技术核定等）必须经</w:t>
      </w:r>
      <w:r>
        <w:rPr>
          <w:rFonts w:hint="eastAsia" w:ascii="宋体" w:hAnsi="宋体" w:cs="宋体"/>
          <w:highlight w:val="none"/>
          <w:u w:val="single"/>
          <w:lang w:val="en-US" w:eastAsia="zh-CN"/>
        </w:rPr>
        <w:t>发包人</w:t>
      </w:r>
      <w:r>
        <w:rPr>
          <w:rFonts w:hint="eastAsia" w:ascii="宋体" w:hAnsi="宋体" w:cs="宋体"/>
          <w:highlight w:val="none"/>
          <w:u w:val="single"/>
        </w:rPr>
        <w:t>书面签字确认后方可实施，承包人不得擅自进行任何变更；未经</w:t>
      </w:r>
      <w:r>
        <w:rPr>
          <w:rFonts w:hint="eastAsia" w:ascii="宋体" w:hAnsi="宋体" w:cs="宋体"/>
          <w:highlight w:val="none"/>
          <w:u w:val="single"/>
          <w:lang w:val="en-US" w:eastAsia="zh-CN"/>
        </w:rPr>
        <w:t>发包人</w:t>
      </w:r>
      <w:r>
        <w:rPr>
          <w:rFonts w:hint="eastAsia" w:ascii="宋体" w:hAnsi="宋体" w:cs="宋体"/>
          <w:highlight w:val="none"/>
          <w:u w:val="single"/>
        </w:rPr>
        <w:t>确认的变更内容，</w:t>
      </w:r>
      <w:r>
        <w:rPr>
          <w:rFonts w:hint="eastAsia" w:ascii="宋体" w:hAnsi="宋体" w:cs="宋体"/>
          <w:highlight w:val="none"/>
          <w:u w:val="single"/>
          <w:lang w:val="en-US" w:eastAsia="zh-CN"/>
        </w:rPr>
        <w:t>发包人</w:t>
      </w:r>
      <w:r>
        <w:rPr>
          <w:rFonts w:hint="eastAsia" w:ascii="宋体" w:hAnsi="宋体" w:cs="宋体"/>
          <w:highlight w:val="none"/>
          <w:u w:val="single"/>
        </w:rPr>
        <w:t>在结算时不予认可，相关费用由承包人自行承担；变更价款的计价严格执行中标下浮率，无相同或类似单价的，由承包人提交详细组价资料报</w:t>
      </w:r>
      <w:r>
        <w:rPr>
          <w:rFonts w:hint="eastAsia" w:ascii="宋体" w:hAnsi="宋体" w:cs="宋体"/>
          <w:highlight w:val="none"/>
          <w:u w:val="single"/>
          <w:lang w:val="en-US" w:eastAsia="zh-CN"/>
        </w:rPr>
        <w:t>发包人</w:t>
      </w:r>
      <w:r>
        <w:rPr>
          <w:rFonts w:hint="eastAsia" w:ascii="宋体" w:hAnsi="宋体" w:cs="宋体"/>
          <w:highlight w:val="none"/>
          <w:u w:val="single"/>
        </w:rPr>
        <w:t>审核，审核通过后方可作为结算依据。</w:t>
      </w:r>
    </w:p>
    <w:p w14:paraId="583956C5">
      <w:pPr>
        <w:widowControl/>
        <w:spacing w:line="460" w:lineRule="exact"/>
        <w:ind w:firstLine="420" w:firstLineChars="200"/>
        <w:jc w:val="left"/>
        <w:rPr>
          <w:rFonts w:ascii="宋体" w:hAnsi="宋体" w:cs="宋体"/>
          <w:highlight w:val="none"/>
        </w:rPr>
      </w:pPr>
      <w:r>
        <w:rPr>
          <w:rFonts w:hint="eastAsia" w:ascii="宋体" w:hAnsi="宋体" w:cs="宋体"/>
          <w:highlight w:val="none"/>
        </w:rPr>
        <w:t>10.</w:t>
      </w:r>
      <w:r>
        <w:rPr>
          <w:rFonts w:hint="eastAsia" w:ascii="宋体" w:hAnsi="宋体" w:cs="宋体"/>
          <w:highlight w:val="none"/>
          <w:lang w:val="en-US" w:eastAsia="zh-CN"/>
        </w:rPr>
        <w:t>7</w:t>
      </w:r>
      <w:r>
        <w:rPr>
          <w:rFonts w:hint="eastAsia" w:ascii="宋体" w:hAnsi="宋体" w:cs="宋体"/>
          <w:highlight w:val="none"/>
        </w:rPr>
        <w:t xml:space="preserve">承包人的合理化建议 </w:t>
      </w:r>
    </w:p>
    <w:p w14:paraId="6E8C90BC">
      <w:pPr>
        <w:widowControl/>
        <w:spacing w:line="460" w:lineRule="exact"/>
        <w:ind w:firstLine="420" w:firstLineChars="200"/>
        <w:jc w:val="left"/>
        <w:rPr>
          <w:rFonts w:ascii="宋体" w:hAnsi="宋体" w:cs="宋体"/>
          <w:highlight w:val="none"/>
        </w:rPr>
      </w:pPr>
      <w:r>
        <w:rPr>
          <w:rFonts w:hint="eastAsia" w:ascii="宋体" w:hAnsi="宋体" w:cs="宋体"/>
          <w:highlight w:val="none"/>
        </w:rPr>
        <w:t>监理人审查承包人合理化建议的期限：</w:t>
      </w:r>
      <w:r>
        <w:rPr>
          <w:rFonts w:hint="eastAsia" w:ascii="宋体" w:hAnsi="宋体" w:cs="宋体"/>
          <w:highlight w:val="none"/>
          <w:u w:val="single"/>
        </w:rPr>
        <w:t xml:space="preserve"> 7天   </w:t>
      </w:r>
      <w:r>
        <w:rPr>
          <w:rFonts w:hint="eastAsia" w:ascii="宋体" w:hAnsi="宋体" w:cs="宋体"/>
          <w:highlight w:val="none"/>
        </w:rPr>
        <w:t xml:space="preserve">。 </w:t>
      </w:r>
    </w:p>
    <w:p w14:paraId="421175F7">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发包人审批承包人合理化建议的期限：</w:t>
      </w:r>
      <w:r>
        <w:rPr>
          <w:rFonts w:hint="eastAsia" w:ascii="宋体" w:hAnsi="宋体" w:cs="宋体"/>
          <w:highlight w:val="none"/>
          <w:u w:val="single"/>
        </w:rPr>
        <w:t xml:space="preserve">  7天  </w:t>
      </w:r>
      <w:r>
        <w:rPr>
          <w:rFonts w:hint="eastAsia" w:ascii="宋体" w:hAnsi="宋体" w:cs="宋体"/>
          <w:highlight w:val="none"/>
        </w:rPr>
        <w:t xml:space="preserve">。 </w:t>
      </w:r>
    </w:p>
    <w:p w14:paraId="6127B7AB">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承包人提出的合理化建议降低了合同价格或者提高了工程经济效益的奖励的方法和金额为：</w:t>
      </w:r>
      <w:r>
        <w:rPr>
          <w:rFonts w:hint="eastAsia" w:ascii="宋体" w:hAnsi="宋体" w:cs="宋体"/>
          <w:highlight w:val="none"/>
          <w:u w:val="single"/>
        </w:rPr>
        <w:t xml:space="preserve"> /  </w:t>
      </w:r>
      <w:r>
        <w:rPr>
          <w:rFonts w:hint="eastAsia" w:ascii="宋体" w:hAnsi="宋体" w:cs="宋体"/>
          <w:highlight w:val="none"/>
        </w:rPr>
        <w:t>。</w:t>
      </w:r>
    </w:p>
    <w:p w14:paraId="5E2C593B">
      <w:pPr>
        <w:widowControl/>
        <w:spacing w:line="460" w:lineRule="exact"/>
        <w:ind w:firstLine="420" w:firstLineChars="200"/>
        <w:jc w:val="left"/>
        <w:rPr>
          <w:rFonts w:ascii="宋体" w:hAnsi="宋体" w:cs="宋体"/>
          <w:highlight w:val="none"/>
        </w:rPr>
      </w:pPr>
      <w:r>
        <w:rPr>
          <w:rFonts w:hint="eastAsia" w:ascii="宋体" w:hAnsi="宋体" w:cs="宋体"/>
          <w:highlight w:val="none"/>
        </w:rPr>
        <w:t>10.</w:t>
      </w:r>
      <w:r>
        <w:rPr>
          <w:rFonts w:hint="eastAsia" w:ascii="宋体" w:hAnsi="宋体" w:cs="宋体"/>
          <w:highlight w:val="none"/>
          <w:lang w:val="en-US" w:eastAsia="zh-CN"/>
        </w:rPr>
        <w:t>8</w:t>
      </w:r>
      <w:r>
        <w:rPr>
          <w:rFonts w:hint="eastAsia" w:ascii="宋体" w:hAnsi="宋体" w:cs="宋体"/>
          <w:highlight w:val="none"/>
        </w:rPr>
        <w:t xml:space="preserve"> 暂估价 </w:t>
      </w:r>
    </w:p>
    <w:p w14:paraId="63CCA4CE">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暂估价材料和工程设备的明细详见附件11：《暂估价一览表》。 </w:t>
      </w:r>
    </w:p>
    <w:p w14:paraId="20DE8575">
      <w:pPr>
        <w:widowControl/>
        <w:spacing w:line="460" w:lineRule="exact"/>
        <w:ind w:firstLine="420" w:firstLineChars="200"/>
        <w:jc w:val="left"/>
        <w:rPr>
          <w:rFonts w:ascii="宋体" w:hAnsi="宋体" w:cs="宋体"/>
          <w:highlight w:val="none"/>
        </w:rPr>
      </w:pPr>
      <w:r>
        <w:rPr>
          <w:rFonts w:hint="eastAsia" w:ascii="宋体" w:hAnsi="宋体" w:cs="宋体"/>
          <w:highlight w:val="none"/>
        </w:rPr>
        <w:t>10.</w:t>
      </w:r>
      <w:r>
        <w:rPr>
          <w:rFonts w:hint="eastAsia" w:ascii="宋体" w:hAnsi="宋体" w:cs="宋体"/>
          <w:highlight w:val="none"/>
          <w:lang w:val="en-US" w:eastAsia="zh-CN"/>
        </w:rPr>
        <w:t>8</w:t>
      </w:r>
      <w:r>
        <w:rPr>
          <w:rFonts w:hint="eastAsia" w:ascii="宋体" w:hAnsi="宋体" w:cs="宋体"/>
          <w:highlight w:val="none"/>
        </w:rPr>
        <w:t xml:space="preserve">.1 依法必须招标的暂估价项目 </w:t>
      </w:r>
    </w:p>
    <w:p w14:paraId="14B4227F">
      <w:pPr>
        <w:widowControl/>
        <w:spacing w:line="460" w:lineRule="exact"/>
        <w:ind w:firstLine="420" w:firstLineChars="200"/>
        <w:jc w:val="left"/>
        <w:rPr>
          <w:rFonts w:ascii="宋体" w:hAnsi="宋体" w:cs="宋体"/>
          <w:highlight w:val="none"/>
        </w:rPr>
      </w:pPr>
      <w:r>
        <w:rPr>
          <w:rFonts w:hint="eastAsia" w:ascii="宋体" w:hAnsi="宋体" w:cs="宋体"/>
          <w:highlight w:val="none"/>
        </w:rPr>
        <w:t>对于依法必须招标的暂估价项目的确认和批准采取第</w:t>
      </w:r>
      <w:r>
        <w:rPr>
          <w:rFonts w:hint="eastAsia" w:ascii="宋体" w:hAnsi="宋体" w:cs="宋体"/>
          <w:highlight w:val="none"/>
          <w:u w:val="single"/>
        </w:rPr>
        <w:t xml:space="preserve">   /   </w:t>
      </w:r>
      <w:r>
        <w:rPr>
          <w:rFonts w:hint="eastAsia" w:ascii="宋体" w:hAnsi="宋体" w:cs="宋体"/>
          <w:highlight w:val="none"/>
        </w:rPr>
        <w:t xml:space="preserve">种方式确定。（由发包人选用，并明确暂估价材料、专业工程暂估价的结算方法） </w:t>
      </w:r>
    </w:p>
    <w:p w14:paraId="659DE622">
      <w:pPr>
        <w:widowControl/>
        <w:spacing w:line="460" w:lineRule="exact"/>
        <w:ind w:firstLine="420" w:firstLineChars="200"/>
        <w:jc w:val="left"/>
        <w:rPr>
          <w:rFonts w:ascii="宋体" w:hAnsi="宋体" w:cs="宋体"/>
          <w:highlight w:val="none"/>
        </w:rPr>
      </w:pPr>
      <w:r>
        <w:rPr>
          <w:rFonts w:hint="eastAsia" w:ascii="宋体" w:hAnsi="宋体" w:cs="宋体"/>
          <w:highlight w:val="none"/>
        </w:rPr>
        <w:t>10.</w:t>
      </w:r>
      <w:r>
        <w:rPr>
          <w:rFonts w:hint="eastAsia" w:ascii="宋体" w:hAnsi="宋体" w:cs="宋体"/>
          <w:highlight w:val="none"/>
          <w:lang w:val="en-US" w:eastAsia="zh-CN"/>
        </w:rPr>
        <w:t>8</w:t>
      </w:r>
      <w:r>
        <w:rPr>
          <w:rFonts w:hint="eastAsia" w:ascii="宋体" w:hAnsi="宋体" w:cs="宋体"/>
          <w:highlight w:val="none"/>
        </w:rPr>
        <w:t xml:space="preserve">.2 不属于依法必须招标的暂估价项目 </w:t>
      </w:r>
    </w:p>
    <w:p w14:paraId="0D21C783">
      <w:pPr>
        <w:widowControl/>
        <w:spacing w:line="460" w:lineRule="exact"/>
        <w:ind w:firstLine="420" w:firstLineChars="200"/>
        <w:jc w:val="left"/>
        <w:rPr>
          <w:rFonts w:ascii="宋体" w:hAnsi="宋体" w:cs="宋体"/>
          <w:highlight w:val="none"/>
        </w:rPr>
      </w:pPr>
      <w:r>
        <w:rPr>
          <w:rFonts w:hint="eastAsia" w:ascii="宋体" w:hAnsi="宋体" w:cs="宋体"/>
          <w:highlight w:val="none"/>
        </w:rPr>
        <w:t>对于不属于依法必须招标的暂估价项目的确认和批准采取第</w:t>
      </w:r>
      <w:r>
        <w:rPr>
          <w:rFonts w:hint="eastAsia" w:ascii="宋体" w:hAnsi="宋体" w:cs="宋体"/>
          <w:highlight w:val="none"/>
          <w:u w:val="single"/>
        </w:rPr>
        <w:t xml:space="preserve">   /   </w:t>
      </w:r>
      <w:r>
        <w:rPr>
          <w:rFonts w:hint="eastAsia" w:ascii="宋体" w:hAnsi="宋体" w:cs="宋体"/>
          <w:highlight w:val="none"/>
        </w:rPr>
        <w:t xml:space="preserve">种方式确定。 </w:t>
      </w:r>
    </w:p>
    <w:p w14:paraId="695630BD">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第3种方式：承包人直接实施的暂估价项目 </w:t>
      </w:r>
    </w:p>
    <w:p w14:paraId="61CCD243">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承包人直接实施的暂估价项目的约定：</w:t>
      </w:r>
      <w:r>
        <w:rPr>
          <w:rFonts w:hint="eastAsia" w:ascii="宋体" w:hAnsi="宋体" w:cs="宋体"/>
          <w:highlight w:val="none"/>
          <w:u w:val="single"/>
        </w:rPr>
        <w:t xml:space="preserve">   /   </w:t>
      </w:r>
      <w:r>
        <w:rPr>
          <w:rFonts w:hint="eastAsia" w:ascii="宋体" w:hAnsi="宋体" w:cs="宋体"/>
          <w:highlight w:val="none"/>
        </w:rPr>
        <w:t>。</w:t>
      </w:r>
    </w:p>
    <w:p w14:paraId="69436C5A">
      <w:pPr>
        <w:widowControl/>
        <w:spacing w:line="460" w:lineRule="exact"/>
        <w:ind w:firstLine="420" w:firstLineChars="200"/>
        <w:jc w:val="left"/>
        <w:rPr>
          <w:rFonts w:ascii="宋体" w:hAnsi="宋体" w:cs="宋体"/>
          <w:highlight w:val="none"/>
        </w:rPr>
      </w:pPr>
      <w:r>
        <w:rPr>
          <w:rFonts w:hint="eastAsia" w:ascii="宋体" w:hAnsi="宋体" w:cs="宋体"/>
          <w:highlight w:val="none"/>
        </w:rPr>
        <w:t>10.</w:t>
      </w:r>
      <w:r>
        <w:rPr>
          <w:rFonts w:hint="eastAsia" w:ascii="宋体" w:hAnsi="宋体" w:cs="宋体"/>
          <w:highlight w:val="none"/>
          <w:lang w:val="en-US" w:eastAsia="zh-CN"/>
        </w:rPr>
        <w:t>9</w:t>
      </w:r>
      <w:r>
        <w:rPr>
          <w:rFonts w:hint="eastAsia" w:ascii="宋体" w:hAnsi="宋体" w:cs="宋体"/>
          <w:highlight w:val="none"/>
        </w:rPr>
        <w:t xml:space="preserve"> 暂列金额合同当事人关于暂列金额使用的约定：</w:t>
      </w:r>
      <w:r>
        <w:rPr>
          <w:rFonts w:hint="eastAsia" w:ascii="宋体" w:hAnsi="宋体" w:cs="宋体"/>
          <w:highlight w:val="none"/>
          <w:u w:val="single"/>
        </w:rPr>
        <w:t>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cs="宋体"/>
          <w:highlight w:val="none"/>
        </w:rPr>
        <w:t xml:space="preserve">。 </w:t>
      </w:r>
    </w:p>
    <w:p w14:paraId="3F3ED993">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 价格调整 </w:t>
      </w:r>
    </w:p>
    <w:p w14:paraId="7EFCD0A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11.1 市场价格波动引起的调整 </w:t>
      </w:r>
    </w:p>
    <w:p w14:paraId="44D416C3">
      <w:pPr>
        <w:widowControl/>
        <w:spacing w:line="460" w:lineRule="exact"/>
        <w:ind w:firstLine="420" w:firstLineChars="200"/>
        <w:jc w:val="left"/>
        <w:rPr>
          <w:rFonts w:ascii="宋体" w:hAnsi="宋体" w:cs="宋体"/>
          <w:highlight w:val="none"/>
        </w:rPr>
      </w:pPr>
      <w:r>
        <w:rPr>
          <w:rFonts w:hint="eastAsia" w:ascii="宋体" w:hAnsi="宋体" w:cs="宋体"/>
          <w:highlight w:val="none"/>
        </w:rPr>
        <w:t>市场价格波动是否调整合同价格的约定：</w:t>
      </w:r>
      <w:r>
        <w:rPr>
          <w:rFonts w:hint="eastAsia" w:ascii="宋体" w:hAnsi="宋体" w:cs="宋体"/>
          <w:highlight w:val="none"/>
          <w:u w:val="single"/>
        </w:rPr>
        <w:t xml:space="preserve">   否   </w:t>
      </w:r>
    </w:p>
    <w:p w14:paraId="17EBD756">
      <w:pPr>
        <w:widowControl/>
        <w:spacing w:line="460" w:lineRule="exact"/>
        <w:ind w:firstLine="420" w:firstLineChars="200"/>
        <w:jc w:val="left"/>
        <w:rPr>
          <w:rFonts w:ascii="宋体" w:hAnsi="宋体" w:cs="宋体"/>
          <w:highlight w:val="none"/>
        </w:rPr>
      </w:pPr>
      <w:r>
        <w:rPr>
          <w:rFonts w:hint="eastAsia" w:ascii="宋体" w:hAnsi="宋体" w:cs="宋体"/>
          <w:highlight w:val="none"/>
        </w:rPr>
        <w:t>因市场价格波动调整合同价格，采用以下第</w:t>
      </w:r>
      <w:r>
        <w:rPr>
          <w:rFonts w:hint="eastAsia" w:ascii="宋体" w:hAnsi="宋体" w:cs="宋体"/>
          <w:highlight w:val="none"/>
          <w:u w:val="single"/>
        </w:rPr>
        <w:t>3</w:t>
      </w:r>
      <w:r>
        <w:rPr>
          <w:rFonts w:hint="eastAsia" w:ascii="宋体" w:hAnsi="宋体" w:cs="宋体"/>
          <w:highlight w:val="none"/>
        </w:rPr>
        <w:t xml:space="preserve">种方式对合同价格进行调整： </w:t>
      </w:r>
    </w:p>
    <w:p w14:paraId="0AD0AA66">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第1种方式：采用价格指数进行价格调整。 </w:t>
      </w:r>
    </w:p>
    <w:p w14:paraId="3C9ED136">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关于各可调因子、定值和变值权重，以及基本价格指数及其来源的约定：</w:t>
      </w:r>
      <w:r>
        <w:rPr>
          <w:rFonts w:hint="eastAsia" w:ascii="宋体" w:hAnsi="宋体" w:cs="宋体"/>
          <w:highlight w:val="none"/>
          <w:u w:val="single"/>
        </w:rPr>
        <w:t>/</w:t>
      </w:r>
      <w:r>
        <w:rPr>
          <w:rFonts w:hint="eastAsia" w:ascii="宋体" w:hAnsi="宋体" w:cs="宋体"/>
          <w:highlight w:val="none"/>
        </w:rPr>
        <w:t xml:space="preserve">； </w:t>
      </w:r>
    </w:p>
    <w:p w14:paraId="5EAB9320">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第2种方式：采用造价信息进行价格调整。 </w:t>
      </w:r>
    </w:p>
    <w:p w14:paraId="6F5C7B1D">
      <w:pPr>
        <w:widowControl/>
        <w:spacing w:line="460" w:lineRule="exact"/>
        <w:ind w:firstLine="420" w:firstLineChars="200"/>
        <w:jc w:val="left"/>
        <w:rPr>
          <w:rFonts w:ascii="宋体" w:hAnsi="宋体" w:cs="宋体"/>
          <w:highlight w:val="none"/>
        </w:rPr>
      </w:pPr>
      <w:r>
        <w:rPr>
          <w:rFonts w:hint="eastAsia" w:ascii="宋体" w:hAnsi="宋体" w:cs="宋体"/>
          <w:highlight w:val="none"/>
        </w:rPr>
        <w:t>（2）关于基准价格的约定：</w:t>
      </w:r>
      <w:r>
        <w:rPr>
          <w:rFonts w:hint="eastAsia" w:ascii="宋体" w:hAnsi="宋体" w:cs="宋体"/>
          <w:highlight w:val="none"/>
          <w:u w:val="single"/>
        </w:rPr>
        <w:t xml:space="preserve">   /   </w:t>
      </w:r>
      <w:r>
        <w:rPr>
          <w:rFonts w:hint="eastAsia" w:ascii="宋体" w:hAnsi="宋体" w:cs="宋体"/>
          <w:highlight w:val="none"/>
        </w:rPr>
        <w:t>。</w:t>
      </w:r>
    </w:p>
    <w:p w14:paraId="048F774D">
      <w:pPr>
        <w:widowControl/>
        <w:spacing w:line="460" w:lineRule="exact"/>
        <w:ind w:firstLine="420" w:firstLineChars="200"/>
        <w:jc w:val="left"/>
        <w:rPr>
          <w:rFonts w:ascii="宋体" w:hAnsi="宋体" w:cs="宋体"/>
          <w:highlight w:val="none"/>
        </w:rPr>
      </w:pPr>
      <w:r>
        <w:rPr>
          <w:rFonts w:hint="eastAsia" w:ascii="宋体" w:hAnsi="宋体" w:cs="宋体"/>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highlight w:val="none"/>
          <w:u w:val="single"/>
        </w:rPr>
        <w:t>/</w:t>
      </w:r>
      <w:r>
        <w:rPr>
          <w:rFonts w:hint="eastAsia" w:ascii="宋体" w:hAnsi="宋体" w:cs="宋体"/>
          <w:highlight w:val="none"/>
        </w:rPr>
        <w:t>%时，或材料单价跌幅以已标价工程量清单或预算书中载明材料单价为基础超过</w:t>
      </w:r>
      <w:r>
        <w:rPr>
          <w:rFonts w:hint="eastAsia" w:ascii="宋体" w:hAnsi="宋体" w:cs="宋体"/>
          <w:highlight w:val="none"/>
          <w:u w:val="single"/>
        </w:rPr>
        <w:t>/</w:t>
      </w:r>
      <w:r>
        <w:rPr>
          <w:rFonts w:hint="eastAsia" w:ascii="宋体" w:hAnsi="宋体" w:cs="宋体"/>
          <w:highlight w:val="none"/>
        </w:rPr>
        <w:t xml:space="preserve">%时，其超过部分据实调整。 </w:t>
      </w:r>
    </w:p>
    <w:p w14:paraId="17C6D15C">
      <w:pPr>
        <w:widowControl/>
        <w:spacing w:line="460" w:lineRule="exact"/>
        <w:ind w:firstLine="420" w:firstLineChars="200"/>
        <w:jc w:val="left"/>
        <w:rPr>
          <w:rFonts w:ascii="宋体" w:hAnsi="宋体" w:cs="宋体"/>
          <w:highlight w:val="none"/>
        </w:rPr>
      </w:pPr>
      <w:r>
        <w:rPr>
          <w:rFonts w:hint="eastAsia" w:ascii="宋体" w:hAnsi="宋体" w:cs="宋体"/>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highlight w:val="none"/>
          <w:u w:val="single"/>
        </w:rPr>
        <w:t>/</w:t>
      </w:r>
      <w:r>
        <w:rPr>
          <w:rFonts w:hint="eastAsia" w:ascii="宋体" w:hAnsi="宋体" w:cs="宋体"/>
          <w:highlight w:val="none"/>
        </w:rPr>
        <w:t>%时，材料单价涨幅以已标价工程量清单或预算书中载明材料单价为基础超过</w:t>
      </w:r>
      <w:r>
        <w:rPr>
          <w:rFonts w:hint="eastAsia" w:ascii="宋体" w:hAnsi="宋体" w:cs="宋体"/>
          <w:highlight w:val="none"/>
          <w:u w:val="single"/>
        </w:rPr>
        <w:t>/</w:t>
      </w:r>
      <w:r>
        <w:rPr>
          <w:rFonts w:hint="eastAsia" w:ascii="宋体" w:hAnsi="宋体" w:cs="宋体"/>
          <w:highlight w:val="none"/>
        </w:rPr>
        <w:t xml:space="preserve">%时，其超过部分据实调整。 </w:t>
      </w:r>
    </w:p>
    <w:p w14:paraId="3BF544DB">
      <w:pPr>
        <w:widowControl/>
        <w:spacing w:line="460" w:lineRule="exact"/>
        <w:ind w:firstLine="420" w:firstLineChars="200"/>
        <w:jc w:val="left"/>
        <w:rPr>
          <w:rFonts w:ascii="宋体" w:hAnsi="宋体" w:cs="宋体"/>
          <w:highlight w:val="none"/>
        </w:rPr>
      </w:pPr>
      <w:r>
        <w:rPr>
          <w:rFonts w:hint="eastAsia" w:ascii="宋体" w:hAnsi="宋体" w:cs="宋体"/>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highlight w:val="none"/>
          <w:u w:val="single"/>
        </w:rPr>
        <w:t>/</w:t>
      </w:r>
      <w:r>
        <w:rPr>
          <w:rFonts w:hint="eastAsia" w:ascii="宋体" w:hAnsi="宋体" w:cs="宋体"/>
          <w:highlight w:val="none"/>
        </w:rPr>
        <w:t xml:space="preserve">%时，其超过部分据实调整。 </w:t>
      </w:r>
    </w:p>
    <w:p w14:paraId="78617EBF">
      <w:pPr>
        <w:widowControl/>
        <w:spacing w:line="460" w:lineRule="exact"/>
        <w:ind w:firstLine="420" w:firstLineChars="200"/>
        <w:jc w:val="left"/>
        <w:rPr>
          <w:rFonts w:ascii="宋体" w:hAnsi="宋体" w:cs="宋体"/>
          <w:highlight w:val="none"/>
        </w:rPr>
      </w:pPr>
      <w:r>
        <w:rPr>
          <w:rFonts w:hint="eastAsia" w:ascii="宋体" w:hAnsi="宋体" w:cs="宋体"/>
          <w:highlight w:val="none"/>
        </w:rPr>
        <w:t>第3种方式：其他价格调整方式：</w:t>
      </w:r>
      <w:r>
        <w:rPr>
          <w:rFonts w:hint="eastAsia" w:ascii="宋体" w:hAnsi="宋体" w:cs="宋体"/>
          <w:highlight w:val="none"/>
          <w:u w:val="single"/>
        </w:rPr>
        <w:t>详见 12.1。</w:t>
      </w:r>
    </w:p>
    <w:p w14:paraId="6ACD4B22">
      <w:pPr>
        <w:widowControl/>
        <w:spacing w:line="460" w:lineRule="exact"/>
        <w:ind w:firstLine="420" w:firstLineChars="200"/>
        <w:jc w:val="left"/>
        <w:rPr>
          <w:rFonts w:ascii="宋体" w:hAnsi="宋体" w:cs="宋体"/>
          <w:highlight w:val="none"/>
        </w:rPr>
      </w:pPr>
      <w:r>
        <w:rPr>
          <w:rFonts w:hint="eastAsia" w:ascii="宋体" w:hAnsi="宋体" w:cs="宋体"/>
          <w:highlight w:val="none"/>
        </w:rPr>
        <w:t>12. 合同价格、计量与支付</w:t>
      </w:r>
    </w:p>
    <w:p w14:paraId="174CC59A">
      <w:pPr>
        <w:widowControl/>
        <w:spacing w:line="460" w:lineRule="exact"/>
        <w:ind w:firstLine="420" w:firstLineChars="200"/>
        <w:jc w:val="left"/>
        <w:rPr>
          <w:rFonts w:ascii="宋体" w:hAnsi="宋体" w:cs="宋体"/>
          <w:highlight w:val="none"/>
        </w:rPr>
      </w:pPr>
      <w:r>
        <w:rPr>
          <w:rFonts w:hint="eastAsia" w:ascii="宋体" w:hAnsi="宋体" w:cs="宋体"/>
          <w:highlight w:val="none"/>
        </w:rPr>
        <w:t>12.1 合同价格形式：</w:t>
      </w:r>
      <w:r>
        <w:rPr>
          <w:rFonts w:hint="eastAsia" w:ascii="宋体" w:hAnsi="宋体" w:cs="宋体"/>
          <w:highlight w:val="none"/>
          <w:u w:val="single"/>
        </w:rPr>
        <w:t>单价合同</w:t>
      </w:r>
      <w:r>
        <w:rPr>
          <w:rFonts w:hint="eastAsia" w:ascii="宋体" w:hAnsi="宋体" w:cs="宋体"/>
          <w:highlight w:val="none"/>
        </w:rPr>
        <w:t xml:space="preserve">。 </w:t>
      </w:r>
    </w:p>
    <w:p w14:paraId="7A51D1B6">
      <w:pPr>
        <w:spacing w:line="360" w:lineRule="auto"/>
        <w:ind w:firstLine="420" w:firstLineChars="200"/>
        <w:jc w:val="left"/>
        <w:rPr>
          <w:rFonts w:ascii="宋体" w:hAnsi="宋体" w:cs="宋体"/>
          <w:highlight w:val="none"/>
        </w:rPr>
      </w:pPr>
      <w:r>
        <w:rPr>
          <w:rFonts w:hint="eastAsia" w:ascii="宋体" w:hAnsi="宋体" w:cs="宋体"/>
          <w:highlight w:val="none"/>
        </w:rPr>
        <w:t>综合单价包含的风险范围：</w:t>
      </w:r>
      <w:r>
        <w:rPr>
          <w:rFonts w:hint="eastAsia" w:ascii="宋体" w:hAnsi="宋体" w:cs="宋体"/>
          <w:highlight w:val="none"/>
          <w:u w:val="single"/>
        </w:rPr>
        <w:t>本工程采用“固定单价”合同，合同实施过程中除招标文件和合同约定允许调整外，其余的综合单价不作调整</w:t>
      </w:r>
      <w:r>
        <w:rPr>
          <w:rFonts w:hint="eastAsia" w:ascii="宋体" w:hAnsi="宋体" w:cs="宋体"/>
          <w:highlight w:val="none"/>
        </w:rPr>
        <w:t>。</w:t>
      </w:r>
    </w:p>
    <w:p w14:paraId="28BB5B3B">
      <w:pPr>
        <w:widowControl/>
        <w:spacing w:line="460" w:lineRule="exact"/>
        <w:ind w:firstLine="420" w:firstLineChars="200"/>
        <w:jc w:val="left"/>
        <w:rPr>
          <w:rFonts w:ascii="宋体" w:hAnsi="宋体" w:cs="宋体"/>
          <w:highlight w:val="none"/>
        </w:rPr>
      </w:pPr>
      <w:r>
        <w:rPr>
          <w:rFonts w:hint="eastAsia" w:ascii="宋体" w:hAnsi="宋体" w:cs="宋体"/>
          <w:highlight w:val="none"/>
        </w:rPr>
        <w:t>风险范围以外合同价格的调整方法：</w:t>
      </w:r>
    </w:p>
    <w:p w14:paraId="5479440A">
      <w:pPr>
        <w:widowControl/>
        <w:spacing w:line="460" w:lineRule="exact"/>
        <w:ind w:firstLine="420" w:firstLineChars="200"/>
        <w:jc w:val="left"/>
        <w:rPr>
          <w:rFonts w:ascii="宋体" w:hAnsi="宋体" w:cs="宋体"/>
          <w:sz w:val="24"/>
          <w:highlight w:val="none"/>
          <w:u w:val="single"/>
        </w:rPr>
      </w:pPr>
      <w:r>
        <w:rPr>
          <w:rFonts w:hint="eastAsia" w:ascii="宋体" w:hAnsi="宋体" w:cs="宋体"/>
          <w:highlight w:val="none"/>
          <w:u w:val="single"/>
        </w:rPr>
        <w:t>12.1.1本招标项目工程竣工结算价=分部分项工程费用（实际数量*中标综合单价）+措施项目费用+其他项目费用+规费+税金+招标文件和合同约定可以调整的价格上式中招标文件及合同约定调整的价格包括但不限于以下4种情况：①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②发包人签证使用的暂列金额、专业工程实际发包价。③经发包人认可的《专业工程暂估价及结算价表》（如有）中的材料价格调整。④由于工程量清单漏项或非承包人原因的工程变更，造成增加新的工程量清单项目，其相应综合单价由承包人按招标文件约定的计价程序提出综合单价，经发包人确认后参照中标下浮率同比下浮后进行结算。如按以上方法无法计算的按照合理的成本与利润构成的原则，由合同当事人按照通用条款第4.4款〔商定或确定〕确定变更工作的单价。</w:t>
      </w:r>
    </w:p>
    <w:p w14:paraId="127CA759">
      <w:pPr>
        <w:spacing w:line="360" w:lineRule="auto"/>
        <w:ind w:firstLine="1050" w:firstLineChars="500"/>
        <w:jc w:val="left"/>
        <w:rPr>
          <w:rFonts w:ascii="宋体" w:hAnsi="宋体" w:cs="宋体"/>
          <w:highlight w:val="none"/>
        </w:rPr>
      </w:pPr>
      <w:r>
        <w:rPr>
          <w:rFonts w:hint="eastAsia" w:ascii="宋体" w:hAnsi="宋体" w:cs="宋体"/>
          <w:highlight w:val="none"/>
        </w:rPr>
        <w:t>中标价（扣除暂列金额、专业工程暂估价、</w:t>
      </w:r>
    </w:p>
    <w:p w14:paraId="6E1DF572">
      <w:pPr>
        <w:spacing w:line="360" w:lineRule="auto"/>
        <w:ind w:firstLine="1470" w:firstLineChars="700"/>
        <w:jc w:val="left"/>
        <w:rPr>
          <w:rFonts w:ascii="宋体" w:hAnsi="宋体" w:cs="宋体"/>
          <w:highlight w:val="none"/>
        </w:rPr>
      </w:pPr>
      <w:r>
        <w:rPr>
          <w:rFonts w:hint="eastAsia" w:ascii="宋体" w:hAnsi="宋体" w:cs="宋体"/>
          <w:highlight w:val="none"/>
        </w:rPr>
        <w:t>暂估材料总价及上述三项的规费和税金）</w:t>
      </w:r>
    </w:p>
    <w:p w14:paraId="3FC3459C">
      <w:pPr>
        <w:spacing w:line="360" w:lineRule="auto"/>
        <w:jc w:val="left"/>
        <w:rPr>
          <w:rFonts w:ascii="宋体" w:hAnsi="宋体" w:cs="宋体"/>
          <w:highlight w:val="none"/>
        </w:rPr>
      </w:pPr>
      <w:r>
        <w:rPr>
          <w:rFonts w:hint="eastAsia" w:ascii="宋体" w:hAnsi="宋体" w:cs="宋体"/>
          <w:highlight w:val="none"/>
        </w:rPr>
        <w:t xml:space="preserve">下浮率＝1－ --------------------------------------------------×100% </w:t>
      </w:r>
    </w:p>
    <w:p w14:paraId="28DFBB30">
      <w:pPr>
        <w:spacing w:line="360" w:lineRule="auto"/>
        <w:ind w:left="1260" w:hanging="1260" w:hangingChars="600"/>
        <w:jc w:val="left"/>
        <w:rPr>
          <w:rFonts w:ascii="宋体" w:hAnsi="宋体" w:cs="宋体"/>
          <w:highlight w:val="none"/>
        </w:rPr>
      </w:pPr>
      <w:r>
        <w:rPr>
          <w:rFonts w:hint="eastAsia" w:ascii="宋体" w:hAnsi="宋体" w:cs="宋体"/>
          <w:highlight w:val="none"/>
        </w:rPr>
        <w:t xml:space="preserve">         招标预算价（扣除暂列金额、专业工程暂估价、</w:t>
      </w:r>
    </w:p>
    <w:p w14:paraId="1C7EE34C">
      <w:pPr>
        <w:spacing w:line="360" w:lineRule="auto"/>
        <w:ind w:left="1436" w:leftChars="684" w:firstLine="210" w:firstLineChars="100"/>
        <w:jc w:val="left"/>
        <w:rPr>
          <w:rFonts w:ascii="宋体" w:hAnsi="宋体" w:cs="宋体"/>
          <w:highlight w:val="none"/>
        </w:rPr>
      </w:pPr>
      <w:r>
        <w:rPr>
          <w:rFonts w:hint="eastAsia" w:ascii="宋体" w:hAnsi="宋体" w:cs="宋体"/>
          <w:highlight w:val="none"/>
        </w:rPr>
        <w:t>暂估材料总价及上述三项的规费和税金）</w:t>
      </w:r>
    </w:p>
    <w:p w14:paraId="3B17B2A0">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注：上述公式中的预算价是指发包人委托编制的工程预算价。</w:t>
      </w:r>
    </w:p>
    <w:p w14:paraId="6D0B705B">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12.1.2由于分部分项工程量清单漏项或非承包人原因的工程变更引起的措施项目变化，造成施工组织设计或施工方案变更，原措施费已有的项目，按原措施费的组价方法调整；原措施费中没有的措施项目，由承包人根据措施项目变更情况提出适当的措施费变更，经发包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41B4CF31">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12.1. 3以投标截止日前28天为基准日，其后国家的法律、法规、规章和政策发生变化导致工程税金、规费，并由省级或行业建设行政主管部门或其授权的工程造价管理机构根据上述变化发布了政策性调整，影响工程造价的，相应调整工程价款。本工程施工期材料价格、人工费在结算时均不调整。</w:t>
      </w:r>
    </w:p>
    <w:p w14:paraId="6B845C14">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12.1.4、竣工结算时若承包人完成了发包人所要求的且为合同以外的零星工作或发生非承包人责任事件的工程量按现场实际完成的工程量经发包人签证确定。</w:t>
      </w:r>
    </w:p>
    <w:p w14:paraId="2E50E114">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12.1.5工程竣工结算时，《其他项目清单与计价汇总表》中的暂列金额和暂估价均按发包人签证认可的价格执行，而且只调整此材料的价差和对应的规费及税金。</w:t>
      </w:r>
    </w:p>
    <w:p w14:paraId="53FFC5B7">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12.1.6承包人须注意：施工过程中须考虑成品保护措施费用以及材料运输过程中防尘、密闭运输、安全等措施费用、路面清洁、洒水等相关费用及与建设、城管等部门之间的矛盾协调、处罚及应上缴的相关规费等费用，承包人须自行考虑，并将其考虑进入承包报价中，与发包人无涉。成品保护按相关要求执行，工程施工不得随意破坏已完工的项目，如破坏需及时按原状修复，否则由发包人另行按排施工队伍修复，费用由发包方按排的施工单位报价，在承包人结算总价中按2倍的价格扣减。</w:t>
      </w:r>
    </w:p>
    <w:p w14:paraId="223C59AE">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12.1.7工程所发生施工、生活、消防用水、用电由承包人挂表计量，水、电费用按供电局、自来水公司收费费用及损耗在每次电费结算时按月缴清。</w:t>
      </w:r>
    </w:p>
    <w:p w14:paraId="257A7D8A">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12.1.8承包人应严格按现行的行业规定落实材料款、机械费支付措施执行，确保及时支付。若发生拖欠现象，承包人不及时、妥善处理并影响发包人的，发包人可直接支付。发包人因此而提前支付的部分，每天按所提前支付的部分万分之五向总承包人计取罚金，直至发包人向总承包人下次付款之日，并在付款时作相应扣罚。</w:t>
      </w:r>
    </w:p>
    <w:p w14:paraId="7B028906">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12.1.9施工现场如有建筑垃圾及地面地下其他构、建筑物基础等障碍物，投标人应认真踏勘现场，将清理障碍等费用计入投标报价的总价措施费中，由中标人包干使用施工时不再签证。</w:t>
      </w:r>
    </w:p>
    <w:p w14:paraId="2F9D43A0">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12.1.10双方约定合同价款不予调整的情形，包括但不仅限于下列情形：</w:t>
      </w:r>
    </w:p>
    <w:p w14:paraId="1ABF1875">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①发包人提供的图纸如果存在明显错误或疏忽，承包人作为合格的承包商应当发现并及时通知发包人。如果承包人不能发现或发现后不及时通知发包人，由此引起的停工索赔与返工经济签证发包人不予认可，结算价款不予调整；</w:t>
      </w:r>
    </w:p>
    <w:p w14:paraId="6A091B66">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② 承包人原因造成工期延误，延误期间发生的材料价格上涨差额由承包人承担，不予调整；</w:t>
      </w:r>
    </w:p>
    <w:p w14:paraId="7AF57802">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③ 因承包人自身原因导致的工程变更、返工，造成工程价款增加的，不予调整；</w:t>
      </w:r>
    </w:p>
    <w:p w14:paraId="22C5FDE6">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④ 签证内容不全、与事实不符或不合技术标准、规范要求、施工常规、正常施工方法及已在招标文件要求计入投标报价范围的不予调整；</w:t>
      </w:r>
    </w:p>
    <w:p w14:paraId="014805DE">
      <w:pPr>
        <w:spacing w:line="360" w:lineRule="auto"/>
        <w:ind w:firstLine="420" w:firstLineChars="200"/>
        <w:jc w:val="left"/>
        <w:rPr>
          <w:rFonts w:ascii="宋体" w:hAnsi="宋体" w:cs="宋体"/>
          <w:highlight w:val="none"/>
          <w:u w:val="single"/>
        </w:rPr>
      </w:pPr>
      <w:r>
        <w:rPr>
          <w:rFonts w:hint="eastAsia" w:ascii="宋体" w:hAnsi="宋体" w:cs="宋体"/>
          <w:highlight w:val="none"/>
          <w:u w:val="single"/>
        </w:rPr>
        <w:t>⑤不符合工程结算相关的法律、法规、规范性文件规定的价款不予调整</w:t>
      </w:r>
      <w:r>
        <w:rPr>
          <w:rFonts w:hint="eastAsia" w:ascii="宋体" w:hAnsi="宋体" w:cs="宋体"/>
          <w:highlight w:val="none"/>
        </w:rPr>
        <w:t xml:space="preserve">。 </w:t>
      </w:r>
    </w:p>
    <w:p w14:paraId="6B77E55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2、总价合同。 </w:t>
      </w:r>
    </w:p>
    <w:p w14:paraId="67BD7037">
      <w:pPr>
        <w:widowControl/>
        <w:spacing w:line="460" w:lineRule="exact"/>
        <w:ind w:firstLine="420" w:firstLineChars="200"/>
        <w:jc w:val="left"/>
        <w:rPr>
          <w:rFonts w:ascii="宋体" w:hAnsi="宋体" w:cs="宋体"/>
          <w:highlight w:val="none"/>
        </w:rPr>
      </w:pPr>
      <w:r>
        <w:rPr>
          <w:rFonts w:hint="eastAsia" w:ascii="宋体" w:hAnsi="宋体" w:cs="宋体"/>
          <w:highlight w:val="none"/>
        </w:rPr>
        <w:t>总价包含的风险范围：</w:t>
      </w:r>
      <w:r>
        <w:rPr>
          <w:rFonts w:hint="eastAsia" w:ascii="宋体" w:hAnsi="宋体" w:cs="宋体"/>
          <w:highlight w:val="none"/>
          <w:u w:val="single"/>
        </w:rPr>
        <w:t xml:space="preserve">  /  </w:t>
      </w:r>
      <w:r>
        <w:rPr>
          <w:rFonts w:hint="eastAsia" w:ascii="宋体" w:hAnsi="宋体" w:cs="宋体"/>
          <w:highlight w:val="none"/>
        </w:rPr>
        <w:t xml:space="preserve">。 </w:t>
      </w:r>
    </w:p>
    <w:p w14:paraId="473A8546">
      <w:pPr>
        <w:widowControl/>
        <w:spacing w:line="460" w:lineRule="exact"/>
        <w:ind w:firstLine="420" w:firstLineChars="200"/>
        <w:jc w:val="left"/>
        <w:rPr>
          <w:rFonts w:ascii="宋体" w:hAnsi="宋体" w:cs="宋体"/>
          <w:highlight w:val="none"/>
        </w:rPr>
      </w:pPr>
      <w:r>
        <w:rPr>
          <w:rFonts w:hint="eastAsia" w:ascii="宋体" w:hAnsi="宋体" w:cs="宋体"/>
          <w:highlight w:val="none"/>
        </w:rPr>
        <w:t>风险费用的计算方法：</w:t>
      </w:r>
      <w:r>
        <w:rPr>
          <w:rFonts w:hint="eastAsia" w:ascii="宋体" w:hAnsi="宋体" w:cs="宋体"/>
          <w:highlight w:val="none"/>
          <w:u w:val="single"/>
        </w:rPr>
        <w:t xml:space="preserve">  /  </w:t>
      </w:r>
      <w:r>
        <w:rPr>
          <w:rFonts w:hint="eastAsia" w:ascii="宋体" w:hAnsi="宋体" w:cs="宋体"/>
          <w:highlight w:val="none"/>
        </w:rPr>
        <w:t xml:space="preserve">。 </w:t>
      </w:r>
    </w:p>
    <w:p w14:paraId="06107B27">
      <w:pPr>
        <w:widowControl/>
        <w:spacing w:line="460" w:lineRule="exact"/>
        <w:ind w:firstLine="420" w:firstLineChars="200"/>
        <w:jc w:val="left"/>
        <w:rPr>
          <w:rFonts w:ascii="宋体" w:hAnsi="宋体" w:cs="宋体"/>
          <w:highlight w:val="none"/>
        </w:rPr>
      </w:pPr>
      <w:r>
        <w:rPr>
          <w:rFonts w:hint="eastAsia" w:ascii="宋体" w:hAnsi="宋体" w:cs="宋体"/>
          <w:highlight w:val="none"/>
        </w:rPr>
        <w:t>风险范围以外合同价格的调整方法：</w:t>
      </w:r>
      <w:r>
        <w:rPr>
          <w:rFonts w:hint="eastAsia" w:ascii="宋体" w:hAnsi="宋体" w:cs="宋体"/>
          <w:highlight w:val="none"/>
          <w:u w:val="single"/>
        </w:rPr>
        <w:t xml:space="preserve">  /  </w:t>
      </w:r>
      <w:r>
        <w:rPr>
          <w:rFonts w:hint="eastAsia" w:ascii="宋体" w:hAnsi="宋体" w:cs="宋体"/>
          <w:highlight w:val="none"/>
        </w:rPr>
        <w:t>。</w:t>
      </w:r>
    </w:p>
    <w:p w14:paraId="5210BAB7">
      <w:pPr>
        <w:widowControl/>
        <w:spacing w:line="460" w:lineRule="exact"/>
        <w:ind w:firstLine="420" w:firstLineChars="200"/>
        <w:jc w:val="left"/>
        <w:rPr>
          <w:rFonts w:ascii="宋体" w:hAnsi="宋体" w:cs="宋体"/>
          <w:highlight w:val="none"/>
        </w:rPr>
      </w:pPr>
      <w:r>
        <w:rPr>
          <w:rFonts w:hint="eastAsia" w:ascii="宋体" w:hAnsi="宋体" w:cs="宋体"/>
          <w:highlight w:val="none"/>
        </w:rPr>
        <w:t>3、其他价格方式：</w:t>
      </w:r>
      <w:r>
        <w:rPr>
          <w:rFonts w:hint="eastAsia" w:ascii="宋体" w:hAnsi="宋体" w:cs="宋体"/>
          <w:highlight w:val="none"/>
          <w:u w:val="single"/>
        </w:rPr>
        <w:t xml:space="preserve">  /  </w:t>
      </w:r>
      <w:r>
        <w:rPr>
          <w:rFonts w:hint="eastAsia" w:ascii="宋体" w:hAnsi="宋体" w:cs="宋体"/>
          <w:highlight w:val="none"/>
        </w:rPr>
        <w:t xml:space="preserve">。 </w:t>
      </w:r>
    </w:p>
    <w:p w14:paraId="093BC192">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12.2 预付款 </w:t>
      </w:r>
    </w:p>
    <w:p w14:paraId="76C7F20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12.2.1 预付款的支付 </w:t>
      </w:r>
    </w:p>
    <w:p w14:paraId="710DBF1C">
      <w:pPr>
        <w:widowControl/>
        <w:spacing w:line="460" w:lineRule="exact"/>
        <w:ind w:firstLine="420" w:firstLineChars="200"/>
        <w:jc w:val="left"/>
        <w:rPr>
          <w:rFonts w:ascii="宋体" w:hAnsi="宋体" w:cs="宋体"/>
          <w:highlight w:val="none"/>
        </w:rPr>
      </w:pPr>
      <w:r>
        <w:rPr>
          <w:rFonts w:hint="eastAsia" w:ascii="宋体" w:hAnsi="宋体" w:cs="宋体"/>
          <w:highlight w:val="none"/>
        </w:rPr>
        <w:t>预付款支付比例或金额：</w:t>
      </w:r>
      <w:r>
        <w:rPr>
          <w:rFonts w:hint="eastAsia" w:ascii="宋体" w:hAnsi="宋体" w:cs="宋体"/>
          <w:highlight w:val="none"/>
          <w:u w:val="single"/>
        </w:rPr>
        <w:t>合同价的</w:t>
      </w:r>
      <w:r>
        <w:rPr>
          <w:rFonts w:hint="eastAsia" w:ascii="宋体" w:hAnsi="宋体" w:cs="宋体"/>
          <w:highlight w:val="none"/>
          <w:u w:val="single"/>
          <w:lang w:val="en-US" w:eastAsia="zh-CN"/>
        </w:rPr>
        <w:t>1</w:t>
      </w:r>
      <w:r>
        <w:rPr>
          <w:rFonts w:hint="eastAsia" w:ascii="宋体" w:hAnsi="宋体" w:cs="宋体"/>
          <w:highlight w:val="none"/>
          <w:u w:val="single"/>
        </w:rPr>
        <w:t>0%</w:t>
      </w:r>
      <w:r>
        <w:rPr>
          <w:rFonts w:hint="eastAsia" w:ascii="宋体" w:hAnsi="宋体" w:cs="宋体"/>
          <w:highlight w:val="none"/>
        </w:rPr>
        <w:t xml:space="preserve">。 </w:t>
      </w:r>
    </w:p>
    <w:p w14:paraId="26A9117C">
      <w:pPr>
        <w:widowControl/>
        <w:spacing w:line="460" w:lineRule="exact"/>
        <w:ind w:firstLine="420" w:firstLineChars="200"/>
        <w:jc w:val="left"/>
        <w:rPr>
          <w:rFonts w:ascii="宋体" w:hAnsi="宋体" w:cs="宋体"/>
          <w:highlight w:val="none"/>
        </w:rPr>
      </w:pPr>
      <w:r>
        <w:rPr>
          <w:rFonts w:hint="eastAsia" w:ascii="宋体" w:hAnsi="宋体" w:cs="宋体"/>
          <w:highlight w:val="none"/>
        </w:rPr>
        <w:t>预付款支付期限：</w:t>
      </w:r>
      <w:r>
        <w:rPr>
          <w:rFonts w:hint="eastAsia" w:ascii="宋体" w:hAnsi="宋体" w:cs="宋体"/>
          <w:highlight w:val="none"/>
          <w:u w:val="single"/>
        </w:rPr>
        <w:t>见12.4.1 付款周期</w:t>
      </w:r>
      <w:r>
        <w:rPr>
          <w:rFonts w:hint="eastAsia" w:ascii="宋体" w:hAnsi="宋体" w:cs="宋体"/>
          <w:highlight w:val="none"/>
        </w:rPr>
        <w:t xml:space="preserve">。 </w:t>
      </w:r>
    </w:p>
    <w:p w14:paraId="0732B187">
      <w:pPr>
        <w:widowControl/>
        <w:spacing w:line="460" w:lineRule="exact"/>
        <w:ind w:firstLine="420" w:firstLineChars="200"/>
        <w:jc w:val="left"/>
        <w:rPr>
          <w:rFonts w:ascii="宋体" w:hAnsi="宋体" w:cs="宋体"/>
          <w:highlight w:val="none"/>
        </w:rPr>
      </w:pPr>
      <w:r>
        <w:rPr>
          <w:rFonts w:hint="eastAsia" w:ascii="宋体" w:hAnsi="宋体" w:cs="宋体"/>
          <w:highlight w:val="none"/>
        </w:rPr>
        <w:t>预付款扣回的方式：</w:t>
      </w:r>
      <w:r>
        <w:rPr>
          <w:rFonts w:hint="eastAsia" w:ascii="宋体" w:hAnsi="宋体" w:cs="宋体"/>
          <w:highlight w:val="none"/>
          <w:u w:val="single"/>
        </w:rPr>
        <w:t>进度付款中同比例扣回</w:t>
      </w:r>
      <w:r>
        <w:rPr>
          <w:rFonts w:hint="eastAsia" w:ascii="宋体" w:hAnsi="宋体" w:cs="宋体"/>
          <w:highlight w:val="none"/>
        </w:rPr>
        <w:t xml:space="preserve">。 </w:t>
      </w:r>
    </w:p>
    <w:p w14:paraId="1888946F">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12.2.2 预付款担保 </w:t>
      </w:r>
    </w:p>
    <w:p w14:paraId="0BEEDF08">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承包人提交预付款担保的期限：</w:t>
      </w:r>
      <w:r>
        <w:rPr>
          <w:rFonts w:hint="eastAsia" w:ascii="宋体" w:hAnsi="宋体" w:cs="宋体"/>
          <w:highlight w:val="none"/>
          <w:u w:val="single"/>
        </w:rPr>
        <w:t xml:space="preserve">  /  </w:t>
      </w:r>
      <w:r>
        <w:rPr>
          <w:rFonts w:hint="eastAsia" w:ascii="宋体" w:hAnsi="宋体" w:cs="宋体"/>
          <w:highlight w:val="none"/>
        </w:rPr>
        <w:t xml:space="preserve">。 </w:t>
      </w:r>
    </w:p>
    <w:p w14:paraId="7D013F48">
      <w:pPr>
        <w:widowControl/>
        <w:spacing w:line="460" w:lineRule="exact"/>
        <w:ind w:firstLine="420" w:firstLineChars="200"/>
        <w:jc w:val="left"/>
        <w:rPr>
          <w:rFonts w:ascii="宋体" w:hAnsi="宋体" w:cs="宋体"/>
          <w:highlight w:val="none"/>
        </w:rPr>
      </w:pPr>
      <w:r>
        <w:rPr>
          <w:rFonts w:hint="eastAsia" w:ascii="宋体" w:hAnsi="宋体" w:cs="宋体"/>
          <w:highlight w:val="none"/>
        </w:rPr>
        <w:t>预付款担保的形式为：</w:t>
      </w:r>
      <w:r>
        <w:rPr>
          <w:rFonts w:hint="eastAsia" w:ascii="宋体" w:hAnsi="宋体" w:cs="宋体"/>
          <w:highlight w:val="none"/>
          <w:u w:val="single"/>
        </w:rPr>
        <w:t xml:space="preserve">  /  </w:t>
      </w:r>
      <w:r>
        <w:rPr>
          <w:rFonts w:hint="eastAsia" w:ascii="宋体" w:hAnsi="宋体" w:cs="宋体"/>
          <w:highlight w:val="none"/>
        </w:rPr>
        <w:t xml:space="preserve">。 </w:t>
      </w:r>
    </w:p>
    <w:p w14:paraId="72AF1CAE">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12.3 计量 </w:t>
      </w:r>
    </w:p>
    <w:p w14:paraId="7FE0DC70">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12.3.1 计量原则 </w:t>
      </w:r>
    </w:p>
    <w:p w14:paraId="7FD1C529">
      <w:pPr>
        <w:widowControl/>
        <w:spacing w:line="460" w:lineRule="exact"/>
        <w:ind w:firstLine="420" w:firstLineChars="200"/>
        <w:jc w:val="left"/>
        <w:rPr>
          <w:rFonts w:ascii="宋体" w:hAnsi="宋体" w:cs="宋体"/>
          <w:highlight w:val="none"/>
        </w:rPr>
      </w:pPr>
      <w:r>
        <w:rPr>
          <w:rFonts w:hint="eastAsia" w:ascii="宋体" w:hAnsi="宋体" w:cs="宋体"/>
          <w:highlight w:val="none"/>
        </w:rPr>
        <w:t>工程量计算规则：</w:t>
      </w:r>
      <w:r>
        <w:rPr>
          <w:rFonts w:hint="eastAsia" w:ascii="宋体" w:hAnsi="宋体" w:cs="宋体"/>
          <w:highlight w:val="none"/>
          <w:u w:val="single"/>
        </w:rPr>
        <w:t>以相关的国家标准、行业标准为依据。</w:t>
      </w:r>
    </w:p>
    <w:p w14:paraId="5E079786">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12.3.2 计量周期 </w:t>
      </w:r>
    </w:p>
    <w:p w14:paraId="00116D71">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关于计量周期的约定：</w:t>
      </w:r>
      <w:r>
        <w:rPr>
          <w:rFonts w:hint="eastAsia" w:ascii="宋体" w:hAnsi="宋体" w:cs="宋体"/>
          <w:highlight w:val="none"/>
          <w:u w:val="single"/>
        </w:rPr>
        <w:t xml:space="preserve">按通用条款执行。 </w:t>
      </w:r>
    </w:p>
    <w:p w14:paraId="7F187141">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12.3.3 单价合同的计量 </w:t>
      </w:r>
    </w:p>
    <w:p w14:paraId="0270AFBF">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关于单价合同计量的约定：</w:t>
      </w:r>
      <w:r>
        <w:rPr>
          <w:rFonts w:hint="eastAsia" w:ascii="宋体" w:hAnsi="宋体" w:cs="宋体"/>
          <w:highlight w:val="none"/>
          <w:u w:val="single"/>
        </w:rPr>
        <w:t xml:space="preserve">  /  </w:t>
      </w:r>
    </w:p>
    <w:p w14:paraId="10993260">
      <w:pPr>
        <w:widowControl/>
        <w:spacing w:line="460" w:lineRule="exact"/>
        <w:ind w:firstLine="420" w:firstLineChars="200"/>
        <w:jc w:val="left"/>
        <w:rPr>
          <w:rFonts w:ascii="宋体" w:hAnsi="宋体" w:cs="宋体"/>
          <w:highlight w:val="none"/>
        </w:rPr>
      </w:pPr>
      <w:r>
        <w:rPr>
          <w:rFonts w:hint="eastAsia" w:ascii="宋体" w:hAnsi="宋体" w:cs="宋体"/>
          <w:highlight w:val="none"/>
        </w:rPr>
        <w:t>12.3.4 总价合同的计量关于总价合同计量的约定：</w:t>
      </w:r>
      <w:r>
        <w:rPr>
          <w:rFonts w:hint="eastAsia" w:ascii="宋体" w:hAnsi="宋体" w:cs="宋体"/>
          <w:highlight w:val="none"/>
          <w:u w:val="single"/>
        </w:rPr>
        <w:t xml:space="preserve">  /  </w:t>
      </w:r>
    </w:p>
    <w:p w14:paraId="035EEC2F">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12.3.5总价合同采用支付分解表计量支付的，是否适用第12.3.4 项〔总价合同的计量〕约定进行计量：/ </w:t>
      </w:r>
    </w:p>
    <w:p w14:paraId="03922CA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12.3.6 其他价格形式合同的计量 </w:t>
      </w:r>
    </w:p>
    <w:p w14:paraId="078354AA">
      <w:pPr>
        <w:widowControl/>
        <w:spacing w:line="460" w:lineRule="exact"/>
        <w:ind w:firstLine="420" w:firstLineChars="200"/>
        <w:jc w:val="left"/>
        <w:rPr>
          <w:rFonts w:ascii="宋体" w:hAnsi="宋体" w:cs="宋体"/>
          <w:highlight w:val="none"/>
        </w:rPr>
      </w:pPr>
      <w:r>
        <w:rPr>
          <w:rFonts w:hint="eastAsia" w:ascii="宋体" w:hAnsi="宋体" w:cs="宋体"/>
          <w:highlight w:val="none"/>
        </w:rPr>
        <w:t>其他价格形式的计量方式和程序：</w:t>
      </w:r>
      <w:r>
        <w:rPr>
          <w:rFonts w:hint="eastAsia" w:ascii="宋体" w:hAnsi="宋体" w:cs="宋体"/>
          <w:highlight w:val="none"/>
          <w:u w:val="single"/>
        </w:rPr>
        <w:t xml:space="preserve">  /  </w:t>
      </w:r>
    </w:p>
    <w:p w14:paraId="3DFF16F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12.4 工程进度款支付 </w:t>
      </w:r>
    </w:p>
    <w:p w14:paraId="7194F19F">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12.4.1 付款周期 </w:t>
      </w:r>
    </w:p>
    <w:p w14:paraId="4606A07A">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关于付款周期的约定： </w:t>
      </w:r>
    </w:p>
    <w:p w14:paraId="63651AA9">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工程款指合同价（即中标价）扣除暂列金额、专业工程暂估价及上述二项的规费和税金后的工程价款。具</w:t>
      </w:r>
      <w:r>
        <w:rPr>
          <w:rFonts w:hint="eastAsia" w:ascii="宋体" w:hAnsi="宋体" w:cs="宋体"/>
          <w:highlight w:val="none"/>
          <w:u w:val="single"/>
        </w:rPr>
        <w:t>体付款幅度如下：</w:t>
      </w:r>
    </w:p>
    <w:p w14:paraId="485D997B">
      <w:pPr>
        <w:widowControl/>
        <w:numPr>
          <w:ilvl w:val="0"/>
          <w:numId w:val="5"/>
        </w:numPr>
        <w:spacing w:line="460" w:lineRule="exact"/>
        <w:ind w:firstLine="420" w:firstLineChars="200"/>
        <w:jc w:val="left"/>
        <w:rPr>
          <w:rFonts w:hint="eastAsia" w:ascii="宋体" w:hAnsi="宋体" w:cs="宋体"/>
          <w:highlight w:val="none"/>
          <w:u w:val="single"/>
        </w:rPr>
      </w:pPr>
      <w:r>
        <w:rPr>
          <w:rFonts w:hint="eastAsia" w:ascii="宋体" w:hAnsi="宋体" w:cs="宋体"/>
          <w:highlight w:val="none"/>
          <w:u w:val="single"/>
        </w:rPr>
        <w:t>合同签订，收到乙方发票十个工作日内甲方支付合同价的</w:t>
      </w:r>
      <w:r>
        <w:rPr>
          <w:rFonts w:hint="eastAsia" w:ascii="宋体" w:hAnsi="宋体" w:cs="宋体"/>
          <w:highlight w:val="none"/>
          <w:u w:val="single"/>
          <w:lang w:val="en-US" w:eastAsia="zh-CN"/>
        </w:rPr>
        <w:t>1</w:t>
      </w:r>
      <w:r>
        <w:rPr>
          <w:rFonts w:hint="eastAsia" w:ascii="宋体" w:hAnsi="宋体" w:cs="宋体"/>
          <w:highlight w:val="none"/>
          <w:u w:val="single"/>
        </w:rPr>
        <w:t>0%作为预付款</w:t>
      </w:r>
    </w:p>
    <w:p w14:paraId="2C761F2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（2）</w:t>
      </w:r>
      <w:r>
        <w:rPr>
          <w:rFonts w:hint="eastAsia" w:ascii="宋体" w:hAnsi="宋体" w:cs="宋体"/>
          <w:highlight w:val="none"/>
          <w:u w:val="single"/>
          <w:lang w:val="en-US" w:eastAsia="zh-CN"/>
        </w:rPr>
        <w:t>工程竣工验收合格后，付至工程款的80%</w:t>
      </w:r>
      <w:r>
        <w:rPr>
          <w:rFonts w:hint="eastAsia" w:ascii="宋体" w:hAnsi="宋体" w:cs="宋体"/>
          <w:highlight w:val="none"/>
          <w:u w:val="single"/>
        </w:rPr>
        <w:t xml:space="preserve">； </w:t>
      </w:r>
    </w:p>
    <w:p w14:paraId="3EB76ACC">
      <w:pPr>
        <w:widowControl/>
        <w:spacing w:line="460" w:lineRule="exact"/>
        <w:ind w:firstLine="420" w:firstLineChars="200"/>
        <w:jc w:val="left"/>
        <w:rPr>
          <w:rFonts w:hint="eastAsia" w:ascii="宋体" w:hAnsi="宋体" w:cs="宋体"/>
          <w:highlight w:val="none"/>
          <w:u w:val="single"/>
          <w:lang w:val="en-US" w:eastAsia="zh-CN"/>
        </w:rPr>
      </w:pPr>
      <w:r>
        <w:rPr>
          <w:rFonts w:hint="eastAsia" w:ascii="宋体" w:hAnsi="宋体" w:cs="宋体"/>
          <w:highlight w:val="none"/>
          <w:u w:val="single"/>
        </w:rPr>
        <w:t>（3）</w:t>
      </w:r>
      <w:r>
        <w:rPr>
          <w:rFonts w:hint="eastAsia" w:ascii="宋体" w:hAnsi="宋体" w:cs="宋体"/>
          <w:highlight w:val="none"/>
          <w:u w:val="single"/>
          <w:lang w:val="en-US" w:eastAsia="zh-CN"/>
        </w:rPr>
        <w:t>工程竣工验收合格满一年，并经审计结束出具审计报告后，付至审计价的97%，余款3%待缺陷责任期满后结清。</w:t>
      </w:r>
    </w:p>
    <w:p w14:paraId="33A09AFB">
      <w:pPr>
        <w:widowControl/>
        <w:spacing w:line="460" w:lineRule="exact"/>
        <w:ind w:firstLine="420" w:firstLineChars="200"/>
        <w:jc w:val="left"/>
        <w:rPr>
          <w:rFonts w:hint="eastAsia" w:ascii="宋体" w:hAnsi="宋体" w:cs="宋体"/>
          <w:highlight w:val="none"/>
          <w:u w:val="single"/>
        </w:rPr>
      </w:pPr>
      <w:r>
        <w:rPr>
          <w:rFonts w:hint="eastAsia" w:ascii="宋体" w:hAnsi="宋体" w:cs="宋体"/>
          <w:highlight w:val="none"/>
          <w:u w:val="single"/>
        </w:rPr>
        <w:t>注：在签订合同时，承包人明确书面表示无</w:t>
      </w:r>
      <w:r>
        <w:rPr>
          <w:rFonts w:hint="eastAsia" w:ascii="宋体" w:hAnsi="宋体" w:cs="宋体"/>
          <w:highlight w:val="none"/>
          <w:u w:val="single"/>
        </w:rPr>
        <w:t>需预付款或者主动要求降低预付款比例的，发包人可就预付款比例作相应调整。</w:t>
      </w:r>
    </w:p>
    <w:p w14:paraId="55093626">
      <w:pPr>
        <w:widowControl/>
        <w:spacing w:line="460" w:lineRule="exact"/>
        <w:ind w:firstLine="420" w:firstLineChars="200"/>
        <w:jc w:val="left"/>
        <w:rPr>
          <w:rFonts w:hint="eastAsia" w:ascii="宋体" w:hAnsi="宋体" w:cs="宋体"/>
          <w:highlight w:val="none"/>
          <w:u w:val="single"/>
        </w:rPr>
      </w:pPr>
      <w:r>
        <w:rPr>
          <w:rFonts w:hint="eastAsia" w:ascii="宋体" w:hAnsi="宋体" w:cs="宋体"/>
          <w:highlight w:val="none"/>
          <w:u w:val="single"/>
        </w:rPr>
        <w:t>对满足支付条件的，甲方应当在收到发票后10个工作日内将资金支付到合同约定的乙方账户。</w:t>
      </w:r>
    </w:p>
    <w:p w14:paraId="2577568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本工程价款一律通过银行非现金结算，工程款汇入承包人基本账户，实行专款专用。</w:t>
      </w:r>
    </w:p>
    <w:p w14:paraId="0CD22345">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本工程竣工验收后，承包人应整理相关资料，确保资料真实齐全、计算准确，并在规定时间内提交审计。</w:t>
      </w:r>
    </w:p>
    <w:p w14:paraId="598E1C73">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注：承包人须按发包人要求提供等额增值税专用发票，经校区实施单位确认后，报发包人审核后付款。</w:t>
      </w:r>
    </w:p>
    <w:p w14:paraId="57E995D5">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对满足合同约定支付条件的，发包人应当提醒承包人按合同约定金额开具发票，自收到发票后 30 日内将资金支付到的承包人账户。逾期支付的发包人将依法承担违约责任，并赔偿承包人损失。</w:t>
      </w:r>
    </w:p>
    <w:p w14:paraId="74DC6C9B">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农民工工资确保支付方式：以银行、保险公司提供农民工工资支付保函。</w:t>
      </w:r>
    </w:p>
    <w:p w14:paraId="1C8DDA1A">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对未及时支付农民工工资的施工企业，发包人应当书面报告给招投标监管部门和建设行政主管部门。</w:t>
      </w:r>
    </w:p>
    <w:p w14:paraId="7A893847">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本项目发包人要求承包人严格按</w:t>
      </w:r>
      <w:r>
        <w:rPr>
          <w:rFonts w:hint="eastAsia" w:ascii="宋体" w:hAnsi="宋体" w:cs="宋体"/>
          <w:highlight w:val="none"/>
          <w:u w:val="single"/>
        </w:rPr>
        <w:t>照苏人社规【2022】3号、苏人社规【2022】4号以及盐住建建筑（2021）56 号文件要求的关于农民工工资相关约定执行</w:t>
      </w:r>
      <w:r>
        <w:rPr>
          <w:rFonts w:hint="eastAsia" w:ascii="宋体" w:hAnsi="宋体" w:cs="宋体"/>
          <w:highlight w:val="none"/>
          <w:u w:val="single"/>
          <w:lang w:eastAsia="zh-CN"/>
        </w:rPr>
        <w:t>，</w:t>
      </w:r>
      <w:r>
        <w:rPr>
          <w:rFonts w:hint="eastAsia" w:ascii="宋体" w:hAnsi="宋体" w:cs="宋体"/>
          <w:highlight w:val="none"/>
          <w:u w:val="single"/>
          <w:lang w:val="en-US" w:eastAsia="zh-CN"/>
        </w:rPr>
        <w:t>每月5日前向发包人申报上月农民工工资</w:t>
      </w:r>
      <w:r>
        <w:rPr>
          <w:rFonts w:hint="eastAsia" w:ascii="宋体" w:hAnsi="宋体" w:cs="宋体"/>
          <w:highlight w:val="none"/>
          <w:u w:val="single"/>
        </w:rPr>
        <w:t>。</w:t>
      </w:r>
    </w:p>
    <w:p w14:paraId="0C6EB0CA">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12.4.2 进度付款申请单的编制 </w:t>
      </w:r>
    </w:p>
    <w:p w14:paraId="724CD950">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关于进度付款申请单编制的约定：</w:t>
      </w:r>
      <w:r>
        <w:rPr>
          <w:rFonts w:hint="eastAsia" w:ascii="宋体" w:hAnsi="宋体" w:cs="宋体"/>
          <w:highlight w:val="none"/>
          <w:u w:val="single"/>
        </w:rPr>
        <w:t xml:space="preserve">按通用条款 </w:t>
      </w:r>
    </w:p>
    <w:p w14:paraId="3C936F1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12.4.3 进度付款申请单的提交 </w:t>
      </w:r>
    </w:p>
    <w:p w14:paraId="03267116">
      <w:pPr>
        <w:widowControl/>
        <w:spacing w:line="460" w:lineRule="exact"/>
        <w:ind w:firstLine="420" w:firstLineChars="200"/>
        <w:jc w:val="left"/>
        <w:rPr>
          <w:rFonts w:ascii="宋体" w:hAnsi="宋体" w:cs="宋体"/>
          <w:highlight w:val="none"/>
        </w:rPr>
      </w:pPr>
      <w:r>
        <w:rPr>
          <w:rFonts w:hint="eastAsia" w:ascii="宋体" w:hAnsi="宋体" w:cs="宋体"/>
          <w:highlight w:val="none"/>
        </w:rPr>
        <w:t>（1）单价合同进度付款申请单提交的约定：</w:t>
      </w:r>
      <w:r>
        <w:rPr>
          <w:rFonts w:hint="eastAsia" w:ascii="宋体" w:hAnsi="宋体" w:cs="宋体"/>
          <w:highlight w:val="none"/>
          <w:u w:val="single"/>
        </w:rPr>
        <w:t xml:space="preserve">按通用条款 </w:t>
      </w:r>
    </w:p>
    <w:p w14:paraId="25EECF62">
      <w:pPr>
        <w:widowControl/>
        <w:spacing w:line="460" w:lineRule="exact"/>
        <w:ind w:firstLine="420" w:firstLineChars="200"/>
        <w:jc w:val="left"/>
        <w:rPr>
          <w:rFonts w:ascii="宋体" w:hAnsi="宋体" w:cs="宋体"/>
          <w:highlight w:val="none"/>
        </w:rPr>
      </w:pPr>
      <w:r>
        <w:rPr>
          <w:rFonts w:hint="eastAsia" w:ascii="宋体" w:hAnsi="宋体" w:cs="宋体"/>
          <w:highlight w:val="none"/>
        </w:rPr>
        <w:t>（2）总价合同进度付款申请单提交的约定：</w:t>
      </w:r>
      <w:r>
        <w:rPr>
          <w:rFonts w:hint="eastAsia" w:ascii="宋体" w:hAnsi="宋体" w:cs="宋体"/>
          <w:highlight w:val="none"/>
          <w:u w:val="single"/>
        </w:rPr>
        <w:t xml:space="preserve">  /  </w:t>
      </w:r>
      <w:r>
        <w:rPr>
          <w:rFonts w:hint="eastAsia" w:ascii="宋体" w:hAnsi="宋体" w:cs="宋体"/>
          <w:highlight w:val="none"/>
        </w:rPr>
        <w:t xml:space="preserve"> </w:t>
      </w:r>
    </w:p>
    <w:p w14:paraId="66E5D2DD">
      <w:pPr>
        <w:widowControl/>
        <w:spacing w:line="460" w:lineRule="exact"/>
        <w:ind w:firstLine="420" w:firstLineChars="200"/>
        <w:jc w:val="left"/>
        <w:rPr>
          <w:rFonts w:ascii="宋体" w:hAnsi="宋体" w:cs="宋体"/>
          <w:highlight w:val="none"/>
        </w:rPr>
      </w:pPr>
      <w:r>
        <w:rPr>
          <w:rFonts w:hint="eastAsia" w:ascii="宋体" w:hAnsi="宋体" w:cs="宋体"/>
          <w:highlight w:val="none"/>
        </w:rPr>
        <w:t>（3）其他价格形式合同进度付款申请单提交的约定：</w:t>
      </w:r>
      <w:r>
        <w:rPr>
          <w:rFonts w:hint="eastAsia" w:ascii="宋体" w:hAnsi="宋体" w:cs="宋体"/>
          <w:highlight w:val="none"/>
          <w:u w:val="single"/>
        </w:rPr>
        <w:t xml:space="preserve">  /  </w:t>
      </w:r>
      <w:r>
        <w:rPr>
          <w:rFonts w:hint="eastAsia" w:ascii="宋体" w:hAnsi="宋体" w:cs="宋体"/>
          <w:highlight w:val="none"/>
        </w:rPr>
        <w:t xml:space="preserve"> </w:t>
      </w:r>
    </w:p>
    <w:p w14:paraId="76F9557F">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12.4.4 进度款审核和支付 </w:t>
      </w:r>
    </w:p>
    <w:p w14:paraId="005DE1B5">
      <w:pPr>
        <w:widowControl/>
        <w:spacing w:line="460" w:lineRule="exact"/>
        <w:ind w:firstLine="420" w:firstLineChars="200"/>
        <w:jc w:val="left"/>
        <w:rPr>
          <w:rFonts w:ascii="宋体" w:hAnsi="宋体" w:cs="宋体"/>
          <w:highlight w:val="none"/>
        </w:rPr>
      </w:pPr>
      <w:r>
        <w:rPr>
          <w:rFonts w:hint="eastAsia" w:ascii="宋体" w:hAnsi="宋体" w:cs="宋体"/>
          <w:highlight w:val="none"/>
        </w:rPr>
        <w:t>（1）监理人审查并报送发包人的期限：</w:t>
      </w:r>
      <w:r>
        <w:rPr>
          <w:rFonts w:hint="eastAsia" w:ascii="宋体" w:hAnsi="宋体" w:cs="宋体"/>
          <w:highlight w:val="none"/>
          <w:u w:val="single"/>
        </w:rPr>
        <w:t xml:space="preserve">  /  </w:t>
      </w:r>
      <w:r>
        <w:rPr>
          <w:rFonts w:hint="eastAsia" w:ascii="宋体" w:hAnsi="宋体" w:cs="宋体"/>
          <w:highlight w:val="none"/>
        </w:rPr>
        <w:t xml:space="preserve">。 </w:t>
      </w:r>
    </w:p>
    <w:p w14:paraId="33352F1A">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发包人完成审批并签发进度款支付证书的期限：</w:t>
      </w:r>
      <w:r>
        <w:rPr>
          <w:rFonts w:hint="eastAsia" w:ascii="宋体" w:hAnsi="宋体" w:cs="宋体"/>
          <w:highlight w:val="none"/>
          <w:u w:val="single"/>
        </w:rPr>
        <w:t xml:space="preserve">  /  </w:t>
      </w:r>
      <w:r>
        <w:rPr>
          <w:rFonts w:hint="eastAsia" w:ascii="宋体" w:hAnsi="宋体" w:cs="宋体"/>
          <w:highlight w:val="none"/>
        </w:rPr>
        <w:t xml:space="preserve">。 </w:t>
      </w:r>
    </w:p>
    <w:p w14:paraId="22B4B828">
      <w:pPr>
        <w:widowControl/>
        <w:spacing w:line="460" w:lineRule="exact"/>
        <w:ind w:firstLine="420" w:firstLineChars="200"/>
        <w:jc w:val="left"/>
        <w:rPr>
          <w:rFonts w:ascii="宋体" w:hAnsi="宋体" w:cs="宋体"/>
          <w:highlight w:val="none"/>
        </w:rPr>
      </w:pPr>
      <w:r>
        <w:rPr>
          <w:rFonts w:hint="eastAsia" w:ascii="宋体" w:hAnsi="宋体" w:cs="宋体"/>
          <w:highlight w:val="none"/>
        </w:rPr>
        <w:t>（2）发包人支付进度款的期限：</w:t>
      </w:r>
      <w:r>
        <w:rPr>
          <w:rFonts w:hint="eastAsia" w:ascii="宋体" w:hAnsi="宋体" w:cs="宋体"/>
          <w:highlight w:val="none"/>
          <w:u w:val="single"/>
        </w:rPr>
        <w:t xml:space="preserve">  /  </w:t>
      </w:r>
      <w:r>
        <w:rPr>
          <w:rFonts w:hint="eastAsia" w:ascii="宋体" w:hAnsi="宋体" w:cs="宋体"/>
          <w:highlight w:val="none"/>
        </w:rPr>
        <w:t xml:space="preserve">。 </w:t>
      </w:r>
    </w:p>
    <w:p w14:paraId="6253F954">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发包人逾期支付进度款的违约金的计算方式：</w:t>
      </w:r>
      <w:r>
        <w:rPr>
          <w:rFonts w:hint="eastAsia" w:ascii="宋体" w:hAnsi="宋体" w:cs="宋体"/>
          <w:highlight w:val="none"/>
          <w:u w:val="single"/>
        </w:rPr>
        <w:t xml:space="preserve">  /  </w:t>
      </w:r>
      <w:r>
        <w:rPr>
          <w:rFonts w:hint="eastAsia" w:ascii="宋体" w:hAnsi="宋体" w:cs="宋体"/>
          <w:highlight w:val="none"/>
        </w:rPr>
        <w:t xml:space="preserve">。 </w:t>
      </w:r>
    </w:p>
    <w:p w14:paraId="6FF576AB">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12.4.6 支付分解表的编制 </w:t>
      </w:r>
    </w:p>
    <w:p w14:paraId="561EB4C6">
      <w:pPr>
        <w:widowControl/>
        <w:spacing w:line="460" w:lineRule="exact"/>
        <w:ind w:firstLine="420" w:firstLineChars="200"/>
        <w:jc w:val="left"/>
        <w:rPr>
          <w:rFonts w:ascii="宋体" w:hAnsi="宋体" w:cs="宋体"/>
          <w:highlight w:val="none"/>
        </w:rPr>
      </w:pPr>
      <w:r>
        <w:rPr>
          <w:rFonts w:hint="eastAsia" w:ascii="宋体" w:hAnsi="宋体" w:cs="宋体"/>
          <w:highlight w:val="none"/>
        </w:rPr>
        <w:t>2、总价合同支付分解表的编制与审批：</w:t>
      </w:r>
      <w:r>
        <w:rPr>
          <w:rFonts w:hint="eastAsia" w:ascii="宋体" w:hAnsi="宋体" w:cs="宋体"/>
          <w:highlight w:val="none"/>
          <w:u w:val="single"/>
        </w:rPr>
        <w:t xml:space="preserve">  /  </w:t>
      </w:r>
      <w:r>
        <w:rPr>
          <w:rFonts w:hint="eastAsia" w:ascii="宋体" w:hAnsi="宋体" w:cs="宋体"/>
          <w:highlight w:val="none"/>
        </w:rPr>
        <w:t>。</w:t>
      </w:r>
    </w:p>
    <w:p w14:paraId="6A685673">
      <w:pPr>
        <w:widowControl/>
        <w:spacing w:line="460" w:lineRule="exact"/>
        <w:ind w:firstLine="420" w:firstLineChars="200"/>
        <w:jc w:val="left"/>
        <w:rPr>
          <w:rFonts w:ascii="宋体" w:hAnsi="宋体" w:cs="宋体"/>
          <w:highlight w:val="none"/>
        </w:rPr>
      </w:pPr>
      <w:r>
        <w:rPr>
          <w:rFonts w:hint="eastAsia" w:ascii="宋体" w:hAnsi="宋体" w:cs="宋体"/>
          <w:highlight w:val="none"/>
        </w:rPr>
        <w:t>3、单价合同的总价项目支付分解表的编制与审批：</w:t>
      </w:r>
      <w:r>
        <w:rPr>
          <w:rFonts w:hint="eastAsia" w:ascii="宋体" w:hAnsi="宋体" w:cs="宋体"/>
          <w:highlight w:val="none"/>
          <w:u w:val="single"/>
        </w:rPr>
        <w:t xml:space="preserve">  /  </w:t>
      </w:r>
      <w:r>
        <w:rPr>
          <w:rFonts w:hint="eastAsia" w:ascii="宋体" w:hAnsi="宋体" w:cs="宋体"/>
          <w:highlight w:val="none"/>
        </w:rPr>
        <w:t xml:space="preserve">。 </w:t>
      </w:r>
    </w:p>
    <w:p w14:paraId="7F60DACB">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13. 验收和工程试车 </w:t>
      </w:r>
    </w:p>
    <w:p w14:paraId="0E1F016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13.1 分部分项工程验收 </w:t>
      </w:r>
    </w:p>
    <w:p w14:paraId="372AA5DB">
      <w:pPr>
        <w:widowControl/>
        <w:spacing w:line="460" w:lineRule="exact"/>
        <w:ind w:firstLine="420" w:firstLineChars="200"/>
        <w:jc w:val="left"/>
        <w:rPr>
          <w:rFonts w:ascii="宋体" w:hAnsi="宋体" w:cs="宋体"/>
          <w:highlight w:val="none"/>
        </w:rPr>
      </w:pPr>
      <w:r>
        <w:rPr>
          <w:rFonts w:hint="eastAsia" w:ascii="宋体" w:hAnsi="宋体" w:cs="宋体"/>
          <w:highlight w:val="none"/>
        </w:rPr>
        <w:t>13.1.2监理人不能按时进行验收时，应提前</w:t>
      </w:r>
      <w:r>
        <w:rPr>
          <w:rFonts w:hint="eastAsia" w:ascii="宋体" w:hAnsi="宋体" w:cs="宋体"/>
          <w:highlight w:val="none"/>
          <w:u w:val="single"/>
        </w:rPr>
        <w:t>/</w:t>
      </w:r>
      <w:r>
        <w:rPr>
          <w:rFonts w:hint="eastAsia" w:ascii="宋体" w:hAnsi="宋体" w:cs="宋体"/>
          <w:highlight w:val="none"/>
        </w:rPr>
        <w:t xml:space="preserve">小时提交书面延期要求。 </w:t>
      </w:r>
    </w:p>
    <w:p w14:paraId="0B1F6423">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关于延期最长不得超过：</w:t>
      </w:r>
      <w:r>
        <w:rPr>
          <w:rFonts w:hint="eastAsia" w:ascii="宋体" w:hAnsi="宋体" w:cs="宋体"/>
          <w:highlight w:val="none"/>
          <w:u w:val="single"/>
        </w:rPr>
        <w:t>/小时</w:t>
      </w:r>
      <w:r>
        <w:rPr>
          <w:rFonts w:hint="eastAsia" w:ascii="宋体" w:hAnsi="宋体" w:cs="宋体"/>
          <w:highlight w:val="none"/>
        </w:rPr>
        <w:t xml:space="preserve">。 </w:t>
      </w:r>
    </w:p>
    <w:p w14:paraId="208A320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13.2 竣工验收 </w:t>
      </w:r>
    </w:p>
    <w:p w14:paraId="0B5241BB">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13.2.2竣工验收程序 </w:t>
      </w:r>
    </w:p>
    <w:p w14:paraId="08596B64">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关于竣工验收程序的约定：</w:t>
      </w:r>
      <w:r>
        <w:rPr>
          <w:rFonts w:hint="eastAsia" w:ascii="宋体" w:hAnsi="宋体" w:cs="宋体"/>
          <w:highlight w:val="none"/>
          <w:u w:val="single"/>
        </w:rPr>
        <w:t xml:space="preserve">  /  </w:t>
      </w:r>
    </w:p>
    <w:p w14:paraId="1D3F0ABF">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发包人不按照本项约定组织竣工验收、颁发工程接收证书的违约金的计算方法：</w:t>
      </w:r>
      <w:r>
        <w:rPr>
          <w:rFonts w:hint="eastAsia" w:ascii="宋体" w:hAnsi="宋体" w:cs="宋体"/>
          <w:highlight w:val="none"/>
          <w:u w:val="single"/>
        </w:rPr>
        <w:t xml:space="preserve">  /  </w:t>
      </w:r>
      <w:r>
        <w:rPr>
          <w:rFonts w:hint="eastAsia" w:ascii="宋体" w:hAnsi="宋体" w:cs="宋体"/>
          <w:highlight w:val="none"/>
        </w:rPr>
        <w:t xml:space="preserve">。 </w:t>
      </w:r>
    </w:p>
    <w:p w14:paraId="1D064CDB">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13.2.5移交、接收全部与部分工程 </w:t>
      </w:r>
    </w:p>
    <w:p w14:paraId="560C10A4">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承包人向发包人移交工程的期限：</w:t>
      </w:r>
      <w:r>
        <w:rPr>
          <w:rFonts w:hint="eastAsia" w:ascii="宋体" w:hAnsi="宋体" w:cs="宋体"/>
          <w:highlight w:val="none"/>
          <w:u w:val="single"/>
        </w:rPr>
        <w:t xml:space="preserve">合同约定的工期。 </w:t>
      </w:r>
    </w:p>
    <w:p w14:paraId="5DDC8981">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发包人未按本合同约定接收全部或部分工程的，违约金的计算方法为：</w:t>
      </w:r>
      <w:r>
        <w:rPr>
          <w:rFonts w:hint="eastAsia" w:ascii="宋体" w:hAnsi="宋体" w:cs="宋体"/>
          <w:highlight w:val="none"/>
          <w:u w:val="single"/>
        </w:rPr>
        <w:t xml:space="preserve">  /  </w:t>
      </w:r>
      <w:r>
        <w:rPr>
          <w:rFonts w:hint="eastAsia" w:ascii="宋体" w:hAnsi="宋体" w:cs="宋体"/>
          <w:highlight w:val="none"/>
        </w:rPr>
        <w:t xml:space="preserve">。 </w:t>
      </w:r>
    </w:p>
    <w:p w14:paraId="26D0981C">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承包人未按时移交工程的，违约金的计算方法为：</w:t>
      </w:r>
      <w:r>
        <w:rPr>
          <w:rFonts w:hint="eastAsia" w:ascii="宋体" w:hAnsi="宋体" w:cs="宋体"/>
          <w:highlight w:val="none"/>
          <w:u w:val="single"/>
        </w:rPr>
        <w:t xml:space="preserve">承包人如竣工验收合格后不按时移交的，按工程竣工结算总价的2%承担违约金，该违约金直接从应付工程款或履约保证金中扣除。 </w:t>
      </w:r>
    </w:p>
    <w:p w14:paraId="7C1E7B5C">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13.3 工程试车 </w:t>
      </w:r>
    </w:p>
    <w:p w14:paraId="6BC8AD74">
      <w:pPr>
        <w:widowControl/>
        <w:spacing w:line="460" w:lineRule="exact"/>
        <w:ind w:firstLine="420" w:firstLineChars="200"/>
        <w:jc w:val="left"/>
        <w:rPr>
          <w:rFonts w:ascii="宋体" w:hAnsi="宋体" w:cs="宋体"/>
          <w:highlight w:val="none"/>
        </w:rPr>
      </w:pPr>
      <w:r>
        <w:rPr>
          <w:rFonts w:hint="eastAsia" w:ascii="宋体" w:hAnsi="宋体" w:cs="宋体"/>
          <w:highlight w:val="none"/>
        </w:rPr>
        <w:t>13.3.1 试车程序工程试车内容：</w:t>
      </w:r>
      <w:r>
        <w:rPr>
          <w:rFonts w:hint="eastAsia" w:ascii="宋体" w:hAnsi="宋体" w:cs="宋体"/>
          <w:highlight w:val="none"/>
          <w:u w:val="single"/>
        </w:rPr>
        <w:t xml:space="preserve">  /  </w:t>
      </w:r>
    </w:p>
    <w:p w14:paraId="2C1042CA">
      <w:pPr>
        <w:widowControl/>
        <w:spacing w:line="460" w:lineRule="exact"/>
        <w:ind w:firstLine="420" w:firstLineChars="200"/>
        <w:jc w:val="left"/>
        <w:rPr>
          <w:rFonts w:ascii="宋体" w:hAnsi="宋体" w:cs="宋体"/>
          <w:highlight w:val="none"/>
        </w:rPr>
      </w:pPr>
      <w:r>
        <w:rPr>
          <w:rFonts w:hint="eastAsia" w:ascii="宋体" w:hAnsi="宋体" w:cs="宋体"/>
          <w:highlight w:val="none"/>
        </w:rPr>
        <w:t>（1）单机无负荷试车费用由</w:t>
      </w:r>
      <w:r>
        <w:rPr>
          <w:rFonts w:hint="eastAsia" w:ascii="宋体" w:hAnsi="宋体" w:cs="宋体"/>
          <w:highlight w:val="none"/>
          <w:u w:val="single"/>
        </w:rPr>
        <w:t>承包人</w:t>
      </w:r>
      <w:r>
        <w:rPr>
          <w:rFonts w:hint="eastAsia" w:ascii="宋体" w:hAnsi="宋体" w:cs="宋体"/>
          <w:highlight w:val="none"/>
        </w:rPr>
        <w:t xml:space="preserve">承担； </w:t>
      </w:r>
    </w:p>
    <w:p w14:paraId="6EAD6A83">
      <w:pPr>
        <w:widowControl/>
        <w:spacing w:line="460" w:lineRule="exact"/>
        <w:ind w:firstLine="420" w:firstLineChars="200"/>
        <w:jc w:val="left"/>
        <w:rPr>
          <w:rFonts w:ascii="宋体" w:hAnsi="宋体" w:cs="宋体"/>
          <w:highlight w:val="none"/>
        </w:rPr>
      </w:pPr>
      <w:r>
        <w:rPr>
          <w:rFonts w:hint="eastAsia" w:ascii="宋体" w:hAnsi="宋体" w:cs="宋体"/>
          <w:highlight w:val="none"/>
        </w:rPr>
        <w:t>（2）无负荷联动试车费用由</w:t>
      </w:r>
      <w:r>
        <w:rPr>
          <w:rFonts w:hint="eastAsia" w:ascii="宋体" w:hAnsi="宋体" w:cs="宋体"/>
          <w:highlight w:val="none"/>
          <w:u w:val="single"/>
        </w:rPr>
        <w:t>承包人</w:t>
      </w:r>
      <w:r>
        <w:rPr>
          <w:rFonts w:hint="eastAsia" w:ascii="宋体" w:hAnsi="宋体" w:cs="宋体"/>
          <w:highlight w:val="none"/>
        </w:rPr>
        <w:t xml:space="preserve">承担。 </w:t>
      </w:r>
    </w:p>
    <w:p w14:paraId="4919DEF6">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13.3.3 投料试车 </w:t>
      </w:r>
    </w:p>
    <w:p w14:paraId="61EAB977">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关于投料试车相关事项的约定：</w:t>
      </w:r>
      <w:r>
        <w:rPr>
          <w:rFonts w:hint="eastAsia" w:ascii="宋体" w:hAnsi="宋体" w:cs="宋体"/>
          <w:highlight w:val="none"/>
          <w:u w:val="single"/>
        </w:rPr>
        <w:t xml:space="preserve">根据实际情况，按发包人要求执行。 </w:t>
      </w:r>
    </w:p>
    <w:p w14:paraId="0B05663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13.6 竣工退场 </w:t>
      </w:r>
    </w:p>
    <w:p w14:paraId="4E469443">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13.6.1 竣工退场 </w:t>
      </w:r>
    </w:p>
    <w:p w14:paraId="5D57F88D">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承包人完成竣工退场的期限：</w:t>
      </w:r>
      <w:r>
        <w:rPr>
          <w:rFonts w:hint="eastAsia" w:ascii="宋体" w:hAnsi="宋体" w:cs="宋体"/>
          <w:highlight w:val="none"/>
          <w:u w:val="single"/>
        </w:rPr>
        <w:t>竣工验收合格交付后</w:t>
      </w:r>
      <w:r>
        <w:rPr>
          <w:rFonts w:ascii="宋体" w:hAnsi="宋体" w:cs="宋体"/>
          <w:highlight w:val="none"/>
          <w:u w:val="single"/>
        </w:rPr>
        <w:t>7</w:t>
      </w:r>
      <w:r>
        <w:rPr>
          <w:rFonts w:hint="eastAsia" w:ascii="宋体" w:hAnsi="宋体" w:cs="宋体"/>
          <w:highlight w:val="none"/>
          <w:u w:val="single"/>
        </w:rPr>
        <w:t>个工作日内。</w:t>
      </w:r>
      <w:r>
        <w:rPr>
          <w:rFonts w:hint="eastAsia" w:ascii="宋体" w:hAnsi="宋体" w:cs="宋体"/>
          <w:highlight w:val="none"/>
        </w:rPr>
        <w:t xml:space="preserve"> </w:t>
      </w:r>
    </w:p>
    <w:p w14:paraId="021539F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14. 竣工结算 </w:t>
      </w:r>
    </w:p>
    <w:p w14:paraId="3CA90625">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14.1 竣工结算申请 </w:t>
      </w:r>
    </w:p>
    <w:p w14:paraId="658AF9AC">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承包人提交竣工结算申请单的期限：</w:t>
      </w:r>
      <w:r>
        <w:rPr>
          <w:rFonts w:hint="eastAsia" w:ascii="宋体" w:hAnsi="宋体" w:cs="宋体"/>
          <w:highlight w:val="none"/>
          <w:u w:val="single"/>
        </w:rPr>
        <w:t xml:space="preserve">按通用条款。 </w:t>
      </w:r>
    </w:p>
    <w:p w14:paraId="0F02A89A">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竣工结算申请单应包括的内容：</w:t>
      </w:r>
      <w:r>
        <w:rPr>
          <w:rFonts w:hint="eastAsia" w:ascii="宋体" w:hAnsi="宋体" w:cs="宋体"/>
          <w:highlight w:val="none"/>
          <w:u w:val="single"/>
        </w:rPr>
        <w:t>除通用条款约定外，还包括竣工图纸、文字资料、各分项的影像资料、工程照片和测绘资料等，均要求纸质原件和电子版，要求随竣工结算申请单一同提交发包人。</w:t>
      </w:r>
    </w:p>
    <w:p w14:paraId="08F06697">
      <w:pPr>
        <w:widowControl/>
        <w:spacing w:line="460" w:lineRule="exact"/>
        <w:ind w:firstLine="420" w:firstLineChars="200"/>
        <w:jc w:val="left"/>
        <w:rPr>
          <w:rFonts w:ascii="宋体" w:hAnsi="宋体" w:cs="宋体"/>
          <w:highlight w:val="none"/>
        </w:rPr>
      </w:pPr>
      <w:r>
        <w:rPr>
          <w:rFonts w:hint="eastAsia" w:ascii="宋体" w:hAnsi="宋体" w:cs="宋体"/>
          <w:highlight w:val="none"/>
        </w:rPr>
        <w:t>14.2 竣工结算审核</w:t>
      </w:r>
    </w:p>
    <w:p w14:paraId="46B03BE4">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发包人审批竣工付款申请单的期限：</w:t>
      </w:r>
      <w:r>
        <w:rPr>
          <w:rFonts w:hint="eastAsia" w:ascii="宋体" w:hAnsi="宋体" w:cs="宋体"/>
          <w:highlight w:val="none"/>
          <w:u w:val="single"/>
        </w:rPr>
        <w:t>参照财政部、建设部联合颁发的《建设工程价款结算暂行办法》（财建[2004]369号）执行</w:t>
      </w:r>
      <w:r>
        <w:rPr>
          <w:rFonts w:hint="eastAsia" w:ascii="宋体" w:hAnsi="宋体" w:cs="宋体"/>
          <w:highlight w:val="none"/>
        </w:rPr>
        <w:t xml:space="preserve">。 </w:t>
      </w:r>
    </w:p>
    <w:p w14:paraId="517707FC">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发包人完成竣工付款的期限：</w:t>
      </w:r>
      <w:r>
        <w:rPr>
          <w:rFonts w:hint="eastAsia" w:ascii="宋体" w:hAnsi="宋体" w:cs="宋体"/>
          <w:highlight w:val="none"/>
          <w:u w:val="single"/>
        </w:rPr>
        <w:t>按专用条款12.4条约定的工程款支付条款约定付款</w:t>
      </w:r>
      <w:r>
        <w:rPr>
          <w:rFonts w:hint="eastAsia" w:ascii="宋体" w:hAnsi="宋体" w:cs="宋体"/>
          <w:highlight w:val="none"/>
        </w:rPr>
        <w:t xml:space="preserve">。 </w:t>
      </w:r>
    </w:p>
    <w:p w14:paraId="21528F9A">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关于竣工付款证书异议部分复核的方式和程序：</w:t>
      </w:r>
      <w:r>
        <w:rPr>
          <w:rFonts w:hint="eastAsia" w:ascii="宋体" w:hAnsi="宋体" w:cs="宋体"/>
          <w:highlight w:val="none"/>
          <w:u w:val="single"/>
        </w:rPr>
        <w:t>按通用条款</w:t>
      </w:r>
      <w:r>
        <w:rPr>
          <w:rFonts w:hint="eastAsia" w:ascii="宋体" w:hAnsi="宋体" w:cs="宋体"/>
          <w:highlight w:val="none"/>
        </w:rPr>
        <w:t xml:space="preserve">。 </w:t>
      </w:r>
    </w:p>
    <w:p w14:paraId="5694E50E">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s="宋体"/>
          <w:highlight w:val="none"/>
        </w:rPr>
      </w:pPr>
      <w:r>
        <w:rPr>
          <w:rFonts w:hint="eastAsia" w:ascii="宋体" w:hAnsi="宋体" w:cs="宋体"/>
          <w:highlight w:val="none"/>
        </w:rPr>
        <w:t>14.4 最终结清</w:t>
      </w:r>
    </w:p>
    <w:p w14:paraId="72357286">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s="宋体"/>
          <w:highlight w:val="none"/>
        </w:rPr>
      </w:pPr>
      <w:r>
        <w:rPr>
          <w:rFonts w:hint="eastAsia" w:ascii="宋体" w:hAnsi="宋体" w:cs="宋体"/>
          <w:highlight w:val="none"/>
        </w:rPr>
        <w:t xml:space="preserve">14.4.1 最终结清申请单 </w:t>
      </w:r>
    </w:p>
    <w:p w14:paraId="0675CF5A">
      <w:pPr>
        <w:keepNext/>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ascii="宋体" w:hAnsi="宋体" w:cs="宋体"/>
          <w:highlight w:val="none"/>
        </w:rPr>
      </w:pPr>
      <w:r>
        <w:rPr>
          <w:rFonts w:hint="eastAsia" w:ascii="宋体" w:hAnsi="宋体" w:cs="宋体"/>
          <w:highlight w:val="none"/>
        </w:rPr>
        <w:t>承包人提交最终结清申请单的份数：</w:t>
      </w:r>
      <w:r>
        <w:rPr>
          <w:rFonts w:hint="eastAsia" w:ascii="宋体" w:hAnsi="宋体" w:cs="宋体"/>
          <w:highlight w:val="none"/>
          <w:u w:val="single"/>
          <w:lang w:val="en-US" w:eastAsia="zh-CN"/>
        </w:rPr>
        <w:t>叁份</w:t>
      </w:r>
      <w:r>
        <w:rPr>
          <w:rFonts w:hint="eastAsia" w:ascii="宋体" w:hAnsi="宋体" w:cs="宋体"/>
          <w:highlight w:val="none"/>
          <w:u w:val="single"/>
        </w:rPr>
        <w:t>。</w:t>
      </w:r>
      <w:r>
        <w:rPr>
          <w:rFonts w:hint="eastAsia" w:ascii="宋体" w:hAnsi="宋体" w:cs="宋体"/>
          <w:highlight w:val="none"/>
        </w:rPr>
        <w:t xml:space="preserve"> </w:t>
      </w:r>
    </w:p>
    <w:p w14:paraId="0E562824">
      <w:pPr>
        <w:keepNext w:val="0"/>
        <w:keepLines/>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ascii="宋体" w:hAnsi="宋体" w:cs="宋体"/>
          <w:highlight w:val="none"/>
        </w:rPr>
      </w:pPr>
      <w:r>
        <w:rPr>
          <w:rFonts w:hint="eastAsia" w:ascii="宋体" w:hAnsi="宋体" w:cs="宋体"/>
          <w:highlight w:val="none"/>
        </w:rPr>
        <w:t>承包人提交最终结算申请单的期限：</w:t>
      </w:r>
      <w:r>
        <w:rPr>
          <w:rFonts w:hint="eastAsia" w:ascii="宋体" w:hAnsi="宋体" w:cs="宋体"/>
          <w:highlight w:val="none"/>
          <w:u w:val="single"/>
        </w:rPr>
        <w:t>应在缺陷责任期终止证书颁发后7天内</w:t>
      </w:r>
      <w:r>
        <w:rPr>
          <w:rFonts w:hint="eastAsia" w:ascii="宋体" w:hAnsi="宋体" w:cs="宋体"/>
          <w:highlight w:val="none"/>
        </w:rPr>
        <w:t xml:space="preserve"> 。</w:t>
      </w:r>
    </w:p>
    <w:p w14:paraId="1800D661">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cs="宋体"/>
          <w:highlight w:val="none"/>
        </w:rPr>
      </w:pPr>
      <w:r>
        <w:rPr>
          <w:rFonts w:hint="eastAsia" w:ascii="宋体" w:hAnsi="宋体" w:cs="宋体"/>
          <w:highlight w:val="none"/>
        </w:rPr>
        <w:t xml:space="preserve">14.4.2 最终结清证书和支付 </w:t>
      </w:r>
    </w:p>
    <w:p w14:paraId="64BDE2BD">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（1）发包人完成最终结清申请单的审批并颁发最终结清证书的期限：</w:t>
      </w:r>
      <w:r>
        <w:rPr>
          <w:rFonts w:hint="eastAsia" w:ascii="宋体" w:hAnsi="宋体" w:cs="宋体"/>
          <w:highlight w:val="none"/>
          <w:u w:val="single"/>
        </w:rPr>
        <w:t xml:space="preserve">按通用条款。 </w:t>
      </w:r>
    </w:p>
    <w:p w14:paraId="042FB270">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（2）发包人完成支付的期限：</w:t>
      </w:r>
      <w:r>
        <w:rPr>
          <w:rFonts w:hint="eastAsia" w:ascii="宋体" w:hAnsi="宋体" w:cs="宋体"/>
          <w:highlight w:val="none"/>
          <w:u w:val="single"/>
        </w:rPr>
        <w:t xml:space="preserve">按照专用条款12.4.1条的约定。 </w:t>
      </w:r>
    </w:p>
    <w:p w14:paraId="4FC42CC9">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 xml:space="preserve">15. 缺陷责任期与保修 </w:t>
      </w:r>
    </w:p>
    <w:p w14:paraId="32D2655F">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 xml:space="preserve">15.2缺陷责任期 </w:t>
      </w:r>
    </w:p>
    <w:p w14:paraId="202D6B62">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缺陷责任期的具体期限：</w:t>
      </w:r>
      <w:r>
        <w:rPr>
          <w:rFonts w:hint="eastAsia" w:ascii="宋体" w:hAnsi="宋体" w:cs="宋体"/>
          <w:highlight w:val="none"/>
          <w:u w:val="single"/>
        </w:rPr>
        <w:t>详见工程质量保修书。</w:t>
      </w:r>
      <w:r>
        <w:rPr>
          <w:rFonts w:hint="eastAsia" w:ascii="宋体" w:hAnsi="宋体" w:cs="宋体"/>
          <w:highlight w:val="none"/>
        </w:rPr>
        <w:t xml:space="preserve"> </w:t>
      </w:r>
    </w:p>
    <w:p w14:paraId="53CA9039">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 xml:space="preserve">15.3 质量保证金 </w:t>
      </w:r>
    </w:p>
    <w:p w14:paraId="05A842B8">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关于是否扣留质量保证金的约定：</w:t>
      </w:r>
      <w:r>
        <w:rPr>
          <w:rFonts w:hint="eastAsia" w:ascii="宋体" w:hAnsi="宋体" w:cs="宋体"/>
          <w:highlight w:val="none"/>
          <w:u w:val="single"/>
        </w:rPr>
        <w:t>扣留。</w:t>
      </w:r>
      <w:r>
        <w:rPr>
          <w:rFonts w:hint="eastAsia" w:ascii="宋体" w:hAnsi="宋体" w:cs="宋体"/>
          <w:highlight w:val="none"/>
        </w:rPr>
        <w:t xml:space="preserve"> </w:t>
      </w:r>
    </w:p>
    <w:p w14:paraId="66C76B18">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 xml:space="preserve">在工程项目竣工前，承包人按专用合同条款第3.7条提供履约担保的，发包人不得同时预留工程质量保证金。 </w:t>
      </w:r>
    </w:p>
    <w:p w14:paraId="6B7C5EB3">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 xml:space="preserve">15.3.1 承包人提供质量保证金的方式 </w:t>
      </w:r>
    </w:p>
    <w:p w14:paraId="7102D6B1">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质量保证金采用以下第</w:t>
      </w:r>
      <w:r>
        <w:rPr>
          <w:rFonts w:hint="eastAsia" w:ascii="宋体" w:hAnsi="宋体" w:cs="宋体"/>
          <w:highlight w:val="none"/>
          <w:u w:val="single"/>
        </w:rPr>
        <w:t>2</w:t>
      </w:r>
      <w:r>
        <w:rPr>
          <w:rFonts w:hint="eastAsia" w:ascii="宋体" w:hAnsi="宋体" w:cs="宋体"/>
          <w:highlight w:val="none"/>
        </w:rPr>
        <w:t xml:space="preserve">种方式： </w:t>
      </w:r>
    </w:p>
    <w:p w14:paraId="6A6D5D56">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（1）质量保证金保函，保证金额为：</w:t>
      </w:r>
      <w:r>
        <w:rPr>
          <w:rFonts w:hint="eastAsia" w:ascii="宋体" w:hAnsi="宋体" w:cs="宋体"/>
          <w:highlight w:val="none"/>
          <w:u w:val="single"/>
        </w:rPr>
        <w:t xml:space="preserve">  /  </w:t>
      </w:r>
      <w:r>
        <w:rPr>
          <w:rFonts w:hint="eastAsia" w:ascii="宋体" w:hAnsi="宋体" w:cs="宋体"/>
          <w:highlight w:val="none"/>
        </w:rPr>
        <w:t xml:space="preserve">； </w:t>
      </w:r>
    </w:p>
    <w:p w14:paraId="4AE9A6E0">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（2）</w:t>
      </w:r>
      <w:r>
        <w:rPr>
          <w:rFonts w:hint="eastAsia" w:ascii="宋体" w:hAnsi="宋体" w:cs="宋体"/>
          <w:highlight w:val="none"/>
          <w:u w:val="single"/>
        </w:rPr>
        <w:t>3%</w:t>
      </w:r>
      <w:r>
        <w:rPr>
          <w:rFonts w:hint="eastAsia" w:ascii="宋体" w:hAnsi="宋体" w:cs="宋体"/>
          <w:highlight w:val="none"/>
        </w:rPr>
        <w:t xml:space="preserve">的工程款； </w:t>
      </w:r>
    </w:p>
    <w:p w14:paraId="508F3A79">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（3）其他方式:</w:t>
      </w:r>
      <w:r>
        <w:rPr>
          <w:rFonts w:hint="eastAsia" w:ascii="宋体" w:hAnsi="宋体" w:cs="宋体"/>
          <w:highlight w:val="none"/>
          <w:u w:val="single"/>
        </w:rPr>
        <w:t xml:space="preserve">  /  </w:t>
      </w:r>
      <w:r>
        <w:rPr>
          <w:rFonts w:hint="eastAsia" w:ascii="宋体" w:hAnsi="宋体" w:cs="宋体"/>
          <w:highlight w:val="none"/>
        </w:rPr>
        <w:t xml:space="preserve">。 </w:t>
      </w:r>
    </w:p>
    <w:p w14:paraId="41EE83EC">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 xml:space="preserve">15.3.2 质量保证金的扣留 </w:t>
      </w:r>
    </w:p>
    <w:p w14:paraId="17C65F9D">
      <w:pPr>
        <w:widowControl/>
        <w:spacing w:line="460" w:lineRule="exact"/>
        <w:ind w:firstLine="420" w:firstLineChars="200"/>
        <w:jc w:val="left"/>
        <w:rPr>
          <w:rFonts w:ascii="宋体" w:hAnsi="宋体" w:cs="宋体"/>
          <w:highlight w:val="none"/>
        </w:rPr>
      </w:pPr>
      <w:r>
        <w:rPr>
          <w:rFonts w:hint="eastAsia" w:ascii="宋体" w:hAnsi="宋体" w:cs="宋体"/>
          <w:highlight w:val="none"/>
        </w:rPr>
        <w:t>质量保证金的扣留采取以下第</w:t>
      </w:r>
      <w:r>
        <w:rPr>
          <w:rFonts w:hint="eastAsia" w:ascii="宋体" w:hAnsi="宋体" w:cs="宋体"/>
          <w:highlight w:val="none"/>
          <w:u w:val="single"/>
        </w:rPr>
        <w:t>2</w:t>
      </w:r>
      <w:r>
        <w:rPr>
          <w:rFonts w:hint="eastAsia" w:ascii="宋体" w:hAnsi="宋体" w:cs="宋体"/>
          <w:highlight w:val="none"/>
        </w:rPr>
        <w:t>种方式：</w:t>
      </w:r>
    </w:p>
    <w:p w14:paraId="25CF41BD">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（1）在支付工程进度款时逐次扣留，在此情形下，质量保证金的计算基数不包括预付款的支付、扣回以及价格调整的金额； </w:t>
      </w:r>
    </w:p>
    <w:p w14:paraId="5BD471D3">
      <w:pPr>
        <w:keepNext w:val="0"/>
        <w:keepLines/>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cs="宋体"/>
          <w:highlight w:val="none"/>
        </w:rPr>
        <w:sectPr>
          <w:footerReference r:id="rId10" w:type="default"/>
          <w:pgSz w:w="11906" w:h="16838"/>
          <w:pgMar w:top="1015" w:right="1196" w:bottom="868" w:left="1259" w:header="851" w:footer="907" w:gutter="0"/>
          <w:pgNumType w:fmt="decimal" w:start="1"/>
          <w:cols w:space="720" w:num="1"/>
          <w:docGrid w:type="lines" w:linePitch="286" w:charSpace="0"/>
        </w:sectPr>
      </w:pPr>
    </w:p>
    <w:p w14:paraId="26795093">
      <w:pPr>
        <w:widowControl/>
        <w:spacing w:line="460" w:lineRule="exact"/>
        <w:ind w:firstLine="420" w:firstLineChars="200"/>
        <w:jc w:val="left"/>
        <w:rPr>
          <w:rFonts w:ascii="宋体" w:hAnsi="宋体" w:cs="宋体"/>
          <w:highlight w:val="none"/>
        </w:rPr>
      </w:pPr>
      <w:r>
        <w:rPr>
          <w:rFonts w:hint="eastAsia" w:ascii="宋体" w:hAnsi="宋体" w:cs="宋体"/>
          <w:highlight w:val="none"/>
        </w:rPr>
        <w:t>（2）</w:t>
      </w:r>
      <w:r>
        <w:rPr>
          <w:rFonts w:hint="eastAsia" w:ascii="宋体" w:hAnsi="宋体" w:cs="宋体"/>
          <w:highlight w:val="none"/>
          <w:u w:val="single"/>
        </w:rPr>
        <w:t>工程竣工结算时一次性扣留质量保证金</w:t>
      </w:r>
      <w:r>
        <w:rPr>
          <w:rFonts w:hint="eastAsia" w:ascii="宋体" w:hAnsi="宋体" w:cs="宋体"/>
          <w:highlight w:val="none"/>
        </w:rPr>
        <w:t xml:space="preserve">； </w:t>
      </w:r>
    </w:p>
    <w:p w14:paraId="7B69EF3C">
      <w:pPr>
        <w:widowControl/>
        <w:spacing w:line="460" w:lineRule="exact"/>
        <w:ind w:firstLine="420" w:firstLineChars="200"/>
        <w:jc w:val="left"/>
        <w:rPr>
          <w:rFonts w:ascii="宋体" w:hAnsi="宋体" w:cs="宋体"/>
          <w:highlight w:val="none"/>
        </w:rPr>
      </w:pPr>
      <w:r>
        <w:rPr>
          <w:rFonts w:hint="eastAsia" w:ascii="宋体" w:hAnsi="宋体" w:cs="宋体"/>
          <w:highlight w:val="none"/>
        </w:rPr>
        <w:t>（3）其他扣留方式:</w:t>
      </w:r>
      <w:r>
        <w:rPr>
          <w:rFonts w:hint="eastAsia" w:ascii="宋体" w:hAnsi="宋体" w:cs="宋体"/>
          <w:highlight w:val="none"/>
          <w:u w:val="single"/>
        </w:rPr>
        <w:t xml:space="preserve">  /  </w:t>
      </w:r>
      <w:r>
        <w:rPr>
          <w:rFonts w:hint="eastAsia" w:ascii="宋体" w:hAnsi="宋体" w:cs="宋体"/>
          <w:highlight w:val="none"/>
        </w:rPr>
        <w:t xml:space="preserve">。 </w:t>
      </w:r>
    </w:p>
    <w:p w14:paraId="01C11C79">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关于质量保证金的补充约定：</w:t>
      </w:r>
      <w:r>
        <w:rPr>
          <w:rFonts w:hint="eastAsia" w:ascii="宋体" w:hAnsi="宋体" w:cs="宋体"/>
          <w:highlight w:val="none"/>
          <w:u w:val="single"/>
        </w:rPr>
        <w:t xml:space="preserve">质量缺陷责任期从工程竣工验收合格之日起计算，具体保修范围、保修期限、保修责任、保修金的支付、返还应按《建设工程质量管理条例》、《建设工程质量保证金管理暂行办法》等规定及双方约定执行。在缺陷责任期内，因承包人原因造成工程缺陷、损坏的，承包人未能及时修复的，发包人可直接委托第三方修复，所需费用直接从质量保证金中扣除，质量保证金不足以弥补费用的承包人需补足并支付给发包人，缺陷责任期满将剩余部分无息退还承包人。 </w:t>
      </w:r>
    </w:p>
    <w:p w14:paraId="390E9DF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15.4保修 </w:t>
      </w:r>
    </w:p>
    <w:p w14:paraId="26783977">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15.4.1 保修责任 </w:t>
      </w:r>
    </w:p>
    <w:p w14:paraId="1575834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工程保修期为：</w:t>
      </w:r>
      <w:r>
        <w:rPr>
          <w:rFonts w:hint="eastAsia" w:ascii="宋体" w:hAnsi="宋体" w:cs="宋体"/>
          <w:highlight w:val="none"/>
          <w:u w:val="single"/>
        </w:rPr>
        <w:t xml:space="preserve">按照双方签订的《工程质量保修书》的约定执行 </w:t>
      </w:r>
    </w:p>
    <w:p w14:paraId="1C085C42">
      <w:pPr>
        <w:keepLines w:val="0"/>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rPr>
      </w:pPr>
      <w:r>
        <w:rPr>
          <w:rFonts w:hint="eastAsia" w:ascii="宋体" w:hAnsi="宋体" w:cs="宋体"/>
          <w:highlight w:val="none"/>
        </w:rPr>
        <w:t xml:space="preserve">15.4.3 修复通知 </w:t>
      </w:r>
    </w:p>
    <w:p w14:paraId="0024538B">
      <w:pPr>
        <w:keepNext/>
        <w:keepLines w:val="0"/>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cs="宋体"/>
          <w:highlight w:val="none"/>
          <w:u w:val="single"/>
        </w:rPr>
        <w:sectPr>
          <w:footerReference r:id="rId11" w:type="default"/>
          <w:pgSz w:w="11906" w:h="16838"/>
          <w:pgMar w:top="1015" w:right="1196" w:bottom="868" w:left="1259" w:header="851" w:footer="907" w:gutter="0"/>
          <w:pgNumType w:fmt="decimal"/>
          <w:cols w:space="720" w:num="1"/>
          <w:docGrid w:type="lines" w:linePitch="286" w:charSpace="0"/>
        </w:sectPr>
      </w:pPr>
      <w:r>
        <w:rPr>
          <w:rFonts w:hint="eastAsia" w:ascii="宋体" w:hAnsi="宋体" w:cs="宋体"/>
          <w:highlight w:val="none"/>
        </w:rPr>
        <w:t>承包人收到保修通知并到达工程现场的合理时间：</w:t>
      </w:r>
      <w:r>
        <w:rPr>
          <w:rFonts w:hint="eastAsia" w:ascii="宋体" w:hAnsi="宋体" w:cs="宋体"/>
          <w:highlight w:val="none"/>
          <w:u w:val="single"/>
        </w:rPr>
        <w:t>1、属于保修范围、内容的项目，承包人应当在接到保修通知之日起1天内派人保修。承包人不在约定期限内派人保修的，发包人可以委托他人修理，所</w:t>
      </w:r>
    </w:p>
    <w:p w14:paraId="77D3178D">
      <w:pPr>
        <w:keepLines w:val="0"/>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ascii="宋体" w:hAnsi="宋体" w:cs="宋体"/>
          <w:highlight w:val="none"/>
          <w:u w:val="single"/>
        </w:rPr>
      </w:pPr>
      <w:r>
        <w:rPr>
          <w:rFonts w:hint="eastAsia" w:ascii="宋体" w:hAnsi="宋体" w:cs="宋体"/>
          <w:highlight w:val="none"/>
          <w:u w:val="single"/>
        </w:rPr>
        <w:t>需费用直接从质量保证金中扣除，质量保证金不足以弥补费用的承包人需补足并支付给发包人。2、发生紧急抢修事故的，承包人在接到事故通知后，应当立即到达事故现场抢修；承包人不按时派人保修的，发包人可以委托他人修理，所需费用直接从质量保证金中扣除，质量保证金不足以弥补费用的承包人需补足并支付给发包人。</w:t>
      </w:r>
    </w:p>
    <w:p w14:paraId="114F6504">
      <w:pPr>
        <w:widowControl/>
        <w:spacing w:line="460" w:lineRule="exact"/>
        <w:ind w:firstLine="420" w:firstLineChars="200"/>
        <w:jc w:val="left"/>
        <w:rPr>
          <w:rFonts w:ascii="宋体" w:hAnsi="宋体" w:cs="宋体"/>
          <w:highlight w:val="none"/>
        </w:rPr>
      </w:pPr>
      <w:r>
        <w:rPr>
          <w:rFonts w:hint="eastAsia" w:ascii="宋体" w:hAnsi="宋体" w:cs="宋体"/>
          <w:highlight w:val="none"/>
        </w:rPr>
        <w:t>16. 违约</w:t>
      </w:r>
    </w:p>
    <w:p w14:paraId="20676AA6">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16.1 发包人违约 </w:t>
      </w:r>
    </w:p>
    <w:p w14:paraId="25F2536E">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16.1.1发包人违约的情形 </w:t>
      </w:r>
    </w:p>
    <w:p w14:paraId="1A142410">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发包人违约的其他情形：</w:t>
      </w:r>
      <w:r>
        <w:rPr>
          <w:rFonts w:hint="eastAsia" w:ascii="宋体" w:hAnsi="宋体" w:cs="宋体"/>
          <w:highlight w:val="none"/>
          <w:u w:val="single"/>
        </w:rPr>
        <w:t xml:space="preserve">  /  </w:t>
      </w:r>
      <w:r>
        <w:rPr>
          <w:rFonts w:hint="eastAsia" w:ascii="宋体" w:hAnsi="宋体" w:cs="宋体"/>
          <w:highlight w:val="none"/>
        </w:rPr>
        <w:t xml:space="preserve">。 </w:t>
      </w:r>
    </w:p>
    <w:p w14:paraId="3BD290EB">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16.1.2 发包人违约的责任 </w:t>
      </w:r>
    </w:p>
    <w:p w14:paraId="562EBD77">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发包人违约责任的承担方式和计算方法： </w:t>
      </w:r>
    </w:p>
    <w:p w14:paraId="5CB3AB23">
      <w:pPr>
        <w:widowControl/>
        <w:spacing w:line="460" w:lineRule="exact"/>
        <w:ind w:firstLine="420" w:firstLineChars="200"/>
        <w:jc w:val="left"/>
        <w:rPr>
          <w:rFonts w:ascii="宋体" w:hAnsi="宋体" w:cs="宋体"/>
          <w:highlight w:val="none"/>
        </w:rPr>
      </w:pPr>
      <w:r>
        <w:rPr>
          <w:rFonts w:hint="eastAsia" w:ascii="宋体" w:hAnsi="宋体" w:cs="宋体"/>
          <w:highlight w:val="none"/>
        </w:rPr>
        <w:t>（1）因发包人原因未能在计划开工日期前7天内下达开工通知的违约责任：</w:t>
      </w:r>
      <w:r>
        <w:rPr>
          <w:rFonts w:hint="eastAsia" w:ascii="宋体" w:hAnsi="宋体" w:cs="宋体"/>
          <w:highlight w:val="none"/>
          <w:u w:val="single"/>
        </w:rPr>
        <w:t xml:space="preserve">  /  </w:t>
      </w:r>
      <w:r>
        <w:rPr>
          <w:rFonts w:hint="eastAsia" w:ascii="宋体" w:hAnsi="宋体" w:cs="宋体"/>
          <w:highlight w:val="none"/>
        </w:rPr>
        <w:t xml:space="preserve">。 </w:t>
      </w:r>
    </w:p>
    <w:p w14:paraId="3330D2FC">
      <w:pPr>
        <w:widowControl/>
        <w:spacing w:line="460" w:lineRule="exact"/>
        <w:ind w:firstLine="420" w:firstLineChars="200"/>
        <w:jc w:val="left"/>
        <w:rPr>
          <w:rFonts w:ascii="宋体" w:hAnsi="宋体" w:cs="宋体"/>
          <w:highlight w:val="none"/>
        </w:rPr>
      </w:pPr>
      <w:r>
        <w:rPr>
          <w:rFonts w:hint="eastAsia" w:ascii="宋体" w:hAnsi="宋体" w:cs="宋体"/>
          <w:highlight w:val="none"/>
        </w:rPr>
        <w:t>（2）因发包人原因未能按合同约定支付合同价款的违约责任：</w:t>
      </w:r>
      <w:r>
        <w:rPr>
          <w:rFonts w:hint="eastAsia" w:ascii="宋体" w:hAnsi="宋体" w:cs="宋体"/>
          <w:highlight w:val="none"/>
          <w:u w:val="single"/>
        </w:rPr>
        <w:t xml:space="preserve">  /  </w:t>
      </w:r>
      <w:r>
        <w:rPr>
          <w:rFonts w:hint="eastAsia" w:ascii="宋体" w:hAnsi="宋体" w:cs="宋体"/>
          <w:highlight w:val="none"/>
        </w:rPr>
        <w:t xml:space="preserve">。 </w:t>
      </w:r>
    </w:p>
    <w:p w14:paraId="590E4F8D">
      <w:pPr>
        <w:widowControl/>
        <w:spacing w:line="460" w:lineRule="exact"/>
        <w:ind w:firstLine="420" w:firstLineChars="200"/>
        <w:jc w:val="left"/>
        <w:rPr>
          <w:rFonts w:ascii="宋体" w:hAnsi="宋体" w:cs="宋体"/>
          <w:highlight w:val="none"/>
        </w:rPr>
      </w:pPr>
      <w:r>
        <w:rPr>
          <w:rFonts w:hint="eastAsia" w:ascii="宋体" w:hAnsi="宋体" w:cs="宋体"/>
          <w:highlight w:val="none"/>
        </w:rPr>
        <w:t>（3）发包人违反第10.1款〔变更的范围〕第（2）项约定，自行实施被取消的工作或转由他人实施的违约责任：</w:t>
      </w:r>
      <w:r>
        <w:rPr>
          <w:rFonts w:hint="eastAsia" w:ascii="宋体" w:hAnsi="宋体" w:cs="宋体"/>
          <w:highlight w:val="none"/>
          <w:u w:val="single"/>
        </w:rPr>
        <w:t xml:space="preserve">  /  </w:t>
      </w:r>
      <w:r>
        <w:rPr>
          <w:rFonts w:hint="eastAsia" w:ascii="宋体" w:hAnsi="宋体" w:cs="宋体"/>
          <w:highlight w:val="none"/>
        </w:rPr>
        <w:t xml:space="preserve">。 </w:t>
      </w:r>
    </w:p>
    <w:p w14:paraId="22FF35BC">
      <w:pPr>
        <w:widowControl/>
        <w:spacing w:line="460" w:lineRule="exact"/>
        <w:ind w:firstLine="420" w:firstLineChars="200"/>
        <w:jc w:val="left"/>
        <w:rPr>
          <w:rFonts w:ascii="宋体" w:hAnsi="宋体" w:cs="宋体"/>
          <w:highlight w:val="none"/>
        </w:rPr>
      </w:pPr>
      <w:r>
        <w:rPr>
          <w:rFonts w:hint="eastAsia" w:ascii="宋体" w:hAnsi="宋体" w:cs="宋体"/>
          <w:highlight w:val="none"/>
        </w:rPr>
        <w:t>（4）发包人提供的材料、工程设备的规格、数量或质量不符合合同约定，或因发包人原因导致交货日期延误或交货地点变更等情况的违约责任：</w:t>
      </w:r>
      <w:r>
        <w:rPr>
          <w:rFonts w:hint="eastAsia" w:ascii="宋体" w:hAnsi="宋体" w:cs="宋体"/>
          <w:highlight w:val="none"/>
          <w:u w:val="single"/>
        </w:rPr>
        <w:t xml:space="preserve">  /  </w:t>
      </w:r>
      <w:r>
        <w:rPr>
          <w:rFonts w:hint="eastAsia" w:ascii="宋体" w:hAnsi="宋体" w:cs="宋体"/>
          <w:highlight w:val="none"/>
        </w:rPr>
        <w:t xml:space="preserve">。 </w:t>
      </w:r>
    </w:p>
    <w:p w14:paraId="0E33BCAC">
      <w:pPr>
        <w:widowControl/>
        <w:spacing w:line="460" w:lineRule="exact"/>
        <w:ind w:firstLine="420" w:firstLineChars="200"/>
        <w:jc w:val="left"/>
        <w:rPr>
          <w:rFonts w:ascii="宋体" w:hAnsi="宋体" w:cs="宋体"/>
          <w:highlight w:val="none"/>
        </w:rPr>
      </w:pPr>
      <w:r>
        <w:rPr>
          <w:rFonts w:hint="eastAsia" w:ascii="宋体" w:hAnsi="宋体" w:cs="宋体"/>
          <w:highlight w:val="none"/>
        </w:rPr>
        <w:t>（5）因发包人违反合同约定造成暂停施工的违约责任：</w:t>
      </w:r>
      <w:r>
        <w:rPr>
          <w:rFonts w:hint="eastAsia" w:ascii="宋体" w:hAnsi="宋体" w:cs="宋体"/>
          <w:highlight w:val="none"/>
          <w:u w:val="single"/>
        </w:rPr>
        <w:t xml:space="preserve">  /  </w:t>
      </w:r>
      <w:r>
        <w:rPr>
          <w:rFonts w:hint="eastAsia" w:ascii="宋体" w:hAnsi="宋体" w:cs="宋体"/>
          <w:highlight w:val="none"/>
        </w:rPr>
        <w:t xml:space="preserve">。 </w:t>
      </w:r>
    </w:p>
    <w:p w14:paraId="3BA87295">
      <w:pPr>
        <w:widowControl/>
        <w:spacing w:line="460" w:lineRule="exact"/>
        <w:ind w:firstLine="420" w:firstLineChars="200"/>
        <w:jc w:val="left"/>
        <w:rPr>
          <w:rFonts w:ascii="宋体" w:hAnsi="宋体" w:cs="宋体"/>
          <w:highlight w:val="none"/>
        </w:rPr>
      </w:pPr>
      <w:r>
        <w:rPr>
          <w:rFonts w:hint="eastAsia" w:ascii="宋体" w:hAnsi="宋体" w:cs="宋体"/>
          <w:highlight w:val="none"/>
        </w:rPr>
        <w:t>（6）发包人无正当理由没有在约定期限内发出复工指示，导致承包人无法复工的违约责任：</w:t>
      </w:r>
      <w:r>
        <w:rPr>
          <w:rFonts w:hint="eastAsia" w:ascii="宋体" w:hAnsi="宋体" w:cs="宋体"/>
          <w:highlight w:val="none"/>
          <w:u w:val="single"/>
        </w:rPr>
        <w:t xml:space="preserve">  /  </w:t>
      </w:r>
      <w:r>
        <w:rPr>
          <w:rFonts w:hint="eastAsia" w:ascii="宋体" w:hAnsi="宋体" w:cs="宋体"/>
          <w:highlight w:val="none"/>
        </w:rPr>
        <w:t xml:space="preserve">。 </w:t>
      </w:r>
    </w:p>
    <w:p w14:paraId="718CB9CB">
      <w:pPr>
        <w:widowControl/>
        <w:spacing w:line="460" w:lineRule="exact"/>
        <w:ind w:firstLine="420" w:firstLineChars="200"/>
        <w:jc w:val="left"/>
        <w:rPr>
          <w:rFonts w:ascii="宋体" w:hAnsi="宋体" w:cs="宋体"/>
          <w:highlight w:val="none"/>
        </w:rPr>
      </w:pPr>
      <w:r>
        <w:rPr>
          <w:rFonts w:hint="eastAsia" w:ascii="宋体" w:hAnsi="宋体" w:cs="宋体"/>
          <w:highlight w:val="none"/>
        </w:rPr>
        <w:t>（7）其他：</w:t>
      </w:r>
      <w:r>
        <w:rPr>
          <w:rFonts w:hint="eastAsia" w:ascii="宋体" w:hAnsi="宋体" w:cs="宋体"/>
          <w:highlight w:val="none"/>
          <w:u w:val="single"/>
        </w:rPr>
        <w:t xml:space="preserve">  /  </w:t>
      </w:r>
      <w:r>
        <w:rPr>
          <w:rFonts w:hint="eastAsia" w:ascii="宋体" w:hAnsi="宋体" w:cs="宋体"/>
          <w:highlight w:val="none"/>
        </w:rPr>
        <w:t xml:space="preserve">。 </w:t>
      </w:r>
    </w:p>
    <w:p w14:paraId="040DCB53">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16.1.3 因发包人违约解除合同 </w:t>
      </w:r>
    </w:p>
    <w:p w14:paraId="7E280BD6">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承包人按16.1.1项〔发包人违约的情形〕约定暂停施工满</w:t>
      </w:r>
      <w:r>
        <w:rPr>
          <w:rFonts w:hint="eastAsia" w:ascii="宋体" w:hAnsi="宋体" w:cs="宋体"/>
          <w:highlight w:val="none"/>
          <w:u w:val="single"/>
        </w:rPr>
        <w:t>（按通用条款执行）</w:t>
      </w:r>
      <w:r>
        <w:rPr>
          <w:rFonts w:hint="eastAsia" w:ascii="宋体" w:hAnsi="宋体" w:cs="宋体"/>
          <w:highlight w:val="none"/>
        </w:rPr>
        <w:t xml:space="preserve">天后发包人仍不纠正其违约行为并致使合同目的不能实现的，承包人有权解除合同。 </w:t>
      </w:r>
    </w:p>
    <w:p w14:paraId="60C1DE9F">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16.2 承包人违约 </w:t>
      </w:r>
    </w:p>
    <w:p w14:paraId="375F444E">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16.2.1 承包人违约的情形 </w:t>
      </w:r>
    </w:p>
    <w:p w14:paraId="70A80BD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承包人违约的其他情形：</w:t>
      </w:r>
      <w:r>
        <w:rPr>
          <w:rFonts w:hint="eastAsia" w:ascii="宋体" w:hAnsi="宋体" w:cs="宋体"/>
          <w:highlight w:val="none"/>
          <w:u w:val="single"/>
        </w:rPr>
        <w:t>专用条款已明确的按专用条款执行，专用条款未明确的按通用条款及发包人要求执行。</w:t>
      </w:r>
    </w:p>
    <w:p w14:paraId="4BDAE2FC">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16.2.2承包人违约的责任 </w:t>
      </w:r>
    </w:p>
    <w:p w14:paraId="7FD912A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承包人违约责任的承担方式和计算方法： </w:t>
      </w:r>
    </w:p>
    <w:p w14:paraId="4B829E9F">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(1)本工程开工时间以发包人批准的开工通知日期为准。如遇特殊情况推迟开工，合同工期相应顺延。承 包人应按照投标文件承诺的工期确保工程验收，不得以任何借口停工怠工。如因承包人原因延误工期的，承包人应承担违约责任，按每拖延一天向发包人支付10000元的违约金。 </w:t>
      </w:r>
    </w:p>
    <w:p w14:paraId="6E3E0352">
      <w:pPr>
        <w:widowControl/>
        <w:spacing w:line="460" w:lineRule="exact"/>
        <w:ind w:firstLine="420" w:firstLineChars="200"/>
        <w:jc w:val="left"/>
        <w:rPr>
          <w:rFonts w:hint="eastAsia" w:ascii="宋体" w:hAnsi="宋体" w:cs="宋体"/>
          <w:highlight w:val="none"/>
          <w:u w:val="single"/>
        </w:rPr>
        <w:sectPr>
          <w:footerReference r:id="rId12" w:type="default"/>
          <w:pgSz w:w="11906" w:h="16838"/>
          <w:pgMar w:top="1015" w:right="1196" w:bottom="868" w:left="1259" w:header="851" w:footer="907" w:gutter="0"/>
          <w:pgNumType w:fmt="decimal"/>
          <w:cols w:space="720" w:num="1"/>
          <w:docGrid w:type="lines" w:linePitch="286" w:charSpace="0"/>
        </w:sectPr>
      </w:pPr>
    </w:p>
    <w:p w14:paraId="6BEC6C16">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(2)承包人严格按照经发包人(实施单位)同意的施工计划组织工程施工。接受发包人(实施单位)对进度的检查、监督，工程实际进度与经确认的进度计划不符时，承包人应按发包人的要求提出书面改进措施方案，并经发包人(实施单位)确认后执行。因承包人的原因导致实际进度与进度计划不符，承包人无权就改进措施提出追加合同价款。 </w:t>
      </w:r>
    </w:p>
    <w:p w14:paraId="0D33965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(3) 承包人应当按照发包人的开工通知书的开工日期开工。承包人不能按时开工，应当不迟于合同约定的开工日期前7天，以书面形式向发包人(实施单位)提出延期开工的理由和要求。发包人(实施单位)应当在接到延期开工申请后的48小时内以书面形式答复承包人，发包人(实施单位)在接到延期开工申请后的48小时内不答复，视为不同意承包人的要求。发包人(实施单位)不同意延期要求或承包人未在规定时间内提出延期开工要求，工期不予顺延。 </w:t>
      </w:r>
    </w:p>
    <w:p w14:paraId="31FADF3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(4)承包人施工时必须服从发包人(实施单位)对施工场地和施工时间的统一管理。与相关施工单位密切配合绝不扯皮，如有问题以发包人意见为准，如不服从根据实际情况每次罚款10000元，如造成工期延误的，视为承包人违约，并每天按照合同总价</w:t>
      </w:r>
      <w:r>
        <w:rPr>
          <w:rFonts w:hint="eastAsia" w:ascii="宋体" w:hAnsi="宋体" w:cs="宋体"/>
          <w:highlight w:val="none"/>
          <w:u w:val="single"/>
          <w:lang w:eastAsia="zh-CN"/>
        </w:rPr>
        <w:t>千</w:t>
      </w:r>
      <w:r>
        <w:rPr>
          <w:rFonts w:hint="eastAsia" w:ascii="宋体" w:hAnsi="宋体" w:cs="宋体"/>
          <w:highlight w:val="none"/>
          <w:u w:val="single"/>
        </w:rPr>
        <w:t>分之</w:t>
      </w:r>
      <w:r>
        <w:rPr>
          <w:rFonts w:hint="eastAsia" w:ascii="宋体" w:hAnsi="宋体" w:cs="宋体"/>
          <w:highlight w:val="none"/>
          <w:u w:val="single"/>
          <w:lang w:val="en-US" w:eastAsia="zh-CN"/>
        </w:rPr>
        <w:t>二</w:t>
      </w:r>
      <w:r>
        <w:rPr>
          <w:rFonts w:hint="eastAsia" w:ascii="宋体" w:hAnsi="宋体" w:cs="宋体"/>
          <w:highlight w:val="none"/>
          <w:u w:val="single"/>
        </w:rPr>
        <w:t xml:space="preserve">承担逾期违约责任。承包人应充分考虑施工环境、施工部位和施工季节的特殊性，在应遵守地方政府规定的前提下确保工期和质量，自行处理各方关系，费用自理。 </w:t>
      </w:r>
    </w:p>
    <w:p w14:paraId="7B12010B">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(5)因承包人原因，工程在中间交验过程中，不能达到招标和合同要求（工期、质量），累计拖延工期超过15天，且承包人拿不出让发包人(实施单位)满意的追赶工期计划，承包人除按照专用条款中约定的逾期、质量违约约定承担违约责任外，发包人有权拒付（缓付）工程款，并酌情调整施工队伍直至清除出场，清退出场的，将解除合同，没收全部履约保证金，承包人承诺无条件服从并承担由此发生的一切费用和损失。 </w:t>
      </w:r>
    </w:p>
    <w:p w14:paraId="6C103957">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(6) 如果一次性验收不合格，除按本合同约定规定实行处罚外，承包人必须无偿整改达到规定质量目标并承担由此造成的损失和费用。 </w:t>
      </w:r>
    </w:p>
    <w:p w14:paraId="51D61EEF">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(7)若存在其他违约情形，专用条款未明确的按通用条款、现行有关规定及发包人要求执行。 </w:t>
      </w:r>
    </w:p>
    <w:p w14:paraId="11973B77">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16.2.3 因承包人违约解除合同 </w:t>
      </w:r>
    </w:p>
    <w:p w14:paraId="0CE354E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关于承包人违约解除合同的特别约定：</w:t>
      </w:r>
      <w:r>
        <w:rPr>
          <w:rFonts w:hint="eastAsia" w:ascii="宋体" w:hAnsi="宋体" w:cs="宋体"/>
          <w:highlight w:val="none"/>
          <w:u w:val="single"/>
        </w:rPr>
        <w:t xml:space="preserve">在本合同履行过程中，如承包人发生如下情形之一，发包人将视承包人严重违约，立即解除合同并没收全部履约保证金，冻结专户资金，承包人承担违约责任并承担由此造成的一切损失，承包人在现场的人员无条件退场，承包人在现场的设备和材料无条件供发包人使用，其设备租金和材料价值待法院裁判后，如有剩余，裁判生效后7天内支付。 </w:t>
      </w:r>
    </w:p>
    <w:p w14:paraId="13E7247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① 不同意本工程合同条件； </w:t>
      </w:r>
    </w:p>
    <w:p w14:paraId="6C34097C">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②停工或拖延施工进度或影响施工质量； </w:t>
      </w:r>
    </w:p>
    <w:p w14:paraId="299E5D8D">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③无正当理由，单方面要挟发包人提高合同价款； </w:t>
      </w:r>
    </w:p>
    <w:p w14:paraId="0EA8D842">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④无正当理由，单方面要挟发包人给予某种补偿。 </w:t>
      </w:r>
    </w:p>
    <w:p w14:paraId="7449FAA2">
      <w:pPr>
        <w:widowControl/>
        <w:spacing w:line="460" w:lineRule="exact"/>
        <w:ind w:firstLine="420" w:firstLineChars="200"/>
        <w:jc w:val="left"/>
        <w:rPr>
          <w:rFonts w:hint="eastAsia" w:ascii="宋体" w:hAnsi="宋体" w:cs="宋体"/>
          <w:highlight w:val="none"/>
          <w:u w:val="single"/>
        </w:rPr>
        <w:sectPr>
          <w:footerReference r:id="rId13" w:type="default"/>
          <w:pgSz w:w="11906" w:h="16838"/>
          <w:pgMar w:top="1015" w:right="1196" w:bottom="868" w:left="1259" w:header="851" w:footer="907" w:gutter="0"/>
          <w:pgNumType w:fmt="decimal"/>
          <w:cols w:space="720" w:num="1"/>
          <w:docGrid w:type="lines" w:linePitch="286" w:charSpace="0"/>
        </w:sectPr>
      </w:pPr>
    </w:p>
    <w:p w14:paraId="59C82395">
      <w:pPr>
        <w:widowControl/>
        <w:spacing w:line="460" w:lineRule="exact"/>
        <w:ind w:firstLine="420" w:firstLineChars="200"/>
        <w:jc w:val="left"/>
        <w:rPr>
          <w:rFonts w:ascii="宋体" w:hAnsi="宋体" w:cs="宋体"/>
          <w:highlight w:val="none"/>
        </w:rPr>
      </w:pPr>
      <w:r>
        <w:rPr>
          <w:rFonts w:hint="eastAsia" w:ascii="宋体" w:hAnsi="宋体" w:cs="宋体"/>
          <w:highlight w:val="none"/>
          <w:u w:val="single"/>
        </w:rPr>
        <w:t>发包人继续使用承包人在施工现场的材料、设备、临时工程、承包人文件和由承包人或以其名义编制的其他文件的费用承担方式：按通用条款。</w:t>
      </w:r>
      <w:r>
        <w:rPr>
          <w:rFonts w:hint="eastAsia" w:ascii="宋体" w:hAnsi="宋体" w:cs="宋体"/>
          <w:highlight w:val="none"/>
        </w:rPr>
        <w:t xml:space="preserve"> </w:t>
      </w:r>
    </w:p>
    <w:p w14:paraId="7B77F7EF">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17. 不可抗力 </w:t>
      </w:r>
    </w:p>
    <w:p w14:paraId="4B7B108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17.1 不可抗力的确认 </w:t>
      </w:r>
    </w:p>
    <w:p w14:paraId="6A947318">
      <w:pPr>
        <w:widowControl/>
        <w:spacing w:line="460" w:lineRule="exact"/>
        <w:ind w:firstLine="420" w:firstLineChars="200"/>
        <w:jc w:val="left"/>
        <w:rPr>
          <w:rFonts w:ascii="宋体" w:hAnsi="宋体" w:cs="宋体"/>
          <w:highlight w:val="none"/>
        </w:rPr>
      </w:pPr>
      <w:r>
        <w:rPr>
          <w:rFonts w:hint="eastAsia" w:ascii="宋体" w:hAnsi="宋体" w:cs="宋体"/>
          <w:highlight w:val="none"/>
        </w:rPr>
        <w:t>除通用合同条款约定的不可抗力事件之外，视为不可抗力的其他情形：</w:t>
      </w:r>
      <w:r>
        <w:rPr>
          <w:rFonts w:hint="eastAsia" w:ascii="宋体" w:hAnsi="宋体" w:cs="宋体"/>
          <w:highlight w:val="none"/>
          <w:u w:val="single"/>
        </w:rPr>
        <w:t xml:space="preserve"> /  </w:t>
      </w:r>
      <w:r>
        <w:rPr>
          <w:rFonts w:hint="eastAsia" w:ascii="宋体" w:hAnsi="宋体" w:cs="宋体"/>
          <w:highlight w:val="none"/>
        </w:rPr>
        <w:t xml:space="preserve">。 </w:t>
      </w:r>
    </w:p>
    <w:p w14:paraId="140CFBC3">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17.4 因不可抗力解除合同 </w:t>
      </w:r>
    </w:p>
    <w:p w14:paraId="32ADF927">
      <w:pPr>
        <w:widowControl/>
        <w:spacing w:line="460" w:lineRule="exact"/>
        <w:ind w:firstLine="420" w:firstLineChars="200"/>
        <w:jc w:val="left"/>
        <w:rPr>
          <w:rFonts w:ascii="宋体" w:hAnsi="宋体" w:cs="宋体"/>
          <w:highlight w:val="none"/>
        </w:rPr>
      </w:pPr>
      <w:r>
        <w:rPr>
          <w:rFonts w:hint="eastAsia" w:ascii="宋体" w:hAnsi="宋体" w:cs="宋体"/>
          <w:highlight w:val="none"/>
        </w:rPr>
        <w:t>合同解除后，发包人应在商定或确定发包人应支付款项后</w:t>
      </w:r>
      <w:r>
        <w:rPr>
          <w:rFonts w:hint="eastAsia" w:ascii="宋体" w:hAnsi="宋体" w:cs="宋体"/>
          <w:highlight w:val="none"/>
          <w:u w:val="single"/>
        </w:rPr>
        <w:t>30</w:t>
      </w:r>
      <w:r>
        <w:rPr>
          <w:rFonts w:hint="eastAsia" w:ascii="宋体" w:hAnsi="宋体" w:cs="宋体"/>
          <w:highlight w:val="none"/>
        </w:rPr>
        <w:t xml:space="preserve">天内完成款项的支付。 </w:t>
      </w:r>
    </w:p>
    <w:p w14:paraId="51309801">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18. 保险 </w:t>
      </w:r>
    </w:p>
    <w:p w14:paraId="2BFE30B3">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18.1 工程保险 </w:t>
      </w:r>
    </w:p>
    <w:p w14:paraId="5462B35E">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关于工程保险的特别约定：</w:t>
      </w:r>
      <w:r>
        <w:rPr>
          <w:rFonts w:hint="eastAsia" w:ascii="宋体" w:hAnsi="宋体" w:cs="宋体"/>
          <w:highlight w:val="none"/>
          <w:u w:val="single"/>
        </w:rPr>
        <w:t xml:space="preserve">承包人应投保建筑工程一切险并承担保险费用。 </w:t>
      </w:r>
    </w:p>
    <w:p w14:paraId="03996B2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18.3 其他保险 </w:t>
      </w:r>
    </w:p>
    <w:p w14:paraId="6722D168">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rPr>
        <w:t>关于其他保险的约定：</w:t>
      </w:r>
      <w:r>
        <w:rPr>
          <w:rFonts w:hint="eastAsia" w:ascii="宋体" w:hAnsi="宋体" w:cs="宋体"/>
          <w:highlight w:val="none"/>
          <w:u w:val="single"/>
        </w:rPr>
        <w:t>按通用条款。</w:t>
      </w:r>
    </w:p>
    <w:p w14:paraId="45A8A0A8">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承包人是否应为其施工设备等办理财产保险：</w:t>
      </w:r>
      <w:r>
        <w:rPr>
          <w:rFonts w:hint="eastAsia" w:ascii="宋体" w:hAnsi="宋体" w:cs="宋体"/>
          <w:highlight w:val="none"/>
          <w:u w:val="single"/>
        </w:rPr>
        <w:t xml:space="preserve">  是  </w:t>
      </w:r>
      <w:r>
        <w:rPr>
          <w:rFonts w:hint="eastAsia" w:ascii="宋体" w:hAnsi="宋体" w:cs="宋体"/>
          <w:highlight w:val="none"/>
        </w:rPr>
        <w:t xml:space="preserve">。 </w:t>
      </w:r>
    </w:p>
    <w:p w14:paraId="5E8FA80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18.7 通知义务 </w:t>
      </w:r>
    </w:p>
    <w:p w14:paraId="4DBD3DDF">
      <w:pPr>
        <w:widowControl/>
        <w:spacing w:line="460" w:lineRule="exact"/>
        <w:ind w:firstLine="420" w:firstLineChars="200"/>
        <w:jc w:val="left"/>
        <w:rPr>
          <w:rFonts w:ascii="宋体" w:hAnsi="宋体" w:cs="宋体"/>
          <w:highlight w:val="none"/>
        </w:rPr>
      </w:pPr>
      <w:r>
        <w:rPr>
          <w:rFonts w:hint="eastAsia" w:ascii="宋体" w:hAnsi="宋体" w:cs="宋体"/>
          <w:highlight w:val="none"/>
        </w:rPr>
        <w:t>关于变更保险合同时的通知义务的约定：</w:t>
      </w:r>
      <w:r>
        <w:rPr>
          <w:rFonts w:hint="eastAsia" w:ascii="宋体" w:hAnsi="宋体" w:cs="宋体"/>
          <w:highlight w:val="none"/>
          <w:u w:val="single"/>
        </w:rPr>
        <w:t xml:space="preserve">按通用条款。 </w:t>
      </w:r>
    </w:p>
    <w:p w14:paraId="47B102A7">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19.通知送达 </w:t>
      </w:r>
    </w:p>
    <w:p w14:paraId="4CAE72AF">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发包人向承包人发出的通知，以邮寄方式发出的，自发出之日起第3日视为送达；以传真方式发出的，自发出当日视为送达；以电子邮件、短信方式发出的，自发出之时即视为送达。。 </w:t>
      </w:r>
    </w:p>
    <w:p w14:paraId="4EF88D6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20. 争议解决 </w:t>
      </w:r>
    </w:p>
    <w:p w14:paraId="595B60CD">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20.3 争议评审 </w:t>
      </w:r>
    </w:p>
    <w:p w14:paraId="5C81A20C">
      <w:pPr>
        <w:widowControl/>
        <w:spacing w:line="460" w:lineRule="exact"/>
        <w:ind w:firstLine="420" w:firstLineChars="200"/>
        <w:jc w:val="left"/>
        <w:rPr>
          <w:rFonts w:ascii="宋体" w:hAnsi="宋体" w:cs="宋体"/>
          <w:highlight w:val="none"/>
        </w:rPr>
      </w:pPr>
      <w:r>
        <w:rPr>
          <w:rFonts w:hint="eastAsia" w:ascii="宋体" w:hAnsi="宋体" w:cs="宋体"/>
          <w:highlight w:val="none"/>
        </w:rPr>
        <w:t>合同当事人是否同意将工程争议提交争议评审小组决定：</w:t>
      </w:r>
      <w:r>
        <w:rPr>
          <w:rFonts w:hint="eastAsia" w:ascii="宋体" w:hAnsi="宋体" w:cs="宋体"/>
          <w:highlight w:val="none"/>
          <w:u w:val="single"/>
        </w:rPr>
        <w:t xml:space="preserve">  /  </w:t>
      </w:r>
      <w:r>
        <w:rPr>
          <w:rFonts w:hint="eastAsia" w:ascii="宋体" w:hAnsi="宋体" w:cs="宋体"/>
          <w:highlight w:val="none"/>
        </w:rPr>
        <w:t xml:space="preserve">。 </w:t>
      </w:r>
    </w:p>
    <w:p w14:paraId="3F58F660">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20.3.1 争议评审小组的确定 </w:t>
      </w:r>
    </w:p>
    <w:p w14:paraId="767E2411">
      <w:pPr>
        <w:widowControl/>
        <w:spacing w:line="460" w:lineRule="exact"/>
        <w:ind w:firstLine="420" w:firstLineChars="200"/>
        <w:jc w:val="left"/>
        <w:rPr>
          <w:rFonts w:ascii="宋体" w:hAnsi="宋体" w:cs="宋体"/>
          <w:highlight w:val="none"/>
        </w:rPr>
      </w:pPr>
      <w:r>
        <w:rPr>
          <w:rFonts w:hint="eastAsia" w:ascii="宋体" w:hAnsi="宋体" w:cs="宋体"/>
          <w:highlight w:val="none"/>
        </w:rPr>
        <w:t>争议评审小组成员的确定：</w:t>
      </w:r>
      <w:r>
        <w:rPr>
          <w:rFonts w:hint="eastAsia" w:ascii="宋体" w:hAnsi="宋体" w:cs="宋体"/>
          <w:highlight w:val="none"/>
          <w:u w:val="single"/>
        </w:rPr>
        <w:t xml:space="preserve">  /  </w:t>
      </w:r>
      <w:r>
        <w:rPr>
          <w:rFonts w:hint="eastAsia" w:ascii="宋体" w:hAnsi="宋体" w:cs="宋体"/>
          <w:highlight w:val="none"/>
        </w:rPr>
        <w:t xml:space="preserve">。 </w:t>
      </w:r>
    </w:p>
    <w:p w14:paraId="17353125">
      <w:pPr>
        <w:widowControl/>
        <w:spacing w:line="460" w:lineRule="exact"/>
        <w:ind w:firstLine="420" w:firstLineChars="200"/>
        <w:jc w:val="left"/>
        <w:rPr>
          <w:rFonts w:ascii="宋体" w:hAnsi="宋体" w:cs="宋体"/>
          <w:highlight w:val="none"/>
        </w:rPr>
      </w:pPr>
      <w:r>
        <w:rPr>
          <w:rFonts w:hint="eastAsia" w:ascii="宋体" w:hAnsi="宋体" w:cs="宋体"/>
          <w:highlight w:val="none"/>
        </w:rPr>
        <w:t>选定争议评审员的期限：</w:t>
      </w:r>
      <w:r>
        <w:rPr>
          <w:rFonts w:hint="eastAsia" w:ascii="宋体" w:hAnsi="宋体" w:cs="宋体"/>
          <w:highlight w:val="none"/>
          <w:u w:val="single"/>
        </w:rPr>
        <w:t xml:space="preserve">  /  </w:t>
      </w:r>
      <w:r>
        <w:rPr>
          <w:rFonts w:hint="eastAsia" w:ascii="宋体" w:hAnsi="宋体" w:cs="宋体"/>
          <w:highlight w:val="none"/>
        </w:rPr>
        <w:t xml:space="preserve">。 </w:t>
      </w:r>
    </w:p>
    <w:p w14:paraId="7809A282">
      <w:pPr>
        <w:widowControl/>
        <w:spacing w:line="460" w:lineRule="exact"/>
        <w:ind w:firstLine="420" w:firstLineChars="200"/>
        <w:jc w:val="left"/>
        <w:rPr>
          <w:rFonts w:ascii="宋体" w:hAnsi="宋体" w:cs="宋体"/>
          <w:highlight w:val="none"/>
        </w:rPr>
      </w:pPr>
      <w:r>
        <w:rPr>
          <w:rFonts w:hint="eastAsia" w:ascii="宋体" w:hAnsi="宋体" w:cs="宋体"/>
          <w:highlight w:val="none"/>
        </w:rPr>
        <w:t>争议评审小组成员的报酬承担方式：</w:t>
      </w:r>
      <w:r>
        <w:rPr>
          <w:rFonts w:hint="eastAsia" w:ascii="宋体" w:hAnsi="宋体" w:cs="宋体"/>
          <w:highlight w:val="none"/>
          <w:u w:val="single"/>
        </w:rPr>
        <w:t xml:space="preserve">  /  </w:t>
      </w:r>
      <w:r>
        <w:rPr>
          <w:rFonts w:hint="eastAsia" w:ascii="宋体" w:hAnsi="宋体" w:cs="宋体"/>
          <w:highlight w:val="none"/>
        </w:rPr>
        <w:t>。</w:t>
      </w:r>
    </w:p>
    <w:p w14:paraId="1222F064">
      <w:pPr>
        <w:widowControl/>
        <w:spacing w:line="460" w:lineRule="exact"/>
        <w:ind w:firstLine="420" w:firstLineChars="200"/>
        <w:jc w:val="left"/>
        <w:rPr>
          <w:rFonts w:ascii="宋体" w:hAnsi="宋体" w:cs="宋体"/>
          <w:highlight w:val="none"/>
        </w:rPr>
      </w:pPr>
      <w:r>
        <w:rPr>
          <w:rFonts w:hint="eastAsia" w:ascii="宋体" w:hAnsi="宋体" w:cs="宋体"/>
          <w:highlight w:val="none"/>
        </w:rPr>
        <w:t>其他事项的约定：</w:t>
      </w:r>
      <w:r>
        <w:rPr>
          <w:rFonts w:hint="eastAsia" w:ascii="宋体" w:hAnsi="宋体" w:cs="宋体"/>
          <w:highlight w:val="none"/>
          <w:u w:val="single"/>
        </w:rPr>
        <w:t xml:space="preserve">  /  </w:t>
      </w:r>
      <w:r>
        <w:rPr>
          <w:rFonts w:hint="eastAsia" w:ascii="宋体" w:hAnsi="宋体" w:cs="宋体"/>
          <w:highlight w:val="none"/>
        </w:rPr>
        <w:t xml:space="preserve">。 </w:t>
      </w:r>
    </w:p>
    <w:p w14:paraId="12C756EC">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20.3.2 争议评审小组的决定 </w:t>
      </w:r>
    </w:p>
    <w:p w14:paraId="567C282F">
      <w:pPr>
        <w:widowControl/>
        <w:spacing w:line="460" w:lineRule="exact"/>
        <w:ind w:firstLine="420" w:firstLineChars="200"/>
        <w:jc w:val="left"/>
        <w:rPr>
          <w:rFonts w:ascii="宋体" w:hAnsi="宋体" w:cs="宋体"/>
          <w:highlight w:val="none"/>
        </w:rPr>
      </w:pPr>
      <w:r>
        <w:rPr>
          <w:rFonts w:hint="eastAsia" w:ascii="宋体" w:hAnsi="宋体" w:cs="宋体"/>
          <w:highlight w:val="none"/>
        </w:rPr>
        <w:t>合同当事人关于本项的约定：</w:t>
      </w:r>
      <w:r>
        <w:rPr>
          <w:rFonts w:hint="eastAsia" w:ascii="宋体" w:hAnsi="宋体" w:cs="宋体"/>
          <w:highlight w:val="none"/>
          <w:u w:val="single"/>
        </w:rPr>
        <w:t xml:space="preserve">  /  </w:t>
      </w:r>
      <w:r>
        <w:rPr>
          <w:rFonts w:hint="eastAsia" w:ascii="宋体" w:hAnsi="宋体" w:cs="宋体"/>
          <w:highlight w:val="none"/>
        </w:rPr>
        <w:t xml:space="preserve">。 </w:t>
      </w:r>
    </w:p>
    <w:p w14:paraId="4F1617AC">
      <w:pPr>
        <w:widowControl/>
        <w:spacing w:line="400" w:lineRule="exact"/>
        <w:ind w:firstLine="420" w:firstLineChars="200"/>
        <w:jc w:val="left"/>
        <w:rPr>
          <w:rFonts w:ascii="宋体" w:hAnsi="宋体" w:cs="宋体"/>
          <w:highlight w:val="none"/>
        </w:rPr>
      </w:pPr>
      <w:r>
        <w:rPr>
          <w:rFonts w:hint="eastAsia" w:ascii="宋体" w:hAnsi="宋体" w:cs="宋体"/>
          <w:highlight w:val="none"/>
        </w:rPr>
        <w:t xml:space="preserve">20.4仲裁或诉讼 </w:t>
      </w:r>
    </w:p>
    <w:p w14:paraId="43C5D003">
      <w:pPr>
        <w:widowControl/>
        <w:spacing w:line="400" w:lineRule="exact"/>
        <w:ind w:firstLine="420" w:firstLineChars="200"/>
        <w:jc w:val="left"/>
        <w:rPr>
          <w:rFonts w:ascii="宋体" w:hAnsi="宋体" w:cs="宋体"/>
          <w:highlight w:val="none"/>
        </w:rPr>
      </w:pPr>
      <w:r>
        <w:rPr>
          <w:rFonts w:hint="eastAsia" w:ascii="宋体" w:hAnsi="宋体" w:cs="宋体"/>
          <w:highlight w:val="none"/>
        </w:rPr>
        <w:t xml:space="preserve">因合同及合同有关事项发生的争议，按下列第2种方式解决： </w:t>
      </w:r>
    </w:p>
    <w:p w14:paraId="0D482229">
      <w:pPr>
        <w:widowControl/>
        <w:spacing w:line="400" w:lineRule="exact"/>
        <w:ind w:firstLine="420" w:firstLineChars="200"/>
        <w:jc w:val="left"/>
        <w:rPr>
          <w:rFonts w:ascii="宋体" w:hAnsi="宋体" w:cs="宋体"/>
          <w:highlight w:val="none"/>
        </w:rPr>
      </w:pPr>
      <w:r>
        <w:rPr>
          <w:rFonts w:hint="eastAsia" w:ascii="宋体" w:hAnsi="宋体" w:cs="宋体"/>
          <w:highlight w:val="none"/>
        </w:rPr>
        <w:t xml:space="preserve">（1）向盐城仲裁委员会申请仲裁； </w:t>
      </w:r>
    </w:p>
    <w:p w14:paraId="46397A0C">
      <w:pPr>
        <w:widowControl/>
        <w:spacing w:line="400" w:lineRule="exact"/>
        <w:ind w:firstLine="420" w:firstLineChars="200"/>
        <w:jc w:val="left"/>
        <w:rPr>
          <w:rFonts w:ascii="宋体" w:hAnsi="宋体" w:cs="宋体"/>
          <w:highlight w:val="none"/>
        </w:rPr>
      </w:pPr>
      <w:r>
        <w:rPr>
          <w:rFonts w:hint="eastAsia" w:ascii="宋体" w:hAnsi="宋体" w:cs="宋体"/>
          <w:highlight w:val="none"/>
        </w:rPr>
        <w:t>（2）向</w:t>
      </w:r>
      <w:r>
        <w:rPr>
          <w:rFonts w:hint="eastAsia" w:ascii="宋体" w:hAnsi="宋体" w:cs="宋体"/>
          <w:highlight w:val="none"/>
          <w:u w:val="single"/>
        </w:rPr>
        <w:t>工程所在地</w:t>
      </w:r>
      <w:r>
        <w:rPr>
          <w:rFonts w:hint="eastAsia" w:ascii="宋体" w:hAnsi="宋体" w:cs="宋体"/>
          <w:highlight w:val="none"/>
        </w:rPr>
        <w:t xml:space="preserve">人民法院起诉。 </w:t>
      </w:r>
    </w:p>
    <w:p w14:paraId="1ACE4BA9">
      <w:pPr>
        <w:widowControl/>
        <w:spacing w:line="460" w:lineRule="exact"/>
        <w:ind w:firstLine="0" w:firstLineChars="0"/>
        <w:jc w:val="center"/>
        <w:rPr>
          <w:rFonts w:ascii="宋体" w:hAnsi="宋体" w:cs="宋体"/>
          <w:b/>
          <w:sz w:val="32"/>
          <w:szCs w:val="32"/>
          <w:highlight w:val="none"/>
        </w:rPr>
      </w:pPr>
      <w:r>
        <w:rPr>
          <w:rFonts w:hint="eastAsia" w:ascii="宋体" w:hAnsi="宋体" w:cs="宋体"/>
          <w:b/>
          <w:sz w:val="32"/>
          <w:szCs w:val="32"/>
          <w:highlight w:val="none"/>
        </w:rPr>
        <w:br w:type="page"/>
      </w:r>
      <w:r>
        <w:rPr>
          <w:rFonts w:hint="eastAsia" w:ascii="宋体" w:hAnsi="宋体" w:cs="宋体"/>
          <w:b/>
          <w:sz w:val="32"/>
          <w:szCs w:val="32"/>
          <w:highlight w:val="none"/>
        </w:rPr>
        <w:t>工程质量保修书</w:t>
      </w:r>
    </w:p>
    <w:p w14:paraId="3B9BEABA">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发包人（全称）：</w:t>
      </w:r>
      <w:r>
        <w:rPr>
          <w:rFonts w:hint="eastAsia" w:ascii="宋体" w:hAnsi="宋体" w:cs="宋体"/>
          <w:bCs/>
          <w:highlight w:val="none"/>
          <w:u w:val="single"/>
        </w:rPr>
        <w:t xml:space="preserve">                   </w:t>
      </w:r>
      <w:r>
        <w:rPr>
          <w:rFonts w:hint="eastAsia" w:ascii="宋体" w:hAnsi="宋体" w:cs="宋体"/>
          <w:highlight w:val="none"/>
        </w:rPr>
        <w:t xml:space="preserve">             </w:t>
      </w:r>
    </w:p>
    <w:p w14:paraId="4A939117">
      <w:pPr>
        <w:widowControl/>
        <w:spacing w:line="460" w:lineRule="exact"/>
        <w:ind w:firstLine="420" w:firstLineChars="200"/>
        <w:jc w:val="left"/>
        <w:rPr>
          <w:rFonts w:ascii="宋体" w:hAnsi="宋体" w:cs="宋体"/>
          <w:highlight w:val="none"/>
        </w:rPr>
      </w:pPr>
      <w:r>
        <w:rPr>
          <w:rFonts w:hint="eastAsia" w:ascii="宋体" w:hAnsi="宋体" w:cs="宋体"/>
          <w:highlight w:val="none"/>
        </w:rPr>
        <w:t>承包人（全称）：</w:t>
      </w:r>
      <w:r>
        <w:rPr>
          <w:rFonts w:hint="eastAsia" w:ascii="宋体" w:hAnsi="宋体" w:cs="宋体"/>
          <w:bCs/>
          <w:highlight w:val="none"/>
          <w:u w:val="single"/>
        </w:rPr>
        <w:t xml:space="preserve">                   </w:t>
      </w:r>
      <w:r>
        <w:rPr>
          <w:rFonts w:hint="eastAsia" w:ascii="宋体" w:hAnsi="宋体" w:cs="宋体"/>
          <w:highlight w:val="none"/>
        </w:rPr>
        <w:t xml:space="preserve"> </w:t>
      </w:r>
    </w:p>
    <w:p w14:paraId="1E2FA360">
      <w:pPr>
        <w:widowControl/>
        <w:spacing w:line="460" w:lineRule="exact"/>
        <w:ind w:firstLine="420" w:firstLineChars="200"/>
        <w:jc w:val="left"/>
        <w:rPr>
          <w:rFonts w:ascii="宋体" w:hAnsi="宋体" w:cs="宋体"/>
          <w:highlight w:val="none"/>
        </w:rPr>
      </w:pPr>
      <w:r>
        <w:rPr>
          <w:rFonts w:hint="eastAsia" w:ascii="宋体" w:hAnsi="宋体" w:cs="宋体"/>
          <w:highlight w:val="none"/>
        </w:rPr>
        <w:t>发包人、实施单位和承包人根据《中华人民共和国建筑法》和《建设工程质量管理条例》，经协商一致就</w:t>
      </w:r>
      <w:r>
        <w:rPr>
          <w:rFonts w:hint="eastAsia" w:ascii="宋体" w:hAnsi="宋体" w:cs="宋体"/>
          <w:highlight w:val="none"/>
          <w:u w:val="single"/>
          <w:lang w:eastAsia="zh-CN"/>
        </w:rPr>
        <w:t>盐城亭湖新区实验小学操场维修改造项目</w:t>
      </w:r>
      <w:r>
        <w:rPr>
          <w:rFonts w:hint="eastAsia" w:ascii="宋体" w:hAnsi="宋体" w:cs="宋体"/>
          <w:highlight w:val="none"/>
        </w:rPr>
        <w:t>（工程</w:t>
      </w:r>
      <w:r>
        <w:rPr>
          <w:rFonts w:hint="eastAsia" w:ascii="宋体" w:hAnsi="宋体" w:cs="宋体"/>
          <w:highlight w:val="none"/>
        </w:rPr>
        <w:t xml:space="preserve">全称）签订工程质量保修书。 </w:t>
      </w:r>
    </w:p>
    <w:p w14:paraId="4E2B863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一、工程质量保修范围和内容 </w:t>
      </w:r>
    </w:p>
    <w:p w14:paraId="4B51F27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承包人在质量保修期内，按照有关法律规定和合同约定，承担工程质量保修责任。 </w:t>
      </w:r>
    </w:p>
    <w:p w14:paraId="6E7F7296">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p>
    <w:p w14:paraId="308131D4">
      <w:pPr>
        <w:widowControl/>
        <w:spacing w:line="460" w:lineRule="exact"/>
        <w:ind w:firstLine="420" w:firstLineChars="200"/>
        <w:jc w:val="left"/>
        <w:rPr>
          <w:rFonts w:ascii="宋体" w:hAnsi="宋体" w:cs="宋体"/>
          <w:highlight w:val="none"/>
          <w:u w:val="single"/>
        </w:rPr>
      </w:pPr>
      <w:r>
        <w:rPr>
          <w:rFonts w:hint="eastAsia" w:ascii="宋体" w:hAnsi="宋体" w:cs="宋体"/>
          <w:highlight w:val="none"/>
          <w:u w:val="single"/>
        </w:rPr>
        <w:t xml:space="preserve">从该工程竣工验收合格之日起至该工程约定保修期满之日止为保修期。具体保修范围以承包人承揽工程项目一览表、工程量清单、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p>
    <w:p w14:paraId="3D65D6E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二、质量保修期 </w:t>
      </w:r>
    </w:p>
    <w:p w14:paraId="2A368E4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根据《建设工程质量管理条例》及有关规定，工程的质量保修期如下： </w:t>
      </w:r>
    </w:p>
    <w:p w14:paraId="5E75F636">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1．地基基础工程和主体结构工程为设计文件规定的工程合理使用年限； </w:t>
      </w:r>
    </w:p>
    <w:p w14:paraId="5103F800">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2．屋面防水工程、有防水要求的卫生间、房间和外墙面的防渗为5年； </w:t>
      </w:r>
    </w:p>
    <w:p w14:paraId="3B49F5A4">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3．装修工程为2年； </w:t>
      </w:r>
    </w:p>
    <w:p w14:paraId="1096617A">
      <w:pPr>
        <w:widowControl/>
        <w:spacing w:line="460" w:lineRule="exact"/>
        <w:ind w:firstLine="420" w:firstLineChars="200"/>
        <w:jc w:val="left"/>
        <w:rPr>
          <w:rFonts w:ascii="宋体" w:hAnsi="宋体" w:cs="宋体"/>
          <w:highlight w:val="none"/>
        </w:rPr>
      </w:pPr>
      <w:r>
        <w:rPr>
          <w:rFonts w:hint="eastAsia" w:ascii="宋体" w:hAnsi="宋体" w:cs="宋体"/>
          <w:highlight w:val="none"/>
        </w:rPr>
        <w:t>4．电气管线、给排水管道、设备安装工程为2年；</w:t>
      </w:r>
    </w:p>
    <w:p w14:paraId="6007CC66">
      <w:pPr>
        <w:widowControl/>
        <w:spacing w:line="460" w:lineRule="exact"/>
        <w:ind w:firstLine="420" w:firstLineChars="200"/>
        <w:jc w:val="left"/>
        <w:rPr>
          <w:rFonts w:ascii="宋体" w:hAnsi="宋体" w:cs="宋体"/>
          <w:highlight w:val="none"/>
        </w:rPr>
      </w:pPr>
      <w:r>
        <w:rPr>
          <w:rFonts w:hint="eastAsia" w:ascii="宋体" w:hAnsi="宋体" w:cs="宋体"/>
          <w:highlight w:val="none"/>
        </w:rPr>
        <w:t>5．供热与供冷系统为2个采暖期、供冷期；</w:t>
      </w:r>
    </w:p>
    <w:p w14:paraId="088742EE">
      <w:pPr>
        <w:widowControl/>
        <w:spacing w:line="460" w:lineRule="exact"/>
        <w:ind w:firstLine="420" w:firstLineChars="200"/>
        <w:jc w:val="left"/>
        <w:rPr>
          <w:rFonts w:ascii="宋体" w:hAnsi="宋体" w:cs="宋体"/>
          <w:highlight w:val="none"/>
        </w:rPr>
      </w:pPr>
      <w:r>
        <w:rPr>
          <w:rFonts w:hint="eastAsia" w:ascii="宋体" w:hAnsi="宋体" w:cs="宋体"/>
          <w:highlight w:val="none"/>
        </w:rPr>
        <w:t>6．其他项目保修期限约定如下：不少于2年。</w:t>
      </w:r>
    </w:p>
    <w:p w14:paraId="089AC0B5">
      <w:pPr>
        <w:widowControl/>
        <w:spacing w:line="460" w:lineRule="exact"/>
        <w:ind w:firstLine="420" w:firstLineChars="200"/>
        <w:jc w:val="left"/>
        <w:rPr>
          <w:rFonts w:ascii="宋体" w:hAnsi="宋体" w:cs="宋体"/>
          <w:highlight w:val="none"/>
        </w:rPr>
      </w:pPr>
      <w:r>
        <w:rPr>
          <w:rFonts w:hint="eastAsia" w:ascii="宋体" w:hAnsi="宋体" w:cs="宋体"/>
          <w:highlight w:val="none"/>
        </w:rPr>
        <w:t>质量保修期自工程竣工验收合格之日起计算。</w:t>
      </w:r>
    </w:p>
    <w:p w14:paraId="2367D637">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三、缺陷责任期 </w:t>
      </w:r>
    </w:p>
    <w:p w14:paraId="5ED85D4F">
      <w:pPr>
        <w:widowControl/>
        <w:spacing w:line="460" w:lineRule="exact"/>
        <w:ind w:firstLine="420" w:firstLineChars="200"/>
        <w:jc w:val="left"/>
        <w:rPr>
          <w:rFonts w:ascii="宋体" w:hAnsi="宋体" w:cs="宋体"/>
          <w:highlight w:val="none"/>
        </w:rPr>
      </w:pPr>
      <w:r>
        <w:rPr>
          <w:rFonts w:hint="eastAsia" w:ascii="宋体" w:hAnsi="宋体" w:cs="宋体"/>
          <w:highlight w:val="none"/>
        </w:rPr>
        <w:t>工程缺陷责任期为24个月，缺陷责任期自工程通过竣工验收之日起计算。单位工程先于全部工程进行验收，单位工程缺陷责任期自单位工程验收合格之日起算。</w:t>
      </w:r>
    </w:p>
    <w:p w14:paraId="24B02CDA">
      <w:pPr>
        <w:widowControl/>
        <w:spacing w:line="460" w:lineRule="exact"/>
        <w:ind w:firstLine="420" w:firstLineChars="200"/>
        <w:jc w:val="left"/>
        <w:rPr>
          <w:rFonts w:ascii="宋体" w:hAnsi="宋体" w:cs="宋体"/>
          <w:highlight w:val="none"/>
        </w:rPr>
      </w:pPr>
      <w:r>
        <w:rPr>
          <w:rFonts w:hint="eastAsia" w:ascii="宋体" w:hAnsi="宋体" w:cs="宋体"/>
          <w:highlight w:val="none"/>
        </w:rPr>
        <w:t>缺陷责任期终止后，发包人应退还剩余的质量保证金。</w:t>
      </w:r>
    </w:p>
    <w:p w14:paraId="6FDDB725">
      <w:pPr>
        <w:widowControl/>
        <w:spacing w:line="460" w:lineRule="exact"/>
        <w:ind w:firstLine="420" w:firstLineChars="200"/>
        <w:jc w:val="left"/>
        <w:rPr>
          <w:rFonts w:ascii="宋体" w:hAnsi="宋体" w:cs="宋体"/>
          <w:highlight w:val="none"/>
        </w:rPr>
      </w:pPr>
      <w:r>
        <w:rPr>
          <w:rFonts w:hint="eastAsia" w:ascii="宋体" w:hAnsi="宋体" w:cs="宋体"/>
          <w:highlight w:val="none"/>
        </w:rPr>
        <w:t>四、质量保修责任</w:t>
      </w:r>
    </w:p>
    <w:p w14:paraId="4F82AF16">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1．属于保修范围、内容的项目，承包人应当在接到保修通知之日起1天内派人保修。承包人不在约定期限内派人保修的，发包人可以委托他人修理。 </w:t>
      </w:r>
    </w:p>
    <w:p w14:paraId="2EA0F79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2．发生紧急事故需抢修的，承包人在接到事故通知后，应当立即到达事故现场抢修。 </w:t>
      </w:r>
    </w:p>
    <w:p w14:paraId="4A67A28A">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A762858">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4．质量保修完成后，由发包人组织验收。 </w:t>
      </w:r>
    </w:p>
    <w:p w14:paraId="17E87477">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五、保修费用 </w:t>
      </w:r>
    </w:p>
    <w:p w14:paraId="2D41328D">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保修费用由造成质量缺陷的责任方承担。 </w:t>
      </w:r>
    </w:p>
    <w:p w14:paraId="0ECD1B49">
      <w:pPr>
        <w:widowControl/>
        <w:spacing w:line="460" w:lineRule="exact"/>
        <w:ind w:firstLine="420" w:firstLineChars="200"/>
        <w:jc w:val="left"/>
        <w:rPr>
          <w:rFonts w:ascii="宋体" w:hAnsi="宋体" w:cs="宋体"/>
          <w:highlight w:val="none"/>
        </w:rPr>
      </w:pPr>
      <w:r>
        <w:rPr>
          <w:rFonts w:hint="eastAsia" w:ascii="宋体" w:hAnsi="宋体" w:cs="宋体"/>
          <w:highlight w:val="none"/>
        </w:rPr>
        <w:t xml:space="preserve">六、双方约定的其他工程质量保修事项： </w:t>
      </w:r>
    </w:p>
    <w:p w14:paraId="338E14A9">
      <w:pPr>
        <w:widowControl/>
        <w:spacing w:line="460" w:lineRule="exact"/>
        <w:ind w:firstLine="420" w:firstLineChars="200"/>
        <w:jc w:val="left"/>
        <w:rPr>
          <w:rFonts w:ascii="宋体" w:hAnsi="宋体" w:cs="宋体"/>
          <w:highlight w:val="none"/>
        </w:rPr>
      </w:pPr>
      <w:r>
        <w:rPr>
          <w:rFonts w:hint="eastAsia" w:ascii="宋体" w:hAnsi="宋体" w:cs="宋体"/>
          <w:highlight w:val="none"/>
        </w:rPr>
        <w:t>工程质量保修书由发包人、承包人在工程竣工验收前共同签署，作为施工合同附件，其有效期限至保修期满。</w:t>
      </w:r>
    </w:p>
    <w:p w14:paraId="10F35A77">
      <w:pPr>
        <w:widowControl/>
        <w:ind w:firstLine="420" w:firstLineChars="200"/>
        <w:jc w:val="left"/>
        <w:rPr>
          <w:rFonts w:ascii="宋体" w:hAnsi="宋体" w:cs="宋体"/>
          <w:highlight w:val="none"/>
        </w:rPr>
      </w:pPr>
    </w:p>
    <w:p w14:paraId="4AB136CB">
      <w:pPr>
        <w:widowControl/>
        <w:spacing w:line="276" w:lineRule="auto"/>
        <w:ind w:firstLine="420" w:firstLineChars="200"/>
        <w:jc w:val="left"/>
        <w:rPr>
          <w:rFonts w:ascii="宋体" w:hAnsi="宋体" w:cs="宋体"/>
          <w:highlight w:val="none"/>
        </w:rPr>
      </w:pPr>
      <w:r>
        <w:rPr>
          <w:rFonts w:hint="eastAsia" w:ascii="宋体" w:hAnsi="宋体" w:cs="宋体"/>
          <w:highlight w:val="none"/>
        </w:rPr>
        <w:t xml:space="preserve">发包人(公章)：                         承包人(公章)： </w:t>
      </w:r>
    </w:p>
    <w:p w14:paraId="3FA663CE">
      <w:pPr>
        <w:widowControl/>
        <w:spacing w:line="276" w:lineRule="auto"/>
        <w:ind w:firstLine="420" w:firstLineChars="200"/>
        <w:jc w:val="left"/>
        <w:rPr>
          <w:rFonts w:ascii="宋体" w:hAnsi="宋体" w:cs="宋体"/>
          <w:highlight w:val="none"/>
        </w:rPr>
      </w:pPr>
      <w:r>
        <w:rPr>
          <w:rFonts w:hint="eastAsia" w:ascii="宋体" w:hAnsi="宋体" w:cs="宋体"/>
          <w:highlight w:val="none"/>
        </w:rPr>
        <w:t xml:space="preserve">地 址：                                地 址： </w:t>
      </w:r>
    </w:p>
    <w:p w14:paraId="5F4FCB5D">
      <w:pPr>
        <w:widowControl/>
        <w:spacing w:line="276" w:lineRule="auto"/>
        <w:ind w:firstLine="420" w:firstLineChars="200"/>
        <w:jc w:val="left"/>
        <w:rPr>
          <w:rFonts w:ascii="宋体" w:hAnsi="宋体" w:cs="宋体"/>
          <w:highlight w:val="none"/>
        </w:rPr>
      </w:pPr>
      <w:r>
        <w:rPr>
          <w:rFonts w:hint="eastAsia" w:ascii="宋体" w:hAnsi="宋体" w:cs="宋体"/>
          <w:highlight w:val="none"/>
        </w:rPr>
        <w:t xml:space="preserve">法定代表人(签字)：                     法定代表人(签字)： </w:t>
      </w:r>
    </w:p>
    <w:p w14:paraId="4D9D96B1">
      <w:pPr>
        <w:widowControl/>
        <w:spacing w:line="276" w:lineRule="auto"/>
        <w:ind w:firstLine="420" w:firstLineChars="200"/>
        <w:jc w:val="left"/>
        <w:rPr>
          <w:rFonts w:ascii="宋体" w:hAnsi="宋体" w:cs="宋体"/>
          <w:highlight w:val="none"/>
        </w:rPr>
      </w:pPr>
      <w:r>
        <w:rPr>
          <w:rFonts w:hint="eastAsia" w:ascii="宋体" w:hAnsi="宋体" w:cs="宋体"/>
          <w:highlight w:val="none"/>
        </w:rPr>
        <w:t xml:space="preserve">委托代理人(签字)：                     委托代理人(签字)： </w:t>
      </w:r>
    </w:p>
    <w:p w14:paraId="04264670">
      <w:pPr>
        <w:widowControl/>
        <w:spacing w:line="276" w:lineRule="auto"/>
        <w:ind w:firstLine="420" w:firstLineChars="200"/>
        <w:jc w:val="left"/>
        <w:rPr>
          <w:rFonts w:ascii="宋体" w:hAnsi="宋体" w:cs="宋体"/>
          <w:highlight w:val="none"/>
        </w:rPr>
      </w:pPr>
      <w:r>
        <w:rPr>
          <w:rFonts w:hint="eastAsia" w:ascii="宋体" w:hAnsi="宋体" w:cs="宋体"/>
          <w:highlight w:val="none"/>
        </w:rPr>
        <w:t xml:space="preserve">电 话：                                电 话： </w:t>
      </w:r>
    </w:p>
    <w:p w14:paraId="29D389C7">
      <w:pPr>
        <w:widowControl/>
        <w:spacing w:line="276" w:lineRule="auto"/>
        <w:ind w:firstLine="420" w:firstLineChars="200"/>
        <w:jc w:val="left"/>
        <w:rPr>
          <w:rFonts w:ascii="宋体" w:hAnsi="宋体" w:cs="宋体"/>
          <w:highlight w:val="none"/>
        </w:rPr>
      </w:pPr>
      <w:r>
        <w:rPr>
          <w:rFonts w:hint="eastAsia" w:ascii="宋体" w:hAnsi="宋体" w:cs="宋体"/>
          <w:highlight w:val="none"/>
        </w:rPr>
        <w:t xml:space="preserve">传 真：                                传 真： </w:t>
      </w:r>
    </w:p>
    <w:p w14:paraId="788E9336">
      <w:pPr>
        <w:widowControl/>
        <w:spacing w:line="276" w:lineRule="auto"/>
        <w:ind w:firstLine="420" w:firstLineChars="200"/>
        <w:jc w:val="left"/>
        <w:rPr>
          <w:rFonts w:ascii="宋体" w:hAnsi="宋体" w:cs="宋体"/>
          <w:highlight w:val="none"/>
        </w:rPr>
      </w:pPr>
      <w:r>
        <w:rPr>
          <w:rFonts w:hint="eastAsia" w:ascii="宋体" w:hAnsi="宋体" w:cs="宋体"/>
          <w:highlight w:val="none"/>
        </w:rPr>
        <w:t xml:space="preserve">开户银行：                             开户银行： </w:t>
      </w:r>
    </w:p>
    <w:p w14:paraId="4BEC65EC">
      <w:pPr>
        <w:widowControl/>
        <w:spacing w:line="276" w:lineRule="auto"/>
        <w:ind w:firstLine="420" w:firstLineChars="200"/>
        <w:jc w:val="left"/>
        <w:rPr>
          <w:rFonts w:ascii="宋体" w:hAnsi="宋体" w:cs="宋体"/>
          <w:highlight w:val="none"/>
        </w:rPr>
      </w:pPr>
      <w:r>
        <w:rPr>
          <w:rFonts w:hint="eastAsia" w:ascii="宋体" w:hAnsi="宋体" w:cs="宋体"/>
          <w:highlight w:val="none"/>
        </w:rPr>
        <w:t xml:space="preserve">账 号：                                账 号： </w:t>
      </w:r>
    </w:p>
    <w:p w14:paraId="21B59FFF">
      <w:pPr>
        <w:pStyle w:val="20"/>
        <w:snapToGrid w:val="0"/>
        <w:spacing w:before="120" w:after="120" w:line="276" w:lineRule="auto"/>
        <w:ind w:firstLine="420" w:firstLineChars="200"/>
        <w:rPr>
          <w:rFonts w:hAnsi="宋体"/>
          <w:b/>
          <w:sz w:val="36"/>
          <w:szCs w:val="36"/>
          <w:highlight w:val="none"/>
        </w:rPr>
      </w:pPr>
      <w:r>
        <w:rPr>
          <w:rFonts w:hint="eastAsia" w:hAnsi="宋体" w:cs="宋体"/>
          <w:highlight w:val="none"/>
        </w:rPr>
        <w:t>邮政编码：                             邮政编码：</w:t>
      </w:r>
    </w:p>
    <w:p w14:paraId="4497028F">
      <w:pPr>
        <w:spacing w:line="360" w:lineRule="auto"/>
        <w:ind w:firstLine="420" w:firstLineChars="200"/>
        <w:jc w:val="left"/>
        <w:rPr>
          <w:kern w:val="44"/>
          <w:highlight w:val="none"/>
        </w:rPr>
      </w:pPr>
      <w:r>
        <w:rPr>
          <w:rFonts w:hint="eastAsia"/>
          <w:kern w:val="44"/>
          <w:highlight w:val="none"/>
        </w:rPr>
        <w:t xml:space="preserve">年 月 日 </w:t>
      </w:r>
    </w:p>
    <w:p w14:paraId="241A533A">
      <w:pPr>
        <w:spacing w:line="360" w:lineRule="auto"/>
        <w:jc w:val="left"/>
        <w:rPr>
          <w:kern w:val="44"/>
          <w:highlight w:val="none"/>
        </w:rPr>
      </w:pPr>
    </w:p>
    <w:p w14:paraId="1B1B3B63">
      <w:pPr>
        <w:pStyle w:val="39"/>
        <w:ind w:left="0" w:leftChars="0" w:firstLine="0" w:firstLineChars="0"/>
        <w:rPr>
          <w:rFonts w:hint="eastAsia"/>
          <w:highlight w:val="none"/>
        </w:rPr>
      </w:pPr>
    </w:p>
    <w:p w14:paraId="2E49D4E2">
      <w:pPr>
        <w:pStyle w:val="4"/>
        <w:spacing w:before="0" w:after="0" w:line="360" w:lineRule="auto"/>
        <w:rPr>
          <w:rFonts w:hint="eastAsia" w:ascii="黑体" w:eastAsia="黑体" w:cs="Arial"/>
          <w:bCs/>
          <w:color w:val="000000" w:themeColor="text1"/>
          <w:szCs w:val="44"/>
          <w:highlight w:val="none"/>
          <w14:textFill>
            <w14:solidFill>
              <w14:schemeClr w14:val="tx1"/>
            </w14:solidFill>
          </w14:textFill>
        </w:rPr>
      </w:pPr>
    </w:p>
    <w:p w14:paraId="31180468">
      <w:pPr>
        <w:pStyle w:val="4"/>
        <w:spacing w:before="0" w:after="0" w:line="360" w:lineRule="auto"/>
        <w:rPr>
          <w:rFonts w:hint="eastAsia" w:ascii="黑体" w:eastAsia="黑体" w:cs="Arial"/>
          <w:bCs/>
          <w:color w:val="000000" w:themeColor="text1"/>
          <w:szCs w:val="44"/>
          <w:highlight w:val="none"/>
          <w14:textFill>
            <w14:solidFill>
              <w14:schemeClr w14:val="tx1"/>
            </w14:solidFill>
          </w14:textFill>
        </w:rPr>
      </w:pPr>
    </w:p>
    <w:p w14:paraId="28C4867A">
      <w:pPr>
        <w:pStyle w:val="4"/>
        <w:spacing w:before="0" w:after="0" w:line="360" w:lineRule="auto"/>
        <w:rPr>
          <w:rFonts w:hint="eastAsia" w:ascii="黑体" w:eastAsia="黑体" w:cs="Arial"/>
          <w:bCs/>
          <w:color w:val="000000" w:themeColor="text1"/>
          <w:szCs w:val="44"/>
          <w:highlight w:val="none"/>
          <w14:textFill>
            <w14:solidFill>
              <w14:schemeClr w14:val="tx1"/>
            </w14:solidFill>
          </w14:textFill>
        </w:rPr>
      </w:pPr>
    </w:p>
    <w:p w14:paraId="604207A8">
      <w:pPr>
        <w:rPr>
          <w:rFonts w:hint="eastAsia" w:ascii="黑体" w:eastAsia="黑体" w:cs="Arial"/>
          <w:bCs/>
          <w:color w:val="000000" w:themeColor="text1"/>
          <w:szCs w:val="44"/>
          <w:highlight w:val="none"/>
          <w14:textFill>
            <w14:solidFill>
              <w14:schemeClr w14:val="tx1"/>
            </w14:solidFill>
          </w14:textFill>
        </w:rPr>
      </w:pPr>
    </w:p>
    <w:p w14:paraId="7510B5C2">
      <w:pPr>
        <w:pStyle w:val="39"/>
        <w:rPr>
          <w:rFonts w:hint="eastAsia" w:ascii="黑体" w:eastAsia="黑体" w:cs="Arial"/>
          <w:bCs/>
          <w:color w:val="000000" w:themeColor="text1"/>
          <w:szCs w:val="44"/>
          <w:highlight w:val="none"/>
          <w14:textFill>
            <w14:solidFill>
              <w14:schemeClr w14:val="tx1"/>
            </w14:solidFill>
          </w14:textFill>
        </w:rPr>
      </w:pPr>
    </w:p>
    <w:p w14:paraId="0A2F6471">
      <w:pPr>
        <w:rPr>
          <w:rFonts w:hint="eastAsia" w:ascii="黑体" w:eastAsia="黑体" w:cs="Arial"/>
          <w:bCs/>
          <w:color w:val="000000" w:themeColor="text1"/>
          <w:szCs w:val="44"/>
          <w:highlight w:val="none"/>
          <w14:textFill>
            <w14:solidFill>
              <w14:schemeClr w14:val="tx1"/>
            </w14:solidFill>
          </w14:textFill>
        </w:rPr>
      </w:pPr>
    </w:p>
    <w:p w14:paraId="71F5E48D">
      <w:pPr>
        <w:pStyle w:val="39"/>
        <w:rPr>
          <w:rFonts w:hint="eastAsia" w:ascii="黑体" w:eastAsia="黑体" w:cs="Arial"/>
          <w:bCs/>
          <w:color w:val="000000" w:themeColor="text1"/>
          <w:szCs w:val="44"/>
          <w:highlight w:val="none"/>
          <w14:textFill>
            <w14:solidFill>
              <w14:schemeClr w14:val="tx1"/>
            </w14:solidFill>
          </w14:textFill>
        </w:rPr>
      </w:pPr>
    </w:p>
    <w:p w14:paraId="448D849B">
      <w:pPr>
        <w:rPr>
          <w:rFonts w:hint="eastAsia" w:ascii="黑体" w:eastAsia="黑体" w:cs="Arial"/>
          <w:bCs/>
          <w:color w:val="000000" w:themeColor="text1"/>
          <w:szCs w:val="44"/>
          <w:highlight w:val="none"/>
          <w14:textFill>
            <w14:solidFill>
              <w14:schemeClr w14:val="tx1"/>
            </w14:solidFill>
          </w14:textFill>
        </w:rPr>
      </w:pPr>
    </w:p>
    <w:p w14:paraId="5647CB40">
      <w:pPr>
        <w:pStyle w:val="39"/>
        <w:rPr>
          <w:rFonts w:hint="eastAsia" w:ascii="黑体" w:eastAsia="黑体" w:cs="Arial"/>
          <w:bCs/>
          <w:color w:val="000000" w:themeColor="text1"/>
          <w:szCs w:val="44"/>
          <w:highlight w:val="none"/>
          <w14:textFill>
            <w14:solidFill>
              <w14:schemeClr w14:val="tx1"/>
            </w14:solidFill>
          </w14:textFill>
        </w:rPr>
      </w:pPr>
    </w:p>
    <w:p w14:paraId="41D93070">
      <w:pPr>
        <w:rPr>
          <w:rFonts w:hint="eastAsia" w:ascii="黑体" w:eastAsia="黑体" w:cs="Arial"/>
          <w:bCs/>
          <w:color w:val="000000" w:themeColor="text1"/>
          <w:szCs w:val="44"/>
          <w:highlight w:val="none"/>
          <w14:textFill>
            <w14:solidFill>
              <w14:schemeClr w14:val="tx1"/>
            </w14:solidFill>
          </w14:textFill>
        </w:rPr>
      </w:pPr>
    </w:p>
    <w:p w14:paraId="143B0F67">
      <w:pPr>
        <w:pStyle w:val="39"/>
        <w:rPr>
          <w:rFonts w:hint="eastAsia" w:ascii="黑体" w:eastAsia="黑体" w:cs="Arial"/>
          <w:bCs/>
          <w:color w:val="000000" w:themeColor="text1"/>
          <w:szCs w:val="44"/>
          <w:highlight w:val="none"/>
          <w14:textFill>
            <w14:solidFill>
              <w14:schemeClr w14:val="tx1"/>
            </w14:solidFill>
          </w14:textFill>
        </w:rPr>
      </w:pPr>
    </w:p>
    <w:p w14:paraId="4F05FD4D">
      <w:pPr>
        <w:rPr>
          <w:rFonts w:hint="eastAsia" w:ascii="黑体" w:eastAsia="黑体" w:cs="Arial"/>
          <w:bCs/>
          <w:color w:val="000000" w:themeColor="text1"/>
          <w:szCs w:val="44"/>
          <w:highlight w:val="none"/>
          <w14:textFill>
            <w14:solidFill>
              <w14:schemeClr w14:val="tx1"/>
            </w14:solidFill>
          </w14:textFill>
        </w:rPr>
      </w:pPr>
    </w:p>
    <w:p w14:paraId="1CE3647D">
      <w:pPr>
        <w:rPr>
          <w:rFonts w:hint="eastAsia" w:ascii="黑体" w:eastAsia="黑体" w:cs="Arial"/>
          <w:bCs/>
          <w:color w:val="000000" w:themeColor="text1"/>
          <w:szCs w:val="44"/>
          <w:highlight w:val="none"/>
          <w14:textFill>
            <w14:solidFill>
              <w14:schemeClr w14:val="tx1"/>
            </w14:solidFill>
          </w14:textFill>
        </w:rPr>
      </w:pPr>
    </w:p>
    <w:p w14:paraId="4D53BAFA">
      <w:pPr>
        <w:rPr>
          <w:rFonts w:hint="eastAsia" w:ascii="黑体" w:eastAsia="黑体" w:cs="Arial"/>
          <w:bCs/>
          <w:color w:val="000000" w:themeColor="text1"/>
          <w:szCs w:val="44"/>
          <w:highlight w:val="none"/>
          <w14:textFill>
            <w14:solidFill>
              <w14:schemeClr w14:val="tx1"/>
            </w14:solidFill>
          </w14:textFill>
        </w:rPr>
        <w:sectPr>
          <w:footerReference r:id="rId14" w:type="default"/>
          <w:pgSz w:w="11906" w:h="16838"/>
          <w:pgMar w:top="1015" w:right="1196" w:bottom="868" w:left="1259" w:header="851" w:footer="907" w:gutter="0"/>
          <w:pgNumType w:fmt="decimal"/>
          <w:cols w:space="720" w:num="1"/>
          <w:docGrid w:type="lines" w:linePitch="286" w:charSpace="0"/>
        </w:sectPr>
      </w:pPr>
    </w:p>
    <w:p w14:paraId="0B35CA0B">
      <w:pPr>
        <w:pStyle w:val="2"/>
        <w:rPr>
          <w:rFonts w:hint="eastAsia"/>
          <w:highlight w:val="none"/>
        </w:rPr>
      </w:pPr>
    </w:p>
    <w:p w14:paraId="65B8B814">
      <w:pPr>
        <w:pStyle w:val="4"/>
        <w:numPr>
          <w:ilvl w:val="0"/>
          <w:numId w:val="6"/>
        </w:numPr>
        <w:spacing w:before="0" w:after="0" w:line="360" w:lineRule="auto"/>
        <w:rPr>
          <w:rFonts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t xml:space="preserve"> 项目需求</w:t>
      </w:r>
    </w:p>
    <w:p w14:paraId="6283E667">
      <w:pPr>
        <w:pStyle w:val="100"/>
        <w:keepNext w:val="0"/>
        <w:keepLines w:val="0"/>
        <w:pageBreakBefore w:val="0"/>
        <w:kinsoku/>
        <w:wordWrap/>
        <w:overflowPunct/>
        <w:topLinePunct w:val="0"/>
        <w:autoSpaceDE/>
        <w:autoSpaceDN/>
        <w:bidi w:val="0"/>
        <w:adjustRightInd/>
        <w:snapToGrid/>
        <w:spacing w:line="520" w:lineRule="exact"/>
        <w:ind w:firstLine="482" w:firstLineChars="200"/>
        <w:jc w:val="left"/>
        <w:textAlignment w:val="auto"/>
        <w:rPr>
          <w:rFonts w:ascii="宋体" w:hAnsi="宋体" w:cs="宋体"/>
          <w:b/>
          <w:color w:val="auto"/>
          <w:kern w:val="0"/>
          <w:sz w:val="24"/>
          <w:szCs w:val="24"/>
          <w:highlight w:val="none"/>
        </w:rPr>
      </w:pPr>
      <w:bookmarkStart w:id="133" w:name="_Toc23828480"/>
      <w:bookmarkStart w:id="134" w:name="_Toc26554097"/>
      <w:bookmarkStart w:id="135" w:name="_Toc61149622"/>
      <w:r>
        <w:rPr>
          <w:rFonts w:hint="eastAsia" w:ascii="宋体" w:hAnsi="宋体" w:cs="宋体"/>
          <w:b/>
          <w:color w:val="auto"/>
          <w:kern w:val="0"/>
          <w:sz w:val="24"/>
          <w:szCs w:val="24"/>
          <w:highlight w:val="none"/>
          <w:lang w:val="en-US" w:eastAsia="zh-CN"/>
        </w:rPr>
        <w:t>一、</w:t>
      </w:r>
      <w:r>
        <w:rPr>
          <w:rFonts w:hint="eastAsia" w:ascii="宋体" w:hAnsi="宋体" w:cs="宋体"/>
          <w:b/>
          <w:color w:val="auto"/>
          <w:kern w:val="0"/>
          <w:sz w:val="24"/>
          <w:szCs w:val="24"/>
          <w:highlight w:val="none"/>
        </w:rPr>
        <w:t>项目概况</w:t>
      </w:r>
    </w:p>
    <w:p w14:paraId="7DD93B87">
      <w:pPr>
        <w:pStyle w:val="100"/>
        <w:keepNext w:val="0"/>
        <w:keepLines w:val="0"/>
        <w:pageBreakBefore w:val="0"/>
        <w:kinsoku/>
        <w:wordWrap/>
        <w:overflowPunct/>
        <w:topLinePunct w:val="0"/>
        <w:autoSpaceDE/>
        <w:autoSpaceDN/>
        <w:bidi w:val="0"/>
        <w:adjustRightInd/>
        <w:snapToGrid/>
        <w:spacing w:line="520" w:lineRule="exact"/>
        <w:ind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1、采购人：</w:t>
      </w:r>
      <w:r>
        <w:rPr>
          <w:rFonts w:hint="eastAsia" w:ascii="宋体" w:hAnsi="宋体" w:cs="宋体"/>
          <w:color w:val="auto"/>
          <w:sz w:val="24"/>
          <w:szCs w:val="24"/>
          <w:highlight w:val="none"/>
          <w:lang w:eastAsia="zh-CN"/>
        </w:rPr>
        <w:t>盐城亭湖新区实验小学</w:t>
      </w:r>
      <w:r>
        <w:rPr>
          <w:rFonts w:hint="eastAsia" w:ascii="宋体" w:hAnsi="宋体" w:cs="宋体"/>
          <w:color w:val="auto"/>
          <w:sz w:val="24"/>
          <w:szCs w:val="24"/>
          <w:highlight w:val="none"/>
        </w:rPr>
        <w:t>。</w:t>
      </w:r>
    </w:p>
    <w:p w14:paraId="47E6B747">
      <w:pPr>
        <w:pStyle w:val="100"/>
        <w:keepNext w:val="0"/>
        <w:keepLines w:val="0"/>
        <w:pageBreakBefore w:val="0"/>
        <w:kinsoku/>
        <w:wordWrap/>
        <w:overflowPunct/>
        <w:topLinePunct w:val="0"/>
        <w:autoSpaceDE/>
        <w:autoSpaceDN/>
        <w:bidi w:val="0"/>
        <w:adjustRightInd/>
        <w:snapToGrid/>
        <w:spacing w:line="520" w:lineRule="exact"/>
        <w:ind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2、项目名称：</w:t>
      </w:r>
      <w:r>
        <w:rPr>
          <w:rFonts w:hint="eastAsia" w:ascii="宋体" w:hAnsi="宋体" w:cs="宋体"/>
          <w:color w:val="auto"/>
          <w:sz w:val="24"/>
          <w:szCs w:val="24"/>
          <w:highlight w:val="none"/>
          <w:lang w:eastAsia="zh-CN"/>
        </w:rPr>
        <w:t>盐城亭湖新区实验小学操场维修改造项目</w:t>
      </w:r>
      <w:r>
        <w:rPr>
          <w:rFonts w:hint="eastAsia" w:ascii="宋体" w:hAnsi="宋体" w:cs="宋体"/>
          <w:color w:val="auto"/>
          <w:sz w:val="24"/>
          <w:szCs w:val="24"/>
          <w:highlight w:val="none"/>
        </w:rPr>
        <w:t>。</w:t>
      </w:r>
    </w:p>
    <w:p w14:paraId="63BF8B17">
      <w:pPr>
        <w:pStyle w:val="100"/>
        <w:keepNext w:val="0"/>
        <w:keepLines w:val="0"/>
        <w:pageBreakBefore w:val="0"/>
        <w:kinsoku/>
        <w:wordWrap/>
        <w:overflowPunct/>
        <w:topLinePunct w:val="0"/>
        <w:autoSpaceDE/>
        <w:autoSpaceDN/>
        <w:bidi w:val="0"/>
        <w:adjustRightInd/>
        <w:snapToGrid/>
        <w:spacing w:line="520" w:lineRule="exact"/>
        <w:ind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3、采购方式：竞争性磋商</w:t>
      </w:r>
    </w:p>
    <w:p w14:paraId="5C839BDC">
      <w:pPr>
        <w:pStyle w:val="100"/>
        <w:keepNext w:val="0"/>
        <w:keepLines w:val="0"/>
        <w:pageBreakBefore w:val="0"/>
        <w:kinsoku/>
        <w:wordWrap/>
        <w:overflowPunct/>
        <w:topLinePunct w:val="0"/>
        <w:autoSpaceDE/>
        <w:autoSpaceDN/>
        <w:bidi w:val="0"/>
        <w:adjustRightInd/>
        <w:snapToGrid/>
        <w:spacing w:line="520" w:lineRule="exact"/>
        <w:ind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、项目地点：位于江苏省盐城市亭湖区长亭路 9 号，</w:t>
      </w:r>
      <w:r>
        <w:rPr>
          <w:rFonts w:hint="eastAsia" w:ascii="宋体" w:hAnsi="宋体" w:cs="宋体"/>
          <w:color w:val="auto"/>
          <w:sz w:val="24"/>
          <w:szCs w:val="24"/>
          <w:highlight w:val="none"/>
          <w:lang w:eastAsia="zh-CN"/>
        </w:rPr>
        <w:t>盐城亭湖新区实验小学</w:t>
      </w:r>
      <w:r>
        <w:rPr>
          <w:rFonts w:hint="eastAsia" w:ascii="宋体" w:hAnsi="宋体" w:cs="宋体"/>
          <w:color w:val="auto"/>
          <w:sz w:val="24"/>
          <w:szCs w:val="24"/>
          <w:highlight w:val="none"/>
        </w:rPr>
        <w:t>内。</w:t>
      </w:r>
    </w:p>
    <w:p w14:paraId="6B161F38">
      <w:pPr>
        <w:pStyle w:val="100"/>
        <w:keepNext w:val="0"/>
        <w:keepLines w:val="0"/>
        <w:pageBreakBefore w:val="0"/>
        <w:kinsoku/>
        <w:wordWrap/>
        <w:overflowPunct/>
        <w:topLinePunct w:val="0"/>
        <w:autoSpaceDE/>
        <w:autoSpaceDN/>
        <w:bidi w:val="0"/>
        <w:adjustRightInd/>
        <w:snapToGrid/>
        <w:spacing w:line="520" w:lineRule="exact"/>
        <w:ind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、采购需求：</w:t>
      </w:r>
      <w:r>
        <w:rPr>
          <w:rFonts w:hint="eastAsia" w:ascii="宋体" w:hAnsi="宋体" w:cs="宋体"/>
          <w:color w:val="auto"/>
          <w:sz w:val="24"/>
          <w:szCs w:val="24"/>
          <w:highlight w:val="none"/>
          <w:lang w:eastAsia="zh-CN"/>
        </w:rPr>
        <w:t>盐城亭湖新区实验小学操场维修改造项目</w:t>
      </w:r>
      <w:r>
        <w:rPr>
          <w:rFonts w:hint="eastAsia" w:ascii="宋体" w:hAnsi="宋体" w:cs="宋体"/>
          <w:color w:val="auto"/>
          <w:sz w:val="24"/>
          <w:szCs w:val="24"/>
          <w:highlight w:val="none"/>
        </w:rPr>
        <w:t>主要包括:</w:t>
      </w:r>
      <w:r>
        <w:rPr>
          <w:rFonts w:hint="eastAsia" w:ascii="宋体" w:hAnsi="宋体" w:cs="宋体"/>
          <w:color w:val="auto"/>
          <w:sz w:val="24"/>
          <w:szCs w:val="24"/>
          <w:highlight w:val="none"/>
        </w:rPr>
        <w:t>原塑胶跑道拆除出新、AI50米测试仪、体测机等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改造面积约为11000平方米</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根据《政府采购品目分类目录》，本项目所属品目名称:市政公用设施施工(编码:B02130100)。</w:t>
      </w:r>
    </w:p>
    <w:p w14:paraId="7F98F070">
      <w:pPr>
        <w:pStyle w:val="100"/>
        <w:keepNext w:val="0"/>
        <w:keepLines w:val="0"/>
        <w:pageBreakBefore w:val="0"/>
        <w:kinsoku/>
        <w:wordWrap/>
        <w:overflowPunct/>
        <w:topLinePunct w:val="0"/>
        <w:autoSpaceDE/>
        <w:autoSpaceDN/>
        <w:bidi w:val="0"/>
        <w:adjustRightInd/>
        <w:snapToGrid/>
        <w:spacing w:line="520" w:lineRule="exact"/>
        <w:ind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、工期（供货期）：</w:t>
      </w:r>
      <w:r>
        <w:rPr>
          <w:rFonts w:hint="eastAsia" w:ascii="宋体" w:hAnsi="宋体" w:cs="宋体"/>
          <w:color w:val="auto"/>
          <w:sz w:val="24"/>
          <w:szCs w:val="24"/>
          <w:highlight w:val="none"/>
        </w:rPr>
        <w:t>总工期</w:t>
      </w:r>
      <w:r>
        <w:rPr>
          <w:rFonts w:hint="eastAsia" w:ascii="宋体" w:hAnsi="宋体" w:cs="宋体"/>
          <w:color w:val="auto"/>
          <w:sz w:val="24"/>
          <w:szCs w:val="24"/>
          <w:highlight w:val="none"/>
          <w:lang w:val="en-US" w:eastAsia="zh-CN"/>
        </w:rPr>
        <w:t>30天</w:t>
      </w:r>
      <w:r>
        <w:rPr>
          <w:rFonts w:hint="eastAsia" w:ascii="宋体" w:hAnsi="宋体" w:cs="宋体"/>
          <w:color w:val="auto"/>
          <w:sz w:val="24"/>
          <w:szCs w:val="24"/>
          <w:highlight w:val="none"/>
        </w:rPr>
        <w:t>，具体开工日期以采购人的书面通知为准</w:t>
      </w:r>
      <w:r>
        <w:rPr>
          <w:rFonts w:hint="eastAsia" w:ascii="宋体" w:hAnsi="宋体" w:cs="宋体"/>
          <w:color w:val="auto"/>
          <w:sz w:val="24"/>
          <w:szCs w:val="24"/>
          <w:highlight w:val="none"/>
        </w:rPr>
        <w:t>。</w:t>
      </w:r>
    </w:p>
    <w:p w14:paraId="6205E20E">
      <w:pPr>
        <w:pStyle w:val="100"/>
        <w:keepNext w:val="0"/>
        <w:keepLines w:val="0"/>
        <w:pageBreakBefore w:val="0"/>
        <w:kinsoku/>
        <w:wordWrap/>
        <w:overflowPunct/>
        <w:topLinePunct w:val="0"/>
        <w:autoSpaceDE/>
        <w:autoSpaceDN/>
        <w:bidi w:val="0"/>
        <w:adjustRightInd/>
        <w:snapToGrid/>
        <w:spacing w:line="520" w:lineRule="exact"/>
        <w:ind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、质量标准：国家“合格”标准</w:t>
      </w:r>
    </w:p>
    <w:p w14:paraId="2FD5C421">
      <w:pPr>
        <w:pStyle w:val="100"/>
        <w:keepNext w:val="0"/>
        <w:keepLines w:val="0"/>
        <w:pageBreakBefore w:val="0"/>
        <w:kinsoku/>
        <w:wordWrap/>
        <w:overflowPunct/>
        <w:topLinePunct w:val="0"/>
        <w:autoSpaceDE/>
        <w:autoSpaceDN/>
        <w:bidi w:val="0"/>
        <w:adjustRightInd/>
        <w:snapToGrid/>
        <w:spacing w:line="520" w:lineRule="exact"/>
        <w:ind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施工要求的质量标准：满足本项目工程招标人的设计任务书的质量要求及相关功能并符合各项质量标准、各项参数指标及相关技术要求，符合现行国家施工及验收规范要求，符合国家“合格”标准。</w:t>
      </w:r>
    </w:p>
    <w:p w14:paraId="22C30D15">
      <w:pPr>
        <w:widowControl/>
        <w:spacing w:line="480" w:lineRule="exact"/>
        <w:ind w:firstLine="482" w:firstLineChars="200"/>
        <w:jc w:val="left"/>
        <w:rPr>
          <w:rFonts w:ascii="宋体" w:hAnsi="宋体"/>
          <w:b/>
          <w:sz w:val="24"/>
          <w:highlight w:val="none"/>
        </w:rPr>
      </w:pPr>
      <w:r>
        <w:rPr>
          <w:rFonts w:hint="eastAsia" w:ascii="宋体" w:hAnsi="宋体"/>
          <w:b/>
          <w:sz w:val="24"/>
          <w:highlight w:val="none"/>
          <w:lang w:val="en-US" w:eastAsia="zh-CN"/>
        </w:rPr>
        <w:t>二</w:t>
      </w:r>
      <w:r>
        <w:rPr>
          <w:rFonts w:hint="eastAsia" w:ascii="宋体" w:hAnsi="宋体"/>
          <w:b/>
          <w:sz w:val="24"/>
          <w:highlight w:val="none"/>
        </w:rPr>
        <w:t>、最高限价</w:t>
      </w:r>
    </w:p>
    <w:p w14:paraId="53513178">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1.投标人（投标供应商）的投标报价不得超过最高限价。</w:t>
      </w:r>
    </w:p>
    <w:p w14:paraId="6C50FCD6">
      <w:pPr>
        <w:adjustRightInd w:val="0"/>
        <w:snapToGrid w:val="0"/>
        <w:spacing w:line="480" w:lineRule="exact"/>
        <w:ind w:firstLine="480" w:firstLineChars="200"/>
        <w:rPr>
          <w:rFonts w:ascii="宋体" w:hAnsi="宋体" w:cs="宋体"/>
          <w:sz w:val="24"/>
          <w:highlight w:val="none"/>
        </w:rPr>
      </w:pPr>
      <w:r>
        <w:rPr>
          <w:rFonts w:hint="eastAsia" w:ascii="宋体" w:hAnsi="宋体" w:cs="宋体"/>
          <w:sz w:val="24"/>
          <w:highlight w:val="none"/>
        </w:rPr>
        <w:t>2.本工程采用增值税一般计税方法。按照招标文件（含工程量清单）、《建设工程工程量清单计价规范》（GB50500-2013）、《房屋建筑与装饰工程工程量计算规范》（GB50854-2013）及《市政工程工程量计算规范》（GB50857-2013）等工程量计算规范……（以下简称《工程量计算规范》）；《江苏省建筑与装饰工程计价定额（2014版）》《江苏省</w:t>
      </w:r>
      <w:r>
        <w:rPr>
          <w:rFonts w:hint="eastAsia" w:ascii="宋体" w:hAnsi="宋体" w:cs="宋体"/>
          <w:sz w:val="24"/>
          <w:highlight w:val="none"/>
          <w:lang w:val="en-US" w:eastAsia="zh-CN"/>
        </w:rPr>
        <w:t>市政与安装</w:t>
      </w:r>
      <w:r>
        <w:rPr>
          <w:rFonts w:hint="eastAsia" w:ascii="宋体" w:hAnsi="宋体" w:cs="宋体"/>
          <w:sz w:val="24"/>
          <w:highlight w:val="none"/>
        </w:rPr>
        <w:t>工程计价定额（2014版）》……（以下简称《计价定额》）、2014年《江苏省建设工程费用定额》（以下简称《费用定额》）、关于营改增后工程计价依据调整内容（苏建价[2016]154号）及省住房城乡建设厅关于调整建设工程计价增值税税率的通知（苏建函价〔2019〕178号）、盐市建价字[2018]29号文</w:t>
      </w:r>
      <w:r>
        <w:rPr>
          <w:rFonts w:hint="eastAsia" w:ascii="宋体" w:hAnsi="宋体" w:cs="宋体"/>
          <w:sz w:val="24"/>
          <w:highlight w:val="none"/>
        </w:rPr>
        <w:t>、</w:t>
      </w:r>
      <w:r>
        <w:rPr>
          <w:rFonts w:hint="eastAsia"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5</w:t>
      </w:r>
      <w:r>
        <w:rPr>
          <w:rFonts w:hint="eastAsia" w:ascii="宋体" w:hAnsi="宋体" w:cs="宋体"/>
          <w:sz w:val="24"/>
          <w:highlight w:val="none"/>
        </w:rPr>
        <w:t>月《盐城工程造价》</w:t>
      </w:r>
      <w:r>
        <w:rPr>
          <w:rFonts w:hint="eastAsia" w:ascii="宋体" w:hAnsi="宋体" w:cs="宋体"/>
          <w:sz w:val="24"/>
          <w:highlight w:val="none"/>
        </w:rPr>
        <w:t>、施工现场情况、工程特点及常规施工方案、相关计价文件的规定，计算出分部分项工程费、措施项目费、其他项目费、规费、税金等确定工程预算价，根据工程预算价确定最高限价。</w:t>
      </w:r>
    </w:p>
    <w:p w14:paraId="7B3D31D0">
      <w:pPr>
        <w:tabs>
          <w:tab w:val="left" w:pos="790"/>
        </w:tabs>
        <w:adjustRightInd w:val="0"/>
        <w:snapToGrid w:val="0"/>
        <w:spacing w:line="480" w:lineRule="exact"/>
        <w:ind w:left="420" w:leftChars="200"/>
        <w:rPr>
          <w:rFonts w:ascii="宋体" w:hAnsi="宋体"/>
          <w:sz w:val="24"/>
          <w:highlight w:val="none"/>
        </w:rPr>
      </w:pPr>
      <w:r>
        <w:rPr>
          <w:rFonts w:hint="eastAsia" w:ascii="宋体" w:hAnsi="宋体"/>
          <w:sz w:val="24"/>
          <w:highlight w:val="none"/>
        </w:rPr>
        <w:t>一般计税方法单位工程费用计费程序如下：</w:t>
      </w:r>
    </w:p>
    <w:p w14:paraId="1F8D8E9A">
      <w:pPr>
        <w:autoSpaceDN w:val="0"/>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（1）分部分项工程费    人工费+材料费+施工机具使用费+管理费+利润</w:t>
      </w:r>
    </w:p>
    <w:p w14:paraId="0B8ED3EC">
      <w:pPr>
        <w:tabs>
          <w:tab w:val="left" w:pos="790"/>
        </w:tabs>
        <w:adjustRightInd w:val="0"/>
        <w:snapToGrid w:val="0"/>
        <w:spacing w:line="480" w:lineRule="exact"/>
        <w:ind w:left="420" w:leftChars="200"/>
        <w:rPr>
          <w:rFonts w:ascii="宋体" w:hAnsi="宋体"/>
          <w:sz w:val="24"/>
          <w:highlight w:val="none"/>
        </w:rPr>
      </w:pPr>
      <w:r>
        <w:rPr>
          <w:rFonts w:hint="eastAsia" w:ascii="宋体" w:hAnsi="宋体"/>
          <w:sz w:val="24"/>
          <w:highlight w:val="none"/>
        </w:rPr>
        <w:t>其中：人工费            人工消耗量×人工单价</w:t>
      </w:r>
    </w:p>
    <w:p w14:paraId="55D63F38">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 xml:space="preserve">      材料费用          材料消耗量×除税材料单价</w:t>
      </w:r>
    </w:p>
    <w:p w14:paraId="662AE03D">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 xml:space="preserve">      施工机具使用费    机械消耗量×除税机械单价</w:t>
      </w:r>
    </w:p>
    <w:p w14:paraId="49BF0933">
      <w:pPr>
        <w:adjustRightInd w:val="0"/>
        <w:snapToGrid w:val="0"/>
        <w:spacing w:line="480" w:lineRule="exact"/>
        <w:ind w:firstLine="515"/>
        <w:rPr>
          <w:rFonts w:ascii="宋体" w:hAnsi="宋体"/>
          <w:spacing w:val="-3"/>
          <w:sz w:val="24"/>
          <w:highlight w:val="none"/>
        </w:rPr>
      </w:pPr>
      <w:r>
        <w:rPr>
          <w:rFonts w:hint="eastAsia" w:ascii="宋体" w:hAnsi="宋体"/>
          <w:sz w:val="24"/>
          <w:highlight w:val="none"/>
        </w:rPr>
        <w:t xml:space="preserve">      管理费            按《费用定额》及苏建价[2016]154号计取</w:t>
      </w:r>
    </w:p>
    <w:p w14:paraId="2720E992">
      <w:pPr>
        <w:adjustRightInd w:val="0"/>
        <w:snapToGrid w:val="0"/>
        <w:spacing w:line="480" w:lineRule="exact"/>
        <w:ind w:firstLine="515"/>
        <w:rPr>
          <w:rFonts w:ascii="宋体" w:hAnsi="宋体"/>
          <w:spacing w:val="-3"/>
          <w:sz w:val="24"/>
          <w:highlight w:val="none"/>
        </w:rPr>
      </w:pPr>
      <w:r>
        <w:rPr>
          <w:rFonts w:hint="eastAsia" w:ascii="宋体" w:hAnsi="宋体"/>
          <w:sz w:val="24"/>
          <w:highlight w:val="none"/>
        </w:rPr>
        <w:t xml:space="preserve">      利润              按《费用定额》及苏建价[2016]154号计取</w:t>
      </w:r>
    </w:p>
    <w:p w14:paraId="50395AEA">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（2）措施项目费         单价措施项目费+总价措施项目费</w:t>
      </w:r>
    </w:p>
    <w:p w14:paraId="271789D1">
      <w:pPr>
        <w:tabs>
          <w:tab w:val="left" w:pos="790"/>
        </w:tabs>
        <w:adjustRightInd w:val="0"/>
        <w:snapToGrid w:val="0"/>
        <w:spacing w:line="480" w:lineRule="exact"/>
        <w:ind w:firstLine="1200" w:firstLineChars="500"/>
        <w:rPr>
          <w:rFonts w:ascii="宋体" w:hAnsi="宋体"/>
          <w:sz w:val="24"/>
          <w:highlight w:val="none"/>
        </w:rPr>
      </w:pPr>
      <w:r>
        <w:rPr>
          <w:rFonts w:hint="eastAsia" w:ascii="宋体" w:hAnsi="宋体"/>
          <w:sz w:val="24"/>
          <w:highlight w:val="none"/>
        </w:rPr>
        <w:t>单价措施项目费    清单工程量×除税综合单价</w:t>
      </w:r>
    </w:p>
    <w:p w14:paraId="45CA3E39">
      <w:pPr>
        <w:tabs>
          <w:tab w:val="left" w:pos="790"/>
        </w:tabs>
        <w:adjustRightInd w:val="0"/>
        <w:snapToGrid w:val="0"/>
        <w:spacing w:line="480" w:lineRule="exact"/>
        <w:ind w:left="3597" w:leftChars="570" w:hanging="2400" w:hangingChars="1000"/>
        <w:rPr>
          <w:rFonts w:ascii="宋体" w:hAnsi="宋体"/>
          <w:sz w:val="24"/>
          <w:highlight w:val="none"/>
        </w:rPr>
      </w:pPr>
      <w:r>
        <w:rPr>
          <w:rFonts w:hint="eastAsia" w:ascii="宋体" w:hAnsi="宋体"/>
          <w:sz w:val="24"/>
          <w:highlight w:val="none"/>
        </w:rPr>
        <w:t>总价措施项目费   （分部分项工程费+单价措施项目费-除税工程设备费）×费率或以项计费</w:t>
      </w:r>
    </w:p>
    <w:p w14:paraId="75B214EF">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（3）其他项目费           详见工程量清单。</w:t>
      </w:r>
    </w:p>
    <w:p w14:paraId="7D14BA9A">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（4）规费   （分部分项工程费+措施项目费+其他项目费-除税工程设备费）×费率</w:t>
      </w:r>
    </w:p>
    <w:p w14:paraId="36CFBDB5">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其中：</w:t>
      </w:r>
    </w:p>
    <w:p w14:paraId="4DD470AD">
      <w:pPr>
        <w:tabs>
          <w:tab w:val="left" w:pos="790"/>
        </w:tabs>
        <w:adjustRightInd w:val="0"/>
        <w:snapToGrid w:val="0"/>
        <w:spacing w:line="480" w:lineRule="exact"/>
        <w:ind w:left="3313" w:leftChars="206" w:right="-105" w:rightChars="-50" w:hanging="2880" w:hangingChars="1200"/>
        <w:rPr>
          <w:rFonts w:ascii="宋体" w:hAnsi="宋体"/>
          <w:sz w:val="24"/>
          <w:highlight w:val="none"/>
        </w:rPr>
      </w:pPr>
      <w:r>
        <w:rPr>
          <w:rFonts w:hint="eastAsia" w:ascii="宋体" w:hAnsi="宋体"/>
          <w:sz w:val="24"/>
          <w:highlight w:val="none"/>
        </w:rPr>
        <w:t>环境保护税         （暂按0.1%标准计取，工程竣工结算时按税务部门规定的</w:t>
      </w:r>
    </w:p>
    <w:p w14:paraId="07986A7C">
      <w:pPr>
        <w:tabs>
          <w:tab w:val="left" w:pos="790"/>
        </w:tabs>
        <w:adjustRightInd w:val="0"/>
        <w:snapToGrid w:val="0"/>
        <w:spacing w:line="480" w:lineRule="exact"/>
        <w:ind w:left="2983" w:leftChars="1306" w:right="-105" w:rightChars="-50" w:hanging="240" w:hangingChars="100"/>
        <w:rPr>
          <w:rFonts w:ascii="宋体" w:hAnsi="宋体"/>
          <w:sz w:val="24"/>
          <w:highlight w:val="none"/>
        </w:rPr>
      </w:pPr>
      <w:r>
        <w:rPr>
          <w:rFonts w:hint="eastAsia" w:ascii="宋体" w:hAnsi="宋体"/>
          <w:sz w:val="24"/>
          <w:highlight w:val="none"/>
        </w:rPr>
        <w:t>缴纳标准，按实计取列入工程造价）。</w:t>
      </w:r>
    </w:p>
    <w:p w14:paraId="419329F1">
      <w:pPr>
        <w:tabs>
          <w:tab w:val="left" w:pos="790"/>
        </w:tabs>
        <w:adjustRightInd w:val="0"/>
        <w:snapToGrid w:val="0"/>
        <w:spacing w:line="480" w:lineRule="exact"/>
        <w:jc w:val="left"/>
        <w:rPr>
          <w:rFonts w:ascii="宋体" w:hAnsi="宋体"/>
          <w:spacing w:val="-20"/>
          <w:sz w:val="24"/>
          <w:highlight w:val="none"/>
        </w:rPr>
      </w:pPr>
      <w:r>
        <w:rPr>
          <w:rFonts w:hint="eastAsia" w:ascii="宋体" w:hAnsi="宋体"/>
          <w:sz w:val="24"/>
          <w:highlight w:val="none"/>
        </w:rPr>
        <w:t xml:space="preserve">    社会保险费          执行《费用定额》及苏建价[2016]154号规定的费率</w:t>
      </w:r>
    </w:p>
    <w:p w14:paraId="5CF16CE0">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住房公积金          执行《费用定额》及苏建价[2016]154号规定的费率</w:t>
      </w:r>
    </w:p>
    <w:p w14:paraId="180F2485">
      <w:pPr>
        <w:tabs>
          <w:tab w:val="left" w:pos="790"/>
        </w:tabs>
        <w:adjustRightInd w:val="0"/>
        <w:snapToGrid w:val="0"/>
        <w:spacing w:line="480" w:lineRule="exact"/>
        <w:ind w:left="3300" w:leftChars="200" w:hanging="2880" w:hangingChars="1200"/>
        <w:rPr>
          <w:rFonts w:ascii="宋体" w:hAnsi="宋体"/>
          <w:sz w:val="24"/>
          <w:highlight w:val="none"/>
        </w:rPr>
      </w:pPr>
      <w:r>
        <w:rPr>
          <w:rFonts w:hint="eastAsia" w:ascii="宋体" w:hAnsi="宋体"/>
          <w:sz w:val="24"/>
          <w:highlight w:val="none"/>
        </w:rPr>
        <w:t>（5）税金             （分部分项工程费+措施项目费+其他项目费+规费-（除税甲供材料费+除税甲供设备费）/1.01）×税率</w:t>
      </w:r>
    </w:p>
    <w:p w14:paraId="7D231DD8">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（6）合 价             分部分项工程费+措施项目费+其他项目费+规费－</w:t>
      </w:r>
    </w:p>
    <w:p w14:paraId="4DDD26AC">
      <w:pPr>
        <w:adjustRightInd w:val="0"/>
        <w:snapToGrid w:val="0"/>
        <w:spacing w:line="480" w:lineRule="exact"/>
        <w:ind w:firstLine="3120" w:firstLineChars="1300"/>
        <w:rPr>
          <w:rFonts w:ascii="宋体" w:hAnsi="宋体"/>
          <w:sz w:val="24"/>
          <w:highlight w:val="none"/>
        </w:rPr>
      </w:pPr>
      <w:r>
        <w:rPr>
          <w:rFonts w:hint="eastAsia" w:ascii="宋体" w:hAnsi="宋体"/>
          <w:sz w:val="24"/>
          <w:highlight w:val="none"/>
        </w:rPr>
        <w:t>（除税甲供材料费+除税甲供设备费）/1.01+税金</w:t>
      </w:r>
    </w:p>
    <w:p w14:paraId="1C06843D">
      <w:pPr>
        <w:adjustRightInd w:val="0"/>
        <w:snapToGrid w:val="0"/>
        <w:spacing w:line="480" w:lineRule="exact"/>
        <w:ind w:firstLine="482" w:firstLineChars="200"/>
        <w:rPr>
          <w:rFonts w:ascii="宋体" w:hAnsi="宋体"/>
          <w:sz w:val="24"/>
          <w:highlight w:val="none"/>
        </w:rPr>
      </w:pPr>
      <w:r>
        <w:rPr>
          <w:rFonts w:hint="eastAsia" w:ascii="宋体" w:hAnsi="宋体"/>
          <w:b/>
          <w:sz w:val="24"/>
          <w:highlight w:val="none"/>
        </w:rPr>
        <w:t>说明：</w:t>
      </w:r>
    </w:p>
    <w:p w14:paraId="68D2000A">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（一）分部分项工程费部分</w:t>
      </w:r>
    </w:p>
    <w:p w14:paraId="6B0E7301">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1．工程类别：按《费用定额》中的“工程类别划分”执行。</w:t>
      </w:r>
    </w:p>
    <w:p w14:paraId="34D7918B">
      <w:pPr>
        <w:tabs>
          <w:tab w:val="left" w:pos="790"/>
        </w:tabs>
        <w:adjustRightInd w:val="0"/>
        <w:snapToGrid w:val="0"/>
        <w:spacing w:line="480" w:lineRule="exact"/>
        <w:ind w:firstLine="480" w:firstLineChars="200"/>
        <w:jc w:val="left"/>
        <w:rPr>
          <w:rFonts w:ascii="宋体" w:hAnsi="宋体"/>
          <w:sz w:val="24"/>
          <w:highlight w:val="none"/>
        </w:rPr>
      </w:pPr>
      <w:r>
        <w:rPr>
          <w:rFonts w:hint="eastAsia" w:ascii="宋体" w:hAnsi="宋体"/>
          <w:sz w:val="24"/>
          <w:highlight w:val="none"/>
        </w:rPr>
        <w:t>2．工程量按GB50500-2013《建设工程工程量清单计价规范》、《工程量计算规范》、《费用定额》、《计价定额》及施工图纸等计算。</w:t>
      </w:r>
    </w:p>
    <w:p w14:paraId="67D7AC5C">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3．人工工资单价执</w:t>
      </w:r>
      <w:r>
        <w:rPr>
          <w:rFonts w:hint="eastAsia" w:ascii="宋体" w:hAnsi="宋体"/>
          <w:sz w:val="24"/>
          <w:highlight w:val="none"/>
        </w:rPr>
        <w:t>行苏建函价(202</w:t>
      </w:r>
      <w:r>
        <w:rPr>
          <w:rFonts w:hint="eastAsia" w:ascii="宋体" w:hAnsi="宋体"/>
          <w:sz w:val="24"/>
          <w:highlight w:val="none"/>
          <w:lang w:val="en-US" w:eastAsia="zh-CN"/>
        </w:rPr>
        <w:t>6</w:t>
      </w:r>
      <w:r>
        <w:rPr>
          <w:rFonts w:hint="eastAsia" w:ascii="宋体" w:hAnsi="宋体"/>
          <w:sz w:val="24"/>
          <w:highlight w:val="none"/>
        </w:rPr>
        <w:t>)</w:t>
      </w:r>
      <w:r>
        <w:rPr>
          <w:rFonts w:hint="eastAsia" w:ascii="宋体" w:hAnsi="宋体"/>
          <w:sz w:val="24"/>
          <w:highlight w:val="none"/>
          <w:lang w:val="en-US" w:eastAsia="zh-CN"/>
        </w:rPr>
        <w:t>27</w:t>
      </w:r>
      <w:r>
        <w:rPr>
          <w:rFonts w:hint="eastAsia" w:ascii="宋体" w:hAnsi="宋体"/>
          <w:sz w:val="24"/>
          <w:highlight w:val="none"/>
        </w:rPr>
        <w:t>号。</w:t>
      </w:r>
    </w:p>
    <w:p w14:paraId="4080B2A6">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4．材料和工程设备单价执</w:t>
      </w:r>
      <w:r>
        <w:rPr>
          <w:rFonts w:hint="eastAsia" w:ascii="宋体" w:hAnsi="宋体"/>
          <w:sz w:val="24"/>
          <w:highlight w:val="none"/>
        </w:rPr>
        <w:t>行</w:t>
      </w:r>
      <w:r>
        <w:rPr>
          <w:rFonts w:hint="eastAsia" w:ascii="宋体" w:hAnsi="宋体"/>
          <w:sz w:val="24"/>
          <w:highlight w:val="none"/>
          <w:u w:val="single"/>
        </w:rPr>
        <w:t>202</w:t>
      </w:r>
      <w:r>
        <w:rPr>
          <w:rFonts w:hint="eastAsia" w:ascii="宋体" w:hAnsi="宋体"/>
          <w:sz w:val="24"/>
          <w:highlight w:val="none"/>
          <w:u w:val="single"/>
          <w:lang w:val="en-US" w:eastAsia="zh-CN"/>
        </w:rPr>
        <w:t>6</w:t>
      </w:r>
      <w:r>
        <w:rPr>
          <w:rFonts w:hint="eastAsia" w:ascii="宋体" w:hAnsi="宋体"/>
          <w:sz w:val="24"/>
          <w:highlight w:val="none"/>
          <w:u w:val="single"/>
        </w:rPr>
        <w:t>年</w:t>
      </w:r>
      <w:r>
        <w:rPr>
          <w:rFonts w:hint="eastAsia" w:ascii="宋体" w:hAnsi="宋体"/>
          <w:sz w:val="24"/>
          <w:highlight w:val="none"/>
          <w:u w:val="single"/>
          <w:lang w:val="en-US" w:eastAsia="zh-CN"/>
        </w:rPr>
        <w:t>5</w:t>
      </w:r>
      <w:r>
        <w:rPr>
          <w:rFonts w:hint="eastAsia" w:ascii="宋体" w:hAnsi="宋体"/>
          <w:sz w:val="24"/>
          <w:highlight w:val="none"/>
          <w:u w:val="single"/>
        </w:rPr>
        <w:t>月</w:t>
      </w:r>
      <w:r>
        <w:rPr>
          <w:rFonts w:hint="eastAsia" w:ascii="宋体" w:hAnsi="宋体"/>
          <w:sz w:val="24"/>
          <w:highlight w:val="none"/>
        </w:rPr>
        <w:t>《盐城工程</w:t>
      </w:r>
      <w:r>
        <w:rPr>
          <w:rFonts w:hint="eastAsia" w:ascii="宋体" w:hAnsi="宋体"/>
          <w:sz w:val="24"/>
          <w:highlight w:val="none"/>
        </w:rPr>
        <w:t>造价》建材信息价和《材料（工程设备）暂估单价及调整表》中的暂定价格，无建材信息价和暂定价格的，参照《盐城工程造价》建材市场参考价和材料当前市场价格。</w:t>
      </w:r>
    </w:p>
    <w:p w14:paraId="200D7190">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5．机械单价中燃料费执</w:t>
      </w:r>
      <w:r>
        <w:rPr>
          <w:rFonts w:hint="eastAsia" w:ascii="宋体" w:hAnsi="宋体"/>
          <w:sz w:val="24"/>
          <w:highlight w:val="none"/>
        </w:rPr>
        <w:t>行</w:t>
      </w:r>
      <w:r>
        <w:rPr>
          <w:rFonts w:hint="eastAsia" w:ascii="宋体" w:hAnsi="宋体"/>
          <w:sz w:val="24"/>
          <w:highlight w:val="none"/>
          <w:u w:val="single"/>
        </w:rPr>
        <w:t>202</w:t>
      </w:r>
      <w:r>
        <w:rPr>
          <w:rFonts w:hint="eastAsia" w:ascii="宋体" w:hAnsi="宋体"/>
          <w:sz w:val="24"/>
          <w:highlight w:val="none"/>
          <w:u w:val="single"/>
          <w:lang w:val="en-US" w:eastAsia="zh-CN"/>
        </w:rPr>
        <w:t>6</w:t>
      </w:r>
      <w:r>
        <w:rPr>
          <w:rFonts w:hint="eastAsia" w:ascii="宋体" w:hAnsi="宋体"/>
          <w:sz w:val="24"/>
          <w:highlight w:val="none"/>
          <w:u w:val="single"/>
        </w:rPr>
        <w:t>年</w:t>
      </w:r>
      <w:r>
        <w:rPr>
          <w:rFonts w:hint="eastAsia" w:ascii="宋体" w:hAnsi="宋体"/>
          <w:sz w:val="24"/>
          <w:highlight w:val="none"/>
          <w:u w:val="single"/>
          <w:lang w:val="en-US" w:eastAsia="zh-CN"/>
        </w:rPr>
        <w:t>5</w:t>
      </w:r>
      <w:r>
        <w:rPr>
          <w:rFonts w:hint="eastAsia" w:ascii="宋体" w:hAnsi="宋体"/>
          <w:sz w:val="24"/>
          <w:highlight w:val="none"/>
          <w:u w:val="single"/>
        </w:rPr>
        <w:t>月</w:t>
      </w:r>
      <w:r>
        <w:rPr>
          <w:rFonts w:hint="eastAsia" w:ascii="宋体" w:hAnsi="宋体"/>
          <w:sz w:val="24"/>
          <w:highlight w:val="none"/>
        </w:rPr>
        <w:t>《盐城</w:t>
      </w:r>
      <w:r>
        <w:rPr>
          <w:rFonts w:hint="eastAsia" w:ascii="宋体" w:hAnsi="宋体"/>
          <w:sz w:val="24"/>
          <w:highlight w:val="none"/>
        </w:rPr>
        <w:t>工程造价》建材信息价。</w:t>
      </w:r>
    </w:p>
    <w:p w14:paraId="21836092">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6．企业管理费按《费用定额》及苏建价[2016]154号中的“企业管理费和利润取费标准表”中相应单位工程的标准计取。</w:t>
      </w:r>
    </w:p>
    <w:p w14:paraId="5F9DB182">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7．利润率：按《费用定额》及苏建价[2016]154号中的“企业管理费和利润取费标准表”中相应单位工程的标准计取。</w:t>
      </w:r>
    </w:p>
    <w:p w14:paraId="2112A685">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8．风险费率：采购人编制预算价时不予考虑，投标供应商可结合自身实力将风险费自行考虑进入报价。</w:t>
      </w:r>
    </w:p>
    <w:p w14:paraId="33F5F9F8">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（二）措施项目费</w:t>
      </w:r>
    </w:p>
    <w:p w14:paraId="6DF652DA">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（一）单价措施项目：</w:t>
      </w:r>
    </w:p>
    <w:p w14:paraId="1D281C72">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详见工程量清单。</w:t>
      </w:r>
    </w:p>
    <w:p w14:paraId="3D80F966">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（二）总价措施项目</w:t>
      </w:r>
    </w:p>
    <w:p w14:paraId="67EB4D3A">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一）通用的总价措施项目费：</w:t>
      </w:r>
    </w:p>
    <w:p w14:paraId="20D9B86C">
      <w:pPr>
        <w:spacing w:line="480" w:lineRule="exact"/>
        <w:ind w:firstLine="480" w:firstLineChars="200"/>
        <w:rPr>
          <w:rFonts w:ascii="宋体" w:hAnsi="宋体" w:cs="宋体"/>
          <w:sz w:val="24"/>
          <w:highlight w:val="none"/>
        </w:rPr>
      </w:pPr>
      <w:r>
        <w:rPr>
          <w:rFonts w:hint="eastAsia" w:ascii="宋体" w:hAnsi="宋体" w:cs="宋体"/>
          <w:sz w:val="24"/>
          <w:highlight w:val="none"/>
        </w:rPr>
        <w:t xml:space="preserve"> 1、安全文明施工措施费：该费用为不可竞争费，在最高限价编制和投标报价中应根据文件规定足额计取。</w:t>
      </w:r>
    </w:p>
    <w:p w14:paraId="586390D9">
      <w:pPr>
        <w:spacing w:line="480" w:lineRule="exact"/>
        <w:ind w:firstLine="480" w:firstLineChars="200"/>
        <w:rPr>
          <w:rFonts w:ascii="宋体" w:hAnsi="宋体" w:cs="宋体"/>
          <w:sz w:val="24"/>
          <w:highlight w:val="none"/>
        </w:rPr>
      </w:pPr>
      <w:r>
        <w:rPr>
          <w:rFonts w:hint="eastAsia" w:ascii="宋体" w:hAnsi="宋体" w:cs="宋体"/>
          <w:sz w:val="24"/>
          <w:highlight w:val="none"/>
        </w:rPr>
        <w:t>根据《费用定额》内容的规定，本招标工程的现场安全文明施工措施费标准如下表（表中项目名称及省级标化增加费可选择使用）：</w:t>
      </w:r>
    </w:p>
    <w:tbl>
      <w:tblPr>
        <w:tblStyle w:val="40"/>
        <w:tblW w:w="4675" w:type="pct"/>
        <w:jc w:val="center"/>
        <w:tblLayout w:type="autofit"/>
        <w:tblCellMar>
          <w:top w:w="0" w:type="dxa"/>
          <w:left w:w="0" w:type="dxa"/>
          <w:bottom w:w="0" w:type="dxa"/>
          <w:right w:w="0" w:type="dxa"/>
        </w:tblCellMar>
      </w:tblPr>
      <w:tblGrid>
        <w:gridCol w:w="510"/>
        <w:gridCol w:w="1996"/>
        <w:gridCol w:w="1769"/>
        <w:gridCol w:w="1354"/>
        <w:gridCol w:w="1508"/>
        <w:gridCol w:w="1810"/>
      </w:tblGrid>
      <w:tr w14:paraId="46F4F9CE">
        <w:tblPrEx>
          <w:tblCellMar>
            <w:top w:w="0" w:type="dxa"/>
            <w:left w:w="0" w:type="dxa"/>
            <w:bottom w:w="0" w:type="dxa"/>
            <w:right w:w="0" w:type="dxa"/>
          </w:tblCellMar>
        </w:tblPrEx>
        <w:trPr>
          <w:trHeight w:val="559" w:hRule="atLeast"/>
          <w:jc w:val="center"/>
        </w:trPr>
        <w:tc>
          <w:tcPr>
            <w:tcW w:w="285"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7C513862">
            <w:pPr>
              <w:widowControl/>
              <w:spacing w:line="480" w:lineRule="exact"/>
              <w:jc w:val="center"/>
              <w:rPr>
                <w:rFonts w:ascii="宋体" w:hAnsi="宋体" w:cs="宋体"/>
                <w:color w:val="000000"/>
                <w:kern w:val="0"/>
                <w:highlight w:val="none"/>
              </w:rPr>
            </w:pPr>
            <w:r>
              <w:rPr>
                <w:rFonts w:hint="eastAsia" w:ascii="宋体" w:hAnsi="宋体" w:cs="宋体"/>
                <w:color w:val="000000"/>
                <w:kern w:val="0"/>
                <w:sz w:val="24"/>
                <w:highlight w:val="none"/>
              </w:rPr>
              <w:t>序号</w:t>
            </w:r>
          </w:p>
        </w:tc>
        <w:tc>
          <w:tcPr>
            <w:tcW w:w="1115"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A6A45EE">
            <w:pPr>
              <w:widowControl/>
              <w:spacing w:line="480" w:lineRule="exact"/>
              <w:jc w:val="center"/>
              <w:rPr>
                <w:rFonts w:ascii="宋体" w:hAnsi="宋体" w:cs="宋体"/>
                <w:color w:val="000000"/>
                <w:kern w:val="0"/>
                <w:highlight w:val="none"/>
              </w:rPr>
            </w:pPr>
            <w:r>
              <w:rPr>
                <w:rFonts w:hint="eastAsia" w:ascii="宋体" w:hAnsi="宋体" w:cs="宋体"/>
                <w:color w:val="000000"/>
                <w:kern w:val="0"/>
                <w:sz w:val="24"/>
                <w:highlight w:val="none"/>
              </w:rPr>
              <w:t>项目名称</w:t>
            </w:r>
          </w:p>
        </w:tc>
        <w:tc>
          <w:tcPr>
            <w:tcW w:w="988"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6557F0C">
            <w:pPr>
              <w:widowControl/>
              <w:spacing w:line="480" w:lineRule="exact"/>
              <w:jc w:val="center"/>
              <w:rPr>
                <w:rFonts w:ascii="宋体" w:hAnsi="宋体" w:cs="宋体"/>
                <w:color w:val="000000"/>
                <w:kern w:val="0"/>
                <w:highlight w:val="none"/>
              </w:rPr>
            </w:pPr>
            <w:r>
              <w:rPr>
                <w:rFonts w:hint="eastAsia" w:ascii="宋体" w:hAnsi="宋体" w:cs="宋体"/>
                <w:color w:val="000000"/>
                <w:kern w:val="0"/>
                <w:sz w:val="24"/>
                <w:highlight w:val="none"/>
              </w:rPr>
              <w:t>计算基础</w:t>
            </w:r>
          </w:p>
        </w:tc>
        <w:tc>
          <w:tcPr>
            <w:tcW w:w="756"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AE9745C">
            <w:pPr>
              <w:widowControl/>
              <w:spacing w:line="480" w:lineRule="exact"/>
              <w:jc w:val="center"/>
              <w:rPr>
                <w:rFonts w:ascii="宋体" w:hAnsi="宋体" w:cs="宋体"/>
                <w:color w:val="000000"/>
                <w:kern w:val="0"/>
                <w:highlight w:val="none"/>
              </w:rPr>
            </w:pPr>
            <w:r>
              <w:rPr>
                <w:rFonts w:hint="eastAsia" w:ascii="宋体" w:hAnsi="宋体" w:cs="宋体"/>
                <w:color w:val="000000"/>
                <w:kern w:val="0"/>
                <w:sz w:val="24"/>
                <w:highlight w:val="none"/>
              </w:rPr>
              <w:t>基本费率（%）</w:t>
            </w:r>
          </w:p>
        </w:tc>
        <w:tc>
          <w:tcPr>
            <w:tcW w:w="842"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4045780">
            <w:pPr>
              <w:widowControl/>
              <w:spacing w:line="480" w:lineRule="exact"/>
              <w:jc w:val="center"/>
              <w:rPr>
                <w:rFonts w:ascii="宋体" w:hAnsi="宋体" w:cs="宋体"/>
                <w:color w:val="000000"/>
                <w:kern w:val="0"/>
                <w:highlight w:val="none"/>
              </w:rPr>
            </w:pPr>
            <w:r>
              <w:rPr>
                <w:rFonts w:hint="eastAsia" w:ascii="宋体" w:hAnsi="宋体" w:cs="宋体"/>
                <w:color w:val="000000"/>
                <w:kern w:val="0"/>
                <w:sz w:val="24"/>
                <w:highlight w:val="none"/>
              </w:rPr>
              <w:t>省级标化增加费（%）</w:t>
            </w:r>
          </w:p>
        </w:tc>
        <w:tc>
          <w:tcPr>
            <w:tcW w:w="1011" w:type="pct"/>
            <w:tcBorders>
              <w:top w:val="single" w:color="auto" w:sz="8" w:space="0"/>
              <w:left w:val="nil"/>
              <w:bottom w:val="single" w:color="auto" w:sz="8" w:space="0"/>
              <w:right w:val="single" w:color="auto" w:sz="8" w:space="0"/>
            </w:tcBorders>
            <w:vAlign w:val="center"/>
          </w:tcPr>
          <w:p w14:paraId="70ED6FCE">
            <w:pPr>
              <w:widowControl/>
              <w:spacing w:line="480" w:lineRule="exact"/>
              <w:jc w:val="center"/>
              <w:rPr>
                <w:rFonts w:ascii="宋体" w:hAnsi="宋体" w:cs="宋体"/>
                <w:color w:val="000000"/>
                <w:kern w:val="0"/>
                <w:sz w:val="24"/>
                <w:highlight w:val="none"/>
              </w:rPr>
            </w:pPr>
            <w:r>
              <w:rPr>
                <w:rFonts w:hint="eastAsia" w:ascii="宋体" w:hAnsi="宋体" w:cs="宋体"/>
                <w:color w:val="000000"/>
                <w:kern w:val="0"/>
                <w:sz w:val="24"/>
                <w:highlight w:val="none"/>
              </w:rPr>
              <w:t>扬尘污染防治增加费（%）</w:t>
            </w:r>
          </w:p>
        </w:tc>
      </w:tr>
      <w:tr w14:paraId="0B305786">
        <w:tblPrEx>
          <w:tblCellMar>
            <w:top w:w="0" w:type="dxa"/>
            <w:left w:w="0" w:type="dxa"/>
            <w:bottom w:w="0" w:type="dxa"/>
            <w:right w:w="0" w:type="dxa"/>
          </w:tblCellMar>
        </w:tblPrEx>
        <w:trPr>
          <w:trHeight w:val="559" w:hRule="atLeast"/>
          <w:jc w:val="center"/>
        </w:trPr>
        <w:tc>
          <w:tcPr>
            <w:tcW w:w="285"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B7D94CA">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1115"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7FD9A81">
            <w:pPr>
              <w:spacing w:line="48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土建工程</w:t>
            </w:r>
          </w:p>
        </w:tc>
        <w:tc>
          <w:tcPr>
            <w:tcW w:w="988"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42AA732">
            <w:pPr>
              <w:widowControl/>
              <w:spacing w:line="480" w:lineRule="exact"/>
              <w:jc w:val="center"/>
              <w:rPr>
                <w:rFonts w:ascii="宋体" w:hAnsi="宋体" w:cs="宋体"/>
                <w:sz w:val="24"/>
                <w:highlight w:val="none"/>
              </w:rPr>
            </w:pPr>
            <w:r>
              <w:rPr>
                <w:rFonts w:hint="eastAsia" w:ascii="宋体" w:hAnsi="宋体" w:cs="宋体"/>
                <w:sz w:val="24"/>
                <w:highlight w:val="none"/>
              </w:rPr>
              <w:t>按分部分项工程费+单价措施项目费-除税工程设备费</w:t>
            </w:r>
          </w:p>
        </w:tc>
        <w:tc>
          <w:tcPr>
            <w:tcW w:w="756"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F9BD36A">
            <w:pPr>
              <w:widowControl/>
              <w:spacing w:line="48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3.1</w:t>
            </w:r>
          </w:p>
        </w:tc>
        <w:tc>
          <w:tcPr>
            <w:tcW w:w="842"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81EB967">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w:t>
            </w:r>
          </w:p>
        </w:tc>
        <w:tc>
          <w:tcPr>
            <w:tcW w:w="1011" w:type="pct"/>
            <w:tcBorders>
              <w:top w:val="single" w:color="auto" w:sz="8" w:space="0"/>
              <w:left w:val="nil"/>
              <w:bottom w:val="single" w:color="auto" w:sz="8" w:space="0"/>
              <w:right w:val="single" w:color="auto" w:sz="8" w:space="0"/>
            </w:tcBorders>
            <w:vAlign w:val="center"/>
          </w:tcPr>
          <w:p w14:paraId="5FFF5505">
            <w:pPr>
              <w:widowControl/>
              <w:spacing w:line="48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0.31</w:t>
            </w:r>
          </w:p>
        </w:tc>
      </w:tr>
      <w:tr w14:paraId="61B09E7D">
        <w:tblPrEx>
          <w:tblCellMar>
            <w:top w:w="0" w:type="dxa"/>
            <w:left w:w="0" w:type="dxa"/>
            <w:bottom w:w="0" w:type="dxa"/>
            <w:right w:w="0" w:type="dxa"/>
          </w:tblCellMar>
        </w:tblPrEx>
        <w:trPr>
          <w:trHeight w:val="1879" w:hRule="atLeast"/>
          <w:jc w:val="center"/>
        </w:trPr>
        <w:tc>
          <w:tcPr>
            <w:tcW w:w="285"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4543F863">
            <w:pPr>
              <w:widowControl/>
              <w:spacing w:line="48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2</w:t>
            </w:r>
          </w:p>
        </w:tc>
        <w:tc>
          <w:tcPr>
            <w:tcW w:w="1115"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ABA899F">
            <w:pPr>
              <w:spacing w:line="480" w:lineRule="exact"/>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市政工程</w:t>
            </w:r>
          </w:p>
        </w:tc>
        <w:tc>
          <w:tcPr>
            <w:tcW w:w="988"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61BEC10">
            <w:pPr>
              <w:widowControl/>
              <w:spacing w:line="480" w:lineRule="exact"/>
              <w:jc w:val="center"/>
              <w:rPr>
                <w:rFonts w:hint="eastAsia" w:ascii="宋体" w:hAnsi="宋体" w:cs="宋体"/>
                <w:sz w:val="24"/>
                <w:highlight w:val="none"/>
              </w:rPr>
            </w:pPr>
            <w:r>
              <w:rPr>
                <w:rFonts w:hint="eastAsia" w:ascii="宋体" w:hAnsi="宋体" w:cs="宋体"/>
                <w:sz w:val="24"/>
                <w:highlight w:val="none"/>
              </w:rPr>
              <w:t>按分部分项工程费+单价措施项目费-除税工程设备费</w:t>
            </w:r>
          </w:p>
        </w:tc>
        <w:tc>
          <w:tcPr>
            <w:tcW w:w="756"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F6AF74D">
            <w:pPr>
              <w:widowControl/>
              <w:spacing w:line="480" w:lineRule="exact"/>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1.5</w:t>
            </w:r>
          </w:p>
        </w:tc>
        <w:tc>
          <w:tcPr>
            <w:tcW w:w="842"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EB8F4EA">
            <w:pPr>
              <w:widowControl/>
              <w:spacing w:line="48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w:t>
            </w:r>
          </w:p>
        </w:tc>
        <w:tc>
          <w:tcPr>
            <w:tcW w:w="1011" w:type="pct"/>
            <w:tcBorders>
              <w:top w:val="single" w:color="auto" w:sz="8" w:space="0"/>
              <w:left w:val="nil"/>
              <w:bottom w:val="single" w:color="auto" w:sz="8" w:space="0"/>
              <w:right w:val="single" w:color="auto" w:sz="8" w:space="0"/>
            </w:tcBorders>
            <w:vAlign w:val="center"/>
          </w:tcPr>
          <w:p w14:paraId="0A6B1C8B">
            <w:pPr>
              <w:widowControl/>
              <w:spacing w:line="480" w:lineRule="exact"/>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0.31</w:t>
            </w:r>
          </w:p>
        </w:tc>
      </w:tr>
      <w:tr w14:paraId="3859A948">
        <w:tblPrEx>
          <w:tblCellMar>
            <w:top w:w="0" w:type="dxa"/>
            <w:left w:w="0" w:type="dxa"/>
            <w:bottom w:w="0" w:type="dxa"/>
            <w:right w:w="0" w:type="dxa"/>
          </w:tblCellMar>
        </w:tblPrEx>
        <w:trPr>
          <w:trHeight w:val="1879" w:hRule="atLeast"/>
          <w:jc w:val="center"/>
        </w:trPr>
        <w:tc>
          <w:tcPr>
            <w:tcW w:w="285"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905666C">
            <w:pPr>
              <w:widowControl/>
              <w:spacing w:line="480" w:lineRule="exact"/>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3</w:t>
            </w:r>
          </w:p>
        </w:tc>
        <w:tc>
          <w:tcPr>
            <w:tcW w:w="1115"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735B5B5">
            <w:pPr>
              <w:spacing w:line="480" w:lineRule="exact"/>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钢结构工程</w:t>
            </w:r>
          </w:p>
        </w:tc>
        <w:tc>
          <w:tcPr>
            <w:tcW w:w="988"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974765A">
            <w:pPr>
              <w:widowControl/>
              <w:spacing w:line="480" w:lineRule="exact"/>
              <w:jc w:val="center"/>
              <w:rPr>
                <w:rFonts w:hint="eastAsia" w:ascii="宋体" w:hAnsi="宋体" w:cs="宋体"/>
                <w:sz w:val="24"/>
                <w:highlight w:val="none"/>
              </w:rPr>
            </w:pPr>
            <w:r>
              <w:rPr>
                <w:rFonts w:hint="eastAsia" w:ascii="宋体" w:hAnsi="宋体" w:cs="宋体"/>
                <w:sz w:val="24"/>
                <w:highlight w:val="none"/>
              </w:rPr>
              <w:t>按分部分项工程费+单价措施项目费-除税工程设备费</w:t>
            </w:r>
          </w:p>
        </w:tc>
        <w:tc>
          <w:tcPr>
            <w:tcW w:w="756"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EA72DCE">
            <w:pPr>
              <w:widowControl/>
              <w:spacing w:line="480" w:lineRule="exact"/>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1.6</w:t>
            </w:r>
          </w:p>
        </w:tc>
        <w:tc>
          <w:tcPr>
            <w:tcW w:w="842"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FF02382">
            <w:pPr>
              <w:widowControl/>
              <w:spacing w:line="480" w:lineRule="exact"/>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w:t>
            </w:r>
          </w:p>
        </w:tc>
        <w:tc>
          <w:tcPr>
            <w:tcW w:w="1011" w:type="pct"/>
            <w:tcBorders>
              <w:top w:val="single" w:color="auto" w:sz="8" w:space="0"/>
              <w:left w:val="nil"/>
              <w:bottom w:val="single" w:color="auto" w:sz="8" w:space="0"/>
              <w:right w:val="single" w:color="auto" w:sz="8" w:space="0"/>
            </w:tcBorders>
            <w:vAlign w:val="center"/>
          </w:tcPr>
          <w:p w14:paraId="73D30CCB">
            <w:pPr>
              <w:widowControl/>
              <w:spacing w:line="480" w:lineRule="exact"/>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0.1</w:t>
            </w:r>
          </w:p>
        </w:tc>
      </w:tr>
    </w:tbl>
    <w:p w14:paraId="58842574">
      <w:pPr>
        <w:spacing w:line="480" w:lineRule="exact"/>
        <w:ind w:firstLine="480" w:firstLineChars="200"/>
        <w:rPr>
          <w:rFonts w:ascii="宋体" w:hAnsi="宋体" w:cs="宋体"/>
          <w:sz w:val="24"/>
          <w:highlight w:val="none"/>
        </w:rPr>
      </w:pPr>
      <w:r>
        <w:rPr>
          <w:rFonts w:hint="eastAsia" w:ascii="宋体" w:hAnsi="宋体" w:cs="宋体"/>
          <w:sz w:val="24"/>
          <w:highlight w:val="none"/>
        </w:rPr>
        <w:t xml:space="preserve"> 2、夜间施工费：按分部分项工程费+单价措施项目费-除税工程设备费（工程费率为</w:t>
      </w:r>
      <w:r>
        <w:rPr>
          <w:rFonts w:hint="eastAsia" w:ascii="宋体" w:hAnsi="宋体" w:cs="宋体"/>
          <w:sz w:val="24"/>
          <w:highlight w:val="none"/>
          <w:u w:val="single"/>
        </w:rPr>
        <w:t xml:space="preserve">  /  </w:t>
      </w:r>
      <w:r>
        <w:rPr>
          <w:rFonts w:hint="eastAsia" w:ascii="宋体" w:hAnsi="宋体" w:cs="宋体"/>
          <w:sz w:val="24"/>
          <w:highlight w:val="none"/>
        </w:rPr>
        <w:t>）计算。</w:t>
      </w:r>
    </w:p>
    <w:p w14:paraId="34BBDFA5">
      <w:pPr>
        <w:spacing w:line="480" w:lineRule="exact"/>
        <w:ind w:firstLine="480" w:firstLineChars="200"/>
        <w:rPr>
          <w:rFonts w:ascii="宋体" w:hAnsi="宋体" w:cs="宋体"/>
          <w:sz w:val="24"/>
          <w:highlight w:val="none"/>
        </w:rPr>
      </w:pPr>
      <w:r>
        <w:rPr>
          <w:rFonts w:hint="eastAsia" w:ascii="宋体" w:hAnsi="宋体" w:cs="宋体"/>
          <w:sz w:val="24"/>
          <w:highlight w:val="none"/>
        </w:rPr>
        <w:t xml:space="preserve"> 3、非夜间施工照明费：按分部分项工程费+单价措施项目费-除税工程设备费（工程费率为</w:t>
      </w:r>
      <w:r>
        <w:rPr>
          <w:rFonts w:hint="eastAsia" w:ascii="宋体" w:hAnsi="宋体" w:cs="宋体"/>
          <w:sz w:val="24"/>
          <w:highlight w:val="none"/>
          <w:u w:val="single"/>
        </w:rPr>
        <w:t xml:space="preserve">  / </w:t>
      </w:r>
      <w:r>
        <w:rPr>
          <w:rFonts w:hint="eastAsia" w:ascii="宋体" w:hAnsi="宋体" w:cs="宋体"/>
          <w:sz w:val="24"/>
          <w:highlight w:val="none"/>
        </w:rPr>
        <w:t>）计算。</w:t>
      </w:r>
    </w:p>
    <w:p w14:paraId="63FD2D20">
      <w:pPr>
        <w:spacing w:line="480" w:lineRule="exact"/>
        <w:ind w:firstLine="480" w:firstLineChars="200"/>
        <w:rPr>
          <w:rFonts w:ascii="宋体" w:hAnsi="宋体" w:cs="宋体"/>
          <w:sz w:val="24"/>
          <w:highlight w:val="none"/>
        </w:rPr>
      </w:pPr>
      <w:r>
        <w:rPr>
          <w:rFonts w:hint="eastAsia" w:ascii="宋体" w:hAnsi="宋体" w:cs="宋体"/>
          <w:sz w:val="24"/>
          <w:highlight w:val="none"/>
        </w:rPr>
        <w:t xml:space="preserve"> 4、二次搬运费：执行《计价定额》。</w:t>
      </w:r>
    </w:p>
    <w:p w14:paraId="099E747D">
      <w:pPr>
        <w:spacing w:line="480" w:lineRule="exact"/>
        <w:ind w:firstLine="480" w:firstLineChars="200"/>
        <w:rPr>
          <w:rFonts w:ascii="宋体" w:hAnsi="宋体" w:cs="宋体"/>
          <w:sz w:val="24"/>
          <w:highlight w:val="none"/>
        </w:rPr>
      </w:pPr>
      <w:r>
        <w:rPr>
          <w:rFonts w:hint="eastAsia" w:ascii="宋体" w:hAnsi="宋体" w:cs="宋体"/>
          <w:sz w:val="24"/>
          <w:highlight w:val="none"/>
        </w:rPr>
        <w:t xml:space="preserve"> 5、冬雨季施工增加费：按分部分项工程费+单价措施费-除税工程设备费（工程费率为</w:t>
      </w:r>
      <w:r>
        <w:rPr>
          <w:rFonts w:hint="eastAsia" w:ascii="宋体" w:hAnsi="宋体" w:cs="宋体"/>
          <w:sz w:val="24"/>
          <w:highlight w:val="none"/>
          <w:u w:val="single"/>
        </w:rPr>
        <w:t xml:space="preserve">  /  </w:t>
      </w:r>
      <w:r>
        <w:rPr>
          <w:rFonts w:hint="eastAsia" w:ascii="宋体" w:hAnsi="宋体" w:cs="宋体"/>
          <w:sz w:val="24"/>
          <w:highlight w:val="none"/>
        </w:rPr>
        <w:t>）计算。</w:t>
      </w:r>
    </w:p>
    <w:p w14:paraId="36B28334">
      <w:pPr>
        <w:spacing w:line="480" w:lineRule="exact"/>
        <w:ind w:firstLine="480" w:firstLineChars="200"/>
        <w:rPr>
          <w:rFonts w:ascii="宋体" w:hAnsi="宋体" w:cs="宋体"/>
          <w:sz w:val="24"/>
          <w:highlight w:val="none"/>
        </w:rPr>
      </w:pPr>
      <w:r>
        <w:rPr>
          <w:rFonts w:hint="eastAsia" w:ascii="宋体" w:hAnsi="宋体" w:cs="宋体"/>
          <w:sz w:val="24"/>
          <w:highlight w:val="none"/>
        </w:rPr>
        <w:t xml:space="preserve"> 6、地上地下设施、建筑物的临时保护设施费：执行《计价定额》。</w:t>
      </w:r>
    </w:p>
    <w:p w14:paraId="04586210">
      <w:pPr>
        <w:spacing w:line="480" w:lineRule="exact"/>
        <w:ind w:firstLine="480" w:firstLineChars="200"/>
        <w:rPr>
          <w:rFonts w:ascii="宋体" w:hAnsi="宋体" w:cs="宋体"/>
          <w:sz w:val="24"/>
          <w:highlight w:val="none"/>
        </w:rPr>
      </w:pPr>
      <w:r>
        <w:rPr>
          <w:rFonts w:hint="eastAsia" w:ascii="宋体" w:hAnsi="宋体" w:cs="宋体"/>
          <w:sz w:val="24"/>
          <w:highlight w:val="none"/>
        </w:rPr>
        <w:t xml:space="preserve"> 7、已完工程及设备保护费：按分部分项工程费+单价措施项目费-除税工程设备费（</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）计算。</w:t>
      </w:r>
    </w:p>
    <w:p w14:paraId="26D294EC">
      <w:pPr>
        <w:spacing w:line="480" w:lineRule="exact"/>
        <w:ind w:firstLine="480" w:firstLineChars="200"/>
        <w:rPr>
          <w:rFonts w:ascii="宋体" w:hAnsi="宋体" w:cs="宋体"/>
          <w:sz w:val="24"/>
          <w:highlight w:val="none"/>
        </w:rPr>
      </w:pPr>
      <w:r>
        <w:rPr>
          <w:rFonts w:hint="eastAsia" w:ascii="宋体" w:hAnsi="宋体" w:cs="宋体"/>
          <w:sz w:val="24"/>
          <w:highlight w:val="none"/>
        </w:rPr>
        <w:t>8、临时设施费：按分部分项工程费+单价措施项目费-除税工程设备费（</w:t>
      </w:r>
      <w:r>
        <w:rPr>
          <w:rFonts w:hint="eastAsia" w:ascii="宋体" w:hAnsi="宋体" w:cs="宋体"/>
          <w:kern w:val="0"/>
          <w:sz w:val="24"/>
          <w:highlight w:val="none"/>
          <w:lang w:val="en-US" w:eastAsia="zh-CN"/>
        </w:rPr>
        <w:t>土建工程</w:t>
      </w:r>
      <w:r>
        <w:rPr>
          <w:rFonts w:hint="eastAsia" w:ascii="宋体" w:hAnsi="宋体" w:cs="宋体"/>
          <w:sz w:val="24"/>
          <w:highlight w:val="none"/>
          <w:u w:val="single"/>
        </w:rPr>
        <w:t>费率为</w:t>
      </w:r>
      <w:r>
        <w:rPr>
          <w:rFonts w:hint="eastAsia" w:ascii="宋体" w:hAnsi="宋体" w:cs="宋体"/>
          <w:sz w:val="24"/>
          <w:highlight w:val="none"/>
          <w:u w:val="single"/>
          <w:lang w:val="en-US" w:eastAsia="zh-CN"/>
        </w:rPr>
        <w:t>1.65%、市政工程费率为：1.6%、</w:t>
      </w:r>
      <w:r>
        <w:rPr>
          <w:rFonts w:hint="eastAsia" w:ascii="宋体" w:hAnsi="宋体" w:cs="宋体"/>
          <w:kern w:val="0"/>
          <w:sz w:val="24"/>
          <w:highlight w:val="none"/>
          <w:u w:val="single"/>
          <w:lang w:val="en-US" w:eastAsia="zh-CN"/>
        </w:rPr>
        <w:t>钢结构工程</w:t>
      </w:r>
      <w:r>
        <w:rPr>
          <w:rFonts w:hint="eastAsia" w:ascii="宋体" w:hAnsi="宋体" w:cs="宋体"/>
          <w:sz w:val="24"/>
          <w:highlight w:val="none"/>
          <w:u w:val="single"/>
          <w:lang w:val="en-US" w:eastAsia="zh-CN"/>
        </w:rPr>
        <w:t>费率为：1.65%</w:t>
      </w:r>
      <w:r>
        <w:rPr>
          <w:rFonts w:hint="eastAsia" w:ascii="宋体" w:hAnsi="宋体" w:cs="宋体"/>
          <w:sz w:val="24"/>
          <w:highlight w:val="none"/>
        </w:rPr>
        <w:t>）</w:t>
      </w:r>
      <w:r>
        <w:rPr>
          <w:rFonts w:hint="eastAsia" w:ascii="宋体" w:hAnsi="宋体" w:cs="宋体"/>
          <w:sz w:val="24"/>
          <w:highlight w:val="none"/>
        </w:rPr>
        <w:t>计算。</w:t>
      </w:r>
    </w:p>
    <w:p w14:paraId="28A30EA7">
      <w:pPr>
        <w:spacing w:line="480" w:lineRule="exact"/>
        <w:ind w:firstLine="480" w:firstLineChars="200"/>
        <w:rPr>
          <w:rFonts w:ascii="宋体" w:hAnsi="宋体" w:cs="宋体"/>
          <w:sz w:val="24"/>
          <w:highlight w:val="none"/>
        </w:rPr>
      </w:pPr>
      <w:r>
        <w:rPr>
          <w:rFonts w:hint="eastAsia" w:ascii="宋体" w:hAnsi="宋体" w:cs="宋体"/>
          <w:sz w:val="24"/>
          <w:highlight w:val="none"/>
        </w:rPr>
        <w:t xml:space="preserve"> 9、赶工措施费：按分部分项工程费+单价措施项目费-除税工程设备费（工程费率为</w:t>
      </w:r>
      <w:r>
        <w:rPr>
          <w:rFonts w:hint="eastAsia" w:ascii="宋体" w:hAnsi="宋体" w:cs="宋体"/>
          <w:sz w:val="24"/>
          <w:highlight w:val="none"/>
          <w:u w:val="single"/>
        </w:rPr>
        <w:t xml:space="preserve">  /</w:t>
      </w:r>
      <w:r>
        <w:rPr>
          <w:rFonts w:hint="eastAsia" w:ascii="宋体" w:hAnsi="宋体" w:cs="宋体"/>
          <w:sz w:val="24"/>
          <w:highlight w:val="none"/>
        </w:rPr>
        <w:t>）计算。</w:t>
      </w:r>
    </w:p>
    <w:p w14:paraId="69CD9F96">
      <w:pPr>
        <w:spacing w:line="480" w:lineRule="exact"/>
        <w:ind w:firstLine="480" w:firstLineChars="200"/>
        <w:rPr>
          <w:rFonts w:ascii="宋体" w:hAnsi="宋体" w:cs="宋体"/>
          <w:sz w:val="24"/>
          <w:highlight w:val="none"/>
        </w:rPr>
      </w:pPr>
      <w:r>
        <w:rPr>
          <w:rFonts w:hint="eastAsia" w:ascii="宋体" w:hAnsi="宋体" w:cs="宋体"/>
          <w:sz w:val="24"/>
          <w:highlight w:val="none"/>
        </w:rPr>
        <w:t>10、工程按质论价费：按分部分项工程费+单价措施项目费-除税工程设备费（工程费率为</w:t>
      </w:r>
      <w:r>
        <w:rPr>
          <w:rFonts w:hint="eastAsia" w:ascii="宋体" w:hAnsi="宋体" w:cs="宋体"/>
          <w:sz w:val="24"/>
          <w:highlight w:val="none"/>
          <w:u w:val="single"/>
        </w:rPr>
        <w:t xml:space="preserve">  /  </w:t>
      </w:r>
      <w:r>
        <w:rPr>
          <w:rFonts w:hint="eastAsia" w:ascii="宋体" w:hAnsi="宋体" w:cs="宋体"/>
          <w:sz w:val="24"/>
          <w:highlight w:val="none"/>
        </w:rPr>
        <w:t>）计算。</w:t>
      </w:r>
    </w:p>
    <w:p w14:paraId="0988F0D7">
      <w:pPr>
        <w:spacing w:line="480" w:lineRule="exact"/>
        <w:ind w:firstLine="480" w:firstLineChars="200"/>
        <w:rPr>
          <w:rFonts w:ascii="宋体" w:hAnsi="宋体" w:cs="宋体"/>
          <w:sz w:val="24"/>
          <w:highlight w:val="none"/>
        </w:rPr>
      </w:pPr>
      <w:r>
        <w:rPr>
          <w:rFonts w:hint="eastAsia" w:ascii="宋体" w:hAnsi="宋体" w:cs="宋体"/>
          <w:sz w:val="24"/>
          <w:highlight w:val="none"/>
        </w:rPr>
        <w:t>11、特殊条</w:t>
      </w:r>
      <w:r>
        <w:rPr>
          <w:rFonts w:hint="eastAsia" w:ascii="宋体" w:hAnsi="宋体" w:cs="宋体"/>
          <w:sz w:val="24"/>
          <w:highlight w:val="none"/>
        </w:rPr>
        <w:t>件下施工增加费：执行《计价定额》。</w:t>
      </w:r>
    </w:p>
    <w:p w14:paraId="73A7DFF2">
      <w:pPr>
        <w:spacing w:line="480" w:lineRule="exact"/>
        <w:ind w:firstLine="480" w:firstLineChars="200"/>
        <w:rPr>
          <w:rFonts w:ascii="宋体" w:hAnsi="宋体" w:cs="宋体"/>
          <w:sz w:val="24"/>
          <w:highlight w:val="none"/>
        </w:rPr>
      </w:pPr>
      <w:r>
        <w:rPr>
          <w:rFonts w:hint="eastAsia" w:ascii="宋体" w:hAnsi="宋体" w:cs="宋体"/>
          <w:sz w:val="24"/>
          <w:highlight w:val="none"/>
        </w:rPr>
        <w:t>12、建筑工人实名制费用：按分部分项工程费+单价措施项目费-除税工程设备费（</w:t>
      </w:r>
      <w:r>
        <w:rPr>
          <w:rFonts w:hint="eastAsia" w:ascii="宋体" w:hAnsi="宋体" w:cs="宋体"/>
          <w:kern w:val="0"/>
          <w:sz w:val="24"/>
          <w:highlight w:val="none"/>
          <w:lang w:val="en-US" w:eastAsia="zh-CN"/>
        </w:rPr>
        <w:t>土建工程</w:t>
      </w:r>
      <w:r>
        <w:rPr>
          <w:rFonts w:hint="eastAsia" w:ascii="宋体" w:hAnsi="宋体" w:cs="宋体"/>
          <w:sz w:val="24"/>
          <w:highlight w:val="none"/>
          <w:u w:val="single"/>
        </w:rPr>
        <w:t>费率为</w:t>
      </w:r>
      <w:r>
        <w:rPr>
          <w:rFonts w:hint="eastAsia" w:ascii="宋体" w:hAnsi="宋体" w:cs="宋体"/>
          <w:sz w:val="24"/>
          <w:highlight w:val="none"/>
          <w:u w:val="single"/>
          <w:lang w:val="en-US" w:eastAsia="zh-CN"/>
        </w:rPr>
        <w:t>0.05%、</w:t>
      </w:r>
      <w:r>
        <w:rPr>
          <w:rFonts w:hint="eastAsia" w:ascii="宋体" w:hAnsi="宋体" w:cs="宋体"/>
          <w:kern w:val="0"/>
          <w:sz w:val="24"/>
          <w:highlight w:val="none"/>
          <w:u w:val="single"/>
          <w:lang w:val="en-US" w:eastAsia="zh-CN"/>
        </w:rPr>
        <w:t>市政工程</w:t>
      </w:r>
      <w:r>
        <w:rPr>
          <w:rFonts w:hint="eastAsia" w:ascii="宋体" w:hAnsi="宋体" w:cs="宋体"/>
          <w:sz w:val="24"/>
          <w:highlight w:val="none"/>
          <w:u w:val="single"/>
        </w:rPr>
        <w:t>费率为</w:t>
      </w:r>
      <w:r>
        <w:rPr>
          <w:rFonts w:hint="eastAsia" w:ascii="宋体" w:hAnsi="宋体" w:cs="宋体"/>
          <w:sz w:val="24"/>
          <w:highlight w:val="none"/>
          <w:u w:val="single"/>
          <w:lang w:val="en-US" w:eastAsia="zh-CN"/>
        </w:rPr>
        <w:t>0.03%、</w:t>
      </w:r>
      <w:r>
        <w:rPr>
          <w:rFonts w:hint="eastAsia" w:ascii="宋体" w:hAnsi="宋体" w:cs="宋体"/>
          <w:kern w:val="0"/>
          <w:sz w:val="24"/>
          <w:highlight w:val="none"/>
          <w:u w:val="single"/>
          <w:lang w:val="en-US" w:eastAsia="zh-CN"/>
        </w:rPr>
        <w:t>钢结构工程</w:t>
      </w:r>
      <w:r>
        <w:rPr>
          <w:rFonts w:hint="eastAsia" w:ascii="宋体" w:hAnsi="宋体" w:cs="宋体"/>
          <w:sz w:val="24"/>
          <w:highlight w:val="none"/>
          <w:u w:val="single"/>
          <w:lang w:val="en-US" w:eastAsia="zh-CN"/>
        </w:rPr>
        <w:t>费率为：0.05%</w:t>
      </w:r>
      <w:r>
        <w:rPr>
          <w:rFonts w:hint="eastAsia" w:ascii="宋体" w:hAnsi="宋体" w:cs="宋体"/>
          <w:sz w:val="24"/>
          <w:highlight w:val="none"/>
        </w:rPr>
        <w:t>）计算。</w:t>
      </w:r>
    </w:p>
    <w:p w14:paraId="2B69CB36">
      <w:pPr>
        <w:spacing w:line="480" w:lineRule="exact"/>
        <w:ind w:firstLine="480" w:firstLineChars="200"/>
        <w:rPr>
          <w:rFonts w:ascii="宋体" w:hAnsi="宋体" w:cs="宋体"/>
          <w:sz w:val="24"/>
          <w:highlight w:val="none"/>
        </w:rPr>
      </w:pPr>
      <w:r>
        <w:rPr>
          <w:rFonts w:hint="eastAsia" w:ascii="宋体" w:hAnsi="宋体" w:cs="宋体"/>
          <w:sz w:val="24"/>
          <w:highlight w:val="none"/>
        </w:rPr>
        <w:t>13、智慧工地费用：按分部分项工程</w:t>
      </w:r>
      <w:r>
        <w:rPr>
          <w:rFonts w:hint="eastAsia" w:ascii="宋体" w:hAnsi="宋体" w:cs="宋体"/>
          <w:sz w:val="24"/>
          <w:highlight w:val="none"/>
        </w:rPr>
        <w:t>费+单价措施项目费-除税工程设备费（工程费率为</w:t>
      </w:r>
      <w:r>
        <w:rPr>
          <w:rFonts w:hint="eastAsia" w:ascii="宋体" w:hAnsi="宋体" w:cs="宋体"/>
          <w:sz w:val="24"/>
          <w:highlight w:val="none"/>
          <w:u w:val="single"/>
        </w:rPr>
        <w:t>/</w:t>
      </w:r>
      <w:r>
        <w:rPr>
          <w:rFonts w:hint="eastAsia" w:ascii="宋体" w:hAnsi="宋体" w:cs="宋体"/>
          <w:sz w:val="24"/>
          <w:highlight w:val="none"/>
        </w:rPr>
        <w:t>）计算。</w:t>
      </w:r>
    </w:p>
    <w:p w14:paraId="7167A7DD">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二）专业措施项目</w:t>
      </w:r>
    </w:p>
    <w:p w14:paraId="5E1BF098">
      <w:pPr>
        <w:spacing w:line="480" w:lineRule="exact"/>
        <w:ind w:firstLine="480" w:firstLineChars="200"/>
        <w:rPr>
          <w:rFonts w:ascii="宋体" w:hAnsi="宋体" w:cs="宋体"/>
          <w:sz w:val="24"/>
          <w:highlight w:val="none"/>
        </w:rPr>
      </w:pPr>
      <w:r>
        <w:rPr>
          <w:rFonts w:hint="eastAsia" w:ascii="宋体" w:hAnsi="宋体" w:cs="宋体"/>
          <w:sz w:val="24"/>
          <w:highlight w:val="none"/>
        </w:rPr>
        <w:t>专业措施项目不单独立项，投标单位自行考虑各种专业措施费用到报价中。</w:t>
      </w:r>
    </w:p>
    <w:p w14:paraId="38E85AF4">
      <w:pPr>
        <w:spacing w:line="480" w:lineRule="exact"/>
        <w:ind w:firstLine="480" w:firstLineChars="200"/>
        <w:rPr>
          <w:rFonts w:ascii="宋体" w:hAnsi="宋体" w:cs="宋体"/>
          <w:sz w:val="24"/>
          <w:highlight w:val="none"/>
        </w:rPr>
      </w:pPr>
      <w:r>
        <w:rPr>
          <w:rFonts w:hint="eastAsia" w:ascii="宋体" w:hAnsi="宋体" w:cs="宋体"/>
          <w:sz w:val="24"/>
          <w:highlight w:val="none"/>
        </w:rPr>
        <w:t>上述各项措施项目费用，采购人在确定最高限价时按计价文件的有关规定予以适当考虑或计取，同时要求各投标供应商须根据本企业自身实力和工程的实际情况，在投标报价的措施项目费中自行考虑上述所有列出及未列出但实施过程中有可能发生的各项措施项目费用。结算时，承包人不得以采购人工程措施项目清单缺项为由要求新增措施项目，中标后所有措施项目费结算调整方法详见合同专用条款中的相关约定。</w:t>
      </w:r>
    </w:p>
    <w:p w14:paraId="0F0E7D76">
      <w:pPr>
        <w:spacing w:line="480" w:lineRule="exact"/>
        <w:ind w:firstLine="480" w:firstLineChars="200"/>
        <w:rPr>
          <w:rFonts w:ascii="宋体" w:hAnsi="宋体" w:cs="宋体"/>
          <w:sz w:val="24"/>
          <w:highlight w:val="none"/>
        </w:rPr>
      </w:pPr>
      <w:r>
        <w:rPr>
          <w:rFonts w:hint="eastAsia" w:ascii="宋体" w:hAnsi="宋体" w:cs="宋体"/>
          <w:sz w:val="24"/>
          <w:highlight w:val="none"/>
        </w:rPr>
        <w:t>（三）其他项目费用：</w:t>
      </w:r>
    </w:p>
    <w:p w14:paraId="35696CE8">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1．暂列金额、暂估价：按采购人《其他项目清单与计价汇总表》执行。</w:t>
      </w:r>
    </w:p>
    <w:p w14:paraId="0F0D8130">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2．计日工：由承发包双方在施工合同中约定，招标时暂不考虑此项费用。</w:t>
      </w:r>
    </w:p>
    <w:p w14:paraId="2D7203C1">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3．总承包服务费：本工程不计总承包服务费。</w:t>
      </w:r>
    </w:p>
    <w:p w14:paraId="6352CFA5">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4．其余详见《其他项目清单与计价汇总表》。</w:t>
      </w:r>
    </w:p>
    <w:p w14:paraId="014144B1">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（四）规 费：</w:t>
      </w:r>
    </w:p>
    <w:p w14:paraId="4609C62E">
      <w:pPr>
        <w:snapToGrid w:val="0"/>
        <w:spacing w:line="480" w:lineRule="exact"/>
        <w:ind w:left="420"/>
        <w:rPr>
          <w:rFonts w:ascii="宋体" w:hAnsi="宋体"/>
          <w:sz w:val="24"/>
          <w:highlight w:val="none"/>
        </w:rPr>
      </w:pPr>
      <w:r>
        <w:rPr>
          <w:rFonts w:hint="eastAsia" w:ascii="宋体" w:hAnsi="宋体"/>
          <w:sz w:val="24"/>
          <w:highlight w:val="none"/>
        </w:rPr>
        <w:t>1．环境保护税：按盐市建价字[2018]29号文。</w:t>
      </w:r>
    </w:p>
    <w:p w14:paraId="5FF450CD">
      <w:pPr>
        <w:snapToGrid w:val="0"/>
        <w:spacing w:line="480" w:lineRule="exact"/>
        <w:ind w:left="420"/>
        <w:rPr>
          <w:rFonts w:ascii="宋体" w:hAnsi="宋体"/>
          <w:sz w:val="24"/>
          <w:highlight w:val="none"/>
        </w:rPr>
      </w:pPr>
      <w:r>
        <w:rPr>
          <w:rFonts w:hint="eastAsia" w:ascii="宋体" w:hAnsi="宋体"/>
          <w:sz w:val="24"/>
          <w:highlight w:val="none"/>
        </w:rPr>
        <w:t>2．社会保险费和住房公积金：《费用定额》及苏建价[2016]154号中的标准执行。</w:t>
      </w:r>
    </w:p>
    <w:p w14:paraId="5DF490C6">
      <w:pPr>
        <w:snapToGrid w:val="0"/>
        <w:spacing w:line="480" w:lineRule="exact"/>
        <w:ind w:left="420"/>
        <w:rPr>
          <w:rFonts w:ascii="宋体" w:hAnsi="宋体"/>
          <w:sz w:val="24"/>
          <w:highlight w:val="none"/>
        </w:rPr>
      </w:pPr>
      <w:r>
        <w:rPr>
          <w:rFonts w:hint="eastAsia" w:ascii="宋体" w:hAnsi="宋体"/>
          <w:sz w:val="24"/>
          <w:highlight w:val="none"/>
        </w:rPr>
        <w:t>（五）税 金：</w:t>
      </w:r>
    </w:p>
    <w:p w14:paraId="01CD7AC3">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税金是指根据建筑服务销售价格，按规定税率计算的增值税销项税额。并以除税工程造价为计取基础，费率为9%。</w:t>
      </w:r>
    </w:p>
    <w:p w14:paraId="57B157E1">
      <w:pPr>
        <w:pStyle w:val="104"/>
        <w:adjustRightInd w:val="0"/>
        <w:snapToGrid w:val="0"/>
        <w:spacing w:line="480" w:lineRule="exact"/>
        <w:ind w:firstLine="482"/>
        <w:outlineLvl w:val="2"/>
        <w:rPr>
          <w:rFonts w:ascii="宋体" w:hAnsi="宋体"/>
          <w:b/>
          <w:sz w:val="24"/>
          <w:szCs w:val="24"/>
          <w:highlight w:val="none"/>
        </w:rPr>
      </w:pPr>
      <w:r>
        <w:rPr>
          <w:rFonts w:hint="eastAsia" w:ascii="宋体" w:hAnsi="宋体"/>
          <w:b/>
          <w:sz w:val="24"/>
          <w:szCs w:val="24"/>
          <w:highlight w:val="none"/>
        </w:rPr>
        <w:t>四、报价、计价说明</w:t>
      </w:r>
    </w:p>
    <w:p w14:paraId="56F79F92">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1.投标报价应包含完成本竞争性磋商文件中的全部内容所需的所有费用。</w:t>
      </w:r>
    </w:p>
    <w:p w14:paraId="27916E59">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2.磋商供应商应充分了解施工场地的位置、周边环境、道路、装卸、保管、安装限制以及影响投标报价的其他要素，结合市场情况进行投标报价。</w:t>
      </w:r>
    </w:p>
    <w:p w14:paraId="7B908E87">
      <w:pPr>
        <w:adjustRightInd w:val="0"/>
        <w:snapToGrid w:val="0"/>
        <w:spacing w:line="480" w:lineRule="exact"/>
        <w:ind w:firstLine="480" w:firstLineChars="200"/>
        <w:rPr>
          <w:rFonts w:ascii="宋体" w:hAnsi="宋体" w:cs="宋体"/>
          <w:sz w:val="24"/>
          <w:highlight w:val="none"/>
        </w:rPr>
      </w:pPr>
      <w:r>
        <w:rPr>
          <w:rFonts w:hint="eastAsia" w:ascii="宋体" w:hAnsi="宋体"/>
          <w:sz w:val="24"/>
          <w:highlight w:val="none"/>
        </w:rPr>
        <w:t>3.</w:t>
      </w:r>
      <w:r>
        <w:rPr>
          <w:rFonts w:hint="eastAsia" w:ascii="宋体" w:hAnsi="宋体" w:cs="宋体"/>
          <w:sz w:val="24"/>
          <w:highlight w:val="none"/>
          <w:shd w:val="clear" w:color="auto" w:fill="FFFFFF"/>
        </w:rPr>
        <w:t>投标报价方式：本项目投标报价采用“工程量清单计价法”（工程量计算规则依据《建设工程工程量清单计价规范》（GB50500-2013））。</w:t>
      </w:r>
      <w:r>
        <w:rPr>
          <w:rFonts w:hint="eastAsia" w:ascii="宋体" w:hAnsi="宋体"/>
          <w:sz w:val="24"/>
          <w:highlight w:val="none"/>
        </w:rPr>
        <w:t>磋商供应商</w:t>
      </w:r>
      <w:r>
        <w:rPr>
          <w:rFonts w:hint="eastAsia" w:ascii="宋体" w:hAnsi="宋体" w:cs="宋体"/>
          <w:sz w:val="24"/>
          <w:highlight w:val="none"/>
          <w:shd w:val="clear" w:color="auto" w:fill="FFFFFF"/>
        </w:rPr>
        <w:t>应根据采购人提供的工程量清单和施工图纸计算工程项目的除税综合单价和合价。工程量清单中每一个子目的单项均需计算并填写除税综合单价、合价。</w:t>
      </w:r>
      <w:r>
        <w:rPr>
          <w:rFonts w:hint="eastAsia" w:ascii="宋体" w:hAnsi="宋体"/>
          <w:sz w:val="24"/>
          <w:highlight w:val="none"/>
        </w:rPr>
        <w:t>磋商供应商</w:t>
      </w:r>
      <w:r>
        <w:rPr>
          <w:rFonts w:hint="eastAsia" w:ascii="宋体" w:hAnsi="宋体" w:cs="宋体"/>
          <w:sz w:val="24"/>
          <w:highlight w:val="none"/>
          <w:shd w:val="clear" w:color="auto" w:fill="FFFFFF"/>
        </w:rPr>
        <w:t>对采购人提供的工程量清单如有异议（包括对工程量清单中漏项的疑问），应在</w:t>
      </w:r>
      <w:r>
        <w:rPr>
          <w:rFonts w:hint="eastAsia" w:ascii="宋体" w:hAnsi="宋体"/>
          <w:b/>
          <w:sz w:val="24"/>
          <w:highlight w:val="none"/>
        </w:rPr>
        <w:t>提交首次响应文件截止时间五日前</w:t>
      </w:r>
      <w:r>
        <w:rPr>
          <w:rFonts w:hint="eastAsia" w:ascii="宋体" w:hAnsi="宋体" w:cs="宋体"/>
          <w:sz w:val="24"/>
          <w:highlight w:val="none"/>
          <w:shd w:val="clear" w:color="auto" w:fill="FFFFFF"/>
        </w:rPr>
        <w:t>向</w:t>
      </w:r>
      <w:r>
        <w:rPr>
          <w:rFonts w:hint="eastAsia" w:ascii="宋体" w:hAnsi="宋体"/>
          <w:sz w:val="24"/>
          <w:highlight w:val="none"/>
        </w:rPr>
        <w:t>采购人或采购代理机构提出</w:t>
      </w:r>
      <w:r>
        <w:rPr>
          <w:rFonts w:hint="eastAsia" w:ascii="宋体" w:hAnsi="宋体" w:cs="宋体"/>
          <w:sz w:val="24"/>
          <w:highlight w:val="none"/>
          <w:shd w:val="clear" w:color="auto" w:fill="FFFFFF"/>
        </w:rPr>
        <w:t>。各</w:t>
      </w:r>
      <w:r>
        <w:rPr>
          <w:rFonts w:hint="eastAsia" w:ascii="宋体" w:hAnsi="宋体"/>
          <w:sz w:val="24"/>
          <w:highlight w:val="none"/>
        </w:rPr>
        <w:t>磋商供应商</w:t>
      </w:r>
      <w:r>
        <w:rPr>
          <w:rFonts w:hint="eastAsia" w:ascii="宋体" w:hAnsi="宋体" w:cs="宋体"/>
          <w:sz w:val="24"/>
          <w:highlight w:val="none"/>
          <w:shd w:val="clear" w:color="auto" w:fill="FFFFFF"/>
        </w:rPr>
        <w:t>不得对采购人答疑后的工程量清单的序号、项目编码、项目名称、项目特征、计量单位、工程数量、暂列定额、暂估价等进行调整。对施工中发生的所有措施费及可预见费用由施工单位自行考虑，计入总价。</w:t>
      </w:r>
    </w:p>
    <w:p w14:paraId="20D2F09B">
      <w:pPr>
        <w:adjustRightInd w:val="0"/>
        <w:snapToGrid w:val="0"/>
        <w:spacing w:line="480" w:lineRule="exact"/>
        <w:ind w:firstLine="480" w:firstLineChars="200"/>
        <w:jc w:val="left"/>
        <w:rPr>
          <w:rFonts w:ascii="宋体" w:hAnsi="宋体" w:cs="宋体"/>
          <w:sz w:val="24"/>
          <w:highlight w:val="none"/>
          <w:shd w:val="clear" w:color="auto" w:fill="FFFFFF"/>
        </w:rPr>
      </w:pPr>
      <w:r>
        <w:rPr>
          <w:rFonts w:hint="eastAsia" w:ascii="宋体" w:hAnsi="宋体" w:cs="宋体"/>
          <w:sz w:val="24"/>
          <w:highlight w:val="none"/>
          <w:shd w:val="clear" w:color="auto" w:fill="FFFFFF"/>
        </w:rPr>
        <w:t>4.合同定价方式</w:t>
      </w:r>
    </w:p>
    <w:p w14:paraId="17315D67">
      <w:pPr>
        <w:pStyle w:val="104"/>
        <w:adjustRightInd w:val="0"/>
        <w:snapToGrid w:val="0"/>
        <w:spacing w:line="480" w:lineRule="exact"/>
        <w:ind w:firstLine="480"/>
        <w:rPr>
          <w:rFonts w:ascii="宋体" w:hAnsi="宋体"/>
          <w:sz w:val="24"/>
          <w:szCs w:val="24"/>
          <w:highlight w:val="none"/>
        </w:rPr>
      </w:pPr>
      <w:r>
        <w:rPr>
          <w:rFonts w:hint="eastAsia" w:ascii="宋体" w:hAnsi="宋体" w:cs="宋体"/>
          <w:sz w:val="24"/>
          <w:szCs w:val="24"/>
          <w:highlight w:val="none"/>
          <w:shd w:val="clear" w:color="auto" w:fill="FFFFFF"/>
        </w:rPr>
        <w:t>本工程采用单价合同。本工程实行《建设工程工程量清单计价规范》（GB50500-2013）招标，建设工程合同采用单价合同，以体现风险共担的原则。由采购人提供工程量清单，</w:t>
      </w:r>
      <w:r>
        <w:rPr>
          <w:rFonts w:hint="eastAsia" w:ascii="宋体" w:hAnsi="宋体"/>
          <w:sz w:val="24"/>
          <w:szCs w:val="24"/>
          <w:highlight w:val="none"/>
        </w:rPr>
        <w:t>磋商供应商</w:t>
      </w:r>
      <w:r>
        <w:rPr>
          <w:rFonts w:hint="eastAsia" w:ascii="宋体" w:hAnsi="宋体" w:cs="宋体"/>
          <w:sz w:val="24"/>
          <w:szCs w:val="24"/>
          <w:highlight w:val="none"/>
          <w:shd w:val="clear" w:color="auto" w:fill="FFFFFF"/>
        </w:rPr>
        <w:t>以工程量清单及图纸为基础填报相应的单价并计算合价。采购人要求</w:t>
      </w:r>
      <w:r>
        <w:rPr>
          <w:rFonts w:hint="eastAsia" w:ascii="宋体" w:hAnsi="宋体"/>
          <w:sz w:val="24"/>
          <w:szCs w:val="24"/>
          <w:highlight w:val="none"/>
        </w:rPr>
        <w:t>磋商供应商</w:t>
      </w:r>
      <w:r>
        <w:rPr>
          <w:rFonts w:hint="eastAsia" w:ascii="宋体" w:hAnsi="宋体" w:cs="宋体"/>
          <w:sz w:val="24"/>
          <w:szCs w:val="24"/>
          <w:highlight w:val="none"/>
          <w:shd w:val="clear" w:color="auto" w:fill="FFFFFF"/>
        </w:rPr>
        <w:t>承担本竞争性磋商文件合同专用条款中约定的风险内容及其范围（幅度）产生的风险费用，在施工过程中，当出现的风险内容及其范围（幅度）在合同约定的范围内，工程价款不作调整。</w:t>
      </w:r>
    </w:p>
    <w:p w14:paraId="41656D98">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5.投标报价的要求</w:t>
      </w:r>
    </w:p>
    <w:p w14:paraId="02440EFB">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5.1采购人提供工程量清单应与</w:t>
      </w:r>
      <w:r>
        <w:rPr>
          <w:rFonts w:hint="eastAsia" w:ascii="宋体" w:hAnsi="宋体" w:cs="宋体"/>
          <w:sz w:val="24"/>
          <w:szCs w:val="24"/>
          <w:highlight w:val="none"/>
          <w:shd w:val="clear" w:color="auto" w:fill="FFFFFF"/>
        </w:rPr>
        <w:t>竞争性磋商</w:t>
      </w:r>
      <w:r>
        <w:rPr>
          <w:rFonts w:hint="eastAsia" w:ascii="宋体" w:hAnsi="宋体"/>
          <w:sz w:val="24"/>
          <w:szCs w:val="24"/>
          <w:highlight w:val="none"/>
        </w:rPr>
        <w:t>文件一起参照阅读；</w:t>
      </w:r>
    </w:p>
    <w:p w14:paraId="1803D2BF">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p>
    <w:p w14:paraId="0C721801">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5.3 除不可竞争费用（现场安全文明施工措施费、规费项目费、税金项目费）、暂列金额、暂估价不得调整外，磋商供应商可根据自己的施工方案及企业自身经营管理水平情况不低于成本报价；</w:t>
      </w:r>
    </w:p>
    <w:p w14:paraId="0DDD1533">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p>
    <w:p w14:paraId="3EB4B7E0">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5.5 如磋商供应商在投标时承诺质量标准达到合格以上等级的，应在投标报价时足额考虑创优所增加的施工成本，相关费用采购人不再另行支付；</w:t>
      </w:r>
    </w:p>
    <w:p w14:paraId="6C0B0AB4">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5.6 综合单价的组成：完成一个规定清单项目所需的人工费、材料费和工程设备费、施工机具使用费和企业管理费与利润，以及一定范围内的风险费用；</w:t>
      </w:r>
    </w:p>
    <w:p w14:paraId="38DAED32">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5.7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p>
    <w:p w14:paraId="46A44241">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5.8 规费和税金应按招标工程量清单中的规定标准执行；</w:t>
      </w:r>
    </w:p>
    <w:p w14:paraId="5F69D44F">
      <w:pPr>
        <w:pStyle w:val="104"/>
        <w:adjustRightInd w:val="0"/>
        <w:snapToGrid w:val="0"/>
        <w:spacing w:line="480" w:lineRule="exact"/>
        <w:ind w:firstLine="480"/>
        <w:rPr>
          <w:rFonts w:ascii="宋体" w:hAnsi="宋体"/>
          <w:sz w:val="24"/>
          <w:szCs w:val="24"/>
          <w:highlight w:val="none"/>
        </w:rPr>
      </w:pPr>
      <w:r>
        <w:rPr>
          <w:rFonts w:hint="eastAsia" w:ascii="宋体" w:hAnsi="宋体"/>
          <w:sz w:val="24"/>
          <w:szCs w:val="24"/>
          <w:highlight w:val="none"/>
        </w:rPr>
        <w:t>5.9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p>
    <w:p w14:paraId="5A7A8FE0">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5.10投标总价应当与分部分项工程费、措施项目费、其他项目费和规费、税金的合计金额一致。</w:t>
      </w:r>
    </w:p>
    <w:p w14:paraId="64F60136">
      <w:pPr>
        <w:tabs>
          <w:tab w:val="left" w:pos="900"/>
        </w:tabs>
        <w:snapToGrid w:val="0"/>
        <w:spacing w:line="480" w:lineRule="exact"/>
        <w:ind w:firstLine="480" w:firstLineChars="200"/>
        <w:outlineLvl w:val="2"/>
        <w:rPr>
          <w:rFonts w:ascii="宋体" w:hAnsi="宋体"/>
          <w:sz w:val="24"/>
          <w:highlight w:val="none"/>
        </w:rPr>
      </w:pPr>
      <w:r>
        <w:rPr>
          <w:rFonts w:hint="eastAsia" w:ascii="宋体" w:hAnsi="宋体"/>
          <w:sz w:val="24"/>
          <w:highlight w:val="none"/>
        </w:rPr>
        <w:t>5.11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p>
    <w:p w14:paraId="6CECA995">
      <w:pPr>
        <w:adjustRightInd w:val="0"/>
        <w:snapToGrid w:val="0"/>
        <w:spacing w:line="480" w:lineRule="exact"/>
        <w:ind w:firstLine="482" w:firstLineChars="200"/>
        <w:rPr>
          <w:rFonts w:ascii="宋体" w:hAnsi="宋体"/>
          <w:b/>
          <w:sz w:val="24"/>
          <w:highlight w:val="none"/>
        </w:rPr>
      </w:pPr>
      <w:r>
        <w:rPr>
          <w:rFonts w:hint="eastAsia" w:ascii="宋体" w:hAnsi="宋体"/>
          <w:b/>
          <w:sz w:val="24"/>
          <w:highlight w:val="none"/>
        </w:rPr>
        <w:t>5.12特别说明：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一律作无效标处理。</w:t>
      </w:r>
    </w:p>
    <w:p w14:paraId="1D59BD6C">
      <w:pPr>
        <w:snapToGrid w:val="0"/>
        <w:spacing w:line="480" w:lineRule="exact"/>
        <w:ind w:firstLine="482" w:firstLineChars="200"/>
        <w:rPr>
          <w:rFonts w:ascii="宋体" w:hAnsi="宋体" w:cs="宋体"/>
          <w:kern w:val="0"/>
          <w:sz w:val="28"/>
          <w:szCs w:val="28"/>
          <w:highlight w:val="none"/>
        </w:rPr>
      </w:pPr>
      <w:r>
        <w:rPr>
          <w:rFonts w:hint="eastAsia" w:ascii="宋体" w:hAnsi="宋体"/>
          <w:b/>
          <w:sz w:val="24"/>
          <w:highlight w:val="none"/>
        </w:rPr>
        <w:t>5.13供应商最后报价为响应文件中已标价工程量清单总价下浮后得到（各清单项的数量不变，单价同比例下浮，其中暂列金额、暂估价、甲供材及其规费和税金不下浮）。</w:t>
      </w:r>
    </w:p>
    <w:p w14:paraId="14A4B300">
      <w:pPr>
        <w:pStyle w:val="30"/>
        <w:keepNext w:val="0"/>
        <w:keepLines w:val="0"/>
        <w:pageBreakBefore w:val="0"/>
        <w:numPr>
          <w:ilvl w:val="0"/>
          <w:numId w:val="0"/>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eastAsia="宋体"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en-US" w:eastAsia="zh-CN" w:bidi="ar-SA"/>
        </w:rPr>
        <w:t>施工组织设计</w:t>
      </w:r>
    </w:p>
    <w:p w14:paraId="7155FB3F">
      <w:pPr>
        <w:pStyle w:val="30"/>
        <w:keepNext w:val="0"/>
        <w:keepLines w:val="0"/>
        <w:pageBreakBefore w:val="0"/>
        <w:widowControl w:val="0"/>
        <w:numPr>
          <w:ilvl w:val="0"/>
          <w:numId w:val="7"/>
        </w:numPr>
        <w:kinsoku/>
        <w:wordWrap/>
        <w:overflowPunct/>
        <w:topLinePunct w:val="0"/>
        <w:autoSpaceDE/>
        <w:autoSpaceDN/>
        <w:bidi w:val="0"/>
        <w:adjustRightInd/>
        <w:snapToGrid/>
        <w:spacing w:line="520" w:lineRule="exact"/>
        <w:ind w:left="0" w:leftChars="0" w:firstLine="482" w:firstLineChars="200"/>
        <w:textAlignment w:val="auto"/>
        <w:rPr>
          <w:rFonts w:hint="eastAsia" w:ascii="宋体" w:eastAsia="宋体" w:cs="宋体"/>
          <w:b/>
          <w:bCs/>
          <w:color w:val="auto"/>
          <w:kern w:val="2"/>
          <w:sz w:val="24"/>
          <w:szCs w:val="24"/>
          <w:highlight w:val="none"/>
          <w:lang w:val="en-US" w:eastAsia="zh-CN" w:bidi="ar-SA"/>
        </w:rPr>
      </w:pPr>
      <w:r>
        <w:rPr>
          <w:rFonts w:hint="eastAsia" w:ascii="宋体" w:eastAsia="宋体" w:cs="宋体"/>
          <w:b/>
          <w:bCs/>
          <w:color w:val="auto"/>
          <w:kern w:val="2"/>
          <w:sz w:val="24"/>
          <w:szCs w:val="24"/>
          <w:highlight w:val="none"/>
          <w:lang w:val="en-US" w:eastAsia="zh-CN" w:bidi="ar-SA"/>
        </w:rPr>
        <w:t>施工方案与技术措施</w:t>
      </w:r>
    </w:p>
    <w:p w14:paraId="663B2628">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eastAsia="宋体" w:cs="宋体"/>
          <w:b w:val="0"/>
          <w:bCs w:val="0"/>
          <w:color w:val="auto"/>
          <w:kern w:val="2"/>
          <w:sz w:val="24"/>
          <w:szCs w:val="24"/>
          <w:highlight w:val="none"/>
          <w:lang w:val="en-US" w:eastAsia="zh-CN" w:bidi="ar-SA"/>
        </w:rPr>
      </w:pPr>
      <w:r>
        <w:rPr>
          <w:rFonts w:hint="eastAsia" w:ascii="宋体" w:eastAsia="宋体" w:cs="宋体"/>
          <w:b w:val="0"/>
          <w:bCs w:val="0"/>
          <w:color w:val="auto"/>
          <w:kern w:val="2"/>
          <w:sz w:val="24"/>
          <w:szCs w:val="24"/>
          <w:highlight w:val="none"/>
          <w:lang w:val="en-US" w:eastAsia="zh-CN" w:bidi="ar-SA"/>
        </w:rPr>
        <w:t>施工方案与技术措施至少包含</w:t>
      </w:r>
      <w:r>
        <w:rPr>
          <w:rFonts w:hint="eastAsia" w:ascii="宋体" w:hAnsi="宋体" w:eastAsia="宋体" w:cs="宋体"/>
          <w:b w:val="0"/>
          <w:bCs w:val="0"/>
          <w:color w:val="auto"/>
          <w:kern w:val="2"/>
          <w:sz w:val="24"/>
          <w:szCs w:val="24"/>
          <w:highlight w:val="none"/>
          <w:lang w:val="en-US" w:eastAsia="zh-CN" w:bidi="ar-SA"/>
        </w:rPr>
        <w:t>① 施工准备方案</w:t>
      </w:r>
      <w:r>
        <w:rPr>
          <w:rFonts w:hint="eastAsia" w:ascii="宋体" w:eastAsia="宋体" w:cs="宋体"/>
          <w:b w:val="0"/>
          <w:bCs w:val="0"/>
          <w:color w:val="auto"/>
          <w:kern w:val="2"/>
          <w:sz w:val="24"/>
          <w:szCs w:val="24"/>
          <w:highlight w:val="none"/>
          <w:lang w:val="en-US" w:eastAsia="zh-CN" w:bidi="ar-SA"/>
        </w:rPr>
        <w:t>、②</w:t>
      </w:r>
      <w:r>
        <w:rPr>
          <w:rFonts w:hint="eastAsia" w:ascii="宋体" w:hAnsi="宋体" w:eastAsia="宋体" w:cs="宋体"/>
          <w:b w:val="0"/>
          <w:bCs w:val="0"/>
          <w:color w:val="auto"/>
          <w:kern w:val="2"/>
          <w:sz w:val="24"/>
          <w:szCs w:val="24"/>
          <w:highlight w:val="none"/>
          <w:lang w:val="en-US" w:eastAsia="zh-CN" w:bidi="ar-SA"/>
        </w:rPr>
        <w:t>技术措施方案</w:t>
      </w:r>
      <w:r>
        <w:rPr>
          <w:rFonts w:hint="eastAsia" w:ascii="宋体" w:eastAsia="宋体" w:cs="宋体"/>
          <w:b w:val="0"/>
          <w:bCs w:val="0"/>
          <w:color w:val="auto"/>
          <w:kern w:val="2"/>
          <w:sz w:val="24"/>
          <w:szCs w:val="24"/>
          <w:highlight w:val="none"/>
          <w:lang w:val="en-US" w:eastAsia="zh-CN" w:bidi="ar-SA"/>
        </w:rPr>
        <w:t>等内容；</w:t>
      </w:r>
    </w:p>
    <w:p w14:paraId="2EE9C908">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eastAsia="宋体" w:cs="宋体"/>
          <w:b w:val="0"/>
          <w:bCs w:val="0"/>
          <w:color w:val="auto"/>
          <w:kern w:val="2"/>
          <w:sz w:val="24"/>
          <w:szCs w:val="24"/>
          <w:highlight w:val="none"/>
          <w:lang w:val="en-US" w:eastAsia="zh-CN" w:bidi="ar-SA"/>
        </w:rPr>
      </w:pPr>
      <w:r>
        <w:rPr>
          <w:rFonts w:hint="eastAsia" w:ascii="宋体" w:eastAsia="宋体" w:cs="宋体"/>
          <w:b w:val="0"/>
          <w:bCs w:val="0"/>
          <w:color w:val="auto"/>
          <w:kern w:val="2"/>
          <w:sz w:val="24"/>
          <w:szCs w:val="24"/>
          <w:highlight w:val="none"/>
          <w:lang w:val="en-US" w:eastAsia="zh-CN" w:bidi="ar-SA"/>
        </w:rPr>
        <w:t>①施工部署：至少包含施工目标（明确项目的质量、安全、进度、文明施工及环保等控制目标，需量化、可考核）、施工组织架构（建立健全的项目管理组织机构，明确项目经理部各职能部门及关键岗位的职责分工，配备相应的管理人员与劳动力资源）、施工分区与流水段划分（根据项目特点、结构形式、工期要求及资源配置，科学划分施工区域与流水作业段，合理组织工序穿插与搭接，确保施工连续高效）、施工总平面布置等内容。</w:t>
      </w:r>
    </w:p>
    <w:p w14:paraId="0D4B7FB3">
      <w:pPr>
        <w:pStyle w:val="108"/>
        <w:spacing w:line="480" w:lineRule="exact"/>
        <w:ind w:firstLine="482"/>
        <w:outlineLvl w:val="1"/>
        <w:rPr>
          <w:rFonts w:hint="default" w:ascii="宋体" w:eastAsia="宋体" w:cs="宋体"/>
          <w:b w:val="0"/>
          <w:bCs w:val="0"/>
          <w:color w:val="auto"/>
          <w:kern w:val="2"/>
          <w:sz w:val="24"/>
          <w:szCs w:val="24"/>
          <w:highlight w:val="none"/>
          <w:lang w:val="en-US" w:eastAsia="zh-CN" w:bidi="ar-SA"/>
        </w:rPr>
      </w:pPr>
      <w:r>
        <w:rPr>
          <w:rFonts w:hint="eastAsia" w:ascii="宋体" w:eastAsia="宋体" w:cs="宋体"/>
          <w:b w:val="0"/>
          <w:bCs w:val="0"/>
          <w:color w:val="auto"/>
          <w:kern w:val="2"/>
          <w:sz w:val="24"/>
          <w:szCs w:val="24"/>
          <w:highlight w:val="none"/>
          <w:lang w:val="en-US" w:eastAsia="zh-CN" w:bidi="ar-SA"/>
        </w:rPr>
        <w:t>②</w:t>
      </w:r>
      <w:r>
        <w:rPr>
          <w:rFonts w:hint="eastAsia" w:ascii="宋体" w:hAnsi="宋体" w:eastAsia="宋体" w:cs="宋体"/>
          <w:b w:val="0"/>
          <w:bCs w:val="0"/>
          <w:color w:val="auto"/>
          <w:kern w:val="2"/>
          <w:sz w:val="24"/>
          <w:szCs w:val="24"/>
          <w:highlight w:val="none"/>
          <w:lang w:val="en-US" w:eastAsia="zh-CN" w:bidi="ar-SA"/>
        </w:rPr>
        <w:t>技术措施方案</w:t>
      </w:r>
      <w:r>
        <w:rPr>
          <w:rFonts w:hint="eastAsia" w:ascii="宋体" w:eastAsia="宋体" w:cs="宋体"/>
          <w:b w:val="0"/>
          <w:bCs w:val="0"/>
          <w:color w:val="auto"/>
          <w:kern w:val="2"/>
          <w:sz w:val="24"/>
          <w:szCs w:val="24"/>
          <w:highlight w:val="none"/>
          <w:lang w:val="en-US" w:eastAsia="zh-CN" w:bidi="ar-SA"/>
        </w:rPr>
        <w:t>：至少包含</w:t>
      </w:r>
      <w:r>
        <w:rPr>
          <w:rFonts w:hint="eastAsia" w:ascii="宋体" w:hAnsi="Times New Roman" w:eastAsia="宋体" w:cs="宋体"/>
          <w:b w:val="0"/>
          <w:bCs w:val="0"/>
          <w:color w:val="auto"/>
          <w:kern w:val="2"/>
          <w:sz w:val="24"/>
          <w:szCs w:val="24"/>
          <w:highlight w:val="none"/>
          <w:lang w:val="en-US" w:eastAsia="zh-CN" w:bidi="ar-SA"/>
        </w:rPr>
        <w:t>关键施工技术方案及工艺标准；新技术、新工艺应用方案；技术难点解决方案及应急预案；施工测量与检测方案等。</w:t>
      </w:r>
    </w:p>
    <w:p w14:paraId="01D737AF">
      <w:pPr>
        <w:pStyle w:val="30"/>
        <w:keepNext w:val="0"/>
        <w:keepLines w:val="0"/>
        <w:pageBreakBefore w:val="0"/>
        <w:widowControl w:val="0"/>
        <w:numPr>
          <w:ilvl w:val="0"/>
          <w:numId w:val="7"/>
        </w:numPr>
        <w:kinsoku/>
        <w:wordWrap/>
        <w:overflowPunct/>
        <w:topLinePunct w:val="0"/>
        <w:autoSpaceDE/>
        <w:autoSpaceDN/>
        <w:bidi w:val="0"/>
        <w:adjustRightInd/>
        <w:snapToGrid/>
        <w:spacing w:line="520" w:lineRule="exact"/>
        <w:ind w:left="0" w:leftChars="0" w:firstLine="482" w:firstLineChars="200"/>
        <w:textAlignment w:val="auto"/>
        <w:rPr>
          <w:rFonts w:hint="default" w:ascii="宋体" w:eastAsia="宋体" w:cs="宋体"/>
          <w:b/>
          <w:bCs/>
          <w:color w:val="auto"/>
          <w:kern w:val="2"/>
          <w:sz w:val="24"/>
          <w:szCs w:val="24"/>
          <w:highlight w:val="none"/>
          <w:lang w:val="en-US" w:eastAsia="zh-CN" w:bidi="ar-SA"/>
        </w:rPr>
      </w:pPr>
      <w:r>
        <w:rPr>
          <w:rFonts w:hint="default" w:ascii="宋体" w:eastAsia="宋体" w:cs="宋体"/>
          <w:b/>
          <w:bCs/>
          <w:color w:val="auto"/>
          <w:kern w:val="2"/>
          <w:sz w:val="24"/>
          <w:szCs w:val="24"/>
          <w:highlight w:val="none"/>
          <w:lang w:val="en-US" w:eastAsia="zh-CN" w:bidi="ar-SA"/>
        </w:rPr>
        <w:t>质量管理体系与保证措施</w:t>
      </w:r>
    </w:p>
    <w:p w14:paraId="31DF5175">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default" w:ascii="宋体" w:eastAsia="宋体" w:cs="宋体"/>
          <w:b w:val="0"/>
          <w:bCs w:val="0"/>
          <w:color w:val="auto"/>
          <w:kern w:val="2"/>
          <w:sz w:val="24"/>
          <w:szCs w:val="24"/>
          <w:highlight w:val="none"/>
          <w:lang w:val="en-US" w:eastAsia="zh-CN" w:bidi="ar-SA"/>
        </w:rPr>
      </w:pPr>
      <w:r>
        <w:rPr>
          <w:rFonts w:hint="default" w:ascii="宋体" w:eastAsia="宋体" w:cs="宋体"/>
          <w:b w:val="0"/>
          <w:bCs w:val="0"/>
          <w:color w:val="auto"/>
          <w:kern w:val="2"/>
          <w:sz w:val="24"/>
          <w:szCs w:val="24"/>
          <w:highlight w:val="none"/>
          <w:lang w:val="en-US" w:eastAsia="zh-CN" w:bidi="ar-SA"/>
        </w:rPr>
        <w:t>质量管理体系与保证措施至少包含详细的①质量管理制度、②质量手册、③生产管理相关程序性文件、④实施过程中质量记录等内容：</w:t>
      </w:r>
    </w:p>
    <w:p w14:paraId="546D9CEC">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default" w:ascii="宋体" w:eastAsia="宋体" w:cs="宋体"/>
          <w:b w:val="0"/>
          <w:bCs w:val="0"/>
          <w:color w:val="auto"/>
          <w:kern w:val="2"/>
          <w:sz w:val="24"/>
          <w:szCs w:val="24"/>
          <w:highlight w:val="none"/>
          <w:lang w:val="en-US" w:eastAsia="zh-CN" w:bidi="ar-SA"/>
        </w:rPr>
      </w:pPr>
      <w:r>
        <w:rPr>
          <w:rFonts w:hint="default" w:ascii="宋体" w:eastAsia="宋体" w:cs="宋体"/>
          <w:b w:val="0"/>
          <w:bCs w:val="0"/>
          <w:color w:val="auto"/>
          <w:kern w:val="2"/>
          <w:sz w:val="24"/>
          <w:szCs w:val="24"/>
          <w:highlight w:val="none"/>
          <w:lang w:val="en-US" w:eastAsia="zh-CN" w:bidi="ar-SA"/>
        </w:rPr>
        <w:t>①质量管理制度：包括质量目标（本工程发包人要求质量确保达到国家合格标准，若验收不合格者，承包人必须无偿整改达到承诺的质量标准及目标并承担相应的费用，由此造成的工期延误将不予顺延，承包人还将承担给发包人造成的实际经济损失）、管理流程、检验标准和持续改进措施等内容；</w:t>
      </w:r>
    </w:p>
    <w:p w14:paraId="59CE53ED">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default" w:ascii="宋体" w:eastAsia="宋体" w:cs="宋体"/>
          <w:b w:val="0"/>
          <w:bCs w:val="0"/>
          <w:color w:val="auto"/>
          <w:kern w:val="2"/>
          <w:sz w:val="24"/>
          <w:szCs w:val="24"/>
          <w:highlight w:val="none"/>
          <w:lang w:val="en-US" w:eastAsia="zh-CN" w:bidi="ar-SA"/>
        </w:rPr>
      </w:pPr>
      <w:r>
        <w:rPr>
          <w:rFonts w:hint="default" w:ascii="宋体" w:eastAsia="宋体" w:cs="宋体"/>
          <w:b w:val="0"/>
          <w:bCs w:val="0"/>
          <w:color w:val="auto"/>
          <w:kern w:val="2"/>
          <w:sz w:val="24"/>
          <w:szCs w:val="24"/>
          <w:highlight w:val="none"/>
          <w:lang w:val="en-US" w:eastAsia="zh-CN" w:bidi="ar-SA"/>
        </w:rPr>
        <w:t>②质量手册：包括质量方针、质量目标、组织结构、职责、程序文件、过程描述等内容；</w:t>
      </w:r>
    </w:p>
    <w:p w14:paraId="40EF3E7C">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default" w:ascii="宋体" w:eastAsia="宋体" w:cs="宋体"/>
          <w:b w:val="0"/>
          <w:bCs w:val="0"/>
          <w:color w:val="auto"/>
          <w:kern w:val="2"/>
          <w:sz w:val="24"/>
          <w:szCs w:val="24"/>
          <w:highlight w:val="none"/>
          <w:lang w:val="en-US" w:eastAsia="zh-CN" w:bidi="ar-SA"/>
        </w:rPr>
      </w:pPr>
      <w:r>
        <w:rPr>
          <w:rFonts w:hint="default" w:ascii="宋体" w:eastAsia="宋体" w:cs="宋体"/>
          <w:b w:val="0"/>
          <w:bCs w:val="0"/>
          <w:color w:val="auto"/>
          <w:kern w:val="2"/>
          <w:sz w:val="24"/>
          <w:szCs w:val="24"/>
          <w:highlight w:val="none"/>
          <w:lang w:val="en-US" w:eastAsia="zh-CN" w:bidi="ar-SA"/>
        </w:rPr>
        <w:t>③生产管理相关程序性文件：项目管理手册、程序文件、作业指导书、记录表单等内容；</w:t>
      </w:r>
    </w:p>
    <w:p w14:paraId="71009FDC">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default" w:ascii="宋体" w:eastAsia="宋体" w:cs="宋体"/>
          <w:b w:val="0"/>
          <w:bCs w:val="0"/>
          <w:color w:val="auto"/>
          <w:kern w:val="2"/>
          <w:sz w:val="24"/>
          <w:szCs w:val="24"/>
          <w:highlight w:val="none"/>
          <w:lang w:val="en-US" w:eastAsia="zh-CN" w:bidi="ar-SA"/>
        </w:rPr>
      </w:pPr>
      <w:r>
        <w:rPr>
          <w:rFonts w:hint="default" w:ascii="宋体" w:eastAsia="宋体" w:cs="宋体"/>
          <w:b w:val="0"/>
          <w:bCs w:val="0"/>
          <w:color w:val="auto"/>
          <w:kern w:val="2"/>
          <w:sz w:val="24"/>
          <w:szCs w:val="24"/>
          <w:highlight w:val="none"/>
          <w:lang w:val="en-US" w:eastAsia="zh-CN" w:bidi="ar-SA"/>
        </w:rPr>
        <w:t>④实施过程中质量记录：质量记录须覆盖“人、机、料、法、环、测”六大环节，并满足监理“六性”要求（完整、真实、可追溯、可验证、可检索、可归档）。</w:t>
      </w:r>
    </w:p>
    <w:p w14:paraId="76E478E8">
      <w:pPr>
        <w:pStyle w:val="30"/>
        <w:keepNext w:val="0"/>
        <w:keepLines w:val="0"/>
        <w:pageBreakBefore w:val="0"/>
        <w:widowControl w:val="0"/>
        <w:numPr>
          <w:ilvl w:val="0"/>
          <w:numId w:val="7"/>
        </w:numPr>
        <w:kinsoku/>
        <w:wordWrap/>
        <w:overflowPunct/>
        <w:topLinePunct w:val="0"/>
        <w:autoSpaceDE/>
        <w:autoSpaceDN/>
        <w:bidi w:val="0"/>
        <w:adjustRightInd/>
        <w:snapToGrid/>
        <w:spacing w:line="520" w:lineRule="exact"/>
        <w:ind w:left="0" w:leftChars="0" w:firstLine="482" w:firstLineChars="200"/>
        <w:textAlignment w:val="auto"/>
        <w:rPr>
          <w:rFonts w:hint="eastAsia" w:ascii="宋体" w:eastAsia="宋体" w:cs="宋体"/>
          <w:b/>
          <w:bCs/>
          <w:color w:val="auto"/>
          <w:kern w:val="2"/>
          <w:sz w:val="24"/>
          <w:szCs w:val="24"/>
          <w:highlight w:val="none"/>
          <w:lang w:val="en-US" w:eastAsia="zh-CN" w:bidi="ar-SA"/>
        </w:rPr>
      </w:pPr>
      <w:r>
        <w:rPr>
          <w:rFonts w:hint="eastAsia" w:ascii="宋体" w:eastAsia="宋体" w:cs="宋体"/>
          <w:b/>
          <w:bCs/>
          <w:color w:val="auto"/>
          <w:kern w:val="2"/>
          <w:sz w:val="24"/>
          <w:szCs w:val="24"/>
          <w:highlight w:val="none"/>
          <w:lang w:val="en-US" w:eastAsia="zh-CN" w:bidi="ar-SA"/>
        </w:rPr>
        <w:t>安全和绿色施工保障措施</w:t>
      </w:r>
    </w:p>
    <w:p w14:paraId="181B4D86">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eastAsia="宋体" w:cs="宋体"/>
          <w:b w:val="0"/>
          <w:bCs w:val="0"/>
          <w:color w:val="auto"/>
          <w:kern w:val="2"/>
          <w:sz w:val="24"/>
          <w:szCs w:val="24"/>
          <w:highlight w:val="none"/>
          <w:lang w:val="en-US" w:eastAsia="zh-CN" w:bidi="ar-SA"/>
        </w:rPr>
      </w:pPr>
      <w:r>
        <w:rPr>
          <w:rFonts w:hint="eastAsia" w:ascii="宋体" w:eastAsia="宋体" w:cs="宋体"/>
          <w:b w:val="0"/>
          <w:bCs w:val="0"/>
          <w:color w:val="auto"/>
          <w:kern w:val="2"/>
          <w:sz w:val="24"/>
          <w:szCs w:val="24"/>
          <w:highlight w:val="none"/>
          <w:lang w:val="en-US" w:eastAsia="zh-CN" w:bidi="ar-SA"/>
        </w:rPr>
        <w:t>中标人必须根据施工特点，充分考虑各种因素对施工的影响，编制规范、科学、合理的施工方案，保证施工工作安全无事故。施工时，中标人必须严格按规范要求施工人员做好安全保护，特别是吊车、卡车等机械、车辆必须持证上岗，严格按照施工操作规程施工，有专职安全人员负责施工区域安全管理，做好相关防护措施，施工区域必须做好四周防护（搭建防护围栏或拉设安全警戒线），在醒目处张贴安全警示标志。中标人要特别注意采取规范的安全防范措施，负责本工程施工中遇到的一切地方矛盾协调和安全责任并承担由此引发的一切费用，所有安全责任由中标人完全负责，与采购人无关。安全和绿色施工保障措施至少包含①安全教育和培训内容、②安全管理制度、③应急预案保障措施、④绿色施工等内容：</w:t>
      </w:r>
    </w:p>
    <w:p w14:paraId="3DCBBD1C">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eastAsia="宋体" w:cs="宋体"/>
          <w:b w:val="0"/>
          <w:bCs w:val="0"/>
          <w:color w:val="auto"/>
          <w:kern w:val="2"/>
          <w:sz w:val="24"/>
          <w:szCs w:val="24"/>
          <w:highlight w:val="none"/>
          <w:lang w:val="en-US" w:eastAsia="zh-CN" w:bidi="ar-SA"/>
        </w:rPr>
      </w:pPr>
      <w:r>
        <w:rPr>
          <w:rFonts w:hint="eastAsia" w:ascii="宋体" w:eastAsia="宋体" w:cs="宋体"/>
          <w:b w:val="0"/>
          <w:bCs w:val="0"/>
          <w:color w:val="auto"/>
          <w:kern w:val="2"/>
          <w:sz w:val="24"/>
          <w:szCs w:val="24"/>
          <w:highlight w:val="none"/>
          <w:lang w:val="en-US" w:eastAsia="zh-CN" w:bidi="ar-SA"/>
        </w:rPr>
        <w:t>①安全教育和培训内容：需覆盖“法律法规 → 现场风险 → 岗位技能 → 应急处突”四个层级，并坚持“三级安全教育+专项+再教育”模式。</w:t>
      </w:r>
    </w:p>
    <w:p w14:paraId="6AE9CE8B">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eastAsia="宋体" w:cs="宋体"/>
          <w:b w:val="0"/>
          <w:bCs w:val="0"/>
          <w:color w:val="auto"/>
          <w:kern w:val="2"/>
          <w:sz w:val="24"/>
          <w:szCs w:val="24"/>
          <w:highlight w:val="none"/>
          <w:lang w:val="en-US" w:eastAsia="zh-CN" w:bidi="ar-SA"/>
        </w:rPr>
      </w:pPr>
      <w:r>
        <w:rPr>
          <w:rFonts w:hint="eastAsia" w:ascii="宋体" w:eastAsia="宋体" w:cs="宋体"/>
          <w:b w:val="0"/>
          <w:bCs w:val="0"/>
          <w:color w:val="auto"/>
          <w:kern w:val="2"/>
          <w:sz w:val="24"/>
          <w:szCs w:val="24"/>
          <w:highlight w:val="none"/>
          <w:lang w:val="en-US" w:eastAsia="zh-CN" w:bidi="ar-SA"/>
        </w:rPr>
        <w:t>②安全管理制度：需覆盖“组织-过程-应急-监督-改进”全周期，并满足《安全生产法》《建设工程安全生产管理条例》等法规最低要求。</w:t>
      </w:r>
    </w:p>
    <w:p w14:paraId="2098B001">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eastAsia="宋体" w:cs="宋体"/>
          <w:b w:val="0"/>
          <w:bCs w:val="0"/>
          <w:color w:val="auto"/>
          <w:kern w:val="2"/>
          <w:sz w:val="24"/>
          <w:szCs w:val="24"/>
          <w:highlight w:val="none"/>
          <w:lang w:val="en-US" w:eastAsia="zh-CN" w:bidi="ar-SA"/>
        </w:rPr>
      </w:pPr>
      <w:r>
        <w:rPr>
          <w:rFonts w:hint="eastAsia" w:ascii="宋体" w:eastAsia="宋体" w:cs="宋体"/>
          <w:b w:val="0"/>
          <w:bCs w:val="0"/>
          <w:color w:val="auto"/>
          <w:kern w:val="2"/>
          <w:sz w:val="24"/>
          <w:szCs w:val="24"/>
          <w:highlight w:val="none"/>
          <w:lang w:val="en-US" w:eastAsia="zh-CN" w:bidi="ar-SA"/>
        </w:rPr>
        <w:t>③应急预案保障措施：做好组织保障、制度保障、通讯与信息保障、交通与场地保障等方面的保障措施。</w:t>
      </w:r>
    </w:p>
    <w:p w14:paraId="1513623E">
      <w:pPr>
        <w:pStyle w:val="30"/>
        <w:keepNext w:val="0"/>
        <w:keepLines w:val="0"/>
        <w:pageBreakBefore w:val="0"/>
        <w:widowControl/>
        <w:numPr>
          <w:ilvl w:val="0"/>
          <w:numId w:val="0"/>
        </w:numPr>
        <w:kinsoku/>
        <w:wordWrap/>
        <w:overflowPunct/>
        <w:topLinePunct w:val="0"/>
        <w:autoSpaceDE/>
        <w:autoSpaceDN/>
        <w:bidi w:val="0"/>
        <w:adjustRightInd/>
        <w:snapToGrid/>
        <w:spacing w:line="520" w:lineRule="exact"/>
        <w:ind w:left="0" w:leftChars="0" w:firstLine="480" w:firstLineChars="200"/>
        <w:textAlignment w:val="auto"/>
        <w:rPr>
          <w:rFonts w:hint="eastAsia" w:ascii="宋体" w:eastAsia="宋体" w:cs="宋体"/>
          <w:b/>
          <w:bCs/>
          <w:color w:val="auto"/>
          <w:kern w:val="2"/>
          <w:sz w:val="24"/>
          <w:szCs w:val="24"/>
          <w:highlight w:val="none"/>
          <w:lang w:val="en-US" w:eastAsia="zh-CN" w:bidi="ar-SA"/>
        </w:rPr>
      </w:pPr>
      <w:r>
        <w:rPr>
          <w:rFonts w:hint="eastAsia" w:ascii="宋体" w:eastAsia="宋体" w:cs="宋体"/>
          <w:b w:val="0"/>
          <w:bCs w:val="0"/>
          <w:color w:val="auto"/>
          <w:kern w:val="2"/>
          <w:sz w:val="24"/>
          <w:szCs w:val="24"/>
          <w:highlight w:val="none"/>
          <w:lang w:val="en-US" w:eastAsia="zh-CN" w:bidi="ar-SA"/>
        </w:rPr>
        <w:t>④绿色施工：绿色施工保障措施包含但不限于节能、节水、节约材料与资源利用、环境保护等方面的内容。</w:t>
      </w:r>
    </w:p>
    <w:p w14:paraId="58D1EB40">
      <w:pPr>
        <w:pStyle w:val="30"/>
        <w:keepNext w:val="0"/>
        <w:keepLines w:val="0"/>
        <w:pageBreakBefore w:val="0"/>
        <w:widowControl w:val="0"/>
        <w:numPr>
          <w:ilvl w:val="0"/>
          <w:numId w:val="7"/>
        </w:numPr>
        <w:kinsoku/>
        <w:wordWrap/>
        <w:overflowPunct/>
        <w:topLinePunct w:val="0"/>
        <w:autoSpaceDE/>
        <w:autoSpaceDN/>
        <w:bidi w:val="0"/>
        <w:adjustRightInd/>
        <w:snapToGrid/>
        <w:spacing w:line="520" w:lineRule="exact"/>
        <w:ind w:left="0" w:leftChars="0" w:firstLine="482" w:firstLineChars="200"/>
        <w:textAlignment w:val="auto"/>
        <w:rPr>
          <w:rFonts w:hint="eastAsia" w:ascii="宋体" w:eastAsia="宋体" w:cs="宋体"/>
          <w:b/>
          <w:bCs/>
          <w:color w:val="auto"/>
          <w:kern w:val="2"/>
          <w:sz w:val="24"/>
          <w:szCs w:val="24"/>
          <w:highlight w:val="none"/>
          <w:lang w:val="en-US" w:eastAsia="zh-CN" w:bidi="ar-SA"/>
        </w:rPr>
      </w:pPr>
      <w:r>
        <w:rPr>
          <w:rFonts w:hint="eastAsia" w:ascii="宋体" w:eastAsia="宋体" w:cs="宋体"/>
          <w:b/>
          <w:bCs/>
          <w:color w:val="auto"/>
          <w:kern w:val="2"/>
          <w:sz w:val="24"/>
          <w:szCs w:val="24"/>
          <w:highlight w:val="none"/>
          <w:lang w:val="en-US" w:eastAsia="zh-CN" w:bidi="ar-SA"/>
        </w:rPr>
        <w:t>工程进度计划与保证措施</w:t>
      </w:r>
    </w:p>
    <w:p w14:paraId="6AAA397E">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工程进度计划与保证措施至少包含①对项目进度的整体把控、②详细合理的时间节点安排、③进度控制目标体系、④实施过程中如出现影响施工进度的保障措施等内容：</w:t>
      </w:r>
    </w:p>
    <w:p w14:paraId="70F8FFF5">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①对项目进度的整体把控：自合同签订之日</w:t>
      </w:r>
      <w:r>
        <w:rPr>
          <w:rFonts w:hint="eastAsia" w:ascii="宋体" w:hAnsi="宋体" w:eastAsia="宋体" w:cs="宋体"/>
          <w:color w:val="auto"/>
          <w:kern w:val="2"/>
          <w:sz w:val="24"/>
          <w:szCs w:val="24"/>
          <w:highlight w:val="none"/>
          <w:lang w:val="en-US" w:eastAsia="zh-CN" w:bidi="ar-SA"/>
        </w:rPr>
        <w:t>起</w:t>
      </w:r>
      <w:r>
        <w:rPr>
          <w:rFonts w:hint="eastAsia" w:asci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0日历天</w:t>
      </w:r>
      <w:r>
        <w:rPr>
          <w:rFonts w:hint="eastAsia" w:ascii="宋体" w:hAnsi="宋体" w:eastAsia="宋体" w:cs="宋体"/>
          <w:color w:val="auto"/>
          <w:kern w:val="2"/>
          <w:sz w:val="24"/>
          <w:szCs w:val="24"/>
          <w:highlight w:val="none"/>
          <w:lang w:val="en-US" w:eastAsia="zh-CN" w:bidi="ar-SA"/>
        </w:rPr>
        <w:t>内完成本项目的设计、采购及施工工作。施工过程中，不得以任何借口停工怠工。如因中标人原因延误工期的，按合同规定向采购人支付违约金，并从到期的工程款或履约保证金中直接扣除，由此导致工程款支付延误等责任均由中标人承担。如因采购人原因且符合工程工期顺延的情况，经由采购人代表书面签证确认后方可顺延，否则视为中标人原因延误工期。</w:t>
      </w:r>
    </w:p>
    <w:p w14:paraId="4CDBB10B">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②详细合理的时间节点安排：详细的设计、采购、施工各自的进度计划及时间节点安排。</w:t>
      </w:r>
    </w:p>
    <w:p w14:paraId="45FCC6F2">
      <w:pPr>
        <w:pStyle w:val="30"/>
        <w:keepNext w:val="0"/>
        <w:keepLines w:val="0"/>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③进度控制目标体系：确保项目按期完成：在保证工程质量的前提下，确保项目按合同工期竣工。资源合理配置：在进度管理中，确保资源的合理配置，以达到整体最优化。严格计划审批：根据合同要求，进行计划审批，并在实施过程中进行检查，及时进行计划和进度差分析。动态进度控制：在施工阶段采取主动的动态进度控制措施，以应对可能的偏差。</w:t>
      </w:r>
    </w:p>
    <w:p w14:paraId="33089762">
      <w:pPr>
        <w:pStyle w:val="30"/>
        <w:keepNext w:val="0"/>
        <w:keepLines w:val="0"/>
        <w:pageBreakBefore w:val="0"/>
        <w:widowControl/>
        <w:numPr>
          <w:ilvl w:val="0"/>
          <w:numId w:val="0"/>
        </w:numPr>
        <w:kinsoku/>
        <w:wordWrap/>
        <w:overflowPunct/>
        <w:topLinePunct w:val="0"/>
        <w:autoSpaceDE/>
        <w:autoSpaceDN/>
        <w:bidi w:val="0"/>
        <w:adjustRightInd/>
        <w:snapToGrid/>
        <w:spacing w:line="520" w:lineRule="exact"/>
        <w:ind w:left="0" w:leftChars="0" w:firstLine="480" w:firstLineChars="200"/>
        <w:textAlignment w:val="auto"/>
        <w:rPr>
          <w:rFonts w:hint="default" w:ascii="宋体" w:eastAsia="宋体" w:cs="宋体"/>
          <w:b/>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④实施过程中如出现影响施工进度的保障措施：完善责任分工与沟通机制、平衡技术标准化与灵活性、强化供应链管理与应急预案建设。</w:t>
      </w:r>
    </w:p>
    <w:p w14:paraId="5223886E">
      <w:pPr>
        <w:pStyle w:val="30"/>
        <w:keepNext w:val="0"/>
        <w:keepLines w:val="0"/>
        <w:pageBreakBefore w:val="0"/>
        <w:widowControl w:val="0"/>
        <w:numPr>
          <w:ilvl w:val="0"/>
          <w:numId w:val="7"/>
        </w:numPr>
        <w:kinsoku/>
        <w:wordWrap/>
        <w:overflowPunct/>
        <w:topLinePunct w:val="0"/>
        <w:autoSpaceDE/>
        <w:autoSpaceDN/>
        <w:bidi w:val="0"/>
        <w:adjustRightInd/>
        <w:snapToGrid/>
        <w:spacing w:line="440" w:lineRule="exact"/>
        <w:ind w:left="0" w:leftChars="0" w:firstLine="482" w:firstLineChars="200"/>
        <w:textAlignment w:val="auto"/>
        <w:rPr>
          <w:rFonts w:hint="default" w:ascii="宋体" w:eastAsia="宋体" w:cs="宋体"/>
          <w:b/>
          <w:bCs/>
          <w:color w:val="auto"/>
          <w:kern w:val="2"/>
          <w:sz w:val="24"/>
          <w:szCs w:val="24"/>
          <w:highlight w:val="none"/>
          <w:lang w:val="en-US" w:eastAsia="zh-CN" w:bidi="ar-SA"/>
        </w:rPr>
      </w:pPr>
      <w:r>
        <w:rPr>
          <w:rFonts w:hint="eastAsia" w:ascii="宋体" w:eastAsia="宋体" w:cs="宋体"/>
          <w:b/>
          <w:bCs/>
          <w:color w:val="auto"/>
          <w:kern w:val="2"/>
          <w:sz w:val="24"/>
          <w:szCs w:val="24"/>
          <w:highlight w:val="none"/>
          <w:lang w:val="en-US" w:eastAsia="zh-CN" w:bidi="ar-SA"/>
        </w:rPr>
        <w:t>本工程重点难点分析</w:t>
      </w:r>
    </w:p>
    <w:p w14:paraId="0EF65A5B">
      <w:pPr>
        <w:pStyle w:val="30"/>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eastAsia="宋体" w:cs="宋体"/>
          <w:color w:val="auto"/>
          <w:kern w:val="2"/>
          <w:sz w:val="24"/>
          <w:szCs w:val="24"/>
          <w:highlight w:val="none"/>
          <w:lang w:val="en-US" w:eastAsia="zh-CN" w:bidi="ar-SA"/>
        </w:rPr>
      </w:pPr>
      <w:r>
        <w:rPr>
          <w:rFonts w:hint="eastAsia" w:ascii="宋体" w:eastAsia="宋体" w:cs="宋体"/>
          <w:color w:val="auto"/>
          <w:kern w:val="2"/>
          <w:sz w:val="24"/>
          <w:szCs w:val="24"/>
          <w:highlight w:val="none"/>
          <w:lang w:val="en-US" w:eastAsia="zh-CN" w:bidi="ar-SA"/>
        </w:rPr>
        <w:t>本工程重点难点分析至少包含：①技术难点、②环境制约难点、③协调管理难点、④成本控制难点等内容：</w:t>
      </w:r>
    </w:p>
    <w:p w14:paraId="03FA3CDD">
      <w:pPr>
        <w:pStyle w:val="30"/>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eastAsia="宋体" w:cs="宋体"/>
          <w:color w:val="auto"/>
          <w:kern w:val="2"/>
          <w:sz w:val="24"/>
          <w:szCs w:val="24"/>
          <w:highlight w:val="none"/>
          <w:lang w:val="en-US" w:eastAsia="zh-CN" w:bidi="ar-SA"/>
        </w:rPr>
      </w:pPr>
      <w:r>
        <w:rPr>
          <w:rFonts w:hint="eastAsia" w:ascii="宋体" w:eastAsia="宋体" w:cs="宋体"/>
          <w:color w:val="auto"/>
          <w:kern w:val="2"/>
          <w:sz w:val="24"/>
          <w:szCs w:val="24"/>
          <w:highlight w:val="none"/>
          <w:lang w:val="en-US" w:eastAsia="zh-CN" w:bidi="ar-SA"/>
        </w:rPr>
        <w:t>①技术难点：包括复杂工艺实施、新材料/新工艺应用、精度控制要求等方面要求；</w:t>
      </w:r>
    </w:p>
    <w:p w14:paraId="679D8436">
      <w:pPr>
        <w:pStyle w:val="30"/>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eastAsia="宋体" w:cs="宋体"/>
          <w:color w:val="auto"/>
          <w:kern w:val="2"/>
          <w:sz w:val="24"/>
          <w:szCs w:val="24"/>
          <w:highlight w:val="none"/>
          <w:lang w:val="en-US" w:eastAsia="zh-CN" w:bidi="ar-SA"/>
        </w:rPr>
      </w:pPr>
      <w:r>
        <w:rPr>
          <w:rFonts w:hint="eastAsia" w:ascii="宋体" w:eastAsia="宋体" w:cs="宋体"/>
          <w:color w:val="auto"/>
          <w:kern w:val="2"/>
          <w:sz w:val="24"/>
          <w:szCs w:val="24"/>
          <w:highlight w:val="none"/>
          <w:lang w:val="en-US" w:eastAsia="zh-CN" w:bidi="ar-SA"/>
        </w:rPr>
        <w:t>②环境制约难点：包括场地限制、周边敏感环境等方面要求；</w:t>
      </w:r>
    </w:p>
    <w:p w14:paraId="46472AB1">
      <w:pPr>
        <w:pStyle w:val="30"/>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eastAsia="宋体" w:cs="宋体"/>
          <w:color w:val="auto"/>
          <w:kern w:val="2"/>
          <w:sz w:val="24"/>
          <w:szCs w:val="24"/>
          <w:highlight w:val="none"/>
          <w:lang w:val="en-US" w:eastAsia="zh-CN" w:bidi="ar-SA"/>
        </w:rPr>
      </w:pPr>
      <w:r>
        <w:rPr>
          <w:rFonts w:hint="eastAsia" w:ascii="宋体" w:eastAsia="宋体" w:cs="宋体"/>
          <w:color w:val="auto"/>
          <w:kern w:val="2"/>
          <w:sz w:val="24"/>
          <w:szCs w:val="24"/>
          <w:highlight w:val="none"/>
          <w:lang w:val="en-US" w:eastAsia="zh-CN" w:bidi="ar-SA"/>
        </w:rPr>
        <w:t>③协调管理难点：包括多方协同复杂、外部关系协调、突发风险应对等方面要求；</w:t>
      </w:r>
    </w:p>
    <w:p w14:paraId="2B8EC2ED">
      <w:pPr>
        <w:pStyle w:val="100"/>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b/>
          <w:color w:val="auto"/>
          <w:kern w:val="0"/>
          <w:sz w:val="24"/>
          <w:szCs w:val="24"/>
          <w:highlight w:val="none"/>
          <w:lang w:val="en-US" w:eastAsia="zh-CN"/>
        </w:rPr>
      </w:pPr>
      <w:r>
        <w:rPr>
          <w:rFonts w:hint="eastAsia" w:ascii="宋体" w:eastAsia="宋体" w:cs="宋体"/>
          <w:color w:val="auto"/>
          <w:kern w:val="2"/>
          <w:sz w:val="24"/>
          <w:szCs w:val="24"/>
          <w:highlight w:val="none"/>
          <w:lang w:val="en-US" w:eastAsia="zh-CN" w:bidi="ar-SA"/>
        </w:rPr>
        <w:t>④成本控制难点：包不可预见费用、资源价格波动等方面要求。</w:t>
      </w:r>
    </w:p>
    <w:p w14:paraId="41D1DD35">
      <w:pPr>
        <w:pStyle w:val="100"/>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cs="宋体"/>
          <w:b/>
          <w:color w:val="auto"/>
          <w:kern w:val="0"/>
          <w:sz w:val="24"/>
          <w:szCs w:val="24"/>
          <w:highlight w:val="none"/>
          <w:lang w:val="en-US" w:eastAsia="zh-CN"/>
        </w:rPr>
      </w:pPr>
      <w:r>
        <w:rPr>
          <w:rFonts w:hint="eastAsia" w:ascii="宋体" w:hAnsi="宋体" w:cs="宋体"/>
          <w:b/>
          <w:color w:val="auto"/>
          <w:kern w:val="0"/>
          <w:sz w:val="24"/>
          <w:szCs w:val="24"/>
          <w:highlight w:val="none"/>
          <w:lang w:val="en-US" w:eastAsia="zh-CN"/>
        </w:rPr>
        <w:t>五、其它要求</w:t>
      </w:r>
    </w:p>
    <w:p w14:paraId="2B0B7B67">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eastAsiaTheme="minorEastAsia" w:cstheme="minorBidi"/>
          <w:sz w:val="24"/>
          <w:szCs w:val="24"/>
          <w:highlight w:val="none"/>
        </w:rPr>
      </w:pPr>
      <w:r>
        <w:rPr>
          <w:rFonts w:hint="eastAsia" w:ascii="宋体" w:hAnsi="宋体" w:eastAsiaTheme="minorEastAsia" w:cstheme="minorBidi"/>
          <w:sz w:val="24"/>
          <w:szCs w:val="24"/>
          <w:highlight w:val="none"/>
          <w:lang w:val="en-US" w:eastAsia="zh-CN"/>
        </w:rPr>
        <w:t>1.</w:t>
      </w:r>
      <w:r>
        <w:rPr>
          <w:rFonts w:hint="eastAsia" w:ascii="宋体" w:hAnsi="宋体" w:eastAsiaTheme="minorEastAsia" w:cstheme="minorBidi"/>
          <w:sz w:val="24"/>
          <w:szCs w:val="24"/>
          <w:highlight w:val="none"/>
        </w:rPr>
        <w:t>供应商有丰富的</w:t>
      </w:r>
      <w:r>
        <w:rPr>
          <w:rFonts w:hint="eastAsia" w:ascii="宋体" w:hAnsi="宋体" w:eastAsiaTheme="minorEastAsia" w:cstheme="minorBidi"/>
          <w:sz w:val="24"/>
          <w:szCs w:val="24"/>
          <w:highlight w:val="none"/>
          <w:lang w:val="en-US" w:eastAsia="zh-CN"/>
        </w:rPr>
        <w:t>相关</w:t>
      </w:r>
      <w:r>
        <w:rPr>
          <w:rFonts w:hint="eastAsia" w:ascii="宋体" w:hAnsi="宋体" w:eastAsiaTheme="minorEastAsia" w:cstheme="minorBidi"/>
          <w:sz w:val="24"/>
          <w:szCs w:val="24"/>
          <w:highlight w:val="none"/>
        </w:rPr>
        <w:t>项目承接经验，为了确保项目的顺利实施，投标人自</w:t>
      </w:r>
      <w:r>
        <w:rPr>
          <w:rFonts w:hint="eastAsia" w:ascii="宋体" w:hAnsi="宋体" w:eastAsiaTheme="minorEastAsia" w:cstheme="minorBidi"/>
          <w:sz w:val="24"/>
          <w:szCs w:val="24"/>
          <w:highlight w:val="none"/>
          <w:lang w:val="en-US" w:eastAsia="zh-CN"/>
        </w:rPr>
        <w:t>2023</w:t>
      </w:r>
      <w:r>
        <w:rPr>
          <w:rFonts w:hint="eastAsia" w:ascii="宋体" w:hAnsi="宋体" w:eastAsiaTheme="minorEastAsia" w:cstheme="minorBidi"/>
          <w:sz w:val="24"/>
          <w:szCs w:val="24"/>
          <w:highlight w:val="none"/>
        </w:rPr>
        <w:t>年1月1日以来（以合同签订时间为准）承担过</w:t>
      </w:r>
      <w:r>
        <w:rPr>
          <w:rFonts w:hint="eastAsia" w:ascii="宋体" w:hAnsi="宋体" w:eastAsiaTheme="minorEastAsia" w:cstheme="minorBidi"/>
          <w:sz w:val="24"/>
          <w:szCs w:val="24"/>
          <w:highlight w:val="none"/>
          <w:lang w:val="en-US" w:eastAsia="zh-CN"/>
        </w:rPr>
        <w:t>类似</w:t>
      </w:r>
      <w:r>
        <w:rPr>
          <w:rFonts w:hint="eastAsia" w:ascii="宋体" w:hAnsi="宋体" w:cs="宋体"/>
          <w:sz w:val="24"/>
          <w:szCs w:val="24"/>
          <w:highlight w:val="none"/>
        </w:rPr>
        <w:t>体育场</w:t>
      </w:r>
      <w:r>
        <w:rPr>
          <w:rFonts w:hint="eastAsia" w:ascii="宋体" w:hAnsi="宋体" w:cs="宋体"/>
          <w:sz w:val="24"/>
          <w:szCs w:val="24"/>
          <w:highlight w:val="none"/>
          <w:lang w:val="en-US" w:eastAsia="zh-CN"/>
        </w:rPr>
        <w:t>或</w:t>
      </w:r>
      <w:r>
        <w:rPr>
          <w:rFonts w:hint="eastAsia" w:ascii="宋体" w:hAnsi="宋体" w:cs="宋体"/>
          <w:sz w:val="24"/>
          <w:szCs w:val="24"/>
          <w:highlight w:val="none"/>
        </w:rPr>
        <w:t>田径场</w:t>
      </w:r>
      <w:r>
        <w:rPr>
          <w:rFonts w:hint="eastAsia" w:ascii="宋体" w:hAnsi="宋体" w:cs="宋体"/>
          <w:sz w:val="24"/>
          <w:szCs w:val="24"/>
          <w:highlight w:val="none"/>
          <w:lang w:val="en-US" w:eastAsia="zh-CN"/>
        </w:rPr>
        <w:t>维修</w:t>
      </w:r>
      <w:r>
        <w:rPr>
          <w:rFonts w:hint="eastAsia" w:ascii="宋体" w:hAnsi="宋体" w:cs="宋体"/>
          <w:sz w:val="24"/>
          <w:szCs w:val="24"/>
          <w:highlight w:val="none"/>
        </w:rPr>
        <w:t>改造</w:t>
      </w:r>
      <w:r>
        <w:rPr>
          <w:rFonts w:hint="eastAsia" w:ascii="宋体" w:hAnsi="宋体" w:cs="宋体"/>
          <w:sz w:val="24"/>
          <w:szCs w:val="24"/>
          <w:highlight w:val="none"/>
          <w:lang w:val="en-US" w:eastAsia="zh-CN"/>
        </w:rPr>
        <w:t>或新建工程项目的</w:t>
      </w:r>
      <w:r>
        <w:rPr>
          <w:rFonts w:hint="eastAsia" w:ascii="宋体" w:hAnsi="宋体" w:eastAsiaTheme="minorEastAsia" w:cstheme="minorBidi"/>
          <w:sz w:val="24"/>
          <w:szCs w:val="24"/>
          <w:highlight w:val="none"/>
        </w:rPr>
        <w:t>优先。</w:t>
      </w:r>
    </w:p>
    <w:p w14:paraId="531D8AB8">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eastAsiaTheme="minorEastAsia" w:cstheme="minorBidi"/>
          <w:sz w:val="24"/>
          <w:szCs w:val="24"/>
          <w:highlight w:val="none"/>
          <w:lang w:eastAsia="zh-CN"/>
        </w:rPr>
      </w:pPr>
      <w:r>
        <w:rPr>
          <w:rFonts w:hint="eastAsia" w:ascii="宋体" w:hAnsi="宋体" w:eastAsiaTheme="minorEastAsia" w:cstheme="minorBidi"/>
          <w:sz w:val="24"/>
          <w:szCs w:val="24"/>
          <w:highlight w:val="none"/>
          <w:lang w:val="en-US" w:eastAsia="zh-CN"/>
        </w:rPr>
        <w:t>2.</w:t>
      </w:r>
      <w:r>
        <w:rPr>
          <w:rFonts w:hint="eastAsia" w:ascii="宋体" w:hAnsi="宋体" w:eastAsiaTheme="minorEastAsia" w:cstheme="minorBidi"/>
          <w:sz w:val="24"/>
          <w:szCs w:val="24"/>
          <w:highlight w:val="none"/>
        </w:rPr>
        <w:t>本项目为</w:t>
      </w:r>
      <w:r>
        <w:rPr>
          <w:rFonts w:hint="eastAsia" w:cs="宋体"/>
          <w:color w:val="auto"/>
          <w:sz w:val="24"/>
          <w:szCs w:val="24"/>
          <w:highlight w:val="none"/>
          <w:lang w:eastAsia="zh-CN"/>
        </w:rPr>
        <w:t>盐城亭湖新区实验小学操场维修改造</w:t>
      </w:r>
      <w:r>
        <w:rPr>
          <w:rFonts w:hint="eastAsia" w:ascii="宋体" w:hAnsi="宋体" w:eastAsiaTheme="minorEastAsia" w:cstheme="minorBidi"/>
          <w:sz w:val="24"/>
          <w:szCs w:val="24"/>
          <w:highlight w:val="none"/>
        </w:rPr>
        <w:t>，为保证项目能够顺利实施，本项目的项目负责人具有建设工程类中级工程师职称的或具有建设工程类高级工程师及以上职称的优先；本项目的技术负责人具有建设工程类中级工程师职称的或具有建设工程类高级工程师及以上职称的优先</w:t>
      </w:r>
      <w:r>
        <w:rPr>
          <w:rFonts w:hint="eastAsia" w:ascii="宋体" w:hAnsi="宋体" w:eastAsiaTheme="minorEastAsia" w:cstheme="minorBidi"/>
          <w:sz w:val="24"/>
          <w:szCs w:val="24"/>
          <w:highlight w:val="none"/>
          <w:lang w:eastAsia="zh-CN"/>
        </w:rPr>
        <w:t>，项目组成员（不含项目经理及技术负责人）具备建设工程类中级及以上职称的的优先。</w:t>
      </w:r>
    </w:p>
    <w:p w14:paraId="04488C1E">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eastAsiaTheme="minorEastAsia" w:cstheme="minorBidi"/>
          <w:sz w:val="24"/>
          <w:szCs w:val="24"/>
          <w:highlight w:val="none"/>
        </w:rPr>
      </w:pPr>
      <w:r>
        <w:rPr>
          <w:rFonts w:hint="eastAsia" w:ascii="宋体" w:hAnsi="宋体" w:eastAsiaTheme="minorEastAsia" w:cstheme="minorBidi"/>
          <w:sz w:val="24"/>
          <w:szCs w:val="24"/>
          <w:highlight w:val="none"/>
          <w:lang w:val="en-US" w:eastAsia="zh-CN"/>
        </w:rPr>
        <w:t>3.</w:t>
      </w:r>
      <w:r>
        <w:rPr>
          <w:rFonts w:hint="eastAsia" w:ascii="宋体" w:hAnsi="宋体" w:eastAsiaTheme="minorEastAsia" w:cstheme="minorBidi"/>
          <w:sz w:val="24"/>
          <w:szCs w:val="24"/>
          <w:highlight w:val="none"/>
        </w:rPr>
        <w:t>为了择优选择中标单位，展现企业实力，鼓励供应商提供投标人具有有效期内的质量管理体系认证、环境管理体系认证和职业健康安全管理体系认证证书的优先。</w:t>
      </w:r>
    </w:p>
    <w:p w14:paraId="62735BD0">
      <w:pPr>
        <w:pStyle w:val="35"/>
        <w:keepNext w:val="0"/>
        <w:keepLines w:val="0"/>
        <w:pageBreakBefore w:val="0"/>
        <w:kinsoku/>
        <w:wordWrap/>
        <w:overflowPunct/>
        <w:topLinePunct w:val="0"/>
        <w:autoSpaceDE/>
        <w:autoSpaceDN/>
        <w:bidi w:val="0"/>
        <w:adjustRightInd/>
        <w:spacing w:beforeAutospacing="0" w:afterAutospacing="0" w:line="440" w:lineRule="exact"/>
        <w:jc w:val="both"/>
        <w:textAlignment w:val="auto"/>
        <w:rPr>
          <w:highlight w:val="none"/>
        </w:rPr>
      </w:pPr>
      <w:r>
        <w:rPr>
          <w:rFonts w:hint="eastAsia" w:cs="宋体"/>
          <w:highlight w:val="none"/>
        </w:rPr>
        <w:t xml:space="preserve">    采购标的对应的中小企业划分标准所属行业一览表</w:t>
      </w:r>
    </w:p>
    <w:tbl>
      <w:tblPr>
        <w:tblStyle w:val="40"/>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141"/>
        <w:gridCol w:w="3589"/>
      </w:tblGrid>
      <w:tr w14:paraId="34DC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066" w:type="dxa"/>
            <w:noWrap w:val="0"/>
            <w:vAlign w:val="center"/>
          </w:tcPr>
          <w:p w14:paraId="311830FA">
            <w:pPr>
              <w:pStyle w:val="107"/>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序号</w:t>
            </w:r>
          </w:p>
        </w:tc>
        <w:tc>
          <w:tcPr>
            <w:tcW w:w="3291" w:type="dxa"/>
            <w:noWrap w:val="0"/>
            <w:vAlign w:val="center"/>
          </w:tcPr>
          <w:p w14:paraId="721EB958">
            <w:pPr>
              <w:pStyle w:val="107"/>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采购标的</w:t>
            </w:r>
          </w:p>
        </w:tc>
        <w:tc>
          <w:tcPr>
            <w:tcW w:w="2852" w:type="dxa"/>
            <w:noWrap w:val="0"/>
            <w:vAlign w:val="center"/>
          </w:tcPr>
          <w:p w14:paraId="3ACF5572">
            <w:pPr>
              <w:pStyle w:val="107"/>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对应中小企业划分标准所属行业</w:t>
            </w:r>
          </w:p>
        </w:tc>
      </w:tr>
      <w:tr w14:paraId="332D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066" w:type="dxa"/>
            <w:noWrap w:val="0"/>
            <w:vAlign w:val="center"/>
          </w:tcPr>
          <w:p w14:paraId="5F50654C">
            <w:pPr>
              <w:pStyle w:val="107"/>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1</w:t>
            </w:r>
          </w:p>
        </w:tc>
        <w:tc>
          <w:tcPr>
            <w:tcW w:w="3291" w:type="dxa"/>
            <w:noWrap w:val="0"/>
            <w:vAlign w:val="center"/>
          </w:tcPr>
          <w:p w14:paraId="0A190517">
            <w:pPr>
              <w:pStyle w:val="107"/>
              <w:keepNext w:val="0"/>
              <w:keepLines w:val="0"/>
              <w:pageBreakBefore w:val="0"/>
              <w:spacing w:before="0" w:beforeAutospacing="0" w:afterAutospacing="0" w:line="480" w:lineRule="exact"/>
              <w:ind w:left="0" w:firstLine="0"/>
              <w:jc w:val="center"/>
              <w:rPr>
                <w:rFonts w:hint="eastAsia" w:eastAsia="宋体"/>
                <w:color w:val="auto"/>
                <w:sz w:val="24"/>
                <w:szCs w:val="24"/>
                <w:highlight w:val="none"/>
                <w:lang w:eastAsia="zh-CN"/>
              </w:rPr>
            </w:pPr>
            <w:r>
              <w:rPr>
                <w:rFonts w:hint="eastAsia" w:cs="宋体"/>
                <w:color w:val="auto"/>
                <w:sz w:val="24"/>
                <w:szCs w:val="24"/>
                <w:highlight w:val="none"/>
                <w:lang w:eastAsia="zh-CN"/>
              </w:rPr>
              <w:t>盐城亭湖新区实验小学操场维修改造项目</w:t>
            </w:r>
          </w:p>
        </w:tc>
        <w:tc>
          <w:tcPr>
            <w:tcW w:w="2852" w:type="dxa"/>
            <w:noWrap w:val="0"/>
            <w:vAlign w:val="center"/>
          </w:tcPr>
          <w:p w14:paraId="7E7518BC">
            <w:pPr>
              <w:pStyle w:val="107"/>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b w:val="0"/>
                <w:bCs w:val="0"/>
                <w:color w:val="auto"/>
                <w:sz w:val="24"/>
                <w:szCs w:val="24"/>
                <w:highlight w:val="none"/>
                <w:u w:val="none"/>
              </w:rPr>
              <w:t>建筑业</w:t>
            </w:r>
          </w:p>
        </w:tc>
      </w:tr>
    </w:tbl>
    <w:p w14:paraId="423C1AF5">
      <w:pPr>
        <w:jc w:val="both"/>
        <w:rPr>
          <w:rFonts w:hint="eastAsia" w:ascii="黑体" w:hAnsi="Arial" w:eastAsia="黑体" w:cs="Arial"/>
          <w:b/>
          <w:bCs/>
          <w:color w:val="000000" w:themeColor="text1"/>
          <w:sz w:val="44"/>
          <w:szCs w:val="44"/>
          <w:highlight w:val="none"/>
          <w14:textFill>
            <w14:solidFill>
              <w14:schemeClr w14:val="tx1"/>
            </w14:solidFill>
          </w14:textFill>
        </w:rPr>
      </w:pPr>
    </w:p>
    <w:p w14:paraId="7292C80D">
      <w:pPr>
        <w:jc w:val="both"/>
        <w:rPr>
          <w:rFonts w:hint="eastAsia" w:ascii="黑体" w:hAnsi="Arial" w:eastAsia="黑体" w:cs="Arial"/>
          <w:b/>
          <w:bCs/>
          <w:color w:val="000000" w:themeColor="text1"/>
          <w:sz w:val="44"/>
          <w:szCs w:val="44"/>
          <w:highlight w:val="none"/>
          <w14:textFill>
            <w14:solidFill>
              <w14:schemeClr w14:val="tx1"/>
            </w14:solidFill>
          </w14:textFill>
        </w:rPr>
      </w:pPr>
    </w:p>
    <w:p w14:paraId="559FC1DE">
      <w:pPr>
        <w:jc w:val="center"/>
        <w:rPr>
          <w:rFonts w:hint="eastAsia" w:ascii="黑体" w:hAnsi="Arial" w:eastAsia="黑体" w:cs="Arial"/>
          <w:b/>
          <w:bCs/>
          <w:color w:val="000000" w:themeColor="text1"/>
          <w:sz w:val="44"/>
          <w:szCs w:val="44"/>
          <w:highlight w:val="none"/>
          <w14:textFill>
            <w14:solidFill>
              <w14:schemeClr w14:val="tx1"/>
            </w14:solidFill>
          </w14:textFill>
        </w:rPr>
      </w:pPr>
    </w:p>
    <w:p w14:paraId="03540347">
      <w:pPr>
        <w:jc w:val="center"/>
        <w:rPr>
          <w:rFonts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t>第五章  定标原则和评审标准</w:t>
      </w:r>
    </w:p>
    <w:p w14:paraId="13FF93C4">
      <w:pPr>
        <w:pStyle w:val="48"/>
        <w:keepNext w:val="0"/>
        <w:keepLines w:val="0"/>
        <w:pageBreakBefore w:val="0"/>
        <w:kinsoku/>
        <w:wordWrap/>
        <w:overflowPunct/>
        <w:topLinePunct w:val="0"/>
        <w:autoSpaceDE/>
        <w:autoSpaceDN/>
        <w:bidi w:val="0"/>
        <w:snapToGrid/>
        <w:spacing w:before="0" w:after="0" w:line="400" w:lineRule="exact"/>
        <w:ind w:firstLineChars="200"/>
        <w:rPr>
          <w:rFonts w:hint="eastAsia" w:ascii="宋体" w:hAnsi="宋体"/>
          <w:bCs/>
          <w:color w:val="000000" w:themeColor="text1"/>
          <w:kern w:val="2"/>
          <w:highlight w:val="none"/>
          <w14:textFill>
            <w14:solidFill>
              <w14:schemeClr w14:val="tx1"/>
            </w14:solidFill>
          </w14:textFill>
        </w:rPr>
      </w:pPr>
      <w:r>
        <w:rPr>
          <w:rFonts w:hint="eastAsia" w:ascii="宋体" w:hAnsi="宋体"/>
          <w:bCs/>
          <w:color w:val="000000" w:themeColor="text1"/>
          <w:kern w:val="2"/>
          <w:highlight w:val="none"/>
          <w14:textFill>
            <w14:solidFill>
              <w14:schemeClr w14:val="tx1"/>
            </w14:solidFill>
          </w14:textFill>
        </w:rPr>
        <w:t>一、</w:t>
      </w:r>
      <w:r>
        <w:rPr>
          <w:rFonts w:hint="eastAsia" w:ascii="宋体" w:hAnsi="宋体"/>
          <w:color w:val="000000" w:themeColor="text1"/>
          <w:kern w:val="2"/>
          <w:highlight w:val="none"/>
          <w14:textFill>
            <w14:solidFill>
              <w14:schemeClr w14:val="tx1"/>
            </w14:solidFill>
          </w14:textFill>
        </w:rPr>
        <w:t>磋商小组</w:t>
      </w:r>
    </w:p>
    <w:p w14:paraId="71D67902">
      <w:pPr>
        <w:pStyle w:val="48"/>
        <w:keepNext w:val="0"/>
        <w:keepLines w:val="0"/>
        <w:pageBreakBefore w:val="0"/>
        <w:kinsoku/>
        <w:wordWrap/>
        <w:overflowPunct/>
        <w:topLinePunct w:val="0"/>
        <w:autoSpaceDE/>
        <w:autoSpaceDN/>
        <w:bidi w:val="0"/>
        <w:snapToGrid/>
        <w:spacing w:before="0" w:after="0" w:line="400" w:lineRule="exact"/>
        <w:ind w:firstLineChars="200"/>
        <w:rPr>
          <w:rFonts w:hint="eastAsia" w:ascii="宋体" w:hAnsi="宋体"/>
          <w:bCs/>
          <w:color w:val="000000" w:themeColor="text1"/>
          <w:kern w:val="2"/>
          <w:highlight w:val="none"/>
          <w14:textFill>
            <w14:solidFill>
              <w14:schemeClr w14:val="tx1"/>
            </w14:solidFill>
          </w14:textFill>
        </w:rPr>
      </w:pPr>
      <w:r>
        <w:rPr>
          <w:rFonts w:hint="eastAsia" w:ascii="宋体" w:hAnsi="宋体"/>
          <w:bCs/>
          <w:color w:val="000000" w:themeColor="text1"/>
          <w:kern w:val="2"/>
          <w:highlight w:val="none"/>
          <w14:textFill>
            <w14:solidFill>
              <w14:schemeClr w14:val="tx1"/>
            </w14:solidFill>
          </w14:textFill>
        </w:rPr>
        <w:t>本采购项目磋商小组的评委由相关的专家、采购人代表等有关人员构成。</w:t>
      </w:r>
    </w:p>
    <w:p w14:paraId="7DE4F151">
      <w:pPr>
        <w:pStyle w:val="48"/>
        <w:keepNext w:val="0"/>
        <w:keepLines w:val="0"/>
        <w:pageBreakBefore w:val="0"/>
        <w:kinsoku/>
        <w:wordWrap/>
        <w:overflowPunct/>
        <w:topLinePunct w:val="0"/>
        <w:autoSpaceDE/>
        <w:autoSpaceDN/>
        <w:bidi w:val="0"/>
        <w:snapToGrid/>
        <w:spacing w:before="0" w:after="0" w:line="400" w:lineRule="exact"/>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bCs/>
          <w:color w:val="000000" w:themeColor="text1"/>
          <w:kern w:val="2"/>
          <w:highlight w:val="none"/>
          <w14:textFill>
            <w14:solidFill>
              <w14:schemeClr w14:val="tx1"/>
            </w14:solidFill>
          </w14:textFill>
        </w:rPr>
        <w:t>二</w:t>
      </w:r>
      <w:r>
        <w:rPr>
          <w:rFonts w:hint="eastAsia" w:ascii="宋体" w:hAnsi="宋体"/>
          <w:color w:val="000000" w:themeColor="text1"/>
          <w:kern w:val="2"/>
          <w:highlight w:val="none"/>
          <w14:textFill>
            <w14:solidFill>
              <w14:schemeClr w14:val="tx1"/>
            </w14:solidFill>
          </w14:textFill>
        </w:rPr>
        <w:t>、定标原则</w:t>
      </w:r>
    </w:p>
    <w:p w14:paraId="1C73FD1E">
      <w:pPr>
        <w:pStyle w:val="48"/>
        <w:keepNext w:val="0"/>
        <w:keepLines w:val="0"/>
        <w:pageBreakBefore w:val="0"/>
        <w:kinsoku/>
        <w:wordWrap/>
        <w:overflowPunct/>
        <w:topLinePunct w:val="0"/>
        <w:autoSpaceDE/>
        <w:autoSpaceDN/>
        <w:bidi w:val="0"/>
        <w:snapToGrid/>
        <w:spacing w:before="0" w:after="0" w:line="400" w:lineRule="exact"/>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经磋商确定最终采购需求和提交最后报价的供应商后，由磋商小组采用综合评分法对提交最后报价的供应商的响应文件和最后报价进行综合评分。</w:t>
      </w:r>
    </w:p>
    <w:p w14:paraId="3EB740B3">
      <w:pPr>
        <w:keepNext w:val="0"/>
        <w:keepLines w:val="0"/>
        <w:pageBreakBefore w:val="0"/>
        <w:tabs>
          <w:tab w:val="left" w:pos="900"/>
        </w:tabs>
        <w:kinsoku/>
        <w:wordWrap/>
        <w:overflowPunct/>
        <w:topLinePunct w:val="0"/>
        <w:autoSpaceDE/>
        <w:autoSpaceDN/>
        <w:bidi w:val="0"/>
        <w:snapToGrid/>
        <w:spacing w:line="400" w:lineRule="exact"/>
        <w:ind w:firstLine="477" w:firstLineChars="199"/>
        <w:rPr>
          <w:rFonts w:hint="eastAsia" w:ascii="宋体" w:hAnsi="宋体" w:cs="Arial"/>
          <w:color w:val="000000" w:themeColor="text1"/>
          <w:kern w:val="0"/>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rPr>
          <w:rFonts w:hint="eastAsia" w:ascii="宋体" w:hAnsi="宋体" w:cs="Arial"/>
          <w:color w:val="000000" w:themeColor="text1"/>
          <w:kern w:val="0"/>
          <w:sz w:val="24"/>
          <w:highlight w:val="none"/>
          <w14:textFill>
            <w14:solidFill>
              <w14:schemeClr w14:val="tx1"/>
            </w14:solidFill>
          </w14:textFill>
        </w:rPr>
        <w:t>本项目选取1名成交候选人。</w:t>
      </w:r>
    </w:p>
    <w:p w14:paraId="5EBE67A6">
      <w:pPr>
        <w:pStyle w:val="38"/>
        <w:pageBreakBefore w:val="0"/>
        <w:spacing w:line="580" w:lineRule="exact"/>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政府采购政策功能落实</w:t>
      </w:r>
    </w:p>
    <w:p w14:paraId="15F3B84B">
      <w:pPr>
        <w:pStyle w:val="38"/>
        <w:pageBreakBefore w:val="0"/>
        <w:spacing w:line="580" w:lineRule="exact"/>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1、小微型企业</w:t>
      </w:r>
    </w:p>
    <w:p w14:paraId="58E723D1">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（1）本项目专门面向中小企业采购，不再对小型和微型企业服务给予价格扣除。</w:t>
      </w:r>
    </w:p>
    <w:p w14:paraId="1D0301F1">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（2）供应商需按照采购文件的要求提供相应的《中小企业声明函》。</w:t>
      </w:r>
    </w:p>
    <w:p w14:paraId="21ACB7A6">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（3）企业标准请参照《关于印发中小企业划型标准规定的通知》（工信部联企业〔2011〕300号）文件规定自行填写。</w:t>
      </w:r>
    </w:p>
    <w:p w14:paraId="2C1FE8F8">
      <w:pPr>
        <w:pStyle w:val="38"/>
        <w:pageBreakBefore w:val="0"/>
        <w:spacing w:line="580" w:lineRule="exact"/>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2、残疾人福利单位</w:t>
      </w:r>
    </w:p>
    <w:p w14:paraId="45967EE0">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（1）本项目对残疾人福利性单位视同小型、微型企业。</w:t>
      </w:r>
    </w:p>
    <w:p w14:paraId="7682D63E">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（2）残疾人福利单位需按照采购文件的要求提供《残疾人福利性单位声明函》。</w:t>
      </w:r>
    </w:p>
    <w:p w14:paraId="18068480">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（3）残疾人福利单位标准请参照《关于促进残疾人就业政府采购政策的通知》（财库〔2017〕141号）。</w:t>
      </w:r>
    </w:p>
    <w:p w14:paraId="499A154B">
      <w:pPr>
        <w:pStyle w:val="38"/>
        <w:pageBreakBefore w:val="0"/>
        <w:spacing w:line="580" w:lineRule="exact"/>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3、监狱和戒毒企业</w:t>
      </w:r>
    </w:p>
    <w:p w14:paraId="43B91535">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（1）本项目对监狱和戒毒企业（简称监狱企业）视同小型、微型企业。</w:t>
      </w:r>
    </w:p>
    <w:p w14:paraId="6FFBE2CD">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49CF3413">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（3）监狱企业标准请参照《关于政府采购支持监狱企业发展有关问题的通知》（财库〔2014〕68号）。</w:t>
      </w:r>
    </w:p>
    <w:p w14:paraId="36B37524">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4、残疾人福利单位、监狱企业属于小型、微型企业的，不重复享受政策。</w:t>
      </w:r>
    </w:p>
    <w:p w14:paraId="04F7A993">
      <w:pPr>
        <w:pStyle w:val="38"/>
        <w:pageBreakBefore w:val="0"/>
        <w:spacing w:line="5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889DDDA">
      <w:pPr>
        <w:spacing w:before="120" w:after="120" w:line="360" w:lineRule="auto"/>
        <w:ind w:firstLine="360"/>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E3AD1C0">
      <w:pPr>
        <w:pStyle w:val="6"/>
        <w:pageBreakBefore w:val="0"/>
        <w:spacing w:before="0" w:after="0" w:line="580" w:lineRule="exact"/>
        <w:ind w:firstLine="482"/>
        <w:rPr>
          <w:rFonts w:ascii="宋体" w:hAnsi="宋体" w:eastAsia="宋体"/>
          <w:sz w:val="24"/>
          <w:szCs w:val="24"/>
          <w:highlight w:val="none"/>
        </w:rPr>
      </w:pPr>
      <w:r>
        <w:rPr>
          <w:rFonts w:hint="eastAsia" w:ascii="宋体" w:hAnsi="宋体" w:eastAsia="宋体"/>
          <w:sz w:val="24"/>
          <w:szCs w:val="24"/>
          <w:highlight w:val="none"/>
        </w:rPr>
        <w:t>二、对投标文件的初审</w:t>
      </w:r>
    </w:p>
    <w:p w14:paraId="468DDA60">
      <w:pPr>
        <w:pageBreakBefore w:val="0"/>
        <w:spacing w:line="580" w:lineRule="exact"/>
        <w:ind w:firstLine="480"/>
        <w:rPr>
          <w:rFonts w:ascii="宋体" w:hAnsi="宋体"/>
          <w:bCs/>
          <w:sz w:val="24"/>
          <w:highlight w:val="none"/>
        </w:rPr>
      </w:pPr>
      <w:r>
        <w:rPr>
          <w:rFonts w:hint="eastAsia" w:ascii="宋体" w:hAnsi="宋体"/>
          <w:bCs/>
          <w:sz w:val="24"/>
          <w:highlight w:val="none"/>
        </w:rPr>
        <w:t>投标文件初审分为资格审查和符合性审查。</w:t>
      </w:r>
    </w:p>
    <w:p w14:paraId="62ABE623">
      <w:pPr>
        <w:pageBreakBefore w:val="0"/>
        <w:spacing w:line="580" w:lineRule="exact"/>
        <w:ind w:firstLine="420"/>
        <w:rPr>
          <w:rFonts w:ascii="宋体" w:hAnsi="宋体"/>
          <w:b/>
          <w:bCs/>
          <w:sz w:val="24"/>
          <w:highlight w:val="none"/>
        </w:rPr>
      </w:pPr>
      <w:r>
        <w:rPr>
          <w:rFonts w:hint="eastAsia" w:ascii="宋体" w:hAnsi="宋体" w:cs="Courier New"/>
          <w:bCs/>
          <w:highlight w:val="none"/>
        </w:rPr>
        <w:t>（一）</w:t>
      </w:r>
      <w:r>
        <w:rPr>
          <w:rFonts w:hint="eastAsia" w:ascii="宋体" w:hAnsi="宋体"/>
          <w:b/>
          <w:bCs/>
          <w:sz w:val="24"/>
          <w:highlight w:val="none"/>
        </w:rPr>
        <w:t>资格审查</w:t>
      </w:r>
    </w:p>
    <w:p w14:paraId="3C27BBF8">
      <w:pPr>
        <w:pageBreakBefore w:val="0"/>
        <w:spacing w:line="580" w:lineRule="exact"/>
        <w:ind w:firstLine="482"/>
        <w:rPr>
          <w:rFonts w:ascii="宋体" w:hAnsi="宋体"/>
          <w:b/>
          <w:bCs/>
          <w:sz w:val="24"/>
          <w:highlight w:val="none"/>
        </w:rPr>
      </w:pPr>
      <w:r>
        <w:rPr>
          <w:rFonts w:hint="eastAsia" w:ascii="宋体" w:hAnsi="宋体"/>
          <w:b/>
          <w:bCs/>
          <w:sz w:val="24"/>
          <w:highlight w:val="none"/>
        </w:rPr>
        <w:t>开标结束后，采购人或者采购代理机构依法对投标人的资格进行审查。</w:t>
      </w:r>
    </w:p>
    <w:p w14:paraId="26721269">
      <w:pPr>
        <w:pageBreakBefore w:val="0"/>
        <w:spacing w:line="580" w:lineRule="exact"/>
        <w:ind w:firstLine="480"/>
        <w:rPr>
          <w:rFonts w:ascii="宋体"/>
          <w:bCs/>
          <w:color w:val="000000"/>
          <w:sz w:val="24"/>
          <w:highlight w:val="none"/>
        </w:rPr>
      </w:pPr>
      <w:r>
        <w:rPr>
          <w:rFonts w:hint="eastAsia" w:ascii="宋体" w:hAnsi="宋体"/>
          <w:bCs/>
          <w:color w:val="000000"/>
          <w:sz w:val="24"/>
          <w:highlight w:val="none"/>
        </w:rPr>
        <w:t>审查投标文件中的资格、资信证明文件等，以确定投标人是否具备投标资格。</w:t>
      </w:r>
    </w:p>
    <w:p w14:paraId="3BE39E17">
      <w:pPr>
        <w:pageBreakBefore w:val="0"/>
        <w:spacing w:line="580" w:lineRule="exact"/>
        <w:ind w:firstLine="480"/>
        <w:rPr>
          <w:rFonts w:ascii="宋体" w:hAnsi="宋体"/>
          <w:b/>
          <w:bCs/>
          <w:sz w:val="24"/>
          <w:highlight w:val="none"/>
        </w:rPr>
      </w:pPr>
      <w:r>
        <w:rPr>
          <w:rFonts w:hint="eastAsia" w:ascii="宋体" w:hAnsi="宋体" w:cs="Courier New"/>
          <w:bCs/>
          <w:sz w:val="24"/>
          <w:highlight w:val="none"/>
        </w:rPr>
        <w:t>（二）</w:t>
      </w:r>
      <w:r>
        <w:rPr>
          <w:rFonts w:hint="eastAsia" w:ascii="宋体" w:hAnsi="宋体"/>
          <w:b/>
          <w:bCs/>
          <w:sz w:val="24"/>
          <w:highlight w:val="none"/>
        </w:rPr>
        <w:t>符合性审查</w:t>
      </w:r>
    </w:p>
    <w:p w14:paraId="13F96F45">
      <w:pPr>
        <w:pageBreakBefore w:val="0"/>
        <w:spacing w:line="580" w:lineRule="exact"/>
        <w:ind w:firstLine="482"/>
        <w:rPr>
          <w:rFonts w:ascii="宋体" w:hAnsi="宋体"/>
          <w:b/>
          <w:bCs/>
          <w:sz w:val="24"/>
          <w:highlight w:val="none"/>
        </w:rPr>
      </w:pPr>
      <w:r>
        <w:rPr>
          <w:rFonts w:hint="eastAsia" w:ascii="宋体" w:hAnsi="宋体"/>
          <w:b/>
          <w:bCs/>
          <w:sz w:val="24"/>
          <w:highlight w:val="none"/>
        </w:rPr>
        <w:t>评标委员会对符合资格的投标人的投标文件进行符合性审查。</w:t>
      </w:r>
    </w:p>
    <w:p w14:paraId="4F34E818">
      <w:pPr>
        <w:pageBreakBefore w:val="0"/>
        <w:spacing w:line="580" w:lineRule="exact"/>
        <w:ind w:firstLine="480"/>
        <w:rPr>
          <w:rFonts w:ascii="宋体" w:hAnsi="宋体"/>
          <w:bCs/>
          <w:sz w:val="24"/>
          <w:highlight w:val="none"/>
        </w:rPr>
      </w:pPr>
      <w:r>
        <w:rPr>
          <w:rFonts w:hint="eastAsia" w:ascii="宋体" w:hAnsi="宋体"/>
          <w:bCs/>
          <w:sz w:val="24"/>
          <w:highlight w:val="none"/>
        </w:rPr>
        <w:t>依据招标文件的规定，从投标文件的有效性、完整性和对招标文件的响应程度进行审查，以确定其是否满足招标文件的实质性要求。</w:t>
      </w:r>
    </w:p>
    <w:p w14:paraId="418B19A0">
      <w:pPr>
        <w:pageBreakBefore w:val="0"/>
        <w:spacing w:line="580" w:lineRule="exact"/>
        <w:ind w:firstLine="480"/>
        <w:rPr>
          <w:rFonts w:ascii="宋体" w:hAnsi="宋体"/>
          <w:sz w:val="24"/>
          <w:highlight w:val="none"/>
        </w:rPr>
      </w:pPr>
      <w:r>
        <w:rPr>
          <w:rFonts w:hint="eastAsia" w:ascii="宋体" w:hAnsi="宋体"/>
          <w:sz w:val="24"/>
          <w:highlight w:val="none"/>
        </w:rPr>
        <w:t>明确响应的投标应该是与招标文件要求的全部条款、条件和规格相符，没有重大偏离或保留的投标。</w:t>
      </w:r>
    </w:p>
    <w:p w14:paraId="1EAD3916">
      <w:pPr>
        <w:pageBreakBefore w:val="0"/>
        <w:spacing w:line="580" w:lineRule="exact"/>
        <w:ind w:firstLine="480"/>
        <w:rPr>
          <w:rFonts w:ascii="宋体" w:hAnsi="宋体"/>
          <w:bCs/>
          <w:sz w:val="24"/>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highlight w:val="none"/>
        </w:rPr>
        <w:t>评委决定投标文件的响应性只根据投标文件本身的内容，而不寻求外部的证据。</w:t>
      </w:r>
    </w:p>
    <w:p w14:paraId="624689F5">
      <w:pPr>
        <w:pageBreakBefore w:val="0"/>
        <w:spacing w:line="580" w:lineRule="exact"/>
        <w:ind w:firstLine="480"/>
        <w:rPr>
          <w:rFonts w:ascii="宋体" w:hAnsi="宋体"/>
          <w:bCs/>
          <w:sz w:val="24"/>
          <w:highlight w:val="none"/>
        </w:rPr>
      </w:pPr>
      <w:r>
        <w:rPr>
          <w:rFonts w:hint="eastAsia" w:ascii="宋体" w:hAnsi="宋体"/>
          <w:bCs/>
          <w:sz w:val="24"/>
          <w:highlight w:val="none"/>
        </w:rPr>
        <w:t>如果投标文件没有明确响应招标文件的要求，评标委员会将按无效投标处理，投标人不得通过修改或撤销不合要求的偏离或保留而使其投标成为明确响应的投标。</w:t>
      </w:r>
    </w:p>
    <w:p w14:paraId="1BA1FEFF">
      <w:pPr>
        <w:pageBreakBefore w:val="0"/>
        <w:spacing w:line="580" w:lineRule="exact"/>
        <w:ind w:firstLine="480"/>
        <w:rPr>
          <w:rFonts w:ascii="宋体" w:hAnsi="宋体"/>
          <w:bCs/>
          <w:sz w:val="24"/>
          <w:highlight w:val="none"/>
        </w:rPr>
      </w:pPr>
      <w:r>
        <w:rPr>
          <w:rFonts w:hint="eastAsia" w:ascii="宋体" w:hAnsi="宋体"/>
          <w:bCs/>
          <w:sz w:val="24"/>
          <w:highlight w:val="none"/>
        </w:rPr>
        <w:t>评标委员会将对确定为明确响应的投标进行进一步审核，</w:t>
      </w:r>
      <w:r>
        <w:rPr>
          <w:rFonts w:hint="eastAsia" w:ascii="宋体" w:hAnsi="宋体" w:cs="Arial"/>
          <w:sz w:val="24"/>
          <w:highlight w:val="none"/>
        </w:rPr>
        <w:t>投标文件报价出现前后不一致的，除招标文件另有规定外，按照下列规定修正：</w:t>
      </w:r>
    </w:p>
    <w:p w14:paraId="5B1A2051">
      <w:pPr>
        <w:pageBreakBefore w:val="0"/>
        <w:spacing w:line="580" w:lineRule="exact"/>
        <w:ind w:firstLine="480"/>
        <w:rPr>
          <w:rFonts w:ascii="宋体" w:hAnsi="宋体"/>
          <w:bCs/>
          <w:sz w:val="24"/>
          <w:highlight w:val="none"/>
        </w:rPr>
      </w:pPr>
      <w:r>
        <w:rPr>
          <w:rFonts w:ascii="宋体" w:hAnsi="宋体"/>
          <w:bCs/>
          <w:sz w:val="24"/>
          <w:highlight w:val="none"/>
        </w:rPr>
        <w:t>1.</w:t>
      </w:r>
      <w:r>
        <w:rPr>
          <w:rFonts w:hint="eastAsia" w:ascii="宋体" w:hAnsi="宋体" w:cs="Arial"/>
          <w:sz w:val="24"/>
          <w:highlight w:val="none"/>
        </w:rPr>
        <w:t>投标文件中开标一览表内容与投标文件中相应内容不一致的，以开标一览表为准；</w:t>
      </w:r>
    </w:p>
    <w:p w14:paraId="77BE0B40">
      <w:pPr>
        <w:pageBreakBefore w:val="0"/>
        <w:widowControl/>
        <w:spacing w:before="100" w:beforeAutospacing="1" w:after="240" w:line="580" w:lineRule="exact"/>
        <w:contextualSpacing/>
        <w:jc w:val="left"/>
        <w:rPr>
          <w:rFonts w:ascii="宋体" w:hAnsi="宋体" w:cs="Arial"/>
          <w:sz w:val="24"/>
          <w:highlight w:val="none"/>
        </w:rPr>
      </w:pPr>
      <w:r>
        <w:rPr>
          <w:rFonts w:hint="eastAsia" w:ascii="宋体" w:hAnsi="宋体" w:cs="Arial"/>
          <w:sz w:val="24"/>
          <w:highlight w:val="none"/>
        </w:rPr>
        <w:t>　　</w:t>
      </w:r>
      <w:r>
        <w:rPr>
          <w:rFonts w:ascii="宋体" w:hAnsi="宋体"/>
          <w:bCs/>
          <w:sz w:val="24"/>
          <w:highlight w:val="none"/>
        </w:rPr>
        <w:t>2.</w:t>
      </w:r>
      <w:r>
        <w:rPr>
          <w:rFonts w:hint="eastAsia" w:ascii="宋体" w:hAnsi="宋体" w:cs="Arial"/>
          <w:sz w:val="24"/>
          <w:highlight w:val="none"/>
        </w:rPr>
        <w:t>大写金额和小写金额不一致的，以大写金额为准；</w:t>
      </w:r>
    </w:p>
    <w:p w14:paraId="0EC9AB62">
      <w:pPr>
        <w:pageBreakBefore w:val="0"/>
        <w:widowControl/>
        <w:spacing w:before="100" w:beforeAutospacing="1" w:after="240" w:line="580" w:lineRule="exact"/>
        <w:contextualSpacing/>
        <w:jc w:val="left"/>
        <w:rPr>
          <w:rFonts w:ascii="宋体" w:hAnsi="宋体" w:cs="Arial"/>
          <w:sz w:val="24"/>
          <w:highlight w:val="none"/>
        </w:rPr>
      </w:pPr>
      <w:r>
        <w:rPr>
          <w:rFonts w:hint="eastAsia" w:ascii="宋体" w:hAnsi="宋体" w:cs="Arial"/>
          <w:sz w:val="24"/>
          <w:highlight w:val="none"/>
        </w:rPr>
        <w:t>　　</w:t>
      </w:r>
      <w:r>
        <w:rPr>
          <w:rFonts w:ascii="宋体" w:hAnsi="宋体"/>
          <w:bCs/>
          <w:sz w:val="24"/>
          <w:highlight w:val="none"/>
        </w:rPr>
        <w:t>3.</w:t>
      </w:r>
      <w:r>
        <w:rPr>
          <w:rFonts w:hint="eastAsia" w:ascii="宋体" w:hAnsi="宋体" w:cs="Arial"/>
          <w:sz w:val="24"/>
          <w:highlight w:val="none"/>
        </w:rPr>
        <w:t>单价金额小数点或者百分比有明显错位的，以开标一览表的总价为准，并修改单价；</w:t>
      </w:r>
    </w:p>
    <w:p w14:paraId="35ED2F7D">
      <w:pPr>
        <w:pageBreakBefore w:val="0"/>
        <w:widowControl/>
        <w:spacing w:before="100" w:beforeAutospacing="1" w:after="240" w:line="580" w:lineRule="exact"/>
        <w:contextualSpacing/>
        <w:jc w:val="left"/>
        <w:rPr>
          <w:rFonts w:ascii="宋体" w:hAnsi="宋体" w:cs="Arial"/>
          <w:sz w:val="24"/>
          <w:highlight w:val="none"/>
        </w:rPr>
      </w:pPr>
      <w:r>
        <w:rPr>
          <w:rFonts w:hint="eastAsia" w:ascii="宋体" w:hAnsi="宋体" w:cs="Arial"/>
          <w:sz w:val="24"/>
          <w:highlight w:val="none"/>
        </w:rPr>
        <w:t>　　</w:t>
      </w:r>
      <w:r>
        <w:rPr>
          <w:rFonts w:ascii="宋体" w:hAnsi="宋体"/>
          <w:bCs/>
          <w:sz w:val="24"/>
          <w:highlight w:val="none"/>
        </w:rPr>
        <w:t>4.</w:t>
      </w:r>
      <w:r>
        <w:rPr>
          <w:rFonts w:hint="eastAsia" w:ascii="宋体" w:hAnsi="宋体" w:cs="Arial"/>
          <w:sz w:val="24"/>
          <w:highlight w:val="none"/>
        </w:rPr>
        <w:t>总价金额与按单价汇总金额不一致的，以单价金额计算结果为准。</w:t>
      </w:r>
    </w:p>
    <w:p w14:paraId="25942EC4">
      <w:pPr>
        <w:pageBreakBefore w:val="0"/>
        <w:spacing w:line="540" w:lineRule="exact"/>
        <w:ind w:firstLine="480"/>
        <w:rPr>
          <w:rFonts w:ascii="宋体" w:hAnsi="宋体" w:cs="Arial"/>
          <w:sz w:val="24"/>
          <w:highlight w:val="none"/>
        </w:rPr>
      </w:pPr>
      <w:r>
        <w:rPr>
          <w:rFonts w:hint="eastAsia" w:ascii="宋体" w:hAnsi="宋体"/>
          <w:bCs/>
          <w:sz w:val="24"/>
          <w:highlight w:val="none"/>
        </w:rPr>
        <w:t>评标委员会将按上述修正错误的方法调整投标文件中的投标报价，</w:t>
      </w:r>
      <w:r>
        <w:rPr>
          <w:rFonts w:hint="eastAsia" w:ascii="宋体" w:hAnsi="宋体" w:cs="Arial"/>
          <w:sz w:val="24"/>
          <w:highlight w:val="none"/>
        </w:rPr>
        <w:t>修正后的报价应当采用书面形式，并加盖公章，或者由法定代表人或其授权的代表签字，经投标人确认后产生约束力，投标人不确认的，其投标无效。</w:t>
      </w:r>
    </w:p>
    <w:p w14:paraId="4B3A73DE">
      <w:pPr>
        <w:pageBreakBefore w:val="0"/>
        <w:spacing w:line="540" w:lineRule="exact"/>
        <w:ind w:firstLine="480"/>
        <w:rPr>
          <w:rFonts w:ascii="宋体" w:hAnsi="宋体" w:cs="Arial"/>
          <w:sz w:val="24"/>
          <w:highlight w:val="none"/>
        </w:rPr>
      </w:pPr>
      <w:r>
        <w:rPr>
          <w:rFonts w:hint="eastAsia" w:ascii="宋体" w:hAnsi="宋体" w:cs="Arial"/>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0896231">
      <w:pPr>
        <w:pStyle w:val="48"/>
        <w:spacing w:line="560" w:lineRule="exact"/>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三、评标标准</w:t>
      </w:r>
    </w:p>
    <w:bookmarkEnd w:id="133"/>
    <w:bookmarkEnd w:id="134"/>
    <w:bookmarkEnd w:id="135"/>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8"/>
        <w:gridCol w:w="1139"/>
        <w:gridCol w:w="7408"/>
      </w:tblGrid>
      <w:tr w14:paraId="07CC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8" w:type="pct"/>
            <w:vAlign w:val="center"/>
          </w:tcPr>
          <w:p w14:paraId="649DB6AD">
            <w:pPr>
              <w:pStyle w:val="38"/>
              <w:spacing w:line="380" w:lineRule="exact"/>
              <w:ind w:firstLine="0" w:firstLineChars="0"/>
              <w:jc w:val="center"/>
              <w:rPr>
                <w:rFonts w:hint="eastAsia" w:ascii="宋体" w:hAnsi="宋体" w:eastAsia="宋体" w:cs="宋体"/>
                <w:sz w:val="22"/>
                <w:szCs w:val="22"/>
                <w:highlight w:val="none"/>
                <w:lang w:val="en-US" w:eastAsia="zh-CN"/>
              </w:rPr>
            </w:pPr>
            <w:r>
              <w:rPr>
                <w:rFonts w:hint="eastAsia" w:ascii="宋体" w:hAnsi="宋体" w:eastAsia="宋体" w:cs="宋体"/>
                <w:b/>
                <w:sz w:val="22"/>
                <w:szCs w:val="22"/>
                <w:highlight w:val="none"/>
                <w:lang w:val="en-US" w:eastAsia="zh-CN"/>
              </w:rPr>
              <w:t>评分项目</w:t>
            </w:r>
          </w:p>
        </w:tc>
        <w:tc>
          <w:tcPr>
            <w:tcW w:w="589" w:type="pct"/>
            <w:vAlign w:val="center"/>
          </w:tcPr>
          <w:p w14:paraId="7AFAA5A3">
            <w:pPr>
              <w:spacing w:line="380" w:lineRule="exact"/>
              <w:jc w:val="center"/>
              <w:rPr>
                <w:rFonts w:hint="eastAsia" w:ascii="宋体" w:hAnsi="宋体" w:cs="宋体"/>
                <w:b/>
                <w:sz w:val="22"/>
                <w:szCs w:val="22"/>
                <w:highlight w:val="none"/>
              </w:rPr>
            </w:pPr>
            <w:r>
              <w:rPr>
                <w:rFonts w:hint="eastAsia" w:ascii="宋体" w:hAnsi="宋体" w:cs="宋体"/>
                <w:b/>
                <w:sz w:val="22"/>
                <w:szCs w:val="22"/>
                <w:highlight w:val="none"/>
              </w:rPr>
              <w:t>满分分值</w:t>
            </w:r>
          </w:p>
        </w:tc>
        <w:tc>
          <w:tcPr>
            <w:tcW w:w="3831" w:type="pct"/>
            <w:vAlign w:val="center"/>
          </w:tcPr>
          <w:p w14:paraId="3241D63A">
            <w:pPr>
              <w:spacing w:line="380" w:lineRule="exact"/>
              <w:jc w:val="center"/>
              <w:rPr>
                <w:rFonts w:hint="eastAsia" w:ascii="宋体" w:hAnsi="宋体" w:cs="宋体"/>
                <w:b/>
                <w:sz w:val="22"/>
                <w:szCs w:val="22"/>
                <w:highlight w:val="none"/>
              </w:rPr>
            </w:pPr>
            <w:r>
              <w:rPr>
                <w:rFonts w:hint="eastAsia" w:ascii="宋体" w:hAnsi="宋体" w:cs="宋体"/>
                <w:b/>
                <w:sz w:val="22"/>
                <w:szCs w:val="22"/>
                <w:highlight w:val="none"/>
              </w:rPr>
              <w:t>评 分 细 则</w:t>
            </w:r>
          </w:p>
        </w:tc>
      </w:tr>
      <w:tr w14:paraId="6274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578" w:type="pct"/>
            <w:vAlign w:val="center"/>
          </w:tcPr>
          <w:p w14:paraId="34041247">
            <w:pPr>
              <w:spacing w:line="380" w:lineRule="exact"/>
              <w:jc w:val="center"/>
              <w:rPr>
                <w:rFonts w:hint="eastAsia" w:ascii="宋体" w:hAnsi="宋体" w:cs="宋体"/>
                <w:sz w:val="24"/>
                <w:highlight w:val="none"/>
              </w:rPr>
            </w:pPr>
            <w:r>
              <w:rPr>
                <w:rFonts w:hint="eastAsia" w:ascii="宋体" w:hAnsi="宋体" w:cs="宋体"/>
                <w:sz w:val="24"/>
                <w:highlight w:val="none"/>
              </w:rPr>
              <w:t>价格</w:t>
            </w:r>
          </w:p>
        </w:tc>
        <w:tc>
          <w:tcPr>
            <w:tcW w:w="589" w:type="pct"/>
            <w:vAlign w:val="center"/>
          </w:tcPr>
          <w:p w14:paraId="7CBA3BE7">
            <w:pPr>
              <w:spacing w:line="380" w:lineRule="exact"/>
              <w:jc w:val="center"/>
              <w:rPr>
                <w:rFonts w:hint="eastAsia" w:ascii="宋体" w:hAnsi="宋体" w:cs="宋体"/>
                <w:sz w:val="24"/>
                <w:highlight w:val="none"/>
              </w:rPr>
            </w:pPr>
            <w:r>
              <w:rPr>
                <w:rFonts w:hint="eastAsia" w:ascii="宋体" w:hAnsi="宋体" w:cs="宋体"/>
                <w:sz w:val="24"/>
                <w:highlight w:val="none"/>
                <w:lang w:val="en-US" w:eastAsia="zh-CN"/>
              </w:rPr>
              <w:t>50</w:t>
            </w:r>
            <w:r>
              <w:rPr>
                <w:rFonts w:hint="eastAsia" w:ascii="宋体" w:hAnsi="宋体" w:cs="宋体"/>
                <w:sz w:val="24"/>
                <w:highlight w:val="none"/>
              </w:rPr>
              <w:t>分</w:t>
            </w:r>
          </w:p>
        </w:tc>
        <w:tc>
          <w:tcPr>
            <w:tcW w:w="3831" w:type="pct"/>
            <w:vAlign w:val="center"/>
          </w:tcPr>
          <w:p w14:paraId="553F4398">
            <w:pPr>
              <w:spacing w:line="380" w:lineRule="exact"/>
              <w:rPr>
                <w:rFonts w:hint="eastAsia" w:ascii="宋体" w:hAnsi="宋体" w:eastAsia="宋体" w:cs="Times New Roman"/>
                <w:sz w:val="24"/>
                <w:highlight w:val="none"/>
              </w:rPr>
            </w:pPr>
            <w:r>
              <w:rPr>
                <w:rFonts w:hint="eastAsia" w:ascii="宋体" w:hAnsi="宋体" w:eastAsia="宋体" w:cs="Times New Roman"/>
                <w:sz w:val="24"/>
                <w:highlight w:val="none"/>
              </w:rPr>
              <w:t>价格分统一采用低价优先法计算，即满足招标文件要求且投标价格最低的投标报价为评标基准价，其价格分为满分。其他投标人的价格分统一按照下列公式计算：</w:t>
            </w:r>
          </w:p>
          <w:p w14:paraId="6F883702">
            <w:pPr>
              <w:spacing w:line="380" w:lineRule="exact"/>
              <w:rPr>
                <w:rFonts w:hint="eastAsia" w:ascii="宋体" w:hAnsi="宋体" w:eastAsia="宋体" w:cs="Times New Roman"/>
                <w:sz w:val="24"/>
                <w:highlight w:val="none"/>
              </w:rPr>
            </w:pPr>
            <w:r>
              <w:rPr>
                <w:rFonts w:hint="eastAsia" w:ascii="宋体" w:hAnsi="宋体" w:eastAsia="宋体" w:cs="Times New Roman"/>
                <w:sz w:val="24"/>
                <w:highlight w:val="none"/>
              </w:rPr>
              <w:t>投标报价得分=(评标基准价/投标报价)×</w:t>
            </w:r>
            <w:r>
              <w:rPr>
                <w:rFonts w:hint="eastAsia" w:ascii="宋体" w:hAnsi="宋体" w:cs="Times New Roman"/>
                <w:sz w:val="24"/>
                <w:highlight w:val="none"/>
                <w:lang w:val="en-US" w:eastAsia="zh-CN"/>
              </w:rPr>
              <w:t>50</w:t>
            </w:r>
            <w:r>
              <w:rPr>
                <w:rFonts w:hint="eastAsia" w:ascii="宋体" w:hAnsi="宋体" w:eastAsia="宋体" w:cs="Times New Roman"/>
                <w:sz w:val="24"/>
                <w:highlight w:val="none"/>
              </w:rPr>
              <w:t>，小数点后保留2位。</w:t>
            </w:r>
          </w:p>
        </w:tc>
      </w:tr>
      <w:tr w14:paraId="14D3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0" w:hRule="atLeast"/>
          <w:jc w:val="center"/>
        </w:trPr>
        <w:tc>
          <w:tcPr>
            <w:tcW w:w="578" w:type="pct"/>
            <w:vAlign w:val="center"/>
          </w:tcPr>
          <w:p w14:paraId="07F33F38">
            <w:pPr>
              <w:spacing w:line="380" w:lineRule="exact"/>
              <w:jc w:val="center"/>
              <w:rPr>
                <w:rFonts w:hint="eastAsia" w:ascii="宋体" w:hAnsi="宋体" w:cs="宋体"/>
                <w:sz w:val="24"/>
                <w:highlight w:val="none"/>
              </w:rPr>
            </w:pPr>
            <w:r>
              <w:rPr>
                <w:rFonts w:hint="eastAsia" w:ascii="宋体" w:hAnsi="宋体" w:cs="宋体"/>
                <w:sz w:val="24"/>
                <w:highlight w:val="none"/>
              </w:rPr>
              <w:t>类似业绩</w:t>
            </w:r>
          </w:p>
        </w:tc>
        <w:tc>
          <w:tcPr>
            <w:tcW w:w="589" w:type="pct"/>
            <w:vAlign w:val="center"/>
          </w:tcPr>
          <w:p w14:paraId="46BBF8B6">
            <w:pPr>
              <w:spacing w:line="380" w:lineRule="exact"/>
              <w:jc w:val="center"/>
              <w:rPr>
                <w:rFonts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分</w:t>
            </w:r>
          </w:p>
        </w:tc>
        <w:tc>
          <w:tcPr>
            <w:tcW w:w="3831" w:type="pct"/>
            <w:vAlign w:val="top"/>
          </w:tcPr>
          <w:p w14:paraId="16B5B804">
            <w:pPr>
              <w:spacing w:line="38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投标人自202</w:t>
            </w:r>
            <w:r>
              <w:rPr>
                <w:rFonts w:hint="eastAsia" w:ascii="宋体" w:hAnsi="宋体" w:cs="宋体"/>
                <w:kern w:val="0"/>
                <w:sz w:val="24"/>
                <w:szCs w:val="24"/>
                <w:highlight w:val="none"/>
                <w:lang w:val="en-US" w:eastAsia="zh-CN"/>
              </w:rPr>
              <w:t>3</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1</w:t>
            </w:r>
            <w:r>
              <w:rPr>
                <w:rFonts w:hint="eastAsia" w:ascii="宋体" w:hAnsi="宋体" w:cs="宋体"/>
                <w:kern w:val="0"/>
                <w:sz w:val="24"/>
                <w:szCs w:val="24"/>
                <w:highlight w:val="none"/>
              </w:rPr>
              <w:t>月1日以来（以合同签订日期为准）承担过类似</w:t>
            </w:r>
            <w:r>
              <w:rPr>
                <w:rFonts w:hint="eastAsia" w:ascii="宋体" w:hAnsi="宋体" w:cs="宋体"/>
                <w:kern w:val="0"/>
                <w:sz w:val="24"/>
                <w:szCs w:val="24"/>
                <w:highlight w:val="none"/>
                <w:lang w:val="en-US" w:eastAsia="zh-CN"/>
              </w:rPr>
              <w:t>项目</w:t>
            </w:r>
            <w:r>
              <w:rPr>
                <w:rFonts w:hint="eastAsia" w:ascii="宋体" w:hAnsi="宋体" w:cs="宋体"/>
                <w:kern w:val="0"/>
                <w:sz w:val="24"/>
                <w:szCs w:val="24"/>
                <w:highlight w:val="none"/>
              </w:rPr>
              <w:t>业绩的</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类似项目业绩是指</w:t>
            </w:r>
            <w:r>
              <w:rPr>
                <w:rFonts w:hint="eastAsia" w:ascii="宋体" w:hAnsi="宋体" w:cs="宋体"/>
                <w:sz w:val="24"/>
                <w:szCs w:val="24"/>
                <w:highlight w:val="none"/>
              </w:rPr>
              <w:t>体育场</w:t>
            </w:r>
            <w:r>
              <w:rPr>
                <w:rFonts w:hint="eastAsia" w:ascii="宋体" w:hAnsi="宋体" w:cs="宋体"/>
                <w:sz w:val="24"/>
                <w:szCs w:val="24"/>
                <w:highlight w:val="none"/>
                <w:lang w:val="en-US" w:eastAsia="zh-CN"/>
              </w:rPr>
              <w:t>或</w:t>
            </w:r>
            <w:r>
              <w:rPr>
                <w:rFonts w:hint="eastAsia" w:ascii="宋体" w:hAnsi="宋体" w:cs="宋体"/>
                <w:sz w:val="24"/>
                <w:szCs w:val="24"/>
                <w:highlight w:val="none"/>
              </w:rPr>
              <w:t>田径场</w:t>
            </w:r>
            <w:r>
              <w:rPr>
                <w:rFonts w:hint="eastAsia" w:ascii="宋体" w:hAnsi="宋体" w:cs="宋体"/>
                <w:sz w:val="24"/>
                <w:szCs w:val="24"/>
                <w:highlight w:val="none"/>
                <w:lang w:val="en-US" w:eastAsia="zh-CN"/>
              </w:rPr>
              <w:t>维修</w:t>
            </w:r>
            <w:r>
              <w:rPr>
                <w:rFonts w:hint="eastAsia" w:ascii="宋体" w:hAnsi="宋体" w:cs="宋体"/>
                <w:sz w:val="24"/>
                <w:szCs w:val="24"/>
                <w:highlight w:val="none"/>
              </w:rPr>
              <w:t>改造</w:t>
            </w:r>
            <w:r>
              <w:rPr>
                <w:rFonts w:hint="eastAsia" w:ascii="宋体" w:hAnsi="宋体" w:cs="宋体"/>
                <w:sz w:val="24"/>
                <w:szCs w:val="24"/>
                <w:highlight w:val="none"/>
                <w:lang w:val="en-US" w:eastAsia="zh-CN"/>
              </w:rPr>
              <w:t>或新建工程项目</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rPr>
              <w:t>，提供1个得</w:t>
            </w:r>
            <w:r>
              <w:rPr>
                <w:rFonts w:hint="eastAsia" w:ascii="宋体" w:hAnsi="宋体" w:cs="宋体"/>
                <w:kern w:val="0"/>
                <w:sz w:val="24"/>
                <w:szCs w:val="24"/>
                <w:highlight w:val="none"/>
                <w:lang w:val="en-US" w:eastAsia="zh-CN"/>
              </w:rPr>
              <w:t>2</w:t>
            </w:r>
            <w:r>
              <w:rPr>
                <w:rFonts w:hint="eastAsia" w:ascii="宋体" w:hAnsi="宋体" w:cs="宋体"/>
                <w:kern w:val="0"/>
                <w:sz w:val="24"/>
                <w:szCs w:val="24"/>
                <w:highlight w:val="none"/>
              </w:rPr>
              <w:t>分，最高</w:t>
            </w:r>
            <w:r>
              <w:rPr>
                <w:rFonts w:hint="eastAsia" w:ascii="宋体" w:hAnsi="宋体" w:cs="宋体"/>
                <w:kern w:val="0"/>
                <w:sz w:val="24"/>
                <w:szCs w:val="24"/>
                <w:highlight w:val="none"/>
                <w:lang w:val="en-US" w:eastAsia="zh-CN"/>
              </w:rPr>
              <w:t>4</w:t>
            </w:r>
            <w:r>
              <w:rPr>
                <w:rFonts w:hint="eastAsia" w:ascii="宋体" w:hAnsi="宋体" w:cs="宋体"/>
                <w:kern w:val="0"/>
                <w:sz w:val="24"/>
                <w:szCs w:val="24"/>
                <w:highlight w:val="none"/>
              </w:rPr>
              <w:t>分。</w:t>
            </w:r>
          </w:p>
          <w:p w14:paraId="58BB1A01">
            <w:pPr>
              <w:spacing w:line="380" w:lineRule="exact"/>
              <w:ind w:firstLine="480" w:firstLineChars="200"/>
              <w:rPr>
                <w:rFonts w:hint="eastAsia" w:ascii="宋体" w:hAnsi="宋体" w:eastAsia="宋体" w:cs="宋体"/>
                <w:sz w:val="24"/>
                <w:highlight w:val="none"/>
                <w:lang w:eastAsia="zh-CN"/>
              </w:rPr>
            </w:pPr>
            <w:r>
              <w:rPr>
                <w:rFonts w:hint="eastAsia" w:ascii="宋体" w:hAnsi="宋体" w:cs="宋体"/>
                <w:kern w:val="0"/>
                <w:sz w:val="24"/>
                <w:szCs w:val="24"/>
                <w:highlight w:val="none"/>
              </w:rPr>
              <w:t>注</w:t>
            </w:r>
            <w:r>
              <w:rPr>
                <w:rFonts w:hint="eastAsia" w:ascii="宋体" w:hAnsi="宋体" w:cs="宋体"/>
                <w:kern w:val="0"/>
                <w:sz w:val="24"/>
                <w:szCs w:val="24"/>
                <w:highlight w:val="none"/>
                <w:lang w:eastAsia="zh-CN"/>
              </w:rPr>
              <w:t>：</w:t>
            </w:r>
            <w:r>
              <w:rPr>
                <w:rFonts w:hint="eastAsia" w:asciiTheme="minorEastAsia" w:hAnsiTheme="minorEastAsia" w:eastAsiaTheme="minorEastAsia" w:cstheme="minorEastAsia"/>
                <w:bCs/>
                <w:color w:val="auto"/>
                <w:kern w:val="2"/>
                <w:sz w:val="24"/>
                <w:szCs w:val="24"/>
                <w:highlight w:val="none"/>
                <w:lang w:bidi="zh-CN"/>
              </w:rPr>
              <w:t>提供合同原件扫描件</w:t>
            </w:r>
            <w:r>
              <w:rPr>
                <w:rFonts w:hint="eastAsia" w:asciiTheme="minorEastAsia" w:hAnsiTheme="minorEastAsia" w:eastAsiaTheme="minorEastAsia" w:cstheme="minorEastAsia"/>
                <w:bCs/>
                <w:color w:val="auto"/>
                <w:kern w:val="2"/>
                <w:sz w:val="24"/>
                <w:szCs w:val="24"/>
                <w:highlight w:val="none"/>
                <w:lang w:val="en-US" w:bidi="zh-CN"/>
              </w:rPr>
              <w:t>和工程竣工验收相关证明材料原件扫描件</w:t>
            </w:r>
            <w:r>
              <w:rPr>
                <w:rFonts w:hint="eastAsia" w:asciiTheme="minorEastAsia" w:hAnsiTheme="minorEastAsia" w:eastAsiaTheme="minorEastAsia" w:cstheme="minorEastAsia"/>
                <w:bCs/>
                <w:color w:val="auto"/>
                <w:kern w:val="2"/>
                <w:sz w:val="24"/>
                <w:szCs w:val="24"/>
                <w:highlight w:val="none"/>
                <w:lang w:bidi="zh-CN"/>
              </w:rPr>
              <w:t>，合同须能反映项目名称、主要标的物、签订时间、单位公章或专用合同章,如不能反映的，另须提供盖有原委托单位公章的证明，否则不予认可。</w:t>
            </w:r>
          </w:p>
        </w:tc>
      </w:tr>
      <w:tr w14:paraId="2207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578" w:type="pct"/>
            <w:vAlign w:val="center"/>
          </w:tcPr>
          <w:p w14:paraId="3A3A28B4">
            <w:pPr>
              <w:spacing w:line="380" w:lineRule="exact"/>
              <w:jc w:val="center"/>
              <w:rPr>
                <w:rFonts w:hint="eastAsia" w:ascii="宋体" w:hAnsi="宋体" w:cs="宋体"/>
                <w:sz w:val="24"/>
                <w:highlight w:val="none"/>
              </w:rPr>
            </w:pPr>
            <w:r>
              <w:rPr>
                <w:rFonts w:hint="eastAsia" w:ascii="宋体" w:hAnsi="宋体" w:cs="宋体"/>
                <w:sz w:val="24"/>
                <w:highlight w:val="none"/>
              </w:rPr>
              <w:t>企业</w:t>
            </w:r>
            <w:r>
              <w:rPr>
                <w:rFonts w:hint="eastAsia" w:ascii="宋体" w:hAnsi="宋体" w:cs="宋体"/>
                <w:sz w:val="24"/>
                <w:highlight w:val="none"/>
                <w:lang w:val="en-US" w:eastAsia="zh-CN"/>
              </w:rPr>
              <w:t>综合实力</w:t>
            </w:r>
          </w:p>
        </w:tc>
        <w:tc>
          <w:tcPr>
            <w:tcW w:w="589" w:type="pct"/>
            <w:vAlign w:val="center"/>
          </w:tcPr>
          <w:p w14:paraId="15902427">
            <w:pPr>
              <w:spacing w:line="380" w:lineRule="exact"/>
              <w:jc w:val="center"/>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分</w:t>
            </w:r>
          </w:p>
        </w:tc>
        <w:tc>
          <w:tcPr>
            <w:tcW w:w="3831" w:type="pct"/>
            <w:vAlign w:val="center"/>
          </w:tcPr>
          <w:p w14:paraId="7435CC1C">
            <w:pPr>
              <w:numPr>
                <w:ilvl w:val="0"/>
                <w:numId w:val="0"/>
              </w:numPr>
              <w:spacing w:line="380" w:lineRule="exact"/>
              <w:jc w:val="both"/>
              <w:rPr>
                <w:rFonts w:hint="eastAsia" w:ascii="宋体" w:hAnsi="宋体" w:cs="宋体"/>
                <w:color w:val="auto"/>
                <w:sz w:val="24"/>
                <w:highlight w:val="none"/>
              </w:rPr>
            </w:pPr>
            <w:r>
              <w:rPr>
                <w:rFonts w:hint="eastAsia" w:ascii="宋体" w:hAnsi="宋体" w:cs="宋体"/>
                <w:sz w:val="24"/>
                <w:highlight w:val="none"/>
                <w:lang w:val="en-US" w:eastAsia="zh-CN"/>
              </w:rPr>
              <w:t>1、</w:t>
            </w:r>
            <w:r>
              <w:rPr>
                <w:rFonts w:hint="eastAsia" w:ascii="宋体" w:hAnsi="宋体" w:cs="宋体"/>
                <w:color w:val="auto"/>
                <w:sz w:val="24"/>
                <w:highlight w:val="none"/>
              </w:rPr>
              <w:t>投标人具有有效且通过年检的质量管理体系认证证书、环境管理体系认证证书、职业健康安全管理体系认证证书，每提供1个得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分，最高得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分。 </w:t>
            </w:r>
          </w:p>
          <w:p w14:paraId="67B277FF">
            <w:pPr>
              <w:numPr>
                <w:ilvl w:val="0"/>
                <w:numId w:val="0"/>
              </w:numPr>
              <w:spacing w:line="380" w:lineRule="exact"/>
              <w:jc w:val="both"/>
              <w:rPr>
                <w:rFonts w:hint="default" w:ascii="宋体" w:hAnsi="宋体" w:cs="宋体"/>
                <w:color w:val="000000"/>
                <w:sz w:val="24"/>
                <w:highlight w:val="none"/>
                <w:lang w:val="en-US" w:eastAsia="zh-CN"/>
              </w:rPr>
            </w:pPr>
            <w:r>
              <w:rPr>
                <w:rFonts w:hint="eastAsia" w:ascii="宋体" w:hAnsi="宋体" w:cs="宋体"/>
                <w:color w:val="auto"/>
                <w:sz w:val="24"/>
                <w:highlight w:val="none"/>
              </w:rPr>
              <w:t>注：投标时提供上述证书的</w:t>
            </w:r>
            <w:r>
              <w:rPr>
                <w:rFonts w:hint="eastAsia" w:ascii="宋体" w:hAnsi="宋体" w:cs="宋体"/>
                <w:color w:val="auto"/>
                <w:sz w:val="24"/>
                <w:highlight w:val="none"/>
                <w:lang w:val="en-US" w:eastAsia="zh-CN"/>
              </w:rPr>
              <w:t>原件</w:t>
            </w:r>
            <w:r>
              <w:rPr>
                <w:rFonts w:hint="eastAsia" w:ascii="宋体" w:hAnsi="宋体" w:cs="宋体"/>
                <w:color w:val="auto"/>
                <w:sz w:val="24"/>
                <w:highlight w:val="none"/>
              </w:rPr>
              <w:t>扫描件，同时须提供上述证书在中国国家认证认可监督管理委员会网站http://www.cnca.gov.cn/查询页面完整截图，投标人应当确保证书开标当天处于有效期内，否则不予认可。不提供不得分。</w:t>
            </w:r>
          </w:p>
        </w:tc>
      </w:tr>
      <w:tr w14:paraId="4FB23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578" w:type="pct"/>
            <w:vAlign w:val="center"/>
          </w:tcPr>
          <w:p w14:paraId="09DBBD87">
            <w:pPr>
              <w:spacing w:line="380" w:lineRule="exact"/>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人员配备</w:t>
            </w:r>
          </w:p>
        </w:tc>
        <w:tc>
          <w:tcPr>
            <w:tcW w:w="589" w:type="pct"/>
            <w:vAlign w:val="center"/>
          </w:tcPr>
          <w:p w14:paraId="1BE01993">
            <w:pPr>
              <w:spacing w:line="380" w:lineRule="exact"/>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5分</w:t>
            </w:r>
          </w:p>
        </w:tc>
        <w:tc>
          <w:tcPr>
            <w:tcW w:w="3831" w:type="pct"/>
            <w:vAlign w:val="center"/>
          </w:tcPr>
          <w:p w14:paraId="4AB3C03E">
            <w:pPr>
              <w:numPr>
                <w:ilvl w:val="0"/>
                <w:numId w:val="0"/>
              </w:numPr>
              <w:spacing w:line="380" w:lineRule="exact"/>
              <w:jc w:val="both"/>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1、拟派施工项目经理具备建设工程类高级及以上职称的得1分，具备建设工程类中级职称的得0.5分，本项最高得1分。                2、技术负责人具备建设工程类高级及以上职称的得1分，具备建设工程类中级职称的得0.5分，本项最高得1分。</w:t>
            </w:r>
          </w:p>
          <w:p w14:paraId="5DBBBA61">
            <w:pPr>
              <w:numPr>
                <w:ilvl w:val="0"/>
                <w:numId w:val="0"/>
              </w:numPr>
              <w:spacing w:line="380" w:lineRule="exact"/>
              <w:jc w:val="both"/>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3、拟派项目组成员（不含项目经理及技术负责人）具备建设工程类中级及以上职称的有一人得1分，本项最高得3分。</w:t>
            </w:r>
          </w:p>
          <w:p w14:paraId="712F7A0F">
            <w:pPr>
              <w:numPr>
                <w:ilvl w:val="0"/>
                <w:numId w:val="0"/>
              </w:numPr>
              <w:spacing w:line="380" w:lineRule="exact"/>
              <w:jc w:val="both"/>
              <w:rPr>
                <w:rFonts w:hint="default" w:ascii="宋体" w:hAnsi="宋体" w:eastAsia="宋体" w:cs="宋体"/>
                <w:color w:val="000000"/>
                <w:sz w:val="24"/>
                <w:highlight w:val="none"/>
                <w:lang w:val="en-US" w:eastAsia="zh-CN"/>
              </w:rPr>
            </w:pPr>
            <w:r>
              <w:rPr>
                <w:rFonts w:hint="eastAsia" w:eastAsia="宋体"/>
                <w:sz w:val="24"/>
                <w:szCs w:val="24"/>
                <w:highlight w:val="none"/>
              </w:rPr>
              <w:t>注：须提供</w:t>
            </w:r>
            <w:r>
              <w:rPr>
                <w:rFonts w:hint="eastAsia" w:eastAsia="宋体"/>
                <w:sz w:val="24"/>
                <w:szCs w:val="24"/>
                <w:highlight w:val="none"/>
                <w:lang w:val="zh-CN"/>
              </w:rPr>
              <w:t>人员职称证书</w:t>
            </w:r>
            <w:r>
              <w:rPr>
                <w:rFonts w:hint="eastAsia" w:eastAsia="宋体"/>
                <w:sz w:val="24"/>
                <w:szCs w:val="24"/>
                <w:highlight w:val="none"/>
              </w:rPr>
              <w:t>原件扫描件</w:t>
            </w:r>
            <w:r>
              <w:rPr>
                <w:rFonts w:hint="eastAsia"/>
                <w:sz w:val="24"/>
                <w:szCs w:val="24"/>
                <w:highlight w:val="none"/>
                <w:lang w:eastAsia="zh-CN"/>
              </w:rPr>
              <w:t>，</w:t>
            </w:r>
            <w:r>
              <w:rPr>
                <w:rFonts w:hint="eastAsia" w:eastAsia="宋体"/>
                <w:sz w:val="24"/>
                <w:szCs w:val="24"/>
                <w:highlight w:val="none"/>
              </w:rPr>
              <w:t>拟投入项目组成员须为供应商</w:t>
            </w:r>
            <w:r>
              <w:rPr>
                <w:rFonts w:hint="eastAsia"/>
                <w:sz w:val="24"/>
                <w:szCs w:val="24"/>
                <w:highlight w:val="none"/>
                <w:lang w:val="en-US" w:eastAsia="zh-CN"/>
              </w:rPr>
              <w:t>正式职工</w:t>
            </w:r>
            <w:r>
              <w:rPr>
                <w:rFonts w:hint="eastAsia" w:eastAsia="宋体"/>
                <w:sz w:val="24"/>
                <w:szCs w:val="24"/>
                <w:highlight w:val="none"/>
              </w:rPr>
              <w:t>，提供以上人员近3个月（不含投标当月）任意一个月社保缴纳证明附在响应文件中。</w:t>
            </w:r>
          </w:p>
        </w:tc>
      </w:tr>
      <w:tr w14:paraId="6D54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2" w:hRule="atLeast"/>
          <w:jc w:val="center"/>
        </w:trPr>
        <w:tc>
          <w:tcPr>
            <w:tcW w:w="578" w:type="pct"/>
            <w:shd w:val="clear" w:color="auto" w:fill="auto"/>
            <w:vAlign w:val="center"/>
          </w:tcPr>
          <w:p w14:paraId="53955574">
            <w:pPr>
              <w:spacing w:line="380" w:lineRule="exact"/>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rPr>
              <w:t>施工组织设计</w:t>
            </w:r>
          </w:p>
        </w:tc>
        <w:tc>
          <w:tcPr>
            <w:tcW w:w="589" w:type="pct"/>
            <w:shd w:val="clear" w:color="auto" w:fill="auto"/>
            <w:vAlign w:val="center"/>
          </w:tcPr>
          <w:p w14:paraId="3E14DE4C">
            <w:pPr>
              <w:spacing w:line="380" w:lineRule="exact"/>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38</w:t>
            </w:r>
            <w:r>
              <w:rPr>
                <w:rFonts w:hint="eastAsia" w:ascii="宋体" w:hAnsi="宋体" w:cs="宋体"/>
                <w:sz w:val="24"/>
                <w:highlight w:val="none"/>
              </w:rPr>
              <w:t>分</w:t>
            </w:r>
          </w:p>
        </w:tc>
        <w:tc>
          <w:tcPr>
            <w:tcW w:w="3831" w:type="pct"/>
            <w:shd w:val="clear" w:color="auto" w:fill="auto"/>
            <w:vAlign w:val="top"/>
          </w:tcPr>
          <w:p w14:paraId="7567EDA3">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rPr>
            </w:pPr>
            <w:r>
              <w:rPr>
                <w:rFonts w:hint="eastAsia" w:cs="宋体" w:asciiTheme="minorEastAsia" w:hAnsiTheme="minorEastAsia" w:eastAsiaTheme="minorEastAsia"/>
                <w:bCs/>
                <w:color w:val="000000"/>
                <w:sz w:val="24"/>
                <w:highlight w:val="none"/>
              </w:rPr>
              <w:t>根据供应商的施工组织设计的完整性、准确性等方面进行综合评分。</w:t>
            </w:r>
          </w:p>
          <w:p w14:paraId="1E0954FC">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rPr>
            </w:pPr>
            <w:r>
              <w:rPr>
                <w:rFonts w:hint="eastAsia" w:cs="宋体" w:asciiTheme="minorEastAsia" w:hAnsiTheme="minorEastAsia" w:eastAsiaTheme="minorEastAsia"/>
                <w:bCs/>
                <w:color w:val="000000"/>
                <w:sz w:val="24"/>
                <w:highlight w:val="none"/>
              </w:rPr>
              <w:t>1.施工方案与技术措施（</w:t>
            </w:r>
            <w:r>
              <w:rPr>
                <w:rFonts w:hint="eastAsia" w:cs="宋体" w:asciiTheme="minorEastAsia" w:hAnsiTheme="minorEastAsia" w:eastAsiaTheme="minorEastAsia"/>
                <w:bCs/>
                <w:color w:val="000000"/>
                <w:sz w:val="24"/>
                <w:highlight w:val="none"/>
                <w:lang w:val="en-US" w:eastAsia="zh-CN"/>
              </w:rPr>
              <w:t>10</w:t>
            </w:r>
            <w:r>
              <w:rPr>
                <w:rFonts w:hint="eastAsia" w:cs="宋体" w:asciiTheme="minorEastAsia" w:hAnsiTheme="minorEastAsia" w:eastAsiaTheme="minorEastAsia"/>
                <w:bCs/>
                <w:color w:val="000000"/>
                <w:sz w:val="24"/>
                <w:highlight w:val="none"/>
              </w:rPr>
              <w:t>分）</w:t>
            </w:r>
          </w:p>
          <w:p w14:paraId="72188C7B">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lang w:val="en-US" w:eastAsia="zh-CN"/>
              </w:rPr>
            </w:pPr>
            <w:r>
              <w:rPr>
                <w:rFonts w:hint="eastAsia" w:cs="宋体" w:asciiTheme="minorEastAsia" w:hAnsiTheme="minorEastAsia" w:eastAsiaTheme="minorEastAsia"/>
                <w:bCs/>
                <w:color w:val="000000"/>
                <w:sz w:val="24"/>
                <w:highlight w:val="none"/>
              </w:rPr>
              <w:t>供应商根据本项目第四章中“</w:t>
            </w:r>
            <w:r>
              <w:rPr>
                <w:rFonts w:hint="eastAsia" w:cs="宋体" w:asciiTheme="minorEastAsia" w:hAnsiTheme="minorEastAsia" w:eastAsiaTheme="minorEastAsia"/>
                <w:bCs/>
                <w:color w:val="000000"/>
                <w:sz w:val="24"/>
                <w:highlight w:val="none"/>
                <w:lang w:val="en-US" w:eastAsia="zh-CN"/>
              </w:rPr>
              <w:t>五、施工组织设计</w:t>
            </w:r>
            <w:r>
              <w:rPr>
                <w:rFonts w:hint="eastAsia" w:cs="宋体" w:asciiTheme="minorEastAsia" w:hAnsiTheme="minorEastAsia" w:eastAsiaTheme="minorEastAsia"/>
                <w:bCs/>
                <w:color w:val="000000"/>
                <w:sz w:val="24"/>
                <w:highlight w:val="none"/>
              </w:rPr>
              <w:t>”要求，提供有针对性的、科学有效的施工方案与技术措施，至少</w:t>
            </w:r>
            <w:r>
              <w:rPr>
                <w:rFonts w:hint="eastAsia" w:cs="宋体" w:asciiTheme="minorEastAsia" w:hAnsiTheme="minorEastAsia" w:eastAsiaTheme="minorEastAsia"/>
                <w:bCs/>
                <w:color w:val="000000"/>
                <w:sz w:val="24"/>
                <w:highlight w:val="none"/>
                <w:lang w:val="en-US" w:eastAsia="zh-CN"/>
              </w:rPr>
              <w:t>包含①施工部署、</w:t>
            </w:r>
            <w:r>
              <w:rPr>
                <w:rFonts w:hint="eastAsia" w:ascii="宋体" w:eastAsia="宋体" w:cs="宋体"/>
                <w:b w:val="0"/>
                <w:bCs w:val="0"/>
                <w:color w:val="auto"/>
                <w:kern w:val="2"/>
                <w:sz w:val="24"/>
                <w:szCs w:val="24"/>
                <w:highlight w:val="none"/>
                <w:lang w:val="en-US" w:eastAsia="zh-CN" w:bidi="ar-SA"/>
              </w:rPr>
              <w:t>②</w:t>
            </w:r>
            <w:r>
              <w:rPr>
                <w:rFonts w:hint="eastAsia" w:ascii="宋体" w:hAnsi="宋体" w:eastAsia="宋体" w:cs="宋体"/>
                <w:b w:val="0"/>
                <w:bCs w:val="0"/>
                <w:color w:val="auto"/>
                <w:kern w:val="2"/>
                <w:sz w:val="24"/>
                <w:szCs w:val="24"/>
                <w:highlight w:val="none"/>
                <w:lang w:val="en-US" w:eastAsia="zh-CN" w:bidi="ar-SA"/>
              </w:rPr>
              <w:t>技术措施方案</w:t>
            </w:r>
            <w:r>
              <w:rPr>
                <w:rFonts w:hint="eastAsia" w:cs="宋体" w:asciiTheme="minorEastAsia" w:hAnsiTheme="minorEastAsia" w:eastAsiaTheme="minorEastAsia"/>
                <w:bCs/>
                <w:color w:val="000000"/>
                <w:sz w:val="24"/>
                <w:highlight w:val="none"/>
                <w:lang w:val="en-US" w:eastAsia="zh-CN"/>
              </w:rPr>
              <w:t>等内容。</w:t>
            </w:r>
          </w:p>
          <w:p w14:paraId="33D3BC4D">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rPr>
            </w:pPr>
            <w:r>
              <w:rPr>
                <w:rFonts w:hint="eastAsia" w:cs="宋体" w:asciiTheme="minorEastAsia" w:hAnsiTheme="minorEastAsia" w:eastAsiaTheme="minorEastAsia"/>
                <w:bCs/>
                <w:color w:val="000000"/>
                <w:sz w:val="24"/>
                <w:highlight w:val="none"/>
                <w:lang w:val="en-US" w:eastAsia="zh-CN"/>
              </w:rPr>
              <w:t>以上方案内容完整得10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p>
          <w:p w14:paraId="2FCA47B0">
            <w:pPr>
              <w:keepNext w:val="0"/>
              <w:keepLines w:val="0"/>
              <w:pageBreakBefore w:val="0"/>
              <w:widowControl w:val="0"/>
              <w:numPr>
                <w:ilvl w:val="0"/>
                <w:numId w:val="8"/>
              </w:numPr>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rPr>
            </w:pPr>
            <w:r>
              <w:rPr>
                <w:rFonts w:hint="eastAsia" w:cs="宋体" w:asciiTheme="minorEastAsia" w:hAnsiTheme="minorEastAsia" w:eastAsiaTheme="minorEastAsia"/>
                <w:bCs/>
                <w:color w:val="000000"/>
                <w:sz w:val="24"/>
                <w:highlight w:val="none"/>
              </w:rPr>
              <w:t>质量管理体系与保证措施（</w:t>
            </w:r>
            <w:r>
              <w:rPr>
                <w:rFonts w:hint="eastAsia" w:cs="宋体" w:asciiTheme="minorEastAsia" w:hAnsiTheme="minorEastAsia" w:eastAsiaTheme="minorEastAsia"/>
                <w:bCs/>
                <w:color w:val="000000"/>
                <w:sz w:val="24"/>
                <w:highlight w:val="none"/>
                <w:lang w:val="en-US" w:eastAsia="zh-CN"/>
              </w:rPr>
              <w:t>6</w:t>
            </w:r>
            <w:r>
              <w:rPr>
                <w:rFonts w:hint="eastAsia" w:cs="宋体" w:asciiTheme="minorEastAsia" w:hAnsiTheme="minorEastAsia" w:eastAsiaTheme="minorEastAsia"/>
                <w:bCs/>
                <w:color w:val="000000"/>
                <w:sz w:val="24"/>
                <w:highlight w:val="none"/>
              </w:rPr>
              <w:t>分）</w:t>
            </w:r>
          </w:p>
          <w:p w14:paraId="3C7A0634">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lang w:val="en-US" w:eastAsia="zh-CN"/>
              </w:rPr>
            </w:pPr>
            <w:r>
              <w:rPr>
                <w:rFonts w:hint="eastAsia" w:cs="宋体" w:asciiTheme="minorEastAsia" w:hAnsiTheme="minorEastAsia" w:eastAsiaTheme="minorEastAsia"/>
                <w:bCs/>
                <w:color w:val="000000"/>
                <w:sz w:val="24"/>
                <w:highlight w:val="none"/>
              </w:rPr>
              <w:t>供应商根据本项目第四章中“</w:t>
            </w:r>
            <w:r>
              <w:rPr>
                <w:rFonts w:hint="eastAsia" w:cs="宋体" w:asciiTheme="minorEastAsia" w:hAnsiTheme="minorEastAsia" w:eastAsiaTheme="minorEastAsia"/>
                <w:bCs/>
                <w:color w:val="000000"/>
                <w:sz w:val="24"/>
                <w:highlight w:val="none"/>
                <w:lang w:val="en-US" w:eastAsia="zh-CN"/>
              </w:rPr>
              <w:t>五、施工组织设计</w:t>
            </w:r>
            <w:r>
              <w:rPr>
                <w:rFonts w:hint="eastAsia" w:cs="宋体" w:asciiTheme="minorEastAsia" w:hAnsiTheme="minorEastAsia" w:eastAsiaTheme="minorEastAsia"/>
                <w:bCs/>
                <w:color w:val="000000"/>
                <w:sz w:val="24"/>
                <w:highlight w:val="none"/>
              </w:rPr>
              <w:t>”要求，提供有针对性的、科学有效的质量管理体系与保证措施，至少</w:t>
            </w:r>
            <w:r>
              <w:rPr>
                <w:rFonts w:hint="eastAsia" w:cs="宋体" w:asciiTheme="minorEastAsia" w:hAnsiTheme="minorEastAsia" w:eastAsiaTheme="minorEastAsia"/>
                <w:bCs/>
                <w:color w:val="000000"/>
                <w:sz w:val="24"/>
                <w:highlight w:val="none"/>
                <w:lang w:val="en-US" w:eastAsia="zh-CN"/>
              </w:rPr>
              <w:t>包含①详细的质量管理制度、②质量手册、</w:t>
            </w:r>
            <w:r>
              <w:rPr>
                <w:rFonts w:hint="eastAsia" w:asciiTheme="minorEastAsia" w:hAnsiTheme="minorEastAsia" w:eastAsiaTheme="minorEastAsia" w:cstheme="minorEastAsia"/>
                <w:bCs/>
                <w:color w:val="auto"/>
                <w:highlight w:val="none"/>
              </w:rPr>
              <w:t>③</w:t>
            </w:r>
            <w:r>
              <w:rPr>
                <w:rFonts w:hint="eastAsia" w:cs="宋体" w:asciiTheme="minorEastAsia" w:hAnsiTheme="minorEastAsia" w:eastAsiaTheme="minorEastAsia"/>
                <w:bCs/>
                <w:color w:val="000000"/>
                <w:sz w:val="24"/>
                <w:highlight w:val="none"/>
                <w:lang w:val="en-US" w:eastAsia="zh-CN"/>
              </w:rPr>
              <w:t>生产管理相关程序性文件、</w:t>
            </w:r>
            <w:r>
              <w:rPr>
                <w:rFonts w:hint="eastAsia" w:asciiTheme="minorEastAsia" w:hAnsiTheme="minorEastAsia" w:eastAsiaTheme="minorEastAsia" w:cstheme="minorEastAsia"/>
                <w:bCs/>
                <w:color w:val="auto"/>
                <w:highlight w:val="none"/>
              </w:rPr>
              <w:t>④</w:t>
            </w:r>
            <w:r>
              <w:rPr>
                <w:rFonts w:hint="eastAsia" w:cs="宋体" w:asciiTheme="minorEastAsia" w:hAnsiTheme="minorEastAsia" w:eastAsiaTheme="minorEastAsia"/>
                <w:bCs/>
                <w:color w:val="000000"/>
                <w:sz w:val="24"/>
                <w:highlight w:val="none"/>
                <w:lang w:val="en-US" w:eastAsia="zh-CN"/>
              </w:rPr>
              <w:t>实施过程中质量记录等内容。</w:t>
            </w:r>
          </w:p>
          <w:p w14:paraId="4A4D63A6">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highlight w:val="none"/>
              </w:rPr>
            </w:pPr>
            <w:r>
              <w:rPr>
                <w:rFonts w:hint="eastAsia" w:cs="宋体" w:asciiTheme="minorEastAsia" w:hAnsiTheme="minorEastAsia" w:eastAsiaTheme="minorEastAsia"/>
                <w:bCs/>
                <w:color w:val="000000"/>
                <w:sz w:val="24"/>
                <w:highlight w:val="none"/>
                <w:lang w:val="en-US" w:eastAsia="zh-CN"/>
              </w:rPr>
              <w:t>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p>
          <w:p w14:paraId="7B961FBA">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rPr>
            </w:pPr>
            <w:r>
              <w:rPr>
                <w:rFonts w:hint="eastAsia" w:cs="宋体" w:asciiTheme="minorEastAsia" w:hAnsiTheme="minorEastAsia" w:eastAsiaTheme="minorEastAsia"/>
                <w:bCs/>
                <w:color w:val="000000"/>
                <w:sz w:val="24"/>
                <w:highlight w:val="none"/>
              </w:rPr>
              <w:t>3.安全</w:t>
            </w:r>
            <w:r>
              <w:rPr>
                <w:rFonts w:hint="eastAsia" w:cs="宋体" w:asciiTheme="minorEastAsia" w:hAnsiTheme="minorEastAsia" w:eastAsiaTheme="minorEastAsia"/>
                <w:bCs/>
                <w:color w:val="000000"/>
                <w:sz w:val="24"/>
                <w:highlight w:val="none"/>
                <w:lang w:val="en-US" w:eastAsia="zh-CN"/>
              </w:rPr>
              <w:t>和绿色</w:t>
            </w:r>
            <w:r>
              <w:rPr>
                <w:rFonts w:hint="eastAsia" w:cs="宋体" w:asciiTheme="minorEastAsia" w:hAnsiTheme="minorEastAsia" w:eastAsiaTheme="minorEastAsia"/>
                <w:bCs/>
                <w:color w:val="000000"/>
                <w:sz w:val="24"/>
                <w:highlight w:val="none"/>
              </w:rPr>
              <w:t>施工保障措施（</w:t>
            </w:r>
            <w:r>
              <w:rPr>
                <w:rFonts w:hint="eastAsia" w:cs="宋体" w:asciiTheme="minorEastAsia" w:hAnsiTheme="minorEastAsia" w:eastAsiaTheme="minorEastAsia"/>
                <w:bCs/>
                <w:color w:val="000000"/>
                <w:sz w:val="24"/>
                <w:highlight w:val="none"/>
                <w:lang w:val="en-US" w:eastAsia="zh-CN"/>
              </w:rPr>
              <w:t>6</w:t>
            </w:r>
            <w:r>
              <w:rPr>
                <w:rFonts w:hint="eastAsia" w:cs="宋体" w:asciiTheme="minorEastAsia" w:hAnsiTheme="minorEastAsia" w:eastAsiaTheme="minorEastAsia"/>
                <w:bCs/>
                <w:color w:val="000000"/>
                <w:sz w:val="24"/>
                <w:highlight w:val="none"/>
              </w:rPr>
              <w:t>分）</w:t>
            </w:r>
          </w:p>
          <w:p w14:paraId="74AB178F">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lang w:val="en-US" w:eastAsia="zh-CN"/>
              </w:rPr>
            </w:pPr>
            <w:r>
              <w:rPr>
                <w:rFonts w:hint="eastAsia" w:cs="宋体" w:asciiTheme="minorEastAsia" w:hAnsiTheme="minorEastAsia" w:eastAsiaTheme="minorEastAsia"/>
                <w:bCs/>
                <w:color w:val="000000"/>
                <w:sz w:val="24"/>
                <w:highlight w:val="none"/>
              </w:rPr>
              <w:t>供应商根据本项目第四章中“</w:t>
            </w:r>
            <w:r>
              <w:rPr>
                <w:rFonts w:hint="eastAsia" w:cs="宋体" w:asciiTheme="minorEastAsia" w:hAnsiTheme="minorEastAsia" w:eastAsiaTheme="minorEastAsia"/>
                <w:bCs/>
                <w:color w:val="000000"/>
                <w:sz w:val="24"/>
                <w:highlight w:val="none"/>
                <w:lang w:val="en-US" w:eastAsia="zh-CN"/>
              </w:rPr>
              <w:t>五、施工组织设计</w:t>
            </w:r>
            <w:r>
              <w:rPr>
                <w:rFonts w:hint="eastAsia" w:cs="宋体" w:asciiTheme="minorEastAsia" w:hAnsiTheme="minorEastAsia" w:eastAsiaTheme="minorEastAsia"/>
                <w:bCs/>
                <w:color w:val="000000"/>
                <w:sz w:val="24"/>
                <w:highlight w:val="none"/>
              </w:rPr>
              <w:t>”要求，提供有针对性的、科学有效的安全</w:t>
            </w:r>
            <w:r>
              <w:rPr>
                <w:rFonts w:hint="eastAsia" w:cs="宋体" w:asciiTheme="minorEastAsia" w:hAnsiTheme="minorEastAsia" w:eastAsiaTheme="minorEastAsia"/>
                <w:bCs/>
                <w:color w:val="000000"/>
                <w:sz w:val="24"/>
                <w:highlight w:val="none"/>
                <w:lang w:val="en-US" w:eastAsia="zh-CN"/>
              </w:rPr>
              <w:t>和绿色</w:t>
            </w:r>
            <w:r>
              <w:rPr>
                <w:rFonts w:hint="eastAsia" w:cs="宋体" w:asciiTheme="minorEastAsia" w:hAnsiTheme="minorEastAsia" w:eastAsiaTheme="minorEastAsia"/>
                <w:bCs/>
                <w:color w:val="000000"/>
                <w:sz w:val="24"/>
                <w:highlight w:val="none"/>
              </w:rPr>
              <w:t>施工保障措施，至少</w:t>
            </w:r>
            <w:r>
              <w:rPr>
                <w:rFonts w:hint="eastAsia" w:cs="宋体" w:asciiTheme="minorEastAsia" w:hAnsiTheme="minorEastAsia" w:eastAsiaTheme="minorEastAsia"/>
                <w:bCs/>
                <w:color w:val="000000"/>
                <w:sz w:val="24"/>
                <w:highlight w:val="none"/>
                <w:lang w:val="en-US" w:eastAsia="zh-CN"/>
              </w:rPr>
              <w:t>包含①安全教育和培训内容、②安全管理制度、</w:t>
            </w:r>
            <w:r>
              <w:rPr>
                <w:rFonts w:hint="eastAsia" w:asciiTheme="minorEastAsia" w:hAnsiTheme="minorEastAsia" w:eastAsiaTheme="minorEastAsia" w:cstheme="minorEastAsia"/>
                <w:bCs/>
                <w:color w:val="auto"/>
                <w:highlight w:val="none"/>
              </w:rPr>
              <w:t>③</w:t>
            </w:r>
            <w:r>
              <w:rPr>
                <w:rFonts w:hint="eastAsia" w:cs="宋体" w:asciiTheme="minorEastAsia" w:hAnsiTheme="minorEastAsia" w:eastAsiaTheme="minorEastAsia"/>
                <w:bCs/>
                <w:color w:val="000000"/>
                <w:sz w:val="24"/>
                <w:highlight w:val="none"/>
                <w:lang w:val="en-US" w:eastAsia="zh-CN"/>
              </w:rPr>
              <w:t>应急预案保障措施、</w:t>
            </w:r>
            <w:r>
              <w:rPr>
                <w:rFonts w:hint="eastAsia" w:asciiTheme="minorEastAsia" w:hAnsiTheme="minorEastAsia" w:eastAsiaTheme="minorEastAsia" w:cstheme="minorEastAsia"/>
                <w:bCs/>
                <w:color w:val="auto"/>
                <w:highlight w:val="none"/>
              </w:rPr>
              <w:t>④</w:t>
            </w:r>
            <w:r>
              <w:rPr>
                <w:rFonts w:hint="eastAsia" w:cs="宋体" w:asciiTheme="minorEastAsia" w:hAnsiTheme="minorEastAsia" w:eastAsiaTheme="minorEastAsia"/>
                <w:bCs/>
                <w:color w:val="000000"/>
                <w:sz w:val="24"/>
                <w:highlight w:val="none"/>
                <w:lang w:val="en-US" w:eastAsia="zh-CN"/>
              </w:rPr>
              <w:t>绿色施工等内容。</w:t>
            </w:r>
          </w:p>
          <w:p w14:paraId="6BE324FC">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highlight w:val="none"/>
              </w:rPr>
            </w:pPr>
            <w:r>
              <w:rPr>
                <w:rFonts w:hint="eastAsia" w:cs="宋体" w:asciiTheme="minorEastAsia" w:hAnsiTheme="minorEastAsia" w:eastAsiaTheme="minorEastAsia"/>
                <w:bCs/>
                <w:color w:val="000000"/>
                <w:sz w:val="24"/>
                <w:highlight w:val="none"/>
                <w:lang w:val="en-US" w:eastAsia="zh-CN"/>
              </w:rPr>
              <w:t>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p>
          <w:p w14:paraId="3D013ACB">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rPr>
            </w:pPr>
            <w:r>
              <w:rPr>
                <w:rFonts w:hint="eastAsia" w:cs="宋体" w:asciiTheme="minorEastAsia" w:hAnsiTheme="minorEastAsia" w:eastAsiaTheme="minorEastAsia"/>
                <w:bCs/>
                <w:color w:val="000000"/>
                <w:sz w:val="24"/>
                <w:highlight w:val="none"/>
              </w:rPr>
              <w:t>4.工程进度计划与保证措施（</w:t>
            </w:r>
            <w:r>
              <w:rPr>
                <w:rFonts w:hint="eastAsia" w:cs="宋体" w:asciiTheme="minorEastAsia" w:hAnsiTheme="minorEastAsia" w:eastAsiaTheme="minorEastAsia"/>
                <w:bCs/>
                <w:color w:val="000000"/>
                <w:sz w:val="24"/>
                <w:highlight w:val="none"/>
                <w:lang w:val="en-US" w:eastAsia="zh-CN"/>
              </w:rPr>
              <w:t>8</w:t>
            </w:r>
            <w:r>
              <w:rPr>
                <w:rFonts w:hint="eastAsia" w:cs="宋体" w:asciiTheme="minorEastAsia" w:hAnsiTheme="minorEastAsia" w:eastAsiaTheme="minorEastAsia"/>
                <w:bCs/>
                <w:color w:val="000000"/>
                <w:sz w:val="24"/>
                <w:highlight w:val="none"/>
              </w:rPr>
              <w:t>分）</w:t>
            </w:r>
          </w:p>
          <w:p w14:paraId="0AC4E555">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lang w:val="en-US" w:eastAsia="zh-CN"/>
              </w:rPr>
            </w:pPr>
            <w:r>
              <w:rPr>
                <w:rFonts w:hint="eastAsia" w:cs="宋体" w:asciiTheme="minorEastAsia" w:hAnsiTheme="minorEastAsia" w:eastAsiaTheme="minorEastAsia"/>
                <w:bCs/>
                <w:color w:val="000000"/>
                <w:sz w:val="24"/>
                <w:highlight w:val="none"/>
              </w:rPr>
              <w:t>供应商根据本项目第四章中“</w:t>
            </w:r>
            <w:r>
              <w:rPr>
                <w:rFonts w:hint="eastAsia" w:cs="宋体" w:asciiTheme="minorEastAsia" w:hAnsiTheme="minorEastAsia" w:eastAsiaTheme="minorEastAsia"/>
                <w:bCs/>
                <w:color w:val="000000"/>
                <w:sz w:val="24"/>
                <w:highlight w:val="none"/>
                <w:lang w:val="en-US" w:eastAsia="zh-CN"/>
              </w:rPr>
              <w:t>五、施工组织设计</w:t>
            </w:r>
            <w:r>
              <w:rPr>
                <w:rFonts w:hint="eastAsia" w:cs="宋体" w:asciiTheme="minorEastAsia" w:hAnsiTheme="minorEastAsia" w:eastAsiaTheme="minorEastAsia"/>
                <w:bCs/>
                <w:color w:val="000000"/>
                <w:sz w:val="24"/>
                <w:highlight w:val="none"/>
              </w:rPr>
              <w:t>”要求，提供有针对性的、科学有效的工程进度计划与保证措施，至少</w:t>
            </w:r>
            <w:r>
              <w:rPr>
                <w:rFonts w:hint="eastAsia" w:cs="宋体" w:asciiTheme="minorEastAsia" w:hAnsiTheme="minorEastAsia" w:eastAsiaTheme="minorEastAsia"/>
                <w:bCs/>
                <w:color w:val="000000"/>
                <w:sz w:val="24"/>
                <w:highlight w:val="none"/>
                <w:lang w:val="en-US" w:eastAsia="zh-CN"/>
              </w:rPr>
              <w:t>包含①对项目进度的整体把控、②详细合理的时间节点安排、</w:t>
            </w:r>
            <w:r>
              <w:rPr>
                <w:rFonts w:hint="eastAsia" w:asciiTheme="minorEastAsia" w:hAnsiTheme="minorEastAsia" w:eastAsiaTheme="minorEastAsia" w:cstheme="minorEastAsia"/>
                <w:bCs/>
                <w:color w:val="auto"/>
                <w:highlight w:val="none"/>
              </w:rPr>
              <w:t>③</w:t>
            </w:r>
            <w:r>
              <w:rPr>
                <w:rFonts w:hint="eastAsia" w:cs="宋体" w:asciiTheme="minorEastAsia" w:hAnsiTheme="minorEastAsia" w:eastAsiaTheme="minorEastAsia"/>
                <w:bCs/>
                <w:color w:val="000000"/>
                <w:sz w:val="24"/>
                <w:highlight w:val="none"/>
                <w:lang w:val="en-US" w:eastAsia="zh-CN"/>
              </w:rPr>
              <w:t>有进度控制目标体系、</w:t>
            </w:r>
            <w:r>
              <w:rPr>
                <w:rFonts w:hint="eastAsia" w:asciiTheme="minorEastAsia" w:hAnsiTheme="minorEastAsia" w:eastAsiaTheme="minorEastAsia" w:cstheme="minorEastAsia"/>
                <w:bCs/>
                <w:color w:val="auto"/>
                <w:highlight w:val="none"/>
              </w:rPr>
              <w:t>④</w:t>
            </w:r>
            <w:r>
              <w:rPr>
                <w:rFonts w:hint="eastAsia" w:cs="宋体" w:asciiTheme="minorEastAsia" w:hAnsiTheme="minorEastAsia" w:eastAsiaTheme="minorEastAsia"/>
                <w:bCs/>
                <w:color w:val="000000"/>
                <w:sz w:val="24"/>
                <w:highlight w:val="none"/>
                <w:lang w:val="en-US" w:eastAsia="zh-CN"/>
              </w:rPr>
              <w:t>实施过程中如出现影响施工进度的保障措施等内容。</w:t>
            </w:r>
          </w:p>
          <w:p w14:paraId="26F41CC9">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rPr>
            </w:pPr>
            <w:r>
              <w:rPr>
                <w:rFonts w:hint="eastAsia" w:cs="宋体" w:asciiTheme="minorEastAsia" w:hAnsiTheme="minorEastAsia" w:eastAsiaTheme="minorEastAsia"/>
                <w:bCs/>
                <w:color w:val="000000"/>
                <w:sz w:val="24"/>
                <w:highlight w:val="none"/>
                <w:lang w:val="en-US" w:eastAsia="zh-CN"/>
              </w:rPr>
              <w:t>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rPr>
                <w:rFonts w:hint="eastAsia" w:cs="宋体" w:asciiTheme="minorEastAsia" w:hAnsiTheme="minorEastAsia" w:eastAsiaTheme="minorEastAsia"/>
                <w:bCs/>
                <w:color w:val="000000"/>
                <w:sz w:val="24"/>
                <w:highlight w:val="none"/>
                <w:lang w:eastAsia="zh-CN"/>
              </w:rPr>
              <w:t>。</w:t>
            </w:r>
          </w:p>
          <w:p w14:paraId="34F12EBA">
            <w:pPr>
              <w:keepNext w:val="0"/>
              <w:keepLines w:val="0"/>
              <w:pageBreakBefore w:val="0"/>
              <w:widowControl w:val="0"/>
              <w:numPr>
                <w:ilvl w:val="0"/>
                <w:numId w:val="9"/>
              </w:numPr>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rPr>
            </w:pPr>
            <w:r>
              <w:rPr>
                <w:rFonts w:hint="eastAsia" w:cs="宋体" w:asciiTheme="minorEastAsia" w:hAnsiTheme="minorEastAsia" w:eastAsiaTheme="minorEastAsia"/>
                <w:bCs/>
                <w:color w:val="000000"/>
                <w:sz w:val="24"/>
                <w:highlight w:val="none"/>
              </w:rPr>
              <w:t>本工程重点难点分析（</w:t>
            </w:r>
            <w:r>
              <w:rPr>
                <w:rFonts w:hint="eastAsia" w:cs="宋体" w:asciiTheme="minorEastAsia" w:hAnsiTheme="minorEastAsia" w:eastAsiaTheme="minorEastAsia"/>
                <w:bCs/>
                <w:color w:val="000000"/>
                <w:sz w:val="24"/>
                <w:highlight w:val="none"/>
                <w:lang w:val="en-US" w:eastAsia="zh-CN"/>
              </w:rPr>
              <w:t>8</w:t>
            </w:r>
            <w:r>
              <w:rPr>
                <w:rFonts w:hint="eastAsia" w:cs="宋体" w:asciiTheme="minorEastAsia" w:hAnsiTheme="minorEastAsia" w:eastAsiaTheme="minorEastAsia"/>
                <w:bCs/>
                <w:color w:val="000000"/>
                <w:sz w:val="24"/>
                <w:highlight w:val="none"/>
              </w:rPr>
              <w:t>分）</w:t>
            </w:r>
          </w:p>
          <w:p w14:paraId="5E7F191F">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lang w:val="en-US" w:eastAsia="zh-CN"/>
              </w:rPr>
            </w:pPr>
            <w:r>
              <w:rPr>
                <w:rFonts w:hint="eastAsia" w:cs="宋体" w:asciiTheme="minorEastAsia" w:hAnsiTheme="minorEastAsia" w:eastAsiaTheme="minorEastAsia"/>
                <w:bCs/>
                <w:color w:val="000000"/>
                <w:sz w:val="24"/>
                <w:highlight w:val="none"/>
                <w:lang w:val="en-US" w:eastAsia="zh-CN"/>
              </w:rPr>
              <w:t>供应商根据本项目第四章中“五、施工组织设计”要求，提供有针对性的、科学有效的</w:t>
            </w:r>
            <w:r>
              <w:rPr>
                <w:rFonts w:hint="eastAsia" w:cs="宋体" w:asciiTheme="minorEastAsia" w:hAnsiTheme="minorEastAsia" w:eastAsiaTheme="minorEastAsia"/>
                <w:bCs/>
                <w:color w:val="000000"/>
                <w:sz w:val="24"/>
                <w:highlight w:val="none"/>
              </w:rPr>
              <w:t>本工程重点难点分析</w:t>
            </w:r>
            <w:r>
              <w:rPr>
                <w:rFonts w:hint="eastAsia" w:cs="宋体" w:asciiTheme="minorEastAsia" w:hAnsiTheme="minorEastAsia" w:eastAsiaTheme="minorEastAsia"/>
                <w:bCs/>
                <w:color w:val="000000"/>
                <w:sz w:val="24"/>
                <w:highlight w:val="none"/>
                <w:lang w:val="en-US" w:eastAsia="zh-CN"/>
              </w:rPr>
              <w:t>，至少包含①</w:t>
            </w:r>
            <w:r>
              <w:rPr>
                <w:rFonts w:hint="eastAsia" w:ascii="宋体" w:eastAsia="宋体" w:cs="宋体"/>
                <w:color w:val="auto"/>
                <w:kern w:val="2"/>
                <w:sz w:val="24"/>
                <w:szCs w:val="24"/>
                <w:highlight w:val="none"/>
                <w:lang w:val="en-US" w:eastAsia="zh-CN" w:bidi="ar-SA"/>
              </w:rPr>
              <w:t>技术难点、</w:t>
            </w:r>
            <w:r>
              <w:rPr>
                <w:rFonts w:hint="eastAsia" w:cs="宋体" w:asciiTheme="minorEastAsia" w:hAnsiTheme="minorEastAsia" w:eastAsiaTheme="minorEastAsia"/>
                <w:bCs/>
                <w:color w:val="000000"/>
                <w:sz w:val="24"/>
                <w:highlight w:val="none"/>
                <w:lang w:val="en-US" w:eastAsia="zh-CN"/>
              </w:rPr>
              <w:t>②</w:t>
            </w:r>
            <w:r>
              <w:rPr>
                <w:rFonts w:hint="eastAsia" w:ascii="宋体" w:eastAsia="宋体" w:cs="宋体"/>
                <w:color w:val="auto"/>
                <w:kern w:val="2"/>
                <w:sz w:val="24"/>
                <w:szCs w:val="24"/>
                <w:highlight w:val="none"/>
                <w:lang w:val="en-US" w:eastAsia="zh-CN" w:bidi="ar-SA"/>
              </w:rPr>
              <w:t>环境制约难点、</w:t>
            </w:r>
            <w:r>
              <w:rPr>
                <w:rFonts w:hint="eastAsia" w:asciiTheme="minorEastAsia" w:hAnsiTheme="minorEastAsia" w:eastAsiaTheme="minorEastAsia" w:cstheme="minorEastAsia"/>
                <w:bCs/>
                <w:color w:val="auto"/>
                <w:highlight w:val="none"/>
              </w:rPr>
              <w:t>③</w:t>
            </w:r>
            <w:r>
              <w:rPr>
                <w:rFonts w:hint="eastAsia" w:ascii="宋体" w:eastAsia="宋体" w:cs="宋体"/>
                <w:color w:val="auto"/>
                <w:kern w:val="2"/>
                <w:sz w:val="24"/>
                <w:szCs w:val="24"/>
                <w:highlight w:val="none"/>
                <w:lang w:val="en-US" w:eastAsia="zh-CN" w:bidi="ar-SA"/>
              </w:rPr>
              <w:t>协调管理难点、</w:t>
            </w:r>
            <w:r>
              <w:rPr>
                <w:rFonts w:hint="eastAsia" w:asciiTheme="minorEastAsia" w:hAnsiTheme="minorEastAsia" w:eastAsiaTheme="minorEastAsia" w:cstheme="minorEastAsia"/>
                <w:bCs/>
                <w:color w:val="auto"/>
                <w:highlight w:val="none"/>
              </w:rPr>
              <w:t>④</w:t>
            </w:r>
            <w:r>
              <w:rPr>
                <w:rFonts w:hint="eastAsia" w:ascii="宋体" w:eastAsia="宋体" w:cs="宋体"/>
                <w:color w:val="auto"/>
                <w:kern w:val="2"/>
                <w:sz w:val="24"/>
                <w:szCs w:val="24"/>
                <w:highlight w:val="none"/>
                <w:lang w:val="en-US" w:eastAsia="zh-CN" w:bidi="ar-SA"/>
              </w:rPr>
              <w:t>成本控制难点</w:t>
            </w:r>
            <w:r>
              <w:rPr>
                <w:rFonts w:hint="eastAsia" w:cs="宋体" w:asciiTheme="minorEastAsia" w:hAnsiTheme="minorEastAsia" w:eastAsiaTheme="minorEastAsia"/>
                <w:bCs/>
                <w:color w:val="000000"/>
                <w:sz w:val="24"/>
                <w:highlight w:val="none"/>
                <w:lang w:val="en-US" w:eastAsia="zh-CN"/>
              </w:rPr>
              <w:t>等内容。</w:t>
            </w:r>
          </w:p>
          <w:p w14:paraId="28D46D1C">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cs="宋体" w:asciiTheme="minorEastAsia" w:hAnsiTheme="minorEastAsia" w:eastAsiaTheme="minorEastAsia"/>
                <w:bCs/>
                <w:color w:val="000000"/>
                <w:sz w:val="24"/>
                <w:highlight w:val="none"/>
                <w:lang w:val="en-US" w:eastAsia="zh-CN"/>
              </w:rPr>
            </w:pPr>
            <w:r>
              <w:rPr>
                <w:rFonts w:hint="eastAsia" w:cs="宋体" w:asciiTheme="minorEastAsia" w:hAnsiTheme="minorEastAsia" w:eastAsiaTheme="minorEastAsia"/>
                <w:bCs/>
                <w:color w:val="000000"/>
                <w:sz w:val="24"/>
                <w:highlight w:val="none"/>
                <w:lang w:val="en-US" w:eastAsia="zh-CN"/>
              </w:rPr>
              <w:t>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rPr>
                <w:rFonts w:hint="eastAsia" w:cs="宋体" w:asciiTheme="minorEastAsia" w:hAnsiTheme="minorEastAsia" w:eastAsiaTheme="minorEastAsia"/>
                <w:bCs/>
                <w:color w:val="000000"/>
                <w:sz w:val="24"/>
                <w:highlight w:val="none"/>
                <w:lang w:eastAsia="zh-CN"/>
              </w:rPr>
              <w:t>。</w:t>
            </w:r>
          </w:p>
        </w:tc>
      </w:tr>
    </w:tbl>
    <w:p w14:paraId="75E46DFD">
      <w:pPr>
        <w:pStyle w:val="35"/>
        <w:spacing w:beforeAutospacing="0" w:afterAutospacing="0"/>
        <w:jc w:val="center"/>
        <w:rPr>
          <w:color w:val="000000" w:themeColor="text1"/>
          <w:highlight w:val="none"/>
          <w14:textFill>
            <w14:solidFill>
              <w14:schemeClr w14:val="tx1"/>
            </w14:solidFill>
          </w14:textFill>
        </w:rPr>
      </w:pPr>
      <w:bookmarkStart w:id="136" w:name="_Toc26554094"/>
      <w:bookmarkStart w:id="137" w:name="_Hlt26671244"/>
      <w:bookmarkStart w:id="138" w:name="_Hlt26955039"/>
    </w:p>
    <w:p w14:paraId="377BDC77">
      <w:pPr>
        <w:pStyle w:val="35"/>
        <w:spacing w:beforeAutospacing="0" w:afterAutospacing="0"/>
        <w:jc w:val="center"/>
        <w:rPr>
          <w:rFonts w:hint="eastAsia"/>
          <w:color w:val="000000" w:themeColor="text1"/>
          <w:highlight w:val="none"/>
          <w14:textFill>
            <w14:solidFill>
              <w14:schemeClr w14:val="tx1"/>
            </w14:solidFill>
          </w14:textFill>
        </w:rPr>
      </w:pPr>
    </w:p>
    <w:p w14:paraId="277EF8D8">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61B95631">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148D532E">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68685126">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3C295C1B">
      <w:pPr>
        <w:pStyle w:val="35"/>
        <w:keepNext/>
        <w:spacing w:beforeAutospacing="0" w:afterAutospacing="0"/>
        <w:jc w:val="both"/>
        <w:rPr>
          <w:rFonts w:hint="eastAsia" w:ascii="黑体" w:eastAsia="黑体" w:cs="黑体"/>
          <w:color w:val="000000" w:themeColor="text1"/>
          <w:sz w:val="44"/>
          <w:szCs w:val="44"/>
          <w:highlight w:val="none"/>
          <w14:textFill>
            <w14:solidFill>
              <w14:schemeClr w14:val="tx1"/>
            </w14:solidFill>
          </w14:textFill>
        </w:rPr>
      </w:pPr>
    </w:p>
    <w:p w14:paraId="06FE6DAF">
      <w:pPr>
        <w:pStyle w:val="35"/>
        <w:keepNext/>
        <w:spacing w:beforeAutospacing="0" w:afterAutospacing="0"/>
        <w:jc w:val="both"/>
        <w:rPr>
          <w:rFonts w:hint="eastAsia" w:ascii="黑体" w:eastAsia="黑体" w:cs="黑体"/>
          <w:color w:val="000000" w:themeColor="text1"/>
          <w:sz w:val="44"/>
          <w:szCs w:val="44"/>
          <w:highlight w:val="none"/>
          <w14:textFill>
            <w14:solidFill>
              <w14:schemeClr w14:val="tx1"/>
            </w14:solidFill>
          </w14:textFill>
        </w:rPr>
      </w:pPr>
    </w:p>
    <w:p w14:paraId="62EBF9B4">
      <w:pPr>
        <w:pStyle w:val="35"/>
        <w:keepNext/>
        <w:spacing w:beforeAutospacing="0" w:afterAutospacing="0"/>
        <w:jc w:val="both"/>
        <w:rPr>
          <w:rFonts w:hint="eastAsia" w:ascii="黑体" w:eastAsia="黑体" w:cs="黑体"/>
          <w:color w:val="000000" w:themeColor="text1"/>
          <w:sz w:val="44"/>
          <w:szCs w:val="44"/>
          <w:highlight w:val="none"/>
          <w14:textFill>
            <w14:solidFill>
              <w14:schemeClr w14:val="tx1"/>
            </w14:solidFill>
          </w14:textFill>
        </w:rPr>
      </w:pPr>
    </w:p>
    <w:p w14:paraId="33E71A3A">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6B99FE82">
      <w:pPr>
        <w:pStyle w:val="35"/>
        <w:spacing w:beforeAutospacing="0" w:afterAutospacing="0" w:line="0" w:lineRule="atLeast"/>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801690C">
      <w:pPr>
        <w:pStyle w:val="3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p w14:paraId="526C4EA3">
      <w:pPr>
        <w:pStyle w:val="3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p w14:paraId="2336578D">
      <w:pPr>
        <w:pStyle w:val="3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p w14:paraId="26061E0D">
      <w:pPr>
        <w:pStyle w:val="3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p w14:paraId="73B968A8">
      <w:pPr>
        <w:pStyle w:val="3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p w14:paraId="4CA32108">
      <w:pPr>
        <w:pStyle w:val="3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p w14:paraId="15AB37DE">
      <w:pPr>
        <w:pStyle w:val="35"/>
        <w:spacing w:beforeAutospacing="0" w:afterAutospacing="0" w:line="0" w:lineRule="atLeast"/>
        <w:jc w:val="both"/>
        <w:rPr>
          <w:rFonts w:hint="eastAsia"/>
          <w:b/>
          <w:color w:val="000000" w:themeColor="text1"/>
          <w:sz w:val="32"/>
          <w:szCs w:val="32"/>
          <w:highlight w:val="none"/>
          <w14:textFill>
            <w14:solidFill>
              <w14:schemeClr w14:val="tx1"/>
            </w14:solidFill>
          </w14:textFill>
        </w:rPr>
      </w:pPr>
    </w:p>
    <w:p w14:paraId="10FFD234">
      <w:pPr>
        <w:pStyle w:val="3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bookmarkEnd w:id="136"/>
    <w:bookmarkEnd w:id="137"/>
    <w:bookmarkEnd w:id="138"/>
    <w:p w14:paraId="04D7270F">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t>第六章  响应文件格式</w:t>
      </w:r>
    </w:p>
    <w:p w14:paraId="449AA8FB">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1BF0B405">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2106E9BD">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34502D1D">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73908033">
      <w:pPr>
        <w:pStyle w:val="35"/>
        <w:spacing w:beforeAutospacing="0" w:afterAutospacing="0"/>
        <w:jc w:val="center"/>
        <w:rPr>
          <w:rFonts w:hint="eastAsia"/>
          <w:color w:val="000000" w:themeColor="text1"/>
          <w:highlight w:val="none"/>
          <w14:textFill>
            <w14:solidFill>
              <w14:schemeClr w14:val="tx1"/>
            </w14:solidFill>
          </w14:textFill>
        </w:rPr>
      </w:pPr>
      <w:bookmarkStart w:id="139" w:name="_Toc120614282"/>
      <w:bookmarkEnd w:id="139"/>
      <w:bookmarkStart w:id="140" w:name="_Toc49090576"/>
      <w:bookmarkEnd w:id="140"/>
      <w:r>
        <w:rPr>
          <w:rFonts w:hint="eastAsia"/>
          <w:b/>
          <w:color w:val="000000" w:themeColor="text1"/>
          <w:sz w:val="72"/>
          <w:szCs w:val="72"/>
          <w:highlight w:val="none"/>
          <w14:textFill>
            <w14:solidFill>
              <w14:schemeClr w14:val="tx1"/>
            </w14:solidFill>
          </w14:textFill>
        </w:rPr>
        <w:t>响  应  文  件</w:t>
      </w:r>
    </w:p>
    <w:p w14:paraId="188BC92A">
      <w:pPr>
        <w:pStyle w:val="35"/>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ECD7DAB">
      <w:pPr>
        <w:pStyle w:val="35"/>
        <w:spacing w:beforeAutospacing="0" w:afterAutospacing="0"/>
        <w:jc w:val="center"/>
        <w:rPr>
          <w:color w:val="000000" w:themeColor="text1"/>
          <w:highlight w:val="none"/>
          <w14:textFill>
            <w14:solidFill>
              <w14:schemeClr w14:val="tx1"/>
            </w14:solidFill>
          </w14:textFill>
        </w:rPr>
      </w:pPr>
    </w:p>
    <w:p w14:paraId="40F24285">
      <w:pPr>
        <w:pStyle w:val="35"/>
        <w:spacing w:beforeAutospacing="0" w:afterAutospacing="0"/>
        <w:jc w:val="center"/>
        <w:rPr>
          <w:color w:val="000000" w:themeColor="text1"/>
          <w:highlight w:val="none"/>
          <w14:textFill>
            <w14:solidFill>
              <w14:schemeClr w14:val="tx1"/>
            </w14:solidFill>
          </w14:textFill>
        </w:rPr>
      </w:pPr>
    </w:p>
    <w:p w14:paraId="68CE905B">
      <w:pPr>
        <w:pStyle w:val="35"/>
        <w:spacing w:beforeAutospacing="0" w:afterAutospacing="0"/>
        <w:jc w:val="center"/>
        <w:rPr>
          <w:rFonts w:hint="eastAsia"/>
          <w:color w:val="000000" w:themeColor="text1"/>
          <w:highlight w:val="none"/>
          <w14:textFill>
            <w14:solidFill>
              <w14:schemeClr w14:val="tx1"/>
            </w14:solidFill>
          </w14:textFill>
        </w:rPr>
      </w:pPr>
    </w:p>
    <w:p w14:paraId="4C2B3C21">
      <w:pPr>
        <w:pStyle w:val="35"/>
        <w:spacing w:beforeAutospacing="0" w:afterAutospacing="0"/>
        <w:ind w:firstLine="1084"/>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项 目名 称：</w:t>
      </w:r>
      <w:r>
        <w:rPr>
          <w:rFonts w:hint="eastAsia"/>
          <w:b/>
          <w:color w:val="000000" w:themeColor="text1"/>
          <w:sz w:val="36"/>
          <w:szCs w:val="36"/>
          <w:highlight w:val="none"/>
          <w:u w:val="single"/>
          <w14:textFill>
            <w14:solidFill>
              <w14:schemeClr w14:val="tx1"/>
            </w14:solidFill>
          </w14:textFill>
        </w:rPr>
        <w:t xml:space="preserve">               </w:t>
      </w:r>
    </w:p>
    <w:p w14:paraId="473FFBDE">
      <w:pPr>
        <w:pStyle w:val="35"/>
        <w:spacing w:beforeAutospacing="0" w:afterAutospacing="0"/>
        <w:ind w:firstLine="1084"/>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项 目编 号：</w:t>
      </w:r>
      <w:r>
        <w:rPr>
          <w:rFonts w:hint="eastAsia"/>
          <w:b/>
          <w:color w:val="000000" w:themeColor="text1"/>
          <w:sz w:val="36"/>
          <w:szCs w:val="36"/>
          <w:highlight w:val="none"/>
          <w:u w:val="single"/>
          <w14:textFill>
            <w14:solidFill>
              <w14:schemeClr w14:val="tx1"/>
            </w14:solidFill>
          </w14:textFill>
        </w:rPr>
        <w:t xml:space="preserve">               </w:t>
      </w:r>
    </w:p>
    <w:p w14:paraId="20CC45BA">
      <w:pPr>
        <w:pStyle w:val="35"/>
        <w:spacing w:beforeAutospacing="0" w:afterAutospacing="0"/>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供应商名称 ：</w:t>
      </w:r>
      <w:r>
        <w:rPr>
          <w:rFonts w:hint="eastAsia"/>
          <w:b/>
          <w:color w:val="000000" w:themeColor="text1"/>
          <w:sz w:val="36"/>
          <w:szCs w:val="36"/>
          <w:highlight w:val="none"/>
          <w:u w:val="single"/>
          <w14:textFill>
            <w14:solidFill>
              <w14:schemeClr w14:val="tx1"/>
            </w14:solidFill>
          </w14:textFill>
        </w:rPr>
        <w:t>（加盖CA电子公章）</w:t>
      </w:r>
    </w:p>
    <w:p w14:paraId="60FB0C59">
      <w:pPr>
        <w:pStyle w:val="35"/>
        <w:spacing w:beforeAutospacing="0" w:afterAutospacing="0"/>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日   期 ：</w:t>
      </w:r>
      <w:r>
        <w:rPr>
          <w:rFonts w:hint="eastAsia"/>
          <w:b/>
          <w:color w:val="000000" w:themeColor="text1"/>
          <w:sz w:val="36"/>
          <w:szCs w:val="36"/>
          <w:highlight w:val="none"/>
          <w:u w:val="single"/>
          <w14:textFill>
            <w14:solidFill>
              <w14:schemeClr w14:val="tx1"/>
            </w14:solidFill>
          </w14:textFill>
        </w:rPr>
        <w:t>           </w:t>
      </w:r>
    </w:p>
    <w:p w14:paraId="11925881">
      <w:pPr>
        <w:pStyle w:val="35"/>
        <w:widowControl w:val="0"/>
        <w:spacing w:before="0" w:beforeAutospacing="0" w:after="0" w:afterAutospacing="0" w:line="0" w:lineRule="atLeast"/>
        <w:jc w:val="center"/>
        <w:rPr>
          <w:rFonts w:hint="eastAsia"/>
          <w:b/>
          <w:color w:val="000000"/>
          <w:sz w:val="32"/>
          <w:szCs w:val="32"/>
          <w:highlight w:val="none"/>
        </w:rPr>
      </w:pPr>
    </w:p>
    <w:p w14:paraId="02207D19">
      <w:pPr>
        <w:pStyle w:val="35"/>
        <w:widowControl w:val="0"/>
        <w:spacing w:before="0" w:beforeAutospacing="0" w:after="0" w:afterAutospacing="0" w:line="0" w:lineRule="atLeast"/>
        <w:jc w:val="center"/>
        <w:rPr>
          <w:rFonts w:hint="eastAsia"/>
          <w:b/>
          <w:color w:val="000000"/>
          <w:sz w:val="32"/>
          <w:szCs w:val="32"/>
          <w:highlight w:val="none"/>
        </w:rPr>
      </w:pPr>
    </w:p>
    <w:p w14:paraId="6657259B">
      <w:pPr>
        <w:pStyle w:val="35"/>
        <w:widowControl w:val="0"/>
        <w:spacing w:before="0" w:beforeAutospacing="0" w:after="0" w:afterAutospacing="0" w:line="0" w:lineRule="atLeast"/>
        <w:jc w:val="center"/>
        <w:rPr>
          <w:rFonts w:hint="eastAsia"/>
          <w:b/>
          <w:color w:val="000000"/>
          <w:sz w:val="32"/>
          <w:szCs w:val="32"/>
          <w:highlight w:val="none"/>
        </w:rPr>
      </w:pPr>
    </w:p>
    <w:p w14:paraId="38336A9C">
      <w:pPr>
        <w:pStyle w:val="35"/>
        <w:widowControl w:val="0"/>
        <w:spacing w:before="0" w:beforeAutospacing="0" w:after="0" w:afterAutospacing="0" w:line="0" w:lineRule="atLeast"/>
        <w:jc w:val="center"/>
        <w:rPr>
          <w:rFonts w:hint="eastAsia"/>
          <w:b/>
          <w:color w:val="000000"/>
          <w:sz w:val="32"/>
          <w:szCs w:val="32"/>
          <w:highlight w:val="none"/>
        </w:rPr>
      </w:pPr>
    </w:p>
    <w:p w14:paraId="160C9381">
      <w:pPr>
        <w:pStyle w:val="35"/>
        <w:widowControl w:val="0"/>
        <w:spacing w:before="0" w:beforeAutospacing="0" w:after="0" w:afterAutospacing="0" w:line="0" w:lineRule="atLeast"/>
        <w:jc w:val="center"/>
        <w:rPr>
          <w:rFonts w:hint="eastAsia"/>
          <w:b/>
          <w:color w:val="000000"/>
          <w:sz w:val="32"/>
          <w:szCs w:val="32"/>
          <w:highlight w:val="none"/>
        </w:rPr>
      </w:pPr>
    </w:p>
    <w:p w14:paraId="120F366F">
      <w:pPr>
        <w:pStyle w:val="35"/>
        <w:widowControl w:val="0"/>
        <w:spacing w:before="0" w:beforeAutospacing="0" w:after="0" w:afterAutospacing="0" w:line="0" w:lineRule="atLeast"/>
        <w:jc w:val="center"/>
        <w:rPr>
          <w:rFonts w:hint="eastAsia"/>
          <w:b/>
          <w:color w:val="000000"/>
          <w:sz w:val="32"/>
          <w:szCs w:val="32"/>
          <w:highlight w:val="none"/>
        </w:rPr>
      </w:pPr>
    </w:p>
    <w:p w14:paraId="7E86A39E">
      <w:pPr>
        <w:pStyle w:val="35"/>
        <w:widowControl w:val="0"/>
        <w:spacing w:before="0" w:beforeAutospacing="0" w:after="0" w:afterAutospacing="0" w:line="0" w:lineRule="atLeast"/>
        <w:jc w:val="center"/>
        <w:rPr>
          <w:rFonts w:hint="eastAsia"/>
          <w:b/>
          <w:color w:val="000000"/>
          <w:sz w:val="32"/>
          <w:szCs w:val="32"/>
          <w:highlight w:val="none"/>
        </w:rPr>
      </w:pPr>
    </w:p>
    <w:p w14:paraId="36E243D8">
      <w:pPr>
        <w:pStyle w:val="35"/>
        <w:widowControl w:val="0"/>
        <w:spacing w:before="0" w:beforeAutospacing="0" w:after="0" w:afterAutospacing="0" w:line="0" w:lineRule="atLeast"/>
        <w:jc w:val="center"/>
        <w:rPr>
          <w:rFonts w:hint="eastAsia"/>
          <w:b/>
          <w:color w:val="000000"/>
          <w:sz w:val="32"/>
          <w:szCs w:val="32"/>
          <w:highlight w:val="none"/>
        </w:rPr>
      </w:pPr>
    </w:p>
    <w:p w14:paraId="262EDEEA">
      <w:pPr>
        <w:pStyle w:val="35"/>
        <w:widowControl w:val="0"/>
        <w:spacing w:before="0" w:beforeAutospacing="0" w:after="0" w:afterAutospacing="0" w:line="0" w:lineRule="atLeast"/>
        <w:jc w:val="center"/>
        <w:rPr>
          <w:rFonts w:hint="eastAsia"/>
          <w:b/>
          <w:color w:val="000000"/>
          <w:sz w:val="32"/>
          <w:szCs w:val="32"/>
          <w:highlight w:val="none"/>
        </w:rPr>
      </w:pPr>
    </w:p>
    <w:p w14:paraId="6ED6B178">
      <w:pPr>
        <w:pStyle w:val="35"/>
        <w:widowControl w:val="0"/>
        <w:spacing w:before="0" w:beforeAutospacing="0" w:after="0" w:afterAutospacing="0" w:line="0" w:lineRule="atLeast"/>
        <w:jc w:val="center"/>
        <w:rPr>
          <w:rFonts w:hint="eastAsia"/>
          <w:highlight w:val="none"/>
        </w:rPr>
      </w:pPr>
      <w:r>
        <w:rPr>
          <w:rFonts w:hint="eastAsia"/>
          <w:b/>
          <w:color w:val="000000"/>
          <w:sz w:val="32"/>
          <w:szCs w:val="32"/>
          <w:highlight w:val="none"/>
        </w:rPr>
        <w:t>响应文件目录</w:t>
      </w:r>
    </w:p>
    <w:p w14:paraId="29B7C7B3">
      <w:pPr>
        <w:pStyle w:val="35"/>
        <w:widowControl w:val="0"/>
        <w:spacing w:before="0" w:beforeAutospacing="0" w:after="0" w:afterAutospacing="0" w:line="0" w:lineRule="atLeast"/>
        <w:jc w:val="center"/>
        <w:rPr>
          <w:rFonts w:hint="eastAsia"/>
          <w:highlight w:val="none"/>
        </w:rPr>
      </w:pPr>
    </w:p>
    <w:p w14:paraId="3C6F7E33">
      <w:pPr>
        <w:pStyle w:val="35"/>
        <w:spacing w:beforeAutospacing="0" w:afterAutospacing="0"/>
        <w:ind w:left="480"/>
        <w:jc w:val="both"/>
        <w:rPr>
          <w:rFonts w:hint="eastAsia"/>
          <w:highlight w:val="none"/>
        </w:rPr>
      </w:pPr>
      <w:r>
        <w:rPr>
          <w:rFonts w:hint="eastAsia"/>
          <w:i/>
          <w:color w:val="000000"/>
          <w:highlight w:val="none"/>
          <w:u w:val="single"/>
        </w:rPr>
        <w:t>一、法人或者其他组织的营业执照等证明文件，自然人的身份证明</w:t>
      </w:r>
    </w:p>
    <w:p w14:paraId="4A6FF559">
      <w:pPr>
        <w:pStyle w:val="35"/>
        <w:spacing w:beforeAutospacing="0" w:afterAutospacing="0"/>
        <w:ind w:firstLine="480"/>
        <w:jc w:val="both"/>
        <w:rPr>
          <w:rFonts w:hint="eastAsia"/>
          <w:i/>
          <w:color w:val="000000"/>
          <w:highlight w:val="none"/>
          <w:u w:val="single"/>
        </w:rPr>
      </w:pPr>
      <w:r>
        <w:rPr>
          <w:rFonts w:hint="eastAsia"/>
          <w:i/>
          <w:color w:val="000000"/>
          <w:highlight w:val="none"/>
          <w:u w:val="single"/>
        </w:rPr>
        <w:t>二、上一年度的财务状况报表(</w:t>
      </w:r>
      <w:r>
        <w:rPr>
          <w:rFonts w:hint="eastAsia" w:ascii="宋体" w:hAnsi="宋体" w:eastAsia="宋体" w:cs="宋体"/>
          <w:i/>
          <w:color w:val="000000"/>
          <w:kern w:val="0"/>
          <w:sz w:val="24"/>
          <w:szCs w:val="24"/>
          <w:highlight w:val="none"/>
          <w:u w:val="single"/>
          <w:lang w:val="en-US" w:eastAsia="zh-CN" w:bidi="ar-SA"/>
        </w:rPr>
        <w:t>（至少提供加盖公章的资产负债表、利润表，供应商成立不满一年无需提供）</w:t>
      </w:r>
      <w:r>
        <w:rPr>
          <w:rFonts w:hint="eastAsia"/>
          <w:i/>
          <w:color w:val="000000"/>
          <w:highlight w:val="none"/>
          <w:u w:val="single"/>
        </w:rPr>
        <w:t>；</w:t>
      </w:r>
    </w:p>
    <w:p w14:paraId="62A8BAE3">
      <w:pPr>
        <w:pStyle w:val="35"/>
        <w:spacing w:beforeAutospacing="0" w:afterAutospacing="0"/>
        <w:ind w:left="480"/>
        <w:jc w:val="both"/>
        <w:rPr>
          <w:rFonts w:hint="eastAsia"/>
          <w:i/>
          <w:color w:val="000000"/>
          <w:highlight w:val="none"/>
          <w:u w:val="single"/>
        </w:rPr>
      </w:pPr>
      <w:r>
        <w:rPr>
          <w:rFonts w:hint="eastAsia"/>
          <w:i/>
          <w:color w:val="000000"/>
          <w:highlight w:val="none"/>
          <w:u w:val="single"/>
        </w:rPr>
        <w:t>三、具备履行合同所必需的设备和专业技术能力的书面声明</w:t>
      </w:r>
    </w:p>
    <w:p w14:paraId="70EFE4FF">
      <w:pPr>
        <w:pStyle w:val="35"/>
        <w:spacing w:beforeAutospacing="0" w:afterAutospacing="0"/>
        <w:ind w:firstLine="480"/>
        <w:jc w:val="both"/>
        <w:rPr>
          <w:rFonts w:hint="eastAsia"/>
          <w:highlight w:val="none"/>
        </w:rPr>
      </w:pPr>
      <w:r>
        <w:rPr>
          <w:rFonts w:hint="eastAsia"/>
          <w:i/>
          <w:color w:val="000000"/>
          <w:highlight w:val="none"/>
          <w:u w:val="singl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8411587">
      <w:pPr>
        <w:pStyle w:val="35"/>
        <w:spacing w:beforeAutospacing="0" w:afterAutospacing="0" w:line="0" w:lineRule="atLeast"/>
        <w:ind w:firstLine="480"/>
        <w:jc w:val="both"/>
        <w:rPr>
          <w:rFonts w:hint="eastAsia"/>
          <w:highlight w:val="none"/>
        </w:rPr>
      </w:pPr>
      <w:r>
        <w:rPr>
          <w:rFonts w:hint="eastAsia"/>
          <w:i/>
          <w:color w:val="000000"/>
          <w:highlight w:val="none"/>
          <w:u w:val="single"/>
        </w:rPr>
        <w:t>五、参加政府采购活动前 3 年内在经营活动中没有重大违法记录的书面声明</w:t>
      </w:r>
    </w:p>
    <w:p w14:paraId="63CB48CC">
      <w:pPr>
        <w:pStyle w:val="35"/>
        <w:spacing w:beforeAutospacing="0" w:afterAutospacing="0" w:line="0" w:lineRule="atLeast"/>
        <w:ind w:firstLine="480"/>
        <w:jc w:val="both"/>
        <w:rPr>
          <w:rFonts w:hint="eastAsia"/>
          <w:highlight w:val="none"/>
        </w:rPr>
      </w:pPr>
      <w:r>
        <w:rPr>
          <w:rFonts w:hint="eastAsia"/>
          <w:i/>
          <w:color w:val="000000"/>
          <w:highlight w:val="none"/>
          <w:u w:val="single"/>
        </w:rPr>
        <w:t>六、特定资格要求的证明文件（如果本项目设置特定资格要求，则需要提供）</w:t>
      </w:r>
    </w:p>
    <w:p w14:paraId="0DE81DF9">
      <w:pPr>
        <w:pStyle w:val="35"/>
        <w:spacing w:beforeAutospacing="0" w:afterAutospacing="0" w:line="0" w:lineRule="atLeast"/>
        <w:ind w:firstLine="480"/>
        <w:jc w:val="both"/>
        <w:rPr>
          <w:rFonts w:hint="eastAsia"/>
          <w:highlight w:val="none"/>
        </w:rPr>
      </w:pPr>
      <w:r>
        <w:rPr>
          <w:rFonts w:hint="eastAsia"/>
          <w:i/>
          <w:color w:val="000000"/>
          <w:highlight w:val="none"/>
          <w:u w:val="single"/>
        </w:rPr>
        <w:t>七、法人授权书</w:t>
      </w:r>
    </w:p>
    <w:p w14:paraId="5D8E8BD2">
      <w:pPr>
        <w:pStyle w:val="35"/>
        <w:spacing w:beforeAutospacing="0" w:afterAutospacing="0" w:line="0" w:lineRule="atLeast"/>
        <w:ind w:firstLine="480"/>
        <w:jc w:val="both"/>
        <w:rPr>
          <w:rFonts w:hint="eastAsia"/>
          <w:highlight w:val="none"/>
        </w:rPr>
      </w:pPr>
      <w:r>
        <w:rPr>
          <w:rFonts w:hint="eastAsia"/>
          <w:i/>
          <w:color w:val="000000"/>
          <w:highlight w:val="none"/>
          <w:u w:val="single"/>
        </w:rPr>
        <w:t>八、磋商响应函</w:t>
      </w:r>
    </w:p>
    <w:p w14:paraId="001B2590">
      <w:pPr>
        <w:pStyle w:val="35"/>
        <w:spacing w:beforeAutospacing="0" w:afterAutospacing="0" w:line="0" w:lineRule="atLeast"/>
        <w:ind w:firstLine="480"/>
        <w:jc w:val="both"/>
        <w:rPr>
          <w:rFonts w:hint="eastAsia"/>
          <w:highlight w:val="none"/>
        </w:rPr>
      </w:pPr>
      <w:r>
        <w:rPr>
          <w:rFonts w:hint="eastAsia"/>
          <w:color w:val="000000"/>
          <w:highlight w:val="none"/>
        </w:rPr>
        <w:t>九、中小企业声明函</w:t>
      </w:r>
    </w:p>
    <w:p w14:paraId="678F7D6B">
      <w:pPr>
        <w:pStyle w:val="35"/>
        <w:spacing w:beforeAutospacing="0" w:afterAutospacing="0" w:line="0" w:lineRule="atLeast"/>
        <w:ind w:firstLine="480"/>
        <w:jc w:val="both"/>
        <w:rPr>
          <w:rFonts w:hint="eastAsia"/>
          <w:highlight w:val="none"/>
        </w:rPr>
      </w:pPr>
      <w:r>
        <w:rPr>
          <w:rFonts w:hint="eastAsia"/>
          <w:color w:val="000000"/>
          <w:highlight w:val="none"/>
        </w:rPr>
        <w:t>十、残疾人福利性单位声明函</w:t>
      </w:r>
    </w:p>
    <w:p w14:paraId="48766B3A">
      <w:pPr>
        <w:pStyle w:val="35"/>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eastAsia="宋体" w:cs="宋体"/>
          <w:highlight w:val="none"/>
        </w:rPr>
        <w:t>十</w:t>
      </w:r>
      <w:r>
        <w:rPr>
          <w:rFonts w:hint="eastAsia" w:cs="宋体"/>
          <w:highlight w:val="none"/>
          <w:lang w:val="en-US" w:eastAsia="zh-CN"/>
        </w:rPr>
        <w:t>一</w:t>
      </w:r>
      <w:r>
        <w:rPr>
          <w:rFonts w:hint="eastAsia" w:eastAsia="宋体" w:cs="宋体"/>
          <w:highlight w:val="none"/>
        </w:rPr>
        <w:t>、已标价工程量清单</w:t>
      </w:r>
    </w:p>
    <w:p w14:paraId="516C87DD">
      <w:pPr>
        <w:pStyle w:val="35"/>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二</w:t>
      </w:r>
      <w:r>
        <w:rPr>
          <w:rFonts w:hint="eastAsia" w:asciiTheme="minorEastAsia" w:hAnsiTheme="minorEastAsia" w:eastAsiaTheme="minorEastAsia" w:cstheme="minorEastAsia"/>
          <w:i w:val="0"/>
          <w:iCs/>
          <w:color w:val="auto"/>
          <w:sz w:val="24"/>
          <w:szCs w:val="24"/>
          <w:highlight w:val="none"/>
          <w:u w:val="none"/>
        </w:rPr>
        <w:t>、技术要求响应及偏离表</w:t>
      </w:r>
    </w:p>
    <w:p w14:paraId="7BAE78CE">
      <w:pPr>
        <w:pStyle w:val="35"/>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、商务要求响应及偏离表</w:t>
      </w:r>
    </w:p>
    <w:p w14:paraId="48EFFF5A">
      <w:pPr>
        <w:pStyle w:val="35"/>
        <w:spacing w:beforeAutospacing="0" w:afterAutospacing="0"/>
        <w:ind w:left="480"/>
        <w:jc w:val="both"/>
        <w:rPr>
          <w:rFonts w:hint="default" w:asciiTheme="minorEastAsia" w:hAnsiTheme="minorEastAsia" w:eastAsiaTheme="minorEastAsia" w:cstheme="minorEastAsia"/>
          <w:i w:val="0"/>
          <w:iCs/>
          <w:color w:val="000000"/>
          <w:sz w:val="24"/>
          <w:szCs w:val="24"/>
          <w:highlight w:val="none"/>
          <w:u w:val="none"/>
          <w:lang w:val="en-US" w:eastAsia="zh-CN"/>
        </w:rPr>
      </w:pPr>
      <w:r>
        <w:rPr>
          <w:rFonts w:hint="eastAsia" w:asciiTheme="minorEastAsia" w:hAnsiTheme="minorEastAsia" w:eastAsiaTheme="minorEastAsia" w:cstheme="minorEastAsia"/>
          <w:i w:val="0"/>
          <w:iCs/>
          <w:color w:val="000000"/>
          <w:sz w:val="24"/>
          <w:szCs w:val="24"/>
          <w:highlight w:val="none"/>
          <w:u w:val="none"/>
        </w:rPr>
        <w:t>十</w:t>
      </w:r>
      <w:r>
        <w:rPr>
          <w:rFonts w:hint="eastAsia" w:asciiTheme="minorEastAsia" w:hAnsiTheme="minorEastAsia" w:eastAsiaTheme="minorEastAsia" w:cstheme="minorEastAsia"/>
          <w:i w:val="0"/>
          <w:iCs/>
          <w:color w:val="000000"/>
          <w:sz w:val="24"/>
          <w:szCs w:val="24"/>
          <w:highlight w:val="none"/>
          <w:u w:val="none"/>
          <w:lang w:val="en-US" w:eastAsia="zh-CN"/>
        </w:rPr>
        <w:t>四</w:t>
      </w:r>
      <w:r>
        <w:rPr>
          <w:rFonts w:hint="eastAsia" w:asciiTheme="minorEastAsia" w:hAnsiTheme="minorEastAsia" w:eastAsiaTheme="minorEastAsia" w:cstheme="minorEastAsia"/>
          <w:i w:val="0"/>
          <w:iCs/>
          <w:color w:val="000000"/>
          <w:sz w:val="24"/>
          <w:szCs w:val="24"/>
          <w:highlight w:val="none"/>
          <w:u w:val="none"/>
        </w:rPr>
        <w:t>、</w:t>
      </w:r>
      <w:r>
        <w:rPr>
          <w:rFonts w:hint="eastAsia" w:asciiTheme="minorEastAsia" w:hAnsiTheme="minorEastAsia" w:eastAsiaTheme="minorEastAsia" w:cstheme="minorEastAsia"/>
          <w:i w:val="0"/>
          <w:iCs/>
          <w:color w:val="000000"/>
          <w:sz w:val="24"/>
          <w:szCs w:val="24"/>
          <w:highlight w:val="none"/>
          <w:u w:val="none"/>
          <w:lang w:val="en-US" w:eastAsia="zh-CN"/>
        </w:rPr>
        <w:t>磋商报价表</w:t>
      </w:r>
    </w:p>
    <w:p w14:paraId="26065437">
      <w:pPr>
        <w:widowControl/>
        <w:spacing w:before="50" w:after="50"/>
        <w:ind w:firstLine="480" w:firstLineChars="200"/>
        <w:rPr>
          <w:rFonts w:hint="eastAsia" w:asciiTheme="minorEastAsia" w:hAnsiTheme="minorEastAsia" w:eastAsiaTheme="minorEastAsia" w:cstheme="minorEastAsia"/>
          <w:i w:val="0"/>
          <w:iCs/>
          <w:color w:val="auto"/>
          <w:kern w:val="0"/>
          <w:sz w:val="24"/>
          <w:szCs w:val="24"/>
          <w:highlight w:val="none"/>
          <w:u w:val="none"/>
        </w:rPr>
      </w:pPr>
      <w:r>
        <w:rPr>
          <w:rFonts w:hint="eastAsia" w:asciiTheme="minorEastAsia" w:hAnsiTheme="minorEastAsia" w:eastAsiaTheme="minorEastAsia" w:cstheme="minorEastAsia"/>
          <w:i w:val="0"/>
          <w:iCs/>
          <w:color w:val="auto"/>
          <w:kern w:val="0"/>
          <w:sz w:val="24"/>
          <w:szCs w:val="24"/>
          <w:highlight w:val="none"/>
          <w:u w:val="none"/>
        </w:rPr>
        <w:t>十</w:t>
      </w:r>
      <w:r>
        <w:rPr>
          <w:rFonts w:hint="eastAsia" w:asciiTheme="minorEastAsia" w:hAnsiTheme="minorEastAsia" w:eastAsiaTheme="minorEastAsia" w:cstheme="minorEastAsia"/>
          <w:i w:val="0"/>
          <w:iCs/>
          <w:color w:val="auto"/>
          <w:kern w:val="0"/>
          <w:sz w:val="24"/>
          <w:szCs w:val="24"/>
          <w:highlight w:val="none"/>
          <w:u w:val="none"/>
          <w:lang w:val="en-US" w:eastAsia="zh-CN"/>
        </w:rPr>
        <w:t>五</w:t>
      </w:r>
      <w:r>
        <w:rPr>
          <w:rFonts w:hint="eastAsia" w:asciiTheme="minorEastAsia" w:hAnsiTheme="minorEastAsia" w:eastAsiaTheme="minorEastAsia" w:cstheme="minorEastAsia"/>
          <w:i w:val="0"/>
          <w:iCs/>
          <w:color w:val="auto"/>
          <w:kern w:val="0"/>
          <w:sz w:val="24"/>
          <w:szCs w:val="24"/>
          <w:highlight w:val="none"/>
          <w:u w:val="none"/>
        </w:rPr>
        <w:t>、</w:t>
      </w:r>
      <w:r>
        <w:rPr>
          <w:rFonts w:hint="eastAsia" w:asciiTheme="minorEastAsia" w:hAnsiTheme="minorEastAsia" w:eastAsiaTheme="minorEastAsia" w:cstheme="minorEastAsia"/>
          <w:i w:val="0"/>
          <w:iCs/>
          <w:color w:val="auto"/>
          <w:kern w:val="0"/>
          <w:sz w:val="24"/>
          <w:szCs w:val="24"/>
          <w:highlight w:val="none"/>
          <w:u w:val="none"/>
          <w:lang w:val="en-US" w:eastAsia="zh-CN" w:bidi="ar-SA"/>
        </w:rPr>
        <w:t>施工方案</w:t>
      </w:r>
    </w:p>
    <w:p w14:paraId="660B8D16">
      <w:pPr>
        <w:pStyle w:val="35"/>
        <w:spacing w:beforeAutospacing="0" w:afterAutospacing="0" w:line="360" w:lineRule="auto"/>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六</w:t>
      </w:r>
      <w:r>
        <w:rPr>
          <w:rFonts w:hint="eastAsia" w:asciiTheme="minorEastAsia" w:hAnsiTheme="minorEastAsia" w:eastAsiaTheme="minorEastAsia" w:cstheme="minorEastAsia"/>
          <w:i w:val="0"/>
          <w:iCs/>
          <w:color w:val="auto"/>
          <w:sz w:val="24"/>
          <w:szCs w:val="24"/>
          <w:highlight w:val="none"/>
          <w:u w:val="none"/>
        </w:rPr>
        <w:t>、盐城市政府采购事前信用承诺书</w:t>
      </w:r>
    </w:p>
    <w:p w14:paraId="718C176B">
      <w:pPr>
        <w:pStyle w:val="2"/>
        <w:rPr>
          <w:rFonts w:hint="eastAsia"/>
          <w:highlight w:val="none"/>
        </w:rPr>
      </w:pPr>
    </w:p>
    <w:p w14:paraId="784E98A8">
      <w:pPr>
        <w:pStyle w:val="2"/>
        <w:rPr>
          <w:rFonts w:hint="eastAsia"/>
          <w:highlight w:val="none"/>
        </w:rPr>
      </w:pPr>
    </w:p>
    <w:p w14:paraId="1135EA4A">
      <w:pPr>
        <w:pStyle w:val="2"/>
        <w:rPr>
          <w:rFonts w:hint="eastAsia"/>
          <w:highlight w:val="none"/>
        </w:rPr>
      </w:pPr>
    </w:p>
    <w:p w14:paraId="7F02A0A5">
      <w:pPr>
        <w:pStyle w:val="2"/>
        <w:rPr>
          <w:rFonts w:hint="eastAsia"/>
          <w:highlight w:val="none"/>
        </w:rPr>
      </w:pPr>
    </w:p>
    <w:p w14:paraId="0C5EF432">
      <w:pPr>
        <w:pStyle w:val="2"/>
        <w:rPr>
          <w:rFonts w:hint="eastAsia"/>
          <w:highlight w:val="none"/>
        </w:rPr>
      </w:pPr>
    </w:p>
    <w:p w14:paraId="0425CC94">
      <w:pPr>
        <w:pStyle w:val="35"/>
        <w:spacing w:beforeAutospacing="0" w:afterAutospacing="0" w:line="0" w:lineRule="atLeast"/>
        <w:jc w:val="both"/>
        <w:rPr>
          <w:rFonts w:hint="eastAsia"/>
          <w:color w:val="000000"/>
          <w:highlight w:val="none"/>
        </w:rPr>
      </w:pPr>
    </w:p>
    <w:p w14:paraId="0B6BDCDF">
      <w:pPr>
        <w:rPr>
          <w:highlight w:val="none"/>
        </w:rPr>
      </w:pPr>
      <w:r>
        <w:rPr>
          <w:highlight w:val="none"/>
        </w:rPr>
        <w:t> </w:t>
      </w:r>
    </w:p>
    <w:p w14:paraId="50FE22B9">
      <w:pPr>
        <w:rPr>
          <w:highlight w:val="none"/>
        </w:rPr>
      </w:pPr>
      <w:r>
        <w:rPr>
          <w:highlight w:val="none"/>
        </w:rPr>
        <w:t>   </w:t>
      </w:r>
      <w:r>
        <w:rPr>
          <w:rFonts w:hint="eastAsia" w:ascii="黑体" w:eastAsia="黑体" w:cs="黑体"/>
          <w:i/>
          <w:color w:val="000000"/>
          <w:sz w:val="32"/>
          <w:szCs w:val="32"/>
          <w:highlight w:val="none"/>
          <w:u w:val="single"/>
        </w:rPr>
        <w:t>一、法人或者其他组织的营业执照等证明文件，自然人的身份证明</w:t>
      </w:r>
    </w:p>
    <w:p w14:paraId="77EBAC4B">
      <w:pPr>
        <w:pStyle w:val="35"/>
        <w:widowControl w:val="0"/>
        <w:spacing w:before="0" w:beforeAutospacing="0" w:after="0" w:afterAutospacing="0" w:line="0" w:lineRule="atLeast"/>
        <w:ind w:firstLine="480"/>
        <w:jc w:val="both"/>
        <w:rPr>
          <w:rFonts w:hint="eastAsia"/>
          <w:highlight w:val="none"/>
        </w:rPr>
      </w:pPr>
      <w:r>
        <w:rPr>
          <w:highlight w:val="none"/>
        </w:rPr>
        <w:t> </w:t>
      </w:r>
    </w:p>
    <w:p w14:paraId="111A3B76">
      <w:pPr>
        <w:pStyle w:val="35"/>
        <w:widowControl w:val="0"/>
        <w:spacing w:before="0" w:beforeAutospacing="0" w:after="0" w:afterAutospacing="0"/>
        <w:jc w:val="both"/>
        <w:rPr>
          <w:rFonts w:hint="eastAsia" w:eastAsia="黑体"/>
          <w:highlight w:val="none"/>
        </w:rPr>
      </w:pPr>
      <w:r>
        <w:rPr>
          <w:rFonts w:hint="eastAsia" w:ascii="黑体" w:eastAsia="黑体" w:cs="黑体"/>
          <w:i/>
          <w:color w:val="000000"/>
          <w:sz w:val="32"/>
          <w:szCs w:val="32"/>
          <w:highlight w:val="none"/>
          <w:u w:val="single"/>
        </w:rPr>
        <w:t>二、上一年度的财务状况报表</w:t>
      </w:r>
    </w:p>
    <w:p w14:paraId="16C1DEC2">
      <w:pPr>
        <w:pStyle w:val="35"/>
        <w:widowControl w:val="0"/>
        <w:spacing w:before="0" w:beforeAutospacing="0" w:after="0" w:afterAutospacing="0" w:line="0" w:lineRule="atLeast"/>
        <w:ind w:firstLine="480"/>
        <w:jc w:val="both"/>
        <w:rPr>
          <w:rFonts w:hint="eastAsia"/>
          <w:highlight w:val="none"/>
        </w:rPr>
      </w:pPr>
      <w:r>
        <w:rPr>
          <w:rFonts w:hint="eastAsia"/>
          <w:color w:val="000000"/>
          <w:highlight w:val="none"/>
        </w:rPr>
        <w:t>供应商成立不满一年无需提供</w:t>
      </w:r>
    </w:p>
    <w:p w14:paraId="29491108">
      <w:pPr>
        <w:pStyle w:val="35"/>
        <w:widowControl w:val="0"/>
        <w:spacing w:before="0" w:beforeAutospacing="0" w:after="0" w:afterAutospacing="0"/>
        <w:jc w:val="both"/>
        <w:rPr>
          <w:rFonts w:hint="eastAsia"/>
          <w:highlight w:val="none"/>
        </w:rPr>
      </w:pPr>
      <w:r>
        <w:rPr>
          <w:highlight w:val="none"/>
        </w:rPr>
        <w:t> </w:t>
      </w:r>
    </w:p>
    <w:p w14:paraId="639972F9">
      <w:pPr>
        <w:pStyle w:val="35"/>
        <w:widowControl w:val="0"/>
        <w:spacing w:before="0" w:beforeAutospacing="0" w:after="0" w:afterAutospacing="0"/>
        <w:jc w:val="both"/>
        <w:rPr>
          <w:rFonts w:hint="eastAsia"/>
          <w:highlight w:val="none"/>
        </w:rPr>
      </w:pPr>
      <w:r>
        <w:rPr>
          <w:rFonts w:hint="eastAsia" w:ascii="黑体" w:eastAsia="黑体" w:cs="黑体"/>
          <w:i/>
          <w:color w:val="000000"/>
          <w:sz w:val="32"/>
          <w:szCs w:val="32"/>
          <w:highlight w:val="none"/>
          <w:u w:val="single"/>
        </w:rPr>
        <w:t>三、具备履行合同所必需的设备和专业技术能力的书面声明</w:t>
      </w:r>
    </w:p>
    <w:p w14:paraId="28B6A33E">
      <w:pPr>
        <w:pStyle w:val="35"/>
        <w:widowControl w:val="0"/>
        <w:spacing w:before="0" w:beforeAutospacing="0" w:after="0" w:afterAutospacing="0" w:line="0" w:lineRule="atLeast"/>
        <w:ind w:firstLine="492"/>
        <w:jc w:val="both"/>
        <w:rPr>
          <w:rFonts w:hint="eastAsia"/>
          <w:highlight w:val="none"/>
        </w:rPr>
      </w:pPr>
      <w:r>
        <w:rPr>
          <w:rFonts w:hint="eastAsia"/>
          <w:color w:val="000000"/>
          <w:highlight w:val="none"/>
        </w:rPr>
        <w:t>我单位郑重声明：我单位具备履行本项采购合同所必需的设备和专业技术能力，为履行本项采购合同我公司具备如下主要设备和主要专业技术能力：</w:t>
      </w:r>
    </w:p>
    <w:p w14:paraId="47293C4C">
      <w:pPr>
        <w:pStyle w:val="35"/>
        <w:widowControl w:val="0"/>
        <w:spacing w:before="0" w:beforeAutospacing="0" w:after="0" w:afterAutospacing="0" w:line="0" w:lineRule="atLeast"/>
        <w:ind w:firstLine="492"/>
        <w:jc w:val="both"/>
        <w:rPr>
          <w:rFonts w:hint="eastAsia"/>
          <w:highlight w:val="none"/>
        </w:rPr>
      </w:pPr>
      <w:r>
        <w:rPr>
          <w:rFonts w:hint="eastAsia"/>
          <w:color w:val="000000"/>
          <w:highlight w:val="none"/>
        </w:rPr>
        <w:t>主要设备有：</w:t>
      </w:r>
      <w:r>
        <w:rPr>
          <w:rFonts w:hint="eastAsia"/>
          <w:color w:val="000000"/>
          <w:highlight w:val="none"/>
          <w:u w:val="single"/>
        </w:rPr>
        <w:t xml:space="preserve">         </w:t>
      </w:r>
      <w:r>
        <w:rPr>
          <w:rFonts w:hint="eastAsia"/>
          <w:color w:val="000000"/>
          <w:highlight w:val="none"/>
        </w:rPr>
        <w:t>。</w:t>
      </w:r>
    </w:p>
    <w:p w14:paraId="5890DD2C">
      <w:pPr>
        <w:pStyle w:val="35"/>
        <w:widowControl w:val="0"/>
        <w:spacing w:before="0" w:beforeAutospacing="0" w:after="0" w:afterAutospacing="0"/>
        <w:ind w:firstLine="480"/>
        <w:jc w:val="both"/>
        <w:rPr>
          <w:rFonts w:hint="eastAsia"/>
          <w:color w:val="000000"/>
          <w:highlight w:val="none"/>
        </w:rPr>
      </w:pPr>
      <w:r>
        <w:rPr>
          <w:rFonts w:hint="eastAsia"/>
          <w:color w:val="000000"/>
          <w:highlight w:val="none"/>
        </w:rPr>
        <w:t>主要专业技术能力有：</w:t>
      </w:r>
      <w:r>
        <w:rPr>
          <w:rFonts w:hint="eastAsia"/>
          <w:color w:val="000000"/>
          <w:highlight w:val="none"/>
          <w:u w:val="single"/>
        </w:rPr>
        <w:t xml:space="preserve">           </w:t>
      </w:r>
      <w:r>
        <w:rPr>
          <w:rFonts w:hint="eastAsia"/>
          <w:color w:val="000000"/>
          <w:highlight w:val="none"/>
        </w:rPr>
        <w:t>。</w:t>
      </w:r>
    </w:p>
    <w:p w14:paraId="4AC62DE7">
      <w:pPr>
        <w:pStyle w:val="35"/>
        <w:widowControl w:val="0"/>
        <w:spacing w:before="0" w:beforeAutospacing="0" w:after="0" w:afterAutospacing="0"/>
        <w:jc w:val="both"/>
        <w:rPr>
          <w:rFonts w:hint="eastAsia"/>
          <w:highlight w:val="none"/>
        </w:rPr>
      </w:pPr>
      <w:r>
        <w:rPr>
          <w:rFonts w:hint="eastAsia" w:ascii="黑体" w:eastAsia="黑体" w:cs="黑体"/>
          <w:i/>
          <w:color w:val="000000"/>
          <w:sz w:val="32"/>
          <w:szCs w:val="32"/>
          <w:highlight w:val="none"/>
          <w:u w:val="single"/>
        </w:rPr>
        <w:t>四、依法缴纳税收和社会保障资金的相关材料</w:t>
      </w:r>
    </w:p>
    <w:p w14:paraId="5C840E23">
      <w:pPr>
        <w:pStyle w:val="35"/>
        <w:widowControl w:val="0"/>
        <w:spacing w:before="0" w:beforeAutospacing="0" w:after="0" w:afterAutospacing="0"/>
        <w:ind w:firstLine="480"/>
        <w:jc w:val="both"/>
        <w:rPr>
          <w:rFonts w:hint="eastAsia"/>
          <w:highlight w:val="none"/>
        </w:rPr>
      </w:pPr>
      <w:r>
        <w:rPr>
          <w:rFonts w:hint="eastAsia"/>
          <w:color w:val="000000"/>
          <w:highlight w:val="none"/>
        </w:rPr>
        <w:t>提供提交响应文件截止时间前一年内至少一个月依法缴纳税收及缴纳社会保障资金的证明材料。供应商依法享受缓缴、免缴税收、社会保障资金的提供证明材料。</w:t>
      </w:r>
    </w:p>
    <w:p w14:paraId="7562DD25">
      <w:pPr>
        <w:pStyle w:val="35"/>
        <w:widowControl w:val="0"/>
        <w:spacing w:before="0" w:beforeAutospacing="0" w:after="0" w:afterAutospacing="0" w:line="0" w:lineRule="atLeast"/>
        <w:jc w:val="both"/>
        <w:rPr>
          <w:rFonts w:hint="eastAsia"/>
          <w:highlight w:val="none"/>
        </w:rPr>
      </w:pPr>
      <w:r>
        <w:rPr>
          <w:rFonts w:hint="eastAsia" w:ascii="黑体" w:eastAsia="黑体" w:cs="黑体"/>
          <w:i/>
          <w:color w:val="000000"/>
          <w:sz w:val="32"/>
          <w:szCs w:val="32"/>
          <w:highlight w:val="none"/>
          <w:u w:val="single"/>
        </w:rPr>
        <w:t>五、参加政府采购活动前 3 年内在经营活动中没有重大违法记录的书面声明</w:t>
      </w:r>
    </w:p>
    <w:p w14:paraId="53DE3360">
      <w:pPr>
        <w:pStyle w:val="35"/>
        <w:widowControl w:val="0"/>
        <w:spacing w:before="0" w:beforeAutospacing="0" w:after="0" w:afterAutospacing="0" w:line="0" w:lineRule="atLeast"/>
        <w:jc w:val="center"/>
        <w:rPr>
          <w:rFonts w:hint="eastAsia"/>
          <w:highlight w:val="none"/>
        </w:rPr>
      </w:pPr>
      <w:r>
        <w:rPr>
          <w:rFonts w:hint="eastAsia"/>
          <w:b/>
          <w:color w:val="000000"/>
          <w:sz w:val="44"/>
          <w:szCs w:val="44"/>
          <w:highlight w:val="none"/>
        </w:rPr>
        <w:t>声  明</w:t>
      </w:r>
    </w:p>
    <w:p w14:paraId="5A9D4698">
      <w:pPr>
        <w:pStyle w:val="35"/>
        <w:widowControl w:val="0"/>
        <w:spacing w:before="0" w:beforeAutospacing="0" w:after="0" w:afterAutospacing="0" w:line="0" w:lineRule="atLeast"/>
        <w:jc w:val="both"/>
        <w:rPr>
          <w:rFonts w:hint="eastAsia"/>
          <w:highlight w:val="none"/>
        </w:rPr>
      </w:pPr>
      <w:r>
        <w:rPr>
          <w:rFonts w:hint="eastAsia"/>
          <w:b/>
          <w:color w:val="000000"/>
          <w:highlight w:val="none"/>
        </w:rPr>
        <w:t>  </w:t>
      </w:r>
      <w:r>
        <w:rPr>
          <w:rFonts w:hint="eastAsia"/>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EEDA76A">
      <w:pPr>
        <w:pStyle w:val="35"/>
        <w:widowControl w:val="0"/>
        <w:spacing w:before="0" w:beforeAutospacing="0" w:after="0" w:afterAutospacing="0"/>
        <w:jc w:val="both"/>
        <w:rPr>
          <w:rFonts w:hint="eastAsia"/>
          <w:highlight w:val="none"/>
        </w:rPr>
      </w:pPr>
      <w:r>
        <w:rPr>
          <w:highlight w:val="none"/>
        </w:rPr>
        <w:t> </w:t>
      </w:r>
    </w:p>
    <w:p w14:paraId="56EFBB3C">
      <w:pPr>
        <w:pStyle w:val="35"/>
        <w:widowControl w:val="0"/>
        <w:spacing w:before="0" w:beforeAutospacing="0" w:after="0" w:afterAutospacing="0"/>
        <w:jc w:val="both"/>
        <w:rPr>
          <w:rFonts w:hint="eastAsia"/>
          <w:highlight w:val="none"/>
        </w:rPr>
      </w:pPr>
      <w:r>
        <w:rPr>
          <w:rFonts w:hint="eastAsia" w:ascii="黑体" w:eastAsia="黑体" w:cs="黑体"/>
          <w:i/>
          <w:color w:val="000000"/>
          <w:sz w:val="32"/>
          <w:szCs w:val="32"/>
          <w:highlight w:val="none"/>
          <w:u w:val="single"/>
        </w:rPr>
        <w:t>六、特定资格要求的证明文件</w:t>
      </w:r>
    </w:p>
    <w:p w14:paraId="10988633">
      <w:pPr>
        <w:pStyle w:val="35"/>
        <w:widowControl w:val="0"/>
        <w:spacing w:before="0" w:beforeAutospacing="0" w:after="0" w:afterAutospacing="0" w:line="0" w:lineRule="atLeast"/>
        <w:jc w:val="both"/>
        <w:rPr>
          <w:rFonts w:hint="eastAsia" w:ascii="黑体" w:eastAsia="黑体" w:cs="黑体"/>
          <w:i/>
          <w:color w:val="000000"/>
          <w:sz w:val="32"/>
          <w:szCs w:val="32"/>
          <w:highlight w:val="none"/>
          <w:u w:val="single"/>
        </w:rPr>
      </w:pPr>
      <w:r>
        <w:rPr>
          <w:rFonts w:hint="eastAsia"/>
          <w:color w:val="000000"/>
          <w:highlight w:val="none"/>
        </w:rPr>
        <w:t>   如果本项目申请人的特定资格要求中要求提供的，必须提供。</w:t>
      </w:r>
    </w:p>
    <w:p w14:paraId="437DBAD8">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7F399229">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491143AC">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27CD3E77">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1D64B258">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576D4BBF">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3A9567E6">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390D1389">
      <w:pPr>
        <w:pStyle w:val="35"/>
        <w:widowControl w:val="0"/>
        <w:spacing w:before="0" w:beforeAutospacing="0" w:after="0" w:afterAutospacing="0"/>
        <w:jc w:val="both"/>
        <w:rPr>
          <w:rFonts w:hint="eastAsia" w:ascii="黑体" w:eastAsia="黑体" w:cs="黑体"/>
          <w:i/>
          <w:color w:val="000000"/>
          <w:sz w:val="32"/>
          <w:szCs w:val="32"/>
          <w:highlight w:val="none"/>
          <w:u w:val="single"/>
        </w:rPr>
      </w:pPr>
    </w:p>
    <w:p w14:paraId="27BFD4FB">
      <w:pPr>
        <w:pStyle w:val="35"/>
        <w:widowControl w:val="0"/>
        <w:spacing w:before="0" w:beforeAutospacing="0" w:after="0" w:afterAutospacing="0"/>
        <w:jc w:val="center"/>
        <w:rPr>
          <w:rFonts w:hint="eastAsia"/>
          <w:highlight w:val="none"/>
        </w:rPr>
      </w:pPr>
      <w:r>
        <w:rPr>
          <w:rFonts w:hint="eastAsia" w:ascii="黑体" w:eastAsia="黑体" w:cs="黑体"/>
          <w:i/>
          <w:color w:val="000000"/>
          <w:sz w:val="32"/>
          <w:szCs w:val="32"/>
          <w:highlight w:val="none"/>
          <w:u w:val="single"/>
        </w:rPr>
        <w:t>七、法人授权书</w:t>
      </w:r>
    </w:p>
    <w:p w14:paraId="31BEFB05">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本授权书声明：____________（供应商名称）授权________________（被授权人的姓名）为我方就JSZC-</w:t>
      </w:r>
      <w:r>
        <w:rPr>
          <w:rFonts w:cs="Times New Roman"/>
          <w:color w:val="000000"/>
          <w:highlight w:val="none"/>
          <w:u w:val="single"/>
        </w:rPr>
        <w:t xml:space="preserve">        </w:t>
      </w:r>
      <w:r>
        <w:rPr>
          <w:rFonts w:cs="Times New Roman"/>
          <w:color w:val="000000"/>
          <w:highlight w:val="none"/>
        </w:rPr>
        <w:t>号项目采购活动的合法代理人，以本单位名义全权处理一切与该项目采购有关的事务。</w:t>
      </w:r>
    </w:p>
    <w:p w14:paraId="4C877BEE">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本授权书于______年____月____日起生效，特此声明。</w:t>
      </w:r>
    </w:p>
    <w:p w14:paraId="22E8E928">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被授权人身份证号码：</w:t>
      </w:r>
      <w:r>
        <w:rPr>
          <w:rFonts w:cs="Times New Roman"/>
          <w:color w:val="000000"/>
          <w:highlight w:val="none"/>
          <w:u w:val="single"/>
        </w:rPr>
        <w:t>             </w:t>
      </w:r>
    </w:p>
    <w:p w14:paraId="47893042">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被授权人联系电话：（手机）</w:t>
      </w:r>
      <w:r>
        <w:rPr>
          <w:rFonts w:cs="Times New Roman"/>
          <w:color w:val="000000"/>
          <w:highlight w:val="none"/>
          <w:u w:val="single"/>
        </w:rPr>
        <w:t>     </w:t>
      </w:r>
      <w:r>
        <w:rPr>
          <w:rFonts w:hint="eastAsia" w:cs="Times New Roman"/>
          <w:color w:val="000000"/>
          <w:highlight w:val="none"/>
          <w:u w:val="single"/>
        </w:rPr>
        <w:t xml:space="preserve">  </w:t>
      </w:r>
      <w:r>
        <w:rPr>
          <w:rFonts w:cs="Times New Roman"/>
          <w:color w:val="000000"/>
          <w:highlight w:val="none"/>
          <w:u w:val="single"/>
        </w:rPr>
        <w:t>    </w:t>
      </w:r>
    </w:p>
    <w:p w14:paraId="51117C3F">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授权单位名称：</w:t>
      </w:r>
      <w:r>
        <w:rPr>
          <w:rFonts w:hint="eastAsia" w:cs="Times New Roman"/>
          <w:color w:val="000000"/>
          <w:highlight w:val="none"/>
          <w:u w:val="single"/>
        </w:rPr>
        <w:t xml:space="preserve">       </w:t>
      </w:r>
      <w:r>
        <w:rPr>
          <w:rFonts w:cs="Times New Roman"/>
          <w:color w:val="000000"/>
          <w:highlight w:val="none"/>
          <w:u w:val="single"/>
        </w:rPr>
        <w:t>（加盖公章）</w:t>
      </w:r>
      <w:r>
        <w:rPr>
          <w:rFonts w:hint="eastAsia" w:cs="Times New Roman"/>
          <w:color w:val="000000"/>
          <w:highlight w:val="none"/>
          <w:u w:val="single"/>
        </w:rPr>
        <w:t xml:space="preserve">             </w:t>
      </w:r>
    </w:p>
    <w:p w14:paraId="5FA95968">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单位地址：</w:t>
      </w:r>
      <w:r>
        <w:rPr>
          <w:rFonts w:cs="Times New Roman"/>
          <w:color w:val="000000"/>
          <w:highlight w:val="none"/>
          <w:u w:val="single"/>
        </w:rPr>
        <w:t>        </w:t>
      </w:r>
      <w:r>
        <w:rPr>
          <w:rFonts w:hint="eastAsia" w:cs="Times New Roman"/>
          <w:color w:val="000000"/>
          <w:highlight w:val="none"/>
          <w:u w:val="single"/>
        </w:rPr>
        <w:t xml:space="preserve"> </w:t>
      </w:r>
      <w:r>
        <w:rPr>
          <w:rFonts w:cs="Times New Roman"/>
          <w:color w:val="000000"/>
          <w:highlight w:val="none"/>
          <w:u w:val="single"/>
        </w:rPr>
        <w:t xml:space="preserve">          </w:t>
      </w:r>
    </w:p>
    <w:p w14:paraId="643561E7">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日期：</w:t>
      </w:r>
      <w:bookmarkStart w:id="141" w:name="_Hlt26671380"/>
      <w:bookmarkStart w:id="142" w:name="_格式3__银行出具的资信证明"/>
      <w:bookmarkStart w:id="143" w:name="_Hlt26955070"/>
      <w:r>
        <w:rPr>
          <w:rFonts w:cs="Times New Roman"/>
          <w:color w:val="000000"/>
          <w:highlight w:val="none"/>
          <w:u w:val="single"/>
        </w:rPr>
        <w:t>        </w:t>
      </w:r>
      <w:r>
        <w:rPr>
          <w:rFonts w:hint="eastAsia" w:cs="Times New Roman"/>
          <w:color w:val="000000"/>
          <w:highlight w:val="none"/>
          <w:u w:val="single"/>
        </w:rPr>
        <w:t xml:space="preserve"> </w:t>
      </w:r>
      <w:r>
        <w:rPr>
          <w:rFonts w:cs="Times New Roman"/>
          <w:color w:val="000000"/>
          <w:highlight w:val="none"/>
          <w:u w:val="single"/>
        </w:rPr>
        <w:t xml:space="preserve">            </w:t>
      </w:r>
    </w:p>
    <w:p w14:paraId="1276EB08">
      <w:pPr>
        <w:spacing w:line="480" w:lineRule="exact"/>
        <w:rPr>
          <w:highlight w:val="none"/>
        </w:rPr>
      </w:pPr>
    </w:p>
    <w:p w14:paraId="07E40ED9">
      <w:pPr>
        <w:rPr>
          <w:highlight w:val="none"/>
        </w:rPr>
      </w:pPr>
    </w:p>
    <w:p w14:paraId="41AC1841">
      <w:pPr>
        <w:rPr>
          <w:highlight w:val="none"/>
        </w:rPr>
      </w:pPr>
    </w:p>
    <w:p w14:paraId="532E1D7B">
      <w:pPr>
        <w:rPr>
          <w:highlight w:val="none"/>
        </w:rPr>
      </w:pPr>
    </w:p>
    <w:p w14:paraId="3518D41E">
      <w:pPr>
        <w:rPr>
          <w:highlight w:val="none"/>
        </w:rPr>
      </w:pPr>
    </w:p>
    <w:p w14:paraId="2C21A58E">
      <w:pPr>
        <w:rPr>
          <w:highlight w:val="none"/>
        </w:rPr>
      </w:pPr>
    </w:p>
    <w:p w14:paraId="0B263D41">
      <w:pPr>
        <w:rPr>
          <w:highlight w:val="none"/>
        </w:rPr>
      </w:pPr>
    </w:p>
    <w:p w14:paraId="5A593E75">
      <w:pPr>
        <w:rPr>
          <w:highlight w:val="none"/>
        </w:rPr>
      </w:pPr>
    </w:p>
    <w:p w14:paraId="0721683E">
      <w:pPr>
        <w:rPr>
          <w:highlight w:val="none"/>
        </w:rPr>
      </w:pPr>
    </w:p>
    <w:p w14:paraId="27E6233A">
      <w:pPr>
        <w:rPr>
          <w:highlight w:val="none"/>
        </w:rPr>
      </w:pPr>
    </w:p>
    <w:p w14:paraId="6D83EF27">
      <w:pPr>
        <w:rPr>
          <w:highlight w:val="none"/>
        </w:rPr>
      </w:pPr>
    </w:p>
    <w:p w14:paraId="18ACBDE9">
      <w:pPr>
        <w:rPr>
          <w:highlight w:val="none"/>
        </w:rPr>
      </w:pPr>
    </w:p>
    <w:p w14:paraId="1D5258E0">
      <w:pPr>
        <w:rPr>
          <w:highlight w:val="none"/>
        </w:rPr>
      </w:pPr>
    </w:p>
    <w:p w14:paraId="2AAB2613">
      <w:pPr>
        <w:rPr>
          <w:highlight w:val="none"/>
        </w:rPr>
      </w:pPr>
    </w:p>
    <w:p w14:paraId="751E9D7D">
      <w:pPr>
        <w:rPr>
          <w:highlight w:val="none"/>
        </w:rPr>
      </w:pPr>
    </w:p>
    <w:p w14:paraId="28C420C5">
      <w:pPr>
        <w:rPr>
          <w:highlight w:val="none"/>
        </w:rPr>
      </w:pPr>
    </w:p>
    <w:p w14:paraId="2000AA86">
      <w:pPr>
        <w:rPr>
          <w:highlight w:val="none"/>
        </w:rPr>
      </w:pPr>
    </w:p>
    <w:p w14:paraId="7AB25255">
      <w:pPr>
        <w:rPr>
          <w:highlight w:val="none"/>
        </w:rPr>
      </w:pPr>
    </w:p>
    <w:p w14:paraId="559DF953">
      <w:pPr>
        <w:rPr>
          <w:highlight w:val="none"/>
        </w:rPr>
      </w:pPr>
    </w:p>
    <w:p w14:paraId="7DAC27D6">
      <w:pPr>
        <w:rPr>
          <w:highlight w:val="none"/>
        </w:rPr>
      </w:pPr>
    </w:p>
    <w:p w14:paraId="3B344AE7">
      <w:pPr>
        <w:rPr>
          <w:highlight w:val="none"/>
        </w:rPr>
      </w:pPr>
    </w:p>
    <w:p w14:paraId="217BFED8">
      <w:pPr>
        <w:rPr>
          <w:highlight w:val="none"/>
        </w:rPr>
      </w:pPr>
    </w:p>
    <w:p w14:paraId="043D7931">
      <w:pPr>
        <w:rPr>
          <w:highlight w:val="none"/>
        </w:rPr>
      </w:pPr>
    </w:p>
    <w:p w14:paraId="41447FEE">
      <w:pPr>
        <w:rPr>
          <w:highlight w:val="none"/>
        </w:rPr>
      </w:pPr>
    </w:p>
    <w:p w14:paraId="1C0F796F">
      <w:pPr>
        <w:rPr>
          <w:highlight w:val="none"/>
        </w:rPr>
      </w:pPr>
    </w:p>
    <w:p w14:paraId="1BC5EADE">
      <w:pPr>
        <w:rPr>
          <w:highlight w:val="none"/>
        </w:rPr>
      </w:pPr>
    </w:p>
    <w:p w14:paraId="245FC00C">
      <w:pPr>
        <w:rPr>
          <w:highlight w:val="none"/>
        </w:rPr>
      </w:pPr>
    </w:p>
    <w:p w14:paraId="1652B682">
      <w:pPr>
        <w:rPr>
          <w:highlight w:val="none"/>
        </w:rPr>
      </w:pPr>
    </w:p>
    <w:p w14:paraId="6305AEB5">
      <w:pPr>
        <w:rPr>
          <w:highlight w:val="none"/>
        </w:rPr>
      </w:pPr>
    </w:p>
    <w:p w14:paraId="49797AFE">
      <w:pPr>
        <w:pStyle w:val="35"/>
        <w:keepNext/>
        <w:keepLines/>
        <w:spacing w:before="260" w:beforeAutospacing="0" w:after="260" w:afterAutospacing="0" w:line="415" w:lineRule="auto"/>
        <w:ind w:firstLine="3390"/>
        <w:jc w:val="both"/>
        <w:rPr>
          <w:rFonts w:hint="eastAsia"/>
          <w:highlight w:val="none"/>
        </w:rPr>
      </w:pPr>
      <w:r>
        <w:rPr>
          <w:rFonts w:hint="eastAsia" w:ascii="黑体" w:eastAsia="黑体" w:cs="黑体"/>
          <w:b/>
          <w:i/>
          <w:color w:val="000000"/>
          <w:sz w:val="32"/>
          <w:szCs w:val="32"/>
          <w:highlight w:val="none"/>
          <w:u w:val="single"/>
        </w:rPr>
        <w:t>八、磋商响应函</w:t>
      </w:r>
    </w:p>
    <w:p w14:paraId="624DB079">
      <w:pPr>
        <w:pStyle w:val="35"/>
        <w:spacing w:before="0" w:beforeAutospacing="0" w:after="0" w:afterAutospacing="0" w:line="360" w:lineRule="exact"/>
        <w:rPr>
          <w:rFonts w:hint="eastAsia"/>
          <w:highlight w:val="none"/>
        </w:rPr>
      </w:pPr>
      <w:r>
        <w:rPr>
          <w:rFonts w:hint="eastAsia"/>
          <w:color w:val="000000"/>
          <w:highlight w:val="none"/>
        </w:rPr>
        <w:t>致：</w:t>
      </w:r>
      <w:r>
        <w:rPr>
          <w:rFonts w:hint="eastAsia"/>
          <w:color w:val="000000"/>
          <w:highlight w:val="none"/>
          <w:u w:val="single"/>
        </w:rPr>
        <w:t xml:space="preserve">                    </w:t>
      </w:r>
      <w:r>
        <w:rPr>
          <w:highlight w:val="none"/>
          <w:u w:val="single"/>
        </w:rPr>
        <w:t xml:space="preserve"> </w:t>
      </w:r>
    </w:p>
    <w:p w14:paraId="52BB257C">
      <w:pPr>
        <w:pStyle w:val="35"/>
        <w:spacing w:before="0" w:beforeAutospacing="0" w:after="0" w:afterAutospacing="0" w:line="360" w:lineRule="exact"/>
        <w:ind w:firstLine="480"/>
        <w:rPr>
          <w:rFonts w:hint="eastAsia"/>
          <w:highlight w:val="none"/>
        </w:rPr>
      </w:pPr>
      <w:r>
        <w:rPr>
          <w:rFonts w:hint="eastAsia"/>
          <w:color w:val="000000"/>
          <w:highlight w:val="none"/>
        </w:rPr>
        <w:t>根据贵方的JSZC-3209</w:t>
      </w:r>
      <w:r>
        <w:rPr>
          <w:rFonts w:hint="eastAsia"/>
          <w:b/>
          <w:color w:val="000000"/>
          <w:sz w:val="36"/>
          <w:szCs w:val="36"/>
          <w:highlight w:val="none"/>
          <w:u w:val="single"/>
        </w:rPr>
        <w:t xml:space="preserve">    </w:t>
      </w:r>
      <w:r>
        <w:rPr>
          <w:rFonts w:hint="eastAsia"/>
          <w:color w:val="000000"/>
          <w:highlight w:val="none"/>
        </w:rPr>
        <w:t>号磋商文件，正式授权下述签字人______(姓名（打字或手写）)代表我方______________（供应商的名称），全权处理本次项目磋商的有关事宜。</w:t>
      </w:r>
    </w:p>
    <w:p w14:paraId="6FCA330E">
      <w:pPr>
        <w:pStyle w:val="35"/>
        <w:spacing w:before="0" w:beforeAutospacing="0" w:after="0" w:afterAutospacing="0" w:line="360" w:lineRule="exact"/>
        <w:ind w:firstLine="480"/>
        <w:rPr>
          <w:rFonts w:hint="eastAsia"/>
          <w:highlight w:val="none"/>
        </w:rPr>
      </w:pPr>
      <w:r>
        <w:rPr>
          <w:rFonts w:hint="eastAsia"/>
          <w:color w:val="000000"/>
          <w:highlight w:val="none"/>
        </w:rPr>
        <w:t>据此函，__________签字人（打字或手写）兹宣布同意如下：</w:t>
      </w:r>
    </w:p>
    <w:p w14:paraId="578FEA3F">
      <w:pPr>
        <w:pStyle w:val="35"/>
        <w:spacing w:before="0" w:beforeAutospacing="0" w:after="0" w:afterAutospacing="0" w:line="360" w:lineRule="exact"/>
        <w:ind w:firstLine="480"/>
        <w:rPr>
          <w:rFonts w:hint="eastAsia"/>
          <w:highlight w:val="none"/>
        </w:rPr>
      </w:pPr>
      <w:r>
        <w:rPr>
          <w:rFonts w:hint="eastAsia"/>
          <w:color w:val="000000"/>
          <w:highlight w:val="none"/>
        </w:rPr>
        <w:t>1.按磋商文件规定的各项要求，向买方提供所需服务（包含与服务相关的货物）。</w:t>
      </w:r>
    </w:p>
    <w:p w14:paraId="32481E9E">
      <w:pPr>
        <w:pStyle w:val="35"/>
        <w:spacing w:before="0" w:beforeAutospacing="0" w:after="0" w:afterAutospacing="0" w:line="360" w:lineRule="exact"/>
        <w:ind w:firstLine="480"/>
        <w:rPr>
          <w:rFonts w:hint="eastAsia"/>
          <w:highlight w:val="none"/>
        </w:rPr>
      </w:pPr>
      <w:r>
        <w:rPr>
          <w:rFonts w:hint="eastAsia"/>
          <w:color w:val="000000"/>
          <w:highlight w:val="none"/>
        </w:rPr>
        <w:t>2.我们完全理解贵方不一定将合同授予最低报价的供应商。</w:t>
      </w:r>
    </w:p>
    <w:p w14:paraId="27960ABE">
      <w:pPr>
        <w:pStyle w:val="35"/>
        <w:spacing w:before="0" w:beforeAutospacing="0" w:after="0" w:afterAutospacing="0" w:line="360" w:lineRule="exact"/>
        <w:ind w:firstLine="480"/>
        <w:rPr>
          <w:rFonts w:hint="eastAsia"/>
          <w:highlight w:val="none"/>
        </w:rPr>
      </w:pPr>
      <w:r>
        <w:rPr>
          <w:rFonts w:hint="eastAsia"/>
          <w:color w:val="000000"/>
          <w:highlight w:val="none"/>
        </w:rPr>
        <w:t>3.我们已详细审核全部磋商文件及其有效补充文件，我们知道必须放弃提出含糊不清或误解问题的权利。</w:t>
      </w:r>
    </w:p>
    <w:p w14:paraId="20A2AC11">
      <w:pPr>
        <w:pStyle w:val="35"/>
        <w:spacing w:before="0" w:beforeAutospacing="0" w:after="0" w:afterAutospacing="0" w:line="360" w:lineRule="exact"/>
        <w:ind w:firstLine="480"/>
        <w:rPr>
          <w:rFonts w:hint="eastAsia"/>
          <w:highlight w:val="none"/>
        </w:rPr>
      </w:pPr>
      <w:r>
        <w:rPr>
          <w:rFonts w:hint="eastAsia"/>
          <w:color w:val="000000"/>
          <w:highlight w:val="none"/>
        </w:rPr>
        <w:t>4.我们同意从规定的开标日期起遵循本响应文件，并在规定的磋商有效期期满之前均具有约束力。</w:t>
      </w:r>
    </w:p>
    <w:p w14:paraId="591883FF">
      <w:pPr>
        <w:pStyle w:val="35"/>
        <w:spacing w:before="0" w:beforeAutospacing="0" w:after="0" w:afterAutospacing="0" w:line="360" w:lineRule="exact"/>
        <w:ind w:firstLine="480"/>
        <w:rPr>
          <w:rFonts w:hint="eastAsia"/>
          <w:highlight w:val="none"/>
        </w:rPr>
      </w:pPr>
      <w:r>
        <w:rPr>
          <w:rFonts w:hint="eastAsia"/>
          <w:color w:val="000000"/>
          <w:highlight w:val="none"/>
        </w:rPr>
        <w:t>5.同意向贵方提供贵方可能另外要求的与磋商有关的任何证据或资料，并保证我方已提供和将要提供的文件是真实的、准确的。</w:t>
      </w:r>
    </w:p>
    <w:p w14:paraId="1472F7A0">
      <w:pPr>
        <w:pStyle w:val="35"/>
        <w:spacing w:before="0" w:beforeAutospacing="0" w:after="0" w:afterAutospacing="0" w:line="360" w:lineRule="exact"/>
        <w:ind w:firstLine="480"/>
        <w:rPr>
          <w:rFonts w:hint="eastAsia"/>
          <w:highlight w:val="none"/>
        </w:rPr>
      </w:pPr>
      <w:r>
        <w:rPr>
          <w:rFonts w:hint="eastAsia"/>
          <w:color w:val="000000"/>
          <w:highlight w:val="none"/>
        </w:rPr>
        <w:t>6.一旦我方成交,我方将根据磋商文件的规定，严格履行合同的责任和义务,并保证在磋商文件规定的时间完成项目，交付买方验收、使用。</w:t>
      </w:r>
    </w:p>
    <w:p w14:paraId="5160BECB">
      <w:pPr>
        <w:pStyle w:val="35"/>
        <w:spacing w:before="0" w:beforeAutospacing="0" w:after="0" w:afterAutospacing="0" w:line="360" w:lineRule="exact"/>
        <w:ind w:firstLine="480"/>
        <w:rPr>
          <w:rFonts w:hint="eastAsia"/>
          <w:highlight w:val="none"/>
        </w:rPr>
      </w:pPr>
      <w:r>
        <w:rPr>
          <w:rFonts w:hint="eastAsia"/>
          <w:color w:val="000000"/>
          <w:highlight w:val="none"/>
        </w:rPr>
        <w:t>7.我方与本磋商有关的正式通讯地址为：</w:t>
      </w:r>
    </w:p>
    <w:p w14:paraId="25BD84CF">
      <w:pPr>
        <w:pStyle w:val="35"/>
        <w:spacing w:beforeAutospacing="0" w:afterAutospacing="0" w:line="0" w:lineRule="atLeast"/>
        <w:ind w:left="420" w:firstLine="480"/>
        <w:rPr>
          <w:rFonts w:hint="eastAsia"/>
          <w:highlight w:val="none"/>
        </w:rPr>
      </w:pPr>
      <w:r>
        <w:rPr>
          <w:rFonts w:hint="eastAsia"/>
          <w:color w:val="000000"/>
          <w:highlight w:val="none"/>
        </w:rPr>
        <w:t>地    址：</w:t>
      </w:r>
    </w:p>
    <w:p w14:paraId="6B0C699C">
      <w:pPr>
        <w:pStyle w:val="35"/>
        <w:spacing w:beforeAutospacing="0" w:afterAutospacing="0" w:line="0" w:lineRule="atLeast"/>
        <w:ind w:left="420" w:firstLine="480"/>
        <w:rPr>
          <w:rFonts w:hint="eastAsia"/>
          <w:highlight w:val="none"/>
        </w:rPr>
      </w:pPr>
      <w:r>
        <w:rPr>
          <w:rFonts w:hint="eastAsia"/>
          <w:color w:val="000000"/>
          <w:highlight w:val="none"/>
        </w:rPr>
        <w:t>邮    编：</w:t>
      </w:r>
    </w:p>
    <w:p w14:paraId="70BF81F8">
      <w:pPr>
        <w:pStyle w:val="35"/>
        <w:spacing w:beforeAutospacing="0" w:afterAutospacing="0" w:line="0" w:lineRule="atLeast"/>
        <w:ind w:left="420" w:firstLine="480"/>
        <w:rPr>
          <w:rFonts w:hint="eastAsia"/>
          <w:highlight w:val="none"/>
        </w:rPr>
      </w:pPr>
      <w:r>
        <w:rPr>
          <w:rFonts w:hint="eastAsia"/>
          <w:color w:val="000000"/>
          <w:highlight w:val="none"/>
        </w:rPr>
        <w:t>电    话：</w:t>
      </w:r>
    </w:p>
    <w:p w14:paraId="6519C148">
      <w:pPr>
        <w:pStyle w:val="35"/>
        <w:spacing w:beforeAutospacing="0" w:afterAutospacing="0" w:line="0" w:lineRule="atLeast"/>
        <w:ind w:left="420" w:firstLine="480"/>
        <w:rPr>
          <w:rFonts w:hint="eastAsia"/>
          <w:highlight w:val="none"/>
        </w:rPr>
      </w:pPr>
      <w:r>
        <w:rPr>
          <w:rFonts w:hint="eastAsia"/>
          <w:color w:val="000000"/>
          <w:highlight w:val="none"/>
        </w:rPr>
        <w:t>传    真：</w:t>
      </w:r>
    </w:p>
    <w:p w14:paraId="01CE1CC0">
      <w:pPr>
        <w:pStyle w:val="35"/>
        <w:spacing w:beforeAutospacing="0" w:afterAutospacing="0" w:line="0" w:lineRule="atLeast"/>
        <w:ind w:left="420" w:firstLine="480"/>
        <w:rPr>
          <w:rFonts w:hint="eastAsia"/>
          <w:highlight w:val="none"/>
        </w:rPr>
      </w:pPr>
      <w:r>
        <w:rPr>
          <w:rFonts w:hint="eastAsia"/>
          <w:color w:val="000000"/>
          <w:highlight w:val="none"/>
        </w:rPr>
        <w:t>供应商开户行：</w:t>
      </w:r>
    </w:p>
    <w:p w14:paraId="3A21FB17">
      <w:pPr>
        <w:pStyle w:val="35"/>
        <w:spacing w:beforeAutospacing="0" w:afterAutospacing="0" w:line="0" w:lineRule="atLeast"/>
        <w:ind w:left="420" w:firstLine="480"/>
        <w:rPr>
          <w:rFonts w:hint="eastAsia"/>
          <w:highlight w:val="none"/>
        </w:rPr>
      </w:pPr>
      <w:r>
        <w:rPr>
          <w:rFonts w:hint="eastAsia"/>
          <w:color w:val="000000"/>
          <w:highlight w:val="none"/>
        </w:rPr>
        <w:t>账    号：</w:t>
      </w:r>
    </w:p>
    <w:p w14:paraId="47000237">
      <w:pPr>
        <w:pStyle w:val="35"/>
        <w:spacing w:beforeAutospacing="0" w:afterAutospacing="0" w:line="0" w:lineRule="atLeast"/>
        <w:ind w:left="420" w:firstLine="480"/>
        <w:rPr>
          <w:rFonts w:hint="eastAsia"/>
          <w:highlight w:val="none"/>
        </w:rPr>
      </w:pPr>
      <w:r>
        <w:rPr>
          <w:rFonts w:hint="eastAsia"/>
          <w:color w:val="000000"/>
          <w:highlight w:val="none"/>
        </w:rPr>
        <w:t>日    期：________年____月____日</w:t>
      </w:r>
    </w:p>
    <w:p w14:paraId="797D80BC">
      <w:pPr>
        <w:pStyle w:val="35"/>
        <w:spacing w:beforeAutospacing="0" w:afterAutospacing="0" w:line="0" w:lineRule="atLeast"/>
        <w:ind w:firstLine="240"/>
        <w:jc w:val="center"/>
        <w:rPr>
          <w:rFonts w:hint="eastAsia"/>
          <w:highlight w:val="none"/>
        </w:rPr>
      </w:pPr>
    </w:p>
    <w:p w14:paraId="4038C3F9">
      <w:pPr>
        <w:pStyle w:val="35"/>
        <w:spacing w:beforeAutospacing="0" w:afterAutospacing="0" w:line="0" w:lineRule="atLeast"/>
        <w:ind w:firstLine="240"/>
        <w:jc w:val="center"/>
        <w:rPr>
          <w:rFonts w:hint="eastAsia"/>
          <w:highlight w:val="none"/>
        </w:rPr>
      </w:pPr>
    </w:p>
    <w:p w14:paraId="6B102767">
      <w:pPr>
        <w:pStyle w:val="35"/>
        <w:spacing w:beforeAutospacing="0" w:afterAutospacing="0" w:line="0" w:lineRule="atLeast"/>
        <w:ind w:firstLine="240"/>
        <w:jc w:val="center"/>
        <w:rPr>
          <w:rFonts w:hint="eastAsia"/>
          <w:highlight w:val="none"/>
        </w:rPr>
      </w:pPr>
    </w:p>
    <w:p w14:paraId="31B70720">
      <w:pPr>
        <w:pStyle w:val="35"/>
        <w:spacing w:beforeAutospacing="0" w:afterAutospacing="0" w:line="0" w:lineRule="atLeast"/>
        <w:ind w:firstLine="240"/>
        <w:jc w:val="center"/>
        <w:rPr>
          <w:rFonts w:hint="eastAsia"/>
          <w:highlight w:val="none"/>
        </w:rPr>
      </w:pPr>
    </w:p>
    <w:p w14:paraId="48B170FC">
      <w:pPr>
        <w:pStyle w:val="35"/>
        <w:spacing w:beforeAutospacing="0" w:afterAutospacing="0" w:line="0" w:lineRule="atLeast"/>
        <w:ind w:firstLine="240"/>
        <w:jc w:val="center"/>
        <w:rPr>
          <w:rFonts w:hint="eastAsia"/>
          <w:highlight w:val="none"/>
        </w:rPr>
      </w:pPr>
    </w:p>
    <w:p w14:paraId="4D979C40">
      <w:pPr>
        <w:pStyle w:val="35"/>
        <w:spacing w:beforeAutospacing="0" w:afterAutospacing="0" w:line="0" w:lineRule="atLeast"/>
        <w:ind w:firstLine="240"/>
        <w:jc w:val="center"/>
        <w:rPr>
          <w:rFonts w:hint="eastAsia"/>
          <w:highlight w:val="none"/>
        </w:rPr>
      </w:pPr>
    </w:p>
    <w:p w14:paraId="41364A90">
      <w:pPr>
        <w:pStyle w:val="35"/>
        <w:keepNext/>
        <w:keepLines/>
        <w:spacing w:before="260" w:after="260" w:line="415" w:lineRule="auto"/>
        <w:ind w:firstLine="3390"/>
        <w:jc w:val="left"/>
        <w:rPr>
          <w:rFonts w:hint="eastAsia" w:ascii="黑体" w:hAnsi="宋体" w:eastAsia="黑体" w:cs="黑体"/>
          <w:b/>
          <w:bCs w:val="0"/>
          <w:i/>
          <w:color w:val="000000"/>
          <w:sz w:val="32"/>
          <w:szCs w:val="32"/>
          <w:highlight w:val="none"/>
          <w:u w:val="single"/>
        </w:rPr>
      </w:pPr>
      <w:r>
        <w:rPr>
          <w:rFonts w:hint="eastAsia" w:ascii="黑体" w:eastAsia="黑体" w:cs="黑体"/>
          <w:b/>
          <w:color w:val="000000"/>
          <w:sz w:val="32"/>
          <w:szCs w:val="32"/>
          <w:highlight w:val="none"/>
        </w:rPr>
        <w:br w:type="page" w:clear="all"/>
      </w:r>
      <w:r>
        <w:rPr>
          <w:rFonts w:hint="eastAsia" w:ascii="黑体" w:hAnsi="宋体" w:eastAsia="黑体" w:cs="黑体"/>
          <w:b/>
          <w:bCs w:val="0"/>
          <w:i/>
          <w:color w:val="000000"/>
          <w:sz w:val="32"/>
          <w:szCs w:val="32"/>
          <w:highlight w:val="none"/>
          <w:u w:val="single"/>
        </w:rPr>
        <w:t>九、中小企业声明函（工程）</w:t>
      </w:r>
    </w:p>
    <w:p w14:paraId="2CB9E786">
      <w:pPr>
        <w:spacing w:line="560" w:lineRule="exact"/>
        <w:rPr>
          <w:rFonts w:ascii="宋体" w:hAnsi="宋体" w:cs="宋体"/>
          <w:b/>
          <w:bCs/>
          <w:color w:val="000000" w:themeColor="text1"/>
          <w:sz w:val="28"/>
          <w:szCs w:val="28"/>
          <w:highlight w:val="none"/>
          <w14:textFill>
            <w14:solidFill>
              <w14:schemeClr w14:val="tx1"/>
            </w14:solidFill>
          </w14:textFill>
        </w:rPr>
      </w:pPr>
    </w:p>
    <w:p w14:paraId="45D3458E">
      <w:pPr>
        <w:spacing w:line="6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郑重声明，根据《政府采购促进中小企业发展管理办法》（财库﹝2020﹞46 号）的规定，本公司</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参加</w:t>
      </w:r>
      <w:r>
        <w:rPr>
          <w:rFonts w:hint="eastAsia" w:ascii="宋体" w:hAnsi="宋体" w:cs="宋体"/>
          <w:color w:val="000000" w:themeColor="text1"/>
          <w:sz w:val="24"/>
          <w:highlight w:val="none"/>
          <w:u w:val="single"/>
          <w:lang w:eastAsia="zh-CN"/>
          <w14:textFill>
            <w14:solidFill>
              <w14:schemeClr w14:val="tx1"/>
            </w14:solidFill>
          </w14:textFill>
        </w:rPr>
        <w:t>盐城亭湖新区实验小学</w:t>
      </w:r>
      <w:r>
        <w:rPr>
          <w:rFonts w:hint="eastAsia" w:ascii="宋体" w:hAnsi="宋体" w:cs="宋体"/>
          <w:color w:val="000000" w:themeColor="text1"/>
          <w:sz w:val="24"/>
          <w:highlight w:val="none"/>
          <w14:textFill>
            <w14:solidFill>
              <w14:schemeClr w14:val="tx1"/>
            </w14:solidFill>
          </w14:textFill>
        </w:rPr>
        <w:t>的采购编号为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的</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采购活动，工程的施工单位全部为符合政策要求的中小企业。相关企业（含联合体中的中小企业、签订分包意向协议的中小企业）的具体情况如下：</w:t>
      </w:r>
    </w:p>
    <w:p w14:paraId="1687B04C">
      <w:pPr>
        <w:spacing w:line="6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i/>
          <w:iCs/>
          <w:color w:val="000000" w:themeColor="text1"/>
          <w:sz w:val="24"/>
          <w:highlight w:val="none"/>
          <w:u w:val="single"/>
          <w14:textFill>
            <w14:solidFill>
              <w14:schemeClr w14:val="tx1"/>
            </w14:solidFill>
          </w14:textFill>
        </w:rPr>
        <w:t xml:space="preserve">（标的名称） </w:t>
      </w:r>
      <w:r>
        <w:rPr>
          <w:rFonts w:hint="eastAsia" w:ascii="宋体" w:hAnsi="宋体" w:cs="宋体"/>
          <w:color w:val="000000" w:themeColor="text1"/>
          <w:sz w:val="24"/>
          <w:highlight w:val="none"/>
          <w14:textFill>
            <w14:solidFill>
              <w14:schemeClr w14:val="tx1"/>
            </w14:solidFill>
          </w14:textFill>
        </w:rPr>
        <w:t>，属于</w:t>
      </w:r>
      <w:r>
        <w:rPr>
          <w:rFonts w:hint="eastAsia" w:ascii="宋体" w:hAnsi="宋体" w:cs="宋体"/>
          <w:i/>
          <w:iCs/>
          <w:color w:val="000000" w:themeColor="text1"/>
          <w:sz w:val="24"/>
          <w:highlight w:val="none"/>
          <w:u w:val="single"/>
          <w14:textFill>
            <w14:solidFill>
              <w14:schemeClr w14:val="tx1"/>
            </w14:solidFill>
          </w14:textFill>
        </w:rPr>
        <w:t>（</w:t>
      </w:r>
      <w:r>
        <w:rPr>
          <w:rFonts w:hint="eastAsia" w:ascii="宋体" w:hAnsi="宋体" w:cs="宋体"/>
          <w:i/>
          <w:iCs/>
          <w:color w:val="000000" w:themeColor="text1"/>
          <w:sz w:val="24"/>
          <w:highlight w:val="none"/>
          <w:u w:val="single"/>
          <w:lang w:eastAsia="zh-CN"/>
          <w14:textFill>
            <w14:solidFill>
              <w14:schemeClr w14:val="tx1"/>
            </w14:solidFill>
          </w14:textFill>
        </w:rPr>
        <w:t>磋商文件</w:t>
      </w:r>
      <w:r>
        <w:rPr>
          <w:rFonts w:hint="eastAsia" w:ascii="宋体" w:hAnsi="宋体" w:cs="宋体"/>
          <w:i/>
          <w:iCs/>
          <w:color w:val="000000" w:themeColor="text1"/>
          <w:sz w:val="24"/>
          <w:highlight w:val="none"/>
          <w:u w:val="single"/>
          <w14:textFill>
            <w14:solidFill>
              <w14:schemeClr w14:val="tx1"/>
            </w14:solidFill>
          </w14:textFill>
        </w:rPr>
        <w:t>中明确的所属行业）</w:t>
      </w:r>
      <w:r>
        <w:rPr>
          <w:rFonts w:hint="eastAsia" w:ascii="宋体" w:hAnsi="宋体" w:cs="宋体"/>
          <w:color w:val="000000" w:themeColor="text1"/>
          <w:sz w:val="24"/>
          <w:highlight w:val="none"/>
          <w14:textFill>
            <w14:solidFill>
              <w14:schemeClr w14:val="tx1"/>
            </w14:solidFill>
          </w14:textFill>
        </w:rPr>
        <w:t>行业；承接企业为</w:t>
      </w:r>
      <w:r>
        <w:rPr>
          <w:rFonts w:hint="eastAsia" w:ascii="宋体" w:hAnsi="宋体" w:cs="宋体"/>
          <w:i/>
          <w:iCs/>
          <w:color w:val="000000" w:themeColor="text1"/>
          <w:sz w:val="24"/>
          <w:highlight w:val="none"/>
          <w:u w:val="single"/>
          <w14:textFill>
            <w14:solidFill>
              <w14:schemeClr w14:val="tx1"/>
            </w14:solidFill>
          </w14:textFill>
        </w:rPr>
        <w:t>（企业名称）</w:t>
      </w:r>
      <w:r>
        <w:rPr>
          <w:rFonts w:hint="eastAsia" w:ascii="宋体" w:hAnsi="宋体" w:cs="宋体"/>
          <w:color w:val="000000" w:themeColor="text1"/>
          <w:sz w:val="24"/>
          <w:highlight w:val="none"/>
          <w14:textFill>
            <w14:solidFill>
              <w14:schemeClr w14:val="tx1"/>
            </w14:solidFill>
          </w14:textFill>
        </w:rPr>
        <w:t>，从业人员人，营业收入为万元，资产总额为万元，属于</w:t>
      </w:r>
      <w:r>
        <w:rPr>
          <w:rFonts w:hint="eastAsia" w:ascii="宋体" w:hAnsi="宋体" w:cs="宋体"/>
          <w:i/>
          <w:iCs/>
          <w:color w:val="000000" w:themeColor="text1"/>
          <w:sz w:val="24"/>
          <w:highlight w:val="none"/>
          <w:u w:val="single"/>
          <w14:textFill>
            <w14:solidFill>
              <w14:schemeClr w14:val="tx1"/>
            </w14:solidFill>
          </w14:textFill>
        </w:rPr>
        <w:t>（中型企业、小型企业、微型企业）</w:t>
      </w:r>
      <w:r>
        <w:rPr>
          <w:rFonts w:hint="eastAsia" w:ascii="宋体" w:hAnsi="宋体" w:cs="宋体"/>
          <w:color w:val="000000" w:themeColor="text1"/>
          <w:sz w:val="24"/>
          <w:highlight w:val="none"/>
          <w14:textFill>
            <w14:solidFill>
              <w14:schemeClr w14:val="tx1"/>
            </w14:solidFill>
          </w14:textFill>
        </w:rPr>
        <w:t>；</w:t>
      </w:r>
    </w:p>
    <w:p w14:paraId="3418386D">
      <w:pPr>
        <w:numPr>
          <w:ilvl w:val="0"/>
          <w:numId w:val="10"/>
        </w:numPr>
        <w:spacing w:line="6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（标的名称） </w:t>
      </w:r>
      <w:r>
        <w:rPr>
          <w:rFonts w:hint="eastAsia" w:ascii="宋体" w:hAnsi="宋体" w:cs="宋体"/>
          <w:color w:val="000000" w:themeColor="text1"/>
          <w:sz w:val="24"/>
          <w:highlight w:val="none"/>
          <w14:textFill>
            <w14:solidFill>
              <w14:schemeClr w14:val="tx1"/>
            </w14:solidFill>
          </w14:textFill>
        </w:rPr>
        <w:t>，属于</w:t>
      </w:r>
      <w:r>
        <w:rPr>
          <w:rFonts w:hint="eastAsia" w:ascii="宋体" w:hAnsi="宋体" w:cs="宋体"/>
          <w:i/>
          <w:iCs/>
          <w:color w:val="000000" w:themeColor="text1"/>
          <w:sz w:val="24"/>
          <w:highlight w:val="none"/>
          <w:u w:val="single"/>
          <w14:textFill>
            <w14:solidFill>
              <w14:schemeClr w14:val="tx1"/>
            </w14:solidFill>
          </w14:textFill>
        </w:rPr>
        <w:t>（</w:t>
      </w:r>
      <w:r>
        <w:rPr>
          <w:rFonts w:hint="eastAsia" w:ascii="宋体" w:hAnsi="宋体" w:cs="宋体"/>
          <w:i/>
          <w:iCs/>
          <w:color w:val="000000" w:themeColor="text1"/>
          <w:sz w:val="24"/>
          <w:highlight w:val="none"/>
          <w:u w:val="single"/>
          <w:lang w:eastAsia="zh-CN"/>
          <w14:textFill>
            <w14:solidFill>
              <w14:schemeClr w14:val="tx1"/>
            </w14:solidFill>
          </w14:textFill>
        </w:rPr>
        <w:t>磋商文件</w:t>
      </w:r>
      <w:r>
        <w:rPr>
          <w:rFonts w:hint="eastAsia" w:ascii="宋体" w:hAnsi="宋体" w:cs="宋体"/>
          <w:i/>
          <w:iCs/>
          <w:color w:val="000000" w:themeColor="text1"/>
          <w:sz w:val="24"/>
          <w:highlight w:val="none"/>
          <w:u w:val="single"/>
          <w14:textFill>
            <w14:solidFill>
              <w14:schemeClr w14:val="tx1"/>
            </w14:solidFill>
          </w14:textFill>
        </w:rPr>
        <w:t>中明确的所属行业）</w:t>
      </w:r>
      <w:r>
        <w:rPr>
          <w:rFonts w:hint="eastAsia" w:ascii="宋体" w:hAnsi="宋体" w:cs="宋体"/>
          <w:color w:val="000000" w:themeColor="text1"/>
          <w:sz w:val="24"/>
          <w:highlight w:val="none"/>
          <w14:textFill>
            <w14:solidFill>
              <w14:schemeClr w14:val="tx1"/>
            </w14:solidFill>
          </w14:textFill>
        </w:rPr>
        <w:t>行业；承接企业为</w:t>
      </w:r>
      <w:r>
        <w:rPr>
          <w:rFonts w:hint="eastAsia" w:ascii="宋体" w:hAnsi="宋体" w:cs="宋体"/>
          <w:i/>
          <w:iCs/>
          <w:color w:val="000000" w:themeColor="text1"/>
          <w:sz w:val="24"/>
          <w:highlight w:val="none"/>
          <w:u w:val="single"/>
          <w14:textFill>
            <w14:solidFill>
              <w14:schemeClr w14:val="tx1"/>
            </w14:solidFill>
          </w14:textFill>
        </w:rPr>
        <w:t>（企业名称）</w:t>
      </w:r>
      <w:r>
        <w:rPr>
          <w:rFonts w:hint="eastAsia" w:ascii="宋体" w:hAnsi="宋体" w:cs="宋体"/>
          <w:color w:val="000000" w:themeColor="text1"/>
          <w:sz w:val="24"/>
          <w:highlight w:val="none"/>
          <w14:textFill>
            <w14:solidFill>
              <w14:schemeClr w14:val="tx1"/>
            </w14:solidFill>
          </w14:textFill>
        </w:rPr>
        <w:t>，从业人员人，营业收入为万元，资产总额为万元，属于</w:t>
      </w:r>
      <w:r>
        <w:rPr>
          <w:rFonts w:hint="eastAsia" w:ascii="宋体" w:hAnsi="宋体" w:cs="宋体"/>
          <w:i/>
          <w:iCs/>
          <w:color w:val="000000" w:themeColor="text1"/>
          <w:sz w:val="24"/>
          <w:highlight w:val="none"/>
          <w:u w:val="single"/>
          <w14:textFill>
            <w14:solidFill>
              <w14:schemeClr w14:val="tx1"/>
            </w14:solidFill>
          </w14:textFill>
        </w:rPr>
        <w:t>（中型企业、小型企业、微型企业）</w:t>
      </w:r>
      <w:r>
        <w:rPr>
          <w:rFonts w:hint="eastAsia" w:ascii="宋体" w:hAnsi="宋体" w:cs="宋体"/>
          <w:color w:val="000000" w:themeColor="text1"/>
          <w:sz w:val="24"/>
          <w:highlight w:val="none"/>
          <w14:textFill>
            <w14:solidFill>
              <w14:schemeClr w14:val="tx1"/>
            </w14:solidFill>
          </w14:textFill>
        </w:rPr>
        <w:t>；</w:t>
      </w:r>
    </w:p>
    <w:p w14:paraId="6E3426EE">
      <w:pPr>
        <w:spacing w:line="6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p w14:paraId="12BA6D57">
      <w:pPr>
        <w:spacing w:line="6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14:paraId="30AE17CE">
      <w:pPr>
        <w:spacing w:line="6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本企业对上述声明内容的真实性负责。如有虚假，将依法承担相应责任。</w:t>
      </w:r>
    </w:p>
    <w:p w14:paraId="0DBEE164">
      <w:pPr>
        <w:spacing w:line="600" w:lineRule="exact"/>
        <w:ind w:firstLine="40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企业名称（</w:t>
      </w:r>
      <w:r>
        <w:rPr>
          <w:rFonts w:hint="eastAsia" w:ascii="宋体" w:hAnsi="宋体" w:cs="宋体"/>
          <w:color w:val="000000" w:themeColor="text1"/>
          <w:highlight w:val="none"/>
          <w14:textFill>
            <w14:solidFill>
              <w14:schemeClr w14:val="tx1"/>
            </w14:solidFill>
          </w14:textFill>
        </w:rPr>
        <w:t>加盖CA电子公章</w:t>
      </w:r>
      <w:r>
        <w:rPr>
          <w:rFonts w:hint="eastAsia" w:ascii="宋体" w:hAnsi="宋体" w:cs="宋体"/>
          <w:color w:val="000000" w:themeColor="text1"/>
          <w:sz w:val="24"/>
          <w:highlight w:val="none"/>
          <w14:textFill>
            <w14:solidFill>
              <w14:schemeClr w14:val="tx1"/>
            </w14:solidFill>
          </w14:textFill>
        </w:rPr>
        <w:t>）：</w:t>
      </w:r>
    </w:p>
    <w:p w14:paraId="098B59C0">
      <w:pPr>
        <w:spacing w:line="600" w:lineRule="exact"/>
        <w:ind w:firstLine="40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p>
    <w:p w14:paraId="113892EC">
      <w:pPr>
        <w:spacing w:line="0" w:lineRule="atLeast"/>
        <w:ind w:firstLine="480"/>
        <w:rPr>
          <w:rFonts w:ascii="Calibri" w:hAnsi="Calibri"/>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从业人员、营业收入、资产总额填报上一年度数据，无上一年度数据的新成立企业可不填报。</w:t>
      </w:r>
    </w:p>
    <w:p w14:paraId="29487072">
      <w:pPr>
        <w:spacing w:line="560" w:lineRule="exact"/>
        <w:jc w:val="center"/>
        <w:rPr>
          <w:rFonts w:ascii="宋体" w:hAnsi="宋体" w:cs="宋体"/>
          <w:b/>
          <w:bCs/>
          <w:color w:val="000000" w:themeColor="text1"/>
          <w:sz w:val="24"/>
          <w:highlight w:val="none"/>
          <w14:textFill>
            <w14:solidFill>
              <w14:schemeClr w14:val="tx1"/>
            </w14:solidFill>
          </w14:textFill>
        </w:rPr>
      </w:pPr>
    </w:p>
    <w:p w14:paraId="578E2647">
      <w:pPr>
        <w:pStyle w:val="35"/>
        <w:spacing w:beforeAutospacing="0" w:afterAutospacing="0"/>
        <w:jc w:val="left"/>
        <w:rPr>
          <w:rFonts w:hint="eastAsia" w:ascii="黑体" w:eastAsia="黑体" w:cs="黑体"/>
          <w:b/>
          <w:color w:val="000000"/>
          <w:sz w:val="32"/>
          <w:szCs w:val="32"/>
          <w:highlight w:val="none"/>
        </w:rPr>
      </w:pPr>
    </w:p>
    <w:p w14:paraId="224C55F1">
      <w:pPr>
        <w:pStyle w:val="35"/>
        <w:spacing w:beforeAutospacing="0" w:afterAutospacing="0"/>
        <w:jc w:val="center"/>
        <w:rPr>
          <w:rFonts w:hint="eastAsia" w:ascii="黑体" w:eastAsia="黑体" w:cs="黑体"/>
          <w:b/>
          <w:color w:val="000000"/>
          <w:sz w:val="32"/>
          <w:szCs w:val="32"/>
          <w:highlight w:val="none"/>
        </w:rPr>
      </w:pPr>
    </w:p>
    <w:p w14:paraId="27C9CA3A">
      <w:pPr>
        <w:pStyle w:val="35"/>
        <w:spacing w:beforeAutospacing="0" w:afterAutospacing="0"/>
        <w:jc w:val="both"/>
        <w:rPr>
          <w:rFonts w:hint="eastAsia" w:ascii="黑体" w:eastAsia="黑体" w:cs="黑体"/>
          <w:b/>
          <w:color w:val="000000"/>
          <w:sz w:val="32"/>
          <w:szCs w:val="32"/>
          <w:highlight w:val="none"/>
        </w:rPr>
      </w:pPr>
    </w:p>
    <w:p w14:paraId="1D5D5A81">
      <w:pPr>
        <w:pStyle w:val="35"/>
        <w:spacing w:beforeAutospacing="0" w:afterAutospacing="0"/>
        <w:jc w:val="center"/>
        <w:rPr>
          <w:rFonts w:hint="eastAsia"/>
          <w:highlight w:val="none"/>
        </w:rPr>
      </w:pPr>
      <w:r>
        <w:rPr>
          <w:rFonts w:hint="eastAsia" w:ascii="黑体" w:eastAsia="黑体" w:cs="黑体"/>
          <w:b/>
          <w:color w:val="000000"/>
          <w:sz w:val="32"/>
          <w:szCs w:val="32"/>
          <w:highlight w:val="none"/>
        </w:rPr>
        <w:t>十、残疾人福利性单位声明函</w:t>
      </w:r>
    </w:p>
    <w:p w14:paraId="6160A28A">
      <w:pPr>
        <w:pStyle w:val="35"/>
        <w:widowControl w:val="0"/>
        <w:spacing w:before="0" w:beforeAutospacing="0" w:after="0" w:afterAutospacing="0" w:line="440" w:lineRule="exact"/>
        <w:jc w:val="center"/>
        <w:rPr>
          <w:rFonts w:hint="eastAsia"/>
          <w:highlight w:val="none"/>
        </w:rPr>
      </w:pPr>
    </w:p>
    <w:p w14:paraId="31153F22">
      <w:pPr>
        <w:pStyle w:val="35"/>
        <w:widowControl w:val="0"/>
        <w:spacing w:before="0" w:beforeAutospacing="0" w:after="0" w:afterAutospacing="0" w:line="440" w:lineRule="exact"/>
        <w:ind w:firstLine="480"/>
        <w:jc w:val="both"/>
        <w:rPr>
          <w:rFonts w:hint="eastAsia"/>
          <w:highlight w:val="none"/>
        </w:rPr>
      </w:pPr>
      <w:r>
        <w:rPr>
          <w:rFonts w:hint="eastAsia"/>
          <w:color w:val="000000"/>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olor w:val="000000"/>
          <w:highlight w:val="none"/>
          <w:u w:val="single"/>
        </w:rPr>
        <w:t>（采购人名称）</w:t>
      </w:r>
      <w:r>
        <w:rPr>
          <w:rFonts w:hint="eastAsia"/>
          <w:color w:val="000000"/>
          <w:highlight w:val="none"/>
        </w:rPr>
        <w:t>单位的采购文件编号为______的</w:t>
      </w:r>
      <w:r>
        <w:rPr>
          <w:rFonts w:hint="eastAsia"/>
          <w:color w:val="000000"/>
          <w:highlight w:val="none"/>
          <w:u w:val="single"/>
        </w:rPr>
        <w:t xml:space="preserve">       </w:t>
      </w:r>
      <w:r>
        <w:rPr>
          <w:rFonts w:hint="eastAsia"/>
          <w:color w:val="000000"/>
          <w:highlight w:val="none"/>
        </w:rPr>
        <w:t>项目采购活动提供本单位制造的货物，或者提供其他残疾人福利性单位制造的货物（不包括使用非残疾人福利性单位注册商标的货物）。</w:t>
      </w:r>
    </w:p>
    <w:p w14:paraId="23B76633">
      <w:pPr>
        <w:pStyle w:val="35"/>
        <w:widowControl w:val="0"/>
        <w:spacing w:before="0" w:beforeAutospacing="0" w:after="0" w:afterAutospacing="0" w:line="440" w:lineRule="exact"/>
        <w:ind w:firstLine="480"/>
        <w:jc w:val="both"/>
        <w:rPr>
          <w:rFonts w:hint="eastAsia"/>
          <w:highlight w:val="none"/>
        </w:rPr>
      </w:pPr>
      <w:r>
        <w:rPr>
          <w:rFonts w:hint="eastAsia"/>
          <w:color w:val="000000"/>
          <w:highlight w:val="none"/>
        </w:rPr>
        <w:t>本单位对上述声明的真实性负责。如有虚假，将依法承担相应责任。</w:t>
      </w:r>
    </w:p>
    <w:p w14:paraId="141B6584">
      <w:pPr>
        <w:pStyle w:val="35"/>
        <w:widowControl w:val="0"/>
        <w:spacing w:before="0" w:beforeAutospacing="0" w:after="0" w:afterAutospacing="0" w:line="440" w:lineRule="exact"/>
        <w:ind w:firstLine="480"/>
        <w:jc w:val="both"/>
        <w:rPr>
          <w:rFonts w:hint="eastAsia"/>
          <w:highlight w:val="none"/>
        </w:rPr>
      </w:pPr>
    </w:p>
    <w:p w14:paraId="347DD4B3">
      <w:pPr>
        <w:pStyle w:val="35"/>
        <w:widowControl w:val="0"/>
        <w:spacing w:before="0" w:beforeAutospacing="0" w:after="0" w:afterAutospacing="0" w:line="440" w:lineRule="exact"/>
        <w:ind w:firstLine="480"/>
        <w:jc w:val="both"/>
        <w:rPr>
          <w:rFonts w:hint="eastAsia"/>
          <w:color w:val="000000"/>
          <w:highlight w:val="none"/>
        </w:rPr>
      </w:pPr>
      <w:r>
        <w:rPr>
          <w:rFonts w:hint="eastAsia"/>
          <w:color w:val="000000"/>
          <w:highlight w:val="none"/>
        </w:rPr>
        <w:t>备注：1、供应商如不提供此声明函，价格将不做相应扣除（如项目全面面向中小企业，则资格审查不通过）。</w:t>
      </w:r>
    </w:p>
    <w:p w14:paraId="117A1FD4">
      <w:pPr>
        <w:pStyle w:val="35"/>
        <w:widowControl w:val="0"/>
        <w:spacing w:before="0" w:beforeAutospacing="0" w:after="0" w:afterAutospacing="0" w:line="440" w:lineRule="exact"/>
        <w:ind w:firstLine="480"/>
        <w:jc w:val="both"/>
        <w:rPr>
          <w:rFonts w:hint="eastAsia"/>
          <w:color w:val="000000"/>
          <w:highlight w:val="none"/>
        </w:rPr>
      </w:pPr>
      <w:r>
        <w:rPr>
          <w:rFonts w:hint="eastAsia"/>
          <w:color w:val="000000"/>
          <w:highlight w:val="none"/>
        </w:rPr>
        <w:t>2、成交供应商为残疾人福利单位的，此声明函将随成交结果同时公告，接受社会监督。</w:t>
      </w:r>
    </w:p>
    <w:p w14:paraId="54861EED">
      <w:pPr>
        <w:pStyle w:val="35"/>
        <w:widowControl w:val="0"/>
        <w:spacing w:before="0" w:beforeAutospacing="0" w:after="0" w:afterAutospacing="0" w:line="440" w:lineRule="exact"/>
        <w:ind w:firstLine="480"/>
        <w:jc w:val="both"/>
        <w:rPr>
          <w:rFonts w:hint="eastAsia"/>
          <w:highlight w:val="none"/>
        </w:rPr>
      </w:pPr>
      <w:r>
        <w:rPr>
          <w:rFonts w:hint="eastAsia"/>
          <w:color w:val="000000"/>
          <w:highlight w:val="none"/>
        </w:rPr>
        <w:t>3、如供应商不是残疾人福利性单位，不需要提供此表。</w:t>
      </w:r>
    </w:p>
    <w:p w14:paraId="6E5629E6">
      <w:pPr>
        <w:pStyle w:val="35"/>
        <w:widowControl w:val="0"/>
        <w:spacing w:before="0" w:beforeAutospacing="0" w:after="0" w:afterAutospacing="0" w:line="440" w:lineRule="exact"/>
        <w:jc w:val="both"/>
        <w:rPr>
          <w:rFonts w:hint="eastAsia"/>
          <w:highlight w:val="none"/>
        </w:rPr>
      </w:pPr>
    </w:p>
    <w:p w14:paraId="7564ABAA">
      <w:pPr>
        <w:pStyle w:val="35"/>
        <w:widowControl w:val="0"/>
        <w:tabs>
          <w:tab w:val="left" w:pos="4864"/>
        </w:tabs>
        <w:spacing w:before="0" w:beforeAutospacing="0" w:after="0" w:afterAutospacing="0" w:line="440" w:lineRule="exact"/>
        <w:ind w:right="1560" w:firstLine="4560" w:firstLineChars="1900"/>
        <w:rPr>
          <w:rFonts w:hint="eastAsia"/>
          <w:highlight w:val="none"/>
        </w:rPr>
      </w:pPr>
      <w:r>
        <w:rPr>
          <w:rFonts w:hint="eastAsia"/>
          <w:color w:val="000000"/>
          <w:highlight w:val="none"/>
        </w:rPr>
        <w:t>供应商全称（加盖公章）：</w:t>
      </w:r>
    </w:p>
    <w:p w14:paraId="702DAFB3">
      <w:pPr>
        <w:pStyle w:val="35"/>
        <w:widowControl w:val="0"/>
        <w:tabs>
          <w:tab w:val="left" w:pos="4864"/>
        </w:tabs>
        <w:spacing w:before="0" w:beforeAutospacing="0" w:after="0" w:afterAutospacing="0" w:line="440" w:lineRule="exact"/>
        <w:ind w:right="1560" w:firstLine="480"/>
        <w:jc w:val="center"/>
        <w:rPr>
          <w:rFonts w:hint="eastAsia"/>
          <w:highlight w:val="none"/>
        </w:rPr>
      </w:pPr>
      <w:r>
        <w:rPr>
          <w:rFonts w:hint="eastAsia"/>
          <w:color w:val="000000"/>
          <w:highlight w:val="none"/>
        </w:rPr>
        <w:t>        日  期：</w:t>
      </w:r>
    </w:p>
    <w:p w14:paraId="46221D23">
      <w:pPr>
        <w:pStyle w:val="35"/>
        <w:widowControl w:val="0"/>
        <w:spacing w:before="0" w:beforeAutospacing="0" w:after="0" w:afterAutospacing="0" w:line="440" w:lineRule="exact"/>
        <w:jc w:val="center"/>
        <w:rPr>
          <w:rFonts w:hint="eastAsia"/>
          <w:highlight w:val="none"/>
        </w:rPr>
      </w:pPr>
      <w:r>
        <w:rPr>
          <w:highlight w:val="none"/>
        </w:rPr>
        <w:t> </w:t>
      </w:r>
    </w:p>
    <w:p w14:paraId="399622E8">
      <w:pPr>
        <w:pStyle w:val="35"/>
        <w:widowControl w:val="0"/>
        <w:spacing w:before="0" w:beforeAutospacing="0" w:after="0" w:afterAutospacing="0" w:line="0" w:lineRule="atLeast"/>
        <w:jc w:val="center"/>
        <w:rPr>
          <w:rFonts w:hint="eastAsia"/>
          <w:highlight w:val="none"/>
        </w:rPr>
      </w:pPr>
      <w:r>
        <w:rPr>
          <w:highlight w:val="none"/>
        </w:rPr>
        <w:t> </w:t>
      </w:r>
    </w:p>
    <w:p w14:paraId="493F211B">
      <w:pPr>
        <w:pStyle w:val="35"/>
        <w:widowControl w:val="0"/>
        <w:spacing w:before="0" w:beforeAutospacing="0" w:after="0" w:afterAutospacing="0" w:line="0" w:lineRule="atLeast"/>
        <w:jc w:val="center"/>
        <w:rPr>
          <w:rFonts w:hint="eastAsia"/>
          <w:highlight w:val="none"/>
        </w:rPr>
      </w:pPr>
      <w:r>
        <w:rPr>
          <w:highlight w:val="none"/>
        </w:rPr>
        <w:t> </w:t>
      </w:r>
    </w:p>
    <w:p w14:paraId="6B8D60E8">
      <w:pPr>
        <w:pStyle w:val="35"/>
        <w:widowControl w:val="0"/>
        <w:spacing w:before="0" w:beforeAutospacing="0" w:after="0" w:afterAutospacing="0" w:line="0" w:lineRule="atLeast"/>
        <w:jc w:val="center"/>
        <w:rPr>
          <w:rFonts w:hint="eastAsia"/>
          <w:highlight w:val="none"/>
        </w:rPr>
      </w:pPr>
      <w:r>
        <w:rPr>
          <w:highlight w:val="none"/>
        </w:rPr>
        <w:t> </w:t>
      </w:r>
    </w:p>
    <w:p w14:paraId="1AB652E4">
      <w:pPr>
        <w:pStyle w:val="35"/>
        <w:widowControl w:val="0"/>
        <w:spacing w:before="0" w:beforeAutospacing="0" w:after="0" w:afterAutospacing="0" w:line="0" w:lineRule="atLeast"/>
        <w:jc w:val="center"/>
        <w:rPr>
          <w:rFonts w:hint="eastAsia"/>
          <w:highlight w:val="none"/>
        </w:rPr>
      </w:pPr>
      <w:r>
        <w:rPr>
          <w:highlight w:val="none"/>
        </w:rPr>
        <w:t> </w:t>
      </w:r>
    </w:p>
    <w:p w14:paraId="5D36B14F">
      <w:pPr>
        <w:pStyle w:val="35"/>
        <w:widowControl w:val="0"/>
        <w:spacing w:before="0" w:beforeAutospacing="0" w:after="0" w:afterAutospacing="0" w:line="0" w:lineRule="atLeast"/>
        <w:jc w:val="center"/>
        <w:rPr>
          <w:rFonts w:hint="eastAsia"/>
          <w:highlight w:val="none"/>
        </w:rPr>
      </w:pPr>
      <w:r>
        <w:rPr>
          <w:highlight w:val="none"/>
        </w:rPr>
        <w:t> </w:t>
      </w:r>
    </w:p>
    <w:p w14:paraId="204B5936">
      <w:pPr>
        <w:pStyle w:val="35"/>
        <w:widowControl w:val="0"/>
        <w:spacing w:before="0" w:beforeAutospacing="0" w:after="0" w:afterAutospacing="0" w:line="0" w:lineRule="atLeast"/>
        <w:jc w:val="center"/>
        <w:rPr>
          <w:rFonts w:hint="eastAsia"/>
          <w:highlight w:val="none"/>
        </w:rPr>
      </w:pPr>
      <w:r>
        <w:rPr>
          <w:highlight w:val="none"/>
        </w:rPr>
        <w:t> </w:t>
      </w:r>
    </w:p>
    <w:p w14:paraId="181884D1">
      <w:pPr>
        <w:pStyle w:val="35"/>
        <w:widowControl w:val="0"/>
        <w:spacing w:before="0" w:beforeAutospacing="0" w:after="0" w:afterAutospacing="0" w:line="0" w:lineRule="atLeast"/>
        <w:jc w:val="center"/>
        <w:rPr>
          <w:rFonts w:hint="eastAsia"/>
          <w:highlight w:val="none"/>
        </w:rPr>
      </w:pPr>
      <w:r>
        <w:rPr>
          <w:highlight w:val="none"/>
        </w:rPr>
        <w:t> </w:t>
      </w:r>
    </w:p>
    <w:p w14:paraId="0E704B9B">
      <w:pPr>
        <w:pStyle w:val="35"/>
        <w:widowControl w:val="0"/>
        <w:spacing w:before="0" w:beforeAutospacing="0" w:after="0" w:afterAutospacing="0" w:line="0" w:lineRule="atLeast"/>
        <w:jc w:val="center"/>
        <w:rPr>
          <w:rFonts w:hint="eastAsia"/>
          <w:highlight w:val="none"/>
        </w:rPr>
      </w:pPr>
      <w:r>
        <w:rPr>
          <w:highlight w:val="none"/>
        </w:rPr>
        <w:t> </w:t>
      </w:r>
    </w:p>
    <w:p w14:paraId="0DB0359D">
      <w:pPr>
        <w:pStyle w:val="35"/>
        <w:widowControl w:val="0"/>
        <w:spacing w:before="0" w:beforeAutospacing="0" w:after="0" w:afterAutospacing="0" w:line="0" w:lineRule="atLeast"/>
        <w:jc w:val="center"/>
        <w:rPr>
          <w:rFonts w:hint="eastAsia"/>
          <w:highlight w:val="none"/>
        </w:rPr>
      </w:pPr>
      <w:r>
        <w:rPr>
          <w:highlight w:val="none"/>
        </w:rPr>
        <w:t> </w:t>
      </w:r>
    </w:p>
    <w:p w14:paraId="0C9D8340">
      <w:pPr>
        <w:pStyle w:val="35"/>
        <w:widowControl w:val="0"/>
        <w:spacing w:before="0" w:beforeAutospacing="0" w:after="0" w:afterAutospacing="0" w:line="0" w:lineRule="atLeast"/>
        <w:jc w:val="center"/>
        <w:rPr>
          <w:rFonts w:hint="eastAsia"/>
          <w:highlight w:val="none"/>
        </w:rPr>
      </w:pPr>
      <w:r>
        <w:rPr>
          <w:highlight w:val="none"/>
        </w:rPr>
        <w:t> </w:t>
      </w:r>
    </w:p>
    <w:p w14:paraId="62A926F9">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7A578852">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018C935B">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2F0555CD">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17D7FA63">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7BFEFA1F">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03320537">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07DF8298">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1817200B">
      <w:pPr>
        <w:pStyle w:val="35"/>
        <w:widowControl w:val="0"/>
        <w:spacing w:before="0" w:beforeAutospacing="0" w:after="0" w:afterAutospacing="0" w:line="0" w:lineRule="atLeast"/>
        <w:jc w:val="center"/>
        <w:rPr>
          <w:rFonts w:hint="eastAsia" w:ascii="黑体" w:eastAsia="黑体" w:cs="黑体"/>
          <w:b/>
          <w:color w:val="FF0000"/>
          <w:sz w:val="32"/>
          <w:szCs w:val="32"/>
          <w:highlight w:val="none"/>
        </w:rPr>
      </w:pPr>
      <w:r>
        <w:rPr>
          <w:rFonts w:hint="eastAsia" w:ascii="黑体" w:eastAsia="黑体" w:cs="黑体"/>
          <w:b/>
          <w:color w:val="000000"/>
          <w:sz w:val="32"/>
          <w:szCs w:val="32"/>
          <w:highlight w:val="none"/>
        </w:rPr>
        <w:br w:type="page" w:clear="all"/>
      </w:r>
    </w:p>
    <w:p w14:paraId="5286ECE1">
      <w:pPr>
        <w:pStyle w:val="35"/>
        <w:spacing w:beforeAutospacing="0" w:afterAutospacing="0"/>
        <w:jc w:val="center"/>
        <w:rPr>
          <w:rFonts w:hint="eastAsia" w:eastAsia="宋体" w:cs="宋体"/>
          <w:highlight w:val="none"/>
        </w:rPr>
      </w:pPr>
      <w:r>
        <w:rPr>
          <w:rFonts w:hint="eastAsia" w:eastAsia="宋体" w:cs="宋体"/>
          <w:b/>
          <w:sz w:val="32"/>
          <w:szCs w:val="32"/>
          <w:highlight w:val="none"/>
        </w:rPr>
        <w:t>十</w:t>
      </w:r>
      <w:r>
        <w:rPr>
          <w:rFonts w:hint="eastAsia" w:cs="宋体"/>
          <w:b/>
          <w:sz w:val="32"/>
          <w:szCs w:val="32"/>
          <w:highlight w:val="none"/>
          <w:lang w:val="en-US" w:eastAsia="zh-CN"/>
        </w:rPr>
        <w:t>一</w:t>
      </w:r>
      <w:r>
        <w:rPr>
          <w:rFonts w:hint="eastAsia" w:eastAsia="宋体" w:cs="宋体"/>
          <w:b/>
          <w:sz w:val="32"/>
          <w:szCs w:val="32"/>
          <w:highlight w:val="none"/>
        </w:rPr>
        <w:t>、已标价工程量清单</w:t>
      </w:r>
    </w:p>
    <w:p w14:paraId="78B2E8DE">
      <w:pPr>
        <w:pStyle w:val="2"/>
        <w:ind w:firstLine="551"/>
        <w:rPr>
          <w:rFonts w:hint="eastAsia" w:ascii="宋体" w:eastAsia="宋体" w:cs="宋体"/>
          <w:b/>
          <w:color w:val="auto"/>
          <w:sz w:val="28"/>
          <w:szCs w:val="28"/>
          <w:highlight w:val="none"/>
        </w:rPr>
      </w:pPr>
    </w:p>
    <w:p w14:paraId="020113C7">
      <w:pPr>
        <w:pStyle w:val="2"/>
        <w:ind w:firstLine="551"/>
        <w:rPr>
          <w:rFonts w:hint="eastAsia" w:ascii="宋体" w:eastAsia="宋体" w:cs="宋体"/>
          <w:color w:val="auto"/>
          <w:highlight w:val="none"/>
        </w:rPr>
      </w:pPr>
      <w:r>
        <w:rPr>
          <w:rFonts w:hint="eastAsia" w:ascii="宋体" w:eastAsia="宋体" w:cs="宋体"/>
          <w:b/>
          <w:color w:val="auto"/>
          <w:sz w:val="28"/>
          <w:szCs w:val="28"/>
          <w:highlight w:val="none"/>
        </w:rPr>
        <w:t>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p>
    <w:p w14:paraId="1500EB1C">
      <w:pPr>
        <w:spacing w:line="320" w:lineRule="exact"/>
        <w:ind w:firstLine="420"/>
        <w:rPr>
          <w:rFonts w:ascii="黑体" w:eastAsia="黑体" w:cs="黑体"/>
          <w:b/>
          <w:color w:val="FF0000"/>
          <w:sz w:val="32"/>
          <w:szCs w:val="32"/>
          <w:highlight w:val="none"/>
        </w:rPr>
      </w:pPr>
    </w:p>
    <w:p w14:paraId="3FAB5686">
      <w:pPr>
        <w:pStyle w:val="35"/>
        <w:widowControl w:val="0"/>
        <w:spacing w:before="0" w:beforeAutospacing="0" w:after="0" w:afterAutospacing="0"/>
        <w:jc w:val="both"/>
        <w:rPr>
          <w:rFonts w:hint="eastAsia" w:ascii="黑体" w:eastAsia="黑体" w:cs="黑体"/>
          <w:b/>
          <w:color w:val="FF0000"/>
          <w:sz w:val="32"/>
          <w:szCs w:val="32"/>
          <w:highlight w:val="none"/>
        </w:rPr>
      </w:pPr>
    </w:p>
    <w:p w14:paraId="25AC0550">
      <w:pPr>
        <w:pStyle w:val="35"/>
        <w:widowControl w:val="0"/>
        <w:spacing w:before="0" w:beforeAutospacing="0" w:after="0" w:afterAutospacing="0"/>
        <w:jc w:val="both"/>
        <w:rPr>
          <w:rFonts w:hint="eastAsia" w:ascii="黑体" w:eastAsia="黑体" w:cs="黑体"/>
          <w:b/>
          <w:color w:val="FF0000"/>
          <w:sz w:val="32"/>
          <w:szCs w:val="32"/>
          <w:highlight w:val="none"/>
        </w:rPr>
      </w:pPr>
    </w:p>
    <w:p w14:paraId="232598DE">
      <w:pPr>
        <w:pStyle w:val="35"/>
        <w:widowControl w:val="0"/>
        <w:spacing w:before="0" w:beforeAutospacing="0" w:after="0" w:afterAutospacing="0"/>
        <w:jc w:val="both"/>
        <w:rPr>
          <w:rFonts w:hint="eastAsia" w:ascii="黑体" w:eastAsia="黑体" w:cs="黑体"/>
          <w:b/>
          <w:color w:val="FF0000"/>
          <w:sz w:val="32"/>
          <w:szCs w:val="32"/>
          <w:highlight w:val="none"/>
        </w:rPr>
      </w:pPr>
    </w:p>
    <w:p w14:paraId="65D03E53">
      <w:pPr>
        <w:pStyle w:val="35"/>
        <w:widowControl w:val="0"/>
        <w:spacing w:before="0" w:beforeAutospacing="0" w:after="0" w:afterAutospacing="0"/>
        <w:jc w:val="both"/>
        <w:rPr>
          <w:rFonts w:hint="eastAsia" w:ascii="黑体" w:eastAsia="黑体" w:cs="黑体"/>
          <w:b/>
          <w:color w:val="FF0000"/>
          <w:sz w:val="32"/>
          <w:szCs w:val="32"/>
          <w:highlight w:val="none"/>
        </w:rPr>
      </w:pPr>
    </w:p>
    <w:p w14:paraId="5AFC35C3">
      <w:pPr>
        <w:pStyle w:val="35"/>
        <w:widowControl w:val="0"/>
        <w:spacing w:before="0" w:beforeAutospacing="0" w:after="0" w:afterAutospacing="0"/>
        <w:jc w:val="both"/>
        <w:rPr>
          <w:rFonts w:hint="eastAsia" w:ascii="黑体" w:eastAsia="黑体" w:cs="黑体"/>
          <w:b/>
          <w:color w:val="FF0000"/>
          <w:sz w:val="32"/>
          <w:szCs w:val="32"/>
          <w:highlight w:val="none"/>
        </w:rPr>
      </w:pPr>
    </w:p>
    <w:p w14:paraId="2A5E9577">
      <w:pPr>
        <w:pStyle w:val="35"/>
        <w:widowControl w:val="0"/>
        <w:spacing w:before="0" w:beforeAutospacing="0" w:after="0" w:afterAutospacing="0"/>
        <w:jc w:val="both"/>
        <w:rPr>
          <w:rFonts w:hint="eastAsia" w:ascii="黑体" w:eastAsia="黑体" w:cs="黑体"/>
          <w:b/>
          <w:color w:val="FF0000"/>
          <w:sz w:val="32"/>
          <w:szCs w:val="32"/>
          <w:highlight w:val="none"/>
        </w:rPr>
      </w:pPr>
    </w:p>
    <w:p w14:paraId="3AA10E8A">
      <w:pPr>
        <w:pStyle w:val="35"/>
        <w:widowControl w:val="0"/>
        <w:spacing w:before="0" w:beforeAutospacing="0" w:after="0" w:afterAutospacing="0"/>
        <w:jc w:val="both"/>
        <w:rPr>
          <w:rFonts w:hint="eastAsia" w:ascii="黑体" w:eastAsia="黑体" w:cs="黑体"/>
          <w:b/>
          <w:color w:val="FF0000"/>
          <w:sz w:val="32"/>
          <w:szCs w:val="32"/>
          <w:highlight w:val="none"/>
        </w:rPr>
      </w:pPr>
    </w:p>
    <w:p w14:paraId="320DA5B3">
      <w:pPr>
        <w:pStyle w:val="35"/>
        <w:widowControl w:val="0"/>
        <w:spacing w:before="0" w:beforeAutospacing="0" w:after="0" w:afterAutospacing="0"/>
        <w:jc w:val="both"/>
        <w:rPr>
          <w:rFonts w:hint="eastAsia" w:ascii="黑体" w:eastAsia="黑体" w:cs="黑体"/>
          <w:b/>
          <w:color w:val="FF0000"/>
          <w:sz w:val="32"/>
          <w:szCs w:val="32"/>
          <w:highlight w:val="none"/>
        </w:rPr>
      </w:pPr>
    </w:p>
    <w:p w14:paraId="79855BA3">
      <w:pPr>
        <w:pStyle w:val="35"/>
        <w:widowControl w:val="0"/>
        <w:spacing w:before="0" w:beforeAutospacing="0" w:after="0" w:afterAutospacing="0"/>
        <w:jc w:val="both"/>
        <w:rPr>
          <w:rFonts w:hint="eastAsia" w:ascii="黑体" w:eastAsia="黑体" w:cs="黑体"/>
          <w:b/>
          <w:color w:val="FF0000"/>
          <w:sz w:val="32"/>
          <w:szCs w:val="32"/>
          <w:highlight w:val="none"/>
        </w:rPr>
      </w:pPr>
    </w:p>
    <w:p w14:paraId="08B1ED75">
      <w:pPr>
        <w:pStyle w:val="35"/>
        <w:widowControl w:val="0"/>
        <w:spacing w:before="0" w:beforeAutospacing="0" w:after="0" w:afterAutospacing="0"/>
        <w:jc w:val="both"/>
        <w:rPr>
          <w:rFonts w:hint="eastAsia" w:ascii="黑体" w:eastAsia="黑体" w:cs="黑体"/>
          <w:b/>
          <w:color w:val="FF0000"/>
          <w:sz w:val="32"/>
          <w:szCs w:val="32"/>
          <w:highlight w:val="none"/>
        </w:rPr>
      </w:pPr>
    </w:p>
    <w:p w14:paraId="646FAA3B">
      <w:pPr>
        <w:pStyle w:val="35"/>
        <w:widowControl w:val="0"/>
        <w:spacing w:before="0" w:beforeAutospacing="0" w:after="0" w:afterAutospacing="0"/>
        <w:jc w:val="both"/>
        <w:rPr>
          <w:rFonts w:hint="eastAsia" w:ascii="黑体" w:eastAsia="黑体" w:cs="黑体"/>
          <w:b/>
          <w:color w:val="FF0000"/>
          <w:sz w:val="32"/>
          <w:szCs w:val="32"/>
          <w:highlight w:val="none"/>
        </w:rPr>
      </w:pPr>
    </w:p>
    <w:p w14:paraId="2971E856">
      <w:pPr>
        <w:pStyle w:val="35"/>
        <w:widowControl w:val="0"/>
        <w:spacing w:before="0" w:beforeAutospacing="0" w:after="0" w:afterAutospacing="0"/>
        <w:jc w:val="both"/>
        <w:rPr>
          <w:rFonts w:hint="eastAsia" w:ascii="黑体" w:eastAsia="黑体" w:cs="黑体"/>
          <w:b/>
          <w:color w:val="FF0000"/>
          <w:sz w:val="32"/>
          <w:szCs w:val="32"/>
          <w:highlight w:val="none"/>
        </w:rPr>
      </w:pPr>
    </w:p>
    <w:p w14:paraId="3074FBAC">
      <w:pPr>
        <w:pStyle w:val="35"/>
        <w:widowControl w:val="0"/>
        <w:spacing w:before="0" w:beforeAutospacing="0" w:after="0" w:afterAutospacing="0"/>
        <w:jc w:val="both"/>
        <w:rPr>
          <w:rFonts w:hint="eastAsia" w:ascii="黑体" w:eastAsia="黑体" w:cs="黑体"/>
          <w:b/>
          <w:color w:val="FF0000"/>
          <w:sz w:val="32"/>
          <w:szCs w:val="32"/>
          <w:highlight w:val="none"/>
        </w:rPr>
      </w:pPr>
    </w:p>
    <w:p w14:paraId="5E115BF1">
      <w:pPr>
        <w:pStyle w:val="35"/>
        <w:widowControl w:val="0"/>
        <w:spacing w:before="0" w:beforeAutospacing="0" w:after="0" w:afterAutospacing="0"/>
        <w:jc w:val="both"/>
        <w:rPr>
          <w:rFonts w:hint="eastAsia" w:ascii="黑体" w:eastAsia="黑体" w:cs="黑体"/>
          <w:b/>
          <w:color w:val="FF0000"/>
          <w:sz w:val="32"/>
          <w:szCs w:val="32"/>
          <w:highlight w:val="none"/>
        </w:rPr>
      </w:pPr>
    </w:p>
    <w:p w14:paraId="11660755">
      <w:pPr>
        <w:pStyle w:val="35"/>
        <w:widowControl w:val="0"/>
        <w:spacing w:before="0" w:beforeAutospacing="0" w:after="0" w:afterAutospacing="0"/>
        <w:jc w:val="both"/>
        <w:rPr>
          <w:rFonts w:hint="eastAsia" w:ascii="黑体" w:eastAsia="黑体" w:cs="黑体"/>
          <w:b/>
          <w:color w:val="FF0000"/>
          <w:sz w:val="32"/>
          <w:szCs w:val="32"/>
          <w:highlight w:val="none"/>
        </w:rPr>
      </w:pPr>
    </w:p>
    <w:p w14:paraId="37F39E0C">
      <w:pPr>
        <w:pStyle w:val="35"/>
        <w:widowControl w:val="0"/>
        <w:spacing w:before="0" w:beforeAutospacing="0" w:after="0" w:afterAutospacing="0"/>
        <w:jc w:val="both"/>
        <w:rPr>
          <w:rFonts w:hint="eastAsia" w:ascii="黑体" w:eastAsia="黑体" w:cs="黑体"/>
          <w:b/>
          <w:color w:val="FF0000"/>
          <w:sz w:val="32"/>
          <w:szCs w:val="32"/>
          <w:highlight w:val="none"/>
        </w:rPr>
      </w:pPr>
    </w:p>
    <w:p w14:paraId="7321937F">
      <w:pPr>
        <w:pStyle w:val="35"/>
        <w:widowControl w:val="0"/>
        <w:spacing w:before="0" w:beforeAutospacing="0" w:after="0" w:afterAutospacing="0"/>
        <w:jc w:val="both"/>
        <w:rPr>
          <w:rFonts w:hint="eastAsia" w:ascii="黑体" w:eastAsia="黑体" w:cs="黑体"/>
          <w:b/>
          <w:color w:val="FF0000"/>
          <w:sz w:val="32"/>
          <w:szCs w:val="32"/>
          <w:highlight w:val="none"/>
        </w:rPr>
      </w:pPr>
    </w:p>
    <w:p w14:paraId="72591126">
      <w:pPr>
        <w:pStyle w:val="35"/>
        <w:widowControl w:val="0"/>
        <w:spacing w:before="0" w:beforeAutospacing="0" w:after="0" w:afterAutospacing="0"/>
        <w:jc w:val="both"/>
        <w:rPr>
          <w:rFonts w:hint="eastAsia" w:ascii="黑体" w:eastAsia="黑体" w:cs="黑体"/>
          <w:b/>
          <w:color w:val="FF0000"/>
          <w:sz w:val="32"/>
          <w:szCs w:val="32"/>
          <w:highlight w:val="none"/>
        </w:rPr>
      </w:pPr>
    </w:p>
    <w:p w14:paraId="55E6A19A">
      <w:pPr>
        <w:pStyle w:val="35"/>
        <w:widowControl w:val="0"/>
        <w:spacing w:before="0" w:beforeAutospacing="0" w:after="0" w:afterAutospacing="0"/>
        <w:jc w:val="center"/>
        <w:rPr>
          <w:rFonts w:hint="eastAsia"/>
          <w:highlight w:val="none"/>
        </w:rPr>
      </w:pPr>
      <w:r>
        <w:rPr>
          <w:rFonts w:hint="eastAsia" w:ascii="黑体" w:eastAsia="黑体" w:cs="黑体"/>
          <w:b/>
          <w:color w:val="000000"/>
          <w:sz w:val="32"/>
          <w:szCs w:val="32"/>
          <w:highlight w:val="none"/>
        </w:rPr>
        <w:t>十</w:t>
      </w:r>
      <w:r>
        <w:rPr>
          <w:rFonts w:hint="eastAsia" w:ascii="黑体" w:eastAsia="黑体" w:cs="黑体"/>
          <w:b/>
          <w:color w:val="000000"/>
          <w:sz w:val="32"/>
          <w:szCs w:val="32"/>
          <w:highlight w:val="none"/>
          <w:lang w:val="en-US" w:eastAsia="zh-CN"/>
        </w:rPr>
        <w:t>二</w:t>
      </w:r>
      <w:r>
        <w:rPr>
          <w:rFonts w:hint="eastAsia" w:ascii="黑体" w:eastAsia="黑体" w:cs="黑体"/>
          <w:b/>
          <w:color w:val="000000"/>
          <w:sz w:val="32"/>
          <w:szCs w:val="32"/>
          <w:highlight w:val="none"/>
        </w:rPr>
        <w:t>、技术要求响应及偏离表</w:t>
      </w:r>
    </w:p>
    <w:tbl>
      <w:tblPr>
        <w:tblStyle w:val="4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D5F54B0">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0BA5188">
            <w:pPr>
              <w:pStyle w:val="35"/>
              <w:widowControl w:val="0"/>
              <w:spacing w:before="0" w:beforeAutospacing="0" w:after="0" w:afterAutospacing="0"/>
              <w:jc w:val="center"/>
              <w:rPr>
                <w:rFonts w:hint="eastAsia"/>
                <w:highlight w:val="none"/>
              </w:rPr>
            </w:pPr>
            <w:r>
              <w:rPr>
                <w:rFonts w:hint="eastAsia"/>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2FADDAA8">
            <w:pPr>
              <w:pStyle w:val="35"/>
              <w:widowControl w:val="0"/>
              <w:spacing w:before="0" w:beforeAutospacing="0" w:after="0" w:afterAutospacing="0"/>
              <w:jc w:val="center"/>
              <w:rPr>
                <w:rFonts w:hint="eastAsia"/>
                <w:highlight w:val="none"/>
              </w:rPr>
            </w:pPr>
            <w:r>
              <w:rPr>
                <w:rFonts w:hint="eastAsia"/>
                <w:color w:val="000000"/>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7169E05E">
            <w:pPr>
              <w:pStyle w:val="35"/>
              <w:widowControl w:val="0"/>
              <w:spacing w:before="0" w:beforeAutospacing="0" w:after="0" w:afterAutospacing="0"/>
              <w:jc w:val="center"/>
              <w:rPr>
                <w:rFonts w:hint="eastAsia"/>
                <w:highlight w:val="none"/>
              </w:rPr>
            </w:pPr>
            <w:r>
              <w:rPr>
                <w:rFonts w:hint="eastAsia"/>
                <w:color w:val="000000"/>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31C92756">
            <w:pPr>
              <w:pStyle w:val="35"/>
              <w:widowControl w:val="0"/>
              <w:spacing w:before="0" w:beforeAutospacing="0" w:after="0" w:afterAutospacing="0"/>
              <w:jc w:val="center"/>
              <w:rPr>
                <w:rFonts w:hint="eastAsia"/>
                <w:highlight w:val="none"/>
              </w:rPr>
            </w:pPr>
            <w:r>
              <w:rPr>
                <w:rFonts w:hint="eastAsia"/>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7540E1C3">
            <w:pPr>
              <w:pStyle w:val="35"/>
              <w:widowControl w:val="0"/>
              <w:spacing w:before="0" w:beforeAutospacing="0" w:after="0" w:afterAutospacing="0"/>
              <w:jc w:val="center"/>
              <w:rPr>
                <w:rFonts w:hint="eastAsia"/>
                <w:highlight w:val="none"/>
              </w:rPr>
            </w:pPr>
            <w:r>
              <w:rPr>
                <w:rFonts w:hint="eastAsia"/>
                <w:color w:val="000000"/>
                <w:highlight w:val="none"/>
              </w:rPr>
              <w:t>证明</w:t>
            </w:r>
          </w:p>
          <w:p w14:paraId="35F702D5">
            <w:pPr>
              <w:pStyle w:val="35"/>
              <w:widowControl w:val="0"/>
              <w:spacing w:before="0" w:beforeAutospacing="0" w:after="0" w:afterAutospacing="0"/>
              <w:jc w:val="center"/>
              <w:rPr>
                <w:rFonts w:hint="eastAsia"/>
                <w:highlight w:val="none"/>
              </w:rPr>
            </w:pPr>
            <w:r>
              <w:rPr>
                <w:rFonts w:hint="eastAsia"/>
                <w:color w:val="000000"/>
                <w:highlight w:val="none"/>
              </w:rPr>
              <w:t>材料</w:t>
            </w:r>
          </w:p>
        </w:tc>
      </w:tr>
      <w:tr w14:paraId="087323A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84C9348">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6E0DD4F">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EDD9157">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2C6BDA5">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6838EDA">
            <w:pPr>
              <w:pStyle w:val="35"/>
              <w:widowControl w:val="0"/>
              <w:spacing w:before="0" w:beforeAutospacing="0" w:after="0" w:afterAutospacing="0"/>
              <w:jc w:val="center"/>
              <w:rPr>
                <w:rFonts w:hint="eastAsia"/>
                <w:highlight w:val="none"/>
              </w:rPr>
            </w:pPr>
            <w:r>
              <w:rPr>
                <w:highlight w:val="none"/>
              </w:rPr>
              <w:t> </w:t>
            </w:r>
          </w:p>
        </w:tc>
      </w:tr>
      <w:tr w14:paraId="7BBD3A0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96FA8A9">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746FCA4">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4D1713D">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2E40694">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EF9A26F">
            <w:pPr>
              <w:pStyle w:val="35"/>
              <w:widowControl w:val="0"/>
              <w:spacing w:before="0" w:beforeAutospacing="0" w:after="0" w:afterAutospacing="0"/>
              <w:jc w:val="center"/>
              <w:rPr>
                <w:rFonts w:hint="eastAsia"/>
                <w:highlight w:val="none"/>
              </w:rPr>
            </w:pPr>
            <w:r>
              <w:rPr>
                <w:highlight w:val="none"/>
              </w:rPr>
              <w:t> </w:t>
            </w:r>
          </w:p>
        </w:tc>
      </w:tr>
      <w:tr w14:paraId="02CFAE7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EE42DF1">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340519C">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9EBE514">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1134F75">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3576142">
            <w:pPr>
              <w:pStyle w:val="35"/>
              <w:widowControl w:val="0"/>
              <w:spacing w:before="0" w:beforeAutospacing="0" w:after="0" w:afterAutospacing="0"/>
              <w:jc w:val="center"/>
              <w:rPr>
                <w:rFonts w:hint="eastAsia"/>
                <w:highlight w:val="none"/>
              </w:rPr>
            </w:pPr>
            <w:r>
              <w:rPr>
                <w:highlight w:val="none"/>
              </w:rPr>
              <w:t> </w:t>
            </w:r>
          </w:p>
        </w:tc>
      </w:tr>
      <w:tr w14:paraId="2DEAAB7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8BDD68F">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79D936B">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557912B">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FB71EC4">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7CCD196">
            <w:pPr>
              <w:pStyle w:val="35"/>
              <w:widowControl w:val="0"/>
              <w:spacing w:before="0" w:beforeAutospacing="0" w:after="0" w:afterAutospacing="0"/>
              <w:jc w:val="center"/>
              <w:rPr>
                <w:rFonts w:hint="eastAsia"/>
                <w:highlight w:val="none"/>
              </w:rPr>
            </w:pPr>
            <w:r>
              <w:rPr>
                <w:highlight w:val="none"/>
              </w:rPr>
              <w:t> </w:t>
            </w:r>
          </w:p>
        </w:tc>
      </w:tr>
      <w:tr w14:paraId="17B03A1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886821C">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A8C28C9">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1D94685">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2995E29">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3DAF766">
            <w:pPr>
              <w:pStyle w:val="35"/>
              <w:widowControl w:val="0"/>
              <w:spacing w:before="0" w:beforeAutospacing="0" w:after="0" w:afterAutospacing="0"/>
              <w:jc w:val="center"/>
              <w:rPr>
                <w:rFonts w:hint="eastAsia"/>
                <w:highlight w:val="none"/>
              </w:rPr>
            </w:pPr>
            <w:r>
              <w:rPr>
                <w:highlight w:val="none"/>
              </w:rPr>
              <w:t> </w:t>
            </w:r>
          </w:p>
        </w:tc>
      </w:tr>
      <w:tr w14:paraId="584C9E0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40E2A91">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D99678E">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1622271">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D70963D">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7EC96E5">
            <w:pPr>
              <w:pStyle w:val="35"/>
              <w:widowControl w:val="0"/>
              <w:spacing w:before="0" w:beforeAutospacing="0" w:after="0" w:afterAutospacing="0"/>
              <w:jc w:val="center"/>
              <w:rPr>
                <w:rFonts w:hint="eastAsia"/>
                <w:highlight w:val="none"/>
              </w:rPr>
            </w:pPr>
            <w:r>
              <w:rPr>
                <w:highlight w:val="none"/>
              </w:rPr>
              <w:t> </w:t>
            </w:r>
          </w:p>
        </w:tc>
      </w:tr>
      <w:tr w14:paraId="0FFA585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42CA4DA">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8BBC01C">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D661954">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C55CD93">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F6DE0C6">
            <w:pPr>
              <w:pStyle w:val="35"/>
              <w:widowControl w:val="0"/>
              <w:spacing w:before="0" w:beforeAutospacing="0" w:after="0" w:afterAutospacing="0"/>
              <w:jc w:val="center"/>
              <w:rPr>
                <w:rFonts w:hint="eastAsia"/>
                <w:highlight w:val="none"/>
              </w:rPr>
            </w:pPr>
            <w:r>
              <w:rPr>
                <w:highlight w:val="none"/>
              </w:rPr>
              <w:t> </w:t>
            </w:r>
          </w:p>
        </w:tc>
      </w:tr>
      <w:tr w14:paraId="3988767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C2B53C2">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948A6B3">
            <w:pPr>
              <w:pStyle w:val="35"/>
              <w:widowControl w:val="0"/>
              <w:spacing w:before="0" w:beforeAutospacing="0" w:after="0" w:afterAutospacing="0"/>
              <w:jc w:val="center"/>
              <w:rPr>
                <w:rFonts w:hint="eastAsia"/>
                <w:highlight w:val="none"/>
              </w:rPr>
            </w:pPr>
            <w:r>
              <w:rPr>
                <w:rFonts w:hint="eastAsia"/>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7CA852C7">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E607000">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B4DD7F9">
            <w:pPr>
              <w:pStyle w:val="35"/>
              <w:widowControl w:val="0"/>
              <w:spacing w:before="0" w:beforeAutospacing="0" w:after="0" w:afterAutospacing="0"/>
              <w:jc w:val="center"/>
              <w:rPr>
                <w:rFonts w:hint="eastAsia"/>
                <w:highlight w:val="none"/>
              </w:rPr>
            </w:pPr>
            <w:r>
              <w:rPr>
                <w:highlight w:val="none"/>
              </w:rPr>
              <w:t> </w:t>
            </w:r>
          </w:p>
        </w:tc>
      </w:tr>
    </w:tbl>
    <w:p w14:paraId="28F631AF">
      <w:pPr>
        <w:pStyle w:val="35"/>
        <w:widowControl w:val="0"/>
        <w:spacing w:before="0" w:beforeAutospacing="0" w:after="0" w:afterAutospacing="0"/>
        <w:jc w:val="both"/>
        <w:rPr>
          <w:rFonts w:hint="eastAsia"/>
          <w:highlight w:val="none"/>
        </w:rPr>
      </w:pPr>
      <w:r>
        <w:rPr>
          <w:rFonts w:hint="eastAsia"/>
          <w:color w:val="000000"/>
          <w:highlight w:val="none"/>
        </w:rPr>
        <w:t>注： 行数不够，可自行添加。</w:t>
      </w:r>
    </w:p>
    <w:p w14:paraId="022246FB">
      <w:pPr>
        <w:jc w:val="center"/>
        <w:rPr>
          <w:highlight w:val="none"/>
        </w:rPr>
      </w:pPr>
      <w:bookmarkStart w:id="144" w:name="_Hlt26955054"/>
      <w:r>
        <w:rPr>
          <w:rFonts w:hint="eastAsia"/>
          <w:highlight w:val="none"/>
        </w:rPr>
        <w:br w:type="page" w:clear="all"/>
      </w:r>
      <w:r>
        <w:rPr>
          <w:rFonts w:hint="eastAsia" w:ascii="黑体" w:eastAsia="黑体" w:cs="黑体"/>
          <w:b/>
          <w:color w:val="000000"/>
          <w:sz w:val="32"/>
          <w:szCs w:val="32"/>
          <w:highlight w:val="none"/>
        </w:rPr>
        <w:t>十</w:t>
      </w:r>
      <w:r>
        <w:rPr>
          <w:rFonts w:hint="eastAsia" w:ascii="黑体" w:eastAsia="黑体" w:cs="黑体"/>
          <w:b/>
          <w:color w:val="000000"/>
          <w:sz w:val="32"/>
          <w:szCs w:val="32"/>
          <w:highlight w:val="none"/>
          <w:lang w:eastAsia="zh-CN"/>
        </w:rPr>
        <w:t>三</w:t>
      </w:r>
      <w:r>
        <w:rPr>
          <w:rFonts w:hint="eastAsia" w:ascii="黑体" w:eastAsia="黑体" w:cs="黑体"/>
          <w:b/>
          <w:color w:val="000000"/>
          <w:sz w:val="32"/>
          <w:szCs w:val="32"/>
          <w:highlight w:val="none"/>
        </w:rPr>
        <w:t>、商务要求响应及偏离表</w:t>
      </w:r>
    </w:p>
    <w:tbl>
      <w:tblPr>
        <w:tblStyle w:val="4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46CC3D5">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99A6989">
            <w:pPr>
              <w:pStyle w:val="35"/>
              <w:widowControl w:val="0"/>
              <w:spacing w:before="0" w:beforeAutospacing="0" w:after="0" w:afterAutospacing="0"/>
              <w:jc w:val="center"/>
              <w:rPr>
                <w:rFonts w:hint="eastAsia"/>
                <w:highlight w:val="none"/>
              </w:rPr>
            </w:pPr>
            <w:r>
              <w:rPr>
                <w:rFonts w:hint="eastAsia"/>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1752D7A3">
            <w:pPr>
              <w:pStyle w:val="35"/>
              <w:widowControl w:val="0"/>
              <w:spacing w:before="0" w:beforeAutospacing="0" w:after="0" w:afterAutospacing="0"/>
              <w:jc w:val="center"/>
              <w:rPr>
                <w:rFonts w:hint="eastAsia"/>
                <w:highlight w:val="none"/>
              </w:rPr>
            </w:pPr>
            <w:r>
              <w:rPr>
                <w:rFonts w:hint="eastAsia"/>
                <w:color w:val="000000"/>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7F86F9DD">
            <w:pPr>
              <w:pStyle w:val="35"/>
              <w:widowControl w:val="0"/>
              <w:spacing w:before="0" w:beforeAutospacing="0" w:after="0" w:afterAutospacing="0"/>
              <w:jc w:val="center"/>
              <w:rPr>
                <w:rFonts w:hint="eastAsia"/>
                <w:highlight w:val="none"/>
              </w:rPr>
            </w:pPr>
            <w:r>
              <w:rPr>
                <w:rFonts w:hint="eastAsia"/>
                <w:color w:val="000000"/>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661ADD24">
            <w:pPr>
              <w:pStyle w:val="35"/>
              <w:widowControl w:val="0"/>
              <w:spacing w:before="0" w:beforeAutospacing="0" w:after="0" w:afterAutospacing="0"/>
              <w:jc w:val="center"/>
              <w:rPr>
                <w:rFonts w:hint="eastAsia"/>
                <w:highlight w:val="none"/>
              </w:rPr>
            </w:pPr>
            <w:r>
              <w:rPr>
                <w:rFonts w:hint="eastAsia"/>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729AC5C9">
            <w:pPr>
              <w:pStyle w:val="35"/>
              <w:widowControl w:val="0"/>
              <w:spacing w:before="0" w:beforeAutospacing="0" w:after="0" w:afterAutospacing="0"/>
              <w:jc w:val="center"/>
              <w:rPr>
                <w:rFonts w:hint="eastAsia"/>
                <w:highlight w:val="none"/>
              </w:rPr>
            </w:pPr>
            <w:r>
              <w:rPr>
                <w:rFonts w:hint="eastAsia"/>
                <w:color w:val="000000"/>
                <w:highlight w:val="none"/>
              </w:rPr>
              <w:t>证明</w:t>
            </w:r>
          </w:p>
          <w:p w14:paraId="618B4952">
            <w:pPr>
              <w:pStyle w:val="35"/>
              <w:widowControl w:val="0"/>
              <w:spacing w:before="0" w:beforeAutospacing="0" w:after="0" w:afterAutospacing="0"/>
              <w:jc w:val="center"/>
              <w:rPr>
                <w:rFonts w:hint="eastAsia"/>
                <w:highlight w:val="none"/>
              </w:rPr>
            </w:pPr>
            <w:r>
              <w:rPr>
                <w:rFonts w:hint="eastAsia"/>
                <w:color w:val="000000"/>
                <w:highlight w:val="none"/>
              </w:rPr>
              <w:t>材料</w:t>
            </w:r>
          </w:p>
        </w:tc>
      </w:tr>
      <w:tr w14:paraId="1829F29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56C1ABA">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4FCCAA8">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30A4374">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446045C">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78BAE9D">
            <w:pPr>
              <w:pStyle w:val="35"/>
              <w:widowControl w:val="0"/>
              <w:spacing w:before="0" w:beforeAutospacing="0" w:after="0" w:afterAutospacing="0"/>
              <w:jc w:val="center"/>
              <w:rPr>
                <w:rFonts w:hint="eastAsia"/>
                <w:highlight w:val="none"/>
              </w:rPr>
            </w:pPr>
            <w:r>
              <w:rPr>
                <w:highlight w:val="none"/>
              </w:rPr>
              <w:t> </w:t>
            </w:r>
          </w:p>
        </w:tc>
      </w:tr>
      <w:tr w14:paraId="04816C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A9DC6A9">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693FD23">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58500DD">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3432747">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B151ECC">
            <w:pPr>
              <w:pStyle w:val="35"/>
              <w:widowControl w:val="0"/>
              <w:spacing w:before="0" w:beforeAutospacing="0" w:after="0" w:afterAutospacing="0"/>
              <w:jc w:val="center"/>
              <w:rPr>
                <w:rFonts w:hint="eastAsia"/>
                <w:highlight w:val="none"/>
              </w:rPr>
            </w:pPr>
            <w:r>
              <w:rPr>
                <w:highlight w:val="none"/>
              </w:rPr>
              <w:t> </w:t>
            </w:r>
          </w:p>
        </w:tc>
      </w:tr>
      <w:tr w14:paraId="7AE2BE4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B788494">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08DBB5B">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00ADD8B">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6BF887F">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BADB483">
            <w:pPr>
              <w:pStyle w:val="35"/>
              <w:widowControl w:val="0"/>
              <w:spacing w:before="0" w:beforeAutospacing="0" w:after="0" w:afterAutospacing="0"/>
              <w:jc w:val="center"/>
              <w:rPr>
                <w:rFonts w:hint="eastAsia"/>
                <w:highlight w:val="none"/>
              </w:rPr>
            </w:pPr>
            <w:r>
              <w:rPr>
                <w:highlight w:val="none"/>
              </w:rPr>
              <w:t> </w:t>
            </w:r>
          </w:p>
        </w:tc>
      </w:tr>
      <w:tr w14:paraId="3CDDD3B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C76BC5E">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6780DFC">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0BD0628">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9A28790">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692A366">
            <w:pPr>
              <w:pStyle w:val="35"/>
              <w:widowControl w:val="0"/>
              <w:spacing w:before="0" w:beforeAutospacing="0" w:after="0" w:afterAutospacing="0"/>
              <w:jc w:val="center"/>
              <w:rPr>
                <w:rFonts w:hint="eastAsia"/>
                <w:highlight w:val="none"/>
              </w:rPr>
            </w:pPr>
            <w:r>
              <w:rPr>
                <w:highlight w:val="none"/>
              </w:rPr>
              <w:t> </w:t>
            </w:r>
          </w:p>
        </w:tc>
      </w:tr>
      <w:tr w14:paraId="067D85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9A1368A">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93DB9C4">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53B36F8">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3681D18">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EC7A9BF">
            <w:pPr>
              <w:pStyle w:val="35"/>
              <w:widowControl w:val="0"/>
              <w:spacing w:before="0" w:beforeAutospacing="0" w:after="0" w:afterAutospacing="0"/>
              <w:jc w:val="center"/>
              <w:rPr>
                <w:rFonts w:hint="eastAsia"/>
                <w:highlight w:val="none"/>
              </w:rPr>
            </w:pPr>
            <w:r>
              <w:rPr>
                <w:highlight w:val="none"/>
              </w:rPr>
              <w:t> </w:t>
            </w:r>
          </w:p>
        </w:tc>
      </w:tr>
      <w:tr w14:paraId="2FE7414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D0C6A91">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0C37F87">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EEF01AA">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4B405B0">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AB5C383">
            <w:pPr>
              <w:pStyle w:val="35"/>
              <w:widowControl w:val="0"/>
              <w:spacing w:before="0" w:beforeAutospacing="0" w:after="0" w:afterAutospacing="0"/>
              <w:jc w:val="center"/>
              <w:rPr>
                <w:rFonts w:hint="eastAsia"/>
                <w:highlight w:val="none"/>
              </w:rPr>
            </w:pPr>
            <w:r>
              <w:rPr>
                <w:highlight w:val="none"/>
              </w:rPr>
              <w:t> </w:t>
            </w:r>
          </w:p>
        </w:tc>
      </w:tr>
      <w:tr w14:paraId="5880D94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5CDE9B7">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DF5FED3">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75BE72B">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2A39687">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FBB33B7">
            <w:pPr>
              <w:pStyle w:val="35"/>
              <w:widowControl w:val="0"/>
              <w:spacing w:before="0" w:beforeAutospacing="0" w:after="0" w:afterAutospacing="0"/>
              <w:jc w:val="center"/>
              <w:rPr>
                <w:rFonts w:hint="eastAsia"/>
                <w:highlight w:val="none"/>
              </w:rPr>
            </w:pPr>
            <w:r>
              <w:rPr>
                <w:highlight w:val="none"/>
              </w:rPr>
              <w:t> </w:t>
            </w:r>
          </w:p>
        </w:tc>
      </w:tr>
      <w:tr w14:paraId="5BA015E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57BC9C0">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F22BCE0">
            <w:pPr>
              <w:pStyle w:val="35"/>
              <w:widowControl w:val="0"/>
              <w:spacing w:before="0" w:beforeAutospacing="0" w:after="0" w:afterAutospacing="0"/>
              <w:jc w:val="center"/>
              <w:rPr>
                <w:rFonts w:hint="eastAsia"/>
                <w:highlight w:val="none"/>
              </w:rPr>
            </w:pPr>
            <w:r>
              <w:rPr>
                <w:rFonts w:hint="eastAsia"/>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669E6152">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A29A22D">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7B649C1">
            <w:pPr>
              <w:pStyle w:val="35"/>
              <w:widowControl w:val="0"/>
              <w:spacing w:before="0" w:beforeAutospacing="0" w:after="0" w:afterAutospacing="0"/>
              <w:jc w:val="center"/>
              <w:rPr>
                <w:rFonts w:hint="eastAsia"/>
                <w:highlight w:val="none"/>
              </w:rPr>
            </w:pPr>
            <w:r>
              <w:rPr>
                <w:highlight w:val="none"/>
              </w:rPr>
              <w:t> </w:t>
            </w:r>
          </w:p>
        </w:tc>
      </w:tr>
    </w:tbl>
    <w:p w14:paraId="4605FDC4">
      <w:pPr>
        <w:pStyle w:val="35"/>
        <w:widowControl w:val="0"/>
        <w:spacing w:before="0" w:beforeAutospacing="0" w:after="0" w:afterAutospacing="0"/>
        <w:jc w:val="both"/>
        <w:rPr>
          <w:rFonts w:hint="eastAsia"/>
          <w:highlight w:val="none"/>
        </w:rPr>
      </w:pPr>
      <w:r>
        <w:rPr>
          <w:rFonts w:hint="eastAsia"/>
          <w:color w:val="000000"/>
          <w:highlight w:val="none"/>
        </w:rPr>
        <w:t>注：行数不够，可自行添加。</w:t>
      </w:r>
    </w:p>
    <w:p w14:paraId="3C9D0F49">
      <w:pPr>
        <w:pStyle w:val="35"/>
        <w:widowControl w:val="0"/>
        <w:spacing w:before="0" w:beforeAutospacing="0" w:after="0" w:afterAutospacing="0" w:line="480" w:lineRule="auto"/>
        <w:jc w:val="both"/>
        <w:rPr>
          <w:rFonts w:hint="eastAsia"/>
          <w:highlight w:val="none"/>
        </w:rPr>
      </w:pPr>
      <w:r>
        <w:rPr>
          <w:highlight w:val="none"/>
        </w:rPr>
        <w:t> </w:t>
      </w:r>
    </w:p>
    <w:p w14:paraId="3A75CC4A">
      <w:pPr>
        <w:pStyle w:val="35"/>
        <w:widowControl w:val="0"/>
        <w:spacing w:before="0" w:beforeAutospacing="0" w:after="0" w:afterAutospacing="0" w:line="480" w:lineRule="auto"/>
        <w:jc w:val="both"/>
        <w:rPr>
          <w:rFonts w:hint="eastAsia"/>
          <w:highlight w:val="none"/>
        </w:rPr>
      </w:pPr>
      <w:r>
        <w:rPr>
          <w:highlight w:val="none"/>
        </w:rPr>
        <w:t> </w:t>
      </w:r>
    </w:p>
    <w:p w14:paraId="38915D59">
      <w:pPr>
        <w:pStyle w:val="35"/>
        <w:widowControl w:val="0"/>
        <w:spacing w:before="0" w:beforeAutospacing="0" w:after="0" w:afterAutospacing="0"/>
        <w:jc w:val="center"/>
        <w:rPr>
          <w:rFonts w:hint="eastAsia"/>
          <w:highlight w:val="none"/>
        </w:rPr>
      </w:pPr>
      <w:bookmarkStart w:id="145" w:name="_Hlt26609389"/>
      <w:bookmarkStart w:id="146" w:name="_Toc462564146"/>
      <w:bookmarkStart w:id="147" w:name="_Hlt26671374"/>
      <w:bookmarkStart w:id="148" w:name="_Hlt26955066"/>
      <w:bookmarkStart w:id="149" w:name="_格式2__法定代表人授权书"/>
      <w:r>
        <w:rPr>
          <w:highlight w:val="none"/>
        </w:rPr>
        <w:t> </w:t>
      </w:r>
    </w:p>
    <w:p w14:paraId="59A9D3A8">
      <w:pPr>
        <w:pStyle w:val="35"/>
        <w:widowControl w:val="0"/>
        <w:spacing w:before="0" w:beforeAutospacing="0" w:after="0" w:afterAutospacing="0"/>
        <w:jc w:val="center"/>
        <w:rPr>
          <w:rFonts w:hint="eastAsia"/>
          <w:highlight w:val="none"/>
        </w:rPr>
      </w:pPr>
      <w:r>
        <w:rPr>
          <w:highlight w:val="none"/>
        </w:rPr>
        <w:t> </w:t>
      </w:r>
    </w:p>
    <w:p w14:paraId="6F4B5576">
      <w:pPr>
        <w:pStyle w:val="35"/>
        <w:widowControl w:val="0"/>
        <w:spacing w:before="0" w:beforeAutospacing="0" w:after="0" w:afterAutospacing="0"/>
        <w:jc w:val="center"/>
        <w:rPr>
          <w:rFonts w:hint="eastAsia"/>
          <w:highlight w:val="none"/>
        </w:rPr>
      </w:pPr>
      <w:r>
        <w:rPr>
          <w:highlight w:val="none"/>
        </w:rPr>
        <w:t> </w:t>
      </w:r>
    </w:p>
    <w:p w14:paraId="5092CB20">
      <w:pPr>
        <w:pStyle w:val="35"/>
        <w:widowControl w:val="0"/>
        <w:spacing w:before="0" w:beforeAutospacing="0" w:after="0" w:afterAutospacing="0"/>
        <w:jc w:val="center"/>
        <w:rPr>
          <w:rFonts w:hint="eastAsia"/>
          <w:highlight w:val="none"/>
        </w:rPr>
      </w:pPr>
      <w:r>
        <w:rPr>
          <w:highlight w:val="none"/>
        </w:rPr>
        <w:t> </w:t>
      </w:r>
    </w:p>
    <w:p w14:paraId="79D074C2">
      <w:pPr>
        <w:pStyle w:val="35"/>
        <w:widowControl w:val="0"/>
        <w:spacing w:before="0" w:beforeAutospacing="0" w:after="0" w:afterAutospacing="0"/>
        <w:jc w:val="center"/>
        <w:rPr>
          <w:rFonts w:hint="eastAsia"/>
          <w:highlight w:val="none"/>
        </w:rPr>
      </w:pPr>
      <w:r>
        <w:rPr>
          <w:highlight w:val="none"/>
        </w:rPr>
        <w:t> </w:t>
      </w:r>
    </w:p>
    <w:p w14:paraId="56F90B99">
      <w:pPr>
        <w:pStyle w:val="35"/>
        <w:widowControl w:val="0"/>
        <w:spacing w:before="0" w:beforeAutospacing="0" w:after="0" w:afterAutospacing="0"/>
        <w:jc w:val="center"/>
        <w:rPr>
          <w:rFonts w:hint="eastAsia"/>
          <w:highlight w:val="none"/>
        </w:rPr>
      </w:pPr>
      <w:r>
        <w:rPr>
          <w:highlight w:val="none"/>
        </w:rPr>
        <w:t> </w:t>
      </w:r>
    </w:p>
    <w:p w14:paraId="685997EE">
      <w:pPr>
        <w:pStyle w:val="35"/>
        <w:widowControl w:val="0"/>
        <w:spacing w:before="0" w:beforeAutospacing="0" w:after="0" w:afterAutospacing="0"/>
        <w:jc w:val="center"/>
        <w:rPr>
          <w:highlight w:val="none"/>
        </w:rPr>
      </w:pPr>
    </w:p>
    <w:p w14:paraId="786B271F">
      <w:pPr>
        <w:pStyle w:val="35"/>
        <w:widowControl w:val="0"/>
        <w:spacing w:before="0" w:beforeAutospacing="0" w:after="0" w:afterAutospacing="0"/>
        <w:jc w:val="center"/>
        <w:rPr>
          <w:highlight w:val="none"/>
        </w:rPr>
      </w:pPr>
    </w:p>
    <w:p w14:paraId="49373843">
      <w:pPr>
        <w:pStyle w:val="35"/>
        <w:widowControl w:val="0"/>
        <w:spacing w:before="0" w:beforeAutospacing="0" w:after="0" w:afterAutospacing="0"/>
        <w:jc w:val="center"/>
        <w:rPr>
          <w:highlight w:val="none"/>
        </w:rPr>
      </w:pPr>
    </w:p>
    <w:p w14:paraId="70CD0C5F">
      <w:pPr>
        <w:pStyle w:val="35"/>
        <w:widowControl w:val="0"/>
        <w:spacing w:before="0" w:beforeAutospacing="0" w:after="0" w:afterAutospacing="0"/>
        <w:jc w:val="center"/>
        <w:rPr>
          <w:highlight w:val="none"/>
        </w:rPr>
      </w:pPr>
    </w:p>
    <w:p w14:paraId="294F9203">
      <w:pPr>
        <w:pStyle w:val="4"/>
        <w:keepNext w:val="0"/>
        <w:keepLines w:val="0"/>
        <w:widowControl/>
        <w:suppressLineNumbers w:val="0"/>
        <w:jc w:val="center"/>
        <w:rPr>
          <w:rFonts w:hint="eastAsia" w:ascii="黑体" w:eastAsia="黑体" w:cs="黑体"/>
          <w:i/>
          <w:color w:val="auto"/>
          <w:sz w:val="32"/>
          <w:szCs w:val="32"/>
          <w:highlight w:val="none"/>
          <w:u w:val="single"/>
        </w:rPr>
      </w:pPr>
      <w:r>
        <w:rPr>
          <w:rFonts w:hint="eastAsia" w:ascii="黑体" w:hAnsi="宋体" w:eastAsia="黑体" w:cs="黑体"/>
          <w:b/>
          <w:i/>
          <w:color w:val="auto"/>
          <w:sz w:val="32"/>
          <w:szCs w:val="32"/>
          <w:highlight w:val="none"/>
          <w:u w:val="single"/>
        </w:rPr>
        <w:t>十</w:t>
      </w:r>
      <w:r>
        <w:rPr>
          <w:rFonts w:hint="eastAsia" w:ascii="黑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w:t>
      </w:r>
      <w:r>
        <w:rPr>
          <w:rFonts w:hint="eastAsia" w:ascii="黑体" w:eastAsia="黑体" w:cs="黑体"/>
          <w:i/>
          <w:color w:val="auto"/>
          <w:sz w:val="32"/>
          <w:szCs w:val="32"/>
          <w:highlight w:val="none"/>
          <w:u w:val="single"/>
        </w:rPr>
        <w:t>磋商报价表</w:t>
      </w:r>
    </w:p>
    <w:p w14:paraId="4B072FEA">
      <w:pPr>
        <w:pStyle w:val="35"/>
        <w:keepNext w:val="0"/>
        <w:keepLines w:val="0"/>
        <w:widowControl/>
        <w:suppressLineNumbers w:val="0"/>
        <w:rPr>
          <w:highlight w:val="none"/>
        </w:rPr>
      </w:pPr>
      <w:r>
        <w:rPr>
          <w:highlight w:val="none"/>
        </w:rPr>
        <w:t>货币单位：人民币元</w:t>
      </w:r>
    </w:p>
    <w:p w14:paraId="2F070BD6">
      <w:pPr>
        <w:pStyle w:val="35"/>
        <w:keepNext w:val="0"/>
        <w:keepLines w:val="0"/>
        <w:widowControl/>
        <w:suppressLineNumbers w:val="0"/>
        <w:rPr>
          <w:highlight w:val="none"/>
        </w:rPr>
      </w:pPr>
      <w:r>
        <w:rPr>
          <w:highlight w:val="none"/>
        </w:rPr>
        <w:t>项目编号：  </w:t>
      </w:r>
    </w:p>
    <w:tbl>
      <w:tblPr>
        <w:tblStyle w:val="40"/>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709"/>
        <w:gridCol w:w="2706"/>
        <w:gridCol w:w="4029"/>
      </w:tblGrid>
      <w:tr w14:paraId="08E22D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2664" w:type="dxa"/>
            <w:shd w:val="clear" w:color="auto" w:fill="auto"/>
            <w:vAlign w:val="center"/>
          </w:tcPr>
          <w:p w14:paraId="10D0BD77">
            <w:pPr>
              <w:pStyle w:val="35"/>
              <w:keepNext w:val="0"/>
              <w:keepLines w:val="0"/>
              <w:widowControl/>
              <w:suppressLineNumbers w:val="0"/>
              <w:rPr>
                <w:highlight w:val="none"/>
              </w:rPr>
            </w:pPr>
            <w:r>
              <w:rPr>
                <w:highlight w:val="none"/>
              </w:rPr>
              <w:t>项目名称</w:t>
            </w:r>
          </w:p>
        </w:tc>
        <w:tc>
          <w:tcPr>
            <w:tcW w:w="2676" w:type="dxa"/>
            <w:shd w:val="clear" w:color="auto" w:fill="auto"/>
            <w:vAlign w:val="center"/>
          </w:tcPr>
          <w:p w14:paraId="7326BEF5">
            <w:pPr>
              <w:pStyle w:val="35"/>
              <w:keepNext w:val="0"/>
              <w:keepLines w:val="0"/>
              <w:widowControl/>
              <w:suppressLineNumbers w:val="0"/>
              <w:rPr>
                <w:highlight w:val="none"/>
              </w:rPr>
            </w:pPr>
            <w:r>
              <w:rPr>
                <w:highlight w:val="none"/>
              </w:rPr>
              <w:t>项目内容</w:t>
            </w:r>
          </w:p>
        </w:tc>
        <w:tc>
          <w:tcPr>
            <w:tcW w:w="3984" w:type="dxa"/>
            <w:shd w:val="clear" w:color="auto" w:fill="auto"/>
            <w:vAlign w:val="center"/>
          </w:tcPr>
          <w:p w14:paraId="2BE9C0F9">
            <w:pPr>
              <w:pStyle w:val="35"/>
              <w:keepNext w:val="0"/>
              <w:keepLines w:val="0"/>
              <w:widowControl/>
              <w:suppressLineNumbers w:val="0"/>
              <w:rPr>
                <w:highlight w:val="none"/>
              </w:rPr>
            </w:pPr>
            <w:r>
              <w:rPr>
                <w:highlight w:val="none"/>
              </w:rPr>
              <w:t>总价（小写）</w:t>
            </w:r>
          </w:p>
        </w:tc>
      </w:tr>
      <w:tr w14:paraId="0FE807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664" w:type="dxa"/>
            <w:shd w:val="clear" w:color="auto" w:fill="auto"/>
            <w:vAlign w:val="center"/>
          </w:tcPr>
          <w:p w14:paraId="763E6774">
            <w:pPr>
              <w:pStyle w:val="35"/>
              <w:keepNext w:val="0"/>
              <w:keepLines w:val="0"/>
              <w:widowControl/>
              <w:suppressLineNumbers w:val="0"/>
              <w:rPr>
                <w:highlight w:val="none"/>
              </w:rPr>
            </w:pPr>
            <w:r>
              <w:rPr>
                <w:rFonts w:hint="eastAsia"/>
                <w:highlight w:val="none"/>
                <w:lang w:eastAsia="zh-CN"/>
              </w:rPr>
              <w:t>盐城亭湖新区实验小学操场维修改造项目</w:t>
            </w:r>
            <w:r>
              <w:rPr>
                <w:highlight w:val="none"/>
              </w:rPr>
              <w:t> </w:t>
            </w:r>
          </w:p>
        </w:tc>
        <w:tc>
          <w:tcPr>
            <w:tcW w:w="2676" w:type="dxa"/>
            <w:shd w:val="clear" w:color="auto" w:fill="auto"/>
            <w:vAlign w:val="center"/>
          </w:tcPr>
          <w:p w14:paraId="0FF12C6C">
            <w:pPr>
              <w:pStyle w:val="35"/>
              <w:keepNext w:val="0"/>
              <w:keepLines w:val="0"/>
              <w:widowControl/>
              <w:suppressLineNumbers w:val="0"/>
              <w:rPr>
                <w:highlight w:val="none"/>
              </w:rPr>
            </w:pPr>
            <w:r>
              <w:rPr>
                <w:highlight w:val="none"/>
              </w:rPr>
              <w:t>详见响应文件</w:t>
            </w:r>
          </w:p>
        </w:tc>
        <w:tc>
          <w:tcPr>
            <w:tcW w:w="3984" w:type="dxa"/>
            <w:shd w:val="clear" w:color="auto" w:fill="auto"/>
            <w:vAlign w:val="center"/>
          </w:tcPr>
          <w:p w14:paraId="548208EC">
            <w:pPr>
              <w:pStyle w:val="35"/>
              <w:keepNext w:val="0"/>
              <w:keepLines w:val="0"/>
              <w:widowControl/>
              <w:suppressLineNumbers w:val="0"/>
              <w:rPr>
                <w:highlight w:val="none"/>
              </w:rPr>
            </w:pPr>
            <w:r>
              <w:rPr>
                <w:highlight w:val="none"/>
              </w:rPr>
              <w:t> </w:t>
            </w:r>
            <w:r>
              <w:rPr>
                <w:highlight w:val="none"/>
              </w:rPr>
              <w:pict>
                <v:shape id="_x0000_i1025" o:spt="201" type="#_x0000_t201" style="height:0pt;width:0.05pt;" filled="f" coordsize="21600,21600">
                  <v:path/>
                  <v:fill on="f" focussize="0,0"/>
                  <v:stroke/>
                  <v:imagedata o:title=""/>
                  <o:lock v:ext="edit" aspectratio="t"/>
                  <w10:wrap type="none"/>
                  <w10:anchorlock/>
                </v:shape>
              </w:pict>
            </w:r>
            <w:r>
              <w:rPr>
                <w:highlight w:val="none"/>
              </w:rPr>
              <w:t> 元</w:t>
            </w:r>
          </w:p>
        </w:tc>
      </w:tr>
      <w:tr w14:paraId="1B968D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664" w:type="dxa"/>
            <w:shd w:val="clear" w:color="auto" w:fill="auto"/>
            <w:vAlign w:val="center"/>
          </w:tcPr>
          <w:p w14:paraId="1C827A7C">
            <w:pPr>
              <w:pStyle w:val="35"/>
              <w:keepNext w:val="0"/>
              <w:keepLines w:val="0"/>
              <w:widowControl/>
              <w:suppressLineNumbers w:val="0"/>
              <w:rPr>
                <w:highlight w:val="none"/>
              </w:rPr>
            </w:pPr>
            <w:r>
              <w:rPr>
                <w:highlight w:val="none"/>
              </w:rPr>
              <w:t>总价（大写）：</w:t>
            </w:r>
          </w:p>
        </w:tc>
        <w:tc>
          <w:tcPr>
            <w:tcW w:w="6672" w:type="dxa"/>
            <w:gridSpan w:val="2"/>
            <w:shd w:val="clear" w:color="auto" w:fill="auto"/>
            <w:vAlign w:val="center"/>
          </w:tcPr>
          <w:p w14:paraId="1C43776C">
            <w:pPr>
              <w:pStyle w:val="35"/>
              <w:keepNext w:val="0"/>
              <w:keepLines w:val="0"/>
              <w:widowControl/>
              <w:suppressLineNumbers w:val="0"/>
              <w:rPr>
                <w:highlight w:val="none"/>
              </w:rPr>
            </w:pPr>
            <w:r>
              <w:rPr>
                <w:highlight w:val="none"/>
              </w:rPr>
              <w:t> 金额大写 </w:t>
            </w:r>
          </w:p>
        </w:tc>
      </w:tr>
    </w:tbl>
    <w:p w14:paraId="471BA912">
      <w:pPr>
        <w:pStyle w:val="35"/>
        <w:keepNext w:val="0"/>
        <w:keepLines w:val="0"/>
        <w:widowControl/>
        <w:suppressLineNumbers w:val="0"/>
        <w:rPr>
          <w:highlight w:val="none"/>
        </w:rPr>
      </w:pPr>
      <w:r>
        <w:rPr>
          <w:highlight w:val="none"/>
        </w:rPr>
        <w:t> </w:t>
      </w:r>
    </w:p>
    <w:p w14:paraId="19D1AADA">
      <w:pPr>
        <w:pStyle w:val="35"/>
        <w:keepNext w:val="0"/>
        <w:keepLines w:val="0"/>
        <w:widowControl/>
        <w:suppressLineNumbers w:val="0"/>
        <w:rPr>
          <w:highlight w:val="none"/>
        </w:rPr>
      </w:pPr>
      <w:r>
        <w:rPr>
          <w:highlight w:val="none"/>
        </w:rPr>
        <w:t>供应商（电子签章）：</w:t>
      </w:r>
    </w:p>
    <w:p w14:paraId="5409449E">
      <w:pPr>
        <w:pStyle w:val="35"/>
        <w:keepNext w:val="0"/>
        <w:keepLines w:val="0"/>
        <w:widowControl/>
        <w:suppressLineNumbers w:val="0"/>
        <w:jc w:val="right"/>
        <w:rPr>
          <w:highlight w:val="none"/>
        </w:rPr>
      </w:pPr>
      <w:r>
        <w:rPr>
          <w:highlight w:val="none"/>
        </w:rPr>
        <w:t>日期：</w:t>
      </w:r>
      <w:r>
        <w:rPr>
          <w:highlight w:val="none"/>
        </w:rPr>
        <w:pict>
          <v:shape id="_x0000_i1026" o:spt="201" type="#_x0000_t201" style="height:0pt;width:0.05pt;" filled="f" coordsize="21600,21600">
            <v:path/>
            <v:fill on="f" focussize="0,0"/>
            <v:stroke/>
            <v:imagedata o:title=""/>
            <o:lock v:ext="edit" aspectratio="t"/>
            <w10:wrap type="none"/>
            <w10:anchorlock/>
          </v:shape>
        </w:pict>
      </w:r>
      <w:r>
        <w:rPr>
          <w:highlight w:val="none"/>
        </w:rPr>
        <w:t> 年</w:t>
      </w:r>
      <w:r>
        <w:rPr>
          <w:highlight w:val="none"/>
        </w:rPr>
        <w:pict>
          <v:shape id="_x0000_i1027" o:spt="201" type="#_x0000_t201" style="height:0pt;width:0.05pt;" filled="f" coordsize="21600,21600">
            <v:path/>
            <v:fill on="f" focussize="0,0"/>
            <v:stroke/>
            <v:imagedata o:title=""/>
            <o:lock v:ext="edit" aspectratio="t"/>
            <w10:wrap type="none"/>
            <w10:anchorlock/>
          </v:shape>
        </w:pict>
      </w:r>
      <w:r>
        <w:rPr>
          <w:highlight w:val="none"/>
        </w:rPr>
        <w:t> 月</w:t>
      </w:r>
      <w:r>
        <w:rPr>
          <w:highlight w:val="none"/>
        </w:rPr>
        <w:pict>
          <v:shape id="_x0000_i1028" o:spt="201" type="#_x0000_t201" style="height:0pt;width:0.05pt;" filled="f" coordsize="21600,21600">
            <v:path/>
            <v:fill on="f" focussize="0,0"/>
            <v:stroke/>
            <v:imagedata o:title=""/>
            <o:lock v:ext="edit" aspectratio="t"/>
            <w10:wrap type="none"/>
            <w10:anchorlock/>
          </v:shape>
        </w:pict>
      </w:r>
      <w:r>
        <w:rPr>
          <w:highlight w:val="none"/>
        </w:rPr>
        <w:t> 日</w:t>
      </w:r>
    </w:p>
    <w:p w14:paraId="38D9CF56">
      <w:pPr>
        <w:pStyle w:val="35"/>
        <w:keepNext w:val="0"/>
        <w:keepLines w:val="0"/>
        <w:widowControl/>
        <w:suppressLineNumbers w:val="0"/>
        <w:rPr>
          <w:highlight w:val="none"/>
        </w:rPr>
      </w:pPr>
      <w:r>
        <w:rPr>
          <w:highlight w:val="none"/>
        </w:rPr>
        <w:t> </w:t>
      </w:r>
    </w:p>
    <w:p w14:paraId="15F53820">
      <w:pPr>
        <w:pStyle w:val="35"/>
        <w:spacing w:beforeAutospacing="0" w:afterAutospacing="0"/>
        <w:ind w:firstLine="480"/>
        <w:jc w:val="both"/>
        <w:rPr>
          <w:color w:val="auto"/>
          <w:highlight w:val="none"/>
        </w:rPr>
      </w:pPr>
    </w:p>
    <w:p w14:paraId="5AB03C6A">
      <w:pPr>
        <w:pStyle w:val="35"/>
        <w:widowControl w:val="0"/>
        <w:spacing w:before="0" w:beforeAutospacing="0" w:after="0" w:afterAutospacing="0"/>
        <w:jc w:val="center"/>
        <w:rPr>
          <w:rFonts w:hint="eastAsia"/>
          <w:highlight w:val="none"/>
        </w:rPr>
      </w:pPr>
      <w:r>
        <w:rPr>
          <w:highlight w:val="none"/>
        </w:rPr>
        <w:t> </w:t>
      </w:r>
    </w:p>
    <w:p w14:paraId="1E51AA63">
      <w:pPr>
        <w:pStyle w:val="35"/>
        <w:widowControl w:val="0"/>
        <w:spacing w:before="0" w:beforeAutospacing="0" w:after="0" w:afterAutospacing="0"/>
        <w:jc w:val="both"/>
        <w:rPr>
          <w:rFonts w:hint="eastAsia"/>
          <w:highlight w:val="none"/>
        </w:rPr>
      </w:pPr>
      <w:r>
        <w:rPr>
          <w:highlight w:val="none"/>
        </w:rPr>
        <w:t> </w:t>
      </w:r>
    </w:p>
    <w:p w14:paraId="3DF4769D">
      <w:pPr>
        <w:pStyle w:val="2"/>
        <w:ind w:firstLine="551"/>
        <w:rPr>
          <w:rFonts w:hint="eastAsia" w:ascii="黑体" w:hAnsi="宋体" w:eastAsia="黑体" w:cs="黑体"/>
          <w:b/>
          <w:color w:val="000000"/>
          <w:sz w:val="32"/>
          <w:szCs w:val="32"/>
          <w:highlight w:val="none"/>
        </w:rPr>
      </w:pPr>
      <w:r>
        <w:rPr>
          <w:rFonts w:hint="eastAsia" w:ascii="宋体" w:hAnsi="宋体" w:cs="宋体"/>
          <w:b/>
          <w:color w:val="000000"/>
          <w:sz w:val="32"/>
          <w:szCs w:val="32"/>
          <w:highlight w:val="none"/>
        </w:rPr>
        <w:br w:type="page" w:clear="all"/>
      </w:r>
    </w:p>
    <w:p w14:paraId="5CD32EF6">
      <w:pPr>
        <w:widowControl/>
        <w:spacing w:before="50" w:after="50"/>
        <w:jc w:val="center"/>
        <w:rPr>
          <w:rFonts w:hint="eastAsia" w:ascii="宋体" w:hAnsi="宋体" w:cs="宋体"/>
          <w:sz w:val="24"/>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五</w:t>
      </w:r>
      <w:r>
        <w:rPr>
          <w:rFonts w:hint="eastAsia" w:ascii="黑体" w:hAnsi="宋体" w:eastAsia="黑体" w:cs="黑体"/>
          <w:b/>
          <w:color w:val="000000"/>
          <w:sz w:val="32"/>
          <w:szCs w:val="32"/>
          <w:highlight w:val="none"/>
        </w:rPr>
        <w:t>、实施方案</w:t>
      </w:r>
    </w:p>
    <w:p w14:paraId="3EB9F765">
      <w:pPr>
        <w:pStyle w:val="35"/>
        <w:tabs>
          <w:tab w:val="left" w:pos="2160"/>
        </w:tabs>
        <w:spacing w:beforeAutospacing="0" w:afterAutospacing="0"/>
        <w:jc w:val="both"/>
        <w:rPr>
          <w:rFonts w:hint="eastAsia"/>
          <w:highlight w:val="none"/>
        </w:rPr>
      </w:pPr>
    </w:p>
    <w:p w14:paraId="5C4B658B">
      <w:pPr>
        <w:widowControl/>
        <w:spacing w:line="499" w:lineRule="atLeast"/>
        <w:ind w:firstLine="1600"/>
        <w:rPr>
          <w:rFonts w:hint="eastAsia" w:ascii="宋体" w:hAnsi="宋体" w:cs="宋体"/>
          <w:color w:val="000000"/>
          <w:sz w:val="32"/>
          <w:szCs w:val="32"/>
          <w:highlight w:val="none"/>
        </w:rPr>
      </w:pPr>
    </w:p>
    <w:p w14:paraId="686810A9">
      <w:pPr>
        <w:widowControl/>
        <w:spacing w:line="499" w:lineRule="atLeast"/>
        <w:ind w:firstLine="1600"/>
        <w:rPr>
          <w:rFonts w:hint="eastAsia" w:ascii="宋体" w:hAnsi="宋体" w:cs="宋体"/>
          <w:color w:val="000000"/>
          <w:sz w:val="32"/>
          <w:szCs w:val="32"/>
          <w:highlight w:val="none"/>
        </w:rPr>
      </w:pPr>
    </w:p>
    <w:p w14:paraId="1D5100FF">
      <w:pPr>
        <w:widowControl/>
        <w:spacing w:line="499" w:lineRule="atLeast"/>
        <w:ind w:firstLine="1600"/>
        <w:rPr>
          <w:rFonts w:hint="eastAsia" w:ascii="宋体" w:hAnsi="宋体" w:cs="宋体"/>
          <w:color w:val="000000"/>
          <w:sz w:val="32"/>
          <w:szCs w:val="32"/>
          <w:highlight w:val="none"/>
        </w:rPr>
      </w:pPr>
    </w:p>
    <w:p w14:paraId="569EC1A2">
      <w:pPr>
        <w:widowControl/>
        <w:spacing w:line="499" w:lineRule="atLeast"/>
        <w:ind w:firstLine="1600"/>
        <w:rPr>
          <w:rFonts w:hint="eastAsia" w:ascii="宋体" w:hAnsi="宋体" w:cs="宋体"/>
          <w:color w:val="000000"/>
          <w:sz w:val="32"/>
          <w:szCs w:val="32"/>
          <w:highlight w:val="none"/>
        </w:rPr>
      </w:pPr>
    </w:p>
    <w:p w14:paraId="3CF272A6">
      <w:pPr>
        <w:widowControl/>
        <w:spacing w:line="499" w:lineRule="atLeast"/>
        <w:ind w:firstLine="1600"/>
        <w:rPr>
          <w:rFonts w:hint="eastAsia" w:ascii="宋体" w:hAnsi="宋体" w:cs="宋体"/>
          <w:color w:val="000000"/>
          <w:sz w:val="32"/>
          <w:szCs w:val="32"/>
          <w:highlight w:val="none"/>
        </w:rPr>
      </w:pPr>
    </w:p>
    <w:p w14:paraId="28F2399A">
      <w:pPr>
        <w:widowControl/>
        <w:spacing w:line="499" w:lineRule="atLeast"/>
        <w:ind w:firstLine="1600"/>
        <w:rPr>
          <w:rFonts w:hint="eastAsia" w:ascii="宋体" w:hAnsi="宋体" w:cs="宋体"/>
          <w:color w:val="000000"/>
          <w:sz w:val="32"/>
          <w:szCs w:val="32"/>
          <w:highlight w:val="none"/>
        </w:rPr>
      </w:pPr>
    </w:p>
    <w:p w14:paraId="466D7B15">
      <w:pPr>
        <w:widowControl/>
        <w:spacing w:line="499" w:lineRule="atLeast"/>
        <w:ind w:firstLine="1600"/>
        <w:rPr>
          <w:rFonts w:hint="eastAsia" w:ascii="宋体" w:hAnsi="宋体" w:cs="宋体"/>
          <w:color w:val="000000"/>
          <w:sz w:val="32"/>
          <w:szCs w:val="32"/>
          <w:highlight w:val="none"/>
        </w:rPr>
      </w:pPr>
    </w:p>
    <w:p w14:paraId="67D5743C">
      <w:pPr>
        <w:widowControl/>
        <w:spacing w:line="499" w:lineRule="atLeast"/>
        <w:ind w:firstLine="1600"/>
        <w:rPr>
          <w:rFonts w:hint="eastAsia" w:ascii="宋体" w:hAnsi="宋体" w:cs="宋体"/>
          <w:color w:val="000000"/>
          <w:sz w:val="32"/>
          <w:szCs w:val="32"/>
          <w:highlight w:val="none"/>
        </w:rPr>
      </w:pPr>
    </w:p>
    <w:p w14:paraId="2D8C0662">
      <w:pPr>
        <w:widowControl/>
        <w:spacing w:line="499" w:lineRule="atLeast"/>
        <w:ind w:firstLine="1600"/>
        <w:rPr>
          <w:rFonts w:hint="eastAsia" w:ascii="宋体" w:hAnsi="宋体" w:cs="宋体"/>
          <w:color w:val="000000"/>
          <w:sz w:val="32"/>
          <w:szCs w:val="32"/>
          <w:highlight w:val="none"/>
        </w:rPr>
      </w:pPr>
    </w:p>
    <w:p w14:paraId="358A1387">
      <w:pPr>
        <w:widowControl/>
        <w:spacing w:line="499" w:lineRule="atLeast"/>
        <w:ind w:firstLine="1600"/>
        <w:rPr>
          <w:rFonts w:hint="eastAsia" w:ascii="宋体" w:hAnsi="宋体" w:cs="宋体"/>
          <w:color w:val="000000"/>
          <w:sz w:val="32"/>
          <w:szCs w:val="32"/>
          <w:highlight w:val="none"/>
        </w:rPr>
      </w:pPr>
    </w:p>
    <w:p w14:paraId="7CEDD5AB">
      <w:pPr>
        <w:widowControl/>
        <w:spacing w:line="499" w:lineRule="atLeast"/>
        <w:ind w:firstLine="1600"/>
        <w:rPr>
          <w:rFonts w:hint="eastAsia" w:ascii="宋体" w:hAnsi="宋体" w:cs="宋体"/>
          <w:color w:val="000000"/>
          <w:sz w:val="32"/>
          <w:szCs w:val="32"/>
          <w:highlight w:val="none"/>
        </w:rPr>
      </w:pPr>
    </w:p>
    <w:p w14:paraId="1848B9C5">
      <w:pPr>
        <w:widowControl/>
        <w:spacing w:line="499" w:lineRule="atLeast"/>
        <w:ind w:firstLine="1600"/>
        <w:rPr>
          <w:rFonts w:hint="eastAsia" w:ascii="宋体" w:hAnsi="宋体" w:cs="宋体"/>
          <w:color w:val="000000"/>
          <w:sz w:val="32"/>
          <w:szCs w:val="32"/>
          <w:highlight w:val="none"/>
        </w:rPr>
      </w:pPr>
    </w:p>
    <w:p w14:paraId="05909496">
      <w:pPr>
        <w:widowControl/>
        <w:spacing w:line="499" w:lineRule="atLeast"/>
        <w:ind w:firstLine="1600"/>
        <w:rPr>
          <w:rFonts w:hint="eastAsia" w:ascii="宋体" w:hAnsi="宋体" w:cs="宋体"/>
          <w:color w:val="000000"/>
          <w:sz w:val="32"/>
          <w:szCs w:val="32"/>
          <w:highlight w:val="none"/>
        </w:rPr>
      </w:pPr>
    </w:p>
    <w:p w14:paraId="345AEF7A">
      <w:pPr>
        <w:widowControl/>
        <w:spacing w:line="499" w:lineRule="atLeast"/>
        <w:ind w:firstLine="1600"/>
        <w:rPr>
          <w:rFonts w:hint="eastAsia" w:ascii="宋体" w:hAnsi="宋体" w:cs="宋体"/>
          <w:color w:val="000000"/>
          <w:sz w:val="32"/>
          <w:szCs w:val="32"/>
          <w:highlight w:val="none"/>
        </w:rPr>
      </w:pPr>
    </w:p>
    <w:p w14:paraId="7983C80B">
      <w:pPr>
        <w:widowControl/>
        <w:spacing w:line="499" w:lineRule="atLeast"/>
        <w:ind w:firstLine="1600"/>
        <w:rPr>
          <w:rFonts w:hint="eastAsia" w:ascii="宋体" w:hAnsi="宋体" w:cs="宋体"/>
          <w:color w:val="000000"/>
          <w:sz w:val="32"/>
          <w:szCs w:val="32"/>
          <w:highlight w:val="none"/>
        </w:rPr>
      </w:pPr>
    </w:p>
    <w:p w14:paraId="599A0C15">
      <w:pPr>
        <w:widowControl/>
        <w:spacing w:line="499" w:lineRule="atLeast"/>
        <w:ind w:firstLine="1600"/>
        <w:rPr>
          <w:rFonts w:hint="eastAsia" w:ascii="宋体" w:hAnsi="宋体" w:cs="宋体"/>
          <w:color w:val="000000"/>
          <w:sz w:val="32"/>
          <w:szCs w:val="32"/>
          <w:highlight w:val="none"/>
        </w:rPr>
      </w:pPr>
    </w:p>
    <w:p w14:paraId="4ABC068C">
      <w:pPr>
        <w:widowControl/>
        <w:spacing w:line="499" w:lineRule="atLeast"/>
        <w:ind w:firstLine="1600"/>
        <w:rPr>
          <w:rFonts w:hint="eastAsia" w:ascii="宋体" w:hAnsi="宋体" w:cs="宋体"/>
          <w:color w:val="000000"/>
          <w:sz w:val="32"/>
          <w:szCs w:val="32"/>
          <w:highlight w:val="none"/>
        </w:rPr>
      </w:pPr>
    </w:p>
    <w:p w14:paraId="2B81B6DD">
      <w:pPr>
        <w:widowControl/>
        <w:spacing w:line="499" w:lineRule="atLeast"/>
        <w:ind w:firstLine="1600"/>
        <w:rPr>
          <w:rFonts w:hint="eastAsia" w:ascii="宋体" w:hAnsi="宋体" w:cs="宋体"/>
          <w:color w:val="000000"/>
          <w:sz w:val="32"/>
          <w:szCs w:val="32"/>
          <w:highlight w:val="none"/>
        </w:rPr>
      </w:pPr>
    </w:p>
    <w:p w14:paraId="5CDC91F6">
      <w:pPr>
        <w:widowControl/>
        <w:spacing w:line="499" w:lineRule="atLeast"/>
        <w:ind w:firstLine="1600"/>
        <w:rPr>
          <w:rFonts w:hint="eastAsia" w:ascii="宋体" w:hAnsi="宋体" w:cs="宋体"/>
          <w:color w:val="000000"/>
          <w:sz w:val="32"/>
          <w:szCs w:val="32"/>
          <w:highlight w:val="none"/>
        </w:rPr>
      </w:pPr>
    </w:p>
    <w:p w14:paraId="09A3C37C">
      <w:pPr>
        <w:widowControl/>
        <w:spacing w:line="499" w:lineRule="atLeast"/>
        <w:ind w:firstLine="1600"/>
        <w:rPr>
          <w:rFonts w:hint="eastAsia" w:ascii="宋体" w:hAnsi="宋体" w:cs="宋体"/>
          <w:color w:val="000000"/>
          <w:sz w:val="32"/>
          <w:szCs w:val="32"/>
          <w:highlight w:val="none"/>
        </w:rPr>
      </w:pPr>
    </w:p>
    <w:p w14:paraId="77E5DE5F">
      <w:pPr>
        <w:widowControl/>
        <w:spacing w:line="499" w:lineRule="atLeast"/>
        <w:ind w:firstLine="1600"/>
        <w:rPr>
          <w:rFonts w:hint="eastAsia" w:ascii="宋体" w:hAnsi="宋体" w:cs="宋体"/>
          <w:color w:val="000000"/>
          <w:sz w:val="32"/>
          <w:szCs w:val="32"/>
          <w:highlight w:val="none"/>
        </w:rPr>
      </w:pPr>
    </w:p>
    <w:p w14:paraId="08932772">
      <w:pPr>
        <w:widowControl/>
        <w:spacing w:line="499" w:lineRule="atLeast"/>
        <w:rPr>
          <w:rFonts w:hint="eastAsia" w:ascii="宋体" w:hAnsi="宋体" w:cs="宋体"/>
          <w:color w:val="000000"/>
          <w:sz w:val="32"/>
          <w:szCs w:val="32"/>
          <w:highlight w:val="none"/>
        </w:rPr>
      </w:pPr>
    </w:p>
    <w:p w14:paraId="2C037A70">
      <w:pPr>
        <w:widowControl/>
        <w:spacing w:line="499" w:lineRule="atLeast"/>
        <w:ind w:firstLine="1600"/>
        <w:rPr>
          <w:rFonts w:hint="eastAsia" w:ascii="宋体" w:hAnsi="宋体" w:cs="宋体"/>
          <w:color w:val="000000"/>
          <w:sz w:val="32"/>
          <w:szCs w:val="32"/>
          <w:highlight w:val="none"/>
        </w:rPr>
      </w:pPr>
    </w:p>
    <w:p w14:paraId="455ECC8E">
      <w:pPr>
        <w:widowControl/>
        <w:spacing w:line="499" w:lineRule="atLeast"/>
        <w:ind w:firstLine="1600"/>
        <w:rPr>
          <w:rFonts w:hint="eastAsia" w:ascii="黑体" w:hAnsi="宋体" w:eastAsia="黑体" w:cs="黑体"/>
          <w:b/>
          <w:color w:val="000000"/>
          <w:sz w:val="32"/>
          <w:szCs w:val="32"/>
          <w:highlight w:val="none"/>
        </w:rPr>
        <w:sectPr>
          <w:footerReference r:id="rId15" w:type="default"/>
          <w:pgSz w:w="11906" w:h="16838"/>
          <w:pgMar w:top="1015" w:right="1196" w:bottom="868" w:left="1259" w:header="851" w:footer="907" w:gutter="0"/>
          <w:pgNumType w:fmt="decimal"/>
          <w:cols w:space="720" w:num="1"/>
          <w:docGrid w:type="lines" w:linePitch="286" w:charSpace="0"/>
        </w:sectPr>
      </w:pPr>
    </w:p>
    <w:p w14:paraId="4DCE0D6E">
      <w:pPr>
        <w:widowControl/>
        <w:spacing w:line="499" w:lineRule="atLeast"/>
        <w:ind w:firstLine="160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六</w:t>
      </w:r>
      <w:r>
        <w:rPr>
          <w:rFonts w:hint="eastAsia" w:ascii="黑体" w:hAnsi="宋体" w:eastAsia="黑体" w:cs="黑体"/>
          <w:b/>
          <w:color w:val="000000"/>
          <w:sz w:val="32"/>
          <w:szCs w:val="32"/>
          <w:highlight w:val="none"/>
        </w:rPr>
        <w:t>、盐城市政府采购事前信用承诺书</w:t>
      </w:r>
    </w:p>
    <w:p w14:paraId="0ADA0A02">
      <w:pPr>
        <w:widowControl/>
        <w:spacing w:line="499" w:lineRule="atLeast"/>
        <w:jc w:val="left"/>
        <w:rPr>
          <w:rFonts w:hint="eastAsia" w:ascii="宋体" w:hAnsi="宋体" w:cs="宋体"/>
          <w:sz w:val="24"/>
          <w:highlight w:val="none"/>
        </w:rPr>
      </w:pPr>
    </w:p>
    <w:p w14:paraId="3DB01654">
      <w:pPr>
        <w:widowControl/>
        <w:spacing w:line="499" w:lineRule="atLeast"/>
        <w:ind w:firstLine="480"/>
        <w:jc w:val="left"/>
        <w:rPr>
          <w:rFonts w:hint="eastAsia" w:ascii="宋体" w:hAnsi="宋体" w:cs="宋体"/>
          <w:sz w:val="24"/>
          <w:highlight w:val="none"/>
        </w:rPr>
      </w:pPr>
      <w:r>
        <w:rPr>
          <w:rFonts w:hint="eastAsia" w:ascii="宋体" w:hAnsi="宋体" w:cs="宋体"/>
          <w:color w:val="000000"/>
          <w:sz w:val="24"/>
          <w:highlight w:val="none"/>
        </w:rPr>
        <w:t>为营造我市公开、公平、公正、诚实守信的政府采购交易环境，树立诚信守法的投标人形象，本人代表本单位作出以下承诺：</w:t>
      </w:r>
    </w:p>
    <w:p w14:paraId="5D9378BA">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218355B">
      <w:pPr>
        <w:widowControl/>
        <w:spacing w:line="499" w:lineRule="atLeast"/>
        <w:ind w:firstLine="480"/>
        <w:jc w:val="left"/>
        <w:rPr>
          <w:rFonts w:hint="eastAsia" w:ascii="宋体" w:hAnsi="宋体" w:cs="宋体"/>
          <w:sz w:val="24"/>
          <w:highlight w:val="none"/>
        </w:rPr>
      </w:pPr>
      <w:r>
        <w:rPr>
          <w:rFonts w:hint="eastAsia" w:ascii="宋体" w:hAnsi="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44E850A">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 </w:t>
      </w:r>
    </w:p>
    <w:p w14:paraId="5D348005">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（四）严格遵守即时信息公示规定，及时维护和更新维护和更新盐城市政府采购网中与本单位相关的信息；</w:t>
      </w:r>
    </w:p>
    <w:p w14:paraId="42EDAA03">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B0EA024">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（六）自觉接受政府、行业组织、社会公众、新闻的监督；</w:t>
      </w:r>
    </w:p>
    <w:p w14:paraId="6A94878B">
      <w:pPr>
        <w:widowControl/>
        <w:spacing w:line="499" w:lineRule="atLeast"/>
        <w:ind w:firstLine="480"/>
        <w:jc w:val="left"/>
        <w:rPr>
          <w:rFonts w:hint="eastAsia" w:ascii="宋体" w:hAnsi="宋体" w:cs="宋体"/>
          <w:sz w:val="24"/>
          <w:highlight w:val="none"/>
        </w:rPr>
      </w:pPr>
      <w:r>
        <w:rPr>
          <w:rFonts w:hint="eastAsia" w:ascii="宋体" w:hAnsi="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8D079E1">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（八）本人已认真阅读了上述承诺，并向本单位员工作了宣传教育。</w:t>
      </w:r>
    </w:p>
    <w:p w14:paraId="6C21C5C3">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法定代表人签名：</w:t>
      </w:r>
    </w:p>
    <w:p w14:paraId="0FE25DEE">
      <w:pPr>
        <w:widowControl/>
        <w:spacing w:line="499" w:lineRule="atLeast"/>
        <w:ind w:firstLine="3804" w:firstLineChars="1585"/>
        <w:rPr>
          <w:rFonts w:hint="eastAsia" w:ascii="宋体" w:hAnsi="宋体" w:cs="宋体"/>
          <w:sz w:val="24"/>
          <w:highlight w:val="none"/>
        </w:rPr>
      </w:pPr>
      <w:r>
        <w:rPr>
          <w:rFonts w:hint="eastAsia" w:ascii="宋体" w:hAnsi="宋体" w:cs="宋体"/>
          <w:color w:val="000000"/>
          <w:sz w:val="24"/>
          <w:highlight w:val="none"/>
        </w:rPr>
        <w:t>单位名称（盖章）：</w:t>
      </w:r>
    </w:p>
    <w:p w14:paraId="37097815">
      <w:pPr>
        <w:widowControl/>
        <w:spacing w:line="499" w:lineRule="atLeast"/>
        <w:jc w:val="center"/>
        <w:rPr>
          <w:rFonts w:hint="eastAsia" w:ascii="宋体" w:hAnsi="宋体" w:cs="宋体"/>
          <w:sz w:val="24"/>
          <w:highlight w:val="none"/>
        </w:rPr>
      </w:pPr>
      <w:r>
        <w:rPr>
          <w:rFonts w:hint="eastAsia" w:ascii="宋体" w:hAnsi="宋体" w:cs="宋体"/>
          <w:color w:val="000000"/>
          <w:sz w:val="24"/>
          <w:highlight w:val="none"/>
        </w:rPr>
        <w:t>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日期：     年  月  日</w:t>
      </w:r>
    </w:p>
    <w:bookmarkEnd w:id="141"/>
    <w:bookmarkEnd w:id="142"/>
    <w:bookmarkEnd w:id="143"/>
    <w:bookmarkEnd w:id="144"/>
    <w:bookmarkEnd w:id="145"/>
    <w:bookmarkEnd w:id="146"/>
    <w:bookmarkEnd w:id="147"/>
    <w:bookmarkEnd w:id="148"/>
    <w:bookmarkEnd w:id="149"/>
    <w:p w14:paraId="1705BE69">
      <w:pPr>
        <w:pStyle w:val="35"/>
        <w:spacing w:beforeAutospacing="0" w:afterAutospacing="0"/>
        <w:jc w:val="center"/>
        <w:rPr>
          <w:rFonts w:hint="eastAsia"/>
          <w:b/>
          <w:color w:val="000000"/>
          <w:sz w:val="32"/>
          <w:szCs w:val="32"/>
          <w:highlight w:val="none"/>
        </w:rPr>
        <w:sectPr>
          <w:footerReference r:id="rId16" w:type="default"/>
          <w:pgSz w:w="11906" w:h="16838"/>
          <w:pgMar w:top="1015" w:right="1196" w:bottom="868" w:left="1259" w:header="851" w:footer="907" w:gutter="0"/>
          <w:pgNumType w:fmt="decimal"/>
          <w:cols w:space="720" w:num="1"/>
          <w:docGrid w:type="lines" w:linePitch="286" w:charSpace="0"/>
        </w:sectPr>
      </w:pPr>
    </w:p>
    <w:p w14:paraId="02A7E224">
      <w:pPr>
        <w:pStyle w:val="35"/>
        <w:spacing w:beforeAutospacing="0" w:afterAutospacing="0"/>
        <w:jc w:val="center"/>
        <w:rPr>
          <w:rFonts w:hint="eastAsia"/>
          <w:b/>
          <w:color w:val="000000"/>
          <w:sz w:val="32"/>
          <w:szCs w:val="32"/>
          <w:highlight w:val="none"/>
        </w:rPr>
      </w:pPr>
      <w:r>
        <w:rPr>
          <w:rFonts w:hint="eastAsia"/>
          <w:b/>
          <w:color w:val="000000"/>
          <w:sz w:val="32"/>
          <w:szCs w:val="32"/>
          <w:highlight w:val="none"/>
        </w:rPr>
        <w:t>质疑函范本</w:t>
      </w:r>
    </w:p>
    <w:p w14:paraId="75136689">
      <w:pPr>
        <w:pStyle w:val="35"/>
        <w:spacing w:before="290" w:beforeAutospacing="0" w:afterAutospacing="0" w:line="360" w:lineRule="auto"/>
        <w:jc w:val="both"/>
        <w:rPr>
          <w:rFonts w:hint="eastAsia"/>
          <w:highlight w:val="none"/>
        </w:rPr>
      </w:pPr>
      <w:r>
        <w:rPr>
          <w:rFonts w:hint="eastAsia"/>
          <w:color w:val="000000"/>
          <w:highlight w:val="none"/>
        </w:rPr>
        <w:t>一、质疑供应商基本信息</w:t>
      </w:r>
    </w:p>
    <w:p w14:paraId="01322A24">
      <w:pPr>
        <w:pStyle w:val="35"/>
        <w:spacing w:beforeAutospacing="0" w:afterAutospacing="0" w:line="360" w:lineRule="auto"/>
        <w:jc w:val="both"/>
        <w:rPr>
          <w:rFonts w:hint="eastAsia"/>
          <w:highlight w:val="none"/>
        </w:rPr>
      </w:pPr>
      <w:r>
        <w:rPr>
          <w:rFonts w:hint="eastAsia"/>
          <w:color w:val="000000"/>
          <w:highlight w:val="none"/>
        </w:rPr>
        <w:t>质疑供应商：</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 xml:space="preserve">       </w:t>
      </w:r>
    </w:p>
    <w:p w14:paraId="7868E675">
      <w:pPr>
        <w:pStyle w:val="35"/>
        <w:spacing w:beforeAutospacing="0" w:afterAutospacing="0" w:line="360" w:lineRule="auto"/>
        <w:jc w:val="both"/>
        <w:rPr>
          <w:rFonts w:hint="eastAsia"/>
          <w:color w:val="000000"/>
          <w:highlight w:val="none"/>
          <w:u w:val="single"/>
        </w:rPr>
      </w:pPr>
      <w:r>
        <w:rPr>
          <w:rFonts w:hint="eastAsia"/>
          <w:color w:val="000000"/>
          <w:highlight w:val="none"/>
        </w:rPr>
        <w:t>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w:t>
      </w:r>
    </w:p>
    <w:p w14:paraId="49A0A3EE">
      <w:pPr>
        <w:pStyle w:val="35"/>
        <w:spacing w:beforeAutospacing="0" w:afterAutospacing="0" w:line="360" w:lineRule="auto"/>
        <w:jc w:val="both"/>
        <w:rPr>
          <w:rFonts w:hint="eastAsia"/>
          <w:highlight w:val="none"/>
        </w:rPr>
      </w:pPr>
      <w:r>
        <w:rPr>
          <w:rFonts w:hint="eastAsia"/>
          <w:color w:val="000000"/>
          <w:highlight w:val="none"/>
        </w:rPr>
        <w:t>邮编：</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76408CB4">
      <w:pPr>
        <w:pStyle w:val="35"/>
        <w:spacing w:beforeAutospacing="0" w:afterAutospacing="0" w:line="360" w:lineRule="auto"/>
        <w:jc w:val="both"/>
        <w:rPr>
          <w:rFonts w:hint="eastAsia"/>
          <w:color w:val="000000"/>
          <w:highlight w:val="none"/>
          <w:u w:val="single"/>
        </w:rPr>
      </w:pPr>
      <w:r>
        <w:rPr>
          <w:rFonts w:hint="eastAsia"/>
          <w:color w:val="000000"/>
          <w:highlight w:val="none"/>
        </w:rPr>
        <w:t>联系人：</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7B34D70F">
      <w:pPr>
        <w:pStyle w:val="35"/>
        <w:spacing w:beforeAutospacing="0" w:afterAutospacing="0" w:line="360" w:lineRule="auto"/>
        <w:jc w:val="both"/>
        <w:rPr>
          <w:rFonts w:hint="eastAsia"/>
          <w:highlight w:val="none"/>
        </w:rPr>
      </w:pPr>
      <w:r>
        <w:rPr>
          <w:rFonts w:hint="eastAsia"/>
          <w:color w:val="000000"/>
          <w:highlight w:val="none"/>
        </w:rPr>
        <w:t>联系电话：</w:t>
      </w:r>
      <w:r>
        <w:rPr>
          <w:rFonts w:hint="eastAsia"/>
          <w:color w:val="000000"/>
          <w:highlight w:val="none"/>
          <w:u w:val="single"/>
        </w:rPr>
        <w:t xml:space="preserve">                                           </w:t>
      </w:r>
    </w:p>
    <w:p w14:paraId="212C59BC">
      <w:pPr>
        <w:pStyle w:val="35"/>
        <w:spacing w:beforeAutospacing="0" w:afterAutospacing="0" w:line="360" w:lineRule="auto"/>
        <w:jc w:val="both"/>
        <w:rPr>
          <w:rFonts w:hint="eastAsia"/>
          <w:highlight w:val="none"/>
        </w:rPr>
      </w:pPr>
      <w:r>
        <w:rPr>
          <w:rFonts w:hint="eastAsia"/>
          <w:color w:val="000000"/>
          <w:highlight w:val="none"/>
        </w:rPr>
        <w:t>授权代表：</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0B28576C">
      <w:pPr>
        <w:pStyle w:val="35"/>
        <w:spacing w:beforeAutospacing="0" w:afterAutospacing="0" w:line="360" w:lineRule="auto"/>
        <w:jc w:val="both"/>
        <w:rPr>
          <w:rFonts w:hint="eastAsia"/>
          <w:highlight w:val="none"/>
        </w:rPr>
      </w:pPr>
      <w:r>
        <w:rPr>
          <w:rFonts w:hint="eastAsia"/>
          <w:color w:val="000000"/>
          <w:highlight w:val="none"/>
        </w:rPr>
        <w:t>联系电话：</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697A65CC">
      <w:pPr>
        <w:pStyle w:val="35"/>
        <w:spacing w:beforeAutospacing="0" w:afterAutospacing="0" w:line="360" w:lineRule="auto"/>
        <w:jc w:val="both"/>
        <w:rPr>
          <w:rFonts w:hint="eastAsia"/>
          <w:color w:val="000000"/>
          <w:highlight w:val="none"/>
          <w:u w:val="single"/>
        </w:rPr>
      </w:pPr>
      <w:r>
        <w:rPr>
          <w:rFonts w:hint="eastAsia"/>
          <w:color w:val="000000"/>
          <w:highlight w:val="none"/>
        </w:rPr>
        <w:t>地址： </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2DF9E163">
      <w:pPr>
        <w:pStyle w:val="35"/>
        <w:spacing w:beforeAutospacing="0" w:afterAutospacing="0" w:line="360" w:lineRule="auto"/>
        <w:jc w:val="both"/>
        <w:rPr>
          <w:rFonts w:hint="eastAsia"/>
          <w:highlight w:val="none"/>
        </w:rPr>
      </w:pPr>
      <w:r>
        <w:rPr>
          <w:rFonts w:hint="eastAsia"/>
          <w:color w:val="000000"/>
          <w:highlight w:val="none"/>
        </w:rPr>
        <w:t>邮编：</w:t>
      </w:r>
      <w:r>
        <w:rPr>
          <w:rFonts w:hint="eastAsia"/>
          <w:color w:val="000000"/>
          <w:highlight w:val="none"/>
          <w:u w:val="single"/>
        </w:rPr>
        <w:t xml:space="preserve">                                </w:t>
      </w:r>
    </w:p>
    <w:p w14:paraId="62B9BDEB">
      <w:pPr>
        <w:pStyle w:val="35"/>
        <w:spacing w:beforeAutospacing="0" w:afterAutospacing="0" w:line="360" w:lineRule="auto"/>
        <w:jc w:val="both"/>
        <w:rPr>
          <w:rFonts w:hint="eastAsia"/>
          <w:highlight w:val="none"/>
        </w:rPr>
      </w:pPr>
      <w:r>
        <w:rPr>
          <w:rFonts w:hint="eastAsia"/>
          <w:color w:val="000000"/>
          <w:highlight w:val="none"/>
        </w:rPr>
        <w:t>二、质疑项目基本情况</w:t>
      </w:r>
    </w:p>
    <w:p w14:paraId="0EAB5293">
      <w:pPr>
        <w:pStyle w:val="35"/>
        <w:spacing w:beforeAutospacing="0" w:afterAutospacing="0" w:line="360" w:lineRule="auto"/>
        <w:jc w:val="both"/>
        <w:rPr>
          <w:rFonts w:hint="eastAsia"/>
          <w:highlight w:val="none"/>
        </w:rPr>
      </w:pPr>
      <w:r>
        <w:rPr>
          <w:rFonts w:hint="eastAsia"/>
          <w:color w:val="000000"/>
          <w:highlight w:val="none"/>
        </w:rPr>
        <w:t>质疑项目的名称：</w:t>
      </w:r>
      <w:r>
        <w:rPr>
          <w:rFonts w:hint="eastAsia"/>
          <w:color w:val="000000"/>
          <w:highlight w:val="none"/>
          <w:u w:val="single"/>
        </w:rPr>
        <w:t xml:space="preserve">                            </w:t>
      </w:r>
    </w:p>
    <w:p w14:paraId="7908F867">
      <w:pPr>
        <w:pStyle w:val="35"/>
        <w:spacing w:beforeAutospacing="0" w:afterAutospacing="0" w:line="360" w:lineRule="auto"/>
        <w:jc w:val="both"/>
        <w:rPr>
          <w:rFonts w:hint="eastAsia"/>
          <w:color w:val="000000"/>
          <w:highlight w:val="none"/>
          <w:u w:val="single"/>
        </w:rPr>
      </w:pPr>
      <w:r>
        <w:rPr>
          <w:rFonts w:hint="eastAsia"/>
          <w:color w:val="000000"/>
          <w:highlight w:val="none"/>
        </w:rPr>
        <w:t>质疑项目的编号：</w:t>
      </w:r>
      <w:r>
        <w:rPr>
          <w:rFonts w:hint="eastAsia"/>
          <w:color w:val="000000"/>
          <w:highlight w:val="none"/>
          <w:u w:val="single"/>
        </w:rPr>
        <w:t xml:space="preserve">                          </w:t>
      </w:r>
    </w:p>
    <w:p w14:paraId="1F02E1ED">
      <w:pPr>
        <w:pStyle w:val="35"/>
        <w:spacing w:beforeAutospacing="0" w:afterAutospacing="0" w:line="360" w:lineRule="auto"/>
        <w:jc w:val="both"/>
        <w:rPr>
          <w:rFonts w:hint="eastAsia"/>
          <w:highlight w:val="none"/>
        </w:rPr>
      </w:pPr>
      <w:r>
        <w:rPr>
          <w:rFonts w:hint="eastAsia"/>
          <w:color w:val="000000"/>
          <w:highlight w:val="none"/>
        </w:rPr>
        <w:t>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27AA0321">
      <w:pPr>
        <w:pStyle w:val="35"/>
        <w:spacing w:beforeAutospacing="0" w:afterAutospacing="0" w:line="360" w:lineRule="auto"/>
        <w:jc w:val="both"/>
        <w:rPr>
          <w:rFonts w:hint="eastAsia"/>
          <w:highlight w:val="none"/>
        </w:rPr>
      </w:pPr>
      <w:r>
        <w:rPr>
          <w:rFonts w:hint="eastAsia"/>
          <w:color w:val="000000"/>
          <w:highlight w:val="none"/>
        </w:rPr>
        <w:t>采购人名称：</w:t>
      </w:r>
      <w:r>
        <w:rPr>
          <w:rFonts w:hint="eastAsia"/>
          <w:color w:val="000000"/>
          <w:highlight w:val="none"/>
          <w:u w:val="single"/>
        </w:rPr>
        <w:t xml:space="preserve">                            </w:t>
      </w:r>
    </w:p>
    <w:p w14:paraId="56806F50">
      <w:pPr>
        <w:pStyle w:val="35"/>
        <w:spacing w:beforeAutospacing="0" w:afterAutospacing="0" w:line="360" w:lineRule="auto"/>
        <w:jc w:val="both"/>
        <w:rPr>
          <w:rFonts w:hint="eastAsia"/>
          <w:highlight w:val="none"/>
        </w:rPr>
      </w:pPr>
      <w:r>
        <w:rPr>
          <w:rFonts w:hint="eastAsia"/>
          <w:color w:val="000000"/>
          <w:highlight w:val="none"/>
        </w:rPr>
        <w:t>采购文件获取日期：</w:t>
      </w:r>
      <w:r>
        <w:rPr>
          <w:rFonts w:hint="eastAsia"/>
          <w:color w:val="000000"/>
          <w:highlight w:val="none"/>
          <w:u w:val="single"/>
        </w:rPr>
        <w:t xml:space="preserve">                             </w:t>
      </w:r>
    </w:p>
    <w:p w14:paraId="45A73484">
      <w:pPr>
        <w:pStyle w:val="35"/>
        <w:spacing w:beforeAutospacing="0" w:afterAutospacing="0" w:line="360" w:lineRule="auto"/>
        <w:jc w:val="both"/>
        <w:rPr>
          <w:rFonts w:hint="eastAsia"/>
          <w:highlight w:val="none"/>
        </w:rPr>
      </w:pPr>
      <w:r>
        <w:rPr>
          <w:rFonts w:hint="eastAsia"/>
          <w:color w:val="000000"/>
          <w:highlight w:val="none"/>
        </w:rPr>
        <w:t>三、质疑事项具体内容</w:t>
      </w:r>
    </w:p>
    <w:p w14:paraId="0954AF42">
      <w:pPr>
        <w:pStyle w:val="35"/>
        <w:spacing w:beforeAutospacing="0" w:afterAutospacing="0" w:line="360" w:lineRule="auto"/>
        <w:jc w:val="both"/>
        <w:rPr>
          <w:rFonts w:hint="eastAsia"/>
          <w:highlight w:val="none"/>
        </w:rPr>
      </w:pPr>
      <w:r>
        <w:rPr>
          <w:rFonts w:hint="eastAsia"/>
          <w:color w:val="000000"/>
          <w:highlight w:val="none"/>
        </w:rPr>
        <w:t>质疑事项1：</w:t>
      </w:r>
      <w:r>
        <w:rPr>
          <w:rFonts w:hint="eastAsia"/>
          <w:color w:val="000000"/>
          <w:highlight w:val="none"/>
          <w:u w:val="single"/>
        </w:rPr>
        <w:t xml:space="preserve">                             </w:t>
      </w:r>
    </w:p>
    <w:p w14:paraId="669A4A08">
      <w:pPr>
        <w:pStyle w:val="35"/>
        <w:spacing w:beforeAutospacing="0" w:afterAutospacing="0" w:line="360" w:lineRule="auto"/>
        <w:rPr>
          <w:rFonts w:hint="eastAsia"/>
          <w:highlight w:val="none"/>
        </w:rPr>
      </w:pPr>
      <w:r>
        <w:rPr>
          <w:rFonts w:hint="eastAsia"/>
          <w:color w:val="000000"/>
          <w:highlight w:val="none"/>
        </w:rPr>
        <w:t>事实依据：</w:t>
      </w:r>
      <w:r>
        <w:rPr>
          <w:rFonts w:hint="eastAsia"/>
          <w:color w:val="000000"/>
          <w:highlight w:val="none"/>
          <w:u w:val="single"/>
        </w:rPr>
        <w:t xml:space="preserve">                                                   </w:t>
      </w:r>
    </w:p>
    <w:p w14:paraId="6EFE8855">
      <w:pPr>
        <w:pStyle w:val="35"/>
        <w:spacing w:beforeAutospacing="0" w:afterAutospacing="0" w:line="360" w:lineRule="auto"/>
        <w:jc w:val="both"/>
        <w:rPr>
          <w:rFonts w:hint="eastAsia"/>
          <w:highlight w:val="none"/>
        </w:rPr>
      </w:pPr>
      <w:r>
        <w:rPr>
          <w:rFonts w:hint="eastAsia"/>
          <w:color w:val="000000"/>
          <w:highlight w:val="none"/>
        </w:rPr>
        <w:t>法律依据：</w:t>
      </w:r>
      <w:r>
        <w:rPr>
          <w:rFonts w:hint="eastAsia"/>
          <w:color w:val="000000"/>
          <w:highlight w:val="none"/>
          <w:u w:val="single"/>
        </w:rPr>
        <w:t xml:space="preserve">                                                    </w:t>
      </w:r>
    </w:p>
    <w:p w14:paraId="09F2057A">
      <w:pPr>
        <w:pStyle w:val="35"/>
        <w:spacing w:beforeAutospacing="0" w:afterAutospacing="0" w:line="360" w:lineRule="auto"/>
        <w:jc w:val="both"/>
        <w:rPr>
          <w:rFonts w:hint="eastAsia"/>
          <w:highlight w:val="none"/>
        </w:rPr>
      </w:pPr>
      <w:r>
        <w:rPr>
          <w:rFonts w:hint="eastAsia"/>
          <w:color w:val="000000"/>
          <w:highlight w:val="none"/>
        </w:rPr>
        <w:t>质疑事项2</w:t>
      </w:r>
    </w:p>
    <w:p w14:paraId="70D681AD">
      <w:pPr>
        <w:pStyle w:val="35"/>
        <w:spacing w:beforeAutospacing="0" w:afterAutospacing="0" w:line="360" w:lineRule="auto"/>
        <w:jc w:val="both"/>
        <w:rPr>
          <w:rFonts w:hint="eastAsia"/>
          <w:highlight w:val="none"/>
        </w:rPr>
      </w:pPr>
      <w:r>
        <w:rPr>
          <w:rFonts w:hint="eastAsia"/>
          <w:color w:val="000000"/>
          <w:highlight w:val="none"/>
        </w:rPr>
        <w:t>……</w:t>
      </w:r>
    </w:p>
    <w:p w14:paraId="19B09247">
      <w:pPr>
        <w:pStyle w:val="35"/>
        <w:spacing w:beforeAutospacing="0" w:afterAutospacing="0" w:line="360" w:lineRule="auto"/>
        <w:jc w:val="both"/>
        <w:rPr>
          <w:rFonts w:hint="eastAsia"/>
          <w:highlight w:val="none"/>
        </w:rPr>
      </w:pPr>
      <w:r>
        <w:rPr>
          <w:rFonts w:hint="eastAsia"/>
          <w:color w:val="000000"/>
          <w:highlight w:val="none"/>
        </w:rPr>
        <w:t>四、与质疑事项相关的质疑请求</w:t>
      </w:r>
    </w:p>
    <w:p w14:paraId="1495F284">
      <w:pPr>
        <w:pStyle w:val="35"/>
        <w:spacing w:beforeAutospacing="0" w:afterAutospacing="0" w:line="360" w:lineRule="auto"/>
        <w:jc w:val="both"/>
        <w:rPr>
          <w:rFonts w:hint="eastAsia"/>
          <w:highlight w:val="none"/>
        </w:rPr>
      </w:pPr>
      <w:r>
        <w:rPr>
          <w:rFonts w:hint="eastAsia"/>
          <w:color w:val="000000"/>
          <w:highlight w:val="none"/>
        </w:rPr>
        <w:t>请求：</w:t>
      </w:r>
      <w:r>
        <w:rPr>
          <w:rFonts w:hint="eastAsia"/>
          <w:color w:val="000000"/>
          <w:highlight w:val="none"/>
          <w:u w:val="single"/>
        </w:rPr>
        <w:t xml:space="preserve">                                                          </w:t>
      </w:r>
    </w:p>
    <w:p w14:paraId="183448AB">
      <w:pPr>
        <w:pStyle w:val="35"/>
        <w:spacing w:beforeAutospacing="0" w:afterAutospacing="0"/>
        <w:jc w:val="both"/>
        <w:rPr>
          <w:rFonts w:hint="eastAsia"/>
          <w:highlight w:val="none"/>
        </w:rPr>
      </w:pPr>
      <w:r>
        <w:rPr>
          <w:rFonts w:hint="eastAsia"/>
          <w:color w:val="000000"/>
          <w:highlight w:val="none"/>
        </w:rPr>
        <w:t xml:space="preserve">签字(签章)：                 公章：               日期：    </w:t>
      </w:r>
    </w:p>
    <w:p w14:paraId="53F8CF60">
      <w:pPr>
        <w:pStyle w:val="35"/>
        <w:spacing w:beforeAutospacing="0" w:afterAutospacing="0" w:line="0" w:lineRule="atLeast"/>
        <w:jc w:val="both"/>
        <w:rPr>
          <w:rFonts w:hint="eastAsia"/>
          <w:highlight w:val="none"/>
        </w:rPr>
      </w:pPr>
      <w:r>
        <w:rPr>
          <w:rFonts w:hint="eastAsia"/>
          <w:b/>
          <w:color w:val="000000"/>
          <w:highlight w:val="none"/>
        </w:rPr>
        <w:t>质疑函制作说明：</w:t>
      </w:r>
    </w:p>
    <w:p w14:paraId="106E569C">
      <w:pPr>
        <w:pStyle w:val="35"/>
        <w:spacing w:beforeAutospacing="0" w:afterAutospacing="0" w:line="0" w:lineRule="atLeast"/>
        <w:ind w:firstLine="480"/>
        <w:rPr>
          <w:rFonts w:hint="eastAsia"/>
          <w:highlight w:val="none"/>
        </w:rPr>
      </w:pPr>
      <w:r>
        <w:rPr>
          <w:rFonts w:hint="eastAsia"/>
          <w:color w:val="000000"/>
          <w:highlight w:val="none"/>
        </w:rPr>
        <w:t>1.供应商提出质疑时，应提交质疑函和必要的证明材料。</w:t>
      </w:r>
    </w:p>
    <w:p w14:paraId="6CE4E8F9">
      <w:pPr>
        <w:pStyle w:val="35"/>
        <w:spacing w:beforeAutospacing="0" w:afterAutospacing="0" w:line="0" w:lineRule="atLeast"/>
        <w:ind w:firstLine="480"/>
        <w:rPr>
          <w:rFonts w:hint="eastAsia"/>
          <w:highlight w:val="none"/>
        </w:rPr>
      </w:pPr>
      <w:r>
        <w:rPr>
          <w:rFonts w:hint="eastAsia"/>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3AE84E">
      <w:pPr>
        <w:pStyle w:val="35"/>
        <w:spacing w:beforeAutospacing="0" w:afterAutospacing="0" w:line="0" w:lineRule="atLeast"/>
        <w:ind w:firstLine="480"/>
        <w:rPr>
          <w:rFonts w:hint="eastAsia"/>
          <w:highlight w:val="none"/>
        </w:rPr>
      </w:pPr>
      <w:r>
        <w:rPr>
          <w:rFonts w:hint="eastAsia"/>
          <w:color w:val="000000"/>
          <w:highlight w:val="none"/>
        </w:rPr>
        <w:t>3.质疑供应商若对项目的某一分包进行质疑，质疑函中应列明具体分包号。</w:t>
      </w:r>
    </w:p>
    <w:p w14:paraId="0BB39C02">
      <w:pPr>
        <w:pStyle w:val="35"/>
        <w:spacing w:beforeAutospacing="0" w:afterAutospacing="0" w:line="0" w:lineRule="atLeast"/>
        <w:ind w:firstLine="480"/>
        <w:rPr>
          <w:rFonts w:hint="eastAsia"/>
          <w:highlight w:val="none"/>
        </w:rPr>
      </w:pPr>
      <w:r>
        <w:rPr>
          <w:rFonts w:hint="eastAsia"/>
          <w:color w:val="000000"/>
          <w:highlight w:val="none"/>
        </w:rPr>
        <w:t>4.质疑函的质疑事项应具体、明确，并有必要的事实依据和法律依据。</w:t>
      </w:r>
    </w:p>
    <w:p w14:paraId="1D9135F5">
      <w:pPr>
        <w:pStyle w:val="35"/>
        <w:spacing w:beforeAutospacing="0" w:afterAutospacing="0" w:line="0" w:lineRule="atLeast"/>
        <w:ind w:firstLine="480"/>
        <w:rPr>
          <w:rFonts w:hint="eastAsia"/>
          <w:highlight w:val="none"/>
        </w:rPr>
      </w:pPr>
      <w:r>
        <w:rPr>
          <w:rFonts w:hint="eastAsia"/>
          <w:color w:val="000000"/>
          <w:highlight w:val="none"/>
        </w:rPr>
        <w:t>5.质疑函的质疑请求应与质疑事项相关。</w:t>
      </w:r>
    </w:p>
    <w:p w14:paraId="1DDAD3D8">
      <w:pPr>
        <w:pStyle w:val="35"/>
        <w:spacing w:beforeAutospacing="0" w:afterAutospacing="0" w:line="0" w:lineRule="atLeast"/>
        <w:ind w:firstLine="480"/>
        <w:rPr>
          <w:rFonts w:hint="eastAsia"/>
          <w:highlight w:val="none"/>
        </w:rPr>
      </w:pPr>
      <w:r>
        <w:rPr>
          <w:rFonts w:hint="eastAsia"/>
          <w:color w:val="000000"/>
          <w:highlight w:val="none"/>
        </w:rPr>
        <w:t>6.质疑供应商为自然人的，质疑函应由本人签字；质疑供应商为法人或者其他组织的，质疑函应由法定代表人、主要负责人，或者其授权代表签字或者盖章，并加盖公章。</w:t>
      </w:r>
    </w:p>
    <w:p w14:paraId="71E80EEA">
      <w:pPr>
        <w:pStyle w:val="35"/>
        <w:spacing w:beforeAutospacing="0" w:afterAutospacing="0"/>
        <w:rPr>
          <w:rFonts w:hint="eastAsia"/>
          <w:highlight w:val="none"/>
        </w:rPr>
      </w:pPr>
    </w:p>
    <w:p w14:paraId="0ADA187D">
      <w:pPr>
        <w:widowControl/>
        <w:spacing w:before="100" w:after="100" w:line="500" w:lineRule="exact"/>
        <w:jc w:val="center"/>
        <w:outlineLvl w:val="1"/>
        <w:rPr>
          <w:rFonts w:hint="eastAsia" w:ascii="黑体" w:hAnsi="黑体" w:eastAsia="黑体" w:cs="黑体"/>
          <w:i/>
          <w:color w:val="000000"/>
          <w:sz w:val="32"/>
          <w:szCs w:val="32"/>
          <w:highlight w:val="none"/>
          <w:u w:val="single"/>
        </w:rPr>
      </w:pPr>
    </w:p>
    <w:p w14:paraId="005C3881">
      <w:pPr>
        <w:ind w:left="420"/>
        <w:rPr>
          <w:highlight w:val="none"/>
        </w:rPr>
      </w:pPr>
    </w:p>
    <w:p w14:paraId="3EC5B7CB">
      <w:pPr>
        <w:ind w:left="420"/>
        <w:rPr>
          <w:highlight w:val="none"/>
        </w:rPr>
      </w:pPr>
    </w:p>
    <w:p w14:paraId="463F0846">
      <w:pPr>
        <w:rPr>
          <w:highlight w:val="none"/>
        </w:rPr>
      </w:pPr>
    </w:p>
    <w:p w14:paraId="05C9DA45">
      <w:pPr>
        <w:widowControl/>
        <w:spacing w:line="500" w:lineRule="exact"/>
        <w:jc w:val="center"/>
        <w:rPr>
          <w:rFonts w:hint="eastAsia" w:ascii="宋体" w:hAnsi="宋体"/>
          <w:color w:val="000000" w:themeColor="text1"/>
          <w:sz w:val="24"/>
          <w:highlight w:val="none"/>
          <w14:textFill>
            <w14:solidFill>
              <w14:schemeClr w14:val="tx1"/>
            </w14:solidFill>
          </w14:textFill>
        </w:rPr>
      </w:pPr>
    </w:p>
    <w:bookmarkEnd w:id="150"/>
    <w:sectPr>
      <w:footerReference r:id="rId17" w:type="default"/>
      <w:pgSz w:w="11906" w:h="16838"/>
      <w:pgMar w:top="1015" w:right="1196" w:bottom="868" w:left="1259" w:header="851" w:footer="907" w:gutter="0"/>
      <w:pgNumType w:fmt="decimal"/>
      <w:cols w:space="720" w:num="1"/>
      <w:docGrid w:type="lines"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2010600010101010101"/>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姚体">
    <w:panose1 w:val="02010601030101010101"/>
    <w:charset w:val="86"/>
    <w:family w:val="auto"/>
    <w:pitch w:val="default"/>
    <w:sig w:usb0="00000003" w:usb1="080E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方正楷体_GBK">
    <w:altName w:val="微软雅黑"/>
    <w:panose1 w:val="02000000000000000000"/>
    <w:charset w:val="86"/>
    <w:family w:val="script"/>
    <w:pitch w:val="default"/>
    <w:sig w:usb0="00000000" w:usb1="00000000" w:usb2="00000016" w:usb3="00000000" w:csb0="00040000" w:csb1="00000000"/>
  </w:font>
  <w:font w:name="Book Antiqua">
    <w:panose1 w:val="02040602050305030304"/>
    <w:charset w:val="00"/>
    <w:family w:val="roman"/>
    <w:pitch w:val="default"/>
    <w:sig w:usb0="00000287" w:usb1="000000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MS PGothic">
    <w:panose1 w:val="020B0600070205080204"/>
    <w:charset w:val="80"/>
    <w:family w:val="swiss"/>
    <w:pitch w:val="default"/>
    <w:sig w:usb0="E00002FF" w:usb1="6AC7FDFB" w:usb2="08000012" w:usb3="00000000" w:csb0="4002009F" w:csb1="DFD7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31895">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32C7B">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4D9B77">
                          <w:pPr>
                            <w:pStyle w:val="25"/>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rIxsIBAACOAwAADgAAAGRycy9lMm9Eb2MueG1srVPNjtMwEL4j8Q6W&#10;79RppUV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pt6A0ljlsc+OXH98vP35df38jy&#10;JuvTB6gx7T5gYhre+gG3ZvYDOjPtQUWbv0iIYBzVPV/VlUMiIj9ar9brCkMCY/MF8dnD8xAhvZPe&#10;kmw0NOL4iqr89AHSmDqn5GrO32ljygiN+8uBmNnDcu9jj9lKw36YCO19e0Y+PU6+oQ4XnRLz3qGw&#10;eUlmI87GfjJyDQhvjgkLl34y6gg1FcMxFUbTSuU9eHwvWQ+/0fY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PlKyMbCAQAAjgMAAA4AAAAAAAAAAQAgAAAAHgEAAGRycy9lMm9Eb2MueG1sUEsF&#10;BgAAAAAGAAYAWQEAAFIFAAAAAA==&#10;">
              <v:fill on="f" focussize="0,0"/>
              <v:stroke on="f"/>
              <v:imagedata o:title=""/>
              <o:lock v:ext="edit" aspectratio="f"/>
              <v:textbox inset="0mm,0mm,0mm,0mm" style="mso-fit-shape-to-text:t;">
                <w:txbxContent>
                  <w:p w14:paraId="214D9B77">
                    <w:pPr>
                      <w:pStyle w:val="25"/>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73E0B3">
                          <w:pPr>
                            <w:pStyle w:val="25"/>
                          </w:pPr>
                        </w:p>
                      </w:txbxContent>
                    </wps:txbx>
                    <wps:bodyPr wrap="none" lIns="0" tIns="0" rIns="0" bIns="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Pdt5MIBAACO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bz&#10;rE8XsKK0x0CJqf8Afc6d/EjOTLvX0eUvEWIUJ3WPF3VVn5jMj5aL5bKkkKTY+UI4xdPzEDF9VOBY&#10;NmoeaXyDquJwj2lMPafkah7ujLXkF5X1/zgIM3uK3PvYY7ZSv+2nxrfQHIlPR5OvuadF58x+8iRs&#10;XpKzEc/GdjJyDQy3+0SFh34y6gg1FaMxDYymlcp78Pw+ZD39Ru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T3beTCAQAAjgMAAA4AAAAAAAAAAQAgAAAAHgEAAGRycy9lMm9Eb2MueG1sUEsF&#10;BgAAAAAGAAYAWQEAAFIFAAAAAA==&#10;">
              <v:fill on="f" focussize="0,0"/>
              <v:stroke on="f"/>
              <v:imagedata o:title=""/>
              <o:lock v:ext="edit" aspectratio="f"/>
              <v:textbox inset="0mm,0mm,0mm,0mm" style="mso-fit-shape-to-text:t;">
                <w:txbxContent>
                  <w:p w14:paraId="6773E0B3">
                    <w:pPr>
                      <w:pStyle w:val="25"/>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F3276">
    <w:pPr>
      <w:pStyle w:val="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4949A">
    <w:pPr>
      <w:pStyle w:val="2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EA451">
                          <w:pPr>
                            <w:pStyle w:val="25"/>
                          </w:pPr>
                          <w:r>
                            <w:fldChar w:fldCharType="begin"/>
                          </w:r>
                          <w:r>
                            <w:instrText xml:space="preserve"> PAGE  \* MERGEFORMAT </w:instrText>
                          </w:r>
                          <w:r>
                            <w:fldChar w:fldCharType="separate"/>
                          </w:r>
                          <w:r>
                            <w:t>27</w:t>
                          </w:r>
                          <w:r>
                            <w:fldChar w:fldCharType="end"/>
                          </w:r>
                        </w:p>
                      </w:txbxContent>
                    </wps:txbx>
                    <wps:bodyPr wrap="none" lIns="0" tIns="0" rIns="0" bIns="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C/wl8IBAACP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UBJHLc48cvPH5dffy6/v5PV&#10;MgvUB6gx7z5gZhre+QGTZz+gM/MeVLT5i4wIxhHrfJVXDomI/Gi9Wq8rDAmMzRfEZw/PQ4T0XnpL&#10;stHQiPMrsvLTR0hj6pySqzl/p40pMzTuHwdiZg/LvY89ZisN+2EitPftGfn0OPqGOtx0SswHh8pi&#10;f2k24mzsJyPXgHB7TFi49JNRR6ipGM6pMJp2Ki/C43vJeviPt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DAv8JfCAQAAjwMAAA4AAAAAAAAAAQAgAAAAHgEAAGRycy9lMm9Eb2MueG1sUEsF&#10;BgAAAAAGAAYAWQEAAFIFAAAAAA==&#10;">
              <v:fill on="f" focussize="0,0"/>
              <v:stroke on="f"/>
              <v:imagedata o:title=""/>
              <o:lock v:ext="edit" aspectratio="f"/>
              <v:textbox inset="0mm,0mm,0mm,0mm" style="mso-fit-shape-to-text:t;">
                <w:txbxContent>
                  <w:p w14:paraId="147EA451">
                    <w:pPr>
                      <w:pStyle w:val="25"/>
                    </w:pPr>
                    <w:r>
                      <w:fldChar w:fldCharType="begin"/>
                    </w:r>
                    <w:r>
                      <w:instrText xml:space="preserve"> PAGE  \* MERGEFORMAT </w:instrText>
                    </w:r>
                    <w:r>
                      <w:fldChar w:fldCharType="separate"/>
                    </w:r>
                    <w:r>
                      <w:t>27</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2279015</wp:posOffset>
              </wp:positionH>
              <wp:positionV relativeFrom="paragraph">
                <wp:posOffset>3187065</wp:posOffset>
              </wp:positionV>
              <wp:extent cx="2939415" cy="180340"/>
              <wp:effectExtent l="0" t="0" r="0" b="0"/>
              <wp:wrapNone/>
              <wp:docPr id="11" name="文本框 19"/>
              <wp:cNvGraphicFramePr/>
              <a:graphic xmlns:a="http://schemas.openxmlformats.org/drawingml/2006/main">
                <a:graphicData uri="http://schemas.microsoft.com/office/word/2010/wordprocessingShape">
                  <wps:wsp>
                    <wps:cNvSpPr txBox="1"/>
                    <wps:spPr>
                      <a:xfrm>
                        <a:off x="0" y="0"/>
                        <a:ext cx="2939415" cy="180340"/>
                      </a:xfrm>
                      <a:prstGeom prst="rect">
                        <a:avLst/>
                      </a:prstGeom>
                      <a:noFill/>
                      <a:ln>
                        <a:noFill/>
                      </a:ln>
                    </wps:spPr>
                    <wps:txbx>
                      <w:txbxContent>
                        <w:p w14:paraId="1F776D75">
                          <w:pPr>
                            <w:pStyle w:val="25"/>
                          </w:pPr>
                          <w:r>
                            <w:rPr>
                              <w:rFonts w:hint="eastAsia"/>
                            </w:rPr>
                            <w:t>28</w:t>
                          </w:r>
                        </w:p>
                      </w:txbxContent>
                    </wps:txbx>
                    <wps:bodyPr wrap="square" lIns="0" tIns="0" rIns="0" bIns="0"/>
                  </wps:wsp>
                </a:graphicData>
              </a:graphic>
            </wp:anchor>
          </w:drawing>
        </mc:Choice>
        <mc:Fallback>
          <w:pict>
            <v:shape id="文本框 19" o:spid="_x0000_s1026" o:spt="202" type="#_x0000_t202" style="position:absolute;left:0pt;margin-left:179.45pt;margin-top:250.95pt;height:14.2pt;width:231.45pt;mso-position-horizontal-relative:margin;z-index:251663360;mso-width-relative:page;mso-height-relative:page;" filled="f" stroked="f" coordsize="21600,21600" o:gfxdata="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tMYAtoAAAALAQAADwAAAAAAAAABACAAAAAiAAAAZHJzL2Rvd25yZXYu&#10;eG1sUEsBAhQAFAAAAAgAh07iQP7mhsvAAQAAdgMAAA4AAAAAAAAAAQAgAAAAKQEAAGRycy9lMm9E&#10;b2MueG1sUEsFBgAAAAAGAAYAWQEAAFsFAAAAAA==&#10;">
              <v:fill on="f" focussize="0,0"/>
              <v:stroke on="f"/>
              <v:imagedata o:title=""/>
              <o:lock v:ext="edit" aspectratio="f"/>
              <v:textbox inset="0mm,0mm,0mm,0mm">
                <w:txbxContent>
                  <w:p w14:paraId="1F776D75">
                    <w:pPr>
                      <w:pStyle w:val="25"/>
                    </w:pPr>
                    <w:r>
                      <w:rPr>
                        <w:rFonts w:hint="eastAsia"/>
                      </w:rPr>
                      <w:t>28</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3191510</wp:posOffset>
              </wp:positionH>
              <wp:positionV relativeFrom="paragraph">
                <wp:posOffset>3138170</wp:posOffset>
              </wp:positionV>
              <wp:extent cx="162560" cy="125095"/>
              <wp:effectExtent l="0" t="0" r="0" b="0"/>
              <wp:wrapNone/>
              <wp:docPr id="9" name="文本框 11"/>
              <wp:cNvGraphicFramePr/>
              <a:graphic xmlns:a="http://schemas.openxmlformats.org/drawingml/2006/main">
                <a:graphicData uri="http://schemas.microsoft.com/office/word/2010/wordprocessingShape">
                  <wps:wsp>
                    <wps:cNvSpPr txBox="1"/>
                    <wps:spPr>
                      <a:xfrm>
                        <a:off x="0" y="0"/>
                        <a:ext cx="162560" cy="125095"/>
                      </a:xfrm>
                      <a:prstGeom prst="rect">
                        <a:avLst/>
                      </a:prstGeom>
                      <a:noFill/>
                      <a:ln>
                        <a:noFill/>
                      </a:ln>
                    </wps:spPr>
                    <wps:txbx>
                      <w:txbxContent>
                        <w:p w14:paraId="7044343F">
                          <w:pPr>
                            <w:pStyle w:val="25"/>
                          </w:pPr>
                          <w:r>
                            <w:rPr>
                              <w:rFonts w:hint="eastAsia"/>
                            </w:rPr>
                            <w:t>27</w:t>
                          </w:r>
                        </w:p>
                      </w:txbxContent>
                    </wps:txbx>
                    <wps:bodyPr wrap="square" lIns="0" tIns="0" rIns="0" bIns="0"/>
                  </wps:wsp>
                </a:graphicData>
              </a:graphic>
            </wp:anchor>
          </w:drawing>
        </mc:Choice>
        <mc:Fallback>
          <w:pict>
            <v:shape id="文本框 11" o:spid="_x0000_s1026" o:spt="202" type="#_x0000_t202" style="position:absolute;left:0pt;margin-left:251.3pt;margin-top:247.1pt;height:9.85pt;width:12.8pt;mso-position-horizontal-relative:margin;z-index:251661312;mso-width-relative:page;mso-height-relative:page;" filled="f" stroked="f" coordsize="21600,21600" o:gfxdata="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D/ugNoAAAALAQAADwAAAAAAAAABACAAAAAiAAAAZHJzL2Rvd25yZXYueG1s&#10;UEsBAhQAFAAAAAgAh07iQJP2/6O9AQAAdAMAAA4AAAAAAAAAAQAgAAAAKQEAAGRycy9lMm9Eb2Mu&#10;eG1sUEsFBgAAAAAGAAYAWQEAAFgFAAAAAA==&#10;">
              <v:fill on="f" focussize="0,0"/>
              <v:stroke on="f"/>
              <v:imagedata o:title=""/>
              <o:lock v:ext="edit" aspectratio="f"/>
              <v:textbox inset="0mm,0mm,0mm,0mm">
                <w:txbxContent>
                  <w:p w14:paraId="7044343F">
                    <w:pPr>
                      <w:pStyle w:val="25"/>
                    </w:pPr>
                    <w:r>
                      <w:rPr>
                        <w:rFonts w:hint="eastAsia"/>
                      </w:rPr>
                      <w:t>27</w:t>
                    </w:r>
                  </w:p>
                </w:txbxContent>
              </v:textbox>
            </v:shape>
          </w:pict>
        </mc:Fallback>
      </mc:AlternateContent>
    </w:r>
    <w:r>
      <w:rPr>
        <w:rFonts w:hint="eastAsia"/>
      </w:rPr>
      <w:t>28</w:t>
    </w:r>
  </w:p>
  <w:p w14:paraId="5AA7DF79">
    <w:pPr>
      <w:pStyle w:val="25"/>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22A18">
    <w:pPr>
      <w:pStyle w:val="25"/>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A7138A">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36A7138A">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12248">
    <w:pPr>
      <w:pStyle w:val="25"/>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588393">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31588393">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E0906">
    <w:pPr>
      <w:pStyle w:val="25"/>
      <w:jc w:val="center"/>
      <w:rPr>
        <w:rFonts w:hint="default"/>
        <w:lang w:val="en-US"/>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CFC26">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370CFC26">
                    <w:pPr>
                      <w:pStyle w:val="25"/>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posOffset>2972435</wp:posOffset>
              </wp:positionH>
              <wp:positionV relativeFrom="paragraph">
                <wp:posOffset>-2540</wp:posOffset>
              </wp:positionV>
              <wp:extent cx="123825" cy="1828800"/>
              <wp:effectExtent l="0" t="0" r="0" b="0"/>
              <wp:wrapNone/>
              <wp:docPr id="6" name="文本框 18"/>
              <wp:cNvGraphicFramePr/>
              <a:graphic xmlns:a="http://schemas.openxmlformats.org/drawingml/2006/main">
                <a:graphicData uri="http://schemas.microsoft.com/office/word/2010/wordprocessingShape">
                  <wps:wsp>
                    <wps:cNvSpPr txBox="1"/>
                    <wps:spPr>
                      <a:xfrm>
                        <a:off x="0" y="0"/>
                        <a:ext cx="123825" cy="1828800"/>
                      </a:xfrm>
                      <a:prstGeom prst="rect">
                        <a:avLst/>
                      </a:prstGeom>
                      <a:noFill/>
                      <a:ln>
                        <a:noFill/>
                      </a:ln>
                    </wps:spPr>
                    <wps:txbx>
                      <w:txbxContent>
                        <w:p w14:paraId="09437CC9">
                          <w:pPr>
                            <w:pStyle w:val="25"/>
                          </w:pPr>
                        </w:p>
                        <w:p w14:paraId="7809273B">
                          <w:pPr>
                            <w:pStyle w:val="25"/>
                            <w:rPr>
                              <w:rFonts w:hint="default" w:eastAsia="宋体"/>
                              <w:lang w:val="en-US" w:eastAsia="zh-CN"/>
                            </w:rPr>
                          </w:pPr>
                        </w:p>
                      </w:txbxContent>
                    </wps:txbx>
                    <wps:bodyPr wrap="square" lIns="0" tIns="0" rIns="0" bIns="0">
                      <a:spAutoFit/>
                    </wps:bodyPr>
                  </wps:wsp>
                </a:graphicData>
              </a:graphic>
            </wp:anchor>
          </w:drawing>
        </mc:Choice>
        <mc:Fallback>
          <w:pict>
            <v:shape id="文本框 18" o:spid="_x0000_s1026" o:spt="202" type="#_x0000_t202" style="position:absolute;left:0pt;margin-left:234.05pt;margin-top:-0.2pt;height:144pt;width:9.75pt;mso-position-horizontal-relative:margin;z-index:251664384;mso-width-relative:page;mso-height-relative:page;" filled="f" stroked="f" coordsize="21600,21600" o:gfxdata="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p4lZNYAAAAJAQAADwAAAAAAAAABACAAAAAiAAAAZHJzL2Rv&#10;d25yZXYueG1sUEsBAhQAFAAAAAgAh07iQMFri8nKAQAAjwMAAA4AAAAAAAAAAQAgAAAAJQEAAGRy&#10;cy9lMm9Eb2MueG1sUEsFBgAAAAAGAAYAWQEAAGEFAAAAAA==&#10;">
              <v:fill on="f" focussize="0,0"/>
              <v:stroke on="f"/>
              <v:imagedata o:title=""/>
              <o:lock v:ext="edit" aspectratio="f"/>
              <v:textbox inset="0mm,0mm,0mm,0mm" style="mso-fit-shape-to-text:t;">
                <w:txbxContent>
                  <w:p w14:paraId="09437CC9">
                    <w:pPr>
                      <w:pStyle w:val="25"/>
                    </w:pPr>
                  </w:p>
                  <w:p w14:paraId="7809273B">
                    <w:pPr>
                      <w:pStyle w:val="25"/>
                      <w:rPr>
                        <w:rFonts w:hint="default" w:eastAsia="宋体"/>
                        <w:lang w:val="en-US" w:eastAsia="zh-CN"/>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ED93A">
    <w:pPr>
      <w:pStyle w:val="25"/>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966987">
                          <w:pPr>
                            <w:pStyle w:val="25"/>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71966987">
                    <w:pPr>
                      <w:pStyle w:val="25"/>
                    </w:pPr>
                    <w:r>
                      <w:fldChar w:fldCharType="begin"/>
                    </w:r>
                    <w:r>
                      <w:instrText xml:space="preserve"> PAGE  \* MERGEFORMAT </w:instrText>
                    </w:r>
                    <w:r>
                      <w:fldChar w:fldCharType="separate"/>
                    </w:r>
                    <w:r>
                      <w:t>101</w:t>
                    </w:r>
                    <w:r>
                      <w:fldChar w:fldCharType="end"/>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C6C6AF">
                          <w:pPr>
                            <w:pStyle w:val="25"/>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DC6C6AF">
                    <w:pPr>
                      <w:pStyle w:val="25"/>
                      <w:rPr>
                        <w:rFonts w:hint="default" w:eastAsia="宋体"/>
                        <w:lang w:val="en-US" w:eastAsia="zh-CN"/>
                      </w:rPr>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2972435</wp:posOffset>
              </wp:positionH>
              <wp:positionV relativeFrom="paragraph">
                <wp:posOffset>-2540</wp:posOffset>
              </wp:positionV>
              <wp:extent cx="123825" cy="1828800"/>
              <wp:effectExtent l="0" t="0" r="0" b="0"/>
              <wp:wrapNone/>
              <wp:docPr id="16" name="文本框 18"/>
              <wp:cNvGraphicFramePr/>
              <a:graphic xmlns:a="http://schemas.openxmlformats.org/drawingml/2006/main">
                <a:graphicData uri="http://schemas.microsoft.com/office/word/2010/wordprocessingShape">
                  <wps:wsp>
                    <wps:cNvSpPr txBox="1"/>
                    <wps:spPr>
                      <a:xfrm>
                        <a:off x="0" y="0"/>
                        <a:ext cx="123825" cy="1828800"/>
                      </a:xfrm>
                      <a:prstGeom prst="rect">
                        <a:avLst/>
                      </a:prstGeom>
                      <a:noFill/>
                      <a:ln>
                        <a:noFill/>
                      </a:ln>
                    </wps:spPr>
                    <wps:txbx>
                      <w:txbxContent>
                        <w:p w14:paraId="7EC60276">
                          <w:pPr>
                            <w:pStyle w:val="25"/>
                          </w:pPr>
                        </w:p>
                        <w:p w14:paraId="406CCEB3">
                          <w:pPr>
                            <w:pStyle w:val="25"/>
                            <w:rPr>
                              <w:rFonts w:hint="default" w:eastAsia="宋体"/>
                              <w:lang w:val="en-US" w:eastAsia="zh-CN"/>
                            </w:rPr>
                          </w:pPr>
                        </w:p>
                      </w:txbxContent>
                    </wps:txbx>
                    <wps:bodyPr wrap="square" lIns="0" tIns="0" rIns="0" bIns="0">
                      <a:spAutoFit/>
                    </wps:bodyPr>
                  </wps:wsp>
                </a:graphicData>
              </a:graphic>
            </wp:anchor>
          </w:drawing>
        </mc:Choice>
        <mc:Fallback>
          <w:pict>
            <v:shape id="文本框 18" o:spid="_x0000_s1026" o:spt="202" type="#_x0000_t202" style="position:absolute;left:0pt;margin-left:234.05pt;margin-top:-0.2pt;height:144pt;width:9.75pt;mso-position-horizontal-relative:margin;z-index:251665408;mso-width-relative:page;mso-height-relative:page;" filled="f" stroked="f" coordsize="21600,21600" o:gfxdata="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p4lZNYAAAAJAQAADwAAAAAAAAABACAAAAAiAAAAZHJzL2Rv&#10;d25yZXYueG1sUEsBAhQAFAAAAAgAh07iQNuLQu/KAQAAkAMAAA4AAAAAAAAAAQAgAAAAJQEAAGRy&#10;cy9lMm9Eb2MueG1sUEsFBgAAAAAGAAYAWQEAAGEFAAAAAA==&#10;">
              <v:fill on="f" focussize="0,0"/>
              <v:stroke on="f"/>
              <v:imagedata o:title=""/>
              <o:lock v:ext="edit" aspectratio="f"/>
              <v:textbox inset="0mm,0mm,0mm,0mm" style="mso-fit-shape-to-text:t;">
                <w:txbxContent>
                  <w:p w14:paraId="7EC60276">
                    <w:pPr>
                      <w:pStyle w:val="25"/>
                    </w:pPr>
                  </w:p>
                  <w:p w14:paraId="406CCEB3">
                    <w:pPr>
                      <w:pStyle w:val="25"/>
                      <w:rPr>
                        <w:rFonts w:hint="default" w:eastAsia="宋体"/>
                        <w:lang w:val="en-US" w:eastAsia="zh-CN"/>
                      </w:rP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2AB6F">
    <w:pPr>
      <w:pStyle w:val="25"/>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A33537">
                          <w:pPr>
                            <w:pStyle w:val="25"/>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1DA33537">
                    <w:pPr>
                      <w:pStyle w:val="25"/>
                    </w:pPr>
                    <w:r>
                      <w:fldChar w:fldCharType="begin"/>
                    </w:r>
                    <w:r>
                      <w:instrText xml:space="preserve"> PAGE  \* MERGEFORMAT </w:instrText>
                    </w:r>
                    <w:r>
                      <w:fldChar w:fldCharType="separate"/>
                    </w:r>
                    <w:r>
                      <w:t>101</w:t>
                    </w:r>
                    <w:r>
                      <w:fldChar w:fldCharType="end"/>
                    </w: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463651">
                          <w:pPr>
                            <w:pStyle w:val="25"/>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7C463651">
                    <w:pPr>
                      <w:pStyle w:val="25"/>
                      <w:rPr>
                        <w:rFonts w:hint="default" w:eastAsia="宋体"/>
                        <w:lang w:val="en-US" w:eastAsia="zh-CN"/>
                      </w:rPr>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2972435</wp:posOffset>
              </wp:positionH>
              <wp:positionV relativeFrom="paragraph">
                <wp:posOffset>-2540</wp:posOffset>
              </wp:positionV>
              <wp:extent cx="123825" cy="1828800"/>
              <wp:effectExtent l="0" t="0" r="0" b="0"/>
              <wp:wrapNone/>
              <wp:docPr id="19" name="文本框 18"/>
              <wp:cNvGraphicFramePr/>
              <a:graphic xmlns:a="http://schemas.openxmlformats.org/drawingml/2006/main">
                <a:graphicData uri="http://schemas.microsoft.com/office/word/2010/wordprocessingShape">
                  <wps:wsp>
                    <wps:cNvSpPr txBox="1"/>
                    <wps:spPr>
                      <a:xfrm>
                        <a:off x="0" y="0"/>
                        <a:ext cx="123825" cy="1828800"/>
                      </a:xfrm>
                      <a:prstGeom prst="rect">
                        <a:avLst/>
                      </a:prstGeom>
                      <a:noFill/>
                      <a:ln>
                        <a:noFill/>
                      </a:ln>
                    </wps:spPr>
                    <wps:txbx>
                      <w:txbxContent>
                        <w:p w14:paraId="05D78C56">
                          <w:pPr>
                            <w:pStyle w:val="25"/>
                          </w:pPr>
                        </w:p>
                        <w:p w14:paraId="71F2F550">
                          <w:pPr>
                            <w:pStyle w:val="25"/>
                            <w:rPr>
                              <w:rFonts w:hint="default" w:eastAsia="宋体"/>
                              <w:lang w:val="en-US" w:eastAsia="zh-CN"/>
                            </w:rPr>
                          </w:pPr>
                        </w:p>
                      </w:txbxContent>
                    </wps:txbx>
                    <wps:bodyPr wrap="square" lIns="0" tIns="0" rIns="0" bIns="0">
                      <a:spAutoFit/>
                    </wps:bodyPr>
                  </wps:wsp>
                </a:graphicData>
              </a:graphic>
            </wp:anchor>
          </w:drawing>
        </mc:Choice>
        <mc:Fallback>
          <w:pict>
            <v:shape id="文本框 18" o:spid="_x0000_s1026" o:spt="202" type="#_x0000_t202" style="position:absolute;left:0pt;margin-left:234.05pt;margin-top:-0.2pt;height:144pt;width:9.75pt;mso-position-horizontal-relative:margin;z-index:251667456;mso-width-relative:page;mso-height-relative:page;" filled="f" stroked="f" coordsize="21600,21600" o:gfxdata="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p4lZNYAAAAJAQAADwAAAAAAAAABACAAAAAiAAAAZHJzL2Rv&#10;d25yZXYueG1sUEsBAhQAFAAAAAgAh07iQDNKwKXKAQAAkAMAAA4AAAAAAAAAAQAgAAAAJQEAAGRy&#10;cy9lMm9Eb2MueG1sUEsFBgAAAAAGAAYAWQEAAGEFAAAAAA==&#10;">
              <v:fill on="f" focussize="0,0"/>
              <v:stroke on="f"/>
              <v:imagedata o:title=""/>
              <o:lock v:ext="edit" aspectratio="f"/>
              <v:textbox inset="0mm,0mm,0mm,0mm" style="mso-fit-shape-to-text:t;">
                <w:txbxContent>
                  <w:p w14:paraId="05D78C56">
                    <w:pPr>
                      <w:pStyle w:val="25"/>
                    </w:pPr>
                  </w:p>
                  <w:p w14:paraId="71F2F550">
                    <w:pPr>
                      <w:pStyle w:val="25"/>
                      <w:rPr>
                        <w:rFonts w:hint="default" w:eastAsia="宋体"/>
                        <w:lang w:val="en-US" w:eastAsia="zh-CN"/>
                      </w:rP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DD434">
    <w:pPr>
      <w:pStyle w:val="25"/>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10FE6">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C210FE6">
                    <w:pPr>
                      <w:pStyle w:val="25"/>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09D823">
                          <w:pPr>
                            <w:pStyle w:val="25"/>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109D823">
                    <w:pPr>
                      <w:pStyle w:val="25"/>
                      <w:rPr>
                        <w:rFonts w:hint="default" w:eastAsia="宋体"/>
                        <w:lang w:val="en-US" w:eastAsia="zh-CN"/>
                      </w:rPr>
                    </w:pP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margin">
                <wp:posOffset>2972435</wp:posOffset>
              </wp:positionH>
              <wp:positionV relativeFrom="paragraph">
                <wp:posOffset>-2540</wp:posOffset>
              </wp:positionV>
              <wp:extent cx="123825" cy="1828800"/>
              <wp:effectExtent l="0" t="0" r="0" b="0"/>
              <wp:wrapNone/>
              <wp:docPr id="13" name="文本框 18"/>
              <wp:cNvGraphicFramePr/>
              <a:graphic xmlns:a="http://schemas.openxmlformats.org/drawingml/2006/main">
                <a:graphicData uri="http://schemas.microsoft.com/office/word/2010/wordprocessingShape">
                  <wps:wsp>
                    <wps:cNvSpPr txBox="1"/>
                    <wps:spPr>
                      <a:xfrm>
                        <a:off x="0" y="0"/>
                        <a:ext cx="123825" cy="1828800"/>
                      </a:xfrm>
                      <a:prstGeom prst="rect">
                        <a:avLst/>
                      </a:prstGeom>
                      <a:noFill/>
                      <a:ln>
                        <a:noFill/>
                      </a:ln>
                    </wps:spPr>
                    <wps:txbx>
                      <w:txbxContent>
                        <w:p w14:paraId="3FFD9744">
                          <w:pPr>
                            <w:pStyle w:val="25"/>
                          </w:pPr>
                        </w:p>
                        <w:p w14:paraId="7444B2F0">
                          <w:pPr>
                            <w:pStyle w:val="25"/>
                            <w:rPr>
                              <w:rFonts w:hint="default" w:eastAsia="宋体"/>
                              <w:lang w:val="en-US" w:eastAsia="zh-CN"/>
                            </w:rPr>
                          </w:pPr>
                        </w:p>
                      </w:txbxContent>
                    </wps:txbx>
                    <wps:bodyPr wrap="square" lIns="0" tIns="0" rIns="0" bIns="0">
                      <a:spAutoFit/>
                    </wps:bodyPr>
                  </wps:wsp>
                </a:graphicData>
              </a:graphic>
            </wp:anchor>
          </w:drawing>
        </mc:Choice>
        <mc:Fallback>
          <w:pict>
            <v:shape id="文本框 18" o:spid="_x0000_s1026" o:spt="202" type="#_x0000_t202" style="position:absolute;left:0pt;margin-left:234.05pt;margin-top:-0.2pt;height:144pt;width:9.75pt;mso-position-horizontal-relative:margin;z-index:251670528;mso-width-relative:page;mso-height-relative:page;" filled="f" stroked="f" coordsize="21600,21600" o:gfxdata="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p4lZNYAAAAJAQAADwAAAAAAAAABACAAAAAiAAAAZHJzL2Rv&#10;d25yZXYueG1sUEsBAhQAFAAAAAgAh07iQIM0w9bKAQAAkAMAAA4AAAAAAAAAAQAgAAAAJQEAAGRy&#10;cy9lMm9Eb2MueG1sUEsFBgAAAAAGAAYAWQEAAGEFAAAAAA==&#10;">
              <v:fill on="f" focussize="0,0"/>
              <v:stroke on="f"/>
              <v:imagedata o:title=""/>
              <o:lock v:ext="edit" aspectratio="f"/>
              <v:textbox inset="0mm,0mm,0mm,0mm" style="mso-fit-shape-to-text:t;">
                <w:txbxContent>
                  <w:p w14:paraId="3FFD9744">
                    <w:pPr>
                      <w:pStyle w:val="25"/>
                    </w:pPr>
                  </w:p>
                  <w:p w14:paraId="7444B2F0">
                    <w:pPr>
                      <w:pStyle w:val="25"/>
                      <w:rPr>
                        <w:rFonts w:hint="default" w:eastAsia="宋体"/>
                        <w:lang w:val="en-US" w:eastAsia="zh-CN"/>
                      </w:rPr>
                    </w:pP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0FA5C">
    <w:pPr>
      <w:pStyle w:val="25"/>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559D6B">
                          <w:pPr>
                            <w:pStyle w:val="25"/>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54559D6B">
                    <w:pPr>
                      <w:pStyle w:val="25"/>
                    </w:pPr>
                    <w:r>
                      <w:fldChar w:fldCharType="begin"/>
                    </w:r>
                    <w:r>
                      <w:instrText xml:space="preserve"> PAGE  \* MERGEFORMAT </w:instrText>
                    </w:r>
                    <w:r>
                      <w:fldChar w:fldCharType="separate"/>
                    </w:r>
                    <w:r>
                      <w:t>131</w:t>
                    </w:r>
                    <w:r>
                      <w:fldChar w:fldCharType="end"/>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E1B2B4">
                          <w:pPr>
                            <w:pStyle w:val="25"/>
                            <w:rPr>
                              <w:rFonts w:hint="default" w:eastAsia="宋体"/>
                              <w:lang w:val="en-US" w:eastAsia="zh-CN"/>
                            </w:rPr>
                          </w:pPr>
                          <w:r>
                            <w:rPr>
                              <w:rFonts w:hint="eastAsia"/>
                              <w:lang w:val="en-US" w:eastAsia="zh-CN"/>
                            </w:rPr>
                            <w:t>132</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47E1B2B4">
                    <w:pPr>
                      <w:pStyle w:val="25"/>
                      <w:rPr>
                        <w:rFonts w:hint="default" w:eastAsia="宋体"/>
                        <w:lang w:val="en-US" w:eastAsia="zh-CN"/>
                      </w:rPr>
                    </w:pPr>
                    <w:r>
                      <w:rPr>
                        <w:rFonts w:hint="eastAsia"/>
                        <w:lang w:val="en-US" w:eastAsia="zh-CN"/>
                      </w:rPr>
                      <w:t>132</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E9FA8">
    <w:pPr>
      <w:pStyle w:val="25"/>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BD50E8">
                          <w:pPr>
                            <w:pStyle w:val="25"/>
                          </w:pPr>
                          <w:r>
                            <w:fldChar w:fldCharType="begin"/>
                          </w:r>
                          <w:r>
                            <w:instrText xml:space="preserve"> PAGE  \* MERGEFORMAT </w:instrText>
                          </w:r>
                          <w:r>
                            <w:fldChar w:fldCharType="separate"/>
                          </w:r>
                          <w:r>
                            <w:t>132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3CBD50E8">
                    <w:pPr>
                      <w:pStyle w:val="25"/>
                    </w:pPr>
                    <w:r>
                      <w:fldChar w:fldCharType="begin"/>
                    </w:r>
                    <w:r>
                      <w:instrText xml:space="preserve"> PAGE  \* MERGEFORMAT </w:instrText>
                    </w:r>
                    <w:r>
                      <w:fldChar w:fldCharType="separate"/>
                    </w:r>
                    <w:r>
                      <w:t>132</w:t>
                    </w:r>
                    <w:r>
                      <w:fldChar w:fldCharType="end"/>
                    </w: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4929DA">
                          <w:pPr>
                            <w:pStyle w:val="25"/>
                            <w:rPr>
                              <w:rFonts w:hint="default" w:eastAsia="宋体"/>
                              <w:lang w:val="en-US" w:eastAsia="zh-CN"/>
                            </w:rPr>
                          </w:pPr>
                          <w:r>
                            <w:rPr>
                              <w:rFonts w:hint="eastAsia"/>
                              <w:lang w:val="en-US" w:eastAsia="zh-CN"/>
                            </w:rPr>
                            <w:t>134</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364929DA">
                    <w:pPr>
                      <w:pStyle w:val="25"/>
                      <w:rPr>
                        <w:rFonts w:hint="default" w:eastAsia="宋体"/>
                        <w:lang w:val="en-US" w:eastAsia="zh-CN"/>
                      </w:rPr>
                    </w:pPr>
                    <w:r>
                      <w:rPr>
                        <w:rFonts w:hint="eastAsia"/>
                        <w:lang w:val="en-US" w:eastAsia="zh-CN"/>
                      </w:rPr>
                      <w:t>134</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99D94">
    <w:pPr>
      <w:pStyle w:val="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91A45">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805F3">
    <w:pPr>
      <w:pStyle w:val="26"/>
      <w:tabs>
        <w:tab w:val="left" w:pos="3565"/>
        <w:tab w:val="clear" w:pos="4153"/>
        <w:tab w:val="clear" w:pos="8306"/>
      </w:tabs>
      <w:jc w:val="both"/>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8D2230"/>
    <w:multiLevelType w:val="singleLevel"/>
    <w:tmpl w:val="AC8D2230"/>
    <w:lvl w:ilvl="0" w:tentative="0">
      <w:start w:val="2"/>
      <w:numFmt w:val="decimal"/>
      <w:lvlText w:val="%1."/>
      <w:lvlJc w:val="left"/>
      <w:pPr>
        <w:tabs>
          <w:tab w:val="left" w:pos="312"/>
        </w:tabs>
      </w:pPr>
    </w:lvl>
  </w:abstractNum>
  <w:abstractNum w:abstractNumId="1">
    <w:nsid w:val="ADF9757E"/>
    <w:multiLevelType w:val="singleLevel"/>
    <w:tmpl w:val="ADF9757E"/>
    <w:lvl w:ilvl="0" w:tentative="0">
      <w:start w:val="1"/>
      <w:numFmt w:val="decimal"/>
      <w:suff w:val="nothing"/>
      <w:lvlText w:val="%1、"/>
      <w:lvlJc w:val="left"/>
    </w:lvl>
  </w:abstractNum>
  <w:abstractNum w:abstractNumId="2">
    <w:nsid w:val="B324B362"/>
    <w:multiLevelType w:val="singleLevel"/>
    <w:tmpl w:val="B324B362"/>
    <w:lvl w:ilvl="0" w:tentative="0">
      <w:start w:val="1"/>
      <w:numFmt w:val="decimal"/>
      <w:suff w:val="nothing"/>
      <w:lvlText w:val="（%1）"/>
      <w:lvlJc w:val="left"/>
    </w:lvl>
  </w:abstractNum>
  <w:abstractNum w:abstractNumId="3">
    <w:nsid w:val="CB21DBDA"/>
    <w:multiLevelType w:val="singleLevel"/>
    <w:tmpl w:val="CB21DBDA"/>
    <w:lvl w:ilvl="0" w:tentative="0">
      <w:start w:val="5"/>
      <w:numFmt w:val="decimal"/>
      <w:lvlText w:val="%1."/>
      <w:lvlJc w:val="left"/>
      <w:pPr>
        <w:tabs>
          <w:tab w:val="left" w:pos="312"/>
        </w:tabs>
      </w:pPr>
    </w:lvl>
  </w:abstractNum>
  <w:abstractNum w:abstractNumId="4">
    <w:nsid w:val="CF95C3D8"/>
    <w:multiLevelType w:val="singleLevel"/>
    <w:tmpl w:val="CF95C3D8"/>
    <w:lvl w:ilvl="0" w:tentative="0">
      <w:start w:val="1"/>
      <w:numFmt w:val="decimal"/>
      <w:suff w:val="nothing"/>
      <w:lvlText w:val="（%1）"/>
      <w:lvlJc w:val="left"/>
    </w:lvl>
  </w:abstractNum>
  <w:abstractNum w:abstractNumId="5">
    <w:nsid w:val="DA50A26A"/>
    <w:multiLevelType w:val="singleLevel"/>
    <w:tmpl w:val="DA50A26A"/>
    <w:lvl w:ilvl="0" w:tentative="0">
      <w:start w:val="4"/>
      <w:numFmt w:val="chineseCounting"/>
      <w:suff w:val="nothing"/>
      <w:lvlText w:val="%1、"/>
      <w:lvlJc w:val="left"/>
      <w:rPr>
        <w:rFonts w:hint="eastAsia"/>
      </w:rPr>
    </w:lvl>
  </w:abstractNum>
  <w:abstractNum w:abstractNumId="6">
    <w:nsid w:val="0248C179"/>
    <w:multiLevelType w:val="multilevel"/>
    <w:tmpl w:val="0248C179"/>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6784D56"/>
    <w:multiLevelType w:val="singleLevel"/>
    <w:tmpl w:val="06784D56"/>
    <w:lvl w:ilvl="0" w:tentative="0">
      <w:start w:val="1"/>
      <w:numFmt w:val="upperLetter"/>
      <w:pStyle w:val="51"/>
      <w:lvlText w:val="附录%1."/>
      <w:lvlJc w:val="left"/>
      <w:pPr>
        <w:tabs>
          <w:tab w:val="left" w:pos="907"/>
        </w:tabs>
        <w:ind w:left="907" w:hanging="907"/>
      </w:pPr>
      <w:rPr>
        <w:rFonts w:hint="eastAsia"/>
      </w:rPr>
    </w:lvl>
  </w:abstractNum>
  <w:abstractNum w:abstractNumId="8">
    <w:nsid w:val="237E4D61"/>
    <w:multiLevelType w:val="multilevel"/>
    <w:tmpl w:val="237E4D61"/>
    <w:lvl w:ilvl="0" w:tentative="0">
      <w:start w:val="1"/>
      <w:numFmt w:val="japaneseCounting"/>
      <w:pStyle w:val="65"/>
      <w:lvlText w:val="第%1章"/>
      <w:lvlJc w:val="left"/>
      <w:pPr>
        <w:ind w:left="9351" w:hanging="420"/>
      </w:pPr>
      <w:rPr>
        <w:rFonts w:hint="eastAsia" w:ascii="黑体" w:eastAsia="黑体"/>
        <w:b w:val="0"/>
        <w:sz w:val="36"/>
        <w:lang w:val="en-US"/>
      </w:rPr>
    </w:lvl>
    <w:lvl w:ilvl="1" w:tentative="0">
      <w:start w:val="1"/>
      <w:numFmt w:val="decimal"/>
      <w:pStyle w:val="54"/>
      <w:isLgl/>
      <w:lvlText w:val="%1.%2"/>
      <w:lvlJc w:val="left"/>
      <w:pPr>
        <w:tabs>
          <w:tab w:val="left" w:pos="851"/>
        </w:tabs>
        <w:ind w:left="0" w:firstLine="0"/>
      </w:pPr>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2" w:tentative="0">
      <w:start w:val="1"/>
      <w:numFmt w:val="decimal"/>
      <w:pStyle w:val="55"/>
      <w:isLgl/>
      <w:lvlText w:val="%1.%2.%3"/>
      <w:lvlJc w:val="left"/>
      <w:pPr>
        <w:tabs>
          <w:tab w:val="left" w:pos="851"/>
        </w:tabs>
        <w:ind w:left="0" w:firstLine="0"/>
      </w:pPr>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tentative="0">
      <w:start w:val="1"/>
      <w:numFmt w:val="decimal"/>
      <w:pStyle w:val="66"/>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9">
    <w:nsid w:val="7B532984"/>
    <w:multiLevelType w:val="singleLevel"/>
    <w:tmpl w:val="7B532984"/>
    <w:lvl w:ilvl="0" w:tentative="0">
      <w:start w:val="4"/>
      <w:numFmt w:val="chineseCounting"/>
      <w:suff w:val="space"/>
      <w:lvlText w:val="第%1章"/>
      <w:lvlJc w:val="left"/>
      <w:rPr>
        <w:rFonts w:hint="eastAsia"/>
      </w:rPr>
    </w:lvl>
  </w:abstractNum>
  <w:num w:numId="1">
    <w:abstractNumId w:val="7"/>
  </w:num>
  <w:num w:numId="2">
    <w:abstractNumId w:val="8"/>
  </w:num>
  <w:num w:numId="3">
    <w:abstractNumId w:val="2"/>
  </w:num>
  <w:num w:numId="4">
    <w:abstractNumId w:val="5"/>
  </w:num>
  <w:num w:numId="5">
    <w:abstractNumId w:val="4"/>
  </w:num>
  <w:num w:numId="6">
    <w:abstractNumId w:val="9"/>
  </w:num>
  <w:num w:numId="7">
    <w:abstractNumId w:val="1"/>
  </w:num>
  <w:num w:numId="8">
    <w:abstractNumId w:val="0"/>
  </w:num>
  <w:num w:numId="9">
    <w:abstractNumId w:val="3"/>
  </w:num>
  <w:num w:numId="10">
    <w:abstractNumId w:val="6"/>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4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xZjRiMzBjNGY2MTYzY2MxMjM1NzI4ODg2ZDg5MzMifQ=="/>
    <w:docVar w:name="KGWebUrl" w:val="http://112.24.96.62:8084/yczfcg/OfficeServer"/>
  </w:docVars>
  <w:rsids>
    <w:rsidRoot w:val="00C26726"/>
    <w:rsid w:val="00002209"/>
    <w:rsid w:val="0000240C"/>
    <w:rsid w:val="00002995"/>
    <w:rsid w:val="00003B42"/>
    <w:rsid w:val="00004021"/>
    <w:rsid w:val="000042B8"/>
    <w:rsid w:val="00005A19"/>
    <w:rsid w:val="00006652"/>
    <w:rsid w:val="00006DD7"/>
    <w:rsid w:val="00010AD8"/>
    <w:rsid w:val="000125B7"/>
    <w:rsid w:val="000136F0"/>
    <w:rsid w:val="00014318"/>
    <w:rsid w:val="00017387"/>
    <w:rsid w:val="00020761"/>
    <w:rsid w:val="000217AF"/>
    <w:rsid w:val="00021F81"/>
    <w:rsid w:val="00022538"/>
    <w:rsid w:val="0002258C"/>
    <w:rsid w:val="000240E9"/>
    <w:rsid w:val="000247C1"/>
    <w:rsid w:val="00027330"/>
    <w:rsid w:val="000301F8"/>
    <w:rsid w:val="00030231"/>
    <w:rsid w:val="00030A86"/>
    <w:rsid w:val="00030F2C"/>
    <w:rsid w:val="00031E66"/>
    <w:rsid w:val="00031F03"/>
    <w:rsid w:val="0003271B"/>
    <w:rsid w:val="000336E2"/>
    <w:rsid w:val="00033A5F"/>
    <w:rsid w:val="00035773"/>
    <w:rsid w:val="00035E23"/>
    <w:rsid w:val="00037092"/>
    <w:rsid w:val="00040D8B"/>
    <w:rsid w:val="00042D59"/>
    <w:rsid w:val="00044140"/>
    <w:rsid w:val="0004532E"/>
    <w:rsid w:val="00050D3E"/>
    <w:rsid w:val="0005265C"/>
    <w:rsid w:val="00052ABC"/>
    <w:rsid w:val="00053C3A"/>
    <w:rsid w:val="00053FCF"/>
    <w:rsid w:val="000549F6"/>
    <w:rsid w:val="00054CF4"/>
    <w:rsid w:val="00054DE8"/>
    <w:rsid w:val="00055173"/>
    <w:rsid w:val="000562C0"/>
    <w:rsid w:val="000600DE"/>
    <w:rsid w:val="0006058F"/>
    <w:rsid w:val="000621DD"/>
    <w:rsid w:val="0006240C"/>
    <w:rsid w:val="00062CD4"/>
    <w:rsid w:val="00063EEB"/>
    <w:rsid w:val="0006479E"/>
    <w:rsid w:val="00065787"/>
    <w:rsid w:val="000673B6"/>
    <w:rsid w:val="00067530"/>
    <w:rsid w:val="00070030"/>
    <w:rsid w:val="000719A1"/>
    <w:rsid w:val="00072F55"/>
    <w:rsid w:val="0007539D"/>
    <w:rsid w:val="00075883"/>
    <w:rsid w:val="00076EDC"/>
    <w:rsid w:val="000775B1"/>
    <w:rsid w:val="00080BF6"/>
    <w:rsid w:val="00080E3B"/>
    <w:rsid w:val="00082676"/>
    <w:rsid w:val="00082802"/>
    <w:rsid w:val="0008297B"/>
    <w:rsid w:val="00083537"/>
    <w:rsid w:val="000842C8"/>
    <w:rsid w:val="00084C1B"/>
    <w:rsid w:val="00084C20"/>
    <w:rsid w:val="000853EF"/>
    <w:rsid w:val="00086583"/>
    <w:rsid w:val="00086FE6"/>
    <w:rsid w:val="00087456"/>
    <w:rsid w:val="000874DF"/>
    <w:rsid w:val="00087E39"/>
    <w:rsid w:val="000917FE"/>
    <w:rsid w:val="0009200E"/>
    <w:rsid w:val="00092321"/>
    <w:rsid w:val="00092AC7"/>
    <w:rsid w:val="00093560"/>
    <w:rsid w:val="00094791"/>
    <w:rsid w:val="0009545E"/>
    <w:rsid w:val="0009779B"/>
    <w:rsid w:val="00097AFA"/>
    <w:rsid w:val="000A04F8"/>
    <w:rsid w:val="000A0C03"/>
    <w:rsid w:val="000A31DB"/>
    <w:rsid w:val="000A3A58"/>
    <w:rsid w:val="000A4069"/>
    <w:rsid w:val="000A4C95"/>
    <w:rsid w:val="000B40D4"/>
    <w:rsid w:val="000B40EA"/>
    <w:rsid w:val="000B57ED"/>
    <w:rsid w:val="000B5FD6"/>
    <w:rsid w:val="000B6B84"/>
    <w:rsid w:val="000B7353"/>
    <w:rsid w:val="000B7DBA"/>
    <w:rsid w:val="000C0811"/>
    <w:rsid w:val="000C13CC"/>
    <w:rsid w:val="000C165D"/>
    <w:rsid w:val="000C1E90"/>
    <w:rsid w:val="000C2F4F"/>
    <w:rsid w:val="000C2F64"/>
    <w:rsid w:val="000C399B"/>
    <w:rsid w:val="000C3E60"/>
    <w:rsid w:val="000C480A"/>
    <w:rsid w:val="000C4878"/>
    <w:rsid w:val="000C52A6"/>
    <w:rsid w:val="000C61E3"/>
    <w:rsid w:val="000C6A2B"/>
    <w:rsid w:val="000D0069"/>
    <w:rsid w:val="000D1919"/>
    <w:rsid w:val="000D3F30"/>
    <w:rsid w:val="000D58C3"/>
    <w:rsid w:val="000D5D52"/>
    <w:rsid w:val="000D5EA8"/>
    <w:rsid w:val="000D60FB"/>
    <w:rsid w:val="000D62DE"/>
    <w:rsid w:val="000D6AA5"/>
    <w:rsid w:val="000D7F34"/>
    <w:rsid w:val="000D7F45"/>
    <w:rsid w:val="000E20A6"/>
    <w:rsid w:val="000E2C12"/>
    <w:rsid w:val="000E3510"/>
    <w:rsid w:val="000E5E96"/>
    <w:rsid w:val="000E7BF1"/>
    <w:rsid w:val="000F00A8"/>
    <w:rsid w:val="000F0AD5"/>
    <w:rsid w:val="000F10CA"/>
    <w:rsid w:val="000F1672"/>
    <w:rsid w:val="000F5062"/>
    <w:rsid w:val="001000CA"/>
    <w:rsid w:val="001003CB"/>
    <w:rsid w:val="00100B0C"/>
    <w:rsid w:val="00100E3A"/>
    <w:rsid w:val="0010183D"/>
    <w:rsid w:val="00101D75"/>
    <w:rsid w:val="001023D0"/>
    <w:rsid w:val="0010281D"/>
    <w:rsid w:val="00103735"/>
    <w:rsid w:val="00103B24"/>
    <w:rsid w:val="00103CE1"/>
    <w:rsid w:val="00103DAD"/>
    <w:rsid w:val="00105F91"/>
    <w:rsid w:val="00106AFE"/>
    <w:rsid w:val="00106C25"/>
    <w:rsid w:val="00106C7F"/>
    <w:rsid w:val="00107350"/>
    <w:rsid w:val="0011098B"/>
    <w:rsid w:val="00111474"/>
    <w:rsid w:val="001139D0"/>
    <w:rsid w:val="00113EC0"/>
    <w:rsid w:val="00115DA9"/>
    <w:rsid w:val="00115F64"/>
    <w:rsid w:val="00116855"/>
    <w:rsid w:val="001168FD"/>
    <w:rsid w:val="00117A85"/>
    <w:rsid w:val="00117FE8"/>
    <w:rsid w:val="001224B9"/>
    <w:rsid w:val="00123645"/>
    <w:rsid w:val="0012411B"/>
    <w:rsid w:val="00124509"/>
    <w:rsid w:val="00124D8B"/>
    <w:rsid w:val="00124E53"/>
    <w:rsid w:val="00124EDB"/>
    <w:rsid w:val="00130006"/>
    <w:rsid w:val="00130023"/>
    <w:rsid w:val="00131DF8"/>
    <w:rsid w:val="00131FC6"/>
    <w:rsid w:val="00132253"/>
    <w:rsid w:val="00133AD0"/>
    <w:rsid w:val="00133E40"/>
    <w:rsid w:val="001342F9"/>
    <w:rsid w:val="00134B3F"/>
    <w:rsid w:val="00136534"/>
    <w:rsid w:val="00136C63"/>
    <w:rsid w:val="0013758C"/>
    <w:rsid w:val="00137AC7"/>
    <w:rsid w:val="00140183"/>
    <w:rsid w:val="00140C88"/>
    <w:rsid w:val="001413E8"/>
    <w:rsid w:val="00141ED2"/>
    <w:rsid w:val="001423BE"/>
    <w:rsid w:val="001441D9"/>
    <w:rsid w:val="001453C1"/>
    <w:rsid w:val="001477B4"/>
    <w:rsid w:val="00147FFE"/>
    <w:rsid w:val="001500FD"/>
    <w:rsid w:val="001508B4"/>
    <w:rsid w:val="00152FE2"/>
    <w:rsid w:val="0015352F"/>
    <w:rsid w:val="0015365B"/>
    <w:rsid w:val="0015380C"/>
    <w:rsid w:val="00154766"/>
    <w:rsid w:val="00157F58"/>
    <w:rsid w:val="001603BA"/>
    <w:rsid w:val="001619DB"/>
    <w:rsid w:val="00161A22"/>
    <w:rsid w:val="00162B8F"/>
    <w:rsid w:val="001638D7"/>
    <w:rsid w:val="001652AF"/>
    <w:rsid w:val="001661CD"/>
    <w:rsid w:val="001666A1"/>
    <w:rsid w:val="00166C1A"/>
    <w:rsid w:val="00166D37"/>
    <w:rsid w:val="00167437"/>
    <w:rsid w:val="001704C1"/>
    <w:rsid w:val="0017168F"/>
    <w:rsid w:val="001738E5"/>
    <w:rsid w:val="0017441D"/>
    <w:rsid w:val="0017456D"/>
    <w:rsid w:val="001752B9"/>
    <w:rsid w:val="00175616"/>
    <w:rsid w:val="00176CE3"/>
    <w:rsid w:val="00177459"/>
    <w:rsid w:val="001809CA"/>
    <w:rsid w:val="00180F36"/>
    <w:rsid w:val="001811A2"/>
    <w:rsid w:val="001814E8"/>
    <w:rsid w:val="00181C74"/>
    <w:rsid w:val="001852E0"/>
    <w:rsid w:val="001857FA"/>
    <w:rsid w:val="00185E93"/>
    <w:rsid w:val="00185EBC"/>
    <w:rsid w:val="00185F96"/>
    <w:rsid w:val="0018783C"/>
    <w:rsid w:val="00190AC6"/>
    <w:rsid w:val="00190DC9"/>
    <w:rsid w:val="0019158C"/>
    <w:rsid w:val="001927E4"/>
    <w:rsid w:val="00192C00"/>
    <w:rsid w:val="001944F2"/>
    <w:rsid w:val="001945E2"/>
    <w:rsid w:val="001969F0"/>
    <w:rsid w:val="00196A9A"/>
    <w:rsid w:val="00196AC7"/>
    <w:rsid w:val="001A152B"/>
    <w:rsid w:val="001A271D"/>
    <w:rsid w:val="001A2A85"/>
    <w:rsid w:val="001A2E80"/>
    <w:rsid w:val="001A3F34"/>
    <w:rsid w:val="001A65E7"/>
    <w:rsid w:val="001A7923"/>
    <w:rsid w:val="001A7D50"/>
    <w:rsid w:val="001A7E8C"/>
    <w:rsid w:val="001B01DD"/>
    <w:rsid w:val="001B0963"/>
    <w:rsid w:val="001B0DA4"/>
    <w:rsid w:val="001B0E12"/>
    <w:rsid w:val="001B2341"/>
    <w:rsid w:val="001B2D0A"/>
    <w:rsid w:val="001B2DD2"/>
    <w:rsid w:val="001B2E95"/>
    <w:rsid w:val="001B4656"/>
    <w:rsid w:val="001B5888"/>
    <w:rsid w:val="001B66DD"/>
    <w:rsid w:val="001B68A6"/>
    <w:rsid w:val="001B72D1"/>
    <w:rsid w:val="001B7F6B"/>
    <w:rsid w:val="001C0759"/>
    <w:rsid w:val="001C0E6D"/>
    <w:rsid w:val="001C19F1"/>
    <w:rsid w:val="001C28C7"/>
    <w:rsid w:val="001C2902"/>
    <w:rsid w:val="001C305E"/>
    <w:rsid w:val="001C3582"/>
    <w:rsid w:val="001C367B"/>
    <w:rsid w:val="001C5AA7"/>
    <w:rsid w:val="001C6640"/>
    <w:rsid w:val="001D26F9"/>
    <w:rsid w:val="001D3245"/>
    <w:rsid w:val="001D4376"/>
    <w:rsid w:val="001D4DAD"/>
    <w:rsid w:val="001D5B9A"/>
    <w:rsid w:val="001E0272"/>
    <w:rsid w:val="001E02FF"/>
    <w:rsid w:val="001E0B1C"/>
    <w:rsid w:val="001E2C89"/>
    <w:rsid w:val="001E5368"/>
    <w:rsid w:val="001E7558"/>
    <w:rsid w:val="001F03F9"/>
    <w:rsid w:val="001F076C"/>
    <w:rsid w:val="001F2FC3"/>
    <w:rsid w:val="00201353"/>
    <w:rsid w:val="00203C51"/>
    <w:rsid w:val="0020428A"/>
    <w:rsid w:val="002043FB"/>
    <w:rsid w:val="0020498C"/>
    <w:rsid w:val="00205770"/>
    <w:rsid w:val="00207423"/>
    <w:rsid w:val="00210843"/>
    <w:rsid w:val="00210DB7"/>
    <w:rsid w:val="0021163B"/>
    <w:rsid w:val="00212174"/>
    <w:rsid w:val="002131CD"/>
    <w:rsid w:val="00213993"/>
    <w:rsid w:val="00214AA2"/>
    <w:rsid w:val="00214DDA"/>
    <w:rsid w:val="002168D2"/>
    <w:rsid w:val="00216A78"/>
    <w:rsid w:val="00216A99"/>
    <w:rsid w:val="002200CD"/>
    <w:rsid w:val="00222A1C"/>
    <w:rsid w:val="00222AA0"/>
    <w:rsid w:val="00222B72"/>
    <w:rsid w:val="0022451B"/>
    <w:rsid w:val="00224F03"/>
    <w:rsid w:val="002260D7"/>
    <w:rsid w:val="00226599"/>
    <w:rsid w:val="00226EA1"/>
    <w:rsid w:val="0022700E"/>
    <w:rsid w:val="00227061"/>
    <w:rsid w:val="00227367"/>
    <w:rsid w:val="0022736B"/>
    <w:rsid w:val="002279DE"/>
    <w:rsid w:val="00230732"/>
    <w:rsid w:val="00233E73"/>
    <w:rsid w:val="00235204"/>
    <w:rsid w:val="002358C3"/>
    <w:rsid w:val="002368DC"/>
    <w:rsid w:val="00237847"/>
    <w:rsid w:val="00237EDB"/>
    <w:rsid w:val="002408B3"/>
    <w:rsid w:val="0024513B"/>
    <w:rsid w:val="002452F7"/>
    <w:rsid w:val="00246231"/>
    <w:rsid w:val="00246334"/>
    <w:rsid w:val="00246D0D"/>
    <w:rsid w:val="002500BE"/>
    <w:rsid w:val="00250C6F"/>
    <w:rsid w:val="00250E9F"/>
    <w:rsid w:val="0025186C"/>
    <w:rsid w:val="002525E2"/>
    <w:rsid w:val="002527BE"/>
    <w:rsid w:val="00253AB8"/>
    <w:rsid w:val="00254113"/>
    <w:rsid w:val="00255236"/>
    <w:rsid w:val="00255FD0"/>
    <w:rsid w:val="00256074"/>
    <w:rsid w:val="002564F2"/>
    <w:rsid w:val="0025720B"/>
    <w:rsid w:val="002575BE"/>
    <w:rsid w:val="00261DAA"/>
    <w:rsid w:val="0026504C"/>
    <w:rsid w:val="00265D26"/>
    <w:rsid w:val="00266291"/>
    <w:rsid w:val="0026630F"/>
    <w:rsid w:val="002678B4"/>
    <w:rsid w:val="002679E8"/>
    <w:rsid w:val="00267BA7"/>
    <w:rsid w:val="00267FA8"/>
    <w:rsid w:val="00271284"/>
    <w:rsid w:val="00272DB9"/>
    <w:rsid w:val="00274DB6"/>
    <w:rsid w:val="00274EFA"/>
    <w:rsid w:val="00275AC8"/>
    <w:rsid w:val="00275F57"/>
    <w:rsid w:val="002766DF"/>
    <w:rsid w:val="00276FD6"/>
    <w:rsid w:val="00280B0D"/>
    <w:rsid w:val="002843CC"/>
    <w:rsid w:val="00284779"/>
    <w:rsid w:val="0028541C"/>
    <w:rsid w:val="00286B9E"/>
    <w:rsid w:val="00292891"/>
    <w:rsid w:val="002962EF"/>
    <w:rsid w:val="002973EE"/>
    <w:rsid w:val="002978B9"/>
    <w:rsid w:val="002A0105"/>
    <w:rsid w:val="002A26D0"/>
    <w:rsid w:val="002A30A1"/>
    <w:rsid w:val="002A3247"/>
    <w:rsid w:val="002A48CE"/>
    <w:rsid w:val="002A5190"/>
    <w:rsid w:val="002A52BB"/>
    <w:rsid w:val="002A53E9"/>
    <w:rsid w:val="002A557E"/>
    <w:rsid w:val="002A5D51"/>
    <w:rsid w:val="002A6A34"/>
    <w:rsid w:val="002A77D2"/>
    <w:rsid w:val="002B0FCA"/>
    <w:rsid w:val="002B1A08"/>
    <w:rsid w:val="002B3275"/>
    <w:rsid w:val="002B3FEF"/>
    <w:rsid w:val="002B452D"/>
    <w:rsid w:val="002B557E"/>
    <w:rsid w:val="002B635B"/>
    <w:rsid w:val="002B67A8"/>
    <w:rsid w:val="002C103E"/>
    <w:rsid w:val="002C1DA2"/>
    <w:rsid w:val="002C2DDF"/>
    <w:rsid w:val="002C3301"/>
    <w:rsid w:val="002C384A"/>
    <w:rsid w:val="002C45C5"/>
    <w:rsid w:val="002C481F"/>
    <w:rsid w:val="002C5DF1"/>
    <w:rsid w:val="002C6641"/>
    <w:rsid w:val="002C6F8F"/>
    <w:rsid w:val="002C7E15"/>
    <w:rsid w:val="002D0FDC"/>
    <w:rsid w:val="002D1DAC"/>
    <w:rsid w:val="002D31C3"/>
    <w:rsid w:val="002D3E86"/>
    <w:rsid w:val="002D4757"/>
    <w:rsid w:val="002D4E37"/>
    <w:rsid w:val="002D5068"/>
    <w:rsid w:val="002D5241"/>
    <w:rsid w:val="002D63F4"/>
    <w:rsid w:val="002D6990"/>
    <w:rsid w:val="002D69A8"/>
    <w:rsid w:val="002D7108"/>
    <w:rsid w:val="002D74A9"/>
    <w:rsid w:val="002E0B4C"/>
    <w:rsid w:val="002E13FD"/>
    <w:rsid w:val="002E285D"/>
    <w:rsid w:val="002E29E8"/>
    <w:rsid w:val="002E50A3"/>
    <w:rsid w:val="002E5BA0"/>
    <w:rsid w:val="002E686F"/>
    <w:rsid w:val="002E7866"/>
    <w:rsid w:val="002F05A6"/>
    <w:rsid w:val="002F0BAB"/>
    <w:rsid w:val="002F1F9C"/>
    <w:rsid w:val="002F392A"/>
    <w:rsid w:val="002F5DD5"/>
    <w:rsid w:val="002F6156"/>
    <w:rsid w:val="002F6336"/>
    <w:rsid w:val="002F6648"/>
    <w:rsid w:val="00301989"/>
    <w:rsid w:val="00301D65"/>
    <w:rsid w:val="00302C61"/>
    <w:rsid w:val="003031A4"/>
    <w:rsid w:val="003043F6"/>
    <w:rsid w:val="00305121"/>
    <w:rsid w:val="00310118"/>
    <w:rsid w:val="00310266"/>
    <w:rsid w:val="00311D5B"/>
    <w:rsid w:val="00312F22"/>
    <w:rsid w:val="003178B9"/>
    <w:rsid w:val="00317AAC"/>
    <w:rsid w:val="00317EFA"/>
    <w:rsid w:val="00321423"/>
    <w:rsid w:val="00330BD2"/>
    <w:rsid w:val="003322B6"/>
    <w:rsid w:val="003324B2"/>
    <w:rsid w:val="00334194"/>
    <w:rsid w:val="003344E4"/>
    <w:rsid w:val="00334C5D"/>
    <w:rsid w:val="00336E84"/>
    <w:rsid w:val="003372C1"/>
    <w:rsid w:val="00337491"/>
    <w:rsid w:val="00337524"/>
    <w:rsid w:val="00341988"/>
    <w:rsid w:val="00342AA7"/>
    <w:rsid w:val="00342F43"/>
    <w:rsid w:val="003446E4"/>
    <w:rsid w:val="003447F1"/>
    <w:rsid w:val="00345CA1"/>
    <w:rsid w:val="0034654D"/>
    <w:rsid w:val="00347A82"/>
    <w:rsid w:val="0035029B"/>
    <w:rsid w:val="00351415"/>
    <w:rsid w:val="00351D59"/>
    <w:rsid w:val="003539A2"/>
    <w:rsid w:val="00353DBE"/>
    <w:rsid w:val="00356C1F"/>
    <w:rsid w:val="00356CF4"/>
    <w:rsid w:val="0035723A"/>
    <w:rsid w:val="0035740F"/>
    <w:rsid w:val="00357D8B"/>
    <w:rsid w:val="00360189"/>
    <w:rsid w:val="003607AE"/>
    <w:rsid w:val="00361B27"/>
    <w:rsid w:val="00361C51"/>
    <w:rsid w:val="00361EB0"/>
    <w:rsid w:val="00363078"/>
    <w:rsid w:val="003643AB"/>
    <w:rsid w:val="003672EA"/>
    <w:rsid w:val="0036745C"/>
    <w:rsid w:val="003678C6"/>
    <w:rsid w:val="00370FCD"/>
    <w:rsid w:val="00371D58"/>
    <w:rsid w:val="003724FB"/>
    <w:rsid w:val="003731E5"/>
    <w:rsid w:val="003734BA"/>
    <w:rsid w:val="003747AF"/>
    <w:rsid w:val="003753D4"/>
    <w:rsid w:val="003754BB"/>
    <w:rsid w:val="0037582C"/>
    <w:rsid w:val="00375A16"/>
    <w:rsid w:val="00377815"/>
    <w:rsid w:val="00380C17"/>
    <w:rsid w:val="00381624"/>
    <w:rsid w:val="00382D24"/>
    <w:rsid w:val="00383EA6"/>
    <w:rsid w:val="003853E7"/>
    <w:rsid w:val="00386F1E"/>
    <w:rsid w:val="00387155"/>
    <w:rsid w:val="00387560"/>
    <w:rsid w:val="003906FF"/>
    <w:rsid w:val="00393010"/>
    <w:rsid w:val="00393043"/>
    <w:rsid w:val="003939A5"/>
    <w:rsid w:val="00393FCC"/>
    <w:rsid w:val="003958F9"/>
    <w:rsid w:val="0039595F"/>
    <w:rsid w:val="00397E2C"/>
    <w:rsid w:val="003A14D3"/>
    <w:rsid w:val="003A1D61"/>
    <w:rsid w:val="003A2A23"/>
    <w:rsid w:val="003A3356"/>
    <w:rsid w:val="003A4589"/>
    <w:rsid w:val="003A535F"/>
    <w:rsid w:val="003A71AC"/>
    <w:rsid w:val="003A7C2A"/>
    <w:rsid w:val="003B17D9"/>
    <w:rsid w:val="003B1E62"/>
    <w:rsid w:val="003B2B29"/>
    <w:rsid w:val="003B3A2D"/>
    <w:rsid w:val="003B4336"/>
    <w:rsid w:val="003B4940"/>
    <w:rsid w:val="003B6367"/>
    <w:rsid w:val="003B688A"/>
    <w:rsid w:val="003C0EB3"/>
    <w:rsid w:val="003C18B0"/>
    <w:rsid w:val="003C2D7D"/>
    <w:rsid w:val="003C486C"/>
    <w:rsid w:val="003C4A2D"/>
    <w:rsid w:val="003C67AC"/>
    <w:rsid w:val="003C6E00"/>
    <w:rsid w:val="003C79A5"/>
    <w:rsid w:val="003D0AFD"/>
    <w:rsid w:val="003D1264"/>
    <w:rsid w:val="003D15B1"/>
    <w:rsid w:val="003D3EE4"/>
    <w:rsid w:val="003D5468"/>
    <w:rsid w:val="003D5538"/>
    <w:rsid w:val="003D5F26"/>
    <w:rsid w:val="003D631F"/>
    <w:rsid w:val="003D6B8D"/>
    <w:rsid w:val="003D743C"/>
    <w:rsid w:val="003D7B7E"/>
    <w:rsid w:val="003D7D80"/>
    <w:rsid w:val="003E0DD7"/>
    <w:rsid w:val="003E2035"/>
    <w:rsid w:val="003E33CB"/>
    <w:rsid w:val="003E3804"/>
    <w:rsid w:val="003E3E68"/>
    <w:rsid w:val="003E4184"/>
    <w:rsid w:val="003E6CAE"/>
    <w:rsid w:val="003E7019"/>
    <w:rsid w:val="003E7474"/>
    <w:rsid w:val="003E770F"/>
    <w:rsid w:val="003E7CC9"/>
    <w:rsid w:val="003F0A82"/>
    <w:rsid w:val="003F140F"/>
    <w:rsid w:val="003F15F8"/>
    <w:rsid w:val="003F27C9"/>
    <w:rsid w:val="003F2FAB"/>
    <w:rsid w:val="003F3990"/>
    <w:rsid w:val="003F56E6"/>
    <w:rsid w:val="003F6603"/>
    <w:rsid w:val="003F7A76"/>
    <w:rsid w:val="003F7BFE"/>
    <w:rsid w:val="0040049D"/>
    <w:rsid w:val="004008AB"/>
    <w:rsid w:val="004029C5"/>
    <w:rsid w:val="004058C3"/>
    <w:rsid w:val="004061FB"/>
    <w:rsid w:val="00406267"/>
    <w:rsid w:val="0040650C"/>
    <w:rsid w:val="004115C8"/>
    <w:rsid w:val="0041160A"/>
    <w:rsid w:val="004117E7"/>
    <w:rsid w:val="004128D2"/>
    <w:rsid w:val="00412F85"/>
    <w:rsid w:val="0041358B"/>
    <w:rsid w:val="004139F0"/>
    <w:rsid w:val="00413CAC"/>
    <w:rsid w:val="00413DD2"/>
    <w:rsid w:val="00415880"/>
    <w:rsid w:val="004161BE"/>
    <w:rsid w:val="00417779"/>
    <w:rsid w:val="00417A62"/>
    <w:rsid w:val="00417F65"/>
    <w:rsid w:val="004207B8"/>
    <w:rsid w:val="0042104C"/>
    <w:rsid w:val="00421524"/>
    <w:rsid w:val="004235A3"/>
    <w:rsid w:val="00423743"/>
    <w:rsid w:val="00423858"/>
    <w:rsid w:val="00424C84"/>
    <w:rsid w:val="00424EEA"/>
    <w:rsid w:val="00424F99"/>
    <w:rsid w:val="00425881"/>
    <w:rsid w:val="00427B03"/>
    <w:rsid w:val="00432E03"/>
    <w:rsid w:val="00434C21"/>
    <w:rsid w:val="00435A5D"/>
    <w:rsid w:val="00435CE6"/>
    <w:rsid w:val="0043683F"/>
    <w:rsid w:val="00436D24"/>
    <w:rsid w:val="004374D6"/>
    <w:rsid w:val="00440787"/>
    <w:rsid w:val="00440801"/>
    <w:rsid w:val="00442CF2"/>
    <w:rsid w:val="0044315C"/>
    <w:rsid w:val="00443690"/>
    <w:rsid w:val="004438D5"/>
    <w:rsid w:val="00443F9E"/>
    <w:rsid w:val="0044459F"/>
    <w:rsid w:val="00451F26"/>
    <w:rsid w:val="00452340"/>
    <w:rsid w:val="00452409"/>
    <w:rsid w:val="004526CC"/>
    <w:rsid w:val="00452FC0"/>
    <w:rsid w:val="00453710"/>
    <w:rsid w:val="00454283"/>
    <w:rsid w:val="00454915"/>
    <w:rsid w:val="00456D07"/>
    <w:rsid w:val="0045713F"/>
    <w:rsid w:val="0045728F"/>
    <w:rsid w:val="00462678"/>
    <w:rsid w:val="00462E5E"/>
    <w:rsid w:val="00462FEC"/>
    <w:rsid w:val="0046455A"/>
    <w:rsid w:val="00464631"/>
    <w:rsid w:val="00464CF7"/>
    <w:rsid w:val="00464EAB"/>
    <w:rsid w:val="0046501F"/>
    <w:rsid w:val="00465ADE"/>
    <w:rsid w:val="004710AB"/>
    <w:rsid w:val="00472F69"/>
    <w:rsid w:val="004742C1"/>
    <w:rsid w:val="00475495"/>
    <w:rsid w:val="004755B8"/>
    <w:rsid w:val="00475DCB"/>
    <w:rsid w:val="00476E90"/>
    <w:rsid w:val="004775DA"/>
    <w:rsid w:val="00480306"/>
    <w:rsid w:val="0048075D"/>
    <w:rsid w:val="004807F2"/>
    <w:rsid w:val="00482ACF"/>
    <w:rsid w:val="004841F9"/>
    <w:rsid w:val="00487461"/>
    <w:rsid w:val="00487571"/>
    <w:rsid w:val="00492D0F"/>
    <w:rsid w:val="004940FA"/>
    <w:rsid w:val="004946A2"/>
    <w:rsid w:val="00496FB5"/>
    <w:rsid w:val="004A01F0"/>
    <w:rsid w:val="004A11F7"/>
    <w:rsid w:val="004A1986"/>
    <w:rsid w:val="004A2522"/>
    <w:rsid w:val="004A2ABD"/>
    <w:rsid w:val="004A2F8E"/>
    <w:rsid w:val="004A447F"/>
    <w:rsid w:val="004A521D"/>
    <w:rsid w:val="004A522C"/>
    <w:rsid w:val="004A5DFF"/>
    <w:rsid w:val="004A66A0"/>
    <w:rsid w:val="004A7B06"/>
    <w:rsid w:val="004B055B"/>
    <w:rsid w:val="004B110F"/>
    <w:rsid w:val="004B1FC6"/>
    <w:rsid w:val="004B2EB1"/>
    <w:rsid w:val="004B4104"/>
    <w:rsid w:val="004B42E3"/>
    <w:rsid w:val="004B75B6"/>
    <w:rsid w:val="004C0FA6"/>
    <w:rsid w:val="004C1DBA"/>
    <w:rsid w:val="004C36D8"/>
    <w:rsid w:val="004C4B86"/>
    <w:rsid w:val="004C4C82"/>
    <w:rsid w:val="004C4F86"/>
    <w:rsid w:val="004C6721"/>
    <w:rsid w:val="004C6857"/>
    <w:rsid w:val="004D0CB4"/>
    <w:rsid w:val="004D15E0"/>
    <w:rsid w:val="004D4F43"/>
    <w:rsid w:val="004D55D1"/>
    <w:rsid w:val="004D61BC"/>
    <w:rsid w:val="004D6C82"/>
    <w:rsid w:val="004E02BC"/>
    <w:rsid w:val="004E02C5"/>
    <w:rsid w:val="004E07D8"/>
    <w:rsid w:val="004E0BA6"/>
    <w:rsid w:val="004E1AFB"/>
    <w:rsid w:val="004E2B59"/>
    <w:rsid w:val="004E2F24"/>
    <w:rsid w:val="004E3099"/>
    <w:rsid w:val="004E4AD0"/>
    <w:rsid w:val="004E5C0A"/>
    <w:rsid w:val="004E6500"/>
    <w:rsid w:val="004E68DE"/>
    <w:rsid w:val="004E6C32"/>
    <w:rsid w:val="004E755E"/>
    <w:rsid w:val="004F0A89"/>
    <w:rsid w:val="004F0FDE"/>
    <w:rsid w:val="004F165A"/>
    <w:rsid w:val="004F1872"/>
    <w:rsid w:val="004F578D"/>
    <w:rsid w:val="004F7488"/>
    <w:rsid w:val="00500594"/>
    <w:rsid w:val="00500B91"/>
    <w:rsid w:val="0050116E"/>
    <w:rsid w:val="00503A69"/>
    <w:rsid w:val="005044EC"/>
    <w:rsid w:val="0050648E"/>
    <w:rsid w:val="005118B6"/>
    <w:rsid w:val="00512823"/>
    <w:rsid w:val="005131C0"/>
    <w:rsid w:val="00520A23"/>
    <w:rsid w:val="00521689"/>
    <w:rsid w:val="0052203A"/>
    <w:rsid w:val="00522AB6"/>
    <w:rsid w:val="00523165"/>
    <w:rsid w:val="005243E3"/>
    <w:rsid w:val="00525672"/>
    <w:rsid w:val="00527ABD"/>
    <w:rsid w:val="00530403"/>
    <w:rsid w:val="00530849"/>
    <w:rsid w:val="00530EA1"/>
    <w:rsid w:val="005310DB"/>
    <w:rsid w:val="00531D06"/>
    <w:rsid w:val="00532668"/>
    <w:rsid w:val="005327FF"/>
    <w:rsid w:val="00537C06"/>
    <w:rsid w:val="00537CBD"/>
    <w:rsid w:val="00537DE1"/>
    <w:rsid w:val="0054049F"/>
    <w:rsid w:val="00540537"/>
    <w:rsid w:val="00541408"/>
    <w:rsid w:val="005429B5"/>
    <w:rsid w:val="00543E54"/>
    <w:rsid w:val="005465D7"/>
    <w:rsid w:val="0054760C"/>
    <w:rsid w:val="00547AE1"/>
    <w:rsid w:val="00551AE2"/>
    <w:rsid w:val="00551B11"/>
    <w:rsid w:val="00551DB9"/>
    <w:rsid w:val="0055248C"/>
    <w:rsid w:val="00553B13"/>
    <w:rsid w:val="0055409B"/>
    <w:rsid w:val="00554B99"/>
    <w:rsid w:val="00557959"/>
    <w:rsid w:val="00561878"/>
    <w:rsid w:val="00565E48"/>
    <w:rsid w:val="005663BE"/>
    <w:rsid w:val="005671FA"/>
    <w:rsid w:val="005718B4"/>
    <w:rsid w:val="00572214"/>
    <w:rsid w:val="00572E4A"/>
    <w:rsid w:val="005730E1"/>
    <w:rsid w:val="005753D7"/>
    <w:rsid w:val="0057691F"/>
    <w:rsid w:val="00577848"/>
    <w:rsid w:val="00580F02"/>
    <w:rsid w:val="00581B3E"/>
    <w:rsid w:val="00582E3A"/>
    <w:rsid w:val="00586E27"/>
    <w:rsid w:val="00587EDC"/>
    <w:rsid w:val="005901BA"/>
    <w:rsid w:val="005908A3"/>
    <w:rsid w:val="00592EFC"/>
    <w:rsid w:val="00594062"/>
    <w:rsid w:val="00594B30"/>
    <w:rsid w:val="00595080"/>
    <w:rsid w:val="0059576F"/>
    <w:rsid w:val="0059579B"/>
    <w:rsid w:val="00595A9E"/>
    <w:rsid w:val="005973BC"/>
    <w:rsid w:val="005A0910"/>
    <w:rsid w:val="005A187F"/>
    <w:rsid w:val="005A2568"/>
    <w:rsid w:val="005A283A"/>
    <w:rsid w:val="005A2BC0"/>
    <w:rsid w:val="005A3EBC"/>
    <w:rsid w:val="005A4860"/>
    <w:rsid w:val="005A4892"/>
    <w:rsid w:val="005A686E"/>
    <w:rsid w:val="005A7180"/>
    <w:rsid w:val="005A78AC"/>
    <w:rsid w:val="005B0DD9"/>
    <w:rsid w:val="005B18C2"/>
    <w:rsid w:val="005B2800"/>
    <w:rsid w:val="005B3F7D"/>
    <w:rsid w:val="005B4035"/>
    <w:rsid w:val="005B460A"/>
    <w:rsid w:val="005B73C6"/>
    <w:rsid w:val="005C09B7"/>
    <w:rsid w:val="005C1804"/>
    <w:rsid w:val="005C1A3F"/>
    <w:rsid w:val="005C1CDE"/>
    <w:rsid w:val="005C1E07"/>
    <w:rsid w:val="005C3AF5"/>
    <w:rsid w:val="005C58D5"/>
    <w:rsid w:val="005C7307"/>
    <w:rsid w:val="005D0522"/>
    <w:rsid w:val="005D07E7"/>
    <w:rsid w:val="005D0EF6"/>
    <w:rsid w:val="005D1493"/>
    <w:rsid w:val="005D1787"/>
    <w:rsid w:val="005D1DC3"/>
    <w:rsid w:val="005D3416"/>
    <w:rsid w:val="005D3F09"/>
    <w:rsid w:val="005D5EE3"/>
    <w:rsid w:val="005D60CC"/>
    <w:rsid w:val="005D631C"/>
    <w:rsid w:val="005D6806"/>
    <w:rsid w:val="005D6E94"/>
    <w:rsid w:val="005D7294"/>
    <w:rsid w:val="005D7BAA"/>
    <w:rsid w:val="005E1D74"/>
    <w:rsid w:val="005E2889"/>
    <w:rsid w:val="005E2C1E"/>
    <w:rsid w:val="005E2CF0"/>
    <w:rsid w:val="005E32AE"/>
    <w:rsid w:val="005E388F"/>
    <w:rsid w:val="005E4A61"/>
    <w:rsid w:val="005E5272"/>
    <w:rsid w:val="005E5697"/>
    <w:rsid w:val="005E61E4"/>
    <w:rsid w:val="005E6802"/>
    <w:rsid w:val="005F02A3"/>
    <w:rsid w:val="005F02DC"/>
    <w:rsid w:val="005F0EFA"/>
    <w:rsid w:val="005F2C79"/>
    <w:rsid w:val="005F32FC"/>
    <w:rsid w:val="005F376A"/>
    <w:rsid w:val="005F380B"/>
    <w:rsid w:val="005F423E"/>
    <w:rsid w:val="005F428B"/>
    <w:rsid w:val="005F4E68"/>
    <w:rsid w:val="005F5701"/>
    <w:rsid w:val="005F5CD3"/>
    <w:rsid w:val="005F632F"/>
    <w:rsid w:val="005F6927"/>
    <w:rsid w:val="005F6BF5"/>
    <w:rsid w:val="005F6DFE"/>
    <w:rsid w:val="005F7875"/>
    <w:rsid w:val="0060059F"/>
    <w:rsid w:val="00600662"/>
    <w:rsid w:val="00600678"/>
    <w:rsid w:val="006018BE"/>
    <w:rsid w:val="00603519"/>
    <w:rsid w:val="00603DD9"/>
    <w:rsid w:val="006047D8"/>
    <w:rsid w:val="006049D2"/>
    <w:rsid w:val="00604B73"/>
    <w:rsid w:val="006064D6"/>
    <w:rsid w:val="00606773"/>
    <w:rsid w:val="00607240"/>
    <w:rsid w:val="00607321"/>
    <w:rsid w:val="00607A07"/>
    <w:rsid w:val="0061003A"/>
    <w:rsid w:val="0061310A"/>
    <w:rsid w:val="0061322A"/>
    <w:rsid w:val="006151B9"/>
    <w:rsid w:val="00615E46"/>
    <w:rsid w:val="00616121"/>
    <w:rsid w:val="006165C5"/>
    <w:rsid w:val="00616C9A"/>
    <w:rsid w:val="00617ABA"/>
    <w:rsid w:val="00617E6A"/>
    <w:rsid w:val="006202FC"/>
    <w:rsid w:val="00621698"/>
    <w:rsid w:val="00621782"/>
    <w:rsid w:val="00622816"/>
    <w:rsid w:val="00624643"/>
    <w:rsid w:val="00626983"/>
    <w:rsid w:val="006278B1"/>
    <w:rsid w:val="00627C83"/>
    <w:rsid w:val="006304B1"/>
    <w:rsid w:val="006304FA"/>
    <w:rsid w:val="00631433"/>
    <w:rsid w:val="0063353D"/>
    <w:rsid w:val="00634D3B"/>
    <w:rsid w:val="00635CA1"/>
    <w:rsid w:val="00637A79"/>
    <w:rsid w:val="00640744"/>
    <w:rsid w:val="00640A64"/>
    <w:rsid w:val="00642254"/>
    <w:rsid w:val="00644341"/>
    <w:rsid w:val="00644499"/>
    <w:rsid w:val="00644B7F"/>
    <w:rsid w:val="00645C14"/>
    <w:rsid w:val="0064652C"/>
    <w:rsid w:val="0064679A"/>
    <w:rsid w:val="00651592"/>
    <w:rsid w:val="00652A30"/>
    <w:rsid w:val="0065540C"/>
    <w:rsid w:val="006571FF"/>
    <w:rsid w:val="006578D0"/>
    <w:rsid w:val="00657B66"/>
    <w:rsid w:val="00657FBE"/>
    <w:rsid w:val="00661637"/>
    <w:rsid w:val="00662D5B"/>
    <w:rsid w:val="00662E27"/>
    <w:rsid w:val="0066449B"/>
    <w:rsid w:val="006659F6"/>
    <w:rsid w:val="00666410"/>
    <w:rsid w:val="006701AE"/>
    <w:rsid w:val="00670790"/>
    <w:rsid w:val="00670EE6"/>
    <w:rsid w:val="006719B8"/>
    <w:rsid w:val="00673327"/>
    <w:rsid w:val="00673497"/>
    <w:rsid w:val="0067449D"/>
    <w:rsid w:val="00675AC8"/>
    <w:rsid w:val="00675FCD"/>
    <w:rsid w:val="006811BF"/>
    <w:rsid w:val="006818F8"/>
    <w:rsid w:val="00682104"/>
    <w:rsid w:val="00683484"/>
    <w:rsid w:val="006842B7"/>
    <w:rsid w:val="00684431"/>
    <w:rsid w:val="00685DE1"/>
    <w:rsid w:val="006863B4"/>
    <w:rsid w:val="00690494"/>
    <w:rsid w:val="006908E7"/>
    <w:rsid w:val="00691F34"/>
    <w:rsid w:val="0069271A"/>
    <w:rsid w:val="00692774"/>
    <w:rsid w:val="00693DFF"/>
    <w:rsid w:val="00695541"/>
    <w:rsid w:val="0069623B"/>
    <w:rsid w:val="00697C15"/>
    <w:rsid w:val="006A0D6B"/>
    <w:rsid w:val="006A2DCE"/>
    <w:rsid w:val="006A4309"/>
    <w:rsid w:val="006A62F9"/>
    <w:rsid w:val="006B25A6"/>
    <w:rsid w:val="006B25A8"/>
    <w:rsid w:val="006B2E2C"/>
    <w:rsid w:val="006B32F5"/>
    <w:rsid w:val="006B3D0D"/>
    <w:rsid w:val="006B3F34"/>
    <w:rsid w:val="006B5846"/>
    <w:rsid w:val="006B7F2D"/>
    <w:rsid w:val="006C14E1"/>
    <w:rsid w:val="006C198C"/>
    <w:rsid w:val="006C227F"/>
    <w:rsid w:val="006C3412"/>
    <w:rsid w:val="006C3C1A"/>
    <w:rsid w:val="006C432F"/>
    <w:rsid w:val="006C4A0E"/>
    <w:rsid w:val="006C511D"/>
    <w:rsid w:val="006C51C4"/>
    <w:rsid w:val="006C6860"/>
    <w:rsid w:val="006C690E"/>
    <w:rsid w:val="006C7255"/>
    <w:rsid w:val="006C77EC"/>
    <w:rsid w:val="006D1619"/>
    <w:rsid w:val="006D306D"/>
    <w:rsid w:val="006D450A"/>
    <w:rsid w:val="006D56F2"/>
    <w:rsid w:val="006D5F00"/>
    <w:rsid w:val="006D7E2E"/>
    <w:rsid w:val="006E0A1E"/>
    <w:rsid w:val="006E0BA3"/>
    <w:rsid w:val="006E0C81"/>
    <w:rsid w:val="006E0D0C"/>
    <w:rsid w:val="006E1684"/>
    <w:rsid w:val="006E201C"/>
    <w:rsid w:val="006E359E"/>
    <w:rsid w:val="006E7097"/>
    <w:rsid w:val="006E75B6"/>
    <w:rsid w:val="006F043A"/>
    <w:rsid w:val="006F092D"/>
    <w:rsid w:val="006F1CAC"/>
    <w:rsid w:val="006F435B"/>
    <w:rsid w:val="006F67AA"/>
    <w:rsid w:val="006F72E8"/>
    <w:rsid w:val="00700731"/>
    <w:rsid w:val="00700E71"/>
    <w:rsid w:val="007018C5"/>
    <w:rsid w:val="00702720"/>
    <w:rsid w:val="0070528A"/>
    <w:rsid w:val="00705662"/>
    <w:rsid w:val="00707621"/>
    <w:rsid w:val="00707A8C"/>
    <w:rsid w:val="00707CDF"/>
    <w:rsid w:val="007111CF"/>
    <w:rsid w:val="00712109"/>
    <w:rsid w:val="00712CED"/>
    <w:rsid w:val="007130D6"/>
    <w:rsid w:val="007131EA"/>
    <w:rsid w:val="0071502D"/>
    <w:rsid w:val="00715549"/>
    <w:rsid w:val="00716661"/>
    <w:rsid w:val="007166A2"/>
    <w:rsid w:val="00716F21"/>
    <w:rsid w:val="007204ED"/>
    <w:rsid w:val="00720E76"/>
    <w:rsid w:val="00721264"/>
    <w:rsid w:val="00721974"/>
    <w:rsid w:val="00723086"/>
    <w:rsid w:val="00723489"/>
    <w:rsid w:val="00723D15"/>
    <w:rsid w:val="00725473"/>
    <w:rsid w:val="00726332"/>
    <w:rsid w:val="00726721"/>
    <w:rsid w:val="007318A5"/>
    <w:rsid w:val="00733340"/>
    <w:rsid w:val="0073470B"/>
    <w:rsid w:val="00734A79"/>
    <w:rsid w:val="00735E53"/>
    <w:rsid w:val="007360BE"/>
    <w:rsid w:val="00736287"/>
    <w:rsid w:val="007368D7"/>
    <w:rsid w:val="00736F3C"/>
    <w:rsid w:val="007403B2"/>
    <w:rsid w:val="00740FC5"/>
    <w:rsid w:val="007410F2"/>
    <w:rsid w:val="00741FAA"/>
    <w:rsid w:val="007423F3"/>
    <w:rsid w:val="00743402"/>
    <w:rsid w:val="007439D1"/>
    <w:rsid w:val="00743C72"/>
    <w:rsid w:val="007441C0"/>
    <w:rsid w:val="00744BDA"/>
    <w:rsid w:val="00744F0F"/>
    <w:rsid w:val="00745106"/>
    <w:rsid w:val="007467D3"/>
    <w:rsid w:val="00747688"/>
    <w:rsid w:val="0075082A"/>
    <w:rsid w:val="00750E14"/>
    <w:rsid w:val="007514A8"/>
    <w:rsid w:val="007519DD"/>
    <w:rsid w:val="007521AE"/>
    <w:rsid w:val="00752C93"/>
    <w:rsid w:val="0075425A"/>
    <w:rsid w:val="00760A21"/>
    <w:rsid w:val="00760D30"/>
    <w:rsid w:val="00762878"/>
    <w:rsid w:val="00762BA6"/>
    <w:rsid w:val="00763729"/>
    <w:rsid w:val="00763E8C"/>
    <w:rsid w:val="007640AE"/>
    <w:rsid w:val="00765FB9"/>
    <w:rsid w:val="00771807"/>
    <w:rsid w:val="00773E86"/>
    <w:rsid w:val="00774E80"/>
    <w:rsid w:val="007751D9"/>
    <w:rsid w:val="00775373"/>
    <w:rsid w:val="00775588"/>
    <w:rsid w:val="007763E2"/>
    <w:rsid w:val="00776D93"/>
    <w:rsid w:val="00780510"/>
    <w:rsid w:val="0078081C"/>
    <w:rsid w:val="007809E3"/>
    <w:rsid w:val="00780C2D"/>
    <w:rsid w:val="0078246A"/>
    <w:rsid w:val="0078344A"/>
    <w:rsid w:val="00784602"/>
    <w:rsid w:val="00784BB8"/>
    <w:rsid w:val="00791533"/>
    <w:rsid w:val="00791A8A"/>
    <w:rsid w:val="00791AFA"/>
    <w:rsid w:val="0079216E"/>
    <w:rsid w:val="007926D0"/>
    <w:rsid w:val="00792C08"/>
    <w:rsid w:val="00792C56"/>
    <w:rsid w:val="00793BFA"/>
    <w:rsid w:val="0079412E"/>
    <w:rsid w:val="007941D7"/>
    <w:rsid w:val="00795624"/>
    <w:rsid w:val="007957C8"/>
    <w:rsid w:val="00795E8C"/>
    <w:rsid w:val="007965C9"/>
    <w:rsid w:val="00796A8E"/>
    <w:rsid w:val="00797473"/>
    <w:rsid w:val="0079755C"/>
    <w:rsid w:val="00797A0A"/>
    <w:rsid w:val="007A040A"/>
    <w:rsid w:val="007A06E3"/>
    <w:rsid w:val="007A1D59"/>
    <w:rsid w:val="007A246F"/>
    <w:rsid w:val="007A3227"/>
    <w:rsid w:val="007A54D6"/>
    <w:rsid w:val="007A57E3"/>
    <w:rsid w:val="007A58E4"/>
    <w:rsid w:val="007A5B09"/>
    <w:rsid w:val="007A6E00"/>
    <w:rsid w:val="007B1E9D"/>
    <w:rsid w:val="007B27EE"/>
    <w:rsid w:val="007B39DD"/>
    <w:rsid w:val="007B5E8D"/>
    <w:rsid w:val="007C0543"/>
    <w:rsid w:val="007C102B"/>
    <w:rsid w:val="007C248F"/>
    <w:rsid w:val="007C3A19"/>
    <w:rsid w:val="007C4592"/>
    <w:rsid w:val="007C5FBC"/>
    <w:rsid w:val="007D059E"/>
    <w:rsid w:val="007D36A7"/>
    <w:rsid w:val="007D5061"/>
    <w:rsid w:val="007D5F6E"/>
    <w:rsid w:val="007E1412"/>
    <w:rsid w:val="007E1661"/>
    <w:rsid w:val="007E1B40"/>
    <w:rsid w:val="007E5487"/>
    <w:rsid w:val="007E58D2"/>
    <w:rsid w:val="007F38C9"/>
    <w:rsid w:val="007F4A9E"/>
    <w:rsid w:val="007F4AF1"/>
    <w:rsid w:val="007F4D11"/>
    <w:rsid w:val="007F4FE9"/>
    <w:rsid w:val="007F7822"/>
    <w:rsid w:val="00800F97"/>
    <w:rsid w:val="0080481D"/>
    <w:rsid w:val="00804969"/>
    <w:rsid w:val="00805E23"/>
    <w:rsid w:val="008069CF"/>
    <w:rsid w:val="00807E5F"/>
    <w:rsid w:val="008103C9"/>
    <w:rsid w:val="008106E5"/>
    <w:rsid w:val="00811F92"/>
    <w:rsid w:val="0081283A"/>
    <w:rsid w:val="008128E0"/>
    <w:rsid w:val="00812BC4"/>
    <w:rsid w:val="008134B2"/>
    <w:rsid w:val="00814339"/>
    <w:rsid w:val="00814635"/>
    <w:rsid w:val="008146C7"/>
    <w:rsid w:val="00814CF1"/>
    <w:rsid w:val="00815747"/>
    <w:rsid w:val="0081639F"/>
    <w:rsid w:val="00816E4D"/>
    <w:rsid w:val="008171F7"/>
    <w:rsid w:val="00820270"/>
    <w:rsid w:val="008202BD"/>
    <w:rsid w:val="00821F2B"/>
    <w:rsid w:val="00822155"/>
    <w:rsid w:val="008230FF"/>
    <w:rsid w:val="00824C50"/>
    <w:rsid w:val="008253D7"/>
    <w:rsid w:val="0083385D"/>
    <w:rsid w:val="008346FC"/>
    <w:rsid w:val="00834AC1"/>
    <w:rsid w:val="00835A29"/>
    <w:rsid w:val="008361D3"/>
    <w:rsid w:val="00836F40"/>
    <w:rsid w:val="00837022"/>
    <w:rsid w:val="00840B82"/>
    <w:rsid w:val="008413A2"/>
    <w:rsid w:val="008415CD"/>
    <w:rsid w:val="0084376B"/>
    <w:rsid w:val="00846669"/>
    <w:rsid w:val="00846874"/>
    <w:rsid w:val="00847467"/>
    <w:rsid w:val="00847F67"/>
    <w:rsid w:val="008518CD"/>
    <w:rsid w:val="008520B1"/>
    <w:rsid w:val="0085224B"/>
    <w:rsid w:val="0085311A"/>
    <w:rsid w:val="00853FBA"/>
    <w:rsid w:val="00855A96"/>
    <w:rsid w:val="00855C65"/>
    <w:rsid w:val="0085690F"/>
    <w:rsid w:val="00856FE5"/>
    <w:rsid w:val="0085710A"/>
    <w:rsid w:val="008577AA"/>
    <w:rsid w:val="00860D20"/>
    <w:rsid w:val="008636AF"/>
    <w:rsid w:val="0086393A"/>
    <w:rsid w:val="0086446C"/>
    <w:rsid w:val="00864CFE"/>
    <w:rsid w:val="0086559D"/>
    <w:rsid w:val="00866077"/>
    <w:rsid w:val="00866583"/>
    <w:rsid w:val="00866C27"/>
    <w:rsid w:val="00867DE6"/>
    <w:rsid w:val="00870021"/>
    <w:rsid w:val="0087083F"/>
    <w:rsid w:val="008729FC"/>
    <w:rsid w:val="00873257"/>
    <w:rsid w:val="00874388"/>
    <w:rsid w:val="008746E2"/>
    <w:rsid w:val="008750D9"/>
    <w:rsid w:val="00875B6C"/>
    <w:rsid w:val="00875CCC"/>
    <w:rsid w:val="0087639C"/>
    <w:rsid w:val="008763C7"/>
    <w:rsid w:val="00877816"/>
    <w:rsid w:val="00877B2B"/>
    <w:rsid w:val="008801EC"/>
    <w:rsid w:val="00882C3A"/>
    <w:rsid w:val="00883B67"/>
    <w:rsid w:val="00883B89"/>
    <w:rsid w:val="008847C0"/>
    <w:rsid w:val="00885B13"/>
    <w:rsid w:val="0088666B"/>
    <w:rsid w:val="00886767"/>
    <w:rsid w:val="00886877"/>
    <w:rsid w:val="00886A81"/>
    <w:rsid w:val="00887DB9"/>
    <w:rsid w:val="00890B93"/>
    <w:rsid w:val="00890E76"/>
    <w:rsid w:val="00894680"/>
    <w:rsid w:val="00894B8C"/>
    <w:rsid w:val="00894FA8"/>
    <w:rsid w:val="00896816"/>
    <w:rsid w:val="00896959"/>
    <w:rsid w:val="00897966"/>
    <w:rsid w:val="008A2157"/>
    <w:rsid w:val="008A35B2"/>
    <w:rsid w:val="008A375D"/>
    <w:rsid w:val="008A3CD1"/>
    <w:rsid w:val="008A5E29"/>
    <w:rsid w:val="008A6761"/>
    <w:rsid w:val="008A6BAC"/>
    <w:rsid w:val="008A6C97"/>
    <w:rsid w:val="008A712F"/>
    <w:rsid w:val="008A72C1"/>
    <w:rsid w:val="008A74EF"/>
    <w:rsid w:val="008B29D9"/>
    <w:rsid w:val="008B2E6E"/>
    <w:rsid w:val="008B61B4"/>
    <w:rsid w:val="008B6A7C"/>
    <w:rsid w:val="008B79E8"/>
    <w:rsid w:val="008C063F"/>
    <w:rsid w:val="008C0A66"/>
    <w:rsid w:val="008C0C52"/>
    <w:rsid w:val="008C10B9"/>
    <w:rsid w:val="008C12B5"/>
    <w:rsid w:val="008C1398"/>
    <w:rsid w:val="008C1FDB"/>
    <w:rsid w:val="008C2AE6"/>
    <w:rsid w:val="008C3196"/>
    <w:rsid w:val="008C7161"/>
    <w:rsid w:val="008C738E"/>
    <w:rsid w:val="008D0162"/>
    <w:rsid w:val="008D12C0"/>
    <w:rsid w:val="008D1ABD"/>
    <w:rsid w:val="008D2B74"/>
    <w:rsid w:val="008D4433"/>
    <w:rsid w:val="008D4AC9"/>
    <w:rsid w:val="008D60B6"/>
    <w:rsid w:val="008E00AA"/>
    <w:rsid w:val="008E0175"/>
    <w:rsid w:val="008E05C9"/>
    <w:rsid w:val="008E2815"/>
    <w:rsid w:val="008E38B1"/>
    <w:rsid w:val="008E49F0"/>
    <w:rsid w:val="008E5C59"/>
    <w:rsid w:val="008E674E"/>
    <w:rsid w:val="008E7BC5"/>
    <w:rsid w:val="008E7D85"/>
    <w:rsid w:val="008F0497"/>
    <w:rsid w:val="008F0A20"/>
    <w:rsid w:val="008F0A5A"/>
    <w:rsid w:val="008F0D12"/>
    <w:rsid w:val="008F11D7"/>
    <w:rsid w:val="008F32E1"/>
    <w:rsid w:val="008F3443"/>
    <w:rsid w:val="008F3874"/>
    <w:rsid w:val="008F4F2B"/>
    <w:rsid w:val="008F63AE"/>
    <w:rsid w:val="008F6AFF"/>
    <w:rsid w:val="008F70CB"/>
    <w:rsid w:val="009030DE"/>
    <w:rsid w:val="00903A23"/>
    <w:rsid w:val="00904537"/>
    <w:rsid w:val="0090496F"/>
    <w:rsid w:val="009053C4"/>
    <w:rsid w:val="009060B0"/>
    <w:rsid w:val="00906F4F"/>
    <w:rsid w:val="00907865"/>
    <w:rsid w:val="00910404"/>
    <w:rsid w:val="0091157A"/>
    <w:rsid w:val="00911609"/>
    <w:rsid w:val="00911ACC"/>
    <w:rsid w:val="00912B57"/>
    <w:rsid w:val="00913AEC"/>
    <w:rsid w:val="00914037"/>
    <w:rsid w:val="0091454B"/>
    <w:rsid w:val="009171B3"/>
    <w:rsid w:val="009178AD"/>
    <w:rsid w:val="00920908"/>
    <w:rsid w:val="009217BE"/>
    <w:rsid w:val="009239BA"/>
    <w:rsid w:val="00924044"/>
    <w:rsid w:val="00925940"/>
    <w:rsid w:val="009260F3"/>
    <w:rsid w:val="00926350"/>
    <w:rsid w:val="009270BF"/>
    <w:rsid w:val="0093192C"/>
    <w:rsid w:val="00931DAB"/>
    <w:rsid w:val="00931FC4"/>
    <w:rsid w:val="00932C8F"/>
    <w:rsid w:val="0093375A"/>
    <w:rsid w:val="00935457"/>
    <w:rsid w:val="009357D8"/>
    <w:rsid w:val="009366D6"/>
    <w:rsid w:val="00936953"/>
    <w:rsid w:val="00937F5B"/>
    <w:rsid w:val="00940E72"/>
    <w:rsid w:val="00942662"/>
    <w:rsid w:val="0094336E"/>
    <w:rsid w:val="00943C36"/>
    <w:rsid w:val="00943F97"/>
    <w:rsid w:val="00944BCF"/>
    <w:rsid w:val="00944CC7"/>
    <w:rsid w:val="0094501A"/>
    <w:rsid w:val="00945396"/>
    <w:rsid w:val="00945997"/>
    <w:rsid w:val="0094679D"/>
    <w:rsid w:val="00947613"/>
    <w:rsid w:val="00950313"/>
    <w:rsid w:val="00950505"/>
    <w:rsid w:val="00950A1B"/>
    <w:rsid w:val="00950F35"/>
    <w:rsid w:val="0095178F"/>
    <w:rsid w:val="009524F8"/>
    <w:rsid w:val="00954A6D"/>
    <w:rsid w:val="00954C41"/>
    <w:rsid w:val="00955C8A"/>
    <w:rsid w:val="00955E00"/>
    <w:rsid w:val="00956043"/>
    <w:rsid w:val="009564D1"/>
    <w:rsid w:val="00961003"/>
    <w:rsid w:val="0096110C"/>
    <w:rsid w:val="00963615"/>
    <w:rsid w:val="00964AF7"/>
    <w:rsid w:val="00964CE8"/>
    <w:rsid w:val="00965270"/>
    <w:rsid w:val="009653D5"/>
    <w:rsid w:val="0096553B"/>
    <w:rsid w:val="00967E56"/>
    <w:rsid w:val="00967EDA"/>
    <w:rsid w:val="00970579"/>
    <w:rsid w:val="00970DC7"/>
    <w:rsid w:val="00971356"/>
    <w:rsid w:val="0097137A"/>
    <w:rsid w:val="0097157B"/>
    <w:rsid w:val="0097288A"/>
    <w:rsid w:val="00972C35"/>
    <w:rsid w:val="00973E5E"/>
    <w:rsid w:val="009746DA"/>
    <w:rsid w:val="00974CCC"/>
    <w:rsid w:val="00974FE8"/>
    <w:rsid w:val="0097533B"/>
    <w:rsid w:val="00976A82"/>
    <w:rsid w:val="00976C10"/>
    <w:rsid w:val="00977A1C"/>
    <w:rsid w:val="00981AB9"/>
    <w:rsid w:val="00981F25"/>
    <w:rsid w:val="00983309"/>
    <w:rsid w:val="009836FD"/>
    <w:rsid w:val="00983D4F"/>
    <w:rsid w:val="00985109"/>
    <w:rsid w:val="009866F4"/>
    <w:rsid w:val="0098724E"/>
    <w:rsid w:val="00991EA0"/>
    <w:rsid w:val="00992445"/>
    <w:rsid w:val="009929DD"/>
    <w:rsid w:val="009954BA"/>
    <w:rsid w:val="00995CA5"/>
    <w:rsid w:val="009966D3"/>
    <w:rsid w:val="00997DDD"/>
    <w:rsid w:val="009A01C1"/>
    <w:rsid w:val="009A1BF2"/>
    <w:rsid w:val="009A2098"/>
    <w:rsid w:val="009A2419"/>
    <w:rsid w:val="009A2FAC"/>
    <w:rsid w:val="009A3639"/>
    <w:rsid w:val="009A3A8A"/>
    <w:rsid w:val="009A4146"/>
    <w:rsid w:val="009A48E6"/>
    <w:rsid w:val="009A7522"/>
    <w:rsid w:val="009A76D0"/>
    <w:rsid w:val="009B005B"/>
    <w:rsid w:val="009B0752"/>
    <w:rsid w:val="009B1153"/>
    <w:rsid w:val="009B1EA0"/>
    <w:rsid w:val="009B241F"/>
    <w:rsid w:val="009B29C2"/>
    <w:rsid w:val="009B2FDC"/>
    <w:rsid w:val="009B6B0B"/>
    <w:rsid w:val="009B6BEA"/>
    <w:rsid w:val="009B6C7C"/>
    <w:rsid w:val="009B79B6"/>
    <w:rsid w:val="009B7D7C"/>
    <w:rsid w:val="009C1E6B"/>
    <w:rsid w:val="009C20F6"/>
    <w:rsid w:val="009C2BCF"/>
    <w:rsid w:val="009C39EF"/>
    <w:rsid w:val="009C5A6B"/>
    <w:rsid w:val="009C62EA"/>
    <w:rsid w:val="009C68DA"/>
    <w:rsid w:val="009C704F"/>
    <w:rsid w:val="009D045B"/>
    <w:rsid w:val="009D0DFB"/>
    <w:rsid w:val="009D2B21"/>
    <w:rsid w:val="009D3078"/>
    <w:rsid w:val="009D3E98"/>
    <w:rsid w:val="009D4031"/>
    <w:rsid w:val="009E0D01"/>
    <w:rsid w:val="009E14FB"/>
    <w:rsid w:val="009E2247"/>
    <w:rsid w:val="009E28D5"/>
    <w:rsid w:val="009E38C1"/>
    <w:rsid w:val="009F280B"/>
    <w:rsid w:val="009F28A3"/>
    <w:rsid w:val="009F2A9E"/>
    <w:rsid w:val="009F386B"/>
    <w:rsid w:val="009F408C"/>
    <w:rsid w:val="009F497A"/>
    <w:rsid w:val="009F51AC"/>
    <w:rsid w:val="009F5E08"/>
    <w:rsid w:val="009F75B1"/>
    <w:rsid w:val="009F79A5"/>
    <w:rsid w:val="00A001C4"/>
    <w:rsid w:val="00A007C4"/>
    <w:rsid w:val="00A0443E"/>
    <w:rsid w:val="00A05E25"/>
    <w:rsid w:val="00A05E55"/>
    <w:rsid w:val="00A0752F"/>
    <w:rsid w:val="00A07863"/>
    <w:rsid w:val="00A11426"/>
    <w:rsid w:val="00A11554"/>
    <w:rsid w:val="00A12A91"/>
    <w:rsid w:val="00A138AE"/>
    <w:rsid w:val="00A1407A"/>
    <w:rsid w:val="00A14351"/>
    <w:rsid w:val="00A14C2C"/>
    <w:rsid w:val="00A15177"/>
    <w:rsid w:val="00A16028"/>
    <w:rsid w:val="00A17153"/>
    <w:rsid w:val="00A17D06"/>
    <w:rsid w:val="00A17FFE"/>
    <w:rsid w:val="00A20A9E"/>
    <w:rsid w:val="00A210B4"/>
    <w:rsid w:val="00A215F6"/>
    <w:rsid w:val="00A21934"/>
    <w:rsid w:val="00A254DB"/>
    <w:rsid w:val="00A26F91"/>
    <w:rsid w:val="00A30620"/>
    <w:rsid w:val="00A3248E"/>
    <w:rsid w:val="00A33394"/>
    <w:rsid w:val="00A33F62"/>
    <w:rsid w:val="00A34805"/>
    <w:rsid w:val="00A3624E"/>
    <w:rsid w:val="00A369FF"/>
    <w:rsid w:val="00A36BED"/>
    <w:rsid w:val="00A36CD1"/>
    <w:rsid w:val="00A40828"/>
    <w:rsid w:val="00A41045"/>
    <w:rsid w:val="00A41EAA"/>
    <w:rsid w:val="00A439E2"/>
    <w:rsid w:val="00A43F55"/>
    <w:rsid w:val="00A44256"/>
    <w:rsid w:val="00A45C01"/>
    <w:rsid w:val="00A465D7"/>
    <w:rsid w:val="00A479A8"/>
    <w:rsid w:val="00A52533"/>
    <w:rsid w:val="00A530A7"/>
    <w:rsid w:val="00A54F6D"/>
    <w:rsid w:val="00A5564D"/>
    <w:rsid w:val="00A557D2"/>
    <w:rsid w:val="00A56A90"/>
    <w:rsid w:val="00A57360"/>
    <w:rsid w:val="00A60E9B"/>
    <w:rsid w:val="00A612AB"/>
    <w:rsid w:val="00A61902"/>
    <w:rsid w:val="00A63D70"/>
    <w:rsid w:val="00A646DB"/>
    <w:rsid w:val="00A64BC8"/>
    <w:rsid w:val="00A6638D"/>
    <w:rsid w:val="00A669B8"/>
    <w:rsid w:val="00A67390"/>
    <w:rsid w:val="00A67965"/>
    <w:rsid w:val="00A71702"/>
    <w:rsid w:val="00A72903"/>
    <w:rsid w:val="00A734E6"/>
    <w:rsid w:val="00A74521"/>
    <w:rsid w:val="00A74A43"/>
    <w:rsid w:val="00A75F07"/>
    <w:rsid w:val="00A762EC"/>
    <w:rsid w:val="00A816A4"/>
    <w:rsid w:val="00A819D0"/>
    <w:rsid w:val="00A819F3"/>
    <w:rsid w:val="00A83520"/>
    <w:rsid w:val="00A86303"/>
    <w:rsid w:val="00A867EB"/>
    <w:rsid w:val="00A874F5"/>
    <w:rsid w:val="00A90884"/>
    <w:rsid w:val="00A92638"/>
    <w:rsid w:val="00A9308D"/>
    <w:rsid w:val="00A9365D"/>
    <w:rsid w:val="00A93E6D"/>
    <w:rsid w:val="00A9431F"/>
    <w:rsid w:val="00A96C33"/>
    <w:rsid w:val="00AA5446"/>
    <w:rsid w:val="00AB015B"/>
    <w:rsid w:val="00AB10AD"/>
    <w:rsid w:val="00AB1CDD"/>
    <w:rsid w:val="00AB2E74"/>
    <w:rsid w:val="00AB350E"/>
    <w:rsid w:val="00AB4432"/>
    <w:rsid w:val="00AB5163"/>
    <w:rsid w:val="00AB5604"/>
    <w:rsid w:val="00AB5AA9"/>
    <w:rsid w:val="00AB5DAA"/>
    <w:rsid w:val="00AB6A6A"/>
    <w:rsid w:val="00AB7684"/>
    <w:rsid w:val="00AC0B83"/>
    <w:rsid w:val="00AC3CB6"/>
    <w:rsid w:val="00AC43B5"/>
    <w:rsid w:val="00AC5D4F"/>
    <w:rsid w:val="00AC5E5D"/>
    <w:rsid w:val="00AD0EF9"/>
    <w:rsid w:val="00AD1211"/>
    <w:rsid w:val="00AD2E28"/>
    <w:rsid w:val="00AD3158"/>
    <w:rsid w:val="00AD3A72"/>
    <w:rsid w:val="00AD58F7"/>
    <w:rsid w:val="00AD7066"/>
    <w:rsid w:val="00AD763E"/>
    <w:rsid w:val="00AE03BE"/>
    <w:rsid w:val="00AE0DC6"/>
    <w:rsid w:val="00AE1913"/>
    <w:rsid w:val="00AE37A2"/>
    <w:rsid w:val="00AE3D40"/>
    <w:rsid w:val="00AE457E"/>
    <w:rsid w:val="00AE4CB1"/>
    <w:rsid w:val="00AE5820"/>
    <w:rsid w:val="00AE639A"/>
    <w:rsid w:val="00AF121D"/>
    <w:rsid w:val="00AF1754"/>
    <w:rsid w:val="00AF1C0F"/>
    <w:rsid w:val="00AF1C84"/>
    <w:rsid w:val="00AF2AB3"/>
    <w:rsid w:val="00AF5C9D"/>
    <w:rsid w:val="00AF6759"/>
    <w:rsid w:val="00AF7D58"/>
    <w:rsid w:val="00B002F0"/>
    <w:rsid w:val="00B006D6"/>
    <w:rsid w:val="00B01FD5"/>
    <w:rsid w:val="00B02C68"/>
    <w:rsid w:val="00B03096"/>
    <w:rsid w:val="00B03769"/>
    <w:rsid w:val="00B03AA8"/>
    <w:rsid w:val="00B04539"/>
    <w:rsid w:val="00B04BC6"/>
    <w:rsid w:val="00B06466"/>
    <w:rsid w:val="00B067AA"/>
    <w:rsid w:val="00B06B41"/>
    <w:rsid w:val="00B0762C"/>
    <w:rsid w:val="00B10570"/>
    <w:rsid w:val="00B10683"/>
    <w:rsid w:val="00B10765"/>
    <w:rsid w:val="00B108A9"/>
    <w:rsid w:val="00B10FCA"/>
    <w:rsid w:val="00B121C4"/>
    <w:rsid w:val="00B1392C"/>
    <w:rsid w:val="00B20661"/>
    <w:rsid w:val="00B21603"/>
    <w:rsid w:val="00B217FF"/>
    <w:rsid w:val="00B21F5B"/>
    <w:rsid w:val="00B22FF4"/>
    <w:rsid w:val="00B23047"/>
    <w:rsid w:val="00B23F07"/>
    <w:rsid w:val="00B24977"/>
    <w:rsid w:val="00B24CCF"/>
    <w:rsid w:val="00B251F9"/>
    <w:rsid w:val="00B25CA8"/>
    <w:rsid w:val="00B26229"/>
    <w:rsid w:val="00B3018E"/>
    <w:rsid w:val="00B307B5"/>
    <w:rsid w:val="00B30BDF"/>
    <w:rsid w:val="00B311C1"/>
    <w:rsid w:val="00B3152B"/>
    <w:rsid w:val="00B31916"/>
    <w:rsid w:val="00B31E51"/>
    <w:rsid w:val="00B32472"/>
    <w:rsid w:val="00B33C06"/>
    <w:rsid w:val="00B41051"/>
    <w:rsid w:val="00B424E0"/>
    <w:rsid w:val="00B432AB"/>
    <w:rsid w:val="00B4346C"/>
    <w:rsid w:val="00B439F1"/>
    <w:rsid w:val="00B44EFA"/>
    <w:rsid w:val="00B44FBE"/>
    <w:rsid w:val="00B4514C"/>
    <w:rsid w:val="00B45DC0"/>
    <w:rsid w:val="00B47003"/>
    <w:rsid w:val="00B4787F"/>
    <w:rsid w:val="00B478C5"/>
    <w:rsid w:val="00B504B8"/>
    <w:rsid w:val="00B50C32"/>
    <w:rsid w:val="00B53B25"/>
    <w:rsid w:val="00B53DD0"/>
    <w:rsid w:val="00B54043"/>
    <w:rsid w:val="00B54BC2"/>
    <w:rsid w:val="00B5558E"/>
    <w:rsid w:val="00B579C0"/>
    <w:rsid w:val="00B60359"/>
    <w:rsid w:val="00B60D8D"/>
    <w:rsid w:val="00B6128E"/>
    <w:rsid w:val="00B612BC"/>
    <w:rsid w:val="00B617D1"/>
    <w:rsid w:val="00B618D2"/>
    <w:rsid w:val="00B62369"/>
    <w:rsid w:val="00B65D2D"/>
    <w:rsid w:val="00B678F1"/>
    <w:rsid w:val="00B67F75"/>
    <w:rsid w:val="00B7142C"/>
    <w:rsid w:val="00B7326C"/>
    <w:rsid w:val="00B738B7"/>
    <w:rsid w:val="00B74F1D"/>
    <w:rsid w:val="00B75865"/>
    <w:rsid w:val="00B75CA7"/>
    <w:rsid w:val="00B767EF"/>
    <w:rsid w:val="00B768BF"/>
    <w:rsid w:val="00B77505"/>
    <w:rsid w:val="00B77BCB"/>
    <w:rsid w:val="00B805A0"/>
    <w:rsid w:val="00B80A9F"/>
    <w:rsid w:val="00B812E6"/>
    <w:rsid w:val="00B83F5B"/>
    <w:rsid w:val="00B8643B"/>
    <w:rsid w:val="00B86492"/>
    <w:rsid w:val="00B90A1A"/>
    <w:rsid w:val="00B90FDD"/>
    <w:rsid w:val="00B91185"/>
    <w:rsid w:val="00B925BD"/>
    <w:rsid w:val="00B92BF9"/>
    <w:rsid w:val="00B9380C"/>
    <w:rsid w:val="00B941B9"/>
    <w:rsid w:val="00B94FB5"/>
    <w:rsid w:val="00B957C4"/>
    <w:rsid w:val="00B95AC4"/>
    <w:rsid w:val="00B96755"/>
    <w:rsid w:val="00BA1007"/>
    <w:rsid w:val="00BA1B06"/>
    <w:rsid w:val="00BA2C11"/>
    <w:rsid w:val="00BA2D3A"/>
    <w:rsid w:val="00BA324F"/>
    <w:rsid w:val="00BA34C5"/>
    <w:rsid w:val="00BA394B"/>
    <w:rsid w:val="00BA4142"/>
    <w:rsid w:val="00BA4507"/>
    <w:rsid w:val="00BA4701"/>
    <w:rsid w:val="00BA7261"/>
    <w:rsid w:val="00BA73A9"/>
    <w:rsid w:val="00BB06A5"/>
    <w:rsid w:val="00BB0788"/>
    <w:rsid w:val="00BB0D9C"/>
    <w:rsid w:val="00BB146C"/>
    <w:rsid w:val="00BB38F1"/>
    <w:rsid w:val="00BB3B46"/>
    <w:rsid w:val="00BB4503"/>
    <w:rsid w:val="00BB5CEF"/>
    <w:rsid w:val="00BB6BFB"/>
    <w:rsid w:val="00BB6D61"/>
    <w:rsid w:val="00BB7491"/>
    <w:rsid w:val="00BB7A2A"/>
    <w:rsid w:val="00BB7C27"/>
    <w:rsid w:val="00BC17B1"/>
    <w:rsid w:val="00BC2282"/>
    <w:rsid w:val="00BC5A71"/>
    <w:rsid w:val="00BC606F"/>
    <w:rsid w:val="00BC60DE"/>
    <w:rsid w:val="00BD1B88"/>
    <w:rsid w:val="00BD2825"/>
    <w:rsid w:val="00BD2B14"/>
    <w:rsid w:val="00BD2EBB"/>
    <w:rsid w:val="00BD2F1A"/>
    <w:rsid w:val="00BD2F28"/>
    <w:rsid w:val="00BD5ACA"/>
    <w:rsid w:val="00BD636A"/>
    <w:rsid w:val="00BD6CCC"/>
    <w:rsid w:val="00BD7569"/>
    <w:rsid w:val="00BD7829"/>
    <w:rsid w:val="00BD7AC3"/>
    <w:rsid w:val="00BE05A3"/>
    <w:rsid w:val="00BE166C"/>
    <w:rsid w:val="00BE1B02"/>
    <w:rsid w:val="00BE2B34"/>
    <w:rsid w:val="00BE4CA4"/>
    <w:rsid w:val="00BE5F95"/>
    <w:rsid w:val="00BE671D"/>
    <w:rsid w:val="00BE73F8"/>
    <w:rsid w:val="00BE7D8D"/>
    <w:rsid w:val="00BF02D5"/>
    <w:rsid w:val="00BF083A"/>
    <w:rsid w:val="00BF0BC0"/>
    <w:rsid w:val="00BF1D38"/>
    <w:rsid w:val="00BF38A4"/>
    <w:rsid w:val="00BF3B60"/>
    <w:rsid w:val="00BF48C2"/>
    <w:rsid w:val="00BF51A0"/>
    <w:rsid w:val="00BF6361"/>
    <w:rsid w:val="00BF775B"/>
    <w:rsid w:val="00BF792B"/>
    <w:rsid w:val="00C00C49"/>
    <w:rsid w:val="00C01E3F"/>
    <w:rsid w:val="00C03A8F"/>
    <w:rsid w:val="00C04B05"/>
    <w:rsid w:val="00C058BB"/>
    <w:rsid w:val="00C05934"/>
    <w:rsid w:val="00C075D8"/>
    <w:rsid w:val="00C07850"/>
    <w:rsid w:val="00C10208"/>
    <w:rsid w:val="00C12893"/>
    <w:rsid w:val="00C12E86"/>
    <w:rsid w:val="00C136BA"/>
    <w:rsid w:val="00C13F54"/>
    <w:rsid w:val="00C14D38"/>
    <w:rsid w:val="00C15371"/>
    <w:rsid w:val="00C156BF"/>
    <w:rsid w:val="00C1589C"/>
    <w:rsid w:val="00C16861"/>
    <w:rsid w:val="00C173C7"/>
    <w:rsid w:val="00C2029B"/>
    <w:rsid w:val="00C2088D"/>
    <w:rsid w:val="00C20DD6"/>
    <w:rsid w:val="00C21DBE"/>
    <w:rsid w:val="00C2223D"/>
    <w:rsid w:val="00C25EA5"/>
    <w:rsid w:val="00C26419"/>
    <w:rsid w:val="00C26726"/>
    <w:rsid w:val="00C27373"/>
    <w:rsid w:val="00C301DB"/>
    <w:rsid w:val="00C30A7F"/>
    <w:rsid w:val="00C3211D"/>
    <w:rsid w:val="00C3257D"/>
    <w:rsid w:val="00C327CB"/>
    <w:rsid w:val="00C34C53"/>
    <w:rsid w:val="00C35156"/>
    <w:rsid w:val="00C3527C"/>
    <w:rsid w:val="00C35890"/>
    <w:rsid w:val="00C3589E"/>
    <w:rsid w:val="00C36494"/>
    <w:rsid w:val="00C43284"/>
    <w:rsid w:val="00C433D1"/>
    <w:rsid w:val="00C442A2"/>
    <w:rsid w:val="00C45ABC"/>
    <w:rsid w:val="00C45B02"/>
    <w:rsid w:val="00C45C85"/>
    <w:rsid w:val="00C45E5E"/>
    <w:rsid w:val="00C463C2"/>
    <w:rsid w:val="00C515B6"/>
    <w:rsid w:val="00C521F7"/>
    <w:rsid w:val="00C523C4"/>
    <w:rsid w:val="00C52741"/>
    <w:rsid w:val="00C540B2"/>
    <w:rsid w:val="00C5523A"/>
    <w:rsid w:val="00C557AD"/>
    <w:rsid w:val="00C566B0"/>
    <w:rsid w:val="00C56BBD"/>
    <w:rsid w:val="00C57572"/>
    <w:rsid w:val="00C60CD6"/>
    <w:rsid w:val="00C6133E"/>
    <w:rsid w:val="00C63B48"/>
    <w:rsid w:val="00C63CEB"/>
    <w:rsid w:val="00C6474F"/>
    <w:rsid w:val="00C64C80"/>
    <w:rsid w:val="00C65A25"/>
    <w:rsid w:val="00C661F8"/>
    <w:rsid w:val="00C663BE"/>
    <w:rsid w:val="00C665AF"/>
    <w:rsid w:val="00C66A7A"/>
    <w:rsid w:val="00C70B40"/>
    <w:rsid w:val="00C712D4"/>
    <w:rsid w:val="00C7231B"/>
    <w:rsid w:val="00C73C95"/>
    <w:rsid w:val="00C73FC4"/>
    <w:rsid w:val="00C74905"/>
    <w:rsid w:val="00C7565D"/>
    <w:rsid w:val="00C7585F"/>
    <w:rsid w:val="00C75BFD"/>
    <w:rsid w:val="00C760A8"/>
    <w:rsid w:val="00C7614D"/>
    <w:rsid w:val="00C776D0"/>
    <w:rsid w:val="00C80246"/>
    <w:rsid w:val="00C80259"/>
    <w:rsid w:val="00C803CD"/>
    <w:rsid w:val="00C81B89"/>
    <w:rsid w:val="00C83299"/>
    <w:rsid w:val="00C83C63"/>
    <w:rsid w:val="00C84357"/>
    <w:rsid w:val="00C84EF6"/>
    <w:rsid w:val="00C85384"/>
    <w:rsid w:val="00C8690F"/>
    <w:rsid w:val="00C871ED"/>
    <w:rsid w:val="00C9016E"/>
    <w:rsid w:val="00C901A3"/>
    <w:rsid w:val="00C91B7E"/>
    <w:rsid w:val="00C926AE"/>
    <w:rsid w:val="00C929CA"/>
    <w:rsid w:val="00C931DF"/>
    <w:rsid w:val="00C9589E"/>
    <w:rsid w:val="00C96648"/>
    <w:rsid w:val="00CA0ACC"/>
    <w:rsid w:val="00CA504C"/>
    <w:rsid w:val="00CA54DD"/>
    <w:rsid w:val="00CA5904"/>
    <w:rsid w:val="00CA6397"/>
    <w:rsid w:val="00CA65B1"/>
    <w:rsid w:val="00CA6876"/>
    <w:rsid w:val="00CA6F68"/>
    <w:rsid w:val="00CB078E"/>
    <w:rsid w:val="00CB158F"/>
    <w:rsid w:val="00CB1CA8"/>
    <w:rsid w:val="00CB28E1"/>
    <w:rsid w:val="00CB29F1"/>
    <w:rsid w:val="00CB363B"/>
    <w:rsid w:val="00CB3B77"/>
    <w:rsid w:val="00CB57CC"/>
    <w:rsid w:val="00CB5B02"/>
    <w:rsid w:val="00CB5F7F"/>
    <w:rsid w:val="00CB64E4"/>
    <w:rsid w:val="00CB6630"/>
    <w:rsid w:val="00CB6945"/>
    <w:rsid w:val="00CB72A1"/>
    <w:rsid w:val="00CB7610"/>
    <w:rsid w:val="00CB7C99"/>
    <w:rsid w:val="00CB7D3B"/>
    <w:rsid w:val="00CC077A"/>
    <w:rsid w:val="00CC1AE2"/>
    <w:rsid w:val="00CC4FCB"/>
    <w:rsid w:val="00CC627C"/>
    <w:rsid w:val="00CC6D4E"/>
    <w:rsid w:val="00CC7D20"/>
    <w:rsid w:val="00CC7F69"/>
    <w:rsid w:val="00CD18A1"/>
    <w:rsid w:val="00CD1B90"/>
    <w:rsid w:val="00CD27BE"/>
    <w:rsid w:val="00CD30C7"/>
    <w:rsid w:val="00CD3978"/>
    <w:rsid w:val="00CD3EC6"/>
    <w:rsid w:val="00CD3ED1"/>
    <w:rsid w:val="00CD4AB0"/>
    <w:rsid w:val="00CD4BFE"/>
    <w:rsid w:val="00CD619B"/>
    <w:rsid w:val="00CD6BEA"/>
    <w:rsid w:val="00CD7211"/>
    <w:rsid w:val="00CE020F"/>
    <w:rsid w:val="00CE0D22"/>
    <w:rsid w:val="00CE2EE8"/>
    <w:rsid w:val="00CE3A18"/>
    <w:rsid w:val="00CE3DA3"/>
    <w:rsid w:val="00CE3F59"/>
    <w:rsid w:val="00CE444A"/>
    <w:rsid w:val="00CE523D"/>
    <w:rsid w:val="00CE59AE"/>
    <w:rsid w:val="00CE63DA"/>
    <w:rsid w:val="00CE6844"/>
    <w:rsid w:val="00CE6E62"/>
    <w:rsid w:val="00CE7B5F"/>
    <w:rsid w:val="00CF0171"/>
    <w:rsid w:val="00CF2483"/>
    <w:rsid w:val="00CF2A88"/>
    <w:rsid w:val="00CF3367"/>
    <w:rsid w:val="00CF4F68"/>
    <w:rsid w:val="00CF5353"/>
    <w:rsid w:val="00CF53BC"/>
    <w:rsid w:val="00CF5E10"/>
    <w:rsid w:val="00D00591"/>
    <w:rsid w:val="00D00E4D"/>
    <w:rsid w:val="00D022D6"/>
    <w:rsid w:val="00D02D0A"/>
    <w:rsid w:val="00D03128"/>
    <w:rsid w:val="00D037F4"/>
    <w:rsid w:val="00D038CA"/>
    <w:rsid w:val="00D03996"/>
    <w:rsid w:val="00D0474A"/>
    <w:rsid w:val="00D052E3"/>
    <w:rsid w:val="00D07305"/>
    <w:rsid w:val="00D11EFC"/>
    <w:rsid w:val="00D1273B"/>
    <w:rsid w:val="00D14E2E"/>
    <w:rsid w:val="00D1599C"/>
    <w:rsid w:val="00D16490"/>
    <w:rsid w:val="00D178CF"/>
    <w:rsid w:val="00D17F22"/>
    <w:rsid w:val="00D2006D"/>
    <w:rsid w:val="00D218D7"/>
    <w:rsid w:val="00D2193E"/>
    <w:rsid w:val="00D21CB9"/>
    <w:rsid w:val="00D21D21"/>
    <w:rsid w:val="00D22B58"/>
    <w:rsid w:val="00D2322E"/>
    <w:rsid w:val="00D24B15"/>
    <w:rsid w:val="00D24DBB"/>
    <w:rsid w:val="00D25CCD"/>
    <w:rsid w:val="00D264CF"/>
    <w:rsid w:val="00D26851"/>
    <w:rsid w:val="00D278AB"/>
    <w:rsid w:val="00D27C22"/>
    <w:rsid w:val="00D27D8A"/>
    <w:rsid w:val="00D30D9E"/>
    <w:rsid w:val="00D3176D"/>
    <w:rsid w:val="00D3445B"/>
    <w:rsid w:val="00D34C41"/>
    <w:rsid w:val="00D34D8F"/>
    <w:rsid w:val="00D36244"/>
    <w:rsid w:val="00D365BB"/>
    <w:rsid w:val="00D41375"/>
    <w:rsid w:val="00D42E7B"/>
    <w:rsid w:val="00D46EDD"/>
    <w:rsid w:val="00D474EF"/>
    <w:rsid w:val="00D47730"/>
    <w:rsid w:val="00D50BB3"/>
    <w:rsid w:val="00D51AFC"/>
    <w:rsid w:val="00D51B8D"/>
    <w:rsid w:val="00D51C00"/>
    <w:rsid w:val="00D5290C"/>
    <w:rsid w:val="00D529C5"/>
    <w:rsid w:val="00D52F70"/>
    <w:rsid w:val="00D537C5"/>
    <w:rsid w:val="00D53832"/>
    <w:rsid w:val="00D53AF1"/>
    <w:rsid w:val="00D54DF3"/>
    <w:rsid w:val="00D552D3"/>
    <w:rsid w:val="00D55759"/>
    <w:rsid w:val="00D5705C"/>
    <w:rsid w:val="00D61023"/>
    <w:rsid w:val="00D61581"/>
    <w:rsid w:val="00D61BB0"/>
    <w:rsid w:val="00D6212C"/>
    <w:rsid w:val="00D62657"/>
    <w:rsid w:val="00D639C2"/>
    <w:rsid w:val="00D63DC2"/>
    <w:rsid w:val="00D64F48"/>
    <w:rsid w:val="00D66E25"/>
    <w:rsid w:val="00D66E74"/>
    <w:rsid w:val="00D67EAE"/>
    <w:rsid w:val="00D72A80"/>
    <w:rsid w:val="00D73D67"/>
    <w:rsid w:val="00D744C3"/>
    <w:rsid w:val="00D745E3"/>
    <w:rsid w:val="00D747BE"/>
    <w:rsid w:val="00D76669"/>
    <w:rsid w:val="00D779D4"/>
    <w:rsid w:val="00D77B47"/>
    <w:rsid w:val="00D77E02"/>
    <w:rsid w:val="00D808AA"/>
    <w:rsid w:val="00D8142B"/>
    <w:rsid w:val="00D82C98"/>
    <w:rsid w:val="00D8357C"/>
    <w:rsid w:val="00D8392C"/>
    <w:rsid w:val="00D83958"/>
    <w:rsid w:val="00D84F70"/>
    <w:rsid w:val="00D8548E"/>
    <w:rsid w:val="00D859E4"/>
    <w:rsid w:val="00D85C19"/>
    <w:rsid w:val="00D90522"/>
    <w:rsid w:val="00D93656"/>
    <w:rsid w:val="00D94099"/>
    <w:rsid w:val="00D9470D"/>
    <w:rsid w:val="00D9482F"/>
    <w:rsid w:val="00D94E24"/>
    <w:rsid w:val="00D954C0"/>
    <w:rsid w:val="00D960A9"/>
    <w:rsid w:val="00D96B15"/>
    <w:rsid w:val="00D97604"/>
    <w:rsid w:val="00DA0BD5"/>
    <w:rsid w:val="00DA0D8A"/>
    <w:rsid w:val="00DA0EDC"/>
    <w:rsid w:val="00DA1DE5"/>
    <w:rsid w:val="00DA25A5"/>
    <w:rsid w:val="00DA32F6"/>
    <w:rsid w:val="00DA338F"/>
    <w:rsid w:val="00DA36EA"/>
    <w:rsid w:val="00DA3C3A"/>
    <w:rsid w:val="00DA46EE"/>
    <w:rsid w:val="00DA50E9"/>
    <w:rsid w:val="00DA65E3"/>
    <w:rsid w:val="00DA686F"/>
    <w:rsid w:val="00DA6FA6"/>
    <w:rsid w:val="00DA7398"/>
    <w:rsid w:val="00DA7C99"/>
    <w:rsid w:val="00DB1199"/>
    <w:rsid w:val="00DB1912"/>
    <w:rsid w:val="00DB20DE"/>
    <w:rsid w:val="00DB3B3B"/>
    <w:rsid w:val="00DB5E8F"/>
    <w:rsid w:val="00DB5F37"/>
    <w:rsid w:val="00DB69B6"/>
    <w:rsid w:val="00DB6BEF"/>
    <w:rsid w:val="00DC0F04"/>
    <w:rsid w:val="00DC1704"/>
    <w:rsid w:val="00DC256B"/>
    <w:rsid w:val="00DC42EB"/>
    <w:rsid w:val="00DC458B"/>
    <w:rsid w:val="00DC4CA6"/>
    <w:rsid w:val="00DC527A"/>
    <w:rsid w:val="00DD00E7"/>
    <w:rsid w:val="00DD0529"/>
    <w:rsid w:val="00DD0ACF"/>
    <w:rsid w:val="00DD1985"/>
    <w:rsid w:val="00DD25DA"/>
    <w:rsid w:val="00DD3211"/>
    <w:rsid w:val="00DD38FC"/>
    <w:rsid w:val="00DD3E64"/>
    <w:rsid w:val="00DD3E73"/>
    <w:rsid w:val="00DD3EEF"/>
    <w:rsid w:val="00DD4ABC"/>
    <w:rsid w:val="00DD5126"/>
    <w:rsid w:val="00DD789B"/>
    <w:rsid w:val="00DD78BF"/>
    <w:rsid w:val="00DE0750"/>
    <w:rsid w:val="00DE24B6"/>
    <w:rsid w:val="00DE2F70"/>
    <w:rsid w:val="00DE4D0F"/>
    <w:rsid w:val="00DE57E9"/>
    <w:rsid w:val="00DE65E5"/>
    <w:rsid w:val="00DF0AEC"/>
    <w:rsid w:val="00DF148C"/>
    <w:rsid w:val="00DF1ABF"/>
    <w:rsid w:val="00DF392D"/>
    <w:rsid w:val="00DF4593"/>
    <w:rsid w:val="00DF4A85"/>
    <w:rsid w:val="00DF4C75"/>
    <w:rsid w:val="00DF5783"/>
    <w:rsid w:val="00DF666C"/>
    <w:rsid w:val="00DF7128"/>
    <w:rsid w:val="00E01595"/>
    <w:rsid w:val="00E02FD1"/>
    <w:rsid w:val="00E036C8"/>
    <w:rsid w:val="00E052AE"/>
    <w:rsid w:val="00E05348"/>
    <w:rsid w:val="00E05E83"/>
    <w:rsid w:val="00E0695F"/>
    <w:rsid w:val="00E07029"/>
    <w:rsid w:val="00E10A09"/>
    <w:rsid w:val="00E10B87"/>
    <w:rsid w:val="00E12531"/>
    <w:rsid w:val="00E13649"/>
    <w:rsid w:val="00E14D35"/>
    <w:rsid w:val="00E154B6"/>
    <w:rsid w:val="00E15821"/>
    <w:rsid w:val="00E217C2"/>
    <w:rsid w:val="00E21EAD"/>
    <w:rsid w:val="00E228B7"/>
    <w:rsid w:val="00E23CF4"/>
    <w:rsid w:val="00E24062"/>
    <w:rsid w:val="00E24C05"/>
    <w:rsid w:val="00E2557F"/>
    <w:rsid w:val="00E25754"/>
    <w:rsid w:val="00E26EEE"/>
    <w:rsid w:val="00E274B0"/>
    <w:rsid w:val="00E27578"/>
    <w:rsid w:val="00E3263D"/>
    <w:rsid w:val="00E331BB"/>
    <w:rsid w:val="00E34295"/>
    <w:rsid w:val="00E343D9"/>
    <w:rsid w:val="00E35F27"/>
    <w:rsid w:val="00E3647F"/>
    <w:rsid w:val="00E419AD"/>
    <w:rsid w:val="00E41DF1"/>
    <w:rsid w:val="00E42C09"/>
    <w:rsid w:val="00E43162"/>
    <w:rsid w:val="00E43512"/>
    <w:rsid w:val="00E43DC4"/>
    <w:rsid w:val="00E4409E"/>
    <w:rsid w:val="00E44C16"/>
    <w:rsid w:val="00E47249"/>
    <w:rsid w:val="00E51492"/>
    <w:rsid w:val="00E535EE"/>
    <w:rsid w:val="00E543BF"/>
    <w:rsid w:val="00E54760"/>
    <w:rsid w:val="00E5530D"/>
    <w:rsid w:val="00E559A9"/>
    <w:rsid w:val="00E60AB4"/>
    <w:rsid w:val="00E60F5E"/>
    <w:rsid w:val="00E61F3F"/>
    <w:rsid w:val="00E655C7"/>
    <w:rsid w:val="00E65DE7"/>
    <w:rsid w:val="00E65EBA"/>
    <w:rsid w:val="00E6705C"/>
    <w:rsid w:val="00E67CBC"/>
    <w:rsid w:val="00E67EB5"/>
    <w:rsid w:val="00E70E49"/>
    <w:rsid w:val="00E739CE"/>
    <w:rsid w:val="00E74ED2"/>
    <w:rsid w:val="00E770AE"/>
    <w:rsid w:val="00E7793B"/>
    <w:rsid w:val="00E77B97"/>
    <w:rsid w:val="00E77FC8"/>
    <w:rsid w:val="00E8104C"/>
    <w:rsid w:val="00E82CC2"/>
    <w:rsid w:val="00E832C2"/>
    <w:rsid w:val="00E84A1C"/>
    <w:rsid w:val="00E850D1"/>
    <w:rsid w:val="00E8534E"/>
    <w:rsid w:val="00E85CB4"/>
    <w:rsid w:val="00E872C9"/>
    <w:rsid w:val="00E8786E"/>
    <w:rsid w:val="00E90359"/>
    <w:rsid w:val="00E90825"/>
    <w:rsid w:val="00E90B85"/>
    <w:rsid w:val="00E90E37"/>
    <w:rsid w:val="00E92B37"/>
    <w:rsid w:val="00E9475C"/>
    <w:rsid w:val="00EA1EA1"/>
    <w:rsid w:val="00EA26B4"/>
    <w:rsid w:val="00EA2B7D"/>
    <w:rsid w:val="00EA2E63"/>
    <w:rsid w:val="00EA2FF2"/>
    <w:rsid w:val="00EA30E4"/>
    <w:rsid w:val="00EA4571"/>
    <w:rsid w:val="00EA6038"/>
    <w:rsid w:val="00EA6F04"/>
    <w:rsid w:val="00EA7AA8"/>
    <w:rsid w:val="00EB102A"/>
    <w:rsid w:val="00EB19C6"/>
    <w:rsid w:val="00EB441A"/>
    <w:rsid w:val="00EB4CAE"/>
    <w:rsid w:val="00EB56AA"/>
    <w:rsid w:val="00EB60E8"/>
    <w:rsid w:val="00EB7CD1"/>
    <w:rsid w:val="00EC00F3"/>
    <w:rsid w:val="00EC0B91"/>
    <w:rsid w:val="00EC1AE5"/>
    <w:rsid w:val="00EC4642"/>
    <w:rsid w:val="00EC4C32"/>
    <w:rsid w:val="00EC6871"/>
    <w:rsid w:val="00EC7E96"/>
    <w:rsid w:val="00ED125E"/>
    <w:rsid w:val="00ED16F4"/>
    <w:rsid w:val="00ED3A98"/>
    <w:rsid w:val="00ED4AF0"/>
    <w:rsid w:val="00EE1624"/>
    <w:rsid w:val="00EE1DE8"/>
    <w:rsid w:val="00EE25A1"/>
    <w:rsid w:val="00EE3A04"/>
    <w:rsid w:val="00EE5D2B"/>
    <w:rsid w:val="00EE7652"/>
    <w:rsid w:val="00EF0EB4"/>
    <w:rsid w:val="00EF11F5"/>
    <w:rsid w:val="00EF1A4A"/>
    <w:rsid w:val="00EF1B52"/>
    <w:rsid w:val="00EF20DF"/>
    <w:rsid w:val="00EF30BB"/>
    <w:rsid w:val="00EF3192"/>
    <w:rsid w:val="00EF385C"/>
    <w:rsid w:val="00EF3B54"/>
    <w:rsid w:val="00EF4111"/>
    <w:rsid w:val="00EF41A2"/>
    <w:rsid w:val="00EF4CA2"/>
    <w:rsid w:val="00EF4EE7"/>
    <w:rsid w:val="00EF518B"/>
    <w:rsid w:val="00EF54CF"/>
    <w:rsid w:val="00EF576F"/>
    <w:rsid w:val="00EF6548"/>
    <w:rsid w:val="00EF6A43"/>
    <w:rsid w:val="00EF6B45"/>
    <w:rsid w:val="00EF6F13"/>
    <w:rsid w:val="00F000DF"/>
    <w:rsid w:val="00F00CC4"/>
    <w:rsid w:val="00F012EE"/>
    <w:rsid w:val="00F01637"/>
    <w:rsid w:val="00F0203E"/>
    <w:rsid w:val="00F029CF"/>
    <w:rsid w:val="00F04313"/>
    <w:rsid w:val="00F04749"/>
    <w:rsid w:val="00F04905"/>
    <w:rsid w:val="00F0503C"/>
    <w:rsid w:val="00F05189"/>
    <w:rsid w:val="00F054F2"/>
    <w:rsid w:val="00F07E38"/>
    <w:rsid w:val="00F110CE"/>
    <w:rsid w:val="00F122C7"/>
    <w:rsid w:val="00F126DC"/>
    <w:rsid w:val="00F1446D"/>
    <w:rsid w:val="00F14C54"/>
    <w:rsid w:val="00F1532B"/>
    <w:rsid w:val="00F15706"/>
    <w:rsid w:val="00F20160"/>
    <w:rsid w:val="00F21CAA"/>
    <w:rsid w:val="00F22BFC"/>
    <w:rsid w:val="00F22C2C"/>
    <w:rsid w:val="00F22C7D"/>
    <w:rsid w:val="00F232ED"/>
    <w:rsid w:val="00F240C8"/>
    <w:rsid w:val="00F24DE7"/>
    <w:rsid w:val="00F25CEB"/>
    <w:rsid w:val="00F27F65"/>
    <w:rsid w:val="00F30E8A"/>
    <w:rsid w:val="00F322A2"/>
    <w:rsid w:val="00F335AE"/>
    <w:rsid w:val="00F349DF"/>
    <w:rsid w:val="00F34C53"/>
    <w:rsid w:val="00F3597A"/>
    <w:rsid w:val="00F35B3C"/>
    <w:rsid w:val="00F36C4C"/>
    <w:rsid w:val="00F37730"/>
    <w:rsid w:val="00F40968"/>
    <w:rsid w:val="00F41495"/>
    <w:rsid w:val="00F41853"/>
    <w:rsid w:val="00F42115"/>
    <w:rsid w:val="00F42851"/>
    <w:rsid w:val="00F43705"/>
    <w:rsid w:val="00F454B7"/>
    <w:rsid w:val="00F45F14"/>
    <w:rsid w:val="00F46B27"/>
    <w:rsid w:val="00F46F38"/>
    <w:rsid w:val="00F5048E"/>
    <w:rsid w:val="00F50658"/>
    <w:rsid w:val="00F50C66"/>
    <w:rsid w:val="00F5118F"/>
    <w:rsid w:val="00F51437"/>
    <w:rsid w:val="00F5162A"/>
    <w:rsid w:val="00F51D42"/>
    <w:rsid w:val="00F53A58"/>
    <w:rsid w:val="00F54D2B"/>
    <w:rsid w:val="00F55CC3"/>
    <w:rsid w:val="00F560FC"/>
    <w:rsid w:val="00F57269"/>
    <w:rsid w:val="00F57750"/>
    <w:rsid w:val="00F57B99"/>
    <w:rsid w:val="00F60FD4"/>
    <w:rsid w:val="00F611FE"/>
    <w:rsid w:val="00F61780"/>
    <w:rsid w:val="00F6238D"/>
    <w:rsid w:val="00F62A39"/>
    <w:rsid w:val="00F64409"/>
    <w:rsid w:val="00F64FE9"/>
    <w:rsid w:val="00F659BD"/>
    <w:rsid w:val="00F65ADB"/>
    <w:rsid w:val="00F66C03"/>
    <w:rsid w:val="00F67714"/>
    <w:rsid w:val="00F71FD8"/>
    <w:rsid w:val="00F7287D"/>
    <w:rsid w:val="00F74482"/>
    <w:rsid w:val="00F74827"/>
    <w:rsid w:val="00F74CD9"/>
    <w:rsid w:val="00F7560E"/>
    <w:rsid w:val="00F76700"/>
    <w:rsid w:val="00F80470"/>
    <w:rsid w:val="00F810BF"/>
    <w:rsid w:val="00F84333"/>
    <w:rsid w:val="00F84AE3"/>
    <w:rsid w:val="00F84F73"/>
    <w:rsid w:val="00F8509F"/>
    <w:rsid w:val="00F85207"/>
    <w:rsid w:val="00F864F8"/>
    <w:rsid w:val="00F87269"/>
    <w:rsid w:val="00F917A6"/>
    <w:rsid w:val="00F9220F"/>
    <w:rsid w:val="00F94CA1"/>
    <w:rsid w:val="00F975FD"/>
    <w:rsid w:val="00FA2D75"/>
    <w:rsid w:val="00FA395E"/>
    <w:rsid w:val="00FA530A"/>
    <w:rsid w:val="00FA5CB0"/>
    <w:rsid w:val="00FA61C2"/>
    <w:rsid w:val="00FA6E59"/>
    <w:rsid w:val="00FB1CB1"/>
    <w:rsid w:val="00FB2F93"/>
    <w:rsid w:val="00FB4317"/>
    <w:rsid w:val="00FC0396"/>
    <w:rsid w:val="00FC0459"/>
    <w:rsid w:val="00FC0EC1"/>
    <w:rsid w:val="00FC148D"/>
    <w:rsid w:val="00FC2FCC"/>
    <w:rsid w:val="00FC3716"/>
    <w:rsid w:val="00FC39DF"/>
    <w:rsid w:val="00FC5106"/>
    <w:rsid w:val="00FC52F3"/>
    <w:rsid w:val="00FC536D"/>
    <w:rsid w:val="00FC75BD"/>
    <w:rsid w:val="00FC75CE"/>
    <w:rsid w:val="00FD04DB"/>
    <w:rsid w:val="00FD1E18"/>
    <w:rsid w:val="00FD310B"/>
    <w:rsid w:val="00FD34E1"/>
    <w:rsid w:val="00FD3643"/>
    <w:rsid w:val="00FD3C2F"/>
    <w:rsid w:val="00FD53E7"/>
    <w:rsid w:val="00FD609E"/>
    <w:rsid w:val="00FD70A6"/>
    <w:rsid w:val="00FE07B0"/>
    <w:rsid w:val="00FE0F26"/>
    <w:rsid w:val="00FE1709"/>
    <w:rsid w:val="00FE3417"/>
    <w:rsid w:val="00FE34EA"/>
    <w:rsid w:val="00FE3696"/>
    <w:rsid w:val="00FE401B"/>
    <w:rsid w:val="00FE6959"/>
    <w:rsid w:val="00FE6F0C"/>
    <w:rsid w:val="00FF0002"/>
    <w:rsid w:val="00FF0294"/>
    <w:rsid w:val="00FF2E2B"/>
    <w:rsid w:val="00FF3B77"/>
    <w:rsid w:val="00FF5ADC"/>
    <w:rsid w:val="01082B85"/>
    <w:rsid w:val="010E1785"/>
    <w:rsid w:val="01191EC9"/>
    <w:rsid w:val="012F1446"/>
    <w:rsid w:val="014C25AB"/>
    <w:rsid w:val="01787946"/>
    <w:rsid w:val="018C3E2B"/>
    <w:rsid w:val="01D32C89"/>
    <w:rsid w:val="01DD488B"/>
    <w:rsid w:val="020E652C"/>
    <w:rsid w:val="02156543"/>
    <w:rsid w:val="022E6257"/>
    <w:rsid w:val="02507017"/>
    <w:rsid w:val="027872C6"/>
    <w:rsid w:val="028C5218"/>
    <w:rsid w:val="029B0160"/>
    <w:rsid w:val="03427A5A"/>
    <w:rsid w:val="035825E3"/>
    <w:rsid w:val="03CE7479"/>
    <w:rsid w:val="04335B5F"/>
    <w:rsid w:val="044A4CF9"/>
    <w:rsid w:val="054118AA"/>
    <w:rsid w:val="05DD06B1"/>
    <w:rsid w:val="05EF03F3"/>
    <w:rsid w:val="06481D9F"/>
    <w:rsid w:val="06497B03"/>
    <w:rsid w:val="06726F19"/>
    <w:rsid w:val="06B11D77"/>
    <w:rsid w:val="07041C7C"/>
    <w:rsid w:val="07664143"/>
    <w:rsid w:val="076E379B"/>
    <w:rsid w:val="077274B4"/>
    <w:rsid w:val="07C87D4F"/>
    <w:rsid w:val="082A18D1"/>
    <w:rsid w:val="08912770"/>
    <w:rsid w:val="08EF0932"/>
    <w:rsid w:val="08FA7E97"/>
    <w:rsid w:val="095071FE"/>
    <w:rsid w:val="098A290C"/>
    <w:rsid w:val="0A261078"/>
    <w:rsid w:val="0A2C5771"/>
    <w:rsid w:val="0A7B46A7"/>
    <w:rsid w:val="0AA7129C"/>
    <w:rsid w:val="0AB175FE"/>
    <w:rsid w:val="0AEB45E0"/>
    <w:rsid w:val="0B3B3792"/>
    <w:rsid w:val="0B815649"/>
    <w:rsid w:val="0BB1452D"/>
    <w:rsid w:val="0C017795"/>
    <w:rsid w:val="0C083041"/>
    <w:rsid w:val="0C245803"/>
    <w:rsid w:val="0C4C174B"/>
    <w:rsid w:val="0C4C20FB"/>
    <w:rsid w:val="0C4D2126"/>
    <w:rsid w:val="0CA1396D"/>
    <w:rsid w:val="0CF67A23"/>
    <w:rsid w:val="0D49175C"/>
    <w:rsid w:val="0D507D1A"/>
    <w:rsid w:val="0D664453"/>
    <w:rsid w:val="0DA726A0"/>
    <w:rsid w:val="0DC46FCE"/>
    <w:rsid w:val="0E2246A2"/>
    <w:rsid w:val="0E362D17"/>
    <w:rsid w:val="0EA43128"/>
    <w:rsid w:val="0EBE779D"/>
    <w:rsid w:val="0EEE6DB5"/>
    <w:rsid w:val="0F706100"/>
    <w:rsid w:val="0F882908"/>
    <w:rsid w:val="0F9242C9"/>
    <w:rsid w:val="0FD00111"/>
    <w:rsid w:val="0FFA6CF7"/>
    <w:rsid w:val="10212EDE"/>
    <w:rsid w:val="118C1040"/>
    <w:rsid w:val="119F4A7B"/>
    <w:rsid w:val="11DF695B"/>
    <w:rsid w:val="11EB763B"/>
    <w:rsid w:val="123C512D"/>
    <w:rsid w:val="12B94EB4"/>
    <w:rsid w:val="12CA1FCB"/>
    <w:rsid w:val="13051255"/>
    <w:rsid w:val="131E0A19"/>
    <w:rsid w:val="135F070C"/>
    <w:rsid w:val="13AB3BAB"/>
    <w:rsid w:val="14005A63"/>
    <w:rsid w:val="14025795"/>
    <w:rsid w:val="14720F4C"/>
    <w:rsid w:val="147A17CF"/>
    <w:rsid w:val="14B46A8F"/>
    <w:rsid w:val="155431DC"/>
    <w:rsid w:val="158F5F93"/>
    <w:rsid w:val="159C34F0"/>
    <w:rsid w:val="15D377B7"/>
    <w:rsid w:val="164B117D"/>
    <w:rsid w:val="16550BA5"/>
    <w:rsid w:val="16846935"/>
    <w:rsid w:val="16A501E7"/>
    <w:rsid w:val="17265EA2"/>
    <w:rsid w:val="17CB6065"/>
    <w:rsid w:val="17ED041F"/>
    <w:rsid w:val="1824217E"/>
    <w:rsid w:val="185E4830"/>
    <w:rsid w:val="189E1CCE"/>
    <w:rsid w:val="18AA14C9"/>
    <w:rsid w:val="18AA728B"/>
    <w:rsid w:val="18CC2AA3"/>
    <w:rsid w:val="18DE7D13"/>
    <w:rsid w:val="18EE71D3"/>
    <w:rsid w:val="19371856"/>
    <w:rsid w:val="195C47F1"/>
    <w:rsid w:val="19CE0D2C"/>
    <w:rsid w:val="1A11228E"/>
    <w:rsid w:val="1A214C7E"/>
    <w:rsid w:val="1A3017BE"/>
    <w:rsid w:val="1A4026CF"/>
    <w:rsid w:val="1A750A6F"/>
    <w:rsid w:val="1AB62E35"/>
    <w:rsid w:val="1AE21E65"/>
    <w:rsid w:val="1AFC6B2B"/>
    <w:rsid w:val="1B3126E0"/>
    <w:rsid w:val="1B4950A4"/>
    <w:rsid w:val="1B684130"/>
    <w:rsid w:val="1B925BF7"/>
    <w:rsid w:val="1BB05833"/>
    <w:rsid w:val="1C3D38A1"/>
    <w:rsid w:val="1C8F72B0"/>
    <w:rsid w:val="1CBD1A4B"/>
    <w:rsid w:val="1CC63804"/>
    <w:rsid w:val="1D000C28"/>
    <w:rsid w:val="1D23280F"/>
    <w:rsid w:val="1D35201E"/>
    <w:rsid w:val="1DA4379F"/>
    <w:rsid w:val="1DE50DAA"/>
    <w:rsid w:val="1E216346"/>
    <w:rsid w:val="1E343F5F"/>
    <w:rsid w:val="1E552F6B"/>
    <w:rsid w:val="1E6D33C6"/>
    <w:rsid w:val="1E8C45D9"/>
    <w:rsid w:val="1EA43243"/>
    <w:rsid w:val="1EB5267B"/>
    <w:rsid w:val="1ED439CD"/>
    <w:rsid w:val="1F1C4FE3"/>
    <w:rsid w:val="1F1C595D"/>
    <w:rsid w:val="1F67414E"/>
    <w:rsid w:val="1F703EFB"/>
    <w:rsid w:val="1F9951FF"/>
    <w:rsid w:val="200D6C2C"/>
    <w:rsid w:val="20B52765"/>
    <w:rsid w:val="21690C01"/>
    <w:rsid w:val="21A458C1"/>
    <w:rsid w:val="21B97B88"/>
    <w:rsid w:val="228148ED"/>
    <w:rsid w:val="229323DA"/>
    <w:rsid w:val="22C73604"/>
    <w:rsid w:val="22CA5137"/>
    <w:rsid w:val="2395178B"/>
    <w:rsid w:val="23DC4AE4"/>
    <w:rsid w:val="24030E99"/>
    <w:rsid w:val="246D6CB0"/>
    <w:rsid w:val="247D0DF3"/>
    <w:rsid w:val="249545FF"/>
    <w:rsid w:val="24AF1021"/>
    <w:rsid w:val="252C35AC"/>
    <w:rsid w:val="25523A1F"/>
    <w:rsid w:val="25705AD8"/>
    <w:rsid w:val="25A55B5C"/>
    <w:rsid w:val="25B8074E"/>
    <w:rsid w:val="26083698"/>
    <w:rsid w:val="26C51673"/>
    <w:rsid w:val="27196BF2"/>
    <w:rsid w:val="271E71B5"/>
    <w:rsid w:val="274A2F0F"/>
    <w:rsid w:val="27675E8E"/>
    <w:rsid w:val="27DE1C22"/>
    <w:rsid w:val="281A16BA"/>
    <w:rsid w:val="282F5807"/>
    <w:rsid w:val="28534A42"/>
    <w:rsid w:val="289B5AC8"/>
    <w:rsid w:val="28A5278E"/>
    <w:rsid w:val="28B44E58"/>
    <w:rsid w:val="28D503BE"/>
    <w:rsid w:val="296F67BB"/>
    <w:rsid w:val="29BD7D3C"/>
    <w:rsid w:val="29E7300B"/>
    <w:rsid w:val="2A44790D"/>
    <w:rsid w:val="2A974C69"/>
    <w:rsid w:val="2AE34323"/>
    <w:rsid w:val="2AEC2542"/>
    <w:rsid w:val="2B067FB3"/>
    <w:rsid w:val="2B2D711A"/>
    <w:rsid w:val="2B33194A"/>
    <w:rsid w:val="2B4C37B9"/>
    <w:rsid w:val="2BEC14FF"/>
    <w:rsid w:val="2C1B5102"/>
    <w:rsid w:val="2C416A03"/>
    <w:rsid w:val="2C901863"/>
    <w:rsid w:val="2CC517E0"/>
    <w:rsid w:val="2CD95E24"/>
    <w:rsid w:val="2CE83322"/>
    <w:rsid w:val="2D0E43AE"/>
    <w:rsid w:val="2D872B3B"/>
    <w:rsid w:val="2D8C1152"/>
    <w:rsid w:val="2D8E417B"/>
    <w:rsid w:val="2D984DAB"/>
    <w:rsid w:val="2DC9792A"/>
    <w:rsid w:val="2DDF0DBB"/>
    <w:rsid w:val="2E29075F"/>
    <w:rsid w:val="2E5D1AEE"/>
    <w:rsid w:val="2EAA6832"/>
    <w:rsid w:val="2EEA5E85"/>
    <w:rsid w:val="2F010A9B"/>
    <w:rsid w:val="2FB819F0"/>
    <w:rsid w:val="2FE5268C"/>
    <w:rsid w:val="30E676FA"/>
    <w:rsid w:val="30EE68E5"/>
    <w:rsid w:val="31113BB9"/>
    <w:rsid w:val="31562CFE"/>
    <w:rsid w:val="317050E8"/>
    <w:rsid w:val="31B93423"/>
    <w:rsid w:val="327E0D92"/>
    <w:rsid w:val="32B06690"/>
    <w:rsid w:val="32CD6857"/>
    <w:rsid w:val="32E4633A"/>
    <w:rsid w:val="32ED3BB2"/>
    <w:rsid w:val="33067842"/>
    <w:rsid w:val="331560B7"/>
    <w:rsid w:val="33357C32"/>
    <w:rsid w:val="33514506"/>
    <w:rsid w:val="33596D28"/>
    <w:rsid w:val="338166ED"/>
    <w:rsid w:val="339617C7"/>
    <w:rsid w:val="339F2FEB"/>
    <w:rsid w:val="33BF6F50"/>
    <w:rsid w:val="3410307F"/>
    <w:rsid w:val="342235BE"/>
    <w:rsid w:val="346B032C"/>
    <w:rsid w:val="349E60B0"/>
    <w:rsid w:val="34D54E58"/>
    <w:rsid w:val="34E641A1"/>
    <w:rsid w:val="35363B2B"/>
    <w:rsid w:val="357D4754"/>
    <w:rsid w:val="35810D56"/>
    <w:rsid w:val="35A43692"/>
    <w:rsid w:val="363A3628"/>
    <w:rsid w:val="375331B7"/>
    <w:rsid w:val="3761337D"/>
    <w:rsid w:val="378400EB"/>
    <w:rsid w:val="37C74C24"/>
    <w:rsid w:val="37D05F7D"/>
    <w:rsid w:val="37FD0311"/>
    <w:rsid w:val="38224F55"/>
    <w:rsid w:val="38416397"/>
    <w:rsid w:val="38826EED"/>
    <w:rsid w:val="38A34B1E"/>
    <w:rsid w:val="390A2AC9"/>
    <w:rsid w:val="396522EA"/>
    <w:rsid w:val="39B7632F"/>
    <w:rsid w:val="39C47701"/>
    <w:rsid w:val="39F32D23"/>
    <w:rsid w:val="3A1357D6"/>
    <w:rsid w:val="3A4A561C"/>
    <w:rsid w:val="3ADB3881"/>
    <w:rsid w:val="3B422265"/>
    <w:rsid w:val="3B4262F3"/>
    <w:rsid w:val="3BBE7597"/>
    <w:rsid w:val="3BC92571"/>
    <w:rsid w:val="3BE410F4"/>
    <w:rsid w:val="3C2864D9"/>
    <w:rsid w:val="3C520DC5"/>
    <w:rsid w:val="3CA95CD6"/>
    <w:rsid w:val="3D534CEE"/>
    <w:rsid w:val="3D583B9B"/>
    <w:rsid w:val="3D6D517E"/>
    <w:rsid w:val="3D801355"/>
    <w:rsid w:val="3E3661D3"/>
    <w:rsid w:val="3E6A53A1"/>
    <w:rsid w:val="3F682F61"/>
    <w:rsid w:val="3FA255B3"/>
    <w:rsid w:val="3FD17C46"/>
    <w:rsid w:val="40027C7E"/>
    <w:rsid w:val="403461CA"/>
    <w:rsid w:val="4042426E"/>
    <w:rsid w:val="4073714C"/>
    <w:rsid w:val="40881367"/>
    <w:rsid w:val="413A7E5A"/>
    <w:rsid w:val="417B794A"/>
    <w:rsid w:val="41AF3581"/>
    <w:rsid w:val="41C0599B"/>
    <w:rsid w:val="420267DC"/>
    <w:rsid w:val="42A50B42"/>
    <w:rsid w:val="42DE34FB"/>
    <w:rsid w:val="42F33CBF"/>
    <w:rsid w:val="433230F1"/>
    <w:rsid w:val="43635059"/>
    <w:rsid w:val="43996CCD"/>
    <w:rsid w:val="43BC2BF1"/>
    <w:rsid w:val="43C34FE4"/>
    <w:rsid w:val="43CF770F"/>
    <w:rsid w:val="43EF2C32"/>
    <w:rsid w:val="44224F14"/>
    <w:rsid w:val="44291B7E"/>
    <w:rsid w:val="447515BF"/>
    <w:rsid w:val="44EB3DBC"/>
    <w:rsid w:val="44F10000"/>
    <w:rsid w:val="44F20D8A"/>
    <w:rsid w:val="4512417A"/>
    <w:rsid w:val="4529231C"/>
    <w:rsid w:val="4585589D"/>
    <w:rsid w:val="45C2075D"/>
    <w:rsid w:val="45FE1301"/>
    <w:rsid w:val="469A0CDE"/>
    <w:rsid w:val="46F93BF0"/>
    <w:rsid w:val="47D025B3"/>
    <w:rsid w:val="482D17E7"/>
    <w:rsid w:val="488B6EF9"/>
    <w:rsid w:val="48A56742"/>
    <w:rsid w:val="48A72607"/>
    <w:rsid w:val="48BA396D"/>
    <w:rsid w:val="48BF6BE8"/>
    <w:rsid w:val="48FA3658"/>
    <w:rsid w:val="4906181B"/>
    <w:rsid w:val="49086736"/>
    <w:rsid w:val="492815E9"/>
    <w:rsid w:val="49EC7F4C"/>
    <w:rsid w:val="4A2C7A26"/>
    <w:rsid w:val="4A494B09"/>
    <w:rsid w:val="4A496CB9"/>
    <w:rsid w:val="4A9626D0"/>
    <w:rsid w:val="4B4F4210"/>
    <w:rsid w:val="4B6776B0"/>
    <w:rsid w:val="4B7645F1"/>
    <w:rsid w:val="4BAB3E42"/>
    <w:rsid w:val="4BC36FCD"/>
    <w:rsid w:val="4C26756B"/>
    <w:rsid w:val="4C4B33AB"/>
    <w:rsid w:val="4CE81924"/>
    <w:rsid w:val="4CFD56FC"/>
    <w:rsid w:val="4D16313C"/>
    <w:rsid w:val="4D4E602E"/>
    <w:rsid w:val="4D8E0454"/>
    <w:rsid w:val="4E8B2F7D"/>
    <w:rsid w:val="4F3E697A"/>
    <w:rsid w:val="4FC34E81"/>
    <w:rsid w:val="4FE70DC0"/>
    <w:rsid w:val="502E071A"/>
    <w:rsid w:val="50BC746A"/>
    <w:rsid w:val="50CE66EB"/>
    <w:rsid w:val="50D21A70"/>
    <w:rsid w:val="50D87A2D"/>
    <w:rsid w:val="51045ED3"/>
    <w:rsid w:val="511B6F73"/>
    <w:rsid w:val="51FD2DC4"/>
    <w:rsid w:val="523D7E25"/>
    <w:rsid w:val="528A0579"/>
    <w:rsid w:val="5294522F"/>
    <w:rsid w:val="52B633F7"/>
    <w:rsid w:val="532011D7"/>
    <w:rsid w:val="5322283B"/>
    <w:rsid w:val="534A7FE3"/>
    <w:rsid w:val="534C5B09"/>
    <w:rsid w:val="53647CEC"/>
    <w:rsid w:val="536B7620"/>
    <w:rsid w:val="53C74089"/>
    <w:rsid w:val="53E05BD1"/>
    <w:rsid w:val="53E20D50"/>
    <w:rsid w:val="54035150"/>
    <w:rsid w:val="545544ED"/>
    <w:rsid w:val="545E3D46"/>
    <w:rsid w:val="547938A0"/>
    <w:rsid w:val="5483531A"/>
    <w:rsid w:val="549E7DA2"/>
    <w:rsid w:val="54A0435F"/>
    <w:rsid w:val="54E67946"/>
    <w:rsid w:val="55A1236E"/>
    <w:rsid w:val="55CA5266"/>
    <w:rsid w:val="55F97648"/>
    <w:rsid w:val="5632548A"/>
    <w:rsid w:val="56603F36"/>
    <w:rsid w:val="56BB5ABC"/>
    <w:rsid w:val="57186D99"/>
    <w:rsid w:val="573B5393"/>
    <w:rsid w:val="57645BC6"/>
    <w:rsid w:val="5768605A"/>
    <w:rsid w:val="577052FD"/>
    <w:rsid w:val="57D55826"/>
    <w:rsid w:val="582B03E3"/>
    <w:rsid w:val="582E11A1"/>
    <w:rsid w:val="5844123A"/>
    <w:rsid w:val="588B7AE0"/>
    <w:rsid w:val="58AA7CB9"/>
    <w:rsid w:val="595905EB"/>
    <w:rsid w:val="59C4508E"/>
    <w:rsid w:val="59DE1485"/>
    <w:rsid w:val="5A1A03D8"/>
    <w:rsid w:val="5A202C97"/>
    <w:rsid w:val="5A6A70E7"/>
    <w:rsid w:val="5A7616BE"/>
    <w:rsid w:val="5AC661A1"/>
    <w:rsid w:val="5AFC2727"/>
    <w:rsid w:val="5C260841"/>
    <w:rsid w:val="5C2B7226"/>
    <w:rsid w:val="5C2C60D6"/>
    <w:rsid w:val="5CB14268"/>
    <w:rsid w:val="5CEC6C64"/>
    <w:rsid w:val="5D01659C"/>
    <w:rsid w:val="5D6D16BF"/>
    <w:rsid w:val="5E0F4A0D"/>
    <w:rsid w:val="5E3359ED"/>
    <w:rsid w:val="5E4E500F"/>
    <w:rsid w:val="5E556D0B"/>
    <w:rsid w:val="5EFE2E50"/>
    <w:rsid w:val="5F104897"/>
    <w:rsid w:val="5F2273CD"/>
    <w:rsid w:val="5F4B517B"/>
    <w:rsid w:val="5F797E13"/>
    <w:rsid w:val="5F9A7BFD"/>
    <w:rsid w:val="5FB032EC"/>
    <w:rsid w:val="60C03693"/>
    <w:rsid w:val="60C06560"/>
    <w:rsid w:val="60DE03F7"/>
    <w:rsid w:val="611C5F5F"/>
    <w:rsid w:val="613926CF"/>
    <w:rsid w:val="61410CB2"/>
    <w:rsid w:val="61B9391A"/>
    <w:rsid w:val="61D05DE7"/>
    <w:rsid w:val="61DA2AF1"/>
    <w:rsid w:val="61F10562"/>
    <w:rsid w:val="61FF070D"/>
    <w:rsid w:val="620011D7"/>
    <w:rsid w:val="621B5C4E"/>
    <w:rsid w:val="62243931"/>
    <w:rsid w:val="62A274F4"/>
    <w:rsid w:val="62AF29E4"/>
    <w:rsid w:val="62B24547"/>
    <w:rsid w:val="62EF7FF6"/>
    <w:rsid w:val="630272DB"/>
    <w:rsid w:val="63AB76CB"/>
    <w:rsid w:val="63DF3D2E"/>
    <w:rsid w:val="63EB5302"/>
    <w:rsid w:val="642440DA"/>
    <w:rsid w:val="642B3519"/>
    <w:rsid w:val="644E0E8F"/>
    <w:rsid w:val="64526CF8"/>
    <w:rsid w:val="64771F61"/>
    <w:rsid w:val="64A47AAA"/>
    <w:rsid w:val="64D75E82"/>
    <w:rsid w:val="64EC73DB"/>
    <w:rsid w:val="651C2E49"/>
    <w:rsid w:val="65733E15"/>
    <w:rsid w:val="65935FD1"/>
    <w:rsid w:val="659B647C"/>
    <w:rsid w:val="65ED4F2A"/>
    <w:rsid w:val="66076369"/>
    <w:rsid w:val="663A5D35"/>
    <w:rsid w:val="66852B41"/>
    <w:rsid w:val="66990C0E"/>
    <w:rsid w:val="66CB4B3F"/>
    <w:rsid w:val="67180834"/>
    <w:rsid w:val="6774602C"/>
    <w:rsid w:val="677D7439"/>
    <w:rsid w:val="67DA14DE"/>
    <w:rsid w:val="67F876A9"/>
    <w:rsid w:val="683235AB"/>
    <w:rsid w:val="68CB0E27"/>
    <w:rsid w:val="6916585A"/>
    <w:rsid w:val="691A431E"/>
    <w:rsid w:val="6A2152D6"/>
    <w:rsid w:val="6A7F3C95"/>
    <w:rsid w:val="6B1E73CA"/>
    <w:rsid w:val="6B1F27FC"/>
    <w:rsid w:val="6B9D14F7"/>
    <w:rsid w:val="6BA85985"/>
    <w:rsid w:val="6BB96D77"/>
    <w:rsid w:val="6BE6550E"/>
    <w:rsid w:val="6C376EFF"/>
    <w:rsid w:val="6C4406FE"/>
    <w:rsid w:val="6C5C664E"/>
    <w:rsid w:val="6C8251EB"/>
    <w:rsid w:val="6C9205D9"/>
    <w:rsid w:val="6CBC11B2"/>
    <w:rsid w:val="6CE942A8"/>
    <w:rsid w:val="6D13119B"/>
    <w:rsid w:val="6DAF78CF"/>
    <w:rsid w:val="6DB871A6"/>
    <w:rsid w:val="6DD07B21"/>
    <w:rsid w:val="6DE06A16"/>
    <w:rsid w:val="6EA01A95"/>
    <w:rsid w:val="6EE12DF7"/>
    <w:rsid w:val="6F3516FC"/>
    <w:rsid w:val="6F6224EC"/>
    <w:rsid w:val="705604C3"/>
    <w:rsid w:val="707352C8"/>
    <w:rsid w:val="710F37FE"/>
    <w:rsid w:val="71964AD0"/>
    <w:rsid w:val="71D90A58"/>
    <w:rsid w:val="71E36211"/>
    <w:rsid w:val="71E52D31"/>
    <w:rsid w:val="72155D12"/>
    <w:rsid w:val="72231CD3"/>
    <w:rsid w:val="72A11576"/>
    <w:rsid w:val="72E16B1A"/>
    <w:rsid w:val="730809B3"/>
    <w:rsid w:val="73334AB7"/>
    <w:rsid w:val="73830C7C"/>
    <w:rsid w:val="74031DBD"/>
    <w:rsid w:val="741F62AC"/>
    <w:rsid w:val="747A406B"/>
    <w:rsid w:val="74EA47CA"/>
    <w:rsid w:val="74F33BDF"/>
    <w:rsid w:val="7507318D"/>
    <w:rsid w:val="75162830"/>
    <w:rsid w:val="758807CB"/>
    <w:rsid w:val="75AB60A8"/>
    <w:rsid w:val="76C016AE"/>
    <w:rsid w:val="76D47D13"/>
    <w:rsid w:val="7717608E"/>
    <w:rsid w:val="77702CAE"/>
    <w:rsid w:val="77AC36AA"/>
    <w:rsid w:val="77E77FA4"/>
    <w:rsid w:val="77E81B80"/>
    <w:rsid w:val="78686692"/>
    <w:rsid w:val="788D5C3A"/>
    <w:rsid w:val="790E0E19"/>
    <w:rsid w:val="79DC3B51"/>
    <w:rsid w:val="7A285A17"/>
    <w:rsid w:val="7B0F10E1"/>
    <w:rsid w:val="7B4B2B46"/>
    <w:rsid w:val="7B6D484F"/>
    <w:rsid w:val="7B7303D9"/>
    <w:rsid w:val="7B8B072D"/>
    <w:rsid w:val="7B91722C"/>
    <w:rsid w:val="7BB857F2"/>
    <w:rsid w:val="7C210D35"/>
    <w:rsid w:val="7C482A62"/>
    <w:rsid w:val="7C5727BC"/>
    <w:rsid w:val="7C5A65BF"/>
    <w:rsid w:val="7CD6678C"/>
    <w:rsid w:val="7CDE48B9"/>
    <w:rsid w:val="7D065DAE"/>
    <w:rsid w:val="7D164B51"/>
    <w:rsid w:val="7D1F3671"/>
    <w:rsid w:val="7D8472DF"/>
    <w:rsid w:val="7D8E0949"/>
    <w:rsid w:val="7D913775"/>
    <w:rsid w:val="7D9D0DFB"/>
    <w:rsid w:val="7DF62902"/>
    <w:rsid w:val="7E7318ED"/>
    <w:rsid w:val="7E8D4DC5"/>
    <w:rsid w:val="7E8F323B"/>
    <w:rsid w:val="7EE56A07"/>
    <w:rsid w:val="7F291EE7"/>
    <w:rsid w:val="7F422A3A"/>
    <w:rsid w:val="7F6106E9"/>
    <w:rsid w:val="7F85746A"/>
    <w:rsid w:val="7FCA15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qFormat="1" w:unhideWhenUsed="0" w:uiPriority="0" w:semiHidden="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5"/>
    <w:qFormat/>
    <w:uiPriority w:val="0"/>
    <w:pPr>
      <w:keepNext/>
      <w:outlineLvl w:val="0"/>
    </w:pPr>
    <w:rPr>
      <w:rFonts w:ascii="楷体_GB2312" w:eastAsia="楷体_GB2312"/>
      <w:sz w:val="28"/>
      <w:szCs w:val="20"/>
    </w:rPr>
  </w:style>
  <w:style w:type="paragraph" w:styleId="4">
    <w:name w:val="heading 2"/>
    <w:basedOn w:val="1"/>
    <w:next w:val="1"/>
    <w:link w:val="76"/>
    <w:qFormat/>
    <w:uiPriority w:val="0"/>
    <w:pPr>
      <w:keepNext/>
      <w:keepLines/>
      <w:spacing w:before="260" w:after="260" w:line="416" w:lineRule="auto"/>
      <w:jc w:val="center"/>
      <w:outlineLvl w:val="1"/>
    </w:pPr>
    <w:rPr>
      <w:rFonts w:ascii="Arial" w:hAnsi="Arial" w:eastAsia="幼圆"/>
      <w:b/>
      <w:sz w:val="44"/>
      <w:szCs w:val="20"/>
    </w:rPr>
  </w:style>
  <w:style w:type="paragraph" w:styleId="5">
    <w:name w:val="heading 3"/>
    <w:basedOn w:val="1"/>
    <w:next w:val="1"/>
    <w:qFormat/>
    <w:uiPriority w:val="0"/>
    <w:pPr>
      <w:keepNext/>
      <w:keepLines/>
      <w:spacing w:before="260" w:after="260" w:line="416"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outlineLvl w:val="4"/>
    </w:pPr>
    <w:rPr>
      <w:rFonts w:ascii="宋体" w:hAnsi="宋体"/>
      <w:b/>
      <w:bCs/>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宋体" w:hAnsi="宋体" w:eastAsia="等线" w:cs="宋体"/>
      <w:color w:val="000000"/>
      <w:sz w:val="24"/>
      <w:szCs w:val="24"/>
      <w:lang w:val="en-US" w:eastAsia="zh-CN" w:bidi="ar-SA"/>
    </w:rPr>
  </w:style>
  <w:style w:type="paragraph" w:styleId="8">
    <w:name w:val="toc 7"/>
    <w:basedOn w:val="1"/>
    <w:next w:val="1"/>
    <w:semiHidden/>
    <w:qFormat/>
    <w:uiPriority w:val="0"/>
    <w:pPr>
      <w:ind w:left="2520" w:leftChars="1200"/>
    </w:pPr>
  </w:style>
  <w:style w:type="paragraph" w:styleId="9">
    <w:name w:val="Normal Indent"/>
    <w:basedOn w:val="1"/>
    <w:link w:val="77"/>
    <w:qFormat/>
    <w:uiPriority w:val="0"/>
    <w:pPr>
      <w:ind w:firstLine="420"/>
    </w:pPr>
    <w:rPr>
      <w:szCs w:val="20"/>
    </w:rPr>
  </w:style>
  <w:style w:type="paragraph" w:styleId="10">
    <w:name w:val="Document Map"/>
    <w:basedOn w:val="1"/>
    <w:semiHidden/>
    <w:qFormat/>
    <w:uiPriority w:val="0"/>
    <w:pPr>
      <w:shd w:val="clear" w:color="auto" w:fill="000080"/>
    </w:pPr>
  </w:style>
  <w:style w:type="paragraph" w:styleId="11">
    <w:name w:val="toa heading"/>
    <w:basedOn w:val="1"/>
    <w:next w:val="1"/>
    <w:qFormat/>
    <w:uiPriority w:val="0"/>
    <w:pPr>
      <w:spacing w:before="120"/>
    </w:pPr>
    <w:rPr>
      <w:rFonts w:ascii="Arial" w:hAnsi="Arial" w:cs="Arial"/>
      <w:sz w:val="24"/>
    </w:rPr>
  </w:style>
  <w:style w:type="paragraph" w:styleId="12">
    <w:name w:val="annotation text"/>
    <w:basedOn w:val="1"/>
    <w:link w:val="78"/>
    <w:qFormat/>
    <w:uiPriority w:val="99"/>
    <w:pPr>
      <w:jc w:val="left"/>
    </w:pPr>
  </w:style>
  <w:style w:type="paragraph" w:styleId="13">
    <w:name w:val="Body Text 3"/>
    <w:basedOn w:val="1"/>
    <w:qFormat/>
    <w:uiPriority w:val="0"/>
    <w:rPr>
      <w:rFonts w:ascii="仿宋_GB2312" w:hAnsi="Arial" w:eastAsia="仿宋_GB2312"/>
      <w:sz w:val="32"/>
      <w:szCs w:val="20"/>
    </w:rPr>
  </w:style>
  <w:style w:type="paragraph" w:styleId="14">
    <w:name w:val="Body Text"/>
    <w:basedOn w:val="1"/>
    <w:next w:val="2"/>
    <w:link w:val="73"/>
    <w:qFormat/>
    <w:uiPriority w:val="0"/>
    <w:rPr>
      <w:rFonts w:ascii="楷体_GB2312" w:hAnsi="Arial" w:eastAsia="楷体_GB2312"/>
      <w:sz w:val="28"/>
      <w:szCs w:val="20"/>
    </w:rPr>
  </w:style>
  <w:style w:type="paragraph" w:styleId="15">
    <w:name w:val="Body Text Indent"/>
    <w:basedOn w:val="1"/>
    <w:next w:val="16"/>
    <w:link w:val="79"/>
    <w:qFormat/>
    <w:uiPriority w:val="0"/>
    <w:pPr>
      <w:ind w:firstLine="645"/>
    </w:pPr>
    <w:rPr>
      <w:rFonts w:ascii="楷体_GB2312" w:eastAsia="楷体_GB2312"/>
      <w:sz w:val="32"/>
      <w:szCs w:val="20"/>
    </w:rPr>
  </w:style>
  <w:style w:type="paragraph" w:styleId="16">
    <w:name w:val="envelope return"/>
    <w:basedOn w:val="1"/>
    <w:qFormat/>
    <w:uiPriority w:val="0"/>
    <w:pPr>
      <w:snapToGrid w:val="0"/>
    </w:pPr>
    <w:rPr>
      <w:rFonts w:ascii="Arial" w:hAnsi="Arial"/>
    </w:rPr>
  </w:style>
  <w:style w:type="paragraph" w:styleId="17">
    <w:name w:val="Block Text"/>
    <w:basedOn w:val="1"/>
    <w:unhideWhenUsed/>
    <w:qFormat/>
    <w:uiPriority w:val="99"/>
    <w:pPr>
      <w:spacing w:after="120"/>
      <w:ind w:left="1440" w:leftChars="700" w:right="1440" w:rightChars="700"/>
    </w:pPr>
  </w:style>
  <w:style w:type="paragraph" w:styleId="18">
    <w:name w:val="toc 5"/>
    <w:basedOn w:val="1"/>
    <w:next w:val="1"/>
    <w:semiHidden/>
    <w:qFormat/>
    <w:uiPriority w:val="0"/>
    <w:pPr>
      <w:ind w:left="1680" w:leftChars="800"/>
    </w:pPr>
  </w:style>
  <w:style w:type="paragraph" w:styleId="19">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0">
    <w:name w:val="Plain Text"/>
    <w:basedOn w:val="1"/>
    <w:qFormat/>
    <w:uiPriority w:val="0"/>
    <w:rPr>
      <w:rFonts w:hint="eastAsia" w:ascii="宋体" w:hAnsi="Courier New"/>
      <w:szCs w:val="20"/>
    </w:rPr>
  </w:style>
  <w:style w:type="paragraph" w:styleId="21">
    <w:name w:val="toc 8"/>
    <w:basedOn w:val="1"/>
    <w:next w:val="1"/>
    <w:semiHidden/>
    <w:qFormat/>
    <w:uiPriority w:val="0"/>
    <w:pPr>
      <w:ind w:left="2940" w:leftChars="1400"/>
    </w:pPr>
  </w:style>
  <w:style w:type="paragraph" w:styleId="22">
    <w:name w:val="Date"/>
    <w:basedOn w:val="1"/>
    <w:next w:val="1"/>
    <w:qFormat/>
    <w:uiPriority w:val="0"/>
    <w:rPr>
      <w:sz w:val="24"/>
      <w:szCs w:val="20"/>
    </w:rPr>
  </w:style>
  <w:style w:type="paragraph" w:styleId="23">
    <w:name w:val="Body Text Indent 2"/>
    <w:basedOn w:val="1"/>
    <w:qFormat/>
    <w:uiPriority w:val="0"/>
    <w:pPr>
      <w:ind w:firstLine="560" w:firstLineChars="200"/>
    </w:pPr>
    <w:rPr>
      <w:rFonts w:ascii="宋体" w:hAnsi="宋体"/>
      <w:sz w:val="28"/>
    </w:rPr>
  </w:style>
  <w:style w:type="paragraph" w:styleId="24">
    <w:name w:val="Balloon Text"/>
    <w:basedOn w:val="1"/>
    <w:semiHidden/>
    <w:qFormat/>
    <w:uiPriority w:val="0"/>
    <w:rPr>
      <w:sz w:val="18"/>
      <w:szCs w:val="18"/>
    </w:rPr>
  </w:style>
  <w:style w:type="paragraph" w:styleId="25">
    <w:name w:val="footer"/>
    <w:basedOn w:val="1"/>
    <w:qFormat/>
    <w:uiPriority w:val="0"/>
    <w:pPr>
      <w:tabs>
        <w:tab w:val="center" w:pos="4153"/>
        <w:tab w:val="right" w:pos="8306"/>
      </w:tabs>
      <w:snapToGrid w:val="0"/>
      <w:jc w:val="left"/>
    </w:pPr>
    <w:rPr>
      <w:sz w:val="18"/>
      <w:szCs w:val="20"/>
    </w:rPr>
  </w:style>
  <w:style w:type="paragraph" w:styleId="2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28">
    <w:name w:val="toc 4"/>
    <w:basedOn w:val="1"/>
    <w:next w:val="1"/>
    <w:semiHidden/>
    <w:qFormat/>
    <w:uiPriority w:val="0"/>
    <w:pPr>
      <w:ind w:left="1260" w:leftChars="600"/>
    </w:pPr>
  </w:style>
  <w:style w:type="paragraph" w:styleId="29">
    <w:name w:val="toc 6"/>
    <w:basedOn w:val="1"/>
    <w:next w:val="1"/>
    <w:semiHidden/>
    <w:qFormat/>
    <w:uiPriority w:val="0"/>
    <w:pPr>
      <w:ind w:left="2100" w:leftChars="1000"/>
    </w:pPr>
  </w:style>
  <w:style w:type="paragraph" w:styleId="30">
    <w:name w:val="Body Text Indent 3"/>
    <w:basedOn w:val="1"/>
    <w:qFormat/>
    <w:uiPriority w:val="0"/>
    <w:pPr>
      <w:ind w:firstLine="523"/>
    </w:pPr>
    <w:rPr>
      <w:rFonts w:ascii="仿宋_GB2312" w:hAnsi="宋体" w:eastAsia="仿宋_GB2312"/>
      <w:sz w:val="24"/>
    </w:rPr>
  </w:style>
  <w:style w:type="paragraph" w:styleId="31">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32">
    <w:name w:val="toc 9"/>
    <w:basedOn w:val="1"/>
    <w:next w:val="1"/>
    <w:semiHidden/>
    <w:qFormat/>
    <w:uiPriority w:val="0"/>
    <w:pPr>
      <w:ind w:left="3360" w:leftChars="1600"/>
    </w:pPr>
  </w:style>
  <w:style w:type="paragraph" w:styleId="33">
    <w:name w:val="Body Text 2"/>
    <w:basedOn w:val="1"/>
    <w:qFormat/>
    <w:uiPriority w:val="0"/>
    <w:pPr>
      <w:jc w:val="center"/>
    </w:pPr>
    <w:rPr>
      <w:rFonts w:ascii="仿宋_GB2312" w:eastAsia="仿宋_GB2312"/>
      <w:sz w:val="44"/>
    </w:rPr>
  </w:style>
  <w:style w:type="paragraph" w:styleId="34">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3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6">
    <w:name w:val="index 1"/>
    <w:basedOn w:val="1"/>
    <w:next w:val="1"/>
    <w:semiHidden/>
    <w:qFormat/>
    <w:uiPriority w:val="0"/>
    <w:rPr>
      <w:rFonts w:ascii="宋体" w:hAnsi="宋体"/>
      <w:szCs w:val="18"/>
    </w:rPr>
  </w:style>
  <w:style w:type="paragraph" w:styleId="37">
    <w:name w:val="annotation subject"/>
    <w:basedOn w:val="12"/>
    <w:next w:val="12"/>
    <w:link w:val="81"/>
    <w:qFormat/>
    <w:uiPriority w:val="0"/>
    <w:rPr>
      <w:b/>
      <w:bCs/>
    </w:rPr>
  </w:style>
  <w:style w:type="paragraph" w:styleId="38">
    <w:name w:val="Body Text First Indent"/>
    <w:basedOn w:val="14"/>
    <w:next w:val="29"/>
    <w:link w:val="74"/>
    <w:qFormat/>
    <w:uiPriority w:val="0"/>
    <w:pPr>
      <w:spacing w:after="120"/>
      <w:ind w:firstLine="420" w:firstLineChars="100"/>
    </w:pPr>
    <w:rPr>
      <w:sz w:val="21"/>
      <w:szCs w:val="24"/>
    </w:rPr>
  </w:style>
  <w:style w:type="paragraph" w:styleId="39">
    <w:name w:val="Body Text First Indent 2"/>
    <w:basedOn w:val="15"/>
    <w:next w:val="1"/>
    <w:link w:val="82"/>
    <w:qFormat/>
    <w:uiPriority w:val="0"/>
    <w:pPr>
      <w:spacing w:after="120"/>
      <w:ind w:left="420" w:leftChars="200" w:firstLine="420" w:firstLineChars="200"/>
    </w:pPr>
    <w:rPr>
      <w:sz w:val="21"/>
      <w:szCs w:val="24"/>
    </w:r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b/>
      <w:bCs/>
    </w:rPr>
  </w:style>
  <w:style w:type="character" w:styleId="44">
    <w:name w:val="page number"/>
    <w:qFormat/>
    <w:uiPriority w:val="0"/>
  </w:style>
  <w:style w:type="character" w:styleId="45">
    <w:name w:val="FollowedHyperlink"/>
    <w:qFormat/>
    <w:uiPriority w:val="0"/>
    <w:rPr>
      <w:color w:val="800080"/>
      <w:u w:val="single"/>
    </w:rPr>
  </w:style>
  <w:style w:type="character" w:styleId="46">
    <w:name w:val="Hyperlink"/>
    <w:qFormat/>
    <w:uiPriority w:val="0"/>
    <w:rPr>
      <w:color w:val="0000FF"/>
      <w:u w:val="single"/>
    </w:rPr>
  </w:style>
  <w:style w:type="character" w:styleId="47">
    <w:name w:val="annotation reference"/>
    <w:qFormat/>
    <w:uiPriority w:val="99"/>
    <w:rPr>
      <w:sz w:val="21"/>
      <w:szCs w:val="21"/>
    </w:rPr>
  </w:style>
  <w:style w:type="paragraph" w:customStyle="1" w:styleId="48">
    <w:name w:val="普通正文"/>
    <w:basedOn w:val="1"/>
    <w:link w:val="83"/>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9">
    <w:name w:val="列出段落1"/>
    <w:basedOn w:val="1"/>
    <w:link w:val="84"/>
    <w:qFormat/>
    <w:uiPriority w:val="0"/>
    <w:pPr>
      <w:widowControl/>
      <w:ind w:left="720"/>
      <w:contextualSpacing/>
      <w:jc w:val="left"/>
    </w:pPr>
    <w:rPr>
      <w:kern w:val="0"/>
      <w:sz w:val="24"/>
      <w:lang w:eastAsia="en-US" w:bidi="en-US"/>
    </w:rPr>
  </w:style>
  <w:style w:type="paragraph" w:customStyle="1" w:styleId="50">
    <w:name w:val="标题3"/>
    <w:basedOn w:val="1"/>
    <w:next w:val="1"/>
    <w:qFormat/>
    <w:uiPriority w:val="0"/>
    <w:rPr>
      <w:rFonts w:eastAsia="方正黑体_GBK"/>
    </w:rPr>
  </w:style>
  <w:style w:type="paragraph" w:customStyle="1" w:styleId="51">
    <w:name w:val="附录1"/>
    <w:qFormat/>
    <w:uiPriority w:val="0"/>
    <w:pPr>
      <w:numPr>
        <w:ilvl w:val="0"/>
        <w:numId w:val="1"/>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52">
    <w:name w:val="Char Char Char Char1 Char Char"/>
    <w:basedOn w:val="1"/>
    <w:qFormat/>
    <w:uiPriority w:val="0"/>
    <w:pPr>
      <w:tabs>
        <w:tab w:val="left" w:pos="360"/>
      </w:tabs>
    </w:pPr>
    <w:rPr>
      <w:sz w:val="24"/>
    </w:rPr>
  </w:style>
  <w:style w:type="paragraph" w:customStyle="1" w:styleId="53">
    <w:name w:val="正文空2格  1."/>
    <w:basedOn w:val="1"/>
    <w:qFormat/>
    <w:uiPriority w:val="0"/>
    <w:pPr>
      <w:adjustRightInd w:val="0"/>
      <w:spacing w:line="360" w:lineRule="auto"/>
      <w:ind w:firstLine="480" w:firstLineChars="200"/>
      <w:textAlignment w:val="baseline"/>
    </w:pPr>
    <w:rPr>
      <w:rFonts w:ascii="宋体" w:eastAsia="仿宋" w:cs="宋体"/>
      <w:kern w:val="0"/>
      <w:sz w:val="28"/>
      <w:szCs w:val="20"/>
    </w:rPr>
  </w:style>
  <w:style w:type="paragraph" w:customStyle="1" w:styleId="54">
    <w:name w:val="正文 1.1"/>
    <w:basedOn w:val="1"/>
    <w:next w:val="55"/>
    <w:qFormat/>
    <w:uiPriority w:val="0"/>
    <w:pPr>
      <w:numPr>
        <w:ilvl w:val="1"/>
        <w:numId w:val="2"/>
      </w:numPr>
      <w:tabs>
        <w:tab w:val="clear" w:pos="851"/>
      </w:tabs>
      <w:adjustRightInd w:val="0"/>
      <w:spacing w:line="360" w:lineRule="auto"/>
      <w:ind w:left="980" w:hanging="980" w:hangingChars="350"/>
      <w:textAlignment w:val="baseline"/>
      <w:outlineLvl w:val="1"/>
    </w:pPr>
    <w:rPr>
      <w:rFonts w:ascii="仿宋" w:hAnsi="仿宋" w:eastAsia="仿宋"/>
      <w:b/>
      <w:kern w:val="0"/>
      <w:sz w:val="28"/>
      <w:szCs w:val="21"/>
    </w:rPr>
  </w:style>
  <w:style w:type="paragraph" w:customStyle="1" w:styleId="55">
    <w:name w:val="正文 1.1.1"/>
    <w:basedOn w:val="1"/>
    <w:next w:val="1"/>
    <w:qFormat/>
    <w:uiPriority w:val="0"/>
    <w:pPr>
      <w:numPr>
        <w:ilvl w:val="2"/>
        <w:numId w:val="2"/>
      </w:numPr>
      <w:adjustRightInd w:val="0"/>
      <w:spacing w:line="360" w:lineRule="auto"/>
      <w:textAlignment w:val="baseline"/>
      <w:outlineLvl w:val="2"/>
    </w:pPr>
    <w:rPr>
      <w:rFonts w:ascii="宋体" w:hAnsi="宋体"/>
      <w:color w:val="000000"/>
      <w:kern w:val="0"/>
      <w:sz w:val="28"/>
      <w:szCs w:val="21"/>
    </w:rPr>
  </w:style>
  <w:style w:type="paragraph" w:customStyle="1" w:styleId="56">
    <w:name w:val="默认段落字体 Para Char Char Char Char Char Char Char Char Char1 Char Char Char Char Char Char Char"/>
    <w:basedOn w:val="10"/>
    <w:qFormat/>
    <w:uiPriority w:val="0"/>
    <w:rPr>
      <w:rFonts w:ascii="Tahoma" w:hAnsi="Tahoma"/>
      <w:sz w:val="24"/>
    </w:rPr>
  </w:style>
  <w:style w:type="paragraph" w:customStyle="1" w:styleId="57">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58">
    <w:name w:val="List Paragraph"/>
    <w:basedOn w:val="1"/>
    <w:qFormat/>
    <w:uiPriority w:val="0"/>
    <w:pPr>
      <w:ind w:firstLine="420" w:firstLineChars="200"/>
    </w:pPr>
    <w:rPr>
      <w:rFonts w:ascii="Calibri" w:hAnsi="Calibri"/>
      <w:szCs w:val="22"/>
    </w:rPr>
  </w:style>
  <w:style w:type="paragraph" w:customStyle="1" w:styleId="59">
    <w:name w:val="xl47"/>
    <w:basedOn w:val="1"/>
    <w:qFormat/>
    <w:uiPriority w:val="0"/>
    <w:pPr>
      <w:widowControl/>
      <w:spacing w:before="100" w:beforeAutospacing="1" w:after="100" w:afterAutospacing="1"/>
      <w:jc w:val="center"/>
    </w:pPr>
    <w:rPr>
      <w:rFonts w:hint="eastAsia" w:ascii="方正姚体" w:hAnsi="宋体" w:eastAsia="方正姚体"/>
      <w:b/>
      <w:bCs/>
      <w:kern w:val="0"/>
      <w:sz w:val="36"/>
      <w:szCs w:val="36"/>
    </w:rPr>
  </w:style>
  <w:style w:type="paragraph" w:customStyle="1" w:styleId="60">
    <w:name w:val="Table Text"/>
    <w:qFormat/>
    <w:uiPriority w:val="0"/>
    <w:pPr>
      <w:snapToGrid w:val="0"/>
      <w:spacing w:before="143" w:beforeLines="50" w:after="80"/>
      <w:jc w:val="center"/>
    </w:pPr>
    <w:rPr>
      <w:rFonts w:ascii="仿宋_GB2312" w:hAnsi="宋体" w:eastAsia="仿宋_GB2312" w:cs="Times New Roman"/>
      <w:sz w:val="24"/>
      <w:lang w:val="en-US" w:eastAsia="zh-CN" w:bidi="ar-SA"/>
    </w:rPr>
  </w:style>
  <w:style w:type="paragraph" w:customStyle="1" w:styleId="61">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62">
    <w:name w:val="Coms Alinea"/>
    <w:qFormat/>
    <w:uiPriority w:val="0"/>
    <w:pPr>
      <w:widowControl w:val="0"/>
    </w:pPr>
    <w:rPr>
      <w:rFonts w:ascii="Arial" w:hAnsi="Arial" w:eastAsia="宋体" w:cs="Arial"/>
      <w:lang w:val="en-US" w:eastAsia="zh-CN" w:bidi="ar-SA"/>
    </w:rPr>
  </w:style>
  <w:style w:type="paragraph" w:customStyle="1" w:styleId="63">
    <w:name w:val="Char Char Char Char"/>
    <w:basedOn w:val="10"/>
    <w:qFormat/>
    <w:uiPriority w:val="0"/>
    <w:pPr>
      <w:adjustRightInd w:val="0"/>
      <w:snapToGrid w:val="0"/>
      <w:spacing w:line="360" w:lineRule="auto"/>
    </w:pPr>
    <w:rPr>
      <w:rFonts w:ascii="Tahoma" w:hAnsi="Tahoma"/>
      <w:sz w:val="24"/>
    </w:rPr>
  </w:style>
  <w:style w:type="paragraph" w:customStyle="1" w:styleId="64">
    <w:name w:val="Char"/>
    <w:basedOn w:val="1"/>
    <w:qFormat/>
    <w:uiPriority w:val="0"/>
    <w:pPr>
      <w:tabs>
        <w:tab w:val="left" w:pos="360"/>
      </w:tabs>
    </w:pPr>
    <w:rPr>
      <w:sz w:val="24"/>
    </w:rPr>
  </w:style>
  <w:style w:type="paragraph" w:customStyle="1" w:styleId="65">
    <w:name w:val="正文 第一章"/>
    <w:basedOn w:val="1"/>
    <w:next w:val="54"/>
    <w:qFormat/>
    <w:uiPriority w:val="0"/>
    <w:pPr>
      <w:pageBreakBefore/>
      <w:numPr>
        <w:ilvl w:val="0"/>
        <w:numId w:val="2"/>
      </w:numPr>
      <w:adjustRightInd w:val="0"/>
      <w:spacing w:before="240" w:after="240" w:line="480" w:lineRule="auto"/>
      <w:jc w:val="center"/>
      <w:textAlignment w:val="baseline"/>
      <w:outlineLvl w:val="0"/>
    </w:pPr>
    <w:rPr>
      <w:rFonts w:ascii="黑体" w:hAnsi="宋体" w:eastAsia="黑体"/>
      <w:kern w:val="0"/>
      <w:sz w:val="36"/>
      <w:szCs w:val="21"/>
    </w:rPr>
  </w:style>
  <w:style w:type="paragraph" w:customStyle="1" w:styleId="66">
    <w:name w:val="第四级"/>
    <w:basedOn w:val="1"/>
    <w:next w:val="1"/>
    <w:qFormat/>
    <w:uiPriority w:val="0"/>
    <w:pPr>
      <w:numPr>
        <w:ilvl w:val="3"/>
        <w:numId w:val="2"/>
      </w:numPr>
      <w:adjustRightInd w:val="0"/>
      <w:spacing w:line="360" w:lineRule="auto"/>
      <w:textAlignment w:val="baseline"/>
    </w:pPr>
    <w:rPr>
      <w:rFonts w:ascii="宋体" w:hAnsi="宋体" w:eastAsia="仿宋"/>
      <w:kern w:val="0"/>
      <w:sz w:val="28"/>
      <w:szCs w:val="21"/>
    </w:rPr>
  </w:style>
  <w:style w:type="paragraph" w:customStyle="1" w:styleId="67">
    <w:name w:val="Char Char Char Char1 Char Char Char"/>
    <w:basedOn w:val="10"/>
    <w:qFormat/>
    <w:uiPriority w:val="0"/>
    <w:pPr>
      <w:adjustRightInd w:val="0"/>
      <w:snapToGrid w:val="0"/>
      <w:spacing w:line="360" w:lineRule="auto"/>
    </w:pPr>
    <w:rPr>
      <w:rFonts w:ascii="Tahoma" w:hAnsi="Tahoma"/>
      <w:sz w:val="24"/>
    </w:rPr>
  </w:style>
  <w:style w:type="paragraph" w:customStyle="1" w:styleId="68">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69">
    <w:name w:val="BioQuote Tekst"/>
    <w:basedOn w:val="1"/>
    <w:qFormat/>
    <w:uiPriority w:val="0"/>
    <w:pPr>
      <w:ind w:right="-1"/>
    </w:pPr>
    <w:rPr>
      <w:rFonts w:ascii="Arial" w:hAnsi="Arial"/>
      <w:snapToGrid w:val="0"/>
      <w:kern w:val="0"/>
      <w:sz w:val="22"/>
      <w:szCs w:val="20"/>
      <w:lang w:eastAsia="en-US"/>
    </w:rPr>
  </w:style>
  <w:style w:type="paragraph" w:customStyle="1" w:styleId="70">
    <w:name w:val="_Style 66"/>
    <w:semiHidden/>
    <w:qFormat/>
    <w:uiPriority w:val="99"/>
    <w:rPr>
      <w:rFonts w:ascii="Times New Roman" w:hAnsi="Times New Roman" w:eastAsia="宋体" w:cs="Times New Roman"/>
      <w:kern w:val="2"/>
      <w:sz w:val="21"/>
      <w:szCs w:val="24"/>
      <w:lang w:val="en-US" w:eastAsia="zh-CN" w:bidi="ar-SA"/>
    </w:rPr>
  </w:style>
  <w:style w:type="paragraph" w:customStyle="1" w:styleId="71">
    <w:name w:val="标题2"/>
    <w:basedOn w:val="1"/>
    <w:next w:val="1"/>
    <w:qFormat/>
    <w:uiPriority w:val="0"/>
    <w:pPr>
      <w:jc w:val="center"/>
    </w:pPr>
    <w:rPr>
      <w:rFonts w:eastAsia="方正楷体_GBK"/>
    </w:rPr>
  </w:style>
  <w:style w:type="paragraph" w:customStyle="1" w:styleId="72">
    <w:name w:val="Char1"/>
    <w:basedOn w:val="1"/>
    <w:qFormat/>
    <w:uiPriority w:val="0"/>
    <w:rPr>
      <w:rFonts w:ascii="Tahoma" w:hAnsi="Tahoma"/>
      <w:snapToGrid w:val="0"/>
      <w:sz w:val="24"/>
      <w:szCs w:val="20"/>
    </w:rPr>
  </w:style>
  <w:style w:type="character" w:customStyle="1" w:styleId="73">
    <w:name w:val="正文文本 字符"/>
    <w:link w:val="14"/>
    <w:qFormat/>
    <w:uiPriority w:val="0"/>
    <w:rPr>
      <w:rFonts w:ascii="楷体_GB2312" w:hAnsi="Arial" w:eastAsia="楷体_GB2312"/>
      <w:kern w:val="2"/>
      <w:sz w:val="28"/>
    </w:rPr>
  </w:style>
  <w:style w:type="character" w:customStyle="1" w:styleId="74">
    <w:name w:val="正文文本首行缩进 字符"/>
    <w:link w:val="38"/>
    <w:qFormat/>
    <w:uiPriority w:val="0"/>
    <w:rPr>
      <w:rFonts w:ascii="楷体_GB2312" w:hAnsi="Arial" w:eastAsia="楷体_GB2312"/>
      <w:kern w:val="2"/>
      <w:sz w:val="21"/>
      <w:szCs w:val="24"/>
    </w:rPr>
  </w:style>
  <w:style w:type="character" w:customStyle="1" w:styleId="75">
    <w:name w:val="标题 1 字符"/>
    <w:link w:val="3"/>
    <w:qFormat/>
    <w:uiPriority w:val="0"/>
    <w:rPr>
      <w:rFonts w:ascii="楷体_GB2312" w:eastAsia="楷体_GB2312"/>
      <w:kern w:val="2"/>
      <w:sz w:val="28"/>
      <w:lang w:val="en-US" w:eastAsia="zh-CN" w:bidi="ar-SA"/>
    </w:rPr>
  </w:style>
  <w:style w:type="character" w:customStyle="1" w:styleId="76">
    <w:name w:val="标题 2 字符"/>
    <w:link w:val="4"/>
    <w:qFormat/>
    <w:uiPriority w:val="0"/>
    <w:rPr>
      <w:rFonts w:ascii="Arial" w:hAnsi="Arial" w:eastAsia="幼圆"/>
      <w:b/>
      <w:kern w:val="2"/>
      <w:sz w:val="44"/>
    </w:rPr>
  </w:style>
  <w:style w:type="character" w:customStyle="1" w:styleId="77">
    <w:name w:val="正文缩进 字符"/>
    <w:link w:val="9"/>
    <w:qFormat/>
    <w:uiPriority w:val="0"/>
    <w:rPr>
      <w:rFonts w:eastAsia="宋体"/>
      <w:kern w:val="2"/>
      <w:sz w:val="21"/>
      <w:lang w:val="en-US" w:eastAsia="zh-CN" w:bidi="ar-SA"/>
    </w:rPr>
  </w:style>
  <w:style w:type="character" w:customStyle="1" w:styleId="78">
    <w:name w:val="批注文字 字符"/>
    <w:link w:val="12"/>
    <w:qFormat/>
    <w:uiPriority w:val="99"/>
    <w:rPr>
      <w:kern w:val="2"/>
      <w:sz w:val="21"/>
      <w:szCs w:val="24"/>
    </w:rPr>
  </w:style>
  <w:style w:type="character" w:customStyle="1" w:styleId="79">
    <w:name w:val="正文文本缩进 字符"/>
    <w:link w:val="15"/>
    <w:qFormat/>
    <w:uiPriority w:val="0"/>
    <w:rPr>
      <w:rFonts w:ascii="楷体_GB2312" w:eastAsia="楷体_GB2312"/>
      <w:kern w:val="2"/>
      <w:sz w:val="32"/>
    </w:rPr>
  </w:style>
  <w:style w:type="character" w:customStyle="1" w:styleId="80">
    <w:name w:val="HTML 预设格式 字符"/>
    <w:link w:val="34"/>
    <w:qFormat/>
    <w:uiPriority w:val="0"/>
    <w:rPr>
      <w:rFonts w:ascii="黑体" w:hAnsi="Courier New" w:eastAsia="黑体" w:cs="Courier New"/>
    </w:rPr>
  </w:style>
  <w:style w:type="character" w:customStyle="1" w:styleId="81">
    <w:name w:val="批注主题 字符"/>
    <w:link w:val="37"/>
    <w:qFormat/>
    <w:uiPriority w:val="0"/>
    <w:rPr>
      <w:b/>
      <w:bCs/>
      <w:kern w:val="2"/>
      <w:sz w:val="21"/>
      <w:szCs w:val="24"/>
    </w:rPr>
  </w:style>
  <w:style w:type="character" w:customStyle="1" w:styleId="82">
    <w:name w:val="正文文本首行缩进 2 字符"/>
    <w:link w:val="39"/>
    <w:qFormat/>
    <w:uiPriority w:val="0"/>
    <w:rPr>
      <w:rFonts w:ascii="楷体_GB2312" w:eastAsia="楷体_GB2312"/>
      <w:kern w:val="2"/>
      <w:sz w:val="21"/>
      <w:szCs w:val="24"/>
    </w:rPr>
  </w:style>
  <w:style w:type="character" w:customStyle="1" w:styleId="83">
    <w:name w:val="普通正文 Char"/>
    <w:link w:val="48"/>
    <w:qFormat/>
    <w:uiPriority w:val="0"/>
    <w:rPr>
      <w:rFonts w:ascii="Arial" w:hAnsi="Arial"/>
      <w:sz w:val="24"/>
      <w:szCs w:val="24"/>
    </w:rPr>
  </w:style>
  <w:style w:type="character" w:customStyle="1" w:styleId="84">
    <w:name w:val="列出段落 Char"/>
    <w:link w:val="49"/>
    <w:qFormat/>
    <w:locked/>
    <w:uiPriority w:val="0"/>
    <w:rPr>
      <w:rFonts w:ascii="Calibri" w:hAnsi="Calibri"/>
      <w:sz w:val="24"/>
      <w:szCs w:val="24"/>
      <w:lang w:eastAsia="en-US" w:bidi="en-US"/>
    </w:rPr>
  </w:style>
  <w:style w:type="character" w:customStyle="1" w:styleId="85">
    <w:name w:val="apple-converted-space"/>
    <w:qFormat/>
    <w:uiPriority w:val="0"/>
  </w:style>
  <w:style w:type="character" w:customStyle="1" w:styleId="86">
    <w:name w:val="标题2 Char"/>
    <w:qFormat/>
    <w:uiPriority w:val="0"/>
    <w:rPr>
      <w:rFonts w:ascii="方正楷体_GBK" w:hAnsi="Book Antiqua" w:eastAsia="方正楷体_GBK"/>
      <w:snapToGrid w:val="0"/>
      <w:sz w:val="32"/>
      <w:lang w:val="en-US" w:eastAsia="zh-CN" w:bidi="ar-SA"/>
    </w:rPr>
  </w:style>
  <w:style w:type="character" w:customStyle="1" w:styleId="87">
    <w:name w:val="jj1"/>
    <w:qFormat/>
    <w:uiPriority w:val="0"/>
    <w:rPr>
      <w:sz w:val="20"/>
      <w:szCs w:val="20"/>
      <w:u w:val="none"/>
    </w:rPr>
  </w:style>
  <w:style w:type="paragraph" w:customStyle="1" w:styleId="88">
    <w:name w:val="正文1"/>
    <w:basedOn w:val="1"/>
    <w:qFormat/>
    <w:uiPriority w:val="0"/>
    <w:pPr>
      <w:widowControl/>
      <w:spacing w:line="440" w:lineRule="exact"/>
      <w:ind w:right="-167" w:rightChars="-167"/>
    </w:pPr>
    <w:rPr>
      <w:b/>
    </w:rPr>
  </w:style>
  <w:style w:type="character" w:customStyle="1" w:styleId="89">
    <w:name w:val="NormalCharacter"/>
    <w:qFormat/>
    <w:uiPriority w:val="0"/>
    <w:rPr>
      <w:rFonts w:ascii="Times New Roman" w:hAnsi="Times New Roman" w:eastAsia="宋体" w:cs="Times New Roman"/>
      <w:kern w:val="2"/>
      <w:sz w:val="21"/>
      <w:szCs w:val="24"/>
      <w:lang w:val="en-US" w:eastAsia="zh-CN" w:bidi="ar-SA"/>
    </w:rPr>
  </w:style>
  <w:style w:type="paragraph" w:customStyle="1" w:styleId="90">
    <w:name w:val="首行缩进"/>
    <w:basedOn w:val="1"/>
    <w:qFormat/>
    <w:uiPriority w:val="0"/>
    <w:pPr>
      <w:spacing w:line="360" w:lineRule="auto"/>
      <w:ind w:firstLine="480" w:firstLineChars="200"/>
    </w:pPr>
    <w:rPr>
      <w:rFonts w:ascii="宋体" w:hAnsi="宋体" w:cs="宋体"/>
      <w:kern w:val="0"/>
      <w:sz w:val="24"/>
    </w:rPr>
  </w:style>
  <w:style w:type="paragraph" w:customStyle="1" w:styleId="91">
    <w:name w:val="_Style 7"/>
    <w:basedOn w:val="1"/>
    <w:next w:val="58"/>
    <w:qFormat/>
    <w:uiPriority w:val="34"/>
    <w:pPr>
      <w:ind w:firstLine="420" w:firstLineChars="200"/>
    </w:pPr>
  </w:style>
  <w:style w:type="paragraph" w:customStyle="1" w:styleId="9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93">
    <w:name w:val="正文文本 21"/>
    <w:basedOn w:val="1"/>
    <w:qFormat/>
    <w:uiPriority w:val="0"/>
    <w:pPr>
      <w:widowControl/>
      <w:jc w:val="center"/>
    </w:pPr>
    <w:rPr>
      <w:rFonts w:ascii="楷体_GB2312" w:eastAsia="楷体_GB2312"/>
      <w:sz w:val="28"/>
      <w:szCs w:val="28"/>
    </w:rPr>
  </w:style>
  <w:style w:type="paragraph" w:customStyle="1" w:styleId="94">
    <w:name w:val="列表段落1"/>
    <w:basedOn w:val="1"/>
    <w:qFormat/>
    <w:uiPriority w:val="0"/>
    <w:pPr>
      <w:widowControl/>
      <w:ind w:left="720"/>
      <w:contextualSpacing/>
      <w:jc w:val="left"/>
    </w:pPr>
    <w:rPr>
      <w:rFonts w:ascii="Calibri" w:hAnsi="Calibri"/>
      <w:sz w:val="24"/>
      <w:lang w:eastAsia="en-US" w:bidi="en-US"/>
    </w:rPr>
  </w:style>
  <w:style w:type="character" w:customStyle="1" w:styleId="95">
    <w:name w:val="font11"/>
    <w:basedOn w:val="42"/>
    <w:qFormat/>
    <w:uiPriority w:val="0"/>
    <w:rPr>
      <w:rFonts w:hint="eastAsia" w:ascii="宋体" w:hAnsi="宋体" w:eastAsia="宋体" w:cs="宋体"/>
      <w:color w:val="000000"/>
      <w:sz w:val="16"/>
      <w:szCs w:val="16"/>
      <w:u w:val="none"/>
    </w:rPr>
  </w:style>
  <w:style w:type="paragraph" w:customStyle="1" w:styleId="96">
    <w:name w:val="正文首行缩进1"/>
    <w:basedOn w:val="1"/>
    <w:next w:val="97"/>
    <w:qFormat/>
    <w:uiPriority w:val="99"/>
    <w:pPr>
      <w:spacing w:line="360" w:lineRule="auto"/>
      <w:ind w:firstLine="200"/>
    </w:pPr>
    <w:rPr>
      <w:rFonts w:ascii="仿宋_GB2312" w:eastAsia="仿宋_GB2312"/>
      <w:sz w:val="30"/>
      <w:szCs w:val="30"/>
    </w:rPr>
  </w:style>
  <w:style w:type="paragraph" w:customStyle="1" w:styleId="97">
    <w:name w:val="目录 61"/>
    <w:basedOn w:val="1"/>
    <w:next w:val="1"/>
    <w:semiHidden/>
    <w:qFormat/>
    <w:uiPriority w:val="0"/>
    <w:pPr>
      <w:ind w:left="2100"/>
    </w:pPr>
  </w:style>
  <w:style w:type="paragraph" w:customStyle="1" w:styleId="98">
    <w:name w:val="Footer1"/>
    <w:basedOn w:val="1"/>
    <w:unhideWhenUsed/>
    <w:qFormat/>
    <w:uiPriority w:val="99"/>
    <w:pPr>
      <w:tabs>
        <w:tab w:val="center" w:pos="7143"/>
        <w:tab w:val="right" w:pos="14287"/>
      </w:tabs>
    </w:pPr>
  </w:style>
  <w:style w:type="paragraph" w:customStyle="1" w:styleId="99">
    <w:name w:val="纯文本1"/>
    <w:basedOn w:val="1"/>
    <w:autoRedefine/>
    <w:qFormat/>
    <w:uiPriority w:val="0"/>
    <w:rPr>
      <w:rFonts w:hint="eastAsia" w:ascii="宋体" w:hAnsi="Courier New"/>
      <w:szCs w:val="20"/>
    </w:rPr>
  </w:style>
  <w:style w:type="paragraph" w:customStyle="1" w:styleId="100">
    <w:name w:val="4"/>
    <w:basedOn w:val="1"/>
    <w:next w:val="30"/>
    <w:qFormat/>
    <w:uiPriority w:val="0"/>
    <w:pPr>
      <w:spacing w:line="360" w:lineRule="auto"/>
      <w:ind w:firstLine="420"/>
    </w:pPr>
    <w:rPr>
      <w:rFonts w:ascii="Calibri" w:hAnsi="Calibri"/>
      <w:color w:val="FF0000"/>
      <w:sz w:val="24"/>
    </w:rPr>
  </w:style>
  <w:style w:type="paragraph" w:customStyle="1" w:styleId="101">
    <w:name w:val="Fließtext"/>
    <w:basedOn w:val="1"/>
    <w:qFormat/>
    <w:uiPriority w:val="0"/>
    <w:rPr>
      <w:szCs w:val="20"/>
    </w:rPr>
  </w:style>
  <w:style w:type="paragraph" w:customStyle="1" w:styleId="102">
    <w:name w:val="_Style 2"/>
    <w:basedOn w:val="3"/>
    <w:next w:val="1"/>
    <w:qFormat/>
    <w:uiPriority w:val="0"/>
    <w:pPr>
      <w:keepLines/>
      <w:spacing w:before="340" w:after="330" w:line="578" w:lineRule="auto"/>
      <w:outlineLvl w:val="9"/>
    </w:pPr>
    <w:rPr>
      <w:rFonts w:ascii="Times New Roman" w:eastAsia="宋体"/>
      <w:b/>
      <w:bCs/>
      <w:sz w:val="44"/>
      <w:szCs w:val="44"/>
    </w:rPr>
  </w:style>
  <w:style w:type="paragraph" w:customStyle="1" w:styleId="103">
    <w:name w:val="1"/>
    <w:basedOn w:val="1"/>
    <w:qFormat/>
    <w:uiPriority w:val="0"/>
    <w:pPr>
      <w:spacing w:line="400" w:lineRule="exact"/>
      <w:jc w:val="left"/>
    </w:pPr>
    <w:rPr>
      <w:rFonts w:hint="eastAsia" w:ascii="宋体" w:hAnsi="宋体" w:eastAsia="宋体" w:cs="宋体"/>
      <w:kern w:val="0"/>
      <w:sz w:val="20"/>
      <w:szCs w:val="20"/>
      <w:u w:val="single"/>
    </w:rPr>
  </w:style>
  <w:style w:type="paragraph" w:customStyle="1" w:styleId="104">
    <w:name w:val="列出段落2"/>
    <w:basedOn w:val="1"/>
    <w:qFormat/>
    <w:uiPriority w:val="0"/>
    <w:pPr>
      <w:ind w:firstLine="420"/>
    </w:pPr>
    <w:rPr>
      <w:rFonts w:ascii="Calibri" w:hAnsi="Calibri" w:eastAsia="宋体" w:cs="Times New Roman"/>
      <w:kern w:val="0"/>
      <w:szCs w:val="22"/>
    </w:rPr>
  </w:style>
  <w:style w:type="paragraph" w:customStyle="1" w:styleId="105">
    <w:name w:val="正文首行缩进 21"/>
    <w:basedOn w:val="106"/>
    <w:qFormat/>
    <w:uiPriority w:val="0"/>
    <w:pPr>
      <w:ind w:firstLine="420"/>
    </w:pPr>
  </w:style>
  <w:style w:type="paragraph" w:customStyle="1" w:styleId="106">
    <w:name w:val="正文文本缩进1"/>
    <w:basedOn w:val="1"/>
    <w:qFormat/>
    <w:uiPriority w:val="0"/>
    <w:pPr>
      <w:spacing w:after="120"/>
      <w:ind w:left="420"/>
    </w:pPr>
  </w:style>
  <w:style w:type="paragraph" w:customStyle="1" w:styleId="107">
    <w:name w:val="普通(网站)1"/>
    <w:basedOn w:val="1"/>
    <w:qFormat/>
    <w:uiPriority w:val="99"/>
    <w:pPr>
      <w:widowControl/>
      <w:spacing w:before="100" w:beforeAutospacing="1" w:after="100" w:afterAutospacing="1"/>
    </w:pPr>
    <w:rPr>
      <w:sz w:val="24"/>
    </w:rPr>
  </w:style>
  <w:style w:type="paragraph" w:customStyle="1" w:styleId="108">
    <w:name w:val="列出段落3"/>
    <w:basedOn w:val="1"/>
    <w:qFormat/>
    <w:uiPriority w:val="34"/>
    <w:pPr>
      <w:ind w:firstLine="420"/>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SysCeo.com</Company>
  <Pages>82</Pages>
  <Words>48173</Words>
  <Characters>50507</Characters>
  <Lines>609</Lines>
  <Paragraphs>581</Paragraphs>
  <TotalTime>54</TotalTime>
  <ScaleCrop>false</ScaleCrop>
  <LinksUpToDate>false</LinksUpToDate>
  <CharactersWithSpaces>53671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2025-05-15T03:14:00Z</dcterms:created>
  <dc:creator>cgzx</dc:creator>
  <cp:lastModifiedBy>严萌。</cp:lastModifiedBy>
  <cp:lastPrinted>2026-07-08T07:15:00Z</cp:lastPrinted>
  <dcterms:modified xsi:type="dcterms:W3CDTF">2026-07-14T07:11:49Z</dcterms:modified>
  <dc:title>总  目  录</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0B805DE5E3CF4CAF8A8B04A562B0EC76_13</vt:lpwstr>
  </property>
  <property fmtid="{D5CDD505-2E9C-101B-9397-08002B2CF9AE}" pid="4" name="KSOTemplateDocerSaveRecord">
    <vt:lpwstr>eyJoZGlkIjoiOGU1MDgzMWRhMzlhZmQxYTU5MTk5OWI3YzJiYTYwNjgiLCJ1c2VySWQiOiI2NTA3NzMxOTIifQ==</vt:lpwstr>
  </property>
</Properties>
</file>