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tab/>
      </w:r>
      <w:r/>
    </w:p>
    <w:p>
      <w:pPr>
        <w:jc w:val="center"/>
        <w:rPr>
          <w:rFonts w:hint="eastAsia" w:cs="仿宋" w:asciiTheme="minorEastAsia" w:hAnsiTheme="minorEastAsia" w:eastAsiaTheme="minorEastAsia"/>
          <w:b/>
          <w:color w:val="000000" w:themeColor="text1"/>
          <w:sz w:val="72"/>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r>
      <w:r/>
    </w:p>
    <w:p>
      <w:pPr>
        <w:jc w:val="center"/>
        <w:spacing w:line="360" w:lineRule="auto"/>
        <w:rPr>
          <w:rFonts w:hint="eastAsia" w:cs="仿宋" w:asciiTheme="minorEastAsia" w:hAnsiTheme="minorEastAsia" w:eastAsiaTheme="minorEastAsia"/>
          <w:bCs/>
          <w:color w:val="000000" w:themeColor="text1"/>
          <w:spacing w:val="20"/>
          <w:sz w:val="72"/>
          <w:szCs w:val="72"/>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14:textFill>
            <w14:solidFill>
              <w14:schemeClr w14:val="tx1"/>
            </w14:solidFill>
          </w14:textFill>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公开</w:t>
      </w:r>
      <w:r>
        <w:rPr>
          <w:rFonts w:hint="eastAsia"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招标文件</w:t>
      </w:r>
      <w:r/>
    </w:p>
    <w:p>
      <w:pPr>
        <w:jc w:val="center"/>
        <w:rPr>
          <w:rFonts w:hint="eastAsia" w:cs="仿宋" w:asciiTheme="minorEastAsia" w:hAnsiTheme="minorEastAsia" w:eastAsiaTheme="minorEastAsia"/>
          <w:b/>
          <w:color w:val="000000" w:themeColor="text1"/>
          <w:sz w:val="72"/>
          <w:szCs w:val="72"/>
          <w14:textFill>
            <w14:solidFill>
              <w14:schemeClr w14:val="tx1"/>
            </w14:solidFill>
          </w14:textFill>
        </w:rPr>
      </w:pPr>
      <w:r>
        <w:rPr>
          <w:rFonts w:hint="eastAsia" w:cs="仿宋" w:asciiTheme="minorEastAsia" w:hAnsiTheme="minorEastAsia" w:eastAsiaTheme="minorEastAsia"/>
          <w:bCs/>
          <w:color w:val="000000" w:themeColor="text1"/>
          <w:sz w:val="30"/>
          <w14:textFill>
            <w14:solidFill>
              <w14:schemeClr w14:val="tx1"/>
            </w14:solidFill>
          </w14:textFill>
        </w:rPr>
        <w:t xml:space="preserve">（全流程电子化不见面开标）</w:t>
      </w:r>
      <w:r/>
    </w:p>
    <w:p>
      <w:pPr>
        <w:rPr>
          <w:rFonts w:hint="eastAsia" w:cs="仿宋" w:asciiTheme="minorEastAsia" w:hAnsiTheme="minorEastAsia" w:eastAsiaTheme="minorEastAsia"/>
          <w:b/>
          <w:color w:val="000000" w:themeColor="text1"/>
          <w:sz w:val="72"/>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r>
      <w:r/>
    </w:p>
    <w:p>
      <w:pPr>
        <w:pStyle w:val="970"/>
        <w:ind w:firstLine="568"/>
        <w:rPr>
          <w:rFonts w:hint="eastAsia"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r>
      <w:r/>
    </w:p>
    <w:p>
      <w:pPr>
        <w:pStyle w:val="970"/>
        <w:ind w:firstLine="568"/>
        <w:rPr>
          <w:rFonts w:hint="eastAsia"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项目编号：JSZC-321202-HWZX-G2026-0366</w:t>
      </w:r>
      <w:r/>
    </w:p>
    <w:p>
      <w:pPr>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Cs w:val="28"/>
          <w14:textFill>
            <w14:solidFill>
              <w14:schemeClr w14:val="tx1"/>
            </w14:solidFill>
          </w14:textFill>
        </w:rPr>
        <w:t xml:space="preserve">采</w:t>
      </w: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购代理编号：0675-266JOC003527</w:t>
      </w:r>
      <w:r/>
    </w:p>
    <w:p>
      <w:pPr>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项目名称：药学部自动化发药系统</w:t>
      </w:r>
      <w:r/>
    </w:p>
    <w:p>
      <w:pPr>
        <w:ind w:firstLine="419"/>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   购   人：泰州市第四人民医院</w:t>
      </w:r>
      <w:r/>
    </w:p>
    <w:p>
      <w:pPr>
        <w:pStyle w:val="966"/>
        <w:ind w:firstLine="0"/>
        <w:jc w:val="center"/>
        <w:rPr>
          <w:rFonts w:hint="eastAsia"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r>
      <w:r/>
    </w:p>
    <w:p>
      <w:pPr>
        <w:jc w:val="center"/>
        <w:rPr>
          <w:rFonts w:hint="eastAsia"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2026年</w:t>
      </w:r>
      <w:r>
        <w:rPr>
          <w:rFonts w:hint="eastAsia" w:cs="仿宋" w:asciiTheme="minorEastAsia" w:hAnsiTheme="minorEastAsia" w:eastAsiaTheme="minorEastAsia"/>
          <w:b/>
          <w:color w:val="000000" w:themeColor="text1"/>
          <w:sz w:val="28"/>
          <w:szCs w:val="28"/>
          <w:lang w:val="en-US" w:eastAsia="zh-CN"/>
          <w14:textFill>
            <w14:solidFill>
              <w14:schemeClr w14:val="tx1"/>
            </w14:solidFill>
          </w14:textFill>
        </w:rPr>
        <w:t xml:space="preserve">7</w:t>
      </w:r>
      <w:r>
        <w:rPr>
          <w:rFonts w:hint="eastAsia" w:cs="仿宋" w:asciiTheme="minorEastAsia" w:hAnsiTheme="minorEastAsia" w:eastAsiaTheme="minorEastAsia"/>
          <w:b/>
          <w:color w:val="000000" w:themeColor="text1"/>
          <w:sz w:val="28"/>
          <w:szCs w:val="28"/>
          <w14:textFill>
            <w14:solidFill>
              <w14:schemeClr w14:val="tx1"/>
            </w14:solidFill>
          </w14:textFill>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14:textFill>
            <w14:solidFill>
              <w14:schemeClr w14:val="tx1"/>
            </w14:solidFill>
          </w14:textFill>
        </w:rPr>
      </w:pPr>
      <w:r>
        <w:rPr>
          <w:rFonts w:hint="eastAsia" w:cs="仿宋" w:asciiTheme="minorEastAsia" w:hAnsiTheme="minorEastAsia" w:eastAsiaTheme="minorEastAsia"/>
          <w:b/>
          <w:color w:val="000000" w:themeColor="text1"/>
          <w:sz w:val="36"/>
          <w:szCs w:val="36"/>
          <w14:textFill>
            <w14:solidFill>
              <w14:schemeClr w14:val="tx1"/>
            </w14:solidFill>
          </w14:textFill>
        </w:rPr>
        <w:t xml:space="preserve">目  录</w:t>
      </w:r>
      <w:r/>
    </w:p>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第一章 招标公告</w:t>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第二章 投标人须知</w:t>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第三章 采购需求</w:t>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第四章 评标办法及标准</w:t>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第五章 合同条款</w:t>
      </w:r>
      <w:r/>
    </w:p>
    <w:p>
      <w:pPr>
        <w:pStyle w:val="971"/>
        <w:spacing w:line="480" w:lineRule="auto"/>
        <w:tabs>
          <w:tab w:val="right" w:pos="9344" w:leader="dot"/>
        </w:tabs>
        <w:rPr>
          <w:rFonts w:hint="eastAsia"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第六章 投标文件格式</w:t>
      </w:r>
      <w:r/>
    </w:p>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21"/>
          <w:szCs w:val="21"/>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pacing w:val="15"/>
          <w:sz w:val="32"/>
          <w:szCs w:val="32"/>
          <w14:textFill>
            <w14:solidFill>
              <w14:schemeClr w14:val="tx1"/>
            </w14:solidFill>
          </w14:textFill>
        </w:rPr>
      </w:pPr>
      <w:r>
        <w:rPr>
          <w:rFonts w:hint="eastAsia" w:cs="仿宋" w:asciiTheme="minorEastAsia" w:hAnsiTheme="minorEastAsia" w:eastAsiaTheme="minorEastAsia"/>
          <w:color w:val="000000" w:themeColor="text1"/>
          <w:sz w:val="21"/>
          <w:szCs w:val="21"/>
          <w14:textFill>
            <w14:solidFill>
              <w14:schemeClr w14:val="tx1"/>
            </w14:solidFill>
          </w14:textFill>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14:textFill>
            <w14:solidFill>
              <w14:schemeClr w14:val="tx1"/>
            </w14:solidFill>
          </w14:textFill>
        </w:rPr>
        <w:t xml:space="preserve"> </w:t>
      </w:r>
      <w:bookmarkStart w:id="2" w:name="_Toc417477665"/>
      <w:r/>
      <w:bookmarkEnd w:id="2"/>
      <w:r/>
      <w:bookmarkStart w:id="3" w:name="_Toc258329824"/>
      <w:r/>
      <w:bookmarkEnd w:id="3"/>
      <w:r/>
      <w:bookmarkStart w:id="4" w:name="_Toc228679947"/>
      <w:r/>
      <w:bookmarkEnd w:id="4"/>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招标公告</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药学部自动化发药系统</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-苏采云”系统</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969"/>
          <w:rFonts w:hint="eastAsia" w:cs="仿宋" w:asciiTheme="minorEastAsia" w:hAnsiTheme="minorEastAsia" w:eastAsiaTheme="minorEastAsia"/>
          <w:color w:val="000000" w:themeColor="text1"/>
          <w:sz w:val="24"/>
          <w:szCs w:val="24"/>
          <w:u w:val="none"/>
          <w14:textFill>
            <w14:solidFill>
              <w14:schemeClr w14:val="tx1"/>
            </w14:solidFill>
          </w14:textFill>
        </w:rPr>
        <w:t xml:space="preserve">，并于</w:t>
      </w:r>
      <w:r>
        <w:rPr>
          <w:rStyle w:val="969"/>
          <w:rFonts w:hint="eastAsia" w:cs="仿宋" w:asciiTheme="minorEastAsia" w:hAnsiTheme="minorEastAsia" w:eastAsiaTheme="minorEastAsia"/>
          <w:color w:val="000000" w:themeColor="text1"/>
          <w:sz w:val="24"/>
          <w:szCs w:val="24"/>
          <w14:textFill>
            <w14:solidFill>
              <w14:schemeClr w14:val="tx1"/>
            </w14:solidFill>
          </w14:textFill>
        </w:rPr>
        <w:t xml:space="preserve">202</w:t>
      </w:r>
      <w:r>
        <w:rPr>
          <w:rStyle w:val="969"/>
          <w:rFonts w:cs="仿宋" w:asciiTheme="minorEastAsia" w:hAnsiTheme="minorEastAsia" w:eastAsiaTheme="minorEastAsia"/>
          <w:color w:val="000000" w:themeColor="text1"/>
          <w:sz w:val="24"/>
          <w:szCs w:val="24"/>
          <w14:textFill>
            <w14:solidFill>
              <w14:schemeClr w14:val="tx1"/>
            </w14:solidFill>
          </w14:textFill>
        </w:rPr>
        <w:t xml:space="preserve">6</w:t>
      </w:r>
      <w:r>
        <w:rPr>
          <w:rStyle w:val="969"/>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Style w:val="969"/>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07</w:t>
      </w:r>
      <w:r>
        <w:rPr>
          <w:rStyle w:val="969"/>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Style w:val="969"/>
          <w:rFonts w:hint="eastAsia" w:cs="仿宋" w:asciiTheme="minorEastAsia" w:hAnsiTheme="minorEastAsia" w:eastAsiaTheme="minorEastAsia"/>
          <w:color w:val="000000" w:themeColor="text1"/>
          <w:sz w:val="24"/>
          <w:szCs w:val="24"/>
          <w14:textFill>
            <w14:solidFill>
              <w14:schemeClr w14:val="tx1"/>
            </w14:solidFill>
          </w14:textFill>
        </w:rPr>
        <w:fldChar w:fldCharType="end"/>
      </w:r>
      <w:r>
        <w:rPr>
          <w:rStyle w:val="969"/>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29</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14</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3</w:t>
      </w:r>
      <w:r>
        <w:rPr>
          <w:rFonts w:cs="仿宋" w:asciiTheme="minorEastAsia" w:hAnsiTheme="minorEastAsia" w:eastAsiaTheme="minorEastAsia"/>
          <w:color w:val="000000" w:themeColor="text1"/>
          <w:sz w:val="24"/>
          <w:szCs w:val="24"/>
          <w:u w:val="single"/>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分</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bookmarkStart w:id="5" w:name="_Toc28359079"/>
      <w:r/>
      <w:bookmarkStart w:id="6" w:name="_Toc35393790"/>
      <w:r/>
      <w:bookmarkStart w:id="7" w:name="_Toc35393621"/>
      <w:r/>
      <w:bookmarkStart w:id="8" w:name="_Toc28359002"/>
      <w:r/>
      <w:bookmarkStart w:id="9" w:name="_Hlk24379207"/>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项目编号：JSZC-321202-HWZX-G2026-0366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采购代理编号：0675-266JOC003527</w:t>
      </w:r>
      <w:r>
        <w:rPr>
          <w:rFonts w:cs="仿宋" w:asciiTheme="minorEastAsia" w:hAnsiTheme="minorEastAsia" w:eastAsiaTheme="minorEastAsia"/>
          <w:color w:val="000000" w:themeColor="text1"/>
          <w:sz w:val="24"/>
          <w:szCs w:val="24"/>
          <w14:textFill>
            <w14:solidFill>
              <w14:schemeClr w14:val="tx1"/>
            </w14:solidFill>
          </w14:textFill>
        </w:rPr>
        <w:t xml:space="preserve">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bookmarkEnd w:id="9"/>
      <w:r>
        <w:rPr>
          <w:rFonts w:hint="eastAsia" w:cs="仿宋" w:asciiTheme="minorEastAsia" w:hAnsiTheme="minorEastAsia" w:eastAsiaTheme="minorEastAsia"/>
          <w:color w:val="000000" w:themeColor="text1"/>
          <w:sz w:val="24"/>
          <w:szCs w:val="24"/>
          <w14:textFill>
            <w14:solidFill>
              <w14:schemeClr w14:val="tx1"/>
            </w14:solidFill>
          </w14:textFill>
        </w:rPr>
        <w:t xml:space="preserve">药学部自动化发药系统</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预算金额：560</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元</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最高限价：480万元</w:t>
      </w:r>
      <w:r/>
    </w:p>
    <w:p>
      <w:pPr>
        <w:ind w:firstLine="480"/>
        <w:jc w:val="left"/>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采购需求：</w:t>
      </w:r>
      <w:r/>
    </w:p>
    <w:tbl>
      <w:tblPr>
        <w:tblStyle w:val="973"/>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药学部自动化发药系统</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560/480</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74"/>
        <w:ind w:firstLine="480"/>
        <w:spacing w:line="360"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974"/>
        <w:ind w:firstLine="480"/>
        <w:spacing w:line="360"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合同履行期</w:t>
      </w:r>
      <w:r>
        <w:rPr>
          <w:rFonts w:hint="eastAsia" w:asciiTheme="minorEastAsia" w:hAnsiTheme="minorEastAsia" w:eastAsiaTheme="minorEastAsia"/>
          <w:color w:val="000000" w:themeColor="text1"/>
          <w:highlight w:val="none"/>
          <w14:textFill>
            <w14:solidFill>
              <w14:schemeClr w14:val="tx1"/>
            </w14:solidFill>
          </w14:textFill>
        </w:rPr>
        <w:t xml:space="preserve">限：合同签订后14天内完成交货</w:t>
      </w:r>
      <w:r/>
    </w:p>
    <w:p>
      <w:pPr>
        <w:pStyle w:val="974"/>
        <w:ind w:firstLine="480"/>
        <w:spacing w:line="360"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本项目不接受联合体投标。</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bookmarkStart w:id="10" w:name="_Toc28359003"/>
      <w:r/>
      <w:bookmarkStart w:id="11" w:name="_Toc35393791"/>
      <w:r/>
      <w:bookmarkStart w:id="12" w:name="_Toc35393622"/>
      <w:r/>
      <w:bookmarkStart w:id="13" w:name="_Toc28359080"/>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81"/>
      <w:r/>
      <w:bookmarkStart w:id="16" w:name="_Toc28359004"/>
      <w:r/>
      <w:bookmarkStart w:id="17" w:name="_Toc35393792"/>
      <w:r/>
      <w:bookmarkStart w:id="18" w:name="_Toc35393623"/>
      <w:r>
        <w:rPr>
          <w:rFonts w:hint="eastAsia" w:ascii="宋体" w:hAnsi="宋体" w:eastAsia="宋体" w:cs="Arial"/>
          <w:b/>
          <w:bCs/>
          <w:sz w:val="24"/>
          <w:szCs w:val="21"/>
        </w:rPr>
        <w:t xml:space="preserve">（一）通用资格要求</w:t>
      </w:r>
      <w:bookmarkEnd w:id="14"/>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1、满足《中华人民共和国政府采购法》第二十二条规定，并提供下列材料：</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1.1具有独立承担民事责任的能力（提供法人或者其他组织的营业执照等证明文件，自然人的身份证明）；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1.2具有良好的商业信誉和健全的财务会计制度（提供上一年度的财务状况报告或提供2024年或2025年任意一个年度的会计师事务所出具的审计报告，成立不满一年的需提供银行资信证明）；</w:t>
      </w:r>
      <w:r/>
    </w:p>
    <w:p>
      <w:pPr>
        <w:ind w:firstLine="482"/>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b/>
          <w:sz w:val="24"/>
          <w:szCs w:val="21"/>
        </w:rPr>
        <w:t xml:space="preserve">1.3有依法缴纳税收和社会保障资金的良好记录（提供供应商参加本次政府采购活动前6个月内</w:t>
      </w:r>
      <w:r>
        <w:rPr>
          <w:rFonts w:hint="eastAsia" w:cs="宋体" w:asciiTheme="minorEastAsia" w:hAnsiTheme="minorEastAsia" w:eastAsiaTheme="minorEastAsia"/>
          <w:b/>
          <w:sz w:val="24"/>
          <w:szCs w:val="21"/>
        </w:rPr>
        <w:t xml:space="preserve">（即2026年1月-2026年6月期间）</w:t>
      </w:r>
      <w:r>
        <w:rPr>
          <w:rFonts w:hint="eastAsia" w:cs="Arial" w:asciiTheme="minorEastAsia" w:hAnsiTheme="minorEastAsia" w:eastAsiaTheme="minorEastAsia"/>
          <w:sz w:val="24"/>
          <w:szCs w:val="21"/>
        </w:rPr>
        <w:t xml:space="preserve">至少一个月缴纳税收及缴纳社会保障资金的证明材料。供应商依法享受缓缴、免缴税收、社会保障资金的提供证明材料）；</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1.4具有履行合同所必需的设备和专业技术能力（提供书面声明）；</w:t>
      </w:r>
      <w:r/>
    </w:p>
    <w:p>
      <w:pPr>
        <w:ind w:firstLine="480"/>
        <w:spacing w:line="360" w:lineRule="auto"/>
        <w:rPr>
          <w:rFonts w:hint="eastAsia" w:cs="Arial" w:asciiTheme="minorEastAsia" w:hAnsiTheme="minorEastAsia" w:eastAsiaTheme="minorEastAsia"/>
          <w:sz w:val="24"/>
          <w:szCs w:val="24"/>
        </w:rPr>
      </w:pPr>
      <w:r>
        <w:rPr>
          <w:rFonts w:cs="Arial" w:asciiTheme="minorEastAsia" w:hAnsiTheme="minorEastAsia" w:eastAsiaTheme="minorEastAsia"/>
          <w:sz w:val="24"/>
          <w:szCs w:val="21"/>
        </w:rPr>
        <w:t xml:space="preserve">1.5参加政府采购活动前3年内在经营活动中没有重大违法记录（提供书面声明）。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360" w:lineRule="auto"/>
        <w:rPr>
          <w:rFonts w:hint="eastAsia" w:ascii="宋体" w:hAnsi="宋体" w:eastAsia="宋体"/>
          <w:bCs/>
          <w:sz w:val="24"/>
          <w:szCs w:val="24"/>
        </w:rPr>
      </w:pPr>
      <w:r>
        <w:rPr>
          <w:rFonts w:hint="eastAsia" w:cs="Arial" w:asciiTheme="minorEastAsia" w:hAnsiTheme="minorEastAsia" w:eastAsiaTheme="minorEastAsia"/>
          <w:sz w:val="24"/>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highlight w:val="none"/>
        </w:rPr>
        <w:t xml:space="preserve">不专门面向中小企业采购。</w:t>
      </w:r>
      <w:r>
        <w:rPr>
          <w:rFonts w:ascii="宋体" w:hAnsi="宋体" w:eastAsia="宋体" w:cs="仿宋"/>
          <w:bCs/>
          <w:sz w:val="24"/>
          <w:szCs w:val="24"/>
          <w:highlight w:val="none"/>
        </w:rPr>
        <w:t xml:space="preserve">根</w:t>
      </w:r>
      <w:r>
        <w:rPr>
          <w:rFonts w:ascii="宋体" w:hAnsi="宋体" w:eastAsia="宋体" w:cs="仿宋"/>
          <w:bCs/>
          <w:sz w:val="24"/>
          <w:szCs w:val="24"/>
        </w:rPr>
        <w:t xml:space="preserve">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pStyle w:val="972"/>
        <w:ind w:firstLine="480"/>
        <w:spacing w:before="0" w:after="0" w:line="360" w:lineRule="auto"/>
        <w:rPr>
          <w:rFonts w:hint="eastAsia" w:cs="仿宋" w:asciiTheme="minorEastAsia" w:hAnsiTheme="minorEastAsia" w:eastAsiaTheme="minorEastAsia"/>
          <w:b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color w:val="000000" w:themeColor="text1"/>
          <w:sz w:val="24"/>
          <w:szCs w:val="24"/>
          <w:highlight w:val="none"/>
          <w14:textFill>
            <w14:solidFill>
              <w14:schemeClr w14:val="tx1"/>
            </w14:solidFill>
          </w14:textFill>
        </w:rPr>
        <w:t xml:space="preserve">投标产品属于医疗器械的，须具有有效的《医疗器械注册证》,非医疗器械类设备须符合国家及药学自动化行业相关标准。</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1、时间：2026年</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日起至2026年</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日止，2026年</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日后仍可以下载招标文件，2026年</w:t>
      </w:r>
      <w:r>
        <w:rPr>
          <w:rFonts w:hint="eastAsia" w:ascii="宋体" w:hAnsi="宋体" w:eastAsia="宋体" w:cs="宋体"/>
          <w:sz w:val="24"/>
          <w:szCs w:val="24"/>
          <w:lang w:val="en-US" w:eastAsia="zh-CN"/>
        </w:rPr>
        <w:t xml:space="preserve">07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时间：202</w:t>
      </w:r>
      <w:r>
        <w:rPr>
          <w:rFonts w:cs="仿宋" w:asciiTheme="minorEastAsia" w:hAnsiTheme="minorEastAsia" w:eastAsiaTheme="minorEastAsia"/>
          <w:color w:val="000000" w:themeColor="text1"/>
          <w:sz w:val="24"/>
          <w:szCs w:val="24"/>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07</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cs="仿宋" w:asciiTheme="minorEastAsia" w:hAnsiTheme="minorEastAsia" w:eastAsiaTheme="minorEastAsia"/>
          <w:color w:val="000000" w:themeColor="text1"/>
          <w:sz w:val="24"/>
          <w:szCs w:val="24"/>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分（北京时间）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w:t>
      </w:r>
      <w:r>
        <w:rPr>
          <w:rFonts w:hint="eastAsia" w:ascii="宋体" w:hAnsi="宋体" w:eastAsia="宋体"/>
          <w:bCs/>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bookmarkStart w:id="23" w:name="_Toc35393625"/>
      <w:r/>
      <w:bookmarkStart w:id="24" w:name="_Toc28359007"/>
      <w:r/>
      <w:bookmarkStart w:id="25" w:name="_Toc35393794"/>
      <w:r/>
      <w:bookmarkStart w:id="26" w:name="_Toc28359084"/>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自本公告发布之日起5个工作日。</w:t>
      </w:r>
      <w:r/>
    </w:p>
    <w:p>
      <w:pPr>
        <w:pStyle w:val="972"/>
        <w:spacing w:before="0" w:after="0" w:line="360" w:lineRule="auto"/>
        <w:rPr>
          <w:rFonts w:hint="eastAsia" w:cs="仿宋" w:asciiTheme="minorEastAsia" w:hAnsiTheme="minorEastAsia" w:eastAsiaTheme="minorEastAsia"/>
          <w:bCs w:val="0"/>
          <w:color w:val="000000" w:themeColor="text1"/>
          <w:sz w:val="24"/>
          <w:szCs w:val="24"/>
          <w14:textFill>
            <w14:solidFill>
              <w14:schemeClr w14:val="tx1"/>
            </w14:solidFill>
          </w14:textFill>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28359085"/>
      <w:r/>
      <w:bookmarkStart w:id="30" w:name="_Toc35393796"/>
      <w:r/>
      <w:bookmarkStart w:id="31" w:name="_Toc28359008"/>
      <w:r/>
      <w:bookmarkStart w:id="32" w:name="_Toc35393627"/>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w:t>
      </w:r>
      <w:r>
        <w:rPr>
          <w:rFonts w:hint="eastAsia" w:ascii="宋体" w:hAnsi="宋体" w:eastAsia="宋体" w:cs="宋体"/>
          <w:bCs/>
          <w:sz w:val="24"/>
          <w:szCs w:val="24"/>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972"/>
        <w:spacing w:before="0" w:after="0"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1.采购人信息</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bookmarkStart w:id="34" w:name="_Toc28359009"/>
      <w:r/>
      <w:bookmarkStart w:id="35" w:name="_Toc28359086"/>
      <w:r>
        <w:rPr>
          <w:rFonts w:hint="eastAsia" w:asciiTheme="minorEastAsia" w:hAnsiTheme="minorEastAsia" w:eastAsiaTheme="minorEastAsia"/>
          <w:spacing w:val="8"/>
          <w:sz w:val="24"/>
          <w:szCs w:val="24"/>
        </w:rPr>
        <w:t xml:space="preserve">名称：泰州市第四人民医院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lang w:val="zh-CN"/>
        </w:rPr>
      </w:pPr>
      <w:r>
        <w:rPr>
          <w:rFonts w:asciiTheme="minorEastAsia" w:hAnsiTheme="minorEastAsia" w:eastAsiaTheme="minorEastAsia"/>
          <w:spacing w:val="8"/>
          <w:sz w:val="24"/>
          <w:szCs w:val="24"/>
          <w:lang w:val="zh-CN"/>
        </w:rPr>
        <w:t xml:space="preserve">地址：</w:t>
      </w:r>
      <w:r>
        <w:rPr>
          <w:rFonts w:hint="eastAsia" w:asciiTheme="minorEastAsia" w:hAnsiTheme="minorEastAsia" w:eastAsiaTheme="minorEastAsia"/>
          <w:spacing w:val="8"/>
          <w:sz w:val="24"/>
          <w:szCs w:val="24"/>
          <w:lang w:val="zh-CN"/>
        </w:rPr>
        <w:t xml:space="preserve">泰州市海陵区鼓楼北路99号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hint="eastAsia" w:asciiTheme="minorEastAsia" w:hAnsiTheme="minorEastAsia" w:eastAsiaTheme="minorEastAsia"/>
          <w:spacing w:val="8"/>
          <w:sz w:val="24"/>
          <w:szCs w:val="24"/>
          <w:lang w:val="zh-CN"/>
        </w:rPr>
        <w:t xml:space="preserve">联系人：</w:t>
      </w:r>
      <w:bookmarkStart w:id="36" w:name="OLE_LINK2"/>
      <w:r>
        <w:rPr>
          <w:rFonts w:hint="eastAsia" w:asciiTheme="minorEastAsia" w:hAnsiTheme="minorEastAsia" w:eastAsiaTheme="minorEastAsia"/>
          <w:spacing w:val="8"/>
          <w:sz w:val="24"/>
          <w:szCs w:val="24"/>
        </w:rPr>
        <w:t xml:space="preserve">陈</w:t>
      </w:r>
      <w:r>
        <w:rPr>
          <w:rFonts w:hint="eastAsia" w:asciiTheme="minorEastAsia" w:hAnsiTheme="minorEastAsia" w:eastAsiaTheme="minorEastAsia"/>
          <w:spacing w:val="8"/>
          <w:sz w:val="24"/>
          <w:szCs w:val="24"/>
          <w:lang w:val="zh-CN"/>
        </w:rPr>
        <w:t xml:space="preserve">老师</w:t>
      </w:r>
      <w:bookmarkEnd w:id="36"/>
      <w:r>
        <w:rPr>
          <w:rFonts w:hint="eastAsia" w:asciiTheme="minorEastAsia" w:hAnsiTheme="minorEastAsia" w:eastAsiaTheme="minorEastAsia"/>
          <w:spacing w:val="8"/>
          <w:sz w:val="24"/>
          <w:szCs w:val="24"/>
          <w:lang w:val="zh-CN"/>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spacing w:val="8"/>
          <w:sz w:val="24"/>
          <w:szCs w:val="24"/>
          <w:lang w:val="zh-CN"/>
        </w:rPr>
        <w:t xml:space="preserve">联系方式：0523-8018509</w:t>
      </w:r>
      <w:r>
        <w:rPr>
          <w:rFonts w:hint="eastAsia" w:asciiTheme="minorEastAsia" w:hAnsiTheme="minorEastAsia" w:eastAsiaTheme="minorEastAsia"/>
          <w:spacing w:val="8"/>
          <w:sz w:val="24"/>
          <w:szCs w:val="24"/>
        </w:rPr>
        <w:t xml:space="preserve">8</w:t>
      </w:r>
      <w:r>
        <w:rPr>
          <w:rFonts w:asciiTheme="minorEastAsia" w:hAnsiTheme="minorEastAsia" w:eastAsiaTheme="minorEastAsia"/>
          <w:spacing w:val="8"/>
          <w:sz w:val="24"/>
          <w:szCs w:val="24"/>
          <w:lang w:val="zh-CN"/>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　址：南京市建邺区云龙山路58号大唐科技大厦A座高区15楼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联系方式：</w:t>
      </w:r>
      <w:bookmarkStart w:id="37" w:name="_Toc28359087"/>
      <w:r/>
      <w:bookmarkStart w:id="38" w:name="_Toc28359010"/>
      <w:r>
        <w:rPr>
          <w:rFonts w:cs="仿宋" w:asciiTheme="minorEastAsia" w:hAnsiTheme="minorEastAsia" w:eastAsiaTheme="minorEastAsia"/>
          <w:color w:val="000000" w:themeColor="text1"/>
          <w:sz w:val="24"/>
          <w:szCs w:val="24"/>
          <w14:textFill>
            <w14:solidFill>
              <w14:schemeClr w14:val="tx1"/>
            </w14:solidFill>
          </w14:textFill>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3.项目联系方式</w:t>
      </w:r>
      <w:bookmarkEnd w:id="37"/>
      <w:r/>
      <w:bookmarkEnd w:id="38"/>
      <w:r/>
      <w:r/>
    </w:p>
    <w:p>
      <w:pPr>
        <w:pStyle w:val="975"/>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项目联系人：马先生、徐先生、陆先生</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电　话：1</w:t>
      </w:r>
      <w:r>
        <w:rPr>
          <w:rFonts w:cs="仿宋" w:asciiTheme="minorEastAsia" w:hAnsiTheme="minorEastAsia" w:eastAsiaTheme="minorEastAsia"/>
          <w:color w:val="000000" w:themeColor="text1"/>
          <w:sz w:val="24"/>
          <w:szCs w:val="24"/>
          <w14:textFill>
            <w14:solidFill>
              <w14:schemeClr w14:val="tx1"/>
            </w14:solidFill>
          </w14:textFill>
        </w:rPr>
        <w:t xml:space="preserve">8905161867</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rPr>
          <w:rFonts w:cs="仿宋" w:asciiTheme="minorEastAsia" w:hAnsiTheme="minorEastAsia" w:eastAsiaTheme="minorEastAsia"/>
          <w:color w:val="000000" w:themeColor="text1"/>
          <w:sz w:val="24"/>
          <w:szCs w:val="24"/>
          <w14:textFill>
            <w14:solidFill>
              <w14:schemeClr w14:val="tx1"/>
            </w14:solidFill>
          </w14:textFill>
        </w:rPr>
        <w:t xml:space="preserve">8351006888</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、19850429971</w:t>
      </w:r>
      <w:r/>
    </w:p>
    <w:p>
      <w:pPr>
        <w:ind w:right="840" w:firstLine="530"/>
        <w:jc w:val="center"/>
        <w:spacing w:line="360" w:lineRule="auto"/>
        <w:widowControl/>
        <w:rPr>
          <w:rFonts w:hint="eastAsia" w:cs="仿宋" w:asciiTheme="minorEastAsia" w:hAnsiTheme="minorEastAsia" w:eastAsiaTheme="minorEastAsia"/>
          <w:b/>
          <w:color w:val="000000" w:themeColor="text1"/>
          <w:szCs w:val="22"/>
          <w14:textFill>
            <w14:solidFill>
              <w14:schemeClr w14:val="tx1"/>
            </w14:solidFill>
          </w14:textFill>
        </w:rPr>
      </w:pPr>
      <w:r>
        <w:rPr>
          <w:rFonts w:hint="eastAsia" w:cs="仿宋" w:asciiTheme="minorEastAsia" w:hAnsiTheme="minorEastAsia" w:eastAsiaTheme="minorEastAsia"/>
          <w:b/>
          <w:color w:val="000000" w:themeColor="text1"/>
          <w:szCs w:val="22"/>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    投标人须知前附表</w:t>
      </w:r>
      <w:r/>
    </w:p>
    <w:tbl>
      <w:tblPr>
        <w:tblStyle w:val="95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药学部自动化发药系统</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交货期：合同签订后14天内完成交货</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预算金额：560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最高限价：480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977"/>
              <w:numPr>
                <w:ilvl w:val="0"/>
                <w:numId w:val="1"/>
              </w:num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不组织，自行勘察;如投标人需自行勘察,费用自理。</w:t>
            </w:r>
            <w:r/>
          </w:p>
          <w:p>
            <w:pPr>
              <w:pStyle w:val="977"/>
              <w:numPr>
                <w:ilvl w:val="0"/>
                <w:numId w:val="1"/>
              </w:num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组织，勘察时间： 年月日时</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集合地点：</w:t>
            </w:r>
            <w:r/>
          </w:p>
          <w:p>
            <w:pPr>
              <w:ind w:firstLine="975"/>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不召开</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口召开，召开时间：年月日时</w:t>
            </w:r>
            <w:r/>
          </w:p>
          <w:p>
            <w:pPr>
              <w:ind w:firstLine="975"/>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cs="仿宋" w:asciiTheme="minorEastAsia" w:hAnsiTheme="minorEastAsia" w:eastAsiaTheme="minorEastAsia"/>
                <w:color w:val="000000" w:themeColor="text1"/>
                <w:sz w:val="24"/>
                <w:szCs w:val="24"/>
                <w:u w:val="single"/>
                <w14:textFill>
                  <w14:solidFill>
                    <w14:schemeClr w14:val="tx1"/>
                  </w14:solidFill>
                </w14:textFill>
              </w:rPr>
              <w:t xml:space="preserve">9</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202</w:t>
            </w:r>
            <w:r>
              <w:rPr>
                <w:rFonts w:cs="仿宋" w:asciiTheme="minorEastAsia" w:hAnsiTheme="minorEastAsia" w:eastAsiaTheme="minorEastAsia"/>
                <w:color w:val="000000" w:themeColor="text1"/>
                <w:sz w:val="24"/>
                <w:szCs w:val="24"/>
                <w:u w:val="single"/>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07</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29</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202</w:t>
            </w:r>
            <w:r>
              <w:rPr>
                <w:rFonts w:cs="仿宋" w:asciiTheme="minorEastAsia" w:hAnsiTheme="minorEastAsia" w:eastAsiaTheme="minorEastAsia"/>
                <w:color w:val="000000" w:themeColor="text1"/>
                <w:sz w:val="24"/>
                <w:szCs w:val="24"/>
                <w:u w:val="single"/>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07</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29</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日1</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0分</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不提交，招标文件中有关履约保证金的规定均不适用</w:t>
            </w:r>
            <w:r/>
          </w:p>
          <w:p>
            <w:pPr>
              <w:pStyle w:val="977"/>
              <w:ind w:firstLine="0"/>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金额：中标价的5% </w:t>
            </w:r>
            <w:r/>
          </w:p>
          <w:p>
            <w:pPr>
              <w:pStyle w:val="976"/>
              <w:ind w:firstLine="0"/>
              <w:rPr>
                <w:rFonts w:hint="eastAsia"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提交时间：收到中标通知书后签订合同前。</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中标通知书发出之日起</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30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付款方式</w:t>
            </w:r>
            <w:r/>
          </w:p>
        </w:tc>
        <w:tc>
          <w:tcPr>
            <w:tcW w:w="6249" w:type="dxa"/>
            <w:vAlign w:val="center"/>
            <w:textDirection w:val="lrTb"/>
            <w:noWrap w:val="false"/>
          </w:tcPr>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1.所有设备安装调试完毕后，采购人收到供应商出具的合法有效发票后，于30个工作日内支付合同总价款的30%。</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 系统稳定运行3个月以上并验收合格后，采购人收到供应商出具的合法有效发票后，于30个工作日内支付合同总价款的60%。 </w:t>
            </w:r>
            <w:r/>
          </w:p>
          <w:p>
            <w:pPr>
              <w:ind w:right="-119"/>
              <w:jc w:val="left"/>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3. 自验收合格满一年后，设备无运行障碍且售后服务到位，采购人收到供应商出具的合法有效发票后，于7个工作日内无息付清合同总价款的10%。</w:t>
            </w:r>
            <w:r>
              <w:rPr>
                <w:rFonts w:hint="eastAsia" w:ascii="宋体" w:hAnsi="宋体" w:eastAsia="宋体" w:cs="宋体"/>
                <w:bCs/>
                <w:sz w:val="24"/>
                <w:szCs w:val="24"/>
                <w:highlight w:val="none"/>
                <w:lang w:val="zh-CN"/>
              </w:rPr>
              <w:t xml:space="preserve">（如果中标人为中小企业，按&lt;&lt;保障中小企业款项支付条例&gt;&gt;(国令第802号)相关要求执行）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招标代理服务费</w:t>
            </w:r>
            <w:r/>
          </w:p>
        </w:tc>
        <w:tc>
          <w:tcPr>
            <w:tcW w:w="6249" w:type="dxa"/>
            <w:textDirection w:val="lrTb"/>
            <w:noWrap w:val="false"/>
          </w:tcPr>
          <w:p>
            <w:pPr>
              <w:ind w:firstLine="480"/>
              <w:jc w:val="left"/>
              <w:spacing w:line="360" w:lineRule="auto"/>
              <w:rPr>
                <w:rFonts w:hint="eastAsia" w:ascii="宋体" w:hAnsi="宋体" w:eastAsia="宋体" w:cs="仿宋"/>
                <w:sz w:val="24"/>
                <w:szCs w:val="24"/>
                <w:highlight w:val="none"/>
              </w:rPr>
            </w:pPr>
            <w:r>
              <w:rPr>
                <w:rFonts w:ascii="宋体" w:hAnsi="宋体" w:eastAsia="宋体" w:cs="仿宋"/>
                <w:sz w:val="24"/>
                <w:szCs w:val="24"/>
                <w:highlight w:val="none"/>
              </w:rPr>
              <w:t xml:space="preserve">根据苏财规﹝2026﹞1号文的相关要求，本项目代理服务费由采购人支付，采购人自收到招标存档资料后10日内按照《江苏省政府采购代理服务收费指导意见》苏政采协[2024]20号文收费标准的</w:t>
            </w:r>
            <w:r>
              <w:rPr>
                <w:rFonts w:hint="eastAsia" w:ascii="宋体" w:hAnsi="宋体" w:eastAsia="宋体" w:cs="仿宋"/>
                <w:sz w:val="24"/>
                <w:szCs w:val="24"/>
                <w:highlight w:val="none"/>
              </w:rPr>
              <w:t xml:space="preserve">55</w:t>
            </w:r>
            <w:r>
              <w:rPr>
                <w:rFonts w:ascii="宋体" w:hAnsi="宋体" w:eastAsia="宋体" w:cs="仿宋"/>
                <w:sz w:val="24"/>
                <w:szCs w:val="24"/>
                <w:highlight w:val="none"/>
              </w:rPr>
              <w:t xml:space="preserve">%向采购代理机构支付代理服务费。</w:t>
            </w:r>
            <w:r>
              <w:rPr>
                <w:rFonts w:hint="eastAsia" w:ascii="宋体" w:hAnsi="宋体" w:eastAsia="宋体" w:cs="仿宋"/>
                <w:sz w:val="24"/>
                <w:szCs w:val="24"/>
                <w:highlight w:val="none"/>
              </w:rPr>
              <w:t xml:space="preserve">备注266-003527代理服务费。 </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银行信息：</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户名：江苏海外集团国际工程咨询有限公司</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开户银行：交行江苏省分行营业部</w:t>
            </w:r>
            <w:r/>
          </w:p>
          <w:p>
            <w:pPr>
              <w:ind w:firstLine="420"/>
              <w:spacing w:line="360" w:lineRule="auto"/>
              <w:rPr>
                <w:rFonts w:hint="eastAsia" w:ascii="宋体" w:hAnsi="宋体" w:eastAsia="宋体"/>
                <w:bCs/>
                <w:sz w:val="24"/>
                <w:szCs w:val="24"/>
                <w:highlight w:val="none"/>
              </w:rPr>
            </w:pPr>
            <w:r>
              <w:rPr>
                <w:rFonts w:hint="eastAsia" w:ascii="宋体" w:hAnsi="宋体" w:eastAsia="宋体"/>
                <w:sz w:val="24"/>
                <w:szCs w:val="24"/>
                <w:highlight w:val="none"/>
              </w:rPr>
              <w:t xml:space="preserve">账号：320006607010141124109</w:t>
            </w:r>
            <w:r/>
          </w:p>
          <w:p>
            <w:pPr>
              <w:jc w:val="center"/>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江苏省政府采购代理常规服务收费指导价</w:t>
            </w:r>
            <w:r/>
          </w:p>
          <w:tbl>
            <w:tblPr>
              <w:tblStyle w:val="957"/>
              <w:tblW w:w="4740" w:type="dxa"/>
              <w:jc w:val="center"/>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b/>
                      <w:bCs/>
                      <w:color w:val="1b1c21"/>
                      <w:sz w:val="24"/>
                      <w:szCs w:val="24"/>
                      <w:highlight w:val="none"/>
                    </w:rPr>
                  </w:pPr>
                  <w:r>
                    <w:rPr>
                      <w:rFonts w:hint="eastAsia" w:ascii="宋体" w:hAnsi="宋体" w:eastAsia="宋体" w:cs="宋体"/>
                      <w:b/>
                      <w:bCs/>
                      <w:color w:val="1b1c21"/>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b/>
                      <w:bCs/>
                      <w:color w:val="1b1c21"/>
                      <w:sz w:val="24"/>
                      <w:szCs w:val="24"/>
                      <w:highlight w:val="none"/>
                    </w:rPr>
                  </w:pPr>
                  <w:r>
                    <w:rPr>
                      <w:rFonts w:hint="eastAsia" w:ascii="宋体" w:hAnsi="宋体" w:eastAsia="宋体" w:cs="宋体"/>
                      <w:b/>
                      <w:bCs/>
                      <w:color w:val="1b1c21"/>
                      <w:sz w:val="24"/>
                      <w:szCs w:val="24"/>
                      <w:highlight w:val="none"/>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1b1c21"/>
                      <w:sz w:val="24"/>
                      <w:szCs w:val="24"/>
                      <w:highlight w:val="none"/>
                    </w:rPr>
                  </w:pPr>
                  <w:r>
                    <w:rPr>
                      <w:rFonts w:hint="eastAsia" w:ascii="宋体" w:hAnsi="宋体" w:eastAsia="宋体" w:cs="宋体"/>
                      <w:color w:val="1b1c21"/>
                      <w:sz w:val="24"/>
                      <w:szCs w:val="24"/>
                      <w:highlight w:val="none"/>
                    </w:rPr>
                    <w:t xml:space="preserve">0.005%</w:t>
                  </w:r>
                  <w:r/>
                </w:p>
              </w:tc>
            </w:tr>
          </w:tbl>
          <w:p>
            <w:pPr>
              <w:pStyle w:val="976"/>
              <w:ind w:firstLine="0"/>
              <w:jc w:val="both"/>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其他</w:t>
            </w:r>
            <w:r/>
          </w:p>
        </w:tc>
        <w:tc>
          <w:tcPr>
            <w:tcW w:w="6249" w:type="dxa"/>
            <w:vAlign w:val="center"/>
            <w:textDirection w:val="lrTb"/>
            <w:noWrap w:val="false"/>
          </w:tcPr>
          <w:p>
            <w:pPr>
              <w:pStyle w:val="976"/>
              <w:ind w:firstLine="0"/>
              <w:rPr>
                <w:rFonts w:hint="eastAsia"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b/>
                <w:bCs/>
                <w:color w:val="000000" w:themeColor="text1"/>
                <w:szCs w:val="24"/>
                <w14:textFill>
                  <w14:solidFill>
                    <w14:schemeClr w14:val="tx1"/>
                  </w14:solidFill>
                </w14:textFill>
              </w:rPr>
              <w:t xml:space="preserve">投标文件的制作要求</w:t>
            </w:r>
            <w:r/>
          </w:p>
          <w:p>
            <w:pPr>
              <w:pStyle w:val="976"/>
              <w:ind w:firstLine="240"/>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本次采购采用“苏采云”系统进行政府采购活动。</w:t>
            </w:r>
            <w:r/>
          </w:p>
          <w:p>
            <w:pPr>
              <w:pStyle w:val="976"/>
              <w:ind w:firstLine="240"/>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投标人如确定参加投标，可自行下载招标文件及有关资料，按</w:t>
            </w:r>
            <w:r>
              <w:rPr>
                <w:rFonts w:hint="eastAsia" w:cs="仿宋" w:asciiTheme="minorEastAsia" w:hAnsiTheme="minorEastAsia" w:eastAsiaTheme="minorEastAsia"/>
                <w:color w:val="000000" w:themeColor="text1"/>
                <w:szCs w:val="24"/>
                <w14:textFill>
                  <w14:solidFill>
                    <w14:schemeClr w14:val="tx1"/>
                  </w14:solidFill>
                </w14:textFill>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一、说明和释义</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1.说明  </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1.1本招标文件仅适用于本采购项目的招标、投标、评审、确定中标单位、验收、合同履约、付款等（法律、法规另有规定的，从其规定）。</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1.2本次招标活动及因本次招标产生的合同受中国法律制约和保护。</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2.词语释义</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2.1采购人：指依法进行采购的国家机关、事业单位、团体组织。</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二、投标人</w:t>
      </w:r>
      <w:r/>
    </w:p>
    <w:p>
      <w:p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3.合格投标人资格要求</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三、招标文件说明</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76"/>
        <w:ind w:firstLine="480"/>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76"/>
        <w:ind w:firstLine="480"/>
        <w:jc w:val="both"/>
        <w:spacing w:line="360" w:lineRule="auto"/>
        <w:rPr>
          <w:rFonts w:hint="eastAsia"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11.投标文件计量单位和使用文字</w:t>
      </w:r>
      <w:r/>
    </w:p>
    <w:p>
      <w:pPr>
        <w:pStyle w:val="976"/>
        <w:ind w:firstLine="509"/>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75"/>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w:t>
      </w:r>
      <w:bookmarkStart w:id="39" w:name="_Toc217446047"/>
      <w:r>
        <w:rPr>
          <w:rFonts w:hint="eastAsia" w:cs="仿宋" w:asciiTheme="minorEastAsia" w:hAnsiTheme="minorEastAsia" w:eastAsiaTheme="minorEastAsia"/>
          <w:b/>
          <w:color w:val="000000" w:themeColor="text1"/>
          <w:sz w:val="24"/>
          <w:szCs w:val="24"/>
          <w14:textFill>
            <w14:solidFill>
              <w14:schemeClr w14:val="tx1"/>
            </w14:solidFill>
          </w14:textFill>
        </w:rPr>
        <w:t xml:space="preserve">2.知识产权</w:t>
      </w:r>
      <w:bookmarkEnd w:id="39"/>
      <w:r/>
      <w:r/>
    </w:p>
    <w:p>
      <w:pPr>
        <w:pStyle w:val="976"/>
        <w:ind w:firstLine="509"/>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资格、资信证明文件：</w:t>
      </w:r>
      <w:r/>
    </w:p>
    <w:p>
      <w:pPr>
        <w:pStyle w:val="97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资格证明文件（格式见附件）</w:t>
      </w:r>
      <w:r/>
    </w:p>
    <w:p>
      <w:pPr>
        <w:pStyle w:val="97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采购人要求的特定资质证明（详见“采购公告”-“本项目特定资格要求”之3中要求）。</w:t>
      </w:r>
      <w:r/>
    </w:p>
    <w:p>
      <w:pPr>
        <w:pStyle w:val="978"/>
        <w:rPr>
          <w:rFonts w:hint="eastAsia"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15.投标报价（编制）要求的说明</w:t>
      </w:r>
      <w:r/>
    </w:p>
    <w:p>
      <w:pPr>
        <w:pStyle w:val="976"/>
        <w:ind w:firstLine="505"/>
        <w:jc w:val="both"/>
        <w:spacing w:line="360" w:lineRule="auto"/>
        <w:rPr>
          <w:rFonts w:hint="eastAsia"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76"/>
        <w:ind w:firstLine="505"/>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投标人要认真阅读清单，慎重报价。采购人不再支付报价以外的任何费用。</w:t>
      </w:r>
      <w:r/>
    </w:p>
    <w:p>
      <w:pPr>
        <w:pStyle w:val="976"/>
        <w:ind w:firstLine="505"/>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15.2投标人应对招标文件内所要采购的全部内容进行报价，只投其中部分内容者，其标书将被拒绝。</w:t>
      </w:r>
      <w:r/>
    </w:p>
    <w:p>
      <w:pPr>
        <w:pStyle w:val="976"/>
        <w:ind w:firstLine="505"/>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15.3一项投标内容只允许一个报价，招标采购单位不接受任何有选择性的投标报价。</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16.投标保证金</w:t>
      </w:r>
      <w:r/>
    </w:p>
    <w:p>
      <w:pPr>
        <w:pStyle w:val="97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18.投标文件的拒收</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五、投标文件的递交</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六、开标和评标</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14:textFill>
            <w14:solidFill>
              <w14:schemeClr w14:val="tx1"/>
            </w14:solidFill>
          </w14:textFill>
        </w:rPr>
        <w:tab/>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23.1评标委员会由招标采购单位依法组建，负责本项目的评标事务。</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23.2评标委员会独立履行下列职责：</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23.2.1审查投标文件是否符合招标文件的要求，并作出评价；</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23.2.2可以要求投标供应商对投标文件有关事项作出解释或澄清；</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23.2.3推荐中标候选供应商名单，或者受采购人委托按照事先确定的办法直接确定中标供应商；</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23.2.4向招标采购单位或者有关部门报告非法干预评标工作的行为。</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23.3评标委员会成员应当履行下列义务：</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23.3.1遵纪守法，客观、公正、廉洁地履行职责；</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23.3.2按照招标文件规定的评标办法和评标标准进行评标，对评审意见承担个人责任；</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23.3.3对评标过程和结果，以及投标人的商业秘密保密；</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23.3.4参与评标报告的起草；</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23.3.5配合相关部门的投诉处理工作；</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24.评标内容的保密</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976"/>
        <w:ind w:firstLine="426"/>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25.对投标文件初审</w:t>
      </w:r>
      <w:r/>
    </w:p>
    <w:p>
      <w:pPr>
        <w:pStyle w:val="976"/>
        <w:ind w:firstLine="488"/>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25.1投标文件初审分为资格性检查和符合性检查。</w:t>
      </w:r>
      <w:r/>
    </w:p>
    <w:p>
      <w:pPr>
        <w:pStyle w:val="976"/>
        <w:ind w:firstLine="488"/>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17）评审中出现下列情形之一的，评审委员会应当启动异常低价投标（响应）审查程序： </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26.投标的澄清</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27.废标</w:t>
      </w:r>
      <w:r/>
    </w:p>
    <w:p>
      <w:pPr>
        <w:ind w:firstLine="57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28.投标文件的评价和比较</w:t>
      </w:r>
      <w:r/>
    </w:p>
    <w:p>
      <w:pPr>
        <w:pStyle w:val="976"/>
        <w:ind w:firstLine="609"/>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976"/>
        <w:ind w:firstLine="609"/>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七、授予合同</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29.中标人的确认</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29.2中标无效的确认：</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（1）提供虚假材料谋取中标的；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（2）采取不正当手段诋毁、排挤其他投标人的；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（3）与招标采购单位、其他投标人恶意串通的；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（4）向招标采购单位行贿或者提供其他不正当利益的；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（6）拒绝有关部门监督检查或者提供虚假情况的。</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31.中标通知书</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31.2中标通知书将成为合同的组成部分。</w:t>
      </w:r>
      <w:r/>
    </w:p>
    <w:p>
      <w:pPr>
        <w:pStyle w:val="976"/>
        <w:ind w:firstLine="502"/>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32.履约保证金</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32.1中标人应按规定提交履约保证金。</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33.合同的签订</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33.1中标人应按中标通知书中规定的时间和地点，由法定代表人或委托代理人与采购人代表签订合同。</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34.特别提醒</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34.1投标单位如有提供不实评审材料，弄虚作假者，一律作废标处理，该不良行为将予以公示。</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bookmarkStart w:id="40" w:name="_Toc409438818"/>
      <w:r>
        <w:rPr>
          <w:rFonts w:hint="eastAsia" w:cs="仿宋" w:asciiTheme="minorEastAsia" w:hAnsiTheme="minorEastAsia" w:eastAsiaTheme="minorEastAsia"/>
          <w:color w:val="000000" w:themeColor="text1"/>
          <w:szCs w:val="24"/>
          <w14:textFill>
            <w14:solidFill>
              <w14:schemeClr w14:val="tx1"/>
            </w14:solidFill>
          </w14:textFill>
        </w:rPr>
        <w:t xml:space="preserve">34.3政府采购线上合同信用融资功能告知提醒</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我区已正式启用“苏采云”系统，目前已全面开通政府采购线上合同信用融资（以下简称“政采贷”）功能。成交供应商可凭政府采购合同在中征平台发起贷款申请贷款。</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34.3.1.“政采贷”业务流程</w:t>
      </w:r>
      <w:r/>
    </w:p>
    <w:p>
      <w:pPr>
        <w:pStyle w:val="976"/>
        <w:ind w:firstLine="431"/>
        <w:jc w:val="center"/>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34.3.2.操作流程</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34.3.3.常见问题</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Q1：哪些企业能申请“政采贷”？</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答：江苏省内采用国库集中支付的政府采购项目的中标供应商，可凭政府采购合同申请"政采贷"。</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Q2：供应商在哪里申请“政采贷”？</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答：中标供应商在“中征应收账款融资服务平台”（简称“中征平台”）上向意向银行发起融资申请</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Q3：中标供应商要注意什么？</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Q4：采购单位要做什么？</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Q5：“政采贷”融资失败怎么办？</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34.3.4.网址及联系方式</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政采贷：http://www.ccgp-jiangsu.gov.cn/jiangsu/paying.html</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中征平台：https://www.crcrfsp.com/</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联系人：翟先生           联系电话：0523-88816349</w:t>
      </w:r>
      <w:r/>
    </w:p>
    <w:p>
      <w:pPr>
        <w:pStyle w:val="976"/>
        <w:numPr>
          <w:ilvl w:val="0"/>
          <w:numId w:val="3"/>
        </w:numPr>
        <w:ind w:firstLine="431"/>
        <w:jc w:val="both"/>
        <w:spacing w:line="360" w:lineRule="auto"/>
        <w:rPr>
          <w:rFonts w:hint="eastAsia"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b/>
          <w:color w:val="000000" w:themeColor="text1"/>
          <w:szCs w:val="24"/>
          <w14:textFill>
            <w14:solidFill>
              <w14:schemeClr w14:val="tx1"/>
            </w14:solidFill>
          </w14:textFill>
        </w:rPr>
        <w:t xml:space="preserve">货物（包含与货物相关的服务）的追加</w:t>
      </w:r>
      <w:r/>
    </w:p>
    <w:p>
      <w:pPr>
        <w:pStyle w:val="976"/>
        <w:ind w:firstLine="431"/>
        <w:jc w:val="both"/>
        <w:spacing w:line="360" w:lineRule="auto"/>
        <w:rPr>
          <w:rFonts w:hint="eastAsia"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40"/>
      <w:r/>
      <w:bookmarkStart w:id="41" w:name="_Toc388026586"/>
      <w:r>
        <w:rPr>
          <w:rFonts w:hint="eastAsia" w:cs="仿宋" w:asciiTheme="minorEastAsia" w:hAnsiTheme="minorEastAsia" w:eastAsiaTheme="minorEastAsia"/>
          <w:color w:val="000000" w:themeColor="text1"/>
          <w:szCs w:val="24"/>
          <w14:textFill>
            <w14:solidFill>
              <w14:schemeClr w14:val="tx1"/>
            </w14:solidFill>
          </w14:textFill>
        </w:rPr>
        <w:br w:type="page" w:clear="all"/>
      </w:r>
      <w:r/>
    </w:p>
    <w:p>
      <w:pPr>
        <w:pStyle w:val="976"/>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 采购</w:t>
      </w:r>
      <w:bookmarkEnd w:id="41"/>
      <w:r>
        <w:rPr>
          <w:rFonts w:hint="eastAsia" w:cs="仿宋" w:asciiTheme="minorEastAsia" w:hAnsiTheme="minorEastAsia" w:eastAsiaTheme="minorEastAsia"/>
          <w:b/>
          <w:color w:val="000000" w:themeColor="text1"/>
          <w:sz w:val="32"/>
          <w:szCs w:val="32"/>
          <w14:textFill>
            <w14:solidFill>
              <w14:schemeClr w14:val="tx1"/>
            </w14:solidFill>
          </w14:textFill>
        </w:rPr>
        <w:t xml:space="preserve">需求</w:t>
      </w:r>
      <w:bookmarkStart w:id="62" w:name="_GoBack"/>
      <w:r/>
      <w:bookmarkEnd w:id="62"/>
      <w:r/>
      <w:r/>
    </w:p>
    <w:p>
      <w:pPr>
        <w:ind w:firstLine="482"/>
        <w:spacing w:line="360" w:lineRule="auto"/>
        <w:rPr>
          <w:rFonts w:eastAsia="仿宋" w:cs="Arial"/>
          <w:b/>
          <w:bCs/>
          <w:sz w:val="24"/>
          <w:szCs w:val="24"/>
        </w:rPr>
      </w:pPr>
      <w:r/>
      <w:bookmarkStart w:id="42" w:name="_Toc409438821"/>
      <w:r/>
      <w:bookmarkStart w:id="43" w:name="_Toc388026588"/>
      <w:r>
        <w:rPr>
          <w:rFonts w:hint="eastAsia" w:ascii="宋体" w:hAnsi="宋体" w:eastAsia="宋体" w:cs="宋体"/>
          <w:b/>
          <w:bCs/>
          <w:sz w:val="24"/>
          <w:szCs w:val="24"/>
        </w:rPr>
        <w:t xml:space="preserve">一、配置需求清单</w:t>
      </w:r>
      <w:r>
        <w:rPr>
          <w:rFonts w:hint="eastAsia" w:ascii="宋体" w:hAnsi="宋体" w:eastAsia="宋体" w:cs="宋体"/>
          <w:b/>
          <w:bCs/>
          <w:sz w:val="24"/>
          <w:szCs w:val="24"/>
          <w:highlight w:val="none"/>
        </w:rPr>
        <w:t xml:space="preserve">（投标供应商须在分项报价表中对下述配置做分项报价）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1.快速发药机：1台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2.高速发药机（含传送皮带等配套设施）：1套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3.全自动补药系统：1套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4.全流程整处方传输与出药缓冲系统：1套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5.直发追溯码采集系统（对应既定直发窗口）：2套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6.窗口缓存架：6个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7.智能药篮及处方绑定交互系统（含≥250个药篮；2台绑定台）：1套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8.排队叫号及自助签到系统（含控制软件及终端硬件）：1套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9.自动化药房管理系统软件：1套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10.手边药品小推车（存放异形且用量较大的药品）：6个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11.卷门药柜（采用卷门设计的药品存储柜，关闭时卷门可以完全封闭柜体，起到防尘、防潮、避光的作用，保护柜内药品，同时卷门设计相比传统开门更节省空间，方便存取常用的药品）：1个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12.普通药品货架：30台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13.可调节货架：6台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14.单剂量分包机：1台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方形密封盒（药房专用的密封存储盒，采用密封防潮设计，用于存放拆零后的药品，可以有效隔绝空气中的水分、灰尘和光线，防止拆零药品受潮、变质，延长药品的保质期，同时方便分类存放不同的拆零药品。）：50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16.长方形密封盒（与方形密封盒功能类似，只是尺寸为长方形，用于存放尺寸较长的药品或者数量较多的拆零药品，适配不同规格的拆零药品存储需求，同样具备密封防潮的功能。）：5个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17.中号塑料方盆（用于药房内部的药品分拣、临时存放的容器，在药品盘点、补药或者拆零调配时，用来临时盛放药品，PP 材质安全无毒，耐磨损，方便药师操作，同时便于清洁消毒。）：50个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18.智能毒麻药品管理柜：1台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19.智能回转药柜：1台</w:t>
      </w:r>
      <w:r/>
    </w:p>
    <w:p>
      <w:pPr>
        <w:ind w:firstLine="480"/>
        <w:spacing w:line="360" w:lineRule="auto"/>
        <w:rPr>
          <w:rFonts w:ascii="Calibri" w:hAnsi="Calibri" w:eastAsia="宋体" w:cs="Arial"/>
          <w:sz w:val="24"/>
          <w:szCs w:val="24"/>
        </w:rPr>
      </w:pPr>
      <w:r>
        <w:rPr>
          <w:rFonts w:hint="eastAsia" w:ascii="宋体" w:hAnsi="宋体" w:eastAsia="宋体" w:cs="宋体"/>
          <w:sz w:val="24"/>
          <w:szCs w:val="24"/>
        </w:rPr>
        <w:t xml:space="preserve">20.设备安装相关装修改造：满足整体需求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二、总体基本要求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以下要求构成了系统整体运作的底层框架：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1.发药机组成部分：主体结构为模块化设计，所有部件均能简易拆装，搬运时均可经过对应科室（门诊、病区）大门，对场地无特殊要求，方便安装和维护。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2.占地空间限制：符合门诊、病区实际使用即可（含：储药主机系统、加药系统和发药窗口传送系统、药品提升系统等）。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3.★HIS无缝对接：所有涉及电子信息的设备均可与医院HIS系统实现无缝对接。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4.▲信息安全认证：为保障医院用药数据安全及系统运行安全，设备生产厂家或软件平台提供方应具备完善的信息安全管理能力，可提供ISO27001信息安全管理体系认证或同等信息安全能力证明材料。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5.电气安全底线：设备通过电气强度试验及漏电流试验，电压2500Vac,设备对地漏电流5mA,测试时间定时为 5s~10s。（提供相关证明材料）</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6.快速发药机、高速发药机、智能毒麻药品管理柜、智能回转药柜需、智能药篮提供10年可换原厂配件的承诺书。</w:t>
      </w:r>
      <w:r/>
    </w:p>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三、配置清单中各项货物的详细技术要求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品目一：快速发药机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1.★核心存储架构：具备有效防卡药及防错机制；系统需具备物理层面的独立药槽/药仓隔离，或算法/视觉层面的精准定位防混机制，以确保发药准确。（提供设备部件的实物图片及技术说明书证明）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存储稳定性：发药机内储存的药品应按照单品种独立存放。为确保系统高速运行时的稳定性和防止卡药，药品放置与滑落方式需高度匹配其底层架构设计（斜槽式需满足特定摆放以保障顺滑流转）。（提供设备内药品储存照片证明）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3.储位泛用性：设备内的储药通道、药槽或储药格位/药仓应具备灵活性，能通过调节宽度/高度/隔板等方式，适用各类不同规格及大小的盒装药品。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4.快速发药机药品储存要求：品种数≥1000种，储药量≥12000盒。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5.▲极限并发处理能力：发药机发药速度达到每小时不少于 2500 盒，处理处方能力不低于每小时 500 张。（提供具有国家认证的第三方检测报告证明）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6.应急出药保障：发药机发药方式需满足在设备遇到突发故障或停电时，可快速进行人工应急发药操作，保障门诊业务不中断。（提供相关证明材料）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7补发并行：发药机在发药的同时能进行药品的补充，且补药动作不干扰正常发药流程。（提供设备技术说明书证明）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8.▲加药速度：不间断人工补药处理速度：≥2000盒/小时。（提供具有国家认证的第三方检测报告证明）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9.补药确认：通过扫描药品二维码、条形码或者快速输入药品名称等方式确认补药品种。</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10.防呆二次提醒：对相同药品不同规格、形似药品、高危药品具备自动二次防错拦截与提醒功能，确保药品补充 100% 正确。（提供技术资料证明并说明二次提醒及拦截方式）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11.▲人身安全防护：主机加药机械机构与操作人员之间，需通过物理隔离门、光栅安全网或批量补药缓存通道等手段实现人机间隔，以提高补药速度并杜绝人员夹伤等安全隐患。（提供相关证明材料）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12.无人盘点与实时库存：具备自动、无人干预的实时库存盘点功能，确保账物相符。盘点方式需采用成熟可靠的自动化感知技术（如激光扫描计数、红外传感、或 AI 视觉识别等）。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13.冗余补药系统：发药机补药系统需具备两套可各自独立运行的补药机制（如全自动双轨，或自动化+半自动/人工双轨）。（提供设备工作照片或技术说明书证明材料）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品目二：高速发药机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1.核心场景：与HIS系统或快速发药系统对接，接收处方信息用于高频次、高使用量盒装药品的自动快速分发。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2.槽位数要求：≥46个槽位（满足大部分慢性病集采药盒大小的存储需求）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3.极速发药速度：每个轨道独立控制，可多通道同时出药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4.补药逻辑：多通道人工批量补药。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5.通道硬件配置：可实时检测单通道内库存、可药师便捷调整宽度。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6.▲安全机制：急停按钮/缺药报警/电机过热、过流、过载、自动故障显示、定位。</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品目三：全自动补药系统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轨补药模式：发药机需具备全自动无人补药系统和人工（或半自动批量）补药系统双模式。全自动补药系统需能覆盖发药机内绝大部分常规盒装药品的无人化补充；同时需配备人工/批量补药端口，允许药师将成批量的同种类药品快速添加至系统。（提供设备工作照片和技术说明书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闭环自动流转：系统需具备完善的缺药预警与自动流转机制。发药机内一旦缺药，系统自动提示并生成补药单。药房人员依据补药单领取药品放入补充缓存装置（支持无序多品种混合放入后由系统自主抓取/识别，或支持整盘/整箱规则放置后由系统批量高效入库），后续的识别与上架全过程无需人员持续干预。（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3.无缝对接：全自动补药机必须与发药机控制系统及物理通道实现无缝对接。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4.占地限制：含在总体要求中。</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大容量与混合缓存机制：具备一定容量进药预缓存系统，可一次性存放总量≥2000盒的常规药品。缓存区支持药品的无序多品种混合堆放，或高密度整位/矩阵缓存。且扫描进药与机械机构自动上药必须可同步进行，互不等待。（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6.抓取与上药技术：补药方式采用高效的自动化机械机构（如协作机械臂抓取、真空吸盘、推杆或自动平移轨道等成熟技术）进行自动上药。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7.▲综合补药效能：支持批量自动补药或多品种自动分拣补药，综合补药处理效率必须匹配发药机满载运行需求，全自动补药速度≥700盒/小时。（提供具有国家认证的第三方检测报告证明）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8.自主分拣与多任务并行：具备在无人值守情况下自主分拣并向发药机输送药品的能力。全自动预补药工作、加药上架动作与前端发药机的出药动作互不干涉，三者可完全同步进行。（提供相关证明材料）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9.全自动扫码与品种识别：进药自动检测系统需能全自动进行药品的身份识别与确认（支持多维视觉AI识别，或高速条形码/二维码扫描识别），全过程无需人工逐盒确认。（提供实物图片或技术说明书证明）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异常拦截与错误自排除：具备防呆防错及异常隔离机制。系统能自动拒绝错误药品或破损包装进入主机通道（自动回收或剔除至异常品隔离区）；在剔除异常品后，设备无需人工干预即可自动继续进行下一种或下一盒药品的添加作业。（提供设备运行照片并说明工作原理及剔除机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11.机械灵活性要求：内部补药机械机构（分拣机器人或传输模组）需运行平稳、定位精准，满足所有常规盒型药品的安全加药规则，杜绝运行中挤压破损。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12.人机混动无缝衔接：全自动补药机的自动流转程序可与发药机的人工批量/应急补药动作进行逻辑层面的无缝衔接，不产生系统冲突。</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品目四：全流程整处方传输与出药缓冲系统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1.前端发药通道与出药缓冲装置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材质与防损结构：主体支撑框架需采用优质钢材。必须配备可靠的物理缓冲结构（包容并支持螺旋滑道、垂直升降机构或柔性缓冲传输带等各家成熟方案），确保药品从发药机高处流转至下方的过程中达到“零物理破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（2）防阻碍净空设计：前端发药传输通道的空间布局必须合理，能够让药师在药房内的正常直立行走与人工作业，杜绝安全隐患。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（3）平滑衔接：前端出药缓冲需与后端主传输线高度协同，实现药品出机后的无缝、无助力平滑过渡。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2.后端整处方主传输线</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（1）传输方式与速度：采用皮带式、辊筒式或同等平稳传输结构的自动化流水线。传输速度支持动态可调（提供相关证明材料）。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（2）承载力与精度：单处方（或单药筐）最大承载重量≥5kg；保证传输及停靠定位精度（提供相关证明材料）。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（3）并行与吞吐能力：主线需支持并发传输及分配的发药窗口数量≥6个；单条传输线最大处方综合处理能力≥350张/小时（提供相关证明材料）。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（4）运行环境标准：设备运行噪音需严格控制，满载运行时噪音≤60dB (A)（提供相关证明材料），确保药房工作环境符合职业健康要求。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3.智能化流转闭环与系统对接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（1）整处方自动流转：系统需实现药品出机后自动完成装盒/入筐，并根据中控系统的智能调度指令，将装载整处方药品的药筐精准分配并输送至对应的空闲发药窗口，同时具备声光或屏幕提示提醒药师取药。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（2）防拥堵与异常监控：支持多窗口并行独立传输，具备物理设计及算法层面的防拥堵机制。系统后台可实时监控药筐传输状态，遇卡阻或异常情况需能自动报警并在界面上精准定位故障节点。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（3）空筐自动回收系统：配套空智能药筐的自动回收流转底线/支线，实现空筐从药师窗口自动回流至发药机补充端的全闭环流转，全程无需人工搬运。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（4）系统协同与追溯：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1）上下游打通：向上必须与医院现有 HIS/电子处方系统无缝对接（实现处方自动调取、发药状态实时回写）；向下与发药机系统底层打通，出药完成即自动触发传输动作。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2）开放接口：提供开放各类所需接口，全面对接医院自动化药房管理系统，接口联调费用由中标方承担。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3）日志留存：所有药筐的流转轨迹及操作日志需全程记录，并支持条件检索与追溯，数据本地保存期限≥3年。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品目五：直发窗口追溯码采集系统</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1.自动六面扫码，不增加药品流转时间；</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2.可将扫码结果分屏至使用窗口，提示药师扫码结果；</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3.有错误的情况下单独醒目提示。</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品目六：窗口缓存架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1.总缓存量：药筐自动缓存量：≥ 12个。</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2.独立感应：所有自动缓存货位具备独立传感器，可自动感知新到药筐和被取走药筐情况。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3.即拿即走：可拿取任意一个自动货位上的当前患者药筐，无需另行识别药筐信息。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4.工作量统计：具备药师工作卡读卡装置，可对后台调配药师进行工作量的统计。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5.追溯体系：具备对后台药师所调配处方进行追溯功能。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品目七：智能药篮及处方绑定交互系统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1.智能药筐与定位系统：智能药筐配置数量需≥250个。必须具备高精度智能药筐定位功能，系统后台可实时追踪每个药筐的位置与状态。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药筐流转防混机制：智能药筐必须具备唯一识别码（RFID或底部二维码）。药篮与处方信息唯一绑定，可通过传输系统自由流转至任意发药窗口，无需固定存放位置。当同一患者的处方被分配到多个药筐时，系统必须有物理或电子防错机制，同时实时对应到相对应的病人，确保窗口药师及时定位，确保合单发药时不会与其他患者的药筐混淆。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3.续航能力：采用可充电锂电池，满电累计连续使用≥12天（提供相关证明材料）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4.指示功能：具备红/绿等颜色的双色自发光指示灯，亮度可调节，可视距离适宜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5.识别方式：支持 RFID 射频识别，识别准确率≥99.99%</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6.单篮最大承载：≥4kg，适配绝大多数门诊处方药品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7.核心功能要求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（1）取药提示：药篮到达指定窗口后自动亮灯提示，药师取药完成后灯光自动熄灭</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（2）状态实时监控：系统可实时显示所有药篮的位置、电量、对应处方号、药品信息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（3）低电量预警：药篮电量低于 20% 时自动提示充电，充电时间能够不影响第二天使用；整体设计需节省空间、操作省力。供电方案优选多筐叠加式无线/有线快速充电方式，次选可拆卸电池充电方式。电池需具备长续航能力，且在衰减或出现故障时，支持药房人员快速便捷地进行更换。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（4）智能识别系统软件：实现药篮管理、处方绑定、状态监控、数据统计功能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（5）无线基站：覆盖整个药房区域，实现药篮与系统的实时无线通信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（6）专用服务器：存储药篮运行数据与操作日志，日志保存≥3 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（7）自发光智能药筐：采用高强度医疗级材料，具备优异的抗冲击性、耐磨性及防静电特性，确保内部 RFID 芯片及电子元件安全。材质需耐酸碱腐蚀，表面光滑无死角，完全符合医院院感日常消毒要求。可堆叠存放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品目八：排队叫号及自助签到系统（含控制软件及终端硬件）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1.系统核心控制与调度功能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（1）自动联动叫号：系统需与本次招标的自动化发药系统无缝对接，当处方药品在发药机内完成调配并传输至窗口时，系统自动触发叫号，实现“药等患者”，无需药师手动干预。</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（2）★智能窗口调度：系统具备智能分配算法，可自动将处方及患者分配至空闲或排队较少的发药窗口，均衡各窗口工作量，有效避免单窗口排队过长。</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（3）优先叫号功能：支持排队规则自定义，能够针对急诊处方、绿色通道、老年人、孕妇、残疾人等特殊人群设置优先叫号规则。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（4）人工干预功能：支持药师端的手动接管，包含手动叫号、重呼、过号处理、特殊插队叫号等功能。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（5）统计报表功能：后台可自动生成日/月叫号量、患者平均等待时间、各窗口/药师工作量等统计分析报表。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（6）自定义设置：支持对叫号语音内容、显示屏排版格式、排队及过号规则进行院方自定义配置。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（7）系统对接要求：供货方需提供开放 API 接口，负责与医院现有 HIS 系统无缝对接（自动获取患者处方及身份信息），及与药房发药系统底层联动，相关接口开发费用由中标方承担。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2.自助取号/签到终端（硬件设备，配置2台）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（1）整机与屏幕：配备工控级稳定主机（适应医院 0℃~40℃ 大厅环境，运行无卡顿），采用主流大尺寸电容式触摸屏（分辨率≥1920×1080），支持多点触控。患者端功能主打便捷签到/取号。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（2）多介质识别模块：内置综合识读设备，支持缴费单条形码(保留二代身份证、实体医保卡、电子医保凭证/电子健康码功能)的快速识别。界面需简洁明了。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（3）自助取号与自动排队：患者通过刷卡/扫码成功签到后，系统自动将其加入后台排队队列，并同步联动前台大屏与叫号逻辑。支持语音及画面双重提示操作，引导患者完成取号流程。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（4）凭证打印系统：内置防卡纸设计的高速热敏打印机，纸卷容量需满足门诊高峰期使用。打印凭证内容需至少包含：患者姓名、取药号、当前等待人数等（支持自定义模板及添加医院 Logo）。</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（5）智能预警与自检：设备具备开机硬件自检功能（异常自动报警）；打印机纸量不足时，系统需自动弹窗提示并向后台管理人员发送缺纸预警。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3.窗口显示与外设交互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（1）语音播报系统：支持标准普通话清晰播报，音量 0-100% 独立可调，外放声场需清晰覆盖整个取药大厅，支持语音叫号与屏幕显示同步联动。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（2）综合显示屏：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1）主叫号大屏：支持显示当前叫号、等待叫号列表、各窗口开放状态及院方温馨提示等综合信息。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2）窗口条屏：每个发药窗口配置 1 台 LED 或 LCD 窗口显示屏，患者能够在清晰看到当前窗口号及正在办理的患者姓名/取药号（敏感信息可按 HIS 要求做脱敏隐藏处理）。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3）药师呼叫外设：每个发药窗口需配置呼叫控制端（支持物理实体叫号按键器或系统软件界面一键叫号面板），支持一键叫号、重呼、过号等高频操作。系统整体响应时间≤1 秒。</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品目九：自动化药房管理系统软件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1.统一设备管理：集中管控本次招标所有自动化设备（发药机、补药机、回转药柜、传输系统、缓存机等），实时监控设备运行状态。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2.全流程药品追溯：记录每盒药品从入库到发药的全生命周期轨迹，支持批号、效期、操作人全程追溯。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3.★智能库存管理：自动生成补货计划，支持动态盘点、静态盘点，库存准确率100%</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4.处方智能调度：根据窗口工作量、处方类型自动分配处方，均衡负载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5.多用户权限管理：按角色分配不同操作权限，操作日志不可篡改，保存≥3 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6.丰富报表功能：自动生成库存、发药、工作量、效期等各类统计报表，支持导出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7.异常报警管理：设备故障、药品过期、库存不足、冷链异常等情况自动声光报警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8.数据呈现：各环节实时数据展现在中心屏幕上</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9.系统对接要求：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（1）与医院现有系统无缝对接，实现处方自动获取、发药状态实时回写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（2）★与本次招标所有硬件设备原生对接，无需第三方中间件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（3）提供开放 API 接口，支持后续功能扩展与新设备接入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（4）支持数据自动备份与异地备份，保障数据安全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品目十：手边药品小推车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1.整体尺寸：合适大小且能适配发药窗口侧边空间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2.层数：≥2 层开放式置物层，整体高度≥1米；层间距、整体高度可调节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3.单层最大承重：≥20kg，满足大输液等重质药品存放需求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4.移动轮：配备 4 个静音万向轮，其中2个带刹车装置，推行无噪音、固定稳固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5.配备双侧扶手，方便推动；边角全部做圆角处理，防止磕碰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6.功能与配置要求：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7.每层配备可移动分隔板，支持药品灵活分类摆放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8.预留标签卡槽，可清晰标注药品名称与规格</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9.整体结构稳固，满载推行时无晃动、无异响</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10.闲置时可堆叠存放，节省药房空间</w:t>
      </w:r>
      <w:r/>
    </w:p>
    <w:p>
      <w:pP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品目十一：卷门药柜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1.整体尺寸：约1800mm（高）×1200mm（宽）×500mm（深），±5%误差范围之类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2.层数：6 层，层间距可调节，单层承重≥80kg</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3.锁具：配备双锁防盗装置，实行双人双锁管理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4.卷门：采用金属卷帘门，关闭时完全封闭柜体，防尘、防潮、避光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5.每层配备标签卡槽与分隔板</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品目十二：普通药品货架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1.整体尺寸：约2000mm（高）×1200mm（宽）×500mm（深），±5%误差范围之类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2.层数：6 层，层间距约300mm（固定），±5%误差范围之类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3.单层最大承重：≥50kg</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4.材质：立柱采用≥1.5mm 冷轧钢板，层板采用≥1.0mm 冷轧钢板，表面静电喷塑抗菌处理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5.每层配备标签卡槽，清晰标注药品信息</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品目十三：可调节货架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1.专门用于存放不同尺寸规格的药品，层板高度可灵活调整，最大化利用存储空间。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2.核心技术参数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（1）整体尺寸：2000mm（高）×1200mm（宽）×500mm（深）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（2）层数：6 层，层间距 50mm 一档任意调节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（3）单层最大承重：≥80kg</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（4）配备专用层板卡扣，调节便捷且固定牢固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（5）每层配备可移动分隔板，支持药品灵活分类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品目十四：单剂量分包机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1.★分包速度与分装准确率：≥60 袋/分钟，提供第三方检测报告。分装准确率≥99%，提供近3年3家及以上三级医院实际运行数据证明。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2.▲储药盒数量：系统标配有效储药盒（药仓）数量≥350个，支持特殊药品的手工半自动加药托盘（DTA），支持不同规格圆形/椭圆形药片、胶囊及异形片剂存储。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3.包装形式：四边封独立药袋，具备防尘、防潮、密闭封装环境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4.药袋打印信息：自动打印患者姓名、床号、住院号、药品名称、规格、剂量、服用时间、批号、效期及追溯二维码（内容可自定义）。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5.识别系统：内置药盒芯片识别系统，自动检测药品位置错误并终止流程。药品更换厂家后可免费维护更新相关信息。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6.支持半粒药/掰片药手工入药功能，配备专用手工入药轨道。</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7.运行噪音：≤65dB (A)，提供相关证明材料。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8.HIS 系统无缝对接：实时读取医院 HIS 系统医嘱数据，支持长期医嘱、临时医嘱、首日量、出院带药等全类型医嘱自动处理，无丢包、无乱码。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9.批号与效期管理：按批号先进先出自动发药，支持二维码全程追溯，临近效期药品自动预警，过期药品自动锁定。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10.▲智能核对功能：内置多重核对机制，自动检测错药、漏药、多药情况，异常时立即声光报警并做标识。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11.断网断电保护：断网时支持本地缓存医嘱继续分包，恢复网络后自动同步数据；断电后数据不丢失，来电后支持断点续包。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12.库存管理：自动统计药品库存，低于安全库存时自动提醒补货，生成库存报表。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13.操作日志追溯：自动记录所有操作人、操作时间、分包记录、异常情况，日志保存时间≥3 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耗材开放性声明：投标机型必须支持使用符合国家医疗标准及医院感控要求的市面通用耗材（包含但不限于包药纸、打印碳带等），严禁通过硬件芯片加密、软件锁死等任何技术手段强制绑定独家品牌耗材。中标后若发现耗材垄断，院方有权无条件退机并追究违约责任。（提示：①确定整套耗材单价；②费用打分权重上，耗材分数要比机器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15.近 3 年具有 3 家及以上三甲综合医院或精神专科医院同类项目业绩，且单院日均分包量≥2000 袋，提供合同复印件及验收报告。</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品目十五：方形密封盒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1.尺寸：约200mm×200mm×150mm，±5%误差范围之类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2.材质：食品级 PP 材质，无毒无味，耐酸碱，实现整体遮光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3.密封性能：硅胶密封圈，防潮、防尘、避光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4.配备标签卡槽，标注药品名称、规格、批号、效期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品目十六：长方形密封盒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1.尺寸：约400mm×200mm×150mm，±5%误差范围之类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2.材质：食品级 PP 材质，无毒无味，耐酸碱，实现整体遮光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3.密封性能：硅胶密封圈，防潮、防尘、避光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4.配备标签卡槽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5.可堆叠存放，节省空间</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品目十七：中号塑料方盆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1.尺寸：约300mm×200mm×100mm，±5%误差范围之类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2.材质：食品级 PP 材质，安全无毒，耐磨损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3.耐温范围：-20℃~120℃，可高温消毒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4.边角圆润，无毛刺，方便手持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5.可堆叠存放，便于清洁</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品目十八：智能毒麻药品管理柜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1.模块化与占地控制：设备外观与占地面积需适配药房现场空间。需采用模块化设计，支持针剂、盒装、瓶装等多种包装形态药品的混合存放与发放，并支持后期按需增加扩展副柜。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支/单剂量精准管控：支持精确到单支（针剂）的独立管控与发放；支持精确到单粒级别的管控。非授权状态下的其他药品保持严密的物理隔离或锁定状态，避免多拿、错拿及连带夹带。（提供实物照片或技术说明书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双保险授权防范：必须严格符合国家毒麻精放药品“双人双锁”管理规范。具备高强度的物理锁具及电子身份认证（支持双指纹、人脸识别、静脉或双账号密码等形式组合）双重防范机制。系统须自动记录所有开关门及取药动作日志，并提供相应的声光或语音防错提示。机器需自带摄像头，存储内容需要≥180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严密应急兜底机制：具备在全院断电或网络宕机极端情况下的“机械双人双锁”应急开柜取药机制。同时软件必须支持急救状态下的“无医嘱紧急借药/提前拿药”模式，并在事后强制进行账目与医嘱的闭环核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5.精麻管理核心软件与闭环：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（1）深度对接：核心控制软件需与院方 HIS、电子处方及精麻管理系统深度原生对接。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（2）库存管理：支持库存的实时动态盘点与日结盲盘。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（3）▲防混淆机制：系统需具备严格的并发处方防混淆控制逻辑（例如：在当前操作者的发药处方未完成确认前，系统强制挂起、隔离或拦截新处方的加工作业，确保一处方一清）。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（4）效期与追溯：具备效期自动预警功能（近效期、过期红黄警示），并能自动生成符合卫健委审计要求的全面药品流转与人员操作追溯报表。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品目十九：智能回转药柜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1.回转定位精度：回转定位精准，停靠偏差≤±3mm。</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2.单循环回转速度：单循环（或单次调取）速度≤15秒/层。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3.支持双电机冗余驱动：一套电机故障时另一套可独立运行。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4.支持断电手动回转功能：断电后可手动摇转柜体取药。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5.单柜有效存储层数：≥30 层具体需根据医院药房实际净层高进行量身定制与极限利用）。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6.单层最大承载重量：≥20kg。</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7.支持自动旋转定位取药：输入/扫描药品名称/条码后，对应药格自动旋转至取药口。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8.支持动态盘点功能：边取药边自动盘点，不影响正常使用。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9.支持批量补药功能：可一次性批量补入同品种药品，系统自动分配仓位。</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10.支持效期管理：临近效期药品自动预警，过期药品自动锁定。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11.支持库存预警：低于安全库存自动提醒补货。</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12.柜体、回转链条使用寿命≥10 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13.▲配备急停按钮、防夹手保护、过载保护、漏电保护；取药口配备安全光幕，异物进入时自动停止运行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14.支持多用户权限管理：不同角色分配不同操作权限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15.支持操作日志追溯：自动记录所有操作人、操作时间、操作内容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16.支持报表生成：自动生成库存报表、出入库报表、效期报表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17.支持与医院现有 HIS 系统无缝对接，实现处方自动调取、库存实时同步（参照总体基本要求）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18.支持与医院自动化药房管理系统对接，实现与发药机、补药机数据互通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19.数据安全：支持数据自动备份与恢复；支持数据加密存储；支持操作日志不可篡改</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品目二十：设备安装相关装修改造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1.满足设备使用需求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2.所有改造工程符合国家相关建筑施工规范与电气安全规范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3.满足设备安装调试的所有技术要求，不影响设备正常运行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4.施工完成后场地清洁整齐，无安全隐患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5.提供完整的竣工图纸与验收资料</w:t>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numPr>
          <w:ilvl w:val="0"/>
          <w:numId w:val="6"/>
        </w:num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商务要求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eastAsia="宋体" w:cs="宋体"/>
          <w:b/>
          <w:bCs/>
          <w:sz w:val="24"/>
          <w:szCs w:val="24"/>
        </w:rPr>
        <w:t xml:space="preserve">质保期与全免费承诺：</w:t>
      </w:r>
      <w:r>
        <w:rPr>
          <w:rFonts w:hint="eastAsia" w:ascii="宋体" w:hAnsi="宋体" w:eastAsia="宋体" w:cs="宋体"/>
          <w:sz w:val="24"/>
          <w:szCs w:val="24"/>
        </w:rPr>
        <w:t xml:space="preserve"> 整机及所有配套子系统（含主发药机、嵌入式系统、智能药筐、麻精柜及调配终端等）全免费质保≥5年（自最终验收合格之日起算）。质保期内包含所有人工、零配件更换、日常巡检维修、系统维护及软件升级的所有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 </w:t>
      </w:r>
      <w:r>
        <w:rPr>
          <w:rFonts w:hint="eastAsia" w:ascii="宋体" w:hAnsi="宋体" w:eastAsia="宋体" w:cs="宋体"/>
          <w:b/>
          <w:bCs/>
          <w:sz w:val="24"/>
          <w:szCs w:val="24"/>
        </w:rPr>
        <w:t xml:space="preserve">响应时效与应急处理：</w:t>
      </w:r>
      <w:r>
        <w:rPr>
          <w:rFonts w:hint="eastAsia" w:ascii="宋体" w:hAnsi="宋体" w:eastAsia="宋体" w:cs="宋体"/>
          <w:sz w:val="24"/>
          <w:szCs w:val="24"/>
        </w:rPr>
        <w:t xml:space="preserve"> 提供7×24小时技术支持服务。（1）远程响应：接报修后≤0.5小时内响应并提供解决方案。 （2）现场响应：如远程无法解决，工程师须在接到报修后≤3小时到达我院现场进行抢修。 （3）宕机补偿（新增）： 质保期内，因设备本身质量或软件系统缺陷导致系统整体瘫痪单次超过24小时的，停机 1 天，原质保期顺延 3 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b/>
          <w:bCs/>
          <w:sz w:val="24"/>
          <w:szCs w:val="24"/>
        </w:rPr>
        <w:t xml:space="preserve">驻场保障服务：</w:t>
      </w:r>
      <w:r>
        <w:rPr>
          <w:rFonts w:hint="eastAsia" w:ascii="宋体" w:hAnsi="宋体" w:eastAsia="宋体" w:cs="宋体"/>
          <w:sz w:val="24"/>
          <w:szCs w:val="24"/>
        </w:rPr>
        <w:t xml:space="preserve">鉴于门诊药房业务的特殊性与连续性，设备正式上线运行后的3个自然月内，中标人必须指派1名熟练的驻场工程师全天候在药房现场值守保障，确保突发卡药、系统卡顿或操作失误时能“秒级”介入处理，平稳度过磨合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 </w:t>
      </w:r>
      <w:r>
        <w:rPr>
          <w:rFonts w:hint="eastAsia" w:ascii="宋体" w:hAnsi="宋体" w:eastAsia="宋体" w:cs="宋体"/>
          <w:b/>
          <w:bCs/>
          <w:sz w:val="24"/>
          <w:szCs w:val="24"/>
        </w:rPr>
        <w:t xml:space="preserve">服务网点与备件保障</w:t>
      </w:r>
      <w:r>
        <w:rPr>
          <w:rFonts w:hint="eastAsia" w:ascii="宋体" w:hAnsi="宋体" w:eastAsia="宋体" w:cs="宋体"/>
          <w:sz w:val="24"/>
          <w:szCs w:val="24"/>
        </w:rPr>
        <w:t xml:space="preserve"> ：（1）服务网点：投标人（或生产厂家）须在江苏省内设有合法注册的售后服务网点及零配件仓库，须提供营业执照或房产租赁证明。 （2）备件保障：质保期内，中标人须在江苏省内服务网点常备设备关键易损耗备件（如：主控板、电机、机械臂抓手、轨道皮带、光电传感器、智能药筐备件等），确保故障修复时效，绝不因“等待原厂发件”而延误抢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5. </w:t>
      </w:r>
      <w:r>
        <w:rPr>
          <w:rFonts w:hint="eastAsia" w:ascii="宋体" w:hAnsi="宋体" w:eastAsia="宋体" w:cs="宋体"/>
          <w:b/>
          <w:bCs/>
          <w:sz w:val="24"/>
          <w:szCs w:val="24"/>
        </w:rPr>
        <w:t xml:space="preserve">政策性系统维护与免费升级</w:t>
      </w:r>
      <w:r>
        <w:rPr>
          <w:rFonts w:hint="eastAsia" w:ascii="宋体" w:hAnsi="宋体" w:eastAsia="宋体" w:cs="宋体"/>
          <w:sz w:val="24"/>
          <w:szCs w:val="24"/>
        </w:rPr>
        <w:t xml:space="preserve">：免费提供软硬件系统的长期升级及与 HIS/合理用药/电子医保凭证系统的接口维护服务。特别承诺：未来因国家、江苏省或泰州市的医保及药监政策变动（如医保追溯码规则变更、前置审核规则改变等）而需要进行的接口修改与软件升级，无论是否在质保期内，中标人均须免费提供，不得以任何理由收取开发费或接口维护费。</w:t>
      </w:r>
      <w:r/>
    </w:p>
    <w:p>
      <w:pPr>
        <w:pStyle w:val="964"/>
        <w:numPr>
          <w:ilvl w:val="0"/>
          <w:numId w:val="7"/>
        </w:num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多层级培训服务：</w:t>
      </w:r>
      <w:r>
        <w:rPr>
          <w:rFonts w:hint="eastAsia" w:ascii="宋体" w:hAnsi="宋体" w:eastAsia="宋体" w:cs="宋体"/>
          <w:sz w:val="24"/>
          <w:szCs w:val="24"/>
        </w:rPr>
        <w:t xml:space="preserve"> 免费为我院药学部及设备处提供专业培训，直到人员完全掌握并签字确认。培训分为： （1）操作药师培训：日常发药操作、智能药筐更换、直发/混发模式切换、简单卡药处理及应急预案演练。（2）管理人员培训：智慧后台管理、数据统计报表导出、库存预警设置、权限分配等。（3）设备科培训：硬件日常巡检保养、易损件更换及常规故障排查。</w:t>
      </w:r>
      <w:r/>
    </w:p>
    <w:p>
      <w:pPr>
        <w:pStyle w:val="964"/>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7.接口要求：</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7.1接口开发费用包含在投标报价中，中标人不得以任何理由另行收费。</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7.2中标人须在设备验收后30日内，向采购人提供完整的接口技术文档（包括接口协议、数据结构、调用方式等）。</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7.3中标人须承诺设备投入使用后，无条件配合采购人未来HIS升级或其他信息系统对接，不得另行收费。</w:t>
      </w:r>
      <w:r/>
    </w:p>
    <w:p>
      <w:pPr>
        <w:pStyle w:val="96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8.配送与安装：</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8.1中标人负责将设备免费运送至采购人指定地点，并承担运输、保险、装卸等全部费用。</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8.2中标人须在接到采购人安装通知后7日内派工程师到场安装调试。</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8.3安装调试期间，中标人须遵守医院相关管理规定，做好现场防护，不得影响医院正常诊疗秩序。</w:t>
      </w:r>
      <w:r/>
    </w:p>
    <w:p>
      <w:pPr>
        <w:pStyle w:val="96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9.保密要求：</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9.1中标人须与采购人签订《保密协议》，对接触到的患者信息、药品处方信息、HIS系统数据等承担严格保密义务。</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9.2未经采购人书面同意，中标人不得将上述数据用于任何商业目的或泄露给第三方。</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9.3违反保密义务的，中标人须承担由此造成的一切法律责任和经济损失。</w:t>
      </w:r>
      <w:r/>
    </w:p>
    <w:p>
      <w:pPr>
        <w:pStyle w:val="96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10.知识产权归属：</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10.1设备硬件及内置软件的知识产权归中标人（或原厂）所有。</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10.2接口开发中产生的适配性代码及文档，中标人须向采购人开放使用权，采购人可无偿用于系统维护和升级。</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10.3因本项目产生的、专门为采购人定制开发的功能模块，其知识产权归属由双方另行约定，但中标人不得以此为由限制采购人对设备的使用。</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11.付款方式：</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1.所有设备安装调试完毕后，采购人收到供应商出具的合法有效发票后，于30个工作日内支付合同总价款的30%。</w:t>
      </w:r>
      <w:r/>
    </w:p>
    <w:p>
      <w:pPr>
        <w:ind w:right="-119"/>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 系统稳定运行3个月以上并验收合格后，采购人收到供应商出具的合法有效发票后，于30个工作日内支付合同总价款的60%。 </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 自验收合格满一年后，设备无运行障碍且售后服务到位，采购人收到供应商出具的合法有效发票后，于7个工作日内无息付清合同总价款的10%。</w:t>
      </w:r>
      <w:r/>
    </w:p>
    <w:p>
      <w:pPr>
        <w:numPr>
          <w:ilvl w:val="0"/>
          <w:numId w:val="8"/>
        </w:num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履约保证金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12.1合同签订前支付合同总金额的5%作为履约保证金。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12.2履约保证金以银行转账、保函或采购人认可的其他形式提交。</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highlight w:val="none"/>
        </w:rPr>
        <w:t xml:space="preserve">.3验收合格且</w:t>
      </w:r>
      <w:r>
        <w:rPr>
          <w:rFonts w:hint="eastAsia" w:ascii="宋体" w:hAnsi="宋体" w:eastAsia="宋体" w:cs="宋体"/>
          <w:sz w:val="24"/>
          <w:szCs w:val="24"/>
        </w:rPr>
        <w:t xml:space="preserve">中标人无未了结的违约事项后，采购人于30个工作日内无息退还履约保证金。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12.4中标人出现下列情形之一的，采购人有权扣除部分或全部履约保证金：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（1）未按合同约定时间交货，逾期超过7天；</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（2）最终验收不合格，且未在整改期内完成整改；</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（4）违反耗材兼容性承诺，设置技术壁垒限制使用通用耗材。</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13.违约金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13.1交货逾期：每逾期一天，按合同总价的0.5%支付违约金。逾期超过15天，采购人有权单方解除合同，没收履约保证金。</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13.2验收不合格：中标人须在7日内完成整改；整改后仍不合格的，采购人有权解除合同，没收履约保证金，并要求赔偿全部损失。</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13.3售后违约：未在规定时间内到达现场的，每次扣合同总价的0.5%。累计超过3次，采购人有权委托第三方维修，费用由中标人承担。</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13.4耗材违约：违反耗材兼容性承诺，设置技术壁垒限制使用通用耗材的，采购人有权解除合同，没收履约保证金，并追究法律责任。</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14.到货与安装验收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实物核对：检查设备铭牌、型号与合同及投标文件一致。若包含属于医疗器械管理的部件，须核对《医疗器械注册证》。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清单核对：按照招标文件和合同清单，逐项核对快速发药主机、嵌入式高频发药系统、智能药筐（≥250个）、配套小推</w:t>
      </w:r>
      <w:r>
        <w:rPr>
          <w:rFonts w:hint="eastAsia" w:ascii="宋体" w:hAnsi="宋体" w:eastAsia="宋体" w:cs="宋体"/>
          <w:color w:val="auto"/>
          <w:sz w:val="24"/>
          <w:szCs w:val="24"/>
        </w:rPr>
        <w:t xml:space="preserve">车（6辆）</w:t>
      </w:r>
      <w:r>
        <w:rPr>
          <w:rFonts w:hint="eastAsia" w:ascii="宋体" w:hAnsi="宋体" w:eastAsia="宋体" w:cs="宋体"/>
          <w:sz w:val="24"/>
          <w:szCs w:val="24"/>
        </w:rPr>
        <w:t xml:space="preserve">、打印与贴签终端、通用耗材（打印纸、碳带），以及整体方案内包含的智能麻精柜、智能调配终端等配套设备。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14.3 外观与机械检查：表面无划痕，轨道、机械臂、传送带、加药抽屉及各活动部件平整、顺滑，无卡顿干涉。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 性能实测验收（核心）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14.4.1 效率与并发实测：在门诊业务高峰期或模拟高负荷状态下，连续运行60分钟。实测6个发药窗口独立并发处理能力，确认是否出现排队阻塞，总体发药速度必须≥药房原人工发药峰值速度。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准确率验证：随机抽取并追踪≥500张不同类型的处方（含单品种、多品种混合、大体积包装等），统计调配准确率。若出现1次药品错发或漏发，视为本项验收不合格。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14.4.3 防呆与拦截验证（智能纠错）：人为将药品扫码后放入错误槽位或轨道，测试设备加药系统是否100%识别、报警并物理锁定该通道禁止出药。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14.5 柔性传输与扫码测试：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14.5.1防损测试： 模拟同一批次大量体积较大药品出药，验证系统是否能自动分批次转运，确保不因药筐过载而导致机器内部挤压、药品破损。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14.5.2扫码测试： 随机投入带有国家医保追溯码的药品，验证系统扫码准确率是否达100%，且单盒扫码耗时低于人工高拍仪操作。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14.6.系统对接与压力测试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14.6.1 数据闭环测试：模拟对接HIS系统及合理用药系统，发送各类门诊医嘱（含常规处方、急诊处方、儿科处方）。验证设备实时接收、库存精准扣减、医嘱状态回传等逻辑是否正确；测试“患者退号/退药”时，系统能否及时拦截未发出的药品。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14.6.2 断网与灾备续传：人为切断网络或服务器连接10分钟后恢复，验证设备本地数据缓存及断点续发能力，确保处方数据不丢失、不重复发药。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14.6.3 模式动态切换测试：验证系统后台能否按需无缝将指定窗口的属性在“直发模式”与“混发模式”之间进行切换，且不影响正在流转的药筐。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14.7. 试运行期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14.7.1 安装调试并联调完毕后，设置连续30天的科室真实试运行期。试运行期内设备须承接门诊药房实际业务，由药学部人员实际上机操作。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14.7.2 故障率要求：试运行期间，非人为原因导致的严重机械/软件故障（如主轨道卡死、机械臂宕机、大面积软件瘫痪）次数不得超过 2次。单次导致全线停机无法发药超过 4小时，试运行期须重新计算。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14.7.3 培训与考核：药学部操作人员需通过厂家系统培训，能独立完成日常开机/结账、上药/加药、直发混发切换、卡药清理及简单故障排除。须提供详细的培训大纲、签到表及考核合格记录。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14.8 最终验收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14.8.1 试运行期满，且试运行期间发现的所有软硬件问题均已由厂家整改完毕后，由采购人组织院内验收小组签署最终验收报告。</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14.8.2 退货条款：如设备在试运行期间反复出现重大故障，或各项核心指标（如发药速度、防呆拦截、追溯码上传）始终无法满足科室招标时的既定要求，采购人有权作退货退款处理，由此造成的院方损失及拆装清运费用均由中标方承担。</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★15.耗材兼容性要求（下述要求投标人请单独提供承诺函，无需在商务偏离表中响应）</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投标人须在投标文件中提供《耗材兼容性承诺函》，格式及内容要求如下：</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《耗材兼容性承诺函》</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致：____________________（采购人名称）</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我方作为____________________（项目名称）的投标人，郑重承诺如下：</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通用耗材兼容：本次投标所供全自动单剂量分包机（型号：____________________）完全兼容通用开放式耗材，包括但不限于包装膜和碳带。设备不设置任何形式的专用芯片、加密狗、电子识别码、物理结构限制或其他技术壁垒，以阻止或限制医院使用符合国家标准的非原厂耗材。</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质保不受影响：我方承诺，医院使用符合国家标准的通用耗材，不会影响设备的正常性能，也不会导致设备质保服务失效、系统功能受限或软件升级受阻。</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价格锁定：我方承诺，质保期内，如医院选择采购我方供应耗材，供货价格不高于投标报价中列明的单包成本。</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违约后果：如我方违反上述承诺，包括但不限于设备在使用通用耗材时出现性能下降、系统报错、质保被单方面终止、或设置任何形式的技术限制，采购人有权：视为我方虚假应标，取消中标资格或解除合同；没收履约保证金；列入医院供应商黑名单，通报上级主管部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追究我方相应法律责任。</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本承诺函作为投标文件的组成部分，与投标文件具有同等法律效力。</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投标人名称（加盖公章）：____________________</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法定代表人或授权代表（签字）：____________________</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日期：____________________</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16接口开发费用条款（下述两项投标人请单独提供承诺函，无需在商务偏离表中响应）</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★16.1接口费用承诺</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投标人须在投标文件中提供《接口费用承诺函》，格式及内容要求如下：</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《接口费用承诺函》</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致：____________________（采购人名称）</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我方作为____________________（项目名称）的投标人，就本项目涉及的HIS系统对接事宜，郑重承诺如下：</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费用包含：本项目投标总价已包含与医院HIS系统对接所需的全部费用，包括但不限于接口开发、调试、测试、文档编制及后续维护费用。我方承诺在合同履行过程中，不以任何理由（包括但不限于接口复杂、需求变更、系统升级等）向采购人另行收取接口相关费用。</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2.费用明细（供参考，不作为收费依据）：</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接口开发费：______元</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接口调试费：______元</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接口文档编制费：______元</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接口维护费（质保期内）：______元</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本承诺函作为投标文件的组成部分，与投标文件具有同等法律效力。</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长期接口维护承诺</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中标人须在投标文件中提供《长期接口维护承诺函》，格式及内容要求如下：</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《长期接口维护承诺函》</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致：____________________（采购人名称）</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我方作为____________________（项目名称）的投标人，就本项目涉及的HIS系统接口长期维护事宜，郑重承诺如下：</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1.质保期内：质保期内，我院HIS系统如发生升级、变更或替换，我方承诺无条件配合接口适配调整，确保设备与HIS系统的正常对接，不另行收取任何费用。</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2.质保期满后：质保期满后，我院HIS系统如发生升级、变更或替换，我方承诺：</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①提供接口适配调整服务，仅收取合理人工成本（按实际工时×______元/小时计算）；</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②不设置任何技术壁垒或利用接口捆绑销售；</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③提前30日书面通知采购人接口适配所需时间及费用。</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3.接口开放承诺：我方承诺，不对接口设置任何形式的访问限制、调用次数限制、加密锁或授权机制，确保采购人及采购人授权的第三方能够正常调用接口进行系统维护和开发。</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4.违约后果：如我方违反上述承诺，包括但不限于利用接口技术壁垒拒绝配合、要求不合理高额费用、或设置技术限制的，采购人有权：</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①视为我方严重违约，解除合同；</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②没收履约保证金；</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③列入供应商黑名单。</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本承诺函作为投标文件的组成部分，与投标文件具有同等法律效力。</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日期：____________________</w:t>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numPr>
          <w:ilvl w:val="0"/>
          <w:numId w:val="9"/>
        </w:numPr>
        <w:jc w:val="center"/>
        <w:spacing w:before="0" w:after="0" w:line="240" w:lineRule="auto"/>
        <w:rPr>
          <w:rFonts w:hint="eastAsia"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32"/>
          <w:szCs w:val="32"/>
          <w14:textFill>
            <w14:solidFill>
              <w14:schemeClr w14:val="tx1"/>
            </w14:solidFill>
          </w14:textFill>
        </w:rPr>
        <w:t xml:space="preserve">评标办法及标准</w:t>
      </w:r>
      <w:bookmarkEnd w:id="42"/>
      <w:r/>
      <w:bookmarkEnd w:id="43"/>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一、评标办法：</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shd w:val="clear" w:color="auto" w:fill="ffffff"/>
          <w14:textFill>
            <w14:solidFill>
              <w14:schemeClr w14:val="tx1"/>
            </w14:solidFill>
          </w14:textFill>
        </w:rPr>
        <w:t xml:space="preserve">政府采购政策功能落实</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1、小微型企业价格扣除</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2、残疾人福利单位价格扣除</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3、监狱和戒毒企业价格扣除</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8、采购本国产品的支持政策</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8.3 本项目政府采购活动中既有本国产品又有非本国产品参与竞争的，依法对本国产品给予价格评审优惠，对本国产品的报价给予  20%的价格扣除，用扣除后的价格参与评审。</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8.5 供应商需按照招标文件的要求提供《关于符合本国产品标准的声明函》（以下简称《声明函》），如不提供将不享受本国产品价格评审优惠。</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6"/>
        <w:ind w:firstLine="0"/>
        <w:rPr>
          <w:rFonts w:hint="eastAsia" w:cs="仿宋" w:asciiTheme="minorEastAsia" w:hAnsiTheme="minorEastAsia" w:eastAsiaTheme="minorEastAsia"/>
          <w:b/>
          <w:color w:val="000000" w:themeColor="text1"/>
          <w:sz w:val="24"/>
          <w:szCs w:val="24"/>
          <w14:textFill>
            <w14:solidFill>
              <w14:schemeClr w14:val="tx1"/>
            </w14:solidFill>
          </w14:textFill>
        </w:rPr>
      </w:pPr>
      <w:r/>
      <w:bookmarkStart w:id="44"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14:textFill>
            <w14:solidFill>
              <w14:schemeClr w14:val="tx1"/>
            </w14:solidFill>
          </w14:textFill>
        </w:rPr>
        <w:t xml:space="preserve">： </w:t>
      </w:r>
      <w:r/>
    </w:p>
    <w:tbl>
      <w:tblPr>
        <w:tblStyle w:val="9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110"/>
        <w:gridCol w:w="45"/>
        <w:gridCol w:w="5753"/>
      </w:tblGrid>
      <w:tr>
        <w:trPr/>
        <w:tc>
          <w:tcPr>
            <w:gridSpan w:val="4"/>
            <w:tcW w:w="8522" w:type="dxa"/>
            <w:textDirection w:val="lrTb"/>
            <w:noWrap w:val="false"/>
          </w:tcPr>
          <w:p>
            <w:pPr>
              <w:jc w:val="left"/>
              <w:rPr>
                <w:rFonts w:hint="eastAsia" w:ascii="宋体" w:hAnsi="宋体" w:eastAsia="宋体" w:cs="宋体"/>
                <w:sz w:val="24"/>
                <w:szCs w:val="24"/>
              </w:rPr>
            </w:pPr>
            <w:r>
              <w:rPr>
                <w:rFonts w:hint="eastAsia" w:ascii="宋体" w:hAnsi="宋体" w:eastAsia="宋体" w:cs="宋体"/>
                <w:b/>
                <w:bCs/>
                <w:sz w:val="24"/>
                <w:szCs w:val="24"/>
              </w:rPr>
              <w:t xml:space="preserve">一、价格分（30分）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1.1 设备价格分（25分）</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评审办法：采用评标基准价法。</w:t>
            </w:r>
            <w:r/>
          </w:p>
          <w:p>
            <w:pPr>
              <w:jc w:val="left"/>
              <w:rPr>
                <w:rFonts w:hint="eastAsia" w:ascii="宋体" w:hAnsi="宋体" w:eastAsia="宋体" w:cs="宋体"/>
                <w:sz w:val="24"/>
                <w:szCs w:val="24"/>
              </w:rPr>
            </w:pPr>
            <w:r>
              <w:rPr>
                <w:rFonts w:hint="eastAsia" w:ascii="宋体" w:hAnsi="宋体" w:eastAsia="宋体" w:cs="宋体"/>
                <w:sz w:val="24"/>
                <w:szCs w:val="24"/>
              </w:rPr>
              <w:t xml:space="preserve">计算公式：投标报价得分 =（评标基准价 ÷ 投标报价）× 25分</w:t>
            </w:r>
            <w:r/>
          </w:p>
          <w:p>
            <w:pPr>
              <w:jc w:val="left"/>
              <w:rPr>
                <w:rFonts w:hint="eastAsia" w:ascii="宋体" w:hAnsi="宋体" w:eastAsia="宋体" w:cs="宋体"/>
                <w:sz w:val="24"/>
                <w:szCs w:val="24"/>
              </w:rPr>
            </w:pPr>
            <w:r>
              <w:rPr>
                <w:rFonts w:hint="eastAsia" w:ascii="宋体" w:hAnsi="宋体" w:eastAsia="宋体" w:cs="宋体"/>
                <w:sz w:val="24"/>
                <w:szCs w:val="24"/>
              </w:rPr>
              <w:t xml:space="preserve">说明：</w:t>
            </w:r>
            <w:r/>
          </w:p>
          <w:p>
            <w:pPr>
              <w:jc w:val="left"/>
              <w:rPr>
                <w:rFonts w:hint="eastAsia" w:ascii="宋体" w:hAnsi="宋体" w:eastAsia="宋体" w:cs="宋体"/>
                <w:sz w:val="24"/>
                <w:szCs w:val="24"/>
              </w:rPr>
            </w:pPr>
            <w:r>
              <w:rPr>
                <w:rFonts w:hint="eastAsia" w:ascii="宋体" w:hAnsi="宋体" w:eastAsia="宋体" w:cs="宋体"/>
                <w:sz w:val="24"/>
                <w:szCs w:val="24"/>
              </w:rPr>
              <w:t xml:space="preserve">（1）有效投标报价指通过资格性审查和符合性审查且经评审无异常低价的投标报价。</w:t>
            </w:r>
            <w:r/>
          </w:p>
          <w:p>
            <w:pPr>
              <w:jc w:val="left"/>
              <w:rPr>
                <w:rFonts w:hint="eastAsia" w:ascii="宋体" w:hAnsi="宋体" w:eastAsia="宋体" w:cs="宋体"/>
                <w:sz w:val="24"/>
                <w:szCs w:val="24"/>
              </w:rPr>
            </w:pPr>
            <w:r>
              <w:rPr>
                <w:rFonts w:hint="eastAsia" w:ascii="宋体" w:hAnsi="宋体" w:eastAsia="宋体" w:cs="宋体"/>
                <w:sz w:val="24"/>
                <w:szCs w:val="24"/>
              </w:rPr>
              <w:t xml:space="preserve">（2）因落实政府采购政策进行价格扣除的，以扣除后的价格参与基准价计算及评分。</w:t>
            </w:r>
            <w:r/>
          </w:p>
          <w:p>
            <w:pPr>
              <w:jc w:val="left"/>
              <w:rPr>
                <w:rFonts w:hint="eastAsia" w:ascii="宋体" w:hAnsi="宋体" w:eastAsia="宋体" w:cs="宋体"/>
                <w:sz w:val="24"/>
                <w:szCs w:val="24"/>
              </w:rPr>
            </w:pPr>
            <w:r>
              <w:rPr>
                <w:rFonts w:hint="eastAsia" w:ascii="宋体" w:hAnsi="宋体" w:eastAsia="宋体" w:cs="宋体"/>
                <w:sz w:val="24"/>
                <w:szCs w:val="24"/>
              </w:rPr>
              <w:t xml:space="preserve">（3）投标报价高于最高限价（480万元）的，作无效投标处理。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1.2 分包机耗材价格分（5分）</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评审办法：采用评标基准价法，计算方式同设备价格分。</w:t>
            </w:r>
            <w:r/>
          </w:p>
          <w:p>
            <w:pPr>
              <w:jc w:val="left"/>
              <w:rPr>
                <w:rFonts w:hint="eastAsia" w:ascii="宋体" w:hAnsi="宋体" w:eastAsia="宋体" w:cs="宋体"/>
                <w:sz w:val="24"/>
                <w:szCs w:val="24"/>
              </w:rPr>
            </w:pPr>
            <w:r>
              <w:rPr>
                <w:rFonts w:hint="eastAsia" w:ascii="宋体" w:hAnsi="宋体" w:eastAsia="宋体" w:cs="宋体"/>
                <w:sz w:val="24"/>
                <w:szCs w:val="24"/>
              </w:rPr>
              <w:t xml:space="preserve">针对品目十四“单剂量分包机”配套耗材的单套单价进行评审。</w:t>
            </w:r>
            <w:r/>
          </w:p>
          <w:p>
            <w:pPr>
              <w:jc w:val="left"/>
              <w:rPr>
                <w:rFonts w:hint="eastAsia" w:ascii="宋体" w:hAnsi="宋体" w:eastAsia="宋体" w:cs="宋体"/>
                <w:sz w:val="24"/>
                <w:szCs w:val="24"/>
              </w:rPr>
            </w:pPr>
            <w:r>
              <w:rPr>
                <w:rFonts w:hint="eastAsia" w:ascii="宋体" w:hAnsi="宋体" w:eastAsia="宋体" w:cs="宋体"/>
                <w:sz w:val="24"/>
                <w:szCs w:val="24"/>
              </w:rPr>
              <w:t xml:space="preserve">计算公式：耗材报价得分 =（耗材评标基准价 ÷ 投标人耗材报价）× 5分</w:t>
            </w:r>
            <w:r/>
          </w:p>
          <w:p>
            <w:pPr>
              <w:jc w:val="left"/>
              <w:rPr>
                <w:rFonts w:hint="eastAsia" w:ascii="宋体" w:hAnsi="宋体" w:eastAsia="宋体" w:cs="宋体"/>
                <w:sz w:val="24"/>
                <w:szCs w:val="24"/>
              </w:rPr>
            </w:pPr>
            <w:r>
              <w:rPr>
                <w:rFonts w:hint="eastAsia" w:ascii="宋体" w:hAnsi="宋体" w:eastAsia="宋体" w:cs="宋体"/>
                <w:sz w:val="24"/>
                <w:szCs w:val="24"/>
              </w:rPr>
              <w:t xml:space="preserve">评标基准价的确定方式：独立计算，规则同设备价格分。</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投标人须在投标文件中单独提供《耗材报价明细表》，明确列明分包机配套耗材的规格、品牌及单价。未提供明细表的，本项得0分。</w:t>
            </w:r>
            <w:r/>
          </w:p>
          <w:p>
            <w:pPr>
              <w:jc w:val="left"/>
              <w:rPr>
                <w:rFonts w:hint="eastAsia" w:ascii="宋体" w:hAnsi="宋体" w:eastAsia="宋体" w:cs="宋体"/>
                <w:sz w:val="24"/>
                <w:szCs w:val="24"/>
              </w:rPr>
            </w:pPr>
            <w:r>
              <w:rPr>
                <w:rFonts w:hint="eastAsia" w:ascii="宋体" w:hAnsi="宋体" w:eastAsia="宋体" w:cs="宋体"/>
                <w:sz w:val="24"/>
                <w:szCs w:val="24"/>
              </w:rPr>
              <w:t xml:space="preserve">【异常低价审查】（依据财库〔2026〕2号）</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评审中出现下列情形之一的，评审委员会应当启动异常低价审查程序：</w:t>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投标报价 &lt; 全部通过符合性审查供应商报价平均值 × 50%</w:t>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投标报价 &lt; 通过符合性审查的次低报价 × 50%</w:t>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投标报价 &lt; 最高限价 × 45%</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评审委员会基于专业判断，认为报价过低可能影响产品质量或诚信履约</w:t>
            </w:r>
            <w:r/>
          </w:p>
          <w:p>
            <w:pPr>
              <w:jc w:val="left"/>
              <w:rPr>
                <w:rFonts w:hint="eastAsia" w:ascii="宋体" w:hAnsi="宋体" w:eastAsia="宋体" w:cs="宋体"/>
                <w:sz w:val="24"/>
                <w:szCs w:val="24"/>
              </w:rPr>
            </w:pPr>
            <w:r>
              <w:rPr>
                <w:rFonts w:hint="eastAsia" w:ascii="宋体" w:hAnsi="宋体" w:eastAsia="宋体" w:cs="宋体"/>
                <w:sz w:val="24"/>
                <w:szCs w:val="24"/>
              </w:rPr>
              <w:t xml:space="preserve">本项目以法定标准为审查启动条件，不提高至65%，以加大防范低价风险的力度。</w:t>
            </w:r>
            <w:r/>
          </w:p>
          <w:p>
            <w:pPr>
              <w:jc w:val="left"/>
              <w:rPr>
                <w:rFonts w:hint="eastAsia" w:ascii="宋体" w:hAnsi="宋体" w:eastAsia="宋体" w:cs="宋体"/>
                <w:sz w:val="24"/>
                <w:szCs w:val="24"/>
              </w:rPr>
            </w:pPr>
            <w:r>
              <w:rPr>
                <w:rFonts w:hint="eastAsia" w:ascii="宋体" w:hAnsi="宋体" w:eastAsia="宋体" w:cs="宋体"/>
                <w:sz w:val="24"/>
                <w:szCs w:val="24"/>
              </w:rPr>
              <w:t xml:space="preserve">审查程序：</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评审委员会启动审查后，要求相关供应商在评审现场合理时间内提供书面说明及成本构成证明材料（包括但不限于原材料成本、人工成本、制造费用等），给予时间一般不少于30分钟。</w:t>
            </w:r>
            <w:r/>
          </w:p>
          <w:p>
            <w:pPr>
              <w:jc w:val="left"/>
              <w:rPr>
                <w:rFonts w:hint="eastAsia" w:ascii="宋体" w:hAnsi="宋体" w:eastAsia="宋体" w:cs="宋体"/>
                <w:sz w:val="24"/>
                <w:szCs w:val="24"/>
              </w:rPr>
            </w:pPr>
            <w:r>
              <w:rPr>
                <w:rFonts w:hint="eastAsia" w:ascii="宋体" w:hAnsi="宋体" w:eastAsia="宋体" w:cs="宋体"/>
                <w:sz w:val="24"/>
                <w:szCs w:val="24"/>
              </w:rPr>
              <w:t xml:space="preserve">评审委员会参考同类项目价格、类似产品市场价格、行业人工费用标准、行业平均成本等对报价合理性进行判断。</w:t>
            </w:r>
            <w:r/>
          </w:p>
          <w:p>
            <w:pPr>
              <w:jc w:val="left"/>
              <w:rPr>
                <w:rFonts w:hint="eastAsia" w:ascii="宋体" w:hAnsi="宋体" w:eastAsia="宋体" w:cs="宋体"/>
                <w:sz w:val="24"/>
                <w:szCs w:val="24"/>
              </w:rPr>
            </w:pPr>
            <w:r>
              <w:rPr>
                <w:rFonts w:hint="eastAsia" w:ascii="宋体" w:hAnsi="宋体" w:eastAsia="宋体" w:cs="宋体"/>
                <w:sz w:val="24"/>
                <w:szCs w:val="24"/>
              </w:rPr>
              <w:t xml:space="preserve">供应商不能提供说明、证明材料，或提供的材料不能证明报价合理性的，评审委员会应当将其作为无效投标处理。</w:t>
            </w:r>
            <w:r/>
          </w:p>
          <w:p>
            <w:pPr>
              <w:jc w:val="left"/>
              <w:rPr>
                <w:rFonts w:hint="eastAsia" w:ascii="宋体" w:hAnsi="宋体" w:eastAsia="宋体" w:cs="宋体"/>
                <w:sz w:val="24"/>
                <w:szCs w:val="24"/>
              </w:rPr>
            </w:pPr>
            <w:r>
              <w:rPr>
                <w:rFonts w:hint="eastAsia" w:ascii="宋体" w:hAnsi="宋体" w:eastAsia="宋体" w:cs="宋体"/>
                <w:sz w:val="24"/>
                <w:szCs w:val="24"/>
              </w:rPr>
              <w:t xml:space="preserve">异常低价审查的启动原因、审查意见和审查结果应当在评审报告中记录，并随供应商提供的相关书面说明及证明材料一并归档。</w:t>
            </w:r>
            <w:r/>
          </w:p>
        </w:tc>
      </w:tr>
      <w:tr>
        <w:trPr/>
        <w:tc>
          <w:tcPr>
            <w:gridSpan w:val="4"/>
            <w:tcW w:w="8522" w:type="dxa"/>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二、技术分（35分）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2.1 技术评分总体规则</w:t>
            </w:r>
            <w:r/>
          </w:p>
          <w:p>
            <w:pPr>
              <w:jc w:val="left"/>
              <w:rPr>
                <w:rFonts w:hint="eastAsia" w:ascii="宋体" w:hAnsi="宋体" w:eastAsia="宋体" w:cs="宋体"/>
                <w:sz w:val="24"/>
                <w:szCs w:val="24"/>
              </w:rPr>
            </w:pPr>
            <w:r>
              <w:rPr>
                <w:rFonts w:hint="eastAsia" w:ascii="宋体" w:hAnsi="宋体" w:eastAsia="宋体" w:cs="宋体"/>
                <w:sz w:val="24"/>
                <w:szCs w:val="24"/>
              </w:rPr>
              <w:t xml:space="preserve">评标委员会根据招标文件中《技术及商务要求》，结合投标文件提供的佐证材料等进行评审：</w:t>
            </w:r>
            <w:r/>
          </w:p>
          <w:p>
            <w:pPr>
              <w:jc w:val="left"/>
              <w:rPr>
                <w:rFonts w:hint="eastAsia" w:ascii="宋体" w:hAnsi="宋体" w:eastAsia="宋体" w:cs="宋体"/>
                <w:sz w:val="24"/>
                <w:szCs w:val="24"/>
              </w:rPr>
            </w:pPr>
            <w:r>
              <w:rPr>
                <w:rFonts w:hint="eastAsia" w:ascii="宋体" w:hAnsi="宋体" w:eastAsia="宋体" w:cs="宋体"/>
                <w:sz w:val="24"/>
                <w:szCs w:val="24"/>
              </w:rPr>
              <w:t xml:space="preserve">基本规则：</w:t>
            </w:r>
            <w:r/>
          </w:p>
          <w:p>
            <w:pPr>
              <w:jc w:val="left"/>
              <w:rPr>
                <w:rFonts w:hint="eastAsia" w:ascii="宋体" w:hAnsi="宋体" w:eastAsia="宋体" w:cs="宋体"/>
                <w:sz w:val="24"/>
                <w:szCs w:val="24"/>
              </w:rPr>
            </w:pPr>
            <w:r>
              <w:rPr>
                <w:rFonts w:hint="eastAsia" w:ascii="宋体" w:hAnsi="宋体" w:eastAsia="宋体" w:cs="宋体"/>
                <w:sz w:val="24"/>
                <w:szCs w:val="24"/>
              </w:rPr>
              <w:t xml:space="preserve">（1）全部满足技术指标基本要求（即所有非★、非▲的一般技术指标全部满足），得35分（技术分满分）。正偏离不加分。</w:t>
            </w:r>
            <w:r/>
          </w:p>
          <w:p>
            <w:pPr>
              <w:jc w:val="left"/>
              <w:rPr>
                <w:rFonts w:hint="eastAsia" w:ascii="宋体" w:hAnsi="宋体" w:eastAsia="宋体" w:cs="宋体"/>
                <w:sz w:val="24"/>
                <w:szCs w:val="24"/>
              </w:rPr>
            </w:pPr>
            <w:r>
              <w:rPr>
                <w:rFonts w:hint="eastAsia" w:ascii="宋体" w:hAnsi="宋体" w:eastAsia="宋体" w:cs="宋体"/>
                <w:sz w:val="24"/>
                <w:szCs w:val="24"/>
              </w:rPr>
              <w:t xml:space="preserve">（2）有一项★号指标负偏离，做废标处理。</w:t>
            </w:r>
            <w:r/>
          </w:p>
          <w:p>
            <w:pPr>
              <w:jc w:val="left"/>
              <w:rPr>
                <w:rFonts w:hint="eastAsia" w:ascii="宋体" w:hAnsi="宋体" w:eastAsia="宋体" w:cs="宋体"/>
                <w:sz w:val="24"/>
                <w:szCs w:val="24"/>
              </w:rPr>
            </w:pPr>
            <w:r>
              <w:rPr>
                <w:rFonts w:hint="eastAsia" w:ascii="宋体" w:hAnsi="宋体" w:eastAsia="宋体" w:cs="宋体"/>
                <w:sz w:val="24"/>
                <w:szCs w:val="24"/>
              </w:rPr>
              <w:t xml:space="preserve">（3）有一项▲号指标负偏离，扣3分。</w:t>
            </w:r>
            <w:r/>
          </w:p>
          <w:p>
            <w:pPr>
              <w:jc w:val="left"/>
              <w:rPr>
                <w:rFonts w:hint="eastAsia" w:ascii="宋体" w:hAnsi="宋体" w:eastAsia="宋体" w:cs="宋体"/>
                <w:sz w:val="24"/>
                <w:szCs w:val="24"/>
              </w:rPr>
            </w:pPr>
            <w:r>
              <w:rPr>
                <w:rFonts w:hint="eastAsia" w:ascii="宋体" w:hAnsi="宋体" w:eastAsia="宋体" w:cs="宋体"/>
                <w:sz w:val="24"/>
                <w:szCs w:val="24"/>
              </w:rPr>
              <w:t xml:space="preserve">（4）有一项非★、非▲的一般指标负偏离，扣1分，扣完35分为止。</w:t>
            </w:r>
            <w:r/>
          </w:p>
          <w:p>
            <w:pPr>
              <w:jc w:val="left"/>
              <w:rPr>
                <w:rFonts w:hint="eastAsia" w:ascii="宋体" w:hAnsi="宋体" w:eastAsia="宋体" w:cs="宋体"/>
                <w:sz w:val="24"/>
                <w:szCs w:val="24"/>
              </w:rPr>
            </w:pPr>
            <w:r>
              <w:rPr>
                <w:rFonts w:hint="eastAsia" w:ascii="宋体" w:hAnsi="宋体" w:eastAsia="宋体" w:cs="宋体"/>
                <w:sz w:val="24"/>
                <w:szCs w:val="24"/>
              </w:rPr>
              <w:t xml:space="preserve">佐证材料要求：</w:t>
            </w:r>
            <w:r/>
          </w:p>
          <w:p>
            <w:pPr>
              <w:jc w:val="left"/>
              <w:rPr>
                <w:rFonts w:hint="eastAsia" w:ascii="宋体" w:hAnsi="宋体" w:eastAsia="宋体" w:cs="宋体"/>
                <w:sz w:val="24"/>
                <w:szCs w:val="24"/>
              </w:rPr>
            </w:pPr>
            <w:r>
              <w:rPr>
                <w:rFonts w:hint="eastAsia" w:ascii="宋体" w:hAnsi="宋体" w:eastAsia="宋体" w:cs="宋体"/>
                <w:sz w:val="24"/>
                <w:szCs w:val="24"/>
              </w:rPr>
              <w:t xml:space="preserve">★号、▲号指标须提供相关证明材料（包括但不限于制造商盖章的技术白皮书、Data Sheet、国家承认的第三方机构出具的检测报告、厂家公开发行的宣传彩页、音视频截图等），并在投标文件技术参数偏离表备注栏中标注相应证明文件页码，未标注页码的视为负偏离。</w:t>
            </w:r>
            <w:r/>
          </w:p>
          <w:p>
            <w:pPr>
              <w:jc w:val="left"/>
              <w:rPr>
                <w:rFonts w:hint="eastAsia" w:ascii="宋体" w:hAnsi="宋体" w:eastAsia="宋体" w:cs="宋体"/>
                <w:sz w:val="24"/>
                <w:szCs w:val="24"/>
              </w:rPr>
            </w:pPr>
            <w:r>
              <w:rPr>
                <w:rFonts w:hint="eastAsia" w:ascii="宋体" w:hAnsi="宋体" w:eastAsia="宋体" w:cs="宋体"/>
                <w:sz w:val="24"/>
                <w:szCs w:val="24"/>
              </w:rPr>
              <w:t xml:space="preserve">失效判定（一票否决） ：</w:t>
            </w:r>
            <w:r/>
          </w:p>
          <w:p>
            <w:pPr>
              <w:jc w:val="left"/>
              <w:rPr>
                <w:rFonts w:hint="eastAsia" w:ascii="宋体" w:hAnsi="宋体" w:eastAsia="宋体" w:cs="宋体"/>
                <w:sz w:val="24"/>
                <w:szCs w:val="24"/>
              </w:rPr>
            </w:pPr>
            <w:r>
              <w:rPr>
                <w:rFonts w:hint="eastAsia" w:ascii="宋体" w:hAnsi="宋体" w:eastAsia="宋体" w:cs="宋体"/>
                <w:sz w:val="24"/>
                <w:szCs w:val="24"/>
              </w:rPr>
              <w:t xml:space="preserve">技术部分负偏离项数超过全部技术指标总项数的半数，或技术得分经扣分后为0分，或经评委会评议负偏离可能实质性影响使用的，将判定为实质性不符合采购要求，做无效响应处理。</w:t>
            </w:r>
            <w:r/>
          </w:p>
          <w:p>
            <w:pPr>
              <w:jc w:val="left"/>
              <w:rPr>
                <w:rFonts w:hint="eastAsia" w:ascii="宋体" w:hAnsi="宋体" w:eastAsia="宋体" w:cs="宋体"/>
                <w:sz w:val="24"/>
                <w:szCs w:val="24"/>
              </w:rPr>
            </w:pPr>
            <w:r>
              <w:rPr>
                <w:rFonts w:hint="eastAsia" w:ascii="宋体" w:hAnsi="宋体" w:eastAsia="宋体" w:cs="宋体"/>
                <w:sz w:val="24"/>
                <w:szCs w:val="24"/>
              </w:rPr>
              <w:t xml:space="preserve">验收追责条款：</w:t>
            </w:r>
            <w:r/>
          </w:p>
          <w:p>
            <w:pPr>
              <w:jc w:val="left"/>
              <w:rPr>
                <w:rFonts w:hint="eastAsia" w:ascii="宋体" w:hAnsi="宋体" w:eastAsia="宋体" w:cs="宋体"/>
                <w:sz w:val="24"/>
                <w:szCs w:val="24"/>
              </w:rPr>
            </w:pPr>
            <w:r>
              <w:rPr>
                <w:rFonts w:hint="eastAsia" w:ascii="宋体" w:hAnsi="宋体" w:eastAsia="宋体" w:cs="宋体"/>
                <w:sz w:val="24"/>
                <w:szCs w:val="24"/>
              </w:rPr>
              <w:t xml:space="preserve">产品交付验收时，招标人将对技术规格要求中的★号、▲号指标进行逐一核实验收。如发现虚假应标，或无法实现关键技术指标功能的，招标人有权向采购主管部门进行举报，由中标供应商承担一切法律责任，并按相关法律法规条款处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2.2无效响应触发条件</w:t>
            </w:r>
            <w:r/>
          </w:p>
          <w:p>
            <w:pPr>
              <w:jc w:val="left"/>
              <w:rPr>
                <w:rFonts w:hint="eastAsia" w:ascii="宋体" w:hAnsi="宋体" w:eastAsia="宋体" w:cs="宋体"/>
                <w:sz w:val="24"/>
                <w:szCs w:val="24"/>
              </w:rPr>
            </w:pPr>
            <w:r>
              <w:rPr>
                <w:rFonts w:hint="eastAsia" w:ascii="宋体" w:hAnsi="宋体" w:eastAsia="宋体" w:cs="宋体"/>
                <w:sz w:val="24"/>
                <w:szCs w:val="24"/>
              </w:rPr>
              <w:t xml:space="preserve">出现下列情形之一的，判定为实质性不符合采购要求，做无效响应处理：</w:t>
            </w:r>
            <w:r/>
          </w:p>
          <w:p>
            <w:pPr>
              <w:jc w:val="left"/>
              <w:rPr>
                <w:rFonts w:hint="eastAsia" w:ascii="宋体" w:hAnsi="宋体" w:eastAsia="宋体" w:cs="宋体"/>
                <w:sz w:val="24"/>
                <w:szCs w:val="24"/>
              </w:rPr>
            </w:pPr>
            <w:r>
              <w:rPr>
                <w:rFonts w:hint="eastAsia" w:ascii="宋体" w:hAnsi="宋体" w:eastAsia="宋体" w:cs="宋体"/>
                <w:sz w:val="24"/>
                <w:szCs w:val="24"/>
              </w:rPr>
              <w:t xml:space="preserve">（1）任一项★号指标负偏离；</w:t>
            </w:r>
            <w:r/>
          </w:p>
          <w:p>
            <w:pPr>
              <w:jc w:val="left"/>
              <w:rPr>
                <w:rFonts w:hint="eastAsia" w:ascii="宋体" w:hAnsi="宋体" w:eastAsia="宋体" w:cs="宋体"/>
                <w:sz w:val="24"/>
                <w:szCs w:val="24"/>
              </w:rPr>
            </w:pPr>
            <w:r>
              <w:rPr>
                <w:rFonts w:hint="eastAsia" w:ascii="宋体" w:hAnsi="宋体" w:eastAsia="宋体" w:cs="宋体"/>
                <w:sz w:val="24"/>
                <w:szCs w:val="24"/>
              </w:rPr>
              <w:t xml:space="preserve">（2）技术得分经扣分后为0分；</w:t>
            </w:r>
            <w:r/>
          </w:p>
          <w:p>
            <w:pPr>
              <w:jc w:val="left"/>
              <w:rPr>
                <w:rFonts w:hint="eastAsia" w:ascii="宋体" w:hAnsi="宋体" w:eastAsia="宋体" w:cs="宋体"/>
                <w:sz w:val="24"/>
                <w:szCs w:val="24"/>
              </w:rPr>
            </w:pPr>
            <w:r>
              <w:rPr>
                <w:rFonts w:hint="eastAsia" w:ascii="宋体" w:hAnsi="宋体" w:eastAsia="宋体" w:cs="宋体"/>
                <w:sz w:val="24"/>
                <w:szCs w:val="24"/>
              </w:rPr>
              <w:t xml:space="preserve">（3）技术部分负偏离项数超过全部技术指标总项数的半数；</w:t>
            </w:r>
            <w:r/>
          </w:p>
          <w:p>
            <w:pPr>
              <w:jc w:val="left"/>
              <w:rPr>
                <w:rFonts w:hint="eastAsia" w:ascii="宋体" w:hAnsi="宋体" w:eastAsia="宋体" w:cs="宋体"/>
                <w:sz w:val="24"/>
                <w:szCs w:val="24"/>
              </w:rPr>
            </w:pPr>
            <w:r>
              <w:rPr>
                <w:rFonts w:hint="eastAsia" w:ascii="宋体" w:hAnsi="宋体" w:eastAsia="宋体" w:cs="宋体"/>
                <w:sz w:val="24"/>
                <w:szCs w:val="24"/>
              </w:rPr>
              <w:t xml:space="preserve">（4）经评委会评议，负偏离可能实质性影响使用。</w:t>
            </w:r>
            <w:r/>
          </w:p>
        </w:tc>
      </w:tr>
      <w:tr>
        <w:trPr/>
        <w:tc>
          <w:tcPr>
            <w:gridSpan w:val="4"/>
            <w:tcW w:w="8522" w:type="dxa"/>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三、业绩分（8分）</w:t>
            </w:r>
            <w:r/>
          </w:p>
          <w:p>
            <w:pPr>
              <w:jc w:val="left"/>
              <w:rPr>
                <w:rFonts w:hint="eastAsia" w:ascii="宋体" w:hAnsi="宋体" w:eastAsia="宋体" w:cs="宋体"/>
                <w:sz w:val="24"/>
                <w:szCs w:val="24"/>
              </w:rPr>
            </w:pPr>
            <w:r>
              <w:rPr>
                <w:rFonts w:hint="eastAsia" w:ascii="宋体" w:hAnsi="宋体" w:eastAsia="宋体" w:cs="宋体"/>
                <w:sz w:val="24"/>
                <w:szCs w:val="24"/>
              </w:rPr>
              <w:t xml:space="preserve">近三年内三级综合医院同类业绩，</w:t>
            </w:r>
            <w:r>
              <w:rPr>
                <w:rFonts w:hint="eastAsia" w:ascii="宋体" w:hAnsi="宋体" w:eastAsia="宋体" w:cs="宋体"/>
                <w:sz w:val="24"/>
                <w:szCs w:val="24"/>
                <w:highlight w:val="none"/>
              </w:rPr>
              <w:t xml:space="preserve">每有效业绩得0.4分，满分20个。</w:t>
            </w:r>
            <w:r/>
          </w:p>
          <w:p>
            <w:pPr>
              <w:jc w:val="left"/>
              <w:rPr>
                <w:rFonts w:hint="eastAsia" w:ascii="宋体" w:hAnsi="宋体" w:eastAsia="宋体" w:cs="宋体"/>
                <w:sz w:val="24"/>
                <w:szCs w:val="24"/>
              </w:rPr>
            </w:pPr>
            <w:r>
              <w:rPr>
                <w:rFonts w:hint="eastAsia" w:ascii="宋体" w:hAnsi="宋体" w:eastAsia="宋体" w:cs="宋体"/>
                <w:sz w:val="24"/>
                <w:szCs w:val="24"/>
              </w:rPr>
              <w:t xml:space="preserve">有效业绩认定：须同时提供合同关键页、业主盖章验收证明、用户良好评价（加盖业主公章），以上材料均须加盖制造商公章。缺任意一项不计分。</w:t>
            </w:r>
            <w:r/>
          </w:p>
        </w:tc>
      </w:tr>
      <w:tr>
        <w:trPr/>
        <w:tc>
          <w:tcPr>
            <w:gridSpan w:val="4"/>
            <w:tcW w:w="8522" w:type="dxa"/>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四、培训服务方案（8分）</w:t>
            </w:r>
            <w:r/>
          </w:p>
        </w:tc>
      </w:tr>
      <w:tr>
        <w:trPr/>
        <w:tc>
          <w:tcPr>
            <w:tcW w:w="1609"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评审等级</w:t>
            </w:r>
            <w:r/>
          </w:p>
        </w:tc>
        <w:tc>
          <w:tcPr>
            <w:tcW w:w="1111"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gridSpan w:val="2"/>
            <w:tcW w:w="5802"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优秀</w:t>
            </w:r>
            <w:r/>
          </w:p>
        </w:tc>
        <w:tc>
          <w:tcPr>
            <w:tcW w:w="11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8分</w:t>
            </w:r>
            <w:r/>
          </w:p>
        </w:tc>
        <w:tc>
          <w:tcPr>
            <w:gridSpan w:val="2"/>
            <w:tcW w:w="580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三类人员差异化培训，总时长≥5天，有考核机制，提供全套资料及≥3个月在线答疑，有复训承诺。</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良好</w:t>
            </w:r>
            <w:r/>
          </w:p>
        </w:tc>
        <w:tc>
          <w:tcPr>
            <w:tcW w:w="11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6分</w:t>
            </w:r>
            <w:r/>
          </w:p>
        </w:tc>
        <w:tc>
          <w:tcPr>
            <w:gridSpan w:val="2"/>
            <w:tcW w:w="580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区分三类对象，培训≥3天，有考核记录，资料完整。</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一般</w:t>
            </w:r>
            <w:r/>
          </w:p>
        </w:tc>
        <w:tc>
          <w:tcPr>
            <w:tcW w:w="11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4分</w:t>
            </w:r>
            <w:r/>
          </w:p>
        </w:tc>
        <w:tc>
          <w:tcPr>
            <w:gridSpan w:val="2"/>
            <w:tcW w:w="580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对象区分不清晰，培训≥1天，考核不明确，资料不完整。</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较差</w:t>
            </w:r>
            <w:r/>
          </w:p>
        </w:tc>
        <w:tc>
          <w:tcPr>
            <w:tcW w:w="11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1分</w:t>
            </w:r>
            <w:r/>
          </w:p>
        </w:tc>
        <w:tc>
          <w:tcPr>
            <w:gridSpan w:val="2"/>
            <w:tcW w:w="580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方案粗略，未说明时长/对象/方式，与本项目关联弱。</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无方案</w:t>
            </w:r>
            <w:r/>
          </w:p>
        </w:tc>
        <w:tc>
          <w:tcPr>
            <w:tcW w:w="111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0分</w:t>
            </w:r>
            <w:r/>
          </w:p>
        </w:tc>
        <w:tc>
          <w:tcPr>
            <w:gridSpan w:val="2"/>
            <w:tcW w:w="580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未提供培训方案。</w:t>
            </w:r>
            <w:r/>
          </w:p>
        </w:tc>
      </w:tr>
      <w:tr>
        <w:trPr/>
        <w:tc>
          <w:tcPr>
            <w:gridSpan w:val="4"/>
            <w:tcW w:w="8522" w:type="dxa"/>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五、售后服务方案（11分）</w:t>
            </w:r>
            <w:r/>
          </w:p>
        </w:tc>
      </w:tr>
      <w:tr>
        <w:trPr/>
        <w:tc>
          <w:tcPr>
            <w:gridSpan w:val="4"/>
            <w:tcW w:w="8522" w:type="dxa"/>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5.1 质保期加分（3分）</w:t>
            </w:r>
            <w:r/>
          </w:p>
        </w:tc>
      </w:tr>
      <w:tr>
        <w:trPr/>
        <w:tc>
          <w:tcPr>
            <w:gridSpan w:val="2"/>
            <w:tcW w:w="2720"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质保期限</w:t>
            </w:r>
            <w:r/>
          </w:p>
        </w:tc>
        <w:tc>
          <w:tcPr>
            <w:gridSpan w:val="2"/>
            <w:tcW w:w="5802"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得分</w:t>
            </w:r>
            <w:r/>
          </w:p>
        </w:tc>
      </w:tr>
      <w:tr>
        <w:trPr/>
        <w:tc>
          <w:tcPr>
            <w:gridSpan w:val="2"/>
            <w:tcW w:w="272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满足5年全免费质保</w:t>
            </w:r>
            <w:r/>
          </w:p>
          <w:p>
            <w:pPr>
              <w:jc w:val="center"/>
              <w:rPr>
                <w:rFonts w:hint="eastAsia" w:ascii="宋体" w:hAnsi="宋体" w:eastAsia="宋体" w:cs="宋体"/>
                <w:sz w:val="24"/>
                <w:szCs w:val="24"/>
              </w:rPr>
            </w:pPr>
            <w:r>
              <w:rPr>
                <w:rFonts w:hint="eastAsia" w:ascii="宋体" w:hAnsi="宋体" w:eastAsia="宋体" w:cs="宋体"/>
                <w:sz w:val="24"/>
                <w:szCs w:val="24"/>
              </w:rPr>
              <w:t xml:space="preserve">（基础要求）</w:t>
            </w:r>
            <w:r/>
          </w:p>
        </w:tc>
        <w:tc>
          <w:tcPr>
            <w:gridSpan w:val="2"/>
            <w:tcW w:w="580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0分</w:t>
            </w:r>
            <w:r/>
          </w:p>
        </w:tc>
      </w:tr>
      <w:tr>
        <w:trPr/>
        <w:tc>
          <w:tcPr>
            <w:gridSpan w:val="2"/>
            <w:tcW w:w="272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额外增加1年</w:t>
            </w:r>
            <w:r/>
          </w:p>
        </w:tc>
        <w:tc>
          <w:tcPr>
            <w:gridSpan w:val="2"/>
            <w:tcW w:w="580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1.5分</w:t>
            </w:r>
            <w:r/>
          </w:p>
        </w:tc>
      </w:tr>
      <w:tr>
        <w:trPr/>
        <w:tc>
          <w:tcPr>
            <w:gridSpan w:val="2"/>
            <w:tcW w:w="272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额外增加2年及以上</w:t>
            </w:r>
            <w:r/>
          </w:p>
        </w:tc>
        <w:tc>
          <w:tcPr>
            <w:gridSpan w:val="2"/>
            <w:tcW w:w="580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c>
          <w:tcPr>
            <w:gridSpan w:val="4"/>
            <w:tcW w:w="8522"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质保期不足5年的，按无效投标处理。须提供《原厂质保承诺函》并加盖制造商公章，否则本项不得分。</w:t>
            </w:r>
            <w:r/>
          </w:p>
        </w:tc>
      </w:tr>
      <w:tr>
        <w:trPr/>
        <w:tc>
          <w:tcPr>
            <w:gridSpan w:val="4"/>
            <w:tcW w:w="8522" w:type="dxa"/>
            <w:textDirection w:val="lrTb"/>
            <w:noWrap w:val="false"/>
          </w:tcPr>
          <w:p>
            <w:pPr>
              <w:jc w:val="left"/>
              <w:rPr>
                <w:rFonts w:hint="eastAsia" w:ascii="宋体" w:hAnsi="宋体" w:eastAsia="宋体" w:cs="宋体"/>
                <w:sz w:val="24"/>
                <w:szCs w:val="24"/>
              </w:rPr>
            </w:pPr>
            <w:r>
              <w:rPr>
                <w:rFonts w:hint="eastAsia" w:ascii="宋体" w:hAnsi="宋体" w:eastAsia="宋体" w:cs="宋体"/>
                <w:b/>
                <w:bCs/>
                <w:sz w:val="24"/>
                <w:szCs w:val="24"/>
              </w:rPr>
              <w:t xml:space="preserve">5.2 售后服务方案质量（8分）</w:t>
            </w:r>
            <w:r/>
          </w:p>
        </w:tc>
      </w:tr>
      <w:tr>
        <w:trPr/>
        <w:tc>
          <w:tcPr>
            <w:tcW w:w="1609"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评审等级</w:t>
            </w:r>
            <w:r/>
          </w:p>
        </w:tc>
        <w:tc>
          <w:tcPr>
            <w:gridSpan w:val="2"/>
            <w:tcW w:w="1156"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5757"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优秀</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7×24h，≤0.5h远程响应，≤2h到场；驻场≥6个月；江苏实体备件库（附证明），备件≥15%；季度巡检；终身免费接口升级；专属团队。</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良好</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7×24h，≤1h远程响应，≤3h到场；驻场3个月；江苏服务网点及备件库，备件≥10%；半年巡检；提供承诺函。</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一般</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响应时效模糊；驻场＜1个月或无明确；备件证明缺失；巡检缺失或模糊。</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较差</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仅承诺质保年限，无具体响应/备件/巡检内容；核心承诺函缺失。</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无方案</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未提供售后服务方案。</w:t>
            </w:r>
            <w:r/>
          </w:p>
        </w:tc>
      </w:tr>
      <w:tr>
        <w:trPr/>
        <w:tc>
          <w:tcPr>
            <w:gridSpan w:val="4"/>
            <w:tcW w:w="8522" w:type="dxa"/>
            <w:vAlign w:val="center"/>
            <w:textDirection w:val="lrTb"/>
            <w:noWrap w:val="false"/>
          </w:tcPr>
          <w:p>
            <w:pPr>
              <w:numPr>
                <w:ilvl w:val="0"/>
                <w:numId w:val="10"/>
              </w:numPr>
              <w:jc w:val="left"/>
              <w:rPr>
                <w:rFonts w:hint="eastAsia" w:ascii="宋体" w:hAnsi="宋体" w:eastAsia="宋体" w:cs="宋体"/>
                <w:b/>
                <w:bCs/>
                <w:sz w:val="24"/>
                <w:szCs w:val="24"/>
              </w:rPr>
            </w:pPr>
            <w:r>
              <w:rPr>
                <w:rFonts w:hint="eastAsia" w:ascii="宋体" w:hAnsi="宋体" w:eastAsia="宋体" w:cs="宋体"/>
                <w:b/>
                <w:bCs/>
                <w:sz w:val="24"/>
                <w:szCs w:val="24"/>
              </w:rPr>
              <w:t xml:space="preserve">项目实施与风险管理方案（8分）</w:t>
            </w:r>
            <w:r/>
          </w:p>
          <w:p>
            <w:pPr>
              <w:jc w:val="left"/>
              <w:rPr>
                <w:rFonts w:hint="eastAsia" w:ascii="宋体" w:hAnsi="宋体" w:eastAsia="宋体" w:cs="宋体"/>
                <w:sz w:val="24"/>
                <w:szCs w:val="24"/>
              </w:rPr>
            </w:pPr>
            <w:r>
              <w:rPr>
                <w:rFonts w:hint="eastAsia" w:ascii="宋体" w:hAnsi="宋体" w:eastAsia="宋体" w:cs="宋体"/>
                <w:sz w:val="24"/>
                <w:szCs w:val="24"/>
              </w:rPr>
              <w:t xml:space="preserve">投标人须围绕以下三个核心要素提供完整的方案：</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要素一：并行切换方案</w:t>
            </w:r>
            <w:r/>
          </w:p>
          <w:p>
            <w:pPr>
              <w:jc w:val="left"/>
              <w:rPr>
                <w:rFonts w:hint="eastAsia" w:ascii="宋体" w:hAnsi="宋体" w:eastAsia="宋体" w:cs="宋体"/>
                <w:sz w:val="24"/>
                <w:szCs w:val="24"/>
              </w:rPr>
            </w:pPr>
            <w:r>
              <w:rPr>
                <w:rFonts w:hint="eastAsia" w:ascii="宋体" w:hAnsi="宋体" w:eastAsia="宋体" w:cs="宋体"/>
                <w:sz w:val="24"/>
                <w:szCs w:val="24"/>
              </w:rPr>
              <w:t xml:space="preserve">本项目实施期间门诊药房须不间断营业。投标人须提供详细的新老系统/设备并行运行与平滑切换方案，须包含以下内容：</w:t>
            </w:r>
            <w:r/>
          </w:p>
          <w:p>
            <w:pPr>
              <w:jc w:val="left"/>
              <w:rPr>
                <w:rFonts w:hint="eastAsia" w:ascii="宋体" w:hAnsi="宋体" w:eastAsia="宋体" w:cs="宋体"/>
                <w:sz w:val="24"/>
                <w:szCs w:val="24"/>
              </w:rPr>
            </w:pPr>
            <w:r>
              <w:rPr>
                <w:rFonts w:hint="eastAsia" w:ascii="宋体" w:hAnsi="宋体" w:eastAsia="宋体" w:cs="宋体"/>
                <w:sz w:val="24"/>
                <w:szCs w:val="24"/>
              </w:rPr>
              <w:t xml:space="preserve">（1）设备安装调试期间，药房如何维持正常发药业务；</w:t>
            </w:r>
            <w:r/>
          </w:p>
          <w:p>
            <w:pPr>
              <w:jc w:val="left"/>
              <w:rPr>
                <w:rFonts w:hint="eastAsia" w:ascii="宋体" w:hAnsi="宋体" w:eastAsia="宋体" w:cs="宋体"/>
                <w:sz w:val="24"/>
                <w:szCs w:val="24"/>
              </w:rPr>
            </w:pPr>
            <w:r>
              <w:rPr>
                <w:rFonts w:hint="eastAsia" w:ascii="宋体" w:hAnsi="宋体" w:eastAsia="宋体" w:cs="宋体"/>
                <w:sz w:val="24"/>
                <w:szCs w:val="24"/>
              </w:rPr>
              <w:t xml:space="preserve">（2）从老系统/设备切换到新系统的具体时间节点（明确到“第X天完成XX工作”），如“第1-7天完成快速发药机安装，第8-14天完成系统联调，第15天启动试运行”；</w:t>
            </w:r>
            <w:r/>
          </w:p>
          <w:p>
            <w:pPr>
              <w:jc w:val="left"/>
              <w:rPr>
                <w:rFonts w:hint="eastAsia" w:ascii="宋体" w:hAnsi="宋体" w:eastAsia="宋体" w:cs="宋体"/>
                <w:sz w:val="24"/>
                <w:szCs w:val="24"/>
              </w:rPr>
            </w:pPr>
            <w:r>
              <w:rPr>
                <w:rFonts w:hint="eastAsia" w:ascii="宋体" w:hAnsi="宋体" w:eastAsia="宋体" w:cs="宋体"/>
                <w:sz w:val="24"/>
                <w:szCs w:val="24"/>
              </w:rPr>
              <w:t xml:space="preserve">（3）试运行期间新老系统并行运行的过渡安排；</w:t>
            </w:r>
            <w:r/>
          </w:p>
          <w:p>
            <w:pPr>
              <w:jc w:val="left"/>
              <w:rPr>
                <w:rFonts w:hint="eastAsia" w:ascii="宋体" w:hAnsi="宋体" w:eastAsia="宋体" w:cs="宋体"/>
                <w:sz w:val="24"/>
                <w:szCs w:val="24"/>
              </w:rPr>
            </w:pPr>
            <w:r>
              <w:rPr>
                <w:rFonts w:hint="eastAsia" w:ascii="宋体" w:hAnsi="宋体" w:eastAsia="宋体" w:cs="宋体"/>
                <w:sz w:val="24"/>
                <w:szCs w:val="24"/>
              </w:rPr>
              <w:t xml:space="preserve">（4）切换失败的回退预案（如发生切换失败时如何在规定时间内恢复原系统运行）。</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要素二：多部门协同方案</w:t>
            </w:r>
            <w:r/>
          </w:p>
          <w:p>
            <w:pPr>
              <w:jc w:val="left"/>
              <w:rPr>
                <w:rFonts w:hint="eastAsia" w:ascii="宋体" w:hAnsi="宋体" w:eastAsia="宋体" w:cs="宋体"/>
                <w:sz w:val="24"/>
                <w:szCs w:val="24"/>
              </w:rPr>
            </w:pPr>
            <w:r>
              <w:rPr>
                <w:rFonts w:hint="eastAsia" w:ascii="宋体" w:hAnsi="宋体" w:eastAsia="宋体" w:cs="宋体"/>
                <w:sz w:val="24"/>
                <w:szCs w:val="24"/>
              </w:rPr>
              <w:t xml:space="preserve">本项目涉及医院HIS对接、资产验收、业务使用多部门协同。投标人须提供：</w:t>
            </w:r>
            <w:r/>
          </w:p>
          <w:p>
            <w:pPr>
              <w:jc w:val="left"/>
              <w:rPr>
                <w:rFonts w:hint="eastAsia" w:ascii="宋体" w:hAnsi="宋体" w:eastAsia="宋体" w:cs="宋体"/>
                <w:sz w:val="24"/>
                <w:szCs w:val="24"/>
              </w:rPr>
            </w:pPr>
            <w:r>
              <w:rPr>
                <w:rFonts w:hint="eastAsia" w:ascii="宋体" w:hAnsi="宋体" w:eastAsia="宋体" w:cs="宋体"/>
                <w:sz w:val="24"/>
                <w:szCs w:val="24"/>
              </w:rPr>
              <w:t xml:space="preserve">（1）明确的项目组织架构图（含投标方项目经理、实施工程师、软件工程师等角色）；</w:t>
            </w:r>
            <w:r/>
          </w:p>
          <w:p>
            <w:pPr>
              <w:jc w:val="left"/>
              <w:rPr>
                <w:rFonts w:hint="eastAsia" w:ascii="宋体" w:hAnsi="宋体" w:eastAsia="宋体" w:cs="宋体"/>
                <w:sz w:val="24"/>
                <w:szCs w:val="24"/>
              </w:rPr>
            </w:pPr>
            <w:r>
              <w:rPr>
                <w:rFonts w:hint="eastAsia" w:ascii="宋体" w:hAnsi="宋体" w:eastAsia="宋体" w:cs="宋体"/>
                <w:sz w:val="24"/>
                <w:szCs w:val="24"/>
              </w:rPr>
              <w:t xml:space="preserve">（2）各部门职责分工表；</w:t>
            </w:r>
            <w:r/>
          </w:p>
          <w:p>
            <w:pPr>
              <w:jc w:val="left"/>
              <w:rPr>
                <w:rFonts w:hint="eastAsia" w:ascii="宋体" w:hAnsi="宋体" w:eastAsia="宋体" w:cs="宋体"/>
                <w:sz w:val="24"/>
                <w:szCs w:val="24"/>
              </w:rPr>
            </w:pPr>
            <w:r>
              <w:rPr>
                <w:rFonts w:hint="eastAsia" w:ascii="宋体" w:hAnsi="宋体" w:eastAsia="宋体" w:cs="宋体"/>
                <w:sz w:val="24"/>
                <w:szCs w:val="24"/>
              </w:rPr>
              <w:t xml:space="preserve">（3）项目各阶段的沟通协调机制。</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要素三：风险管理方案</w:t>
            </w:r>
            <w:r/>
          </w:p>
          <w:p>
            <w:pPr>
              <w:jc w:val="left"/>
              <w:rPr>
                <w:rFonts w:hint="eastAsia" w:ascii="宋体" w:hAnsi="宋体" w:eastAsia="宋体" w:cs="宋体"/>
                <w:sz w:val="24"/>
                <w:szCs w:val="24"/>
              </w:rPr>
            </w:pPr>
            <w:r>
              <w:rPr>
                <w:rFonts w:hint="eastAsia" w:ascii="宋体" w:hAnsi="宋体" w:eastAsia="宋体" w:cs="宋体"/>
                <w:sz w:val="24"/>
                <w:szCs w:val="24"/>
              </w:rPr>
              <w:t xml:space="preserve">针对本项目三类核心风险，分别提供具体的应对预案：</w:t>
            </w:r>
            <w:r/>
          </w:p>
          <w:p>
            <w:pPr>
              <w:jc w:val="left"/>
              <w:rPr>
                <w:rFonts w:hint="eastAsia" w:ascii="宋体" w:hAnsi="宋体" w:eastAsia="宋体" w:cs="宋体"/>
                <w:sz w:val="24"/>
                <w:szCs w:val="24"/>
              </w:rPr>
            </w:pPr>
            <w:r>
              <w:rPr>
                <w:rFonts w:hint="eastAsia" w:ascii="宋体" w:hAnsi="宋体" w:eastAsia="宋体" w:cs="宋体"/>
                <w:sz w:val="24"/>
                <w:szCs w:val="24"/>
              </w:rPr>
              <w:t xml:space="preserve">（1）设备到货延迟风险：如因生产、物流等原因导致设备无法按期到货（合同签订后14天内交货），投标人如何应对；</w:t>
            </w:r>
            <w:r/>
          </w:p>
          <w:p>
            <w:pPr>
              <w:jc w:val="left"/>
              <w:rPr>
                <w:rFonts w:hint="eastAsia" w:ascii="宋体" w:hAnsi="宋体" w:eastAsia="宋体" w:cs="宋体"/>
                <w:sz w:val="24"/>
                <w:szCs w:val="24"/>
              </w:rPr>
            </w:pPr>
            <w:r>
              <w:rPr>
                <w:rFonts w:hint="eastAsia" w:ascii="宋体" w:hAnsi="宋体" w:eastAsia="宋体" w:cs="宋体"/>
                <w:sz w:val="24"/>
                <w:szCs w:val="24"/>
              </w:rPr>
              <w:t xml:space="preserve">（2）HIS对接失败风险：如因接口技术问题导致HIS无法正常对接，投标人的技术保障措施和时间承诺；</w:t>
            </w:r>
            <w:r/>
          </w:p>
          <w:p>
            <w:pPr>
              <w:jc w:val="left"/>
              <w:rPr>
                <w:rFonts w:hint="eastAsia" w:ascii="宋体" w:hAnsi="宋体" w:eastAsia="宋体" w:cs="宋体"/>
                <w:sz w:val="24"/>
                <w:szCs w:val="24"/>
              </w:rPr>
            </w:pPr>
            <w:r>
              <w:rPr>
                <w:rFonts w:hint="eastAsia" w:ascii="宋体" w:hAnsi="宋体" w:eastAsia="宋体" w:cs="宋体"/>
                <w:sz w:val="24"/>
                <w:szCs w:val="24"/>
              </w:rPr>
              <w:t xml:space="preserve">（3）试运行重大故障风险：如试运行期间发生全线停机等严重影响药房发药的故障，投标人的应急抢修方案和业务保障措施（含驻场工程师快速介入的具体流程）。</w:t>
            </w:r>
            <w:r/>
          </w:p>
        </w:tc>
      </w:tr>
      <w:tr>
        <w:trPr/>
        <w:tc>
          <w:tcPr>
            <w:tcW w:w="1609"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评审等级</w:t>
            </w:r>
            <w:r/>
          </w:p>
        </w:tc>
        <w:tc>
          <w:tcPr>
            <w:gridSpan w:val="2"/>
            <w:tcW w:w="1156"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5757" w:type="dxa"/>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优秀</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包含以上全部3项要素，且方案内容详实、时间节点明确（具体到天）、职责分工清晰、预案具体可操作。</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良好</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包含以上任意2项要素，方案较为完整。</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一般</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包含以上任意1项要素，方案基本完整。</w:t>
            </w:r>
            <w:r/>
          </w:p>
        </w:tc>
      </w:tr>
      <w:tr>
        <w:trPr/>
        <w:tc>
          <w:tcPr>
            <w:tcW w:w="16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较差</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1分</w:t>
            </w:r>
            <w:r/>
          </w:p>
        </w:tc>
        <w:tc>
          <w:tcPr>
            <w:tcW w:w="575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方案内容粗略，仅简单提及，未包含上述要素或内容与本项目关联弱。</w:t>
            </w:r>
            <w:r/>
          </w:p>
        </w:tc>
      </w:tr>
      <w:tr>
        <w:trPr/>
        <w:tc>
          <w:tcPr>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无方案</w:t>
            </w:r>
            <w:r/>
          </w:p>
        </w:tc>
        <w:tc>
          <w:tcPr>
            <w:gridSpan w:val="2"/>
            <w:tcW w:w="11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0分</w:t>
            </w:r>
            <w:r/>
          </w:p>
        </w:tc>
        <w:tc>
          <w:tcPr>
            <w:tcW w:w="5757"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未提供项目实施与风险管理方案相关内容。</w:t>
            </w:r>
            <w:r/>
          </w:p>
        </w:tc>
      </w:tr>
    </w:tbl>
    <w:p>
      <w:pPr>
        <w:pStyle w:val="966"/>
        <w:ind w:firstLine="0"/>
        <w:rPr>
          <w:rFonts w:hint="eastAsia" w:cs="仿宋" w:asciiTheme="minorEastAsia" w:hAnsiTheme="minorEastAsia" w:eastAsiaTheme="minorEastAsia"/>
          <w:b/>
          <w:color w:val="000000" w:themeColor="text1"/>
          <w:sz w:val="24"/>
          <w:szCs w:val="24"/>
          <w:highlight w:val="yellow"/>
          <w14:textFill>
            <w14:solidFill>
              <w14:schemeClr w14:val="tx1"/>
            </w14:solidFill>
          </w14:textFill>
        </w:rPr>
      </w:pPr>
      <w:r>
        <w:rPr>
          <w:rFonts w:hint="eastAsia" w:cs="仿宋" w:asciiTheme="minorEastAsia" w:hAnsiTheme="minorEastAsia" w:eastAsiaTheme="minorEastAsia"/>
          <w:b/>
          <w:color w:val="000000" w:themeColor="text1"/>
          <w:sz w:val="24"/>
          <w:szCs w:val="24"/>
          <w:highlight w:val="yellow"/>
          <w14:textFill>
            <w14:solidFill>
              <w14:schemeClr w14:val="tx1"/>
            </w14:solidFill>
          </w14:textFill>
        </w:rPr>
      </w:r>
      <w:r/>
    </w:p>
    <w:p>
      <w:pPr>
        <w:pStyle w:val="966"/>
        <w:ind w:firstLine="0"/>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三、推荐中标候选人:</w:t>
      </w:r>
      <w:r/>
    </w:p>
    <w:p>
      <w:pPr>
        <w:ind w:firstLine="488"/>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汇总上述各项分值（保留两位小数,小数点后第三位四舍五入），按总得分由高到低的顺序排列,综合得分最高的为中标候</w:t>
      </w:r>
      <w:bookmarkEnd w:id="44"/>
      <w:r/>
      <w:r/>
    </w:p>
    <w:p>
      <w:pPr>
        <w:spacing w:line="300" w:lineRule="auto"/>
        <w:rPr>
          <w:rFonts w:hint="eastAsia" w:cs="仿宋" w:asciiTheme="minorEastAsia" w:hAnsiTheme="minorEastAsia" w:eastAsiaTheme="minorEastAsia"/>
          <w:b/>
          <w:color w:val="000000" w:themeColor="text1"/>
          <w:sz w:val="32"/>
          <w:szCs w:val="32"/>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jc w:val="center"/>
        <w:spacing w:line="300" w:lineRule="auto"/>
        <w:rPr>
          <w:rFonts w:hint="eastAsia" w:cs="仿宋" w:asciiTheme="minorEastAsia" w:hAnsiTheme="minorEastAsia" w:eastAsiaTheme="minorEastAsia"/>
          <w:b/>
          <w:color w:val="000000" w:themeColor="text1"/>
          <w:sz w:val="32"/>
          <w:szCs w:val="32"/>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第五章 合同条款</w:t>
      </w:r>
      <w:r/>
    </w:p>
    <w:p>
      <w:pPr>
        <w:ind w:firstLine="567"/>
        <w:jc w:val="center"/>
        <w:rPr>
          <w:rFonts w:hint="eastAsia" w:ascii="宋体" w:hAnsi="宋体" w:eastAsia="宋体" w:cs="仿宋"/>
          <w:bCs/>
          <w:color w:val="000000" w:themeColor="text1"/>
          <w:sz w:val="24"/>
          <w:szCs w:val="24"/>
          <w14:textFill>
            <w14:solidFill>
              <w14:schemeClr w14:val="tx1"/>
            </w14:solidFill>
          </w14:textFill>
        </w:rPr>
      </w:pPr>
      <w:r>
        <w:rPr>
          <w:rFonts w:hint="eastAsia" w:ascii="宋体" w:hAnsi="宋体" w:eastAsia="宋体" w:cs="仿宋"/>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以下为成交后签订本项目合同的通用条款，成交供应商不得提出实质性的修改，关于专用条款将由采购人与成交供应商结合本项目具体情况协商后签订。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b/>
          <w:bCs/>
          <w:sz w:val="24"/>
          <w:szCs w:val="24"/>
        </w:rPr>
        <w:t xml:space="preserve">设备采购合同</w:t>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委托方：                                         （以下简称甲方）</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            电话：                 邮箱：</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受托方：泰州市第四人民医院                       （以下简称乙方）</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地址：泰州市海陵区鼓楼北路99号              </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            电话：                 邮箱：</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中标方：                                         （以下简称丙方）</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            电话：                 邮箱：</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丙方在参与甲方委托乙方组织实施的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医疗设备采购项目中中标，根据《中华人民共和国民法典》及相关规定，甲、乙、丙三方就采购以下货物事宜，经友好协商，订立如下合同：</w:t>
      </w:r>
      <w:r/>
    </w:p>
    <w:p>
      <w:pPr>
        <w:jc w:val="left"/>
        <w:spacing w:line="360" w:lineRule="exact"/>
        <w:rPr>
          <w:rFonts w:hint="eastAsia" w:ascii="宋体" w:hAnsi="宋体" w:eastAsia="宋体" w:cs="宋体"/>
          <w:sz w:val="24"/>
          <w:szCs w:val="24"/>
        </w:rPr>
      </w:pPr>
      <w:r>
        <w:rPr>
          <w:rFonts w:hint="eastAsia" w:ascii="宋体" w:hAnsi="宋体" w:eastAsia="宋体" w:cs="宋体"/>
          <w:b/>
          <w:sz w:val="24"/>
          <w:szCs w:val="24"/>
        </w:rPr>
        <w:t xml:space="preserve">一、委托范围及采购内容</w:t>
      </w:r>
      <w:r/>
    </w:p>
    <w:p>
      <w:pPr>
        <w:ind w:left="360" w:hanging="36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1、乙方接受甲方委托并以乙方名义对下述医疗设备实施采购。</w:t>
      </w:r>
      <w:r/>
    </w:p>
    <w:tbl>
      <w:tblPr>
        <w:tblStyle w:val="957"/>
        <w:tblpPr w:horzAnchor="page" w:tblpX="1525" w:vertAnchor="text" w:tblpY="37" w:leftFromText="180" w:topFromText="0" w:rightFromText="180" w:bottomFromText="0"/>
        <w:tblW w:w="92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747"/>
        <w:gridCol w:w="1296"/>
        <w:gridCol w:w="1145"/>
        <w:gridCol w:w="1122"/>
        <w:gridCol w:w="570"/>
        <w:gridCol w:w="607"/>
        <w:gridCol w:w="1335"/>
        <w:gridCol w:w="1410"/>
      </w:tblGrid>
      <w:tr>
        <w:trPr>
          <w:trHeight w:val="45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before="156"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总金额（元）</w:t>
            </w:r>
            <w:r/>
          </w:p>
        </w:tc>
      </w:tr>
      <w:tr>
        <w:trPr>
          <w:cantSplit/>
          <w:trHeight w:val="799"/>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141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8"/>
        </w:trPr>
        <w:tc>
          <w:tcPr>
            <w:gridSpan w:val="8"/>
            <w:tcBorders>
              <w:top w:val="single" w:color="auto" w:sz="4" w:space="0"/>
              <w:left w:val="single" w:color="auto" w:sz="4" w:space="0"/>
              <w:bottom w:val="single" w:color="auto" w:sz="4" w:space="0"/>
              <w:right w:val="single" w:color="auto" w:sz="4" w:space="0"/>
            </w:tcBorders>
            <w:tcW w:w="9232"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合计（大写）：</w:t>
            </w:r>
            <w:r/>
          </w:p>
        </w:tc>
      </w:tr>
    </w:tbl>
    <w:p>
      <w:pPr>
        <w:spacing w:before="156"/>
        <w:widowControl/>
        <w:rPr>
          <w:rFonts w:hint="eastAsia" w:ascii="宋体" w:hAnsi="宋体" w:eastAsia="宋体" w:cs="宋体"/>
          <w:sz w:val="24"/>
          <w:szCs w:val="24"/>
        </w:rPr>
      </w:pPr>
      <w:r>
        <w:rPr>
          <w:rFonts w:hint="eastAsia" w:ascii="宋体" w:hAnsi="宋体" w:eastAsia="宋体" w:cs="宋体"/>
          <w:sz w:val="24"/>
          <w:szCs w:val="24"/>
        </w:rPr>
        <w:t xml:space="preserve">本合同若有详细的乙、丙双方签字的配置清单，以配置清单内容为准。</w:t>
      </w:r>
      <w:r/>
    </w:p>
    <w:p>
      <w:pPr>
        <w:rPr>
          <w:rFonts w:hint="eastAsia" w:ascii="宋体" w:hAnsi="宋体" w:eastAsia="宋体" w:cs="宋体"/>
          <w:sz w:val="24"/>
          <w:szCs w:val="24"/>
        </w:rPr>
      </w:pPr>
      <w:r>
        <w:rPr>
          <w:rFonts w:hint="eastAsia" w:ascii="宋体" w:hAnsi="宋体" w:eastAsia="宋体" w:cs="宋体"/>
          <w:sz w:val="24"/>
          <w:szCs w:val="24"/>
        </w:rPr>
        <w:t xml:space="preserve">2、 设备的交付期 丙方在合同生效的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天内向甲方交付上述设备，逾期将按照本合同第五项索赔条款规定执行。 </w:t>
      </w:r>
      <w:r/>
    </w:p>
    <w:p>
      <w:pPr>
        <w:rPr>
          <w:rFonts w:hint="eastAsia" w:ascii="宋体" w:hAnsi="宋体" w:eastAsia="宋体" w:cs="宋体"/>
          <w:sz w:val="24"/>
          <w:szCs w:val="24"/>
        </w:rPr>
      </w:pPr>
      <w:r>
        <w:rPr>
          <w:rFonts w:hint="eastAsia" w:ascii="宋体" w:hAnsi="宋体" w:eastAsia="宋体" w:cs="宋体"/>
          <w:sz w:val="24"/>
          <w:szCs w:val="24"/>
        </w:rPr>
        <w:t xml:space="preserve">3、设备运输、安装和验收 </w:t>
      </w:r>
      <w:r/>
    </w:p>
    <w:p>
      <w:pPr>
        <w:rPr>
          <w:rFonts w:hint="eastAsia" w:ascii="宋体" w:hAnsi="宋体" w:eastAsia="宋体" w:cs="宋体"/>
          <w:sz w:val="24"/>
          <w:szCs w:val="24"/>
        </w:rPr>
      </w:pPr>
      <w:r>
        <w:rPr>
          <w:rFonts w:hint="eastAsia" w:ascii="宋体" w:hAnsi="宋体" w:eastAsia="宋体" w:cs="宋体"/>
          <w:sz w:val="24"/>
          <w:szCs w:val="24"/>
        </w:rPr>
        <w:t xml:space="preserve">  3.1丙方确保设备安全无损地运抵甲方指定现场（乙方指定位置）,并承担设备的运费、保险费、装卸费等费用。 </w:t>
      </w:r>
      <w:r/>
    </w:p>
    <w:p>
      <w:pPr>
        <w:rPr>
          <w:rFonts w:hint="eastAsia" w:ascii="宋体" w:hAnsi="宋体" w:eastAsia="宋体" w:cs="宋体"/>
          <w:sz w:val="24"/>
          <w:szCs w:val="24"/>
        </w:rPr>
      </w:pPr>
      <w:r>
        <w:rPr>
          <w:rFonts w:hint="eastAsia" w:ascii="宋体" w:hAnsi="宋体" w:eastAsia="宋体" w:cs="宋体"/>
          <w:sz w:val="24"/>
          <w:szCs w:val="24"/>
        </w:rPr>
        <w:t xml:space="preserve">  3.2甲乙双方对设备进行开箱清点检查验收，如果发现数量不足或有质量、技术等问题，丙方应在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天内，按照甲或乙方的要求，采取补足、更换或退货等处理措施直至满足验收要求，且不得影响临床正常诊疗，由此引发的一切损失和费用由丙方承担。</w:t>
      </w:r>
      <w:r/>
    </w:p>
    <w:p>
      <w:pPr>
        <w:rPr>
          <w:rFonts w:hint="eastAsia" w:ascii="宋体" w:hAnsi="宋体" w:eastAsia="宋体" w:cs="宋体"/>
          <w:sz w:val="24"/>
          <w:szCs w:val="24"/>
        </w:rPr>
      </w:pPr>
      <w:r>
        <w:rPr>
          <w:rFonts w:hint="eastAsia" w:ascii="宋体" w:hAnsi="宋体" w:eastAsia="宋体" w:cs="宋体"/>
          <w:sz w:val="24"/>
          <w:szCs w:val="24"/>
        </w:rPr>
        <w:t xml:space="preserve">  3.3设备到货后，丙方应在接到乙方通知后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天内安装调试完成，需要增加接口的，由丙方承担相应接口费等费用。</w:t>
      </w:r>
      <w:r/>
    </w:p>
    <w:p>
      <w:pPr>
        <w:ind w:firstLine="240"/>
        <w:rPr>
          <w:rFonts w:hint="eastAsia" w:ascii="宋体" w:hAnsi="宋体" w:eastAsia="宋体" w:cs="宋体"/>
          <w:sz w:val="24"/>
          <w:szCs w:val="24"/>
        </w:rPr>
      </w:pPr>
      <w:r>
        <w:rPr>
          <w:rFonts w:hint="eastAsia" w:ascii="宋体" w:hAnsi="宋体" w:eastAsia="宋体" w:cs="宋体"/>
          <w:sz w:val="24"/>
          <w:szCs w:val="24"/>
        </w:rPr>
        <w:t xml:space="preserve">3.4 设备安装完毕并稳定运行3个月，作为项目试运行期，试运行期满后验收。</w:t>
      </w:r>
      <w:r/>
    </w:p>
    <w:p>
      <w:pPr>
        <w:pStyle w:val="981"/>
        <w:ind w:firstLine="240"/>
        <w:spacing w:line="312" w:lineRule="atLeast"/>
        <w:rPr>
          <w:rFonts w:hint="eastAsia" w:eastAsia="宋体" w:cs="宋体"/>
          <w:b w:val="0"/>
          <w:sz w:val="24"/>
          <w:szCs w:val="24"/>
        </w:rPr>
      </w:pPr>
      <w:r>
        <w:rPr>
          <w:rFonts w:hint="eastAsia" w:eastAsia="宋体" w:cs="宋体"/>
          <w:b w:val="0"/>
          <w:sz w:val="24"/>
          <w:szCs w:val="24"/>
        </w:rPr>
        <w:t xml:space="preserve">3.5 设备运输、安装调试过程中，如发生安全事故（包括但不限于设备设施毁损灭失风险、车辆安全、人员安全及造成的第三方人身伤害或财产损失）由丙方自行承担经济损失和法律责任。</w:t>
      </w:r>
      <w:r/>
    </w:p>
    <w:p>
      <w:pPr>
        <w:ind w:firstLine="240"/>
        <w:rPr>
          <w:rFonts w:hint="eastAsia" w:ascii="宋体" w:hAnsi="宋体" w:eastAsia="宋体" w:cs="宋体"/>
          <w:sz w:val="24"/>
          <w:szCs w:val="24"/>
        </w:rPr>
      </w:pPr>
      <w:r>
        <w:rPr>
          <w:rFonts w:hint="eastAsia" w:ascii="宋体" w:hAnsi="宋体" w:eastAsia="宋体" w:cs="宋体"/>
          <w:bCs/>
          <w:sz w:val="24"/>
          <w:szCs w:val="24"/>
        </w:rPr>
        <w:t xml:space="preserve">3.6乙、丙双方在符合国家相关技术标准的基础上，根据合同的技术标准(见附件)进行技术验收，验收合格后，双方在《验收报告》上签字确认。</w:t>
      </w:r>
      <w:r/>
    </w:p>
    <w:p>
      <w:pPr>
        <w:jc w:val="left"/>
        <w:spacing w:line="360" w:lineRule="exact"/>
        <w:rPr>
          <w:rFonts w:hint="eastAsia" w:ascii="宋体" w:hAnsi="宋体" w:eastAsia="宋体" w:cs="宋体"/>
          <w:b/>
          <w:sz w:val="24"/>
          <w:szCs w:val="24"/>
        </w:rPr>
      </w:pPr>
      <w:r>
        <w:rPr>
          <w:rFonts w:hint="eastAsia" w:ascii="宋体" w:hAnsi="宋体" w:eastAsia="宋体" w:cs="宋体"/>
          <w:sz w:val="24"/>
          <w:szCs w:val="24"/>
        </w:rPr>
        <w:t xml:space="preserve">二、 </w:t>
      </w:r>
      <w:r>
        <w:rPr>
          <w:rFonts w:hint="eastAsia" w:ascii="宋体" w:hAnsi="宋体" w:eastAsia="宋体" w:cs="宋体"/>
          <w:b/>
          <w:sz w:val="24"/>
          <w:szCs w:val="24"/>
        </w:rPr>
        <w:t xml:space="preserve">合同总价和支付方式</w:t>
      </w:r>
      <w:r/>
    </w:p>
    <w:p>
      <w:pPr>
        <w:ind w:left="360" w:hanging="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1、甲方同意支付合同总价人民币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。该合同总价包含货款及与设备采购有关的一切费用。</w:t>
      </w:r>
      <w:r/>
    </w:p>
    <w:p>
      <w:pPr>
        <w:rPr>
          <w:rFonts w:hint="eastAsia" w:ascii="宋体" w:hAnsi="宋体" w:eastAsia="宋体" w:cs="宋体"/>
          <w:sz w:val="24"/>
          <w:szCs w:val="24"/>
        </w:rPr>
      </w:pPr>
      <w:r>
        <w:rPr>
          <w:rFonts w:hint="eastAsia" w:ascii="宋体" w:hAnsi="宋体" w:eastAsia="宋体" w:cs="宋体"/>
          <w:sz w:val="24"/>
          <w:szCs w:val="24"/>
        </w:rPr>
        <w:t xml:space="preserve">2、甲方在合同生效后</w:t>
      </w:r>
      <w:r>
        <w:rPr>
          <w:rFonts w:hint="eastAsia" w:ascii="宋体" w:hAnsi="宋体" w:eastAsia="宋体" w:cs="宋体"/>
          <w:sz w:val="24"/>
          <w:szCs w:val="24"/>
          <w:u w:val="single"/>
        </w:rPr>
        <w:t xml:space="preserve">   日</w:t>
      </w:r>
      <w:r>
        <w:rPr>
          <w:rFonts w:hint="eastAsia" w:ascii="宋体" w:hAnsi="宋体" w:eastAsia="宋体" w:cs="宋体"/>
          <w:sz w:val="24"/>
          <w:szCs w:val="24"/>
        </w:rPr>
        <w:t xml:space="preserve">内先以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方式预付货款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元至丙方账户；安装调试验收合格正常使用后以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方式付货款的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元至丙方账户，余款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%自设备验收合格之日起满一年后7个工作日内付清（所有未付款均不计息）。甲方付款前丙方应提供正规有效的增值税发票，否则甲方有权顺延付款期限且不承担任何责任。</w:t>
      </w:r>
      <w:r/>
    </w:p>
    <w:p>
      <w:pPr>
        <w:rPr>
          <w:rFonts w:hint="eastAsia" w:ascii="宋体" w:hAnsi="宋体" w:eastAsia="宋体" w:cs="宋体"/>
          <w:sz w:val="24"/>
          <w:szCs w:val="24"/>
        </w:rPr>
      </w:pPr>
      <w:r>
        <w:rPr>
          <w:rFonts w:hint="eastAsia" w:ascii="宋体" w:hAnsi="宋体" w:eastAsia="宋体" w:cs="宋体"/>
          <w:b/>
          <w:bCs/>
          <w:sz w:val="24"/>
          <w:szCs w:val="24"/>
        </w:rPr>
        <w:t xml:space="preserve">三、 伴随服务</w:t>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1、丙方应提供设备的技术文件，包括相应的图纸、操作手册、维护手册、质量保证文件、服务指南等，上述文件随同设备一起发运至乙方。</w:t>
      </w:r>
      <w:r/>
    </w:p>
    <w:p>
      <w:pPr>
        <w:rPr>
          <w:rFonts w:hint="eastAsia" w:ascii="宋体" w:hAnsi="宋体" w:eastAsia="宋体" w:cs="宋体"/>
          <w:sz w:val="24"/>
          <w:szCs w:val="24"/>
        </w:rPr>
      </w:pPr>
      <w:r>
        <w:rPr>
          <w:rFonts w:hint="eastAsia" w:ascii="宋体" w:hAnsi="宋体" w:eastAsia="宋体" w:cs="宋体"/>
          <w:sz w:val="24"/>
          <w:szCs w:val="24"/>
        </w:rPr>
        <w:t xml:space="preserve">2、丙方还应免费提供下列服务：</w:t>
      </w:r>
      <w:r/>
    </w:p>
    <w:p>
      <w:pPr>
        <w:rPr>
          <w:rFonts w:hint="eastAsia" w:ascii="宋体" w:hAnsi="宋体" w:eastAsia="宋体" w:cs="宋体"/>
          <w:sz w:val="24"/>
          <w:szCs w:val="24"/>
        </w:rPr>
      </w:pPr>
      <w:r>
        <w:rPr>
          <w:rFonts w:hint="eastAsia" w:ascii="宋体" w:hAnsi="宋体" w:eastAsia="宋体" w:cs="宋体"/>
          <w:sz w:val="24"/>
          <w:szCs w:val="24"/>
        </w:rPr>
        <w:t xml:space="preserve">  2.1设备的现场安装、调试、维修、保养、检定、校准等；</w:t>
      </w:r>
      <w:r/>
    </w:p>
    <w:p>
      <w:pPr>
        <w:rPr>
          <w:rFonts w:hint="eastAsia" w:ascii="宋体" w:hAnsi="宋体" w:eastAsia="宋体" w:cs="宋体"/>
          <w:sz w:val="24"/>
          <w:szCs w:val="24"/>
        </w:rPr>
      </w:pPr>
      <w:r>
        <w:rPr>
          <w:rFonts w:hint="eastAsia" w:ascii="宋体" w:hAnsi="宋体" w:eastAsia="宋体" w:cs="宋体"/>
          <w:sz w:val="24"/>
          <w:szCs w:val="24"/>
        </w:rPr>
        <w:t xml:space="preserve">  2.2提供设备安装和维修所需的专用工具和辅助材料； </w:t>
      </w:r>
      <w:r/>
    </w:p>
    <w:p>
      <w:pPr>
        <w:rPr>
          <w:rFonts w:hint="eastAsia" w:ascii="宋体" w:hAnsi="宋体" w:eastAsia="宋体" w:cs="宋体"/>
          <w:b/>
          <w:bCs/>
          <w:sz w:val="24"/>
          <w:szCs w:val="24"/>
        </w:rPr>
      </w:pPr>
      <w:r>
        <w:rPr>
          <w:rFonts w:hint="eastAsia" w:ascii="宋体" w:hAnsi="宋体" w:eastAsia="宋体" w:cs="宋体"/>
          <w:sz w:val="24"/>
          <w:szCs w:val="24"/>
        </w:rPr>
        <w:t xml:space="preserve">  2.3丙方应派专业技术人员在项目现场对乙方使用人员进行培训或指导，在使用一段时间后应根据乙方的要求另行安排培训计划。如设备软件升级，丙方免费提供软件升级服务。</w:t>
      </w:r>
      <w:r/>
    </w:p>
    <w:p>
      <w:pPr>
        <w:rPr>
          <w:rFonts w:hint="eastAsia" w:ascii="宋体" w:hAnsi="宋体" w:eastAsia="宋体" w:cs="宋体"/>
          <w:b/>
          <w:bCs/>
          <w:sz w:val="24"/>
          <w:szCs w:val="24"/>
        </w:rPr>
      </w:pPr>
      <w:r>
        <w:rPr>
          <w:rFonts w:hint="eastAsia" w:ascii="宋体" w:hAnsi="宋体" w:eastAsia="宋体" w:cs="宋体"/>
          <w:b/>
          <w:bCs/>
          <w:sz w:val="24"/>
          <w:szCs w:val="24"/>
        </w:rPr>
        <w:t xml:space="preserve">四、质量保证及售后服务</w:t>
      </w:r>
      <w:r/>
    </w:p>
    <w:p>
      <w:pPr>
        <w:rPr>
          <w:rFonts w:hint="eastAsia" w:ascii="宋体" w:hAnsi="宋体" w:eastAsia="宋体" w:cs="宋体"/>
          <w:sz w:val="24"/>
          <w:szCs w:val="24"/>
        </w:rPr>
      </w:pPr>
      <w:r>
        <w:rPr>
          <w:rFonts w:hint="eastAsia" w:ascii="宋体" w:hAnsi="宋体" w:eastAsia="宋体" w:cs="宋体"/>
          <w:sz w:val="24"/>
          <w:szCs w:val="24"/>
        </w:rPr>
        <w:t xml:space="preserve">1、丙方应保证所供设备为</w:t>
      </w:r>
      <w:r>
        <w:rPr>
          <w:rFonts w:hint="eastAsia" w:ascii="宋体" w:hAnsi="宋体" w:eastAsia="宋体" w:cs="宋体"/>
          <w:sz w:val="24"/>
          <w:szCs w:val="24"/>
          <w:u w:val="single"/>
        </w:rPr>
        <w:t xml:space="preserve">合同签订前一年内 </w:t>
      </w:r>
      <w:r>
        <w:rPr>
          <w:rFonts w:hint="eastAsia" w:ascii="宋体" w:hAnsi="宋体" w:eastAsia="宋体" w:cs="宋体"/>
          <w:sz w:val="24"/>
          <w:szCs w:val="24"/>
        </w:rPr>
        <w:t xml:space="preserve">生产的全新的、未使用过的，并符合国家有关标准、制造厂标准及合同技术标准要求的设备。如果设备的质量或规格与合同不符，或证实设备是有缺陷的，包括潜在的缺陷或使用不符合要求的材料等，丙方应在接到甲方通知后7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r/>
    </w:p>
    <w:p>
      <w:pPr>
        <w:rPr>
          <w:rFonts w:hint="eastAsia" w:ascii="宋体" w:hAnsi="宋体" w:eastAsia="宋体" w:cs="宋体"/>
          <w:sz w:val="24"/>
          <w:szCs w:val="24"/>
        </w:rPr>
      </w:pPr>
      <w:r>
        <w:rPr>
          <w:rFonts w:hint="eastAsia" w:ascii="宋体" w:hAnsi="宋体" w:eastAsia="宋体" w:cs="宋体"/>
          <w:sz w:val="24"/>
          <w:szCs w:val="24"/>
        </w:rPr>
        <w:t xml:space="preserve">2、丙方应提供原厂免费保修期</w:t>
      </w:r>
      <w:r>
        <w:rPr>
          <w:rFonts w:hint="eastAsia" w:ascii="宋体" w:hAnsi="宋体" w:eastAsia="宋体" w:cs="宋体"/>
          <w:sz w:val="24"/>
          <w:szCs w:val="24"/>
          <w:u w:val="single"/>
        </w:rPr>
        <w:t xml:space="preserve">    个</w:t>
      </w:r>
      <w:r>
        <w:rPr>
          <w:rFonts w:hint="eastAsia" w:ascii="宋体" w:hAnsi="宋体" w:eastAsia="宋体" w:cs="宋体"/>
          <w:sz w:val="24"/>
          <w:szCs w:val="24"/>
        </w:rPr>
        <w:t xml:space="preserve">月，保修期的期限应从乙丙双方的验收合格之日起计算，保修为全保(包括但不限于所有原厂设备的校准、质控、软硬件、所需配件、人工费、维修人员车旅费等）。</w:t>
      </w:r>
      <w:r/>
    </w:p>
    <w:p>
      <w:pPr>
        <w:rPr>
          <w:rFonts w:hint="eastAsia" w:ascii="宋体" w:hAnsi="宋体" w:eastAsia="宋体" w:cs="宋体"/>
          <w:sz w:val="24"/>
          <w:szCs w:val="24"/>
        </w:rPr>
      </w:pPr>
      <w:r>
        <w:rPr>
          <w:rFonts w:hint="eastAsia" w:ascii="宋体" w:hAnsi="宋体" w:eastAsia="宋体" w:cs="宋体"/>
          <w:sz w:val="24"/>
          <w:szCs w:val="24"/>
        </w:rPr>
        <w:t xml:space="preserve">3、设备报修响应时间为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小时，到场时间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小时内修复或免费提供备用机，否则乙方可自行采取必要措施，由此产生的风险和费用由丙方承担。如有特殊情况，丙方应立即通知乙方不能响应的原因，经乙方同意后，方可推迟响应时间。</w:t>
      </w:r>
      <w:r/>
    </w:p>
    <w:p>
      <w:pPr>
        <w:rPr>
          <w:rFonts w:hint="eastAsia" w:ascii="宋体" w:hAnsi="宋体" w:eastAsia="宋体" w:cs="宋体"/>
          <w:sz w:val="24"/>
          <w:szCs w:val="24"/>
        </w:rPr>
      </w:pPr>
      <w:r>
        <w:rPr>
          <w:rFonts w:hint="eastAsia" w:ascii="宋体" w:hAnsi="宋体" w:eastAsia="宋体" w:cs="宋体"/>
          <w:sz w:val="24"/>
          <w:szCs w:val="24"/>
        </w:rPr>
        <w:t xml:space="preserve">4、保修期满后，人工费为单次故障不高于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元，丙方免费提供年度定期预防性维护保养次数，次数不少于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次/年（特殊情况具体协商）。</w:t>
      </w:r>
      <w:r/>
    </w:p>
    <w:p>
      <w:pPr>
        <w:rPr>
          <w:rFonts w:hint="eastAsia" w:ascii="宋体" w:hAnsi="宋体" w:eastAsia="宋体" w:cs="宋体"/>
          <w:b/>
          <w:bCs/>
          <w:sz w:val="24"/>
          <w:szCs w:val="24"/>
        </w:rPr>
      </w:pPr>
      <w:r>
        <w:rPr>
          <w:rFonts w:hint="eastAsia" w:ascii="宋体" w:hAnsi="宋体" w:eastAsia="宋体" w:cs="宋体"/>
          <w:sz w:val="24"/>
          <w:szCs w:val="24"/>
        </w:rPr>
        <w:t xml:space="preserve">5、保修期满后，丙方应继续提供优质的服务且对设备负责终身维修，储备足够的零配件备库，以市场零售价</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的优惠价供应维修零配件，消耗品的供应应由乙丙双方另设协议决定。</w:t>
      </w:r>
      <w:r/>
    </w:p>
    <w:p>
      <w:pPr>
        <w:rPr>
          <w:rFonts w:hint="eastAsia" w:ascii="宋体" w:hAnsi="宋体" w:eastAsia="宋体" w:cs="宋体"/>
          <w:sz w:val="24"/>
          <w:szCs w:val="24"/>
        </w:rPr>
      </w:pPr>
      <w:r>
        <w:rPr>
          <w:rFonts w:hint="eastAsia" w:ascii="宋体" w:hAnsi="宋体" w:eastAsia="宋体" w:cs="宋体"/>
          <w:b/>
          <w:bCs/>
          <w:sz w:val="24"/>
          <w:szCs w:val="24"/>
        </w:rPr>
        <w:t xml:space="preserve">五、索赔条款</w:t>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1、如经国家相关机构检验确认货物不符合本合同约定，甲或乙方有权选择下列方式之一要求丙方进行补救：</w:t>
      </w:r>
      <w:r/>
    </w:p>
    <w:p>
      <w:pPr>
        <w:rPr>
          <w:rFonts w:hint="eastAsia" w:ascii="宋体" w:hAnsi="宋体" w:eastAsia="宋体" w:cs="宋体"/>
          <w:sz w:val="24"/>
          <w:szCs w:val="24"/>
        </w:rPr>
      </w:pPr>
      <w:r>
        <w:rPr>
          <w:rFonts w:hint="eastAsia" w:ascii="宋体" w:hAnsi="宋体" w:eastAsia="宋体" w:cs="宋体"/>
          <w:sz w:val="24"/>
          <w:szCs w:val="24"/>
        </w:rPr>
        <w:t xml:space="preserve">1.1同意甲或乙方退货，并将全额货款偿还甲方，并承担因退货所产生的一切直接经济损失。</w:t>
      </w:r>
      <w:r/>
    </w:p>
    <w:p>
      <w:pPr>
        <w:rPr>
          <w:rFonts w:hint="eastAsia" w:ascii="宋体" w:hAnsi="宋体" w:eastAsia="宋体" w:cs="宋体"/>
          <w:sz w:val="24"/>
          <w:szCs w:val="24"/>
        </w:rPr>
      </w:pPr>
      <w:r>
        <w:rPr>
          <w:rFonts w:hint="eastAsia" w:ascii="宋体" w:hAnsi="宋体" w:eastAsia="宋体" w:cs="宋体"/>
          <w:sz w:val="24"/>
          <w:szCs w:val="24"/>
        </w:rPr>
        <w:t xml:space="preserve">1.2按照货物的疵劣程度、损坏的范围及甲乙双方所遭受的损失，将货物对应贬值结算。</w:t>
      </w:r>
      <w:r/>
    </w:p>
    <w:p>
      <w:pPr>
        <w:rPr>
          <w:rFonts w:hint="eastAsia" w:ascii="宋体" w:hAnsi="宋体" w:eastAsia="宋体" w:cs="宋体"/>
          <w:sz w:val="24"/>
          <w:szCs w:val="24"/>
        </w:rPr>
      </w:pPr>
      <w:r>
        <w:rPr>
          <w:rFonts w:hint="eastAsia" w:ascii="宋体" w:hAnsi="宋体" w:eastAsia="宋体" w:cs="宋体"/>
          <w:sz w:val="24"/>
          <w:szCs w:val="24"/>
        </w:rPr>
        <w:t xml:space="preserve">1.3调换有瑕疵的货物，换货必须全新并符合本合同规定的规格，质量和性能，因此所产生的一切经济损失由丙方负责。</w:t>
      </w:r>
      <w:r/>
    </w:p>
    <w:p>
      <w:r>
        <w:t xml:space="preserve">2、</w:t>
      </w:r>
      <w:r>
        <w:rPr>
          <w:rFonts w:hint="eastAsia" w:ascii="宋体" w:hAnsi="宋体" w:eastAsia="宋体" w:cs="宋体"/>
          <w:sz w:val="24"/>
          <w:szCs w:val="24"/>
        </w:rPr>
        <w:t xml:space="preserve">如果丙方没有按照合同约定的时间地点完成交货和提供服务，在不影响合同项下的其他条款执行及临床正常诊疗的情况下的补救办法：每逾期一天，按合同总价的0.5%支付违约金。逾期超过15天，采购人有权单方解除合同，没收履约保证金。一旦达到误期赔偿的最高限额，甲方有权终止合同。</w:t>
      </w:r>
      <w:r/>
    </w:p>
    <w:p>
      <w:pPr>
        <w:numPr>
          <w:ilvl w:val="255"/>
          <w:numId w:val="0"/>
        </w:numPr>
      </w:pPr>
      <w:r>
        <w:rPr>
          <w:rFonts w:hint="eastAsia"/>
        </w:rPr>
        <w:t xml:space="preserve">3、如果丙方违反采购需求中的违约条款，如接口费用、耗材反垄断条款等，甲方有权终止合同。</w:t>
      </w:r>
      <w:r/>
    </w:p>
    <w:p>
      <w:pPr>
        <w:rPr>
          <w:rFonts w:hint="eastAsia" w:ascii="宋体" w:hAnsi="宋体" w:eastAsia="宋体" w:cs="宋体"/>
          <w:sz w:val="24"/>
          <w:szCs w:val="24"/>
        </w:rPr>
      </w:pPr>
      <w:r>
        <w:rPr>
          <w:rFonts w:hint="eastAsia" w:ascii="宋体" w:hAnsi="宋体" w:eastAsia="宋体" w:cs="宋体"/>
          <w:sz w:val="24"/>
          <w:szCs w:val="24"/>
        </w:rPr>
        <w:t xml:space="preserve">4、无论在保修期内或保修期外，丙方工程师均应至乙方维修本设备，必须与乙方医疗设备管理部门取得联系，在完成相应登记手续后，与乙方工程师共同完成维修工作。否则，引起的一切责任由丙方承担。</w:t>
      </w:r>
      <w:r/>
    </w:p>
    <w:p>
      <w:pPr>
        <w:rPr>
          <w:rFonts w:hint="eastAsia" w:ascii="宋体" w:hAnsi="宋体" w:eastAsia="宋体" w:cs="宋体"/>
          <w:sz w:val="24"/>
          <w:szCs w:val="24"/>
        </w:rPr>
      </w:pPr>
      <w:r>
        <w:rPr>
          <w:rFonts w:hint="eastAsia" w:ascii="宋体" w:hAnsi="宋体" w:eastAsia="宋体" w:cs="宋体"/>
          <w:sz w:val="24"/>
          <w:szCs w:val="24"/>
        </w:rPr>
        <w:t xml:space="preserve">5、丙方应保证甲方和乙方使用部门在使用该设备或其任何一部分时免受第三方提出侵犯其专利权、商标权或设备所有权等的起诉，否则丙方应承担由此引起的一切经济损失（包括但不限于甲方及乙方遭受的经济损失，因涉诉产生的律师费、诉讼费、差旅费及需支付的第三方经济赔偿等）和法律责任。</w:t>
      </w:r>
      <w:r/>
    </w:p>
    <w:p>
      <w:pPr>
        <w:rPr>
          <w:rFonts w:hint="eastAsia" w:ascii="宋体" w:hAnsi="宋体" w:eastAsia="宋体" w:cs="宋体"/>
          <w:b/>
          <w:bCs/>
          <w:sz w:val="24"/>
          <w:szCs w:val="24"/>
        </w:rPr>
      </w:pPr>
      <w:r>
        <w:rPr>
          <w:rFonts w:hint="eastAsia" w:ascii="宋体" w:hAnsi="宋体" w:eastAsia="宋体" w:cs="宋体"/>
          <w:sz w:val="24"/>
          <w:szCs w:val="24"/>
        </w:rPr>
        <w:t xml:space="preserve">6、如因丙方未按本合同约定履行义务导致本合同涉诉，丙方应承担甲方及乙方为主张权利而产生的全部费用（包括但不限于律师费、诉讼费、保全费、鉴定费、公证费、差旅费等）。</w:t>
      </w:r>
      <w:r/>
    </w:p>
    <w:p>
      <w:pPr>
        <w:rPr>
          <w:rFonts w:hint="eastAsia" w:ascii="宋体" w:hAnsi="宋体" w:eastAsia="宋体" w:cs="宋体"/>
          <w:b/>
          <w:bCs/>
          <w:sz w:val="24"/>
          <w:szCs w:val="24"/>
        </w:rPr>
      </w:pPr>
      <w:r>
        <w:rPr>
          <w:rFonts w:hint="eastAsia" w:ascii="宋体" w:hAnsi="宋体" w:eastAsia="宋体" w:cs="宋体"/>
          <w:b/>
          <w:bCs/>
          <w:sz w:val="24"/>
          <w:szCs w:val="24"/>
        </w:rPr>
        <w:t xml:space="preserve">六、丙方承诺：</w:t>
      </w:r>
      <w:r>
        <w:rPr>
          <w:rFonts w:hint="eastAsia" w:ascii="宋体" w:hAnsi="宋体" w:eastAsia="宋体" w:cs="宋体"/>
          <w:sz w:val="24"/>
          <w:szCs w:val="24"/>
        </w:rPr>
        <w:t xml:space="preserve">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如库存、销售、临床科室或医务人员使用量等)。</w:t>
      </w:r>
      <w:r/>
    </w:p>
    <w:p>
      <w:pPr>
        <w:rPr>
          <w:rFonts w:hint="eastAsia" w:ascii="宋体" w:hAnsi="宋体" w:eastAsia="宋体" w:cs="宋体"/>
          <w:sz w:val="24"/>
          <w:szCs w:val="24"/>
        </w:rPr>
      </w:pPr>
      <w:r>
        <w:rPr>
          <w:rFonts w:hint="eastAsia" w:ascii="宋体" w:hAnsi="宋体" w:eastAsia="宋体" w:cs="宋体"/>
          <w:b/>
          <w:bCs/>
          <w:sz w:val="24"/>
          <w:szCs w:val="24"/>
        </w:rPr>
        <w:t xml:space="preserve">七、争议的解决 </w:t>
      </w:r>
      <w:r/>
    </w:p>
    <w:p>
      <w:pPr>
        <w:rPr>
          <w:rFonts w:hint="eastAsia" w:ascii="宋体" w:hAnsi="宋体" w:eastAsia="宋体" w:cs="宋体"/>
          <w:b/>
          <w:bCs/>
          <w:sz w:val="24"/>
          <w:szCs w:val="24"/>
        </w:rPr>
      </w:pPr>
      <w:r>
        <w:rPr>
          <w:rFonts w:hint="eastAsia" w:ascii="宋体" w:hAnsi="宋体" w:eastAsia="宋体" w:cs="宋体"/>
          <w:sz w:val="24"/>
          <w:szCs w:val="24"/>
        </w:rPr>
        <w:t xml:space="preserve">各方如在履行合同中发生纠纷，首先应友好协商，协商不成，各方均可向甲方所在地人民法院提起诉讼。</w:t>
      </w:r>
      <w:r/>
    </w:p>
    <w:p>
      <w:pPr>
        <w:rPr>
          <w:rFonts w:hint="eastAsia" w:ascii="宋体" w:hAnsi="宋体" w:eastAsia="宋体" w:cs="宋体"/>
          <w:sz w:val="24"/>
          <w:szCs w:val="24"/>
        </w:rPr>
      </w:pPr>
      <w:r>
        <w:rPr>
          <w:rFonts w:hint="eastAsia" w:ascii="宋体" w:hAnsi="宋体" w:eastAsia="宋体" w:cs="宋体"/>
          <w:b/>
          <w:bCs/>
          <w:sz w:val="24"/>
          <w:szCs w:val="24"/>
        </w:rPr>
        <w:t xml:space="preserve">八、 合同生效</w:t>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1、本合同在甲、乙、丙三方签字盖章后生效。</w:t>
      </w:r>
      <w:r/>
    </w:p>
    <w:p>
      <w:pPr>
        <w:rPr>
          <w:rFonts w:hint="eastAsia" w:ascii="宋体" w:hAnsi="宋体" w:eastAsia="宋体" w:cs="宋体"/>
          <w:sz w:val="24"/>
          <w:szCs w:val="24"/>
        </w:rPr>
      </w:pPr>
      <w:r>
        <w:rPr>
          <w:rFonts w:hint="eastAsia" w:ascii="宋体" w:hAnsi="宋体" w:eastAsia="宋体" w:cs="宋体"/>
          <w:sz w:val="24"/>
          <w:szCs w:val="24"/>
        </w:rPr>
        <w:t xml:space="preserve">2、本合同一式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份，以中文书就，甲方执</w:t>
      </w:r>
      <w:r>
        <w:rPr>
          <w:rFonts w:hint="eastAsia" w:ascii="宋体" w:hAnsi="宋体" w:eastAsia="宋体" w:cs="宋体"/>
          <w:sz w:val="24"/>
          <w:szCs w:val="24"/>
          <w:u w:val="single"/>
        </w:rPr>
        <w:t xml:space="preserve"> 壹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份，丙方执</w:t>
      </w:r>
      <w:r>
        <w:rPr>
          <w:rFonts w:hint="eastAsia" w:ascii="宋体" w:hAnsi="宋体" w:eastAsia="宋体" w:cs="宋体"/>
          <w:sz w:val="24"/>
          <w:szCs w:val="24"/>
          <w:u w:val="single"/>
        </w:rPr>
        <w:t xml:space="preserve"> 壹</w:t>
      </w:r>
      <w:r>
        <w:rPr>
          <w:rFonts w:hint="eastAsia" w:ascii="宋体" w:hAnsi="宋体" w:eastAsia="宋体" w:cs="宋体"/>
          <w:sz w:val="24"/>
          <w:szCs w:val="24"/>
        </w:rPr>
        <w:t xml:space="preserve">份具有相同的法律效应。</w:t>
      </w:r>
      <w:r/>
    </w:p>
    <w:p>
      <w:pPr>
        <w:rPr>
          <w:rFonts w:hint="eastAsia" w:ascii="宋体" w:hAnsi="宋体" w:eastAsia="宋体" w:cs="宋体"/>
          <w:sz w:val="24"/>
          <w:szCs w:val="24"/>
        </w:rPr>
      </w:pPr>
      <w:r>
        <w:rPr>
          <w:rFonts w:hint="eastAsia" w:ascii="宋体" w:hAnsi="宋体" w:eastAsia="宋体" w:cs="宋体"/>
          <w:sz w:val="24"/>
          <w:szCs w:val="24"/>
        </w:rPr>
        <w:t xml:space="preserve">3、合同附件： 合同附件是合同的不可分割的组成部分，与合同具有同等法律效力。</w:t>
      </w:r>
      <w:r/>
    </w:p>
    <w:p>
      <w:pPr>
        <w:rPr>
          <w:rFonts w:hint="eastAsia" w:ascii="宋体" w:hAnsi="宋体" w:eastAsia="宋体" w:cs="宋体"/>
          <w:sz w:val="24"/>
          <w:szCs w:val="24"/>
        </w:rPr>
      </w:pPr>
      <w:r>
        <w:rPr>
          <w:rFonts w:hint="eastAsia" w:ascii="宋体" w:hAnsi="宋体" w:eastAsia="宋体" w:cs="宋体"/>
          <w:sz w:val="24"/>
          <w:szCs w:val="24"/>
        </w:rPr>
        <w:t xml:space="preserve">    3.1配置清单   □设备的配置清单</w:t>
      </w:r>
      <w:r/>
    </w:p>
    <w:p>
      <w:pPr>
        <w:rPr>
          <w:rFonts w:hint="eastAsia" w:ascii="宋体" w:hAnsi="宋体" w:eastAsia="宋体" w:cs="宋体"/>
          <w:b/>
          <w:bCs/>
          <w:sz w:val="24"/>
          <w:szCs w:val="24"/>
        </w:rPr>
      </w:pPr>
      <w:r>
        <w:rPr>
          <w:rFonts w:hint="eastAsia" w:ascii="宋体" w:hAnsi="宋体" w:eastAsia="宋体" w:cs="宋体"/>
          <w:sz w:val="24"/>
          <w:szCs w:val="24"/>
        </w:rPr>
        <w:t xml:space="preserve">    3.2技术标准   □投标文件的技术响应  □设备技术说明 </w:t>
      </w:r>
      <w:r/>
    </w:p>
    <w:p>
      <w:pPr>
        <w:numPr>
          <w:ilvl w:val="0"/>
          <w:numId w:val="11"/>
        </w:numPr>
        <w:rPr>
          <w:rFonts w:hint="eastAsia" w:ascii="宋体" w:hAnsi="宋体" w:eastAsia="宋体" w:cs="宋体"/>
          <w:sz w:val="24"/>
          <w:szCs w:val="24"/>
        </w:rPr>
      </w:pPr>
      <w:r>
        <w:rPr>
          <w:rFonts w:hint="eastAsia" w:ascii="宋体" w:hAnsi="宋体" w:eastAsia="宋体" w:cs="宋体"/>
          <w:b/>
          <w:bCs/>
          <w:sz w:val="24"/>
          <w:szCs w:val="24"/>
        </w:rPr>
        <w:t xml:space="preserve">特别约定：</w:t>
      </w:r>
      <w:r>
        <w:rPr>
          <w:rFonts w:hint="eastAsia" w:ascii="宋体" w:hAnsi="宋体" w:eastAsia="宋体" w:cs="宋体"/>
          <w:sz w:val="24"/>
          <w:szCs w:val="24"/>
        </w:rPr>
        <w:t xml:space="preserve">投标文件作为本合同的有效附件，与本合同具有同等效力。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rPr>
          <w:rFonts w:hint="eastAsia" w:ascii="宋体" w:hAnsi="宋体" w:eastAsia="宋体" w:cs="宋体"/>
          <w:sz w:val="24"/>
          <w:szCs w:val="24"/>
        </w:rPr>
      </w:pPr>
      <w:r>
        <w:rPr>
          <w:rFonts w:hint="eastAsia" w:ascii="宋体" w:hAnsi="宋体" w:eastAsia="宋体" w:cs="宋体"/>
          <w:sz w:val="24"/>
          <w:szCs w:val="24"/>
        </w:rPr>
        <w:t xml:space="preserve">法定代表人或授权委托人 ：                    法定代表人或授权委托人 ：</w:t>
      </w:r>
      <w:r/>
    </w:p>
    <w:p>
      <w:pPr>
        <w:rPr>
          <w:rFonts w:hint="eastAsia" w:ascii="宋体" w:hAnsi="宋体" w:eastAsia="宋体" w:cs="宋体"/>
          <w:sz w:val="24"/>
          <w:szCs w:val="24"/>
        </w:rPr>
      </w:pPr>
      <w:r>
        <w:rPr>
          <w:rFonts w:hint="eastAsia" w:ascii="宋体" w:hAnsi="宋体" w:eastAsia="宋体" w:cs="宋体"/>
          <w:sz w:val="24"/>
          <w:szCs w:val="24"/>
        </w:rPr>
        <w:t xml:space="preserve">日期：                                       日期：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丙方（盖章）：</w:t>
      </w:r>
      <w:r/>
    </w:p>
    <w:p>
      <w:pPr>
        <w:rPr>
          <w:rFonts w:hint="eastAsia" w:ascii="宋体" w:hAnsi="宋体" w:eastAsia="宋体" w:cs="宋体"/>
          <w:sz w:val="24"/>
          <w:szCs w:val="24"/>
        </w:rPr>
      </w:pPr>
      <w:r>
        <w:rPr>
          <w:rFonts w:hint="eastAsia" w:ascii="宋体" w:hAnsi="宋体" w:eastAsia="宋体" w:cs="宋体"/>
          <w:sz w:val="24"/>
          <w:szCs w:val="24"/>
        </w:rPr>
        <w:t xml:space="preserve">法定代表人或授权委托人：</w:t>
      </w:r>
      <w:r/>
    </w:p>
    <w:p>
      <w:pPr>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p>
    <w:p>
      <w:pPr>
        <w:jc w:val="center"/>
        <w:spacing w:line="360"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设备配置清单</w:t>
      </w:r>
      <w:r/>
    </w:p>
    <w:p>
      <w:pPr>
        <w:spacing w:line="360" w:lineRule="auto"/>
        <w:rPr>
          <w:rFonts w:hint="eastAsia"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r>
      <w:r/>
    </w:p>
    <w:tbl>
      <w:tblPr>
        <w:tblStyle w:val="9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2188"/>
        <w:gridCol w:w="1244"/>
        <w:gridCol w:w="1224"/>
        <w:gridCol w:w="1769"/>
        <w:gridCol w:w="951"/>
        <w:gridCol w:w="984"/>
      </w:tblGrid>
      <w:tr>
        <w:trPr>
          <w:trHeight w:val="615"/>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序</w:t>
            </w:r>
            <w:r/>
          </w:p>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号</w:t>
            </w:r>
            <w:r/>
          </w:p>
        </w:tc>
        <w:tc>
          <w:tcPr>
            <w:tcW w:w="1196"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配置部件名称</w:t>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品</w:t>
            </w:r>
            <w:r/>
          </w:p>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牌</w:t>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规</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格</w:t>
            </w:r>
            <w:r/>
          </w:p>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型</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号</w:t>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生</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产</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厂</w:t>
            </w:r>
            <w:r/>
          </w:p>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及</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产</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地</w:t>
            </w:r>
            <w:r/>
          </w:p>
        </w:tc>
        <w:tc>
          <w:tcPr>
            <w:tcW w:w="52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数</w:t>
            </w:r>
            <w:r/>
          </w:p>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量</w:t>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备</w:t>
            </w:r>
            <w:r/>
          </w:p>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注</w:t>
            </w:r>
            <w:r/>
          </w:p>
        </w:tc>
      </w:tr>
      <w:tr>
        <w:trPr>
          <w:trHeight w:val="661"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65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7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6</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7</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59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8</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9</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10</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r>
        <w:trPr>
          <w:trHeight w:val="9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11</w:t>
            </w:r>
            <w:r/>
          </w:p>
        </w:tc>
        <w:tc>
          <w:tcPr>
            <w:tcW w:w="1196"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967"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c>
          <w:tcPr>
            <w:tcW w:w="520"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r>
            <w:r/>
          </w:p>
        </w:tc>
      </w:tr>
    </w:tbl>
    <w:p>
      <w:pPr>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注：表格不够请自行添加！</w:t>
      </w:r>
      <w:r/>
    </w:p>
    <w:p>
      <w:pPr>
        <w:rPr>
          <w:rFonts w:hint="eastAsia" w:ascii="宋体" w:hAnsi="宋体" w:eastAsia="宋体" w:cs="仿宋"/>
          <w:sz w:val="21"/>
          <w:szCs w:val="21"/>
        </w:rPr>
      </w:pPr>
      <w:r>
        <w:rPr>
          <w:rFonts w:hint="eastAsia" w:ascii="宋体" w:hAnsi="宋体" w:eastAsia="宋体" w:cs="仿宋"/>
          <w:sz w:val="21"/>
          <w:szCs w:val="21"/>
        </w:rPr>
      </w:r>
      <w:r/>
    </w:p>
    <w:p>
      <w:pPr>
        <w:pStyle w:val="966"/>
        <w:rPr>
          <w:rFonts w:hint="eastAsia" w:ascii="宋体" w:hAnsi="宋体" w:eastAsia="宋体" w:cs="仿宋"/>
          <w:b/>
          <w:color w:val="000000" w:themeColor="text1"/>
          <w:sz w:val="30"/>
          <w:szCs w:val="30"/>
          <w14:textFill>
            <w14:solidFill>
              <w14:schemeClr w14:val="tx1"/>
            </w14:solidFill>
          </w14:textFill>
        </w:rPr>
      </w:pPr>
      <w:r>
        <w:rPr>
          <w:rFonts w:hint="eastAsia" w:ascii="宋体" w:hAnsi="宋体" w:eastAsia="宋体" w:cs="仿宋"/>
          <w:b/>
          <w:color w:val="000000" w:themeColor="text1"/>
          <w:sz w:val="30"/>
          <w:szCs w:val="30"/>
          <w14:textFill>
            <w14:solidFill>
              <w14:schemeClr w14:val="tx1"/>
            </w14:solidFill>
          </w14:textFill>
        </w:rPr>
      </w:r>
      <w:r/>
    </w:p>
    <w:p>
      <w:pPr>
        <w:rPr>
          <w:rFonts w:hint="eastAsia"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r>
      <w:r/>
    </w:p>
    <w:p>
      <w:pPr>
        <w:pStyle w:val="966"/>
        <w:rPr>
          <w:rFonts w:hint="eastAsia"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r>
      <w:r/>
    </w:p>
    <w:p>
      <w:pPr>
        <w:rPr>
          <w:rFonts w:hint="eastAsia"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br w:type="page" w:clear="all"/>
      </w:r>
      <w:r/>
    </w:p>
    <w:p>
      <w:pPr>
        <w:jc w:val="center"/>
        <w:keepNext/>
        <w:rPr>
          <w:rFonts w:eastAsia="黑体"/>
          <w:bCs/>
          <w:sz w:val="44"/>
          <w:szCs w:val="28"/>
        </w:rPr>
        <w:outlineLvl w:val="0"/>
      </w:pPr>
      <w:r>
        <w:rPr>
          <w:rFonts w:hint="eastAsia" w:eastAsia="黑体"/>
          <w:bCs/>
          <w:sz w:val="44"/>
          <w:szCs w:val="28"/>
        </w:rPr>
        <w:t xml:space="preserve">第六章 投标文件格式 </w:t>
      </w:r>
      <w:r/>
    </w:p>
    <w:p>
      <w:pPr>
        <w:jc w:val="center"/>
        <w:rPr>
          <w:rFonts w:eastAsia="宋体"/>
          <w:b/>
          <w:sz w:val="72"/>
          <w:szCs w:val="21"/>
        </w:rPr>
      </w:pPr>
      <w:r/>
      <w:bookmarkStart w:id="45" w:name="_Hlt26671244"/>
      <w:r/>
      <w:bookmarkEnd w:id="45"/>
      <w:r/>
      <w:bookmarkStart w:id="46" w:name="_Hlt26955039"/>
      <w:r/>
      <w:bookmarkEnd w:id="46"/>
      <w:r/>
      <w:bookmarkStart w:id="47" w:name="_Toc26554094"/>
      <w:r/>
      <w:bookmarkStart w:id="48" w:name="_Toc49090576"/>
      <w:r/>
      <w:bookmarkStart w:id="49" w:name="_Toc120614282"/>
      <w:r/>
      <w:r/>
    </w:p>
    <w:p>
      <w:pPr>
        <w:jc w:val="center"/>
        <w:rPr>
          <w:rFonts w:eastAsia="宋体"/>
          <w:b/>
          <w:sz w:val="72"/>
          <w:szCs w:val="21"/>
        </w:rPr>
      </w:pPr>
      <w:r>
        <w:rPr>
          <w:rFonts w:hint="eastAsia" w:eastAsia="宋体"/>
          <w:b/>
          <w:sz w:val="72"/>
          <w:szCs w:val="21"/>
        </w:rPr>
        <w:t xml:space="preserve">投  标  文  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p>
    <w:p>
      <w:pPr>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958"/>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1"/>
        </w:rPr>
      </w:r>
      <w:r>
        <w:rPr>
          <w:rFonts w:eastAsia="宋体"/>
          <w:sz w:val="24"/>
          <w:szCs w:val="21"/>
        </w:rPr>
      </w:r>
      <w:r/>
    </w:p>
    <w:p>
      <w:pPr>
        <w:ind w:firstLine="480"/>
        <w:spacing w:line="440" w:lineRule="exact"/>
        <w:rPr>
          <w:rFonts w:eastAsia="宋体"/>
          <w:sz w:val="24"/>
          <w:szCs w:val="24"/>
        </w:rPr>
      </w:pPr>
      <w:r>
        <w:rPr>
          <w:rFonts w:eastAsia="宋体"/>
          <w:sz w:val="24"/>
          <w:szCs w:val="24"/>
        </w:rPr>
      </w:r>
      <w:r>
        <w:rPr>
          <w:rFonts w:eastAsia="宋体"/>
          <w:sz w:val="24"/>
          <w:szCs w:val="24"/>
        </w:rPr>
      </w:r>
      <w:r/>
    </w:p>
    <w:p>
      <w:pPr>
        <w:ind w:firstLine="480"/>
        <w:spacing w:line="440" w:lineRule="exact"/>
        <w:rPr>
          <w:rFonts w:eastAsia="宋体"/>
          <w:sz w:val="24"/>
          <w:szCs w:val="24"/>
        </w:rPr>
      </w:pPr>
      <w:r>
        <w:rPr>
          <w:rFonts w:eastAsia="宋体"/>
          <w:sz w:val="24"/>
          <w:szCs w:val="24"/>
        </w:rPr>
      </w:r>
      <w:r>
        <w:rPr>
          <w:rFonts w:eastAsia="宋体"/>
          <w:sz w:val="24"/>
          <w:szCs w:val="24"/>
        </w:rPr>
      </w:r>
      <w:r/>
    </w:p>
    <w:p>
      <w:pPr>
        <w:ind w:firstLine="480"/>
        <w:spacing w:line="440" w:lineRule="exact"/>
        <w:rPr>
          <w:rFonts w:eastAsia="宋体"/>
          <w:sz w:val="24"/>
          <w:szCs w:val="24"/>
        </w:rPr>
      </w:pPr>
      <w:r>
        <w:rPr>
          <w:rFonts w:eastAsia="宋体"/>
          <w:sz w:val="24"/>
          <w:szCs w:val="24"/>
        </w:rPr>
      </w:r>
      <w:r>
        <w:rPr>
          <w:rFonts w:eastAsia="宋体"/>
          <w:sz w:val="24"/>
          <w:szCs w:val="24"/>
        </w:rPr>
      </w:r>
      <w:r/>
    </w:p>
    <w:p>
      <w:pPr>
        <w:ind w:firstLine="480"/>
        <w:spacing w:line="440" w:lineRule="exact"/>
        <w:rPr>
          <w:rFonts w:eastAsia="宋体"/>
          <w:sz w:val="24"/>
          <w:szCs w:val="24"/>
        </w:rPr>
      </w:pPr>
      <w:r>
        <w:rPr>
          <w:rFonts w:eastAsia="宋体"/>
          <w:sz w:val="24"/>
          <w:szCs w:val="24"/>
        </w:rPr>
      </w:r>
      <w:r>
        <w:rPr>
          <w:rFonts w:eastAsia="宋体"/>
          <w:sz w:val="24"/>
          <w:szCs w:val="24"/>
        </w:rPr>
      </w:r>
      <w:r/>
    </w:p>
    <w:p>
      <w:pPr>
        <w:ind w:firstLine="480"/>
        <w:spacing w:line="440" w:lineRule="exact"/>
        <w:rPr>
          <w:rFonts w:eastAsia="宋体"/>
          <w:sz w:val="24"/>
          <w:szCs w:val="24"/>
        </w:rPr>
      </w:pPr>
      <w:r>
        <w:rPr>
          <w:rFonts w:eastAsia="宋体"/>
          <w:sz w:val="24"/>
          <w:szCs w:val="24"/>
        </w:rPr>
      </w:r>
      <w:r>
        <w:rPr>
          <w:rFonts w:eastAsia="宋体"/>
          <w:sz w:val="24"/>
          <w:szCs w:val="24"/>
        </w:rPr>
      </w:r>
      <w:r/>
    </w:p>
    <w:p>
      <w:pPr>
        <w:ind w:firstLine="480"/>
        <w:spacing w:line="440" w:lineRule="exact"/>
        <w:rPr>
          <w:rFonts w:eastAsia="宋体"/>
          <w:sz w:val="24"/>
          <w:szCs w:val="24"/>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0" w:name="_Toc23838"/>
      <w:r/>
      <w:bookmarkEnd w:id="50"/>
      <w:r/>
      <w:r/>
    </w:p>
    <w:p>
      <w:pPr>
        <w:rPr>
          <w:rFonts w:hint="eastAsia" w:ascii="宋体" w:hAnsi="宋体" w:eastAsia="宋体"/>
          <w:b/>
          <w:sz w:val="32"/>
          <w:szCs w:val="32"/>
        </w:rPr>
      </w:pPr>
      <w:r>
        <w:rPr>
          <w:rFonts w:hint="eastAsia" w:ascii="宋体" w:hAnsi="宋体" w:eastAsia="宋体"/>
          <w:b/>
          <w:sz w:val="32"/>
          <w:szCs w:val="32"/>
        </w:rPr>
        <w:t xml:space="preserve">一、</w:t>
      </w:r>
      <w:bookmarkEnd w:id="47"/>
      <w:r/>
      <w:bookmarkEnd w:id="48"/>
      <w:r/>
      <w:bookmarkEnd w:id="49"/>
      <w:r/>
      <w:bookmarkStart w:id="51" w:name="_Toc120614284"/>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i/>
          <w:sz w:val="32"/>
          <w:szCs w:val="32"/>
          <w:u w:val="single"/>
        </w:rPr>
      </w: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rPr>
          <w:rFonts w:hint="eastAsia" w:ascii="宋体" w:hAnsi="宋体" w:eastAsia="宋体" w:cs="仿宋_GB2312"/>
          <w:bCs/>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rPr>
          <w:rFonts w:hint="eastAsia" w:ascii="宋体" w:hAnsi="宋体" w:eastAsia="宋体" w:cs="仿宋_GB2312"/>
          <w:bCs/>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rPr>
          <w:rFonts w:hint="eastAsia" w:ascii="宋体" w:hAnsi="宋体" w:eastAsia="宋体" w:cs="仿宋_GB2312"/>
          <w:bCs/>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rPr>
          <w:rFonts w:hint="eastAsia" w:ascii="宋体" w:hAnsi="宋体" w:eastAsia="宋体" w:cs="仿宋_GB2312"/>
          <w:bCs/>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rPr>
          <w:rFonts w:hint="eastAsia" w:ascii="宋体" w:hAnsi="宋体" w:eastAsia="宋体" w:cs="仿宋_GB2312"/>
          <w:bCs/>
          <w:i/>
          <w:sz w:val="32"/>
          <w:szCs w:val="32"/>
          <w:u w:val="single"/>
        </w:rPr>
      </w:r>
      <w:r/>
    </w:p>
    <w:p>
      <w:pPr>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2" w:name="_Hlt26671380"/>
      <w:r/>
      <w:bookmarkEnd w:id="52"/>
      <w:r/>
      <w:bookmarkStart w:id="53" w:name="_Hlt26955070"/>
      <w:r/>
      <w:bookmarkEnd w:id="53"/>
      <w:r/>
      <w:bookmarkStart w:id="54" w:name="_格式3__银行出具的资信证明"/>
      <w:r/>
      <w:bookmarkEnd w:id="54"/>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958"/>
      </w:pPr>
      <w:r/>
      <w:r/>
    </w:p>
    <w:p>
      <w:pPr>
        <w:pStyle w:val="958"/>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Style w:val="95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982"/>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983"/>
        <w:jc w:val="center"/>
        <w:rPr>
          <w:rFonts w:hint="eastAsia" w:ascii="宋体" w:hAnsi="宋体"/>
          <w:b/>
          <w:sz w:val="36"/>
          <w:szCs w:val="36"/>
        </w:rPr>
      </w:pPr>
      <w:r>
        <w:rPr>
          <w:rFonts w:hint="eastAsia" w:ascii="宋体" w:hAnsi="宋体"/>
          <w:b/>
          <w:sz w:val="36"/>
          <w:szCs w:val="36"/>
        </w:rPr>
        <w:t xml:space="preserve">中小企业声明函（货物）</w:t>
      </w:r>
      <w:r/>
    </w:p>
    <w:p>
      <w:pPr>
        <w:pStyle w:val="983"/>
        <w:jc w:val="left"/>
        <w:rPr>
          <w:rFonts w:hint="eastAsia" w:ascii="宋体" w:hAnsi="宋体"/>
          <w:b/>
          <w:sz w:val="32"/>
          <w:szCs w:val="32"/>
        </w:rPr>
      </w:pPr>
      <w:r>
        <w:rPr>
          <w:rFonts w:hint="eastAsia" w:ascii="宋体" w:hAnsi="宋体"/>
          <w:b/>
          <w:sz w:val="32"/>
          <w:szCs w:val="32"/>
        </w:rPr>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983"/>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83"/>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83"/>
        <w:ind w:firstLine="480"/>
        <w:jc w:val="left"/>
        <w:spacing w:line="500" w:lineRule="exact"/>
        <w:rPr>
          <w:rFonts w:hint="eastAsia" w:ascii="宋体" w:hAnsi="宋体"/>
          <w:sz w:val="24"/>
          <w:szCs w:val="24"/>
        </w:rPr>
      </w:pPr>
      <w:r>
        <w:rPr>
          <w:rFonts w:ascii="宋体" w:hAnsi="宋体"/>
          <w:sz w:val="24"/>
          <w:szCs w:val="24"/>
        </w:rPr>
        <w:t xml:space="preserve">……</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3"/>
        <w:ind w:firstLine="480"/>
        <w:jc w:val="center"/>
        <w:spacing w:line="500" w:lineRule="exact"/>
        <w:rPr>
          <w:rFonts w:hint="eastAsia" w:ascii="宋体" w:hAnsi="宋体"/>
          <w:sz w:val="24"/>
          <w:szCs w:val="24"/>
        </w:rPr>
      </w:pPr>
      <w:r>
        <w:rPr>
          <w:rFonts w:hint="eastAsia" w:ascii="宋体" w:hAnsi="宋体"/>
          <w:sz w:val="24"/>
          <w:szCs w:val="24"/>
        </w:rPr>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983"/>
        <w:ind w:firstLine="560"/>
        <w:spacing w:line="560" w:lineRule="exact"/>
        <w:rPr>
          <w:rFonts w:hint="eastAsia" w:ascii="宋体" w:hAnsi="宋体"/>
          <w:sz w:val="28"/>
          <w:szCs w:val="28"/>
        </w:rPr>
      </w:pPr>
      <w:r>
        <w:rPr>
          <w:rFonts w:hint="eastAsia" w:ascii="宋体" w:hAnsi="宋体"/>
          <w:sz w:val="28"/>
          <w:szCs w:val="28"/>
        </w:rPr>
      </w:r>
      <w:r/>
    </w:p>
    <w:p>
      <w:pPr>
        <w:pStyle w:val="983"/>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83"/>
        <w:jc w:val="center"/>
        <w:rPr>
          <w:rFonts w:hint="eastAsia" w:ascii="宋体" w:hAnsi="宋体"/>
          <w:b/>
          <w:bCs/>
          <w:sz w:val="36"/>
          <w:szCs w:val="36"/>
        </w:rPr>
      </w:pPr>
      <w:r>
        <w:rPr>
          <w:rFonts w:hint="eastAsia" w:ascii="宋体" w:hAnsi="宋体"/>
          <w:b/>
          <w:sz w:val="36"/>
          <w:szCs w:val="36"/>
        </w:rPr>
      </w:r>
      <w:r>
        <w:rPr>
          <w:rFonts w:hint="eastAsia" w:ascii="宋体" w:hAnsi="宋体"/>
          <w:b/>
          <w:sz w:val="36"/>
          <w:szCs w:val="36"/>
        </w:rPr>
      </w:r>
      <w:r/>
    </w:p>
    <w:p>
      <w:pPr>
        <w:pStyle w:val="983"/>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pStyle w:val="983"/>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pStyle w:val="983"/>
        <w:jc w:val="center"/>
        <w:rPr>
          <w:rFonts w:hint="eastAsia" w:ascii="宋体" w:hAnsi="宋体"/>
          <w:b/>
          <w:bCs/>
          <w:sz w:val="36"/>
          <w:szCs w:val="36"/>
        </w:rPr>
      </w:pPr>
      <w:r>
        <w:rPr>
          <w:rFonts w:hint="eastAsia" w:ascii="宋体" w:hAnsi="宋体"/>
          <w:b/>
          <w:sz w:val="36"/>
          <w:szCs w:val="36"/>
        </w:rPr>
      </w:r>
      <w:r/>
    </w:p>
    <w:p>
      <w:pPr>
        <w:pStyle w:val="983"/>
        <w:rPr>
          <w:rFonts w:hint="eastAsia" w:ascii="宋体" w:hAnsi="宋体"/>
          <w:b/>
          <w:sz w:val="36"/>
          <w:szCs w:val="36"/>
        </w:rPr>
      </w:pPr>
      <w:r>
        <w:rPr>
          <w:rFonts w:hint="eastAsia" w:ascii="宋体" w:hAnsi="宋体"/>
          <w:b/>
          <w:sz w:val="36"/>
          <w:szCs w:val="36"/>
        </w:rPr>
      </w:r>
      <w:r/>
    </w:p>
    <w:p>
      <w:pPr>
        <w:pStyle w:val="983"/>
        <w:rPr>
          <w:rFonts w:hint="eastAsia" w:ascii="宋体" w:hAnsi="宋体"/>
          <w:b/>
          <w:sz w:val="36"/>
          <w:szCs w:val="36"/>
        </w:rPr>
      </w:pPr>
      <w:r>
        <w:rPr>
          <w:rFonts w:hint="eastAsia" w:ascii="宋体" w:hAnsi="宋体"/>
          <w:b/>
          <w:sz w:val="36"/>
          <w:szCs w:val="36"/>
        </w:rPr>
      </w:r>
      <w:r/>
    </w:p>
    <w:p>
      <w:pPr>
        <w:pStyle w:val="983"/>
        <w:jc w:val="center"/>
        <w:rPr>
          <w:rFonts w:hint="eastAsia" w:ascii="宋体" w:hAnsi="宋体"/>
          <w:b/>
          <w:sz w:val="36"/>
          <w:szCs w:val="36"/>
        </w:rPr>
      </w:pPr>
      <w:r>
        <w:rPr>
          <w:rFonts w:hint="eastAsia" w:ascii="宋体" w:hAnsi="宋体"/>
          <w:b/>
          <w:sz w:val="36"/>
          <w:szCs w:val="36"/>
        </w:rPr>
        <w:t xml:space="preserve">中小企业声明函（工程、服务）</w:t>
      </w:r>
      <w:r/>
    </w:p>
    <w:p>
      <w:pPr>
        <w:pStyle w:val="983"/>
        <w:jc w:val="left"/>
        <w:rPr>
          <w:rFonts w:hint="eastAsia" w:ascii="宋体" w:hAnsi="宋体"/>
          <w:b/>
          <w:sz w:val="32"/>
          <w:szCs w:val="32"/>
        </w:rPr>
      </w:pPr>
      <w:r>
        <w:rPr>
          <w:rFonts w:hint="eastAsia" w:ascii="宋体" w:hAnsi="宋体"/>
          <w:b/>
          <w:sz w:val="32"/>
          <w:szCs w:val="32"/>
        </w:rPr>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83"/>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83"/>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83"/>
        <w:ind w:firstLine="480"/>
        <w:jc w:val="left"/>
        <w:spacing w:line="500" w:lineRule="exact"/>
        <w:rPr>
          <w:rFonts w:hint="eastAsia" w:ascii="宋体" w:hAnsi="宋体"/>
          <w:sz w:val="24"/>
          <w:szCs w:val="24"/>
        </w:rPr>
      </w:pPr>
      <w:r>
        <w:rPr>
          <w:rFonts w:ascii="宋体" w:hAnsi="宋体"/>
          <w:sz w:val="24"/>
          <w:szCs w:val="24"/>
        </w:rPr>
        <w:t xml:space="preserve">……</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3"/>
        <w:ind w:firstLine="480"/>
        <w:jc w:val="center"/>
        <w:spacing w:line="500" w:lineRule="exact"/>
        <w:rPr>
          <w:rFonts w:hint="eastAsia" w:ascii="宋体" w:hAnsi="宋体"/>
          <w:sz w:val="24"/>
          <w:szCs w:val="24"/>
        </w:rPr>
      </w:pPr>
      <w:r>
        <w:rPr>
          <w:rFonts w:hint="eastAsia" w:ascii="宋体" w:hAnsi="宋体"/>
          <w:sz w:val="24"/>
          <w:szCs w:val="24"/>
        </w:rPr>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983"/>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983"/>
        <w:ind w:firstLine="480"/>
        <w:spacing w:line="500" w:lineRule="exact"/>
        <w:rPr>
          <w:rFonts w:hint="eastAsia" w:ascii="宋体" w:hAnsi="宋体"/>
          <w:sz w:val="24"/>
          <w:szCs w:val="24"/>
        </w:rPr>
      </w:pPr>
      <w:r>
        <w:rPr>
          <w:rFonts w:hint="eastAsia" w:ascii="宋体" w:hAnsi="宋体"/>
          <w:sz w:val="24"/>
          <w:szCs w:val="24"/>
        </w:rPr>
      </w:r>
      <w:r/>
    </w:p>
    <w:p>
      <w:pPr>
        <w:pStyle w:val="983"/>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83"/>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983"/>
        <w:spacing w:before="151" w:after="151" w:line="60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83"/>
        <w:spacing w:before="151" w:after="151" w:line="600" w:lineRule="exact"/>
        <w:rPr>
          <w:rFonts w:hint="eastAsia" w:ascii="宋体" w:hAnsi="宋体"/>
          <w:b/>
          <w:bCs/>
          <w:sz w:val="32"/>
          <w:szCs w:val="32"/>
        </w:rPr>
      </w:pPr>
      <w:r>
        <w:rPr>
          <w:rFonts w:hint="eastAsia" w:ascii="宋体" w:hAnsi="宋体"/>
          <w:b/>
          <w:bCs/>
          <w:sz w:val="32"/>
          <w:szCs w:val="32"/>
        </w:rPr>
      </w:r>
      <w:r/>
    </w:p>
    <w:p>
      <w:pPr>
        <w:pStyle w:val="983"/>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83"/>
        <w:rPr>
          <w:rFonts w:hint="eastAsia" w:ascii="宋体" w:hAnsi="宋体"/>
          <w:b/>
          <w:sz w:val="36"/>
          <w:szCs w:val="36"/>
        </w:rPr>
      </w:pPr>
      <w:r>
        <w:rPr>
          <w:rFonts w:hint="eastAsia" w:ascii="宋体" w:hAnsi="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96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6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5"/>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968"/>
          <w:rFonts w:hint="eastAsia" w:ascii="方正魏碑_GBK" w:hAnsi="方正魏碑_GBK" w:eastAsia="方正魏碑_GBK" w:cs="方正魏碑_GBK"/>
          <w:i w:val="0"/>
          <w:color w:val="ff0000"/>
          <w:u w:val="single"/>
          <w:shd w:val="clear" w:color="auto" w:fill="ffffff"/>
        </w:rPr>
        <w:t xml:space="preserve">（产品名称1）</w:t>
      </w:r>
      <w:r>
        <w:rPr>
          <w:rStyle w:val="968"/>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68"/>
          <w:rFonts w:hint="eastAsia" w:ascii="方正魏碑_GBK" w:hAnsi="方正魏碑_GBK" w:eastAsia="方正魏碑_GBK" w:cs="方正魏碑_GBK"/>
          <w:i w:val="0"/>
          <w:color w:val="ff0000"/>
          <w:u w:val="single"/>
          <w:shd w:val="clear" w:color="auto" w:fill="ffffff"/>
        </w:rPr>
        <w:t xml:space="preserve">（厂名）</w:t>
      </w:r>
      <w:r>
        <w:rPr>
          <w:rStyle w:val="968"/>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6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68"/>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68"/>
          <w:rFonts w:hint="eastAsia" w:ascii="方正魏碑_GBK" w:hAnsi="方正魏碑_GBK" w:eastAsia="方正魏碑_GBK" w:cs="方正魏碑_GBK"/>
          <w:i w:val="0"/>
          <w:color w:val="ff0000"/>
          <w:u w:val="single"/>
          <w:shd w:val="clear" w:color="auto" w:fill="ffffff"/>
        </w:rPr>
        <w:t xml:space="preserve">（规定</w:t>
      </w:r>
      <w:r>
        <w:rPr>
          <w:rStyle w:val="968"/>
          <w:rFonts w:ascii="方正魏碑_GBK" w:hAnsi="方正魏碑_GBK" w:eastAsia="方正魏碑_GBK" w:cs="方正魏碑_GBK"/>
          <w:i w:val="0"/>
          <w:color w:val="ff0000"/>
          <w:u w:val="single"/>
          <w:shd w:val="clear" w:color="auto" w:fill="ffffff"/>
        </w:rPr>
        <w:t xml:space="preserve">比例</w:t>
      </w:r>
      <w:r>
        <w:rPr>
          <w:rStyle w:val="968"/>
          <w:rFonts w:hint="eastAsia" w:ascii="方正魏碑_GBK" w:hAnsi="方正魏碑_GBK" w:eastAsia="方正魏碑_GBK" w:cs="方正魏碑_GBK"/>
          <w:i w:val="0"/>
          <w:color w:val="ff0000"/>
          <w:u w:val="single"/>
          <w:shd w:val="clear" w:color="auto" w:fill="ffffff"/>
        </w:rPr>
        <w:t xml:space="preserve">）</w:t>
      </w:r>
      <w:r>
        <w:rPr>
          <w:rStyle w:val="968"/>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68"/>
          <w:rFonts w:hint="eastAsia" w:ascii="方正魏碑_GBK" w:hAnsi="方正魏碑_GBK" w:eastAsia="方正魏碑_GBK" w:cs="方正魏碑_GBK"/>
          <w:i w:val="0"/>
          <w:color w:val="ff0000"/>
          <w:u w:val="single"/>
          <w:shd w:val="clear" w:color="auto" w:fill="ffffff"/>
        </w:rPr>
        <w:t xml:space="preserve">（关键</w:t>
      </w:r>
      <w:r>
        <w:rPr>
          <w:rStyle w:val="968"/>
          <w:rFonts w:ascii="方正魏碑_GBK" w:hAnsi="方正魏碑_GBK" w:eastAsia="方正魏碑_GBK" w:cs="方正魏碑_GBK"/>
          <w:i w:val="0"/>
          <w:color w:val="ff0000"/>
          <w:u w:val="single"/>
          <w:shd w:val="clear" w:color="auto" w:fill="ffffff"/>
        </w:rPr>
        <w:t xml:space="preserve">组件</w:t>
      </w:r>
      <w:r>
        <w:rPr>
          <w:rStyle w:val="968"/>
          <w:rFonts w:hint="eastAsia" w:ascii="方正魏碑_GBK" w:hAnsi="方正魏碑_GBK" w:eastAsia="方正魏碑_GBK" w:cs="方正魏碑_GBK"/>
          <w:i w:val="0"/>
          <w:color w:val="ff0000"/>
          <w:u w:val="single"/>
          <w:shd w:val="clear" w:color="auto" w:fill="ffffff"/>
        </w:rPr>
        <w:t xml:space="preserve">）</w:t>
      </w:r>
      <w:r>
        <w:rPr>
          <w:rStyle w:val="968"/>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68"/>
          <w:rFonts w:hint="eastAsia" w:ascii="方正魏碑_GBK" w:hAnsi="方正魏碑_GBK" w:eastAsia="方正魏碑_GBK" w:cs="方正魏碑_GBK"/>
          <w:i w:val="0"/>
          <w:color w:val="ff0000"/>
          <w:u w:val="single"/>
          <w:shd w:val="clear" w:color="auto" w:fill="ffffff"/>
        </w:rPr>
        <w:t xml:space="preserve">（关键工序）</w:t>
      </w:r>
      <w:r>
        <w:rPr>
          <w:rStyle w:val="968"/>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965"/>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9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68"/>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6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68"/>
          <w:rFonts w:hint="eastAsia" w:ascii="方正魏碑_GBK" w:hAnsi="方正魏碑_GBK" w:eastAsia="方正魏碑_GBK" w:cs="方正魏碑_GBK"/>
          <w:i w:val="0"/>
          <w:color w:val="ff0000"/>
          <w:u w:val="single"/>
          <w:shd w:val="clear" w:color="auto" w:fill="ffffff"/>
        </w:rPr>
        <w:t xml:space="preserve">（规定</w:t>
      </w:r>
      <w:r>
        <w:rPr>
          <w:rStyle w:val="968"/>
          <w:rFonts w:ascii="方正魏碑_GBK" w:hAnsi="方正魏碑_GBK" w:eastAsia="方正魏碑_GBK" w:cs="方正魏碑_GBK"/>
          <w:i w:val="0"/>
          <w:color w:val="ff0000"/>
          <w:u w:val="single"/>
          <w:shd w:val="clear" w:color="auto" w:fill="ffffff"/>
        </w:rPr>
        <w:t xml:space="preserve">比例</w:t>
      </w:r>
      <w:r>
        <w:rPr>
          <w:rStyle w:val="96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68"/>
          <w:rFonts w:hint="eastAsia" w:ascii="方正魏碑_GBK" w:hAnsi="方正魏碑_GBK" w:eastAsia="方正魏碑_GBK" w:cs="方正魏碑_GBK"/>
          <w:i w:val="0"/>
          <w:color w:val="ff0000"/>
          <w:u w:val="single"/>
          <w:shd w:val="clear" w:color="auto" w:fill="ffffff"/>
        </w:rPr>
        <w:t xml:space="preserve">（关键</w:t>
      </w:r>
      <w:r>
        <w:rPr>
          <w:rStyle w:val="968"/>
          <w:rFonts w:ascii="方正魏碑_GBK" w:hAnsi="方正魏碑_GBK" w:eastAsia="方正魏碑_GBK" w:cs="方正魏碑_GBK"/>
          <w:i w:val="0"/>
          <w:color w:val="ff0000"/>
          <w:u w:val="single"/>
          <w:shd w:val="clear" w:color="auto" w:fill="ffffff"/>
        </w:rPr>
        <w:t xml:space="preserve">组件</w:t>
      </w:r>
      <w:r>
        <w:rPr>
          <w:rStyle w:val="96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68"/>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96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96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96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65"/>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965"/>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96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96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96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96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96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965"/>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965"/>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Style w:val="957"/>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4.行数不够，可自行添加。</w:t>
      </w:r>
      <w:r/>
    </w:p>
    <w:p>
      <w:pPr>
        <w:jc w:val="center"/>
        <w:rPr>
          <w:rFonts w:eastAsia="黑体"/>
          <w:b/>
          <w:sz w:val="36"/>
          <w:szCs w:val="21"/>
        </w:rPr>
      </w:pPr>
      <w:r>
        <w:rPr>
          <w:rFonts w:eastAsia="黑体"/>
          <w:b/>
          <w:sz w:val="36"/>
          <w:szCs w:val="21"/>
        </w:rPr>
      </w:r>
      <w:r/>
    </w:p>
    <w:p>
      <w:pPr>
        <w:pStyle w:val="958"/>
      </w:pPr>
      <w:r/>
      <w:r/>
    </w:p>
    <w:p>
      <w:r/>
      <w:r/>
    </w:p>
    <w:p>
      <w:pPr>
        <w:pStyle w:val="958"/>
      </w:pPr>
      <w:r/>
      <w:r/>
    </w:p>
    <w:p>
      <w:r/>
      <w:r/>
    </w:p>
    <w:p>
      <w:pPr>
        <w:pStyle w:val="958"/>
      </w:pPr>
      <w:r/>
      <w:r/>
    </w:p>
    <w:p>
      <w:r/>
      <w:r/>
    </w:p>
    <w:p>
      <w:pPr>
        <w:pStyle w:val="958"/>
      </w:pPr>
      <w:r/>
      <w:r/>
    </w:p>
    <w:p>
      <w:pPr>
        <w:pStyle w:val="958"/>
      </w:pPr>
      <w:r/>
      <w:r/>
    </w:p>
    <w:p>
      <w:pPr>
        <w:pStyle w:val="958"/>
      </w:pPr>
      <w:r/>
      <w:r/>
    </w:p>
    <w:p>
      <w:pPr>
        <w:pStyle w:val="958"/>
      </w:pPr>
      <w:r/>
      <w:r/>
    </w:p>
    <w:p>
      <w:pPr>
        <w:pStyle w:val="958"/>
      </w:pPr>
      <w:r/>
      <w:r/>
    </w:p>
    <w:p>
      <w:pPr>
        <w:pStyle w:val="958"/>
      </w:pPr>
      <w:r/>
      <w:r/>
    </w:p>
    <w:p>
      <w:r/>
      <w:r/>
    </w:p>
    <w:p>
      <w:pPr>
        <w:pStyle w:val="958"/>
      </w:pPr>
      <w:r/>
      <w:r/>
    </w:p>
    <w:p>
      <w:pPr>
        <w:pStyle w:val="958"/>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Style w:val="957"/>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958"/>
      </w:pPr>
      <w:r/>
      <w:r/>
    </w:p>
    <w:p>
      <w:r/>
      <w:r/>
    </w:p>
    <w:p>
      <w:pPr>
        <w:pStyle w:val="958"/>
      </w:pPr>
      <w:r/>
      <w:r/>
    </w:p>
    <w:p>
      <w:r/>
      <w:r/>
    </w:p>
    <w:p>
      <w:pPr>
        <w:pStyle w:val="958"/>
      </w:pPr>
      <w:r/>
      <w:r/>
    </w:p>
    <w:p>
      <w:r/>
      <w:r/>
    </w:p>
    <w:p>
      <w:r/>
      <w:r/>
    </w:p>
    <w:p>
      <w:r/>
      <w:r/>
    </w:p>
    <w:p>
      <w:r/>
      <w:r/>
    </w:p>
    <w:p>
      <w:r/>
      <w:r/>
    </w:p>
    <w:p>
      <w:r/>
      <w:r/>
    </w:p>
    <w:p>
      <w:r/>
      <w:r/>
    </w:p>
    <w:p>
      <w:r/>
      <w:r/>
    </w:p>
    <w:p>
      <w:r/>
      <w:r/>
    </w:p>
    <w:p>
      <w:pPr>
        <w:pStyle w:val="958"/>
      </w:pPr>
      <w:r/>
      <w:r/>
    </w:p>
    <w:p>
      <w:r/>
      <w:r/>
    </w:p>
    <w:p>
      <w:pPr>
        <w:pStyle w:val="958"/>
      </w:pPr>
      <w:r/>
      <w:r/>
    </w:p>
    <w:p>
      <w:pPr>
        <w:pStyle w:val="958"/>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Style w:val="95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Style w:val="95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1"/>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7" w:name="_Hlt26609389"/>
      <w:r/>
      <w:bookmarkEnd w:id="57"/>
      <w:r/>
      <w:bookmarkStart w:id="58" w:name="_Hlt26671374"/>
      <w:r/>
      <w:bookmarkEnd w:id="58"/>
      <w:r/>
      <w:bookmarkStart w:id="59" w:name="_Hlt26955066"/>
      <w:r/>
      <w:bookmarkEnd w:id="59"/>
      <w:r/>
      <w:bookmarkStart w:id="60" w:name="_Toc462564146"/>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bookmarkEnd w:id="60"/>
      <w:r/>
      <w:r/>
    </w:p>
    <w:p>
      <w:pPr>
        <w:tabs>
          <w:tab w:val="left" w:pos="1275" w:leader="none"/>
        </w:tabs>
        <w:rPr>
          <w:rFonts w:hint="eastAsia" w:eastAsia="黑体"/>
          <w:b/>
          <w:bCs/>
          <w:sz w:val="32"/>
          <w:szCs w:val="32"/>
          <w:highlight w:val="none"/>
        </w:rPr>
      </w:pPr>
      <w:r/>
      <w:bookmarkStart w:id="61" w:name="_格式2__法定代表人授权书"/>
      <w:r/>
      <w:bookmarkEnd w:id="61"/>
      <w:r>
        <w:rPr>
          <w:rFonts w:hint="eastAsia" w:eastAsia="黑体"/>
          <w:b/>
          <w:sz w:val="32"/>
          <w:szCs w:val="32"/>
        </w:rPr>
        <w:tab/>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eastAsia="黑体"/>
          <w:b/>
          <w:bCs/>
          <w:sz w:val="32"/>
          <w:szCs w:val="32"/>
        </w:rPr>
      </w:r>
      <w:r>
        <w:rPr>
          <w:rFonts w:eastAsia="黑体"/>
          <w:b/>
          <w:bCs/>
          <w:sz w:val="32"/>
          <w:szCs w:val="32"/>
        </w:rPr>
      </w:r>
      <w:r/>
    </w:p>
    <w:p>
      <w:pPr>
        <w:tabs>
          <w:tab w:val="left" w:pos="1275" w:leader="none"/>
        </w:tabs>
        <w:rPr>
          <w:rFonts w:eastAsia="黑体"/>
          <w:b/>
          <w:bCs/>
          <w:sz w:val="32"/>
          <w:szCs w:val="32"/>
        </w:rPr>
      </w:pPr>
      <w:r>
        <w:rPr>
          <w:rFonts w:hint="eastAsia" w:eastAsia="黑体"/>
          <w:b/>
          <w:sz w:val="32"/>
          <w:szCs w:val="32"/>
          <w:highlight w:val="none"/>
        </w:rPr>
      </w:r>
      <w:r>
        <w:rPr>
          <w:rFonts w:hint="eastAsia" w:eastAsia="黑体"/>
          <w:b/>
          <w:sz w:val="32"/>
          <w:szCs w:val="32"/>
          <w:highlight w:val="none"/>
        </w:rPr>
      </w:r>
      <w:r/>
    </w:p>
    <w:p>
      <w:pPr>
        <w:tabs>
          <w:tab w:val="left" w:pos="1275" w:leader="none"/>
        </w:tabs>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Style w:val="957"/>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cs="仿宋" w:asciiTheme="minorEastAsia" w:hAnsiTheme="minorEastAsia" w:eastAsiaTheme="minorEastAsia"/>
          <w:b/>
          <w:bCs/>
          <w:color w:val="000000" w:themeColor="text1"/>
          <w:sz w:val="32"/>
          <w:szCs w:val="32"/>
          <w14:textFill>
            <w14:solidFill>
              <w14:schemeClr w14:val="tx1"/>
            </w14:solidFill>
          </w14:textFill>
        </w:rPr>
      </w:pPr>
      <w:r>
        <w:rPr>
          <w:rFonts w:hint="eastAsia" w:cs="仿宋" w:asciiTheme="minorEastAsia" w:hAnsiTheme="minorEastAsia" w:eastAsiaTheme="minorEastAsia"/>
          <w:b/>
          <w:bCs/>
          <w:color w:val="000000" w:themeColor="text1"/>
          <w:sz w:val="32"/>
          <w:szCs w:val="32"/>
          <w14:textFill>
            <w14:solidFill>
              <w14:schemeClr w14:val="tx1"/>
            </w14:solidFill>
          </w14:textFill>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质疑供应商：</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授权代表：</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 邮编：</w:t>
      </w:r>
      <w:r/>
    </w:p>
    <w:p>
      <w:pPr>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质疑项目的名称：</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质疑项目的编号：包号：</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采购人名称：</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质疑事项1：</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事实依据：</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法律依据：</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u w:val="singl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质疑事项2</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请求：</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签字(签章)：                   公章：                      </w:t>
      </w:r>
      <w:r/>
    </w:p>
    <w:p>
      <w:pPr>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w:t>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p>
      <w:pPr>
        <w:rPr>
          <w:rFonts w:hint="eastAsia"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MS Mincho">
    <w:panose1 w:val="020206030504050903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宋体">
    <w:panose1 w:val="02010600030101010101"/>
  </w:font>
  <w:font w:name="Calibri">
    <w:panose1 w:val="020F0502020204030204"/>
  </w:font>
  <w:font w:name="楷体_GB2312">
    <w:panose1 w:val="0201060906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960"/>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960"/>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58"/>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960"/>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58"/>
                    </w:pPr>
                    <w:r/>
                    <w:r/>
                  </w:p>
                </w:txbxContent>
              </v:textbox>
            </v:shape>
          </w:pict>
        </mc:Fallback>
      </mc:AlternateContent>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0"/>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1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8"/>
  </w:num>
  <w:num w:numId="5">
    <w:abstractNumId w:val="2"/>
  </w:num>
  <w:num w:numId="6">
    <w:abstractNumId w:val="1"/>
  </w:num>
  <w:num w:numId="7">
    <w:abstractNumId w:val="0"/>
  </w:num>
  <w:num w:numId="8">
    <w:abstractNumId w:val="5"/>
  </w:num>
  <w:num w:numId="9">
    <w:abstractNumId w:val="6"/>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5"/>
    <w:next w:val="955"/>
    <w:link w:val="782"/>
    <w:uiPriority w:val="9"/>
    <w:qFormat/>
    <w:pPr>
      <w:keepLines/>
      <w:keepNext/>
      <w:spacing w:before="480" w:after="200"/>
      <w:outlineLvl w:val="0"/>
    </w:pPr>
    <w:rPr>
      <w:rFonts w:ascii="Arial" w:hAnsi="Arial" w:eastAsia="Arial" w:cs="Arial"/>
      <w:sz w:val="40"/>
      <w:szCs w:val="40"/>
    </w:rPr>
  </w:style>
  <w:style w:type="character" w:styleId="782">
    <w:name w:val="Heading 1 Char"/>
    <w:basedOn w:val="956"/>
    <w:link w:val="781"/>
    <w:uiPriority w:val="9"/>
    <w:rPr>
      <w:rFonts w:ascii="Arial" w:hAnsi="Arial" w:eastAsia="Arial" w:cs="Arial"/>
      <w:sz w:val="40"/>
      <w:szCs w:val="40"/>
    </w:rPr>
  </w:style>
  <w:style w:type="paragraph" w:styleId="783">
    <w:name w:val="Heading 2"/>
    <w:basedOn w:val="955"/>
    <w:next w:val="955"/>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basedOn w:val="956"/>
    <w:link w:val="783"/>
    <w:uiPriority w:val="9"/>
    <w:rPr>
      <w:rFonts w:ascii="Arial" w:hAnsi="Arial" w:eastAsia="Arial" w:cs="Arial"/>
      <w:sz w:val="34"/>
    </w:rPr>
  </w:style>
  <w:style w:type="paragraph" w:styleId="785">
    <w:name w:val="Heading 3"/>
    <w:basedOn w:val="955"/>
    <w:next w:val="955"/>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basedOn w:val="956"/>
    <w:link w:val="785"/>
    <w:uiPriority w:val="9"/>
    <w:rPr>
      <w:rFonts w:ascii="Arial" w:hAnsi="Arial" w:eastAsia="Arial" w:cs="Arial"/>
      <w:sz w:val="30"/>
      <w:szCs w:val="30"/>
    </w:rPr>
  </w:style>
  <w:style w:type="paragraph" w:styleId="787">
    <w:name w:val="Heading 4"/>
    <w:basedOn w:val="955"/>
    <w:next w:val="955"/>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basedOn w:val="956"/>
    <w:link w:val="787"/>
    <w:uiPriority w:val="9"/>
    <w:rPr>
      <w:rFonts w:ascii="Arial" w:hAnsi="Arial" w:eastAsia="Arial" w:cs="Arial"/>
      <w:b/>
      <w:bCs/>
      <w:sz w:val="26"/>
      <w:szCs w:val="26"/>
    </w:rPr>
  </w:style>
  <w:style w:type="paragraph" w:styleId="789">
    <w:name w:val="Heading 5"/>
    <w:basedOn w:val="955"/>
    <w:next w:val="955"/>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56"/>
    <w:link w:val="789"/>
    <w:uiPriority w:val="9"/>
    <w:rPr>
      <w:rFonts w:ascii="Arial" w:hAnsi="Arial" w:eastAsia="Arial" w:cs="Arial"/>
      <w:b/>
      <w:bCs/>
      <w:sz w:val="24"/>
      <w:szCs w:val="24"/>
    </w:rPr>
  </w:style>
  <w:style w:type="paragraph" w:styleId="791">
    <w:name w:val="Heading 6"/>
    <w:basedOn w:val="955"/>
    <w:next w:val="955"/>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56"/>
    <w:link w:val="791"/>
    <w:uiPriority w:val="9"/>
    <w:rPr>
      <w:rFonts w:ascii="Arial" w:hAnsi="Arial" w:eastAsia="Arial" w:cs="Arial"/>
      <w:b/>
      <w:bCs/>
      <w:sz w:val="22"/>
      <w:szCs w:val="22"/>
    </w:rPr>
  </w:style>
  <w:style w:type="paragraph" w:styleId="793">
    <w:name w:val="Heading 7"/>
    <w:basedOn w:val="955"/>
    <w:next w:val="955"/>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56"/>
    <w:link w:val="793"/>
    <w:uiPriority w:val="9"/>
    <w:rPr>
      <w:rFonts w:ascii="Arial" w:hAnsi="Arial" w:eastAsia="Arial" w:cs="Arial"/>
      <w:b/>
      <w:bCs/>
      <w:i/>
      <w:iCs/>
      <w:sz w:val="22"/>
      <w:szCs w:val="22"/>
    </w:rPr>
  </w:style>
  <w:style w:type="paragraph" w:styleId="795">
    <w:name w:val="Heading 8"/>
    <w:basedOn w:val="955"/>
    <w:next w:val="955"/>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56"/>
    <w:link w:val="795"/>
    <w:uiPriority w:val="9"/>
    <w:rPr>
      <w:rFonts w:ascii="Arial" w:hAnsi="Arial" w:eastAsia="Arial" w:cs="Arial"/>
      <w:i/>
      <w:iCs/>
      <w:sz w:val="22"/>
      <w:szCs w:val="22"/>
    </w:rPr>
  </w:style>
  <w:style w:type="paragraph" w:styleId="797">
    <w:name w:val="Heading 9"/>
    <w:basedOn w:val="955"/>
    <w:next w:val="955"/>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56"/>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paragraph" w:styleId="800">
    <w:name w:val="Title"/>
    <w:basedOn w:val="955"/>
    <w:next w:val="955"/>
    <w:link w:val="801"/>
    <w:uiPriority w:val="10"/>
    <w:qFormat/>
    <w:pPr>
      <w:contextualSpacing/>
      <w:spacing w:before="300" w:after="200"/>
    </w:pPr>
    <w:rPr>
      <w:sz w:val="48"/>
      <w:szCs w:val="48"/>
    </w:rPr>
  </w:style>
  <w:style w:type="character" w:styleId="801">
    <w:name w:val="Title Char"/>
    <w:basedOn w:val="956"/>
    <w:link w:val="800"/>
    <w:uiPriority w:val="10"/>
    <w:rPr>
      <w:sz w:val="48"/>
      <w:szCs w:val="48"/>
    </w:rPr>
  </w:style>
  <w:style w:type="paragraph" w:styleId="802">
    <w:name w:val="Subtitle"/>
    <w:basedOn w:val="955"/>
    <w:next w:val="955"/>
    <w:link w:val="803"/>
    <w:uiPriority w:val="11"/>
    <w:qFormat/>
    <w:pPr>
      <w:spacing w:before="200" w:after="200"/>
    </w:pPr>
    <w:rPr>
      <w:sz w:val="24"/>
      <w:szCs w:val="24"/>
    </w:rPr>
  </w:style>
  <w:style w:type="character" w:styleId="803">
    <w:name w:val="Subtitle Char"/>
    <w:basedOn w:val="956"/>
    <w:link w:val="802"/>
    <w:uiPriority w:val="11"/>
    <w:rPr>
      <w:sz w:val="24"/>
      <w:szCs w:val="24"/>
    </w:rPr>
  </w:style>
  <w:style w:type="paragraph" w:styleId="804">
    <w:name w:val="Quote"/>
    <w:basedOn w:val="955"/>
    <w:next w:val="955"/>
    <w:link w:val="805"/>
    <w:uiPriority w:val="29"/>
    <w:qFormat/>
    <w:pPr>
      <w:ind w:left="720" w:right="720"/>
    </w:pPr>
    <w:rPr>
      <w:i/>
    </w:rPr>
  </w:style>
  <w:style w:type="character" w:styleId="805">
    <w:name w:val="Quote Char"/>
    <w:link w:val="804"/>
    <w:uiPriority w:val="29"/>
    <w:rPr>
      <w:i/>
    </w:rPr>
  </w:style>
  <w:style w:type="paragraph" w:styleId="806">
    <w:name w:val="Intense Quote"/>
    <w:basedOn w:val="955"/>
    <w:next w:val="955"/>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5"/>
    <w:link w:val="809"/>
    <w:uiPriority w:val="99"/>
    <w:unhideWhenUsed/>
    <w:pPr>
      <w:spacing w:after="0" w:line="240" w:lineRule="auto"/>
      <w:tabs>
        <w:tab w:val="center" w:pos="7143" w:leader="none"/>
        <w:tab w:val="right" w:pos="14287" w:leader="none"/>
      </w:tabs>
    </w:pPr>
  </w:style>
  <w:style w:type="character" w:styleId="809">
    <w:name w:val="Header Char"/>
    <w:basedOn w:val="956"/>
    <w:link w:val="808"/>
    <w:uiPriority w:val="99"/>
  </w:style>
  <w:style w:type="character" w:styleId="810">
    <w:name w:val="Footer Char"/>
    <w:basedOn w:val="956"/>
    <w:link w:val="960"/>
    <w:uiPriority w:val="99"/>
  </w:style>
  <w:style w:type="paragraph" w:styleId="811">
    <w:name w:val="Caption"/>
    <w:basedOn w:val="955"/>
    <w:next w:val="955"/>
    <w:uiPriority w:val="35"/>
    <w:semiHidden/>
    <w:unhideWhenUsed/>
    <w:qFormat/>
    <w:pPr>
      <w:spacing w:line="276" w:lineRule="auto"/>
    </w:pPr>
    <w:rPr>
      <w:b/>
      <w:bCs/>
      <w:color w:val="4f81bd" w:themeColor="accent1"/>
      <w:sz w:val="18"/>
      <w:szCs w:val="18"/>
    </w:rPr>
  </w:style>
  <w:style w:type="character" w:styleId="812">
    <w:name w:val="Caption Char"/>
    <w:basedOn w:val="811"/>
    <w:link w:val="960"/>
    <w:uiPriority w:val="99"/>
  </w:style>
  <w:style w:type="table" w:styleId="813">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9">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0">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1">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2">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3">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4">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5">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6">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7">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8">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9">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1">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2">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3">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4">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5">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6">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5">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6">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7">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8">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9">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0">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2">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3">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4">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5">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6">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7">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6">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7">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8">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9">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0">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1">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56"/>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6"/>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uiPriority w:val="0"/>
    <w:qFormat/>
    <w:pPr>
      <w:jc w:val="both"/>
      <w:widowControl w:val="off"/>
    </w:pPr>
    <w:rPr>
      <w:rFonts w:ascii="Times New Roman" w:hAnsi="Times New Roman" w:eastAsia="楷体_GB2312" w:cs="Times New Roman"/>
      <w:sz w:val="26"/>
      <w:lang w:val="en-US" w:eastAsia="zh-CN" w:bidi="ar-SA"/>
    </w:rPr>
  </w:style>
  <w:style w:type="character" w:styleId="956" w:default="1">
    <w:name w:val="Default Paragraph Font"/>
    <w:uiPriority w:val="0"/>
    <w:semiHidden/>
  </w:style>
  <w:style w:type="table" w:styleId="957" w:default="1">
    <w:name w:val="Normal Table"/>
    <w:uiPriority w:val="0"/>
    <w:semiHidden/>
    <w:tblPr>
      <w:tblCellMar>
        <w:left w:w="108" w:type="dxa"/>
        <w:top w:w="0" w:type="dxa"/>
        <w:right w:w="108" w:type="dxa"/>
        <w:bottom w:w="0" w:type="dxa"/>
      </w:tblCellMar>
    </w:tblPr>
  </w:style>
  <w:style w:type="paragraph" w:styleId="958">
    <w:name w:val="Body Text"/>
    <w:basedOn w:val="955"/>
    <w:next w:val="955"/>
    <w:uiPriority w:val="0"/>
    <w:qFormat/>
    <w:rPr>
      <w:rFonts w:ascii="楷体_GB2312" w:hAnsi="Arial"/>
      <w:sz w:val="28"/>
    </w:rPr>
  </w:style>
  <w:style w:type="paragraph" w:styleId="959">
    <w:name w:val="Body Text Indent"/>
    <w:basedOn w:val="955"/>
    <w:uiPriority w:val="0"/>
    <w:qFormat/>
    <w:pPr>
      <w:ind w:firstLine="645"/>
    </w:pPr>
    <w:rPr>
      <w:rFonts w:ascii="楷体_GB2312" w:hAnsi="Calibri"/>
      <w:sz w:val="32"/>
      <w:szCs w:val="22"/>
    </w:rPr>
  </w:style>
  <w:style w:type="paragraph" w:styleId="960">
    <w:name w:val="Footer"/>
    <w:basedOn w:val="955"/>
    <w:uiPriority w:val="99"/>
    <w:unhideWhenUsed/>
    <w:qFormat/>
    <w:pPr>
      <w:tabs>
        <w:tab w:val="center" w:pos="7143" w:leader="none"/>
        <w:tab w:val="right" w:pos="14287" w:leader="none"/>
      </w:tabs>
    </w:pPr>
  </w:style>
  <w:style w:type="paragraph" w:styleId="961">
    <w:name w:val="envelope return"/>
    <w:basedOn w:val="962"/>
    <w:uiPriority w:val="99"/>
    <w:unhideWhenUsed/>
    <w:qFormat/>
    <w:rPr>
      <w:rFonts w:ascii="Arial" w:hAnsi="Arial"/>
    </w:rPr>
  </w:style>
  <w:style w:type="paragraph" w:styleId="962" w:customStyle="1">
    <w:name w:val="Normal_19"/>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文本缩进1"/>
    <w:basedOn w:val="955"/>
    <w:next w:val="961"/>
    <w:uiPriority w:val="0"/>
    <w:unhideWhenUsed/>
    <w:qFormat/>
    <w:pPr>
      <w:ind w:firstLine="570"/>
    </w:pPr>
    <w:rPr>
      <w:rFonts w:ascii="宋体" w:eastAsia="宋体"/>
      <w:sz w:val="28"/>
    </w:rPr>
  </w:style>
  <w:style w:type="paragraph" w:styleId="964">
    <w:name w:val="HTML Preformatted"/>
    <w:basedOn w:val="955"/>
    <w:uiPriority w:val="0"/>
    <w:unhideWhenUsed/>
    <w:qFormat/>
    <w:rPr>
      <w:rFonts w:ascii="Courier New" w:hAnsi="Courier New" w:cs="Courier New"/>
      <w:sz w:val="20"/>
    </w:rPr>
  </w:style>
  <w:style w:type="paragraph" w:styleId="965">
    <w:name w:val="Normal (Web)"/>
    <w:basedOn w:val="955"/>
    <w:uiPriority w:val="0"/>
    <w:qFormat/>
    <w:pPr>
      <w:jc w:val="left"/>
      <w:spacing w:before="100" w:beforeAutospacing="1" w:after="100" w:afterAutospacing="1"/>
      <w:widowControl/>
    </w:pPr>
    <w:rPr>
      <w:rFonts w:ascii="宋体" w:hAnsi="宋体"/>
      <w:color w:val="000000"/>
      <w:sz w:val="24"/>
      <w:szCs w:val="24"/>
    </w:rPr>
  </w:style>
  <w:style w:type="paragraph" w:styleId="966">
    <w:name w:val="Body Text First Indent 2"/>
    <w:basedOn w:val="959"/>
    <w:uiPriority w:val="99"/>
    <w:unhideWhenUsed/>
    <w:qFormat/>
    <w:pPr>
      <w:ind w:firstLine="200"/>
    </w:pPr>
  </w:style>
  <w:style w:type="table" w:styleId="967">
    <w:name w:val="Table Grid"/>
    <w:basedOn w:val="9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Emphasis"/>
    <w:uiPriority w:val="0"/>
    <w:qFormat/>
    <w:rPr>
      <w:rFonts w:ascii="Times New Roman" w:hAnsi="Times New Roman" w:eastAsia="宋体" w:cs="Times New Roman"/>
      <w:i/>
    </w:rPr>
  </w:style>
  <w:style w:type="character" w:styleId="969">
    <w:name w:val="Hyperlink"/>
    <w:uiPriority w:val="99"/>
    <w:unhideWhenUsed/>
    <w:qFormat/>
    <w:rPr>
      <w:color w:val="0563c1"/>
      <w:u w:val="single"/>
    </w:rPr>
  </w:style>
  <w:style w:type="paragraph" w:styleId="970" w:customStyle="1">
    <w:name w:val="正文首行缩进 21"/>
    <w:basedOn w:val="963"/>
    <w:uiPriority w:val="99"/>
    <w:unhideWhenUsed/>
    <w:qFormat/>
    <w:pPr>
      <w:ind w:firstLine="420"/>
    </w:pPr>
  </w:style>
  <w:style w:type="paragraph" w:styleId="971" w:customStyle="1">
    <w:name w:val="目录 11"/>
    <w:basedOn w:val="955"/>
    <w:next w:val="955"/>
    <w:uiPriority w:val="0"/>
    <w:unhideWhenUsed/>
    <w:qFormat/>
    <w:pPr>
      <w:jc w:val="left"/>
    </w:pPr>
    <w:rPr>
      <w:sz w:val="24"/>
    </w:rPr>
  </w:style>
  <w:style w:type="paragraph" w:styleId="972" w:customStyle="1">
    <w:name w:val="标题 21"/>
    <w:basedOn w:val="955"/>
    <w:next w:val="955"/>
    <w:uiPriority w:val="0"/>
    <w:qFormat/>
    <w:pPr>
      <w:keepLines/>
      <w:keepNext/>
      <w:spacing w:before="260" w:after="260" w:line="416" w:lineRule="auto"/>
      <w:outlineLvl w:val="1"/>
    </w:pPr>
    <w:rPr>
      <w:rFonts w:ascii="Cambria" w:hAnsi="Cambria" w:eastAsia="宋体"/>
      <w:b/>
      <w:bCs/>
      <w:sz w:val="32"/>
      <w:szCs w:val="32"/>
    </w:r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75" w:customStyle="1">
    <w:name w:val="纯文本1111"/>
    <w:basedOn w:val="955"/>
    <w:next w:val="976"/>
    <w:uiPriority w:val="0"/>
    <w:unhideWhenUsed/>
    <w:qFormat/>
    <w:rPr>
      <w:rFonts w:ascii="宋体" w:hAnsi="Courier New"/>
    </w:rPr>
  </w:style>
  <w:style w:type="paragraph" w:styleId="976" w:customStyle="1">
    <w:name w:val="正文缩进1"/>
    <w:basedOn w:val="955"/>
    <w:uiPriority w:val="0"/>
    <w:unhideWhenUsed/>
    <w:qFormat/>
    <w:pPr>
      <w:ind w:firstLine="420"/>
      <w:jc w:val="left"/>
    </w:pPr>
    <w:rPr>
      <w:sz w:val="24"/>
    </w:rPr>
  </w:style>
  <w:style w:type="paragraph" w:styleId="977">
    <w:name w:val="List Paragraph"/>
    <w:basedOn w:val="955"/>
    <w:uiPriority w:val="0"/>
    <w:qFormat/>
    <w:pPr>
      <w:ind w:firstLine="420"/>
    </w:pPr>
  </w:style>
  <w:style w:type="paragraph" w:styleId="978" w:customStyle="1">
    <w:name w:val="首行缩进"/>
    <w:basedOn w:val="955"/>
    <w:uiPriority w:val="0"/>
    <w:qFormat/>
    <w:pPr>
      <w:ind w:firstLine="480"/>
      <w:spacing w:line="360" w:lineRule="auto"/>
    </w:pPr>
    <w:rPr>
      <w:rFonts w:hAnsi="宋体" w:eastAsia="宋体" w:cs="宋体"/>
      <w:sz w:val="24"/>
      <w:szCs w:val="24"/>
    </w:rPr>
  </w:style>
  <w:style w:type="paragraph" w:styleId="979" w:customStyle="1">
    <w:name w:val="标题 31"/>
    <w:basedOn w:val="955"/>
    <w:next w:val="955"/>
    <w:uiPriority w:val="0"/>
    <w:qFormat/>
    <w:pPr>
      <w:keepLines/>
      <w:keepNext/>
      <w:spacing w:before="260" w:after="260" w:line="416" w:lineRule="auto"/>
      <w:outlineLvl w:val="2"/>
    </w:pPr>
    <w:rPr>
      <w:b/>
      <w:bCs/>
      <w:sz w:val="32"/>
      <w:szCs w:val="32"/>
    </w:rPr>
  </w:style>
  <w:style w:type="paragraph" w:styleId="980" w:customStyle="1">
    <w:name w:val="标题 11"/>
    <w:basedOn w:val="955"/>
    <w:next w:val="955"/>
    <w:uiPriority w:val="0"/>
    <w:qFormat/>
    <w:pPr>
      <w:keepLines/>
      <w:keepNext/>
      <w:spacing w:before="340" w:after="330" w:line="578" w:lineRule="auto"/>
      <w:outlineLvl w:val="0"/>
    </w:pPr>
    <w:rPr>
      <w:b/>
      <w:sz w:val="44"/>
    </w:rPr>
  </w:style>
  <w:style w:type="paragraph" w:styleId="981" w:customStyle="1">
    <w:name w:val="标题二、"/>
    <w:basedOn w:val="955"/>
    <w:uiPriority w:val="99"/>
    <w:qFormat/>
    <w:pPr>
      <w:ind w:firstLine="200"/>
      <w:spacing w:line="360" w:lineRule="auto"/>
      <w:outlineLvl w:val="2"/>
    </w:pPr>
    <w:rPr>
      <w:rFonts w:ascii="宋体" w:hAnsi="宋体"/>
      <w:b/>
      <w:szCs w:val="21"/>
    </w:rPr>
  </w:style>
  <w:style w:type="paragraph" w:styleId="982" w:customStyle="1">
    <w:name w:val="Normal_16_1"/>
    <w:uiPriority w:val="0"/>
    <w:qFormat/>
    <w:rPr>
      <w:rFonts w:ascii="宋体" w:hAnsi="宋体" w:eastAsia="宋体" w:cs="Times New Roman"/>
      <w:sz w:val="32"/>
      <w:szCs w:val="24"/>
      <w:lang w:val="en-US" w:eastAsia="zh-CN" w:bidi="ar-SA"/>
    </w:rPr>
  </w:style>
  <w:style w:type="paragraph" w:styleId="983"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页眉1"/>
    <w:basedOn w:val="955"/>
    <w:uiPriority w:val="0"/>
    <w:unhideWhenUsed/>
    <w:qFormat/>
    <w:pPr>
      <w:jc w:val="center"/>
      <w:tabs>
        <w:tab w:val="center" w:pos="4153" w:leader="none"/>
        <w:tab w:val="right" w:pos="8306" w:leader="none"/>
      </w:tabs>
      <w:pBdr>
        <w:bottom w:val="single" w:color="000000" w:sz="6" w:space="1"/>
      </w:pBdr>
    </w:pPr>
    <w:rPr>
      <w:sz w:val="18"/>
    </w:rPr>
  </w:style>
  <w:style w:type="paragraph" w:styleId="985" w:customStyle="1">
    <w:name w:val="页脚1"/>
    <w:basedOn w:val="955"/>
    <w:uiPriority w:val="0"/>
    <w:unhideWhenUsed/>
    <w:qFormat/>
    <w:pPr>
      <w:jc w:val="left"/>
      <w:tabs>
        <w:tab w:val="center" w:pos="4153" w:leader="none"/>
        <w:tab w:val="right" w:pos="8306" w:leader="none"/>
      </w:tabs>
    </w:pPr>
    <w:rPr>
      <w:sz w:val="18"/>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马君端</cp:lastModifiedBy>
  <cp:revision>2</cp:revision>
  <dcterms:created xsi:type="dcterms:W3CDTF">2026-07-07T10:56:08Z</dcterms:created>
  <dcterms:modified xsi:type="dcterms:W3CDTF">2026-07-08T06:59:37Z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eyJoZGlkIjoiOGIzYWQ0NGI5ODZhMmQ2NjdiNzEwMGIwMWZiZDFiNzgiLCJ1c2VySWQiOiI1MzgyNjc5MTEifQ==</vt:lpwstr>
  </property>
  <property fmtid="{D5CDD505-2E9C-101B-9397-08002B2CF9AE}" pid="4" name="ICV">
    <vt:lpwstr>0BC6E0353239469DA50EC0E5C1969B10_12</vt:lpwstr>
  </property>
</Properties>
</file>