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hint="eastAsia" w:ascii="黑体" w:hAnsi="黑体" w:eastAsia="黑体"/>
          <w:b/>
          <w:sz w:val="84"/>
          <w:szCs w:val="84"/>
        </w:rPr>
      </w:pPr>
      <w:r>
        <w:rPr>
          <w:rFonts w:hint="eastAsia" w:ascii="黑体" w:hAnsi="黑体" w:eastAsia="黑体"/>
          <w:b/>
          <w:sz w:val="84"/>
          <w:szCs w:val="84"/>
        </w:rPr>
      </w:r>
      <w:r/>
    </w:p>
    <w:p>
      <w:pPr>
        <w:jc w:val="center"/>
        <w:rPr>
          <w:rFonts w:hint="eastAsia"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0"/>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tbl>
      <w:tblPr>
        <w:tblStyle w:val="842"/>
        <w:tblW w:w="0" w:type="auto"/>
        <w:tblInd w:w="751" w:type="dxa"/>
        <w:tblLayout w:type="fixed"/>
        <w:tblCellMar>
          <w:left w:w="108" w:type="dxa"/>
          <w:top w:w="0" w:type="dxa"/>
          <w:right w:w="108" w:type="dxa"/>
          <w:bottom w:w="0" w:type="dxa"/>
        </w:tblCellMar>
        <w:tblLook w:val="04A0" w:firstRow="1" w:lastRow="0" w:firstColumn="1" w:lastColumn="0" w:noHBand="0" w:noVBand="1"/>
      </w:tblPr>
      <w:tblGrid>
        <w:gridCol w:w="1984"/>
        <w:gridCol w:w="5116"/>
      </w:tblGrid>
      <w:tr>
        <w:trPr/>
        <w:tc>
          <w:tcPr>
            <w:tcW w:w="1984"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w:t>
            </w:r>
            <w:r/>
          </w:p>
        </w:tc>
        <w:tc>
          <w:tcPr>
            <w:tcW w:w="5116" w:type="dxa"/>
            <w:textDirection w:val="lrTb"/>
            <w:noWrap w:val="false"/>
          </w:tcPr>
          <w:p>
            <w:pPr>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连云港市公安局网络租用服务采购（非专门面向中小企业）</w:t>
            </w:r>
            <w:r/>
          </w:p>
        </w:tc>
      </w:tr>
      <w:tr>
        <w:trPr/>
        <w:tc>
          <w:tcPr>
            <w:tcW w:w="1984"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sz w:val="32"/>
                <w:szCs w:val="24"/>
              </w:rPr>
              <w:t xml:space="preserve">项目编号：</w:t>
            </w:r>
            <w:r/>
          </w:p>
        </w:tc>
        <w:tc>
          <w:tcPr>
            <w:tcW w:w="5116" w:type="dxa"/>
            <w:textDirection w:val="lrTb"/>
            <w:noWrap w:val="false"/>
          </w:tcPr>
          <w:p>
            <w:pPr>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JSZC-320700-JZCG-G2026-0051</w:t>
            </w:r>
            <w:r/>
          </w:p>
        </w:tc>
      </w:tr>
    </w:tbl>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bCs/>
          <w:color w:val="000000"/>
          <w:sz w:val="44"/>
          <w:szCs w:val="44"/>
        </w:rPr>
      </w:pPr>
      <w:r>
        <w:rPr>
          <w:rFonts w:ascii="黑体" w:hAnsi="Arial" w:eastAsia="黑体" w:cs="Times New Roman"/>
          <w:b/>
          <w:color w:val="000000"/>
          <w:sz w:val="44"/>
          <w:szCs w:val="21"/>
        </w:rPr>
      </w:r>
      <w:r>
        <w:rPr>
          <w:rFonts w:ascii="黑体" w:hAnsi="Arial" w:eastAsia="黑体" w:cs="Times New Roman"/>
          <w:b/>
          <w:color w:val="000000"/>
          <w:sz w:val="44"/>
          <w:szCs w:val="21"/>
        </w:rPr>
      </w:r>
      <w:r/>
    </w:p>
    <w:p>
      <w:pPr>
        <w:spacing w:line="480" w:lineRule="auto"/>
        <w:rPr>
          <w:rFonts w:ascii="黑体" w:hAnsi="Arial" w:eastAsia="黑体" w:cs="Times New Roman"/>
          <w:b/>
          <w:bCs/>
          <w:color w:val="000000"/>
          <w:sz w:val="44"/>
          <w:szCs w:val="44"/>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hint="eastAsia" w:asciiTheme="minorEastAsia" w:hAnsiTheme="minorEastAsia"/>
          <w:sz w:val="24"/>
        </w:rPr>
      </w:pPr>
      <w:r>
        <w:rPr>
          <w:rFonts w:hint="eastAsia" w:ascii="Arial" w:hAnsi="Arial" w:eastAsia="宋体" w:cs="Times New Roman"/>
          <w:b/>
          <w:bCs/>
          <w:color w:val="000000"/>
          <w:sz w:val="32"/>
          <w:szCs w:val="24"/>
        </w:rPr>
        <w:t xml:space="preserve">2026年6月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before="156" w:after="156" w:line="360" w:lineRule="auto"/>
        <w:rPr>
          <w:rFonts w:hint="eastAsia"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859"/>
        <w:rPr>
          <w:sz w:val="28"/>
        </w:rPr>
      </w:pPr>
      <w:r>
        <w:rPr>
          <w:sz w:val="28"/>
        </w:rPr>
      </w:r>
      <w:r/>
    </w:p>
    <w:p>
      <w:pPr>
        <w:pStyle w:val="859"/>
        <w:rPr>
          <w:sz w:val="28"/>
        </w:rPr>
      </w:pPr>
      <w:r>
        <w:rPr>
          <w:rFonts w:hint="eastAsia"/>
          <w:sz w:val="28"/>
        </w:rPr>
        <w:t xml:space="preserve">第一章  投标邀请...................................................................................</w:t>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859"/>
        <w:rPr>
          <w:sz w:val="28"/>
        </w:rPr>
      </w:pPr>
      <w:r>
        <w:rPr>
          <w:rFonts w:hint="eastAsia"/>
          <w:sz w:val="28"/>
        </w:rPr>
        <w:t xml:space="preserve">第二章  投标人须知...............................................................................</w:t>
      </w:r>
      <w:r>
        <w:rPr>
          <w:sz w:val="28"/>
        </w:rPr>
        <w:fldChar w:fldCharType="begin"/>
      </w:r>
      <w:r>
        <w:rPr>
          <w:sz w:val="28"/>
        </w:rPr>
        <w:instrText xml:space="preserve"> PAGEREF _Toc162361611 \h </w:instrText>
      </w:r>
      <w:r>
        <w:rPr>
          <w:sz w:val="28"/>
        </w:rPr>
        <w:fldChar w:fldCharType="separate"/>
      </w:r>
      <w:r>
        <w:rPr>
          <w:sz w:val="28"/>
        </w:rPr>
        <w:t xml:space="preserve">6</w:t>
      </w:r>
      <w:r>
        <w:rPr>
          <w:sz w:val="28"/>
        </w:rPr>
        <w:fldChar w:fldCharType="end"/>
      </w:r>
      <w:r/>
    </w:p>
    <w:p>
      <w:pPr>
        <w:pStyle w:val="859"/>
        <w:rPr>
          <w:sz w:val="28"/>
        </w:rPr>
      </w:pPr>
      <w:r>
        <w:rPr>
          <w:rFonts w:hint="eastAsia"/>
          <w:sz w:val="28"/>
        </w:rPr>
        <w:t xml:space="preserve">第三章  合同文本.................................................................................</w:t>
      </w:r>
      <w:r>
        <w:rPr>
          <w:sz w:val="28"/>
        </w:rPr>
        <w:fldChar w:fldCharType="begin"/>
      </w:r>
      <w:r>
        <w:rPr>
          <w:sz w:val="28"/>
        </w:rPr>
        <w:instrText xml:space="preserve"> PAGEREF _Toc162361612 \h </w:instrText>
      </w:r>
      <w:r>
        <w:rPr>
          <w:sz w:val="28"/>
        </w:rPr>
        <w:fldChar w:fldCharType="separate"/>
      </w:r>
      <w:r>
        <w:rPr>
          <w:sz w:val="28"/>
        </w:rPr>
        <w:t xml:space="preserve">25</w:t>
      </w:r>
      <w:r>
        <w:rPr>
          <w:sz w:val="28"/>
        </w:rPr>
        <w:fldChar w:fldCharType="end"/>
      </w:r>
      <w:r/>
    </w:p>
    <w:p>
      <w:pPr>
        <w:pStyle w:val="859"/>
        <w:rPr>
          <w:sz w:val="28"/>
        </w:rPr>
      </w:pPr>
      <w:r>
        <w:rPr>
          <w:rFonts w:hint="eastAsia"/>
          <w:sz w:val="28"/>
        </w:rPr>
        <w:t xml:space="preserve">第四章  采购需求.................................................................................</w:t>
      </w:r>
      <w:r>
        <w:rPr>
          <w:sz w:val="28"/>
        </w:rPr>
        <w:fldChar w:fldCharType="begin"/>
      </w:r>
      <w:r>
        <w:rPr>
          <w:sz w:val="28"/>
        </w:rPr>
        <w:instrText xml:space="preserve"> PAGEREF _Toc162361613 \h </w:instrText>
      </w:r>
      <w:r>
        <w:rPr>
          <w:sz w:val="28"/>
        </w:rPr>
        <w:fldChar w:fldCharType="separate"/>
      </w:r>
      <w:r>
        <w:rPr>
          <w:sz w:val="28"/>
        </w:rPr>
        <w:t xml:space="preserve">30</w:t>
      </w:r>
      <w:r>
        <w:rPr>
          <w:sz w:val="28"/>
        </w:rPr>
        <w:fldChar w:fldCharType="end"/>
      </w:r>
      <w:r/>
    </w:p>
    <w:p>
      <w:pPr>
        <w:pStyle w:val="859"/>
        <w:rPr>
          <w:sz w:val="28"/>
        </w:rPr>
      </w:pPr>
      <w:r>
        <w:rPr>
          <w:rFonts w:hint="eastAsia"/>
          <w:sz w:val="28"/>
        </w:rPr>
        <w:t xml:space="preserve">第五章  评标方法与评标标准.............................................................</w:t>
      </w:r>
      <w:r>
        <w:rPr>
          <w:sz w:val="28"/>
        </w:rPr>
        <w:fldChar w:fldCharType="begin"/>
      </w:r>
      <w:r>
        <w:rPr>
          <w:sz w:val="28"/>
        </w:rPr>
        <w:instrText xml:space="preserve"> PAGEREF _Toc162361614 \h </w:instrText>
      </w:r>
      <w:r>
        <w:rPr>
          <w:sz w:val="28"/>
        </w:rPr>
        <w:fldChar w:fldCharType="separate"/>
      </w:r>
      <w:r>
        <w:rPr>
          <w:sz w:val="28"/>
        </w:rPr>
        <w:t xml:space="preserve">70</w:t>
      </w:r>
      <w:r>
        <w:rPr>
          <w:sz w:val="28"/>
        </w:rPr>
        <w:fldChar w:fldCharType="end"/>
      </w:r>
      <w:r/>
    </w:p>
    <w:p>
      <w:pPr>
        <w:pStyle w:val="859"/>
        <w:rPr>
          <w:sz w:val="28"/>
        </w:rPr>
      </w:pPr>
      <w:r>
        <w:rPr>
          <w:rFonts w:hint="eastAsia"/>
          <w:sz w:val="28"/>
        </w:rPr>
        <w:t xml:space="preserve">第六章  投标文件格式.........................................................................</w:t>
      </w:r>
      <w:r>
        <w:rPr>
          <w:sz w:val="28"/>
        </w:rPr>
        <w:fldChar w:fldCharType="begin"/>
      </w:r>
      <w:r>
        <w:rPr>
          <w:sz w:val="28"/>
        </w:rPr>
        <w:instrText xml:space="preserve"> PAGEREF _Toc162361615 \h </w:instrText>
      </w:r>
      <w:r>
        <w:rPr>
          <w:sz w:val="28"/>
        </w:rPr>
        <w:fldChar w:fldCharType="separate"/>
      </w:r>
      <w:r>
        <w:rPr>
          <w:sz w:val="28"/>
        </w:rPr>
        <w:t xml:space="preserve">83</w:t>
      </w:r>
      <w:r>
        <w:rPr>
          <w:sz w:val="28"/>
        </w:rPr>
        <w:fldChar w:fldCharType="end"/>
      </w:r>
      <w:r/>
    </w:p>
    <w:p>
      <w:pPr>
        <w:jc w:val="left"/>
        <w:spacing w:line="360" w:lineRule="auto"/>
        <w:widowControl/>
        <w:rPr>
          <w:rFonts w:hint="eastAsia"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832"/>
        <w:jc w:val="center"/>
        <w:spacing w:before="156" w:after="156" w:line="360" w:lineRule="auto"/>
        <w:rPr>
          <w:rFonts w:hint="eastAsia"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黑体" w:eastAsia="黑体"/>
          <w:b w:val="0"/>
        </w:rPr>
      </w:r>
      <w:r/>
    </w:p>
    <w:p>
      <w:pPr>
        <w:pStyle w:val="832"/>
        <w:jc w:val="center"/>
        <w:spacing w:before="156" w:after="156" w:line="360" w:lineRule="auto"/>
        <w:rPr>
          <w:rFonts w:hint="eastAsia"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受连云港市公安局的委托，连云港市公共资源交易中心就连云港市公安局网络租用服务采购（非专门面向中小企业）（JSZC-320700-JZCG-G2026-0051）项目进行公开招标采购，欢迎符合条件的供应商投标。</w:t>
      </w:r>
      <w:r/>
    </w:p>
    <w:tbl>
      <w:tblPr>
        <w:tblStyle w:val="842"/>
        <w:tblW w:w="0" w:type="auto"/>
        <w:tblInd w:w="15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2"/>
      </w:tblGrid>
      <w:tr>
        <w:trPr/>
        <w:tc>
          <w:tcPr>
            <w:tcW w:w="9597" w:type="dxa"/>
            <w:textDirection w:val="lrTb"/>
            <w:noWrap w:val="false"/>
          </w:tcPr>
          <w:p>
            <w:pPr>
              <w:spacing w:line="500" w:lineRule="exact"/>
              <w:rPr>
                <w:rFonts w:hint="eastAsia"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hint="eastAsia" w:asciiTheme="minorEastAsia" w:hAnsiTheme="minorEastAsia"/>
                <w:sz w:val="24"/>
                <w:szCs w:val="24"/>
              </w:rPr>
            </w:pPr>
            <w:r>
              <w:rPr>
                <w:rFonts w:hint="eastAsia" w:asciiTheme="minorEastAsia" w:hAnsiTheme="minorEastAsia"/>
                <w:b/>
                <w:bCs/>
                <w:sz w:val="24"/>
                <w:szCs w:val="24"/>
                <w:u w:val="single"/>
              </w:rPr>
              <w:t xml:space="preserve">连云港市公安局网络租用服务采购（非专门面向中小企业）</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u w:val="single"/>
              </w:rPr>
              <w:t xml:space="preserve">2026年</w:t>
            </w:r>
            <w:r>
              <w:rPr>
                <w:rFonts w:hint="eastAsia" w:asciiTheme="minorEastAsia" w:hAnsiTheme="minorEastAsia"/>
                <w:b/>
                <w:sz w:val="24"/>
                <w:szCs w:val="24"/>
                <w:u w:val="single"/>
                <w:lang w:val="en-US" w:eastAsia="zh-CN"/>
              </w:rPr>
              <w:t xml:space="preserve">7</w:t>
            </w:r>
            <w:r>
              <w:rPr>
                <w:rFonts w:hint="eastAsia" w:asciiTheme="minorEastAsia" w:hAnsiTheme="minorEastAsia"/>
                <w:b/>
                <w:sz w:val="24"/>
                <w:szCs w:val="24"/>
                <w:u w:val="single"/>
              </w:rPr>
              <w:t xml:space="preserve">月</w:t>
            </w:r>
            <w:r>
              <w:rPr>
                <w:rFonts w:hint="eastAsia" w:asciiTheme="minorEastAsia" w:hAnsiTheme="minorEastAsia"/>
                <w:b/>
                <w:sz w:val="24"/>
                <w:szCs w:val="24"/>
                <w:u w:val="single"/>
                <w:lang w:val="en-US" w:eastAsia="zh-CN"/>
              </w:rPr>
              <w:t xml:space="preserve">3</w:t>
            </w:r>
            <w:r>
              <w:rPr>
                <w:rFonts w:hint="eastAsia" w:asciiTheme="minorEastAsia" w:hAnsiTheme="minorEastAsia"/>
                <w:b/>
                <w:sz w:val="24"/>
                <w:szCs w:val="24"/>
                <w:u w:val="single"/>
              </w:rPr>
              <w:t xml:space="preserve">日10:30:00</w:t>
            </w:r>
            <w:r>
              <w:rPr>
                <w:rFonts w:hint="eastAsia" w:asciiTheme="minorEastAsia" w:hAnsiTheme="minorEastAsia"/>
                <w:sz w:val="24"/>
                <w:szCs w:val="24"/>
              </w:rPr>
              <w:t xml:space="preserve">（北京时间）前递交（上传）投标文件。</w:t>
            </w:r>
            <w:r/>
          </w:p>
        </w:tc>
      </w:tr>
    </w:tbl>
    <w:p>
      <w:pPr>
        <w:pStyle w:val="833"/>
        <w:spacing w:before="0" w:after="0" w:line="500" w:lineRule="exact"/>
        <w:rPr>
          <w:rFonts w:hint="eastAsia"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项目编号：JSZC-320700-JZCG-G2026-0051</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项目名称：连云港市公安局网络租用服务采购（非专门面向中小企业）</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hint="eastAsia" w:ascii="宋体" w:hAnsi="宋体" w:eastAsia="宋体" w:cs="Times New Roman"/>
          <w:b/>
          <w:color w:val="000000"/>
          <w:sz w:val="24"/>
          <w:szCs w:val="24"/>
        </w:rPr>
      </w:pPr>
      <w:r>
        <w:rPr>
          <w:rFonts w:hint="eastAsia" w:asciiTheme="minorEastAsia" w:hAnsiTheme="minorEastAsia"/>
          <w:b/>
          <w:bCs/>
          <w:sz w:val="24"/>
          <w:szCs w:val="24"/>
        </w:rPr>
        <w:t xml:space="preserve">预算金额：人民币1553万元，</w:t>
      </w:r>
      <w:r>
        <w:rPr>
          <w:rFonts w:hint="eastAsia" w:asciiTheme="minorEastAsia" w:hAnsiTheme="minorEastAsia"/>
          <w:b/>
          <w:sz w:val="24"/>
          <w:szCs w:val="24"/>
        </w:rPr>
        <w:t xml:space="preserve">每个采购包的</w:t>
      </w:r>
      <w:r>
        <w:rPr>
          <w:rFonts w:hint="eastAsia" w:ascii="宋体" w:hAnsi="宋体" w:eastAsia="宋体" w:cs="Times New Roman"/>
          <w:b/>
          <w:color w:val="000000"/>
          <w:sz w:val="24"/>
          <w:szCs w:val="24"/>
        </w:rPr>
        <w:t xml:space="preserve">投标报价超过预算金额的投标无效。</w:t>
      </w:r>
      <w:r/>
    </w:p>
    <w:p>
      <w:pPr>
        <w:ind w:firstLine="482"/>
        <w:spacing w:line="500" w:lineRule="exact"/>
        <w:rPr>
          <w:rFonts w:ascii="Calibri" w:hAnsi="Calibri" w:eastAsia="宋体" w:cs="Times New Roman"/>
          <w:b/>
          <w:sz w:val="24"/>
          <w:szCs w:val="24"/>
        </w:rPr>
      </w:pPr>
      <w:r>
        <w:rPr>
          <w:rFonts w:hint="eastAsia" w:ascii="Calibri" w:hAnsi="Calibri" w:eastAsia="宋体" w:cs="Times New Roman"/>
          <w:b/>
          <w:sz w:val="24"/>
          <w:szCs w:val="24"/>
        </w:rPr>
        <w:t xml:space="preserve">本项目共分为三个采购包：</w:t>
      </w:r>
      <w:r/>
    </w:p>
    <w:p>
      <w:pPr>
        <w:ind w:firstLine="482"/>
        <w:spacing w:line="500" w:lineRule="exact"/>
        <w:rPr>
          <w:rFonts w:hint="eastAsia" w:asciiTheme="minorEastAsia" w:hAnsiTheme="minorEastAsia"/>
          <w:b/>
          <w:bCs/>
          <w:sz w:val="24"/>
          <w:szCs w:val="24"/>
        </w:rPr>
      </w:pPr>
      <w:r>
        <w:rPr>
          <w:rFonts w:hint="eastAsia" w:asciiTheme="minorEastAsia" w:hAnsiTheme="minorEastAsia"/>
          <w:b/>
          <w:bCs/>
          <w:sz w:val="24"/>
          <w:szCs w:val="24"/>
        </w:rPr>
        <w:t xml:space="preserve">采购包1：连云港市公安局数据专线及配套网络租用服务采购（预算金额：53.664万元）</w:t>
      </w:r>
      <w:r/>
    </w:p>
    <w:p>
      <w:pPr>
        <w:ind w:firstLine="482"/>
        <w:spacing w:line="500" w:lineRule="exact"/>
        <w:rPr>
          <w:rFonts w:hint="eastAsia" w:asciiTheme="minorEastAsia" w:hAnsiTheme="minorEastAsia"/>
          <w:b/>
          <w:bCs/>
          <w:sz w:val="24"/>
          <w:szCs w:val="24"/>
        </w:rPr>
      </w:pPr>
      <w:r>
        <w:rPr>
          <w:rFonts w:hint="eastAsia" w:asciiTheme="minorEastAsia" w:hAnsiTheme="minorEastAsia"/>
          <w:b/>
          <w:bCs/>
          <w:sz w:val="24"/>
          <w:szCs w:val="24"/>
        </w:rPr>
        <w:t xml:space="preserve">采购包2：连云港市公安局三四级网主线及配套网络租用服务采购（预算金额：675.168万元）</w:t>
      </w:r>
      <w:r/>
    </w:p>
    <w:p>
      <w:pPr>
        <w:ind w:firstLine="482"/>
        <w:spacing w:line="500" w:lineRule="exact"/>
        <w:rPr>
          <w:rFonts w:hint="eastAsia" w:asciiTheme="minorEastAsia" w:hAnsiTheme="minorEastAsia"/>
          <w:b/>
          <w:bCs/>
          <w:sz w:val="24"/>
          <w:szCs w:val="24"/>
        </w:rPr>
      </w:pPr>
      <w:r>
        <w:rPr>
          <w:rFonts w:hint="eastAsia" w:asciiTheme="minorEastAsia" w:hAnsiTheme="minorEastAsia"/>
          <w:b/>
          <w:bCs/>
          <w:sz w:val="24"/>
          <w:szCs w:val="24"/>
        </w:rPr>
        <w:t xml:space="preserve">采购包3：连云港市公安局IDC租用及配套网络租用服务采购（预算金额：824.168万元）</w:t>
      </w:r>
      <w:r/>
    </w:p>
    <w:p>
      <w:pPr>
        <w:ind w:firstLine="482"/>
        <w:spacing w:line="500" w:lineRule="exact"/>
        <w:rPr>
          <w:rFonts w:hint="eastAsia" w:cs="Times New Roman" w:asciiTheme="minorEastAsia" w:hAnsiTheme="minorEastAsia"/>
          <w:b/>
          <w:sz w:val="24"/>
          <w:szCs w:val="24"/>
        </w:rPr>
      </w:pPr>
      <w:r>
        <w:rPr>
          <w:rFonts w:hint="eastAsia" w:cs="Times New Roman" w:asciiTheme="minorEastAsia" w:hAnsiTheme="minorEastAsia"/>
          <w:b/>
          <w:sz w:val="24"/>
          <w:szCs w:val="24"/>
        </w:rPr>
        <w:t xml:space="preserve">投标人三个采购包皆可投，但只可中一个采购包。</w:t>
      </w:r>
      <w:r/>
    </w:p>
    <w:p>
      <w:pPr>
        <w:ind w:firstLine="482"/>
        <w:spacing w:line="500" w:lineRule="exact"/>
        <w:rPr>
          <w:rFonts w:ascii="Calibri" w:hAnsi="Calibri" w:eastAsia="宋体" w:cs="Times New Roman"/>
          <w:b/>
          <w:sz w:val="24"/>
          <w:szCs w:val="24"/>
        </w:rPr>
      </w:pPr>
      <w:r>
        <w:rPr>
          <w:rFonts w:hint="eastAsia" w:ascii="Calibri" w:hAnsi="Calibri" w:eastAsia="宋体" w:cs="Times New Roman"/>
          <w:b/>
          <w:sz w:val="24"/>
          <w:szCs w:val="24"/>
        </w:rPr>
        <w:t xml:space="preserve">开标、评标的顺序按照一、二、三采购包依次进行，中标顺序根据评标顺序确定。如投标人采购包一被确定为中标人，采购包二将不推荐为中标候选人，以此类推。</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采购需求：</w:t>
      </w:r>
      <w:r/>
    </w:p>
    <w:p>
      <w:pPr>
        <w:ind w:firstLine="480"/>
        <w:spacing w:line="500" w:lineRule="exact"/>
        <w:rPr>
          <w:rFonts w:hint="eastAsia" w:ascii="宋体" w:hAnsi="宋体" w:cs="宋体"/>
          <w:color w:val="000000"/>
          <w:sz w:val="24"/>
        </w:rPr>
      </w:pPr>
      <w:r>
        <w:rPr>
          <w:rFonts w:hint="eastAsia" w:asciiTheme="minorEastAsia" w:hAnsiTheme="minorEastAsia"/>
          <w:sz w:val="24"/>
          <w:szCs w:val="24"/>
        </w:rPr>
        <w:t xml:space="preserve">采购包1：</w:t>
      </w:r>
      <w:r>
        <w:rPr>
          <w:rFonts w:hint="eastAsia" w:ascii="宋体" w:hAnsi="宋体" w:eastAsia="宋体" w:cs="宋体"/>
          <w:sz w:val="24"/>
          <w:szCs w:val="24"/>
        </w:rPr>
        <w:t xml:space="preserve">当前公安工作正深度</w:t>
      </w:r>
      <w:r>
        <w:rPr>
          <w:rFonts w:hint="eastAsia" w:ascii="宋体" w:hAnsi="宋体" w:eastAsia="宋体" w:cs="宋体"/>
          <w:sz w:val="24"/>
          <w:szCs w:val="24"/>
        </w:rPr>
        <w:t xml:space="preserve">融入数字化、智能化发展浪潮，网络基础设施作为支撑执法办案、治安防控、应急处突、政务服务、大数据研判等核心业务 “基石”，其稳定性、安全性和适配性直接关系到公安工作的效率与公共安全治理成效。为全面保障各项重点工作推进和重大项目落地实施，解决现有网络资源在覆盖范围、承载能力、服务保障等方面的适配需求，夯实信息化基础设施建设根基。完成对全局各类网络线路、机柜、物联网卡、流量卡、短信服务、互联网IP地址、网络电视统服务等统一采购，明确技术和资费标准，规范租用业务流程，合理降低网络租金，提升网络运维服务水平。具体内容</w:t>
      </w:r>
      <w:r>
        <w:rPr>
          <w:rFonts w:hint="eastAsia" w:ascii="宋体" w:hAnsi="宋体" w:cs="宋体"/>
          <w:color w:val="000000"/>
          <w:sz w:val="24"/>
        </w:rPr>
        <w:t xml:space="preserve">详见</w:t>
      </w:r>
      <w:r>
        <w:rPr>
          <w:rFonts w:hint="eastAsia" w:ascii="宋体" w:hAnsi="宋体"/>
          <w:color w:val="000000"/>
          <w:sz w:val="24"/>
          <w:szCs w:val="24"/>
        </w:rPr>
        <w:t xml:space="preserve">第四章</w:t>
      </w:r>
      <w:r>
        <w:rPr>
          <w:rFonts w:hint="eastAsia" w:ascii="宋体" w:hAnsi="宋体" w:cs="宋体"/>
          <w:color w:val="000000"/>
          <w:sz w:val="24"/>
        </w:rPr>
        <w:t xml:space="preserve">采购需求。</w:t>
      </w:r>
      <w:r/>
    </w:p>
    <w:p>
      <w:pPr>
        <w:ind w:firstLine="480"/>
        <w:spacing w:line="500" w:lineRule="exact"/>
        <w:rPr>
          <w:rFonts w:hint="eastAsia" w:ascii="宋体" w:hAnsi="宋体" w:cs="宋体"/>
          <w:color w:val="000000"/>
          <w:sz w:val="24"/>
        </w:rPr>
      </w:pPr>
      <w:r>
        <w:rPr>
          <w:rFonts w:hint="eastAsia" w:ascii="宋体" w:hAnsi="宋体" w:cs="宋体"/>
          <w:color w:val="000000"/>
          <w:sz w:val="24"/>
        </w:rPr>
        <w:t xml:space="preserve">采购包2：连云港市公安局采购专业网络租用服务，整合线路、机柜、物联网卡、流量卡、短信服务、IP 地址、网络电视等核心资源。具体内容详见第四章采购需求。</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采购包3：</w:t>
      </w:r>
      <w:r>
        <w:rPr>
          <w:rFonts w:hint="eastAsia" w:ascii="宋体" w:hAnsi="宋体" w:eastAsia="宋体" w:cs="宋体"/>
          <w:sz w:val="24"/>
          <w:szCs w:val="24"/>
        </w:rPr>
        <w:t xml:space="preserve">为全面保障各项重点工作推进和重大项目落地实施，解决现有网络资源在覆盖范围、承载能力、服务保障等方面的适配需求，夯实信息化基础设施建设根基，本着“实用、效能、安全、长效”的原则，拟开展各类网络线路、机柜、物联网卡、流量卡、短信服务等采购</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具体要求详见第四章采购需求。</w:t>
      </w:r>
      <w:r/>
    </w:p>
    <w:p>
      <w:pPr>
        <w:ind w:firstLine="482"/>
        <w:spacing w:line="500" w:lineRule="exact"/>
        <w:rPr>
          <w:rFonts w:hint="eastAsia" w:asciiTheme="minorEastAsia" w:hAnsiTheme="minorEastAsia"/>
          <w:b/>
          <w:sz w:val="24"/>
          <w:szCs w:val="24"/>
        </w:rPr>
      </w:pPr>
      <w:r>
        <w:rPr>
          <w:rFonts w:hint="eastAsia" w:asciiTheme="minorEastAsia" w:hAnsiTheme="minorEastAsia"/>
          <w:b/>
          <w:sz w:val="24"/>
          <w:szCs w:val="24"/>
        </w:rPr>
        <w:t xml:space="preserve">对本项目各采购包资格要求、采购需求、评标方法与评标标准等部分的询问、质疑请与采购人联系，由采购人负责答复。</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合同履行期限（采购包1、采购包2、采购包3）：2年</w:t>
      </w:r>
      <w:r>
        <w:rPr>
          <w:rFonts w:hint="eastAsia" w:asciiTheme="minorEastAsia" w:hAnsiTheme="minorEastAsia"/>
          <w:bCs/>
          <w:color w:val="000000"/>
          <w:sz w:val="24"/>
          <w:szCs w:val="24"/>
        </w:rPr>
        <w:t xml:space="preserve">（合同约定之日起算）</w:t>
      </w:r>
      <w:r>
        <w:rPr>
          <w:rFonts w:hint="eastAsia" w:asciiTheme="minorEastAsia" w:hAnsiTheme="minorEastAsia"/>
          <w:sz w:val="24"/>
          <w:szCs w:val="24"/>
        </w:rPr>
        <w:t xml:space="preserve">。</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本项目不接受联合体投标。</w:t>
      </w:r>
      <w:r/>
    </w:p>
    <w:p>
      <w:pPr>
        <w:pStyle w:val="833"/>
        <w:spacing w:before="0" w:after="0" w:line="500" w:lineRule="exact"/>
      </w:pPr>
      <w:r>
        <w:rPr>
          <w:rFonts w:hint="eastAsia" w:asciiTheme="minorEastAsia" w:hAnsiTheme="minorEastAsia" w:eastAsiaTheme="minorEastAsia"/>
        </w:rPr>
        <w:t xml:space="preserve">二、申请人的资格要求（采购包1、采购包2、采购包3）</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根据连财购〔2023〕4号文件精神，2、3项可以提供《财务状况报告及税收、社会保障资金缴纳情况承诺函》，详见投标文件格式。</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spacing w:line="500" w:lineRule="exact"/>
        <w:rPr>
          <w:rFonts w:hint="eastAsia"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2"/>
        <w:spacing w:line="500" w:lineRule="exact"/>
        <w:rPr>
          <w:rFonts w:hint="eastAsia" w:asciiTheme="minorEastAsia" w:hAnsiTheme="minorEastAsia"/>
          <w:b/>
          <w:sz w:val="24"/>
          <w:szCs w:val="24"/>
        </w:rPr>
      </w:pPr>
      <w:r>
        <w:rPr>
          <w:rFonts w:hint="eastAsia" w:asciiTheme="minorEastAsia" w:hAnsiTheme="minorEastAsia"/>
          <w:b/>
          <w:sz w:val="24"/>
          <w:szCs w:val="24"/>
        </w:rPr>
        <w:t xml:space="preserve">（三）本项目的特定资格要求：</w:t>
      </w:r>
      <w:r/>
    </w:p>
    <w:p>
      <w:pPr>
        <w:ind w:firstLine="482"/>
        <w:spacing w:line="500" w:lineRule="exact"/>
        <w:rPr>
          <w:rFonts w:hint="eastAsia" w:asciiTheme="minorEastAsia" w:hAnsiTheme="minorEastAsia"/>
          <w:b/>
          <w:sz w:val="24"/>
          <w:szCs w:val="24"/>
        </w:rPr>
      </w:pPr>
      <w:r>
        <w:rPr>
          <w:rFonts w:hint="eastAsia" w:asciiTheme="minorEastAsia" w:hAnsiTheme="minorEastAsia"/>
          <w:b/>
          <w:sz w:val="24"/>
          <w:szCs w:val="24"/>
        </w:rPr>
        <w:t xml:space="preserve">采购包1：</w:t>
      </w:r>
      <w:r/>
    </w:p>
    <w:p>
      <w:pPr>
        <w:ind w:firstLine="482"/>
        <w:spacing w:line="500" w:lineRule="exact"/>
        <w:rPr>
          <w:rFonts w:hint="eastAsia" w:asciiTheme="minorEastAsia" w:hAnsiTheme="minorEastAsia"/>
          <w:b/>
          <w:sz w:val="24"/>
          <w:szCs w:val="24"/>
        </w:rPr>
      </w:pPr>
      <w:r>
        <w:rPr>
          <w:rFonts w:hint="eastAsia" w:asciiTheme="minorEastAsia" w:hAnsiTheme="minorEastAsia"/>
          <w:b/>
          <w:sz w:val="24"/>
          <w:szCs w:val="24"/>
        </w:rPr>
        <w:t xml:space="preserve">1.投标人须具备《中华人民共和国基础电信业务经营许可证》。（投标文件中提供证书扫描件并加盖投标人公章，否则投标无效）。</w:t>
      </w:r>
      <w:r/>
    </w:p>
    <w:p>
      <w:pPr>
        <w:ind w:firstLine="482"/>
        <w:spacing w:line="500" w:lineRule="exact"/>
        <w:rPr>
          <w:rFonts w:hint="eastAsia" w:asciiTheme="minorEastAsia" w:hAnsiTheme="minorEastAsia"/>
          <w:b/>
          <w:sz w:val="24"/>
          <w:szCs w:val="24"/>
        </w:rPr>
      </w:pPr>
      <w:r>
        <w:rPr>
          <w:rFonts w:hint="eastAsia" w:asciiTheme="minorEastAsia" w:hAnsiTheme="minorEastAsia"/>
          <w:b/>
          <w:sz w:val="24"/>
          <w:szCs w:val="24"/>
        </w:rPr>
        <w:t xml:space="preserve">2.电信等特殊行业法人的分支机构（不具有独立的法人资格）参与本项目政府采购活动的，应当提供总公司出具的愿为其参与政府采购活动以及履约行为承担民事责任的承诺书（或授权书）。（投标文件中提供加盖投标人公章的承诺书或授权书，否则响应无效）</w:t>
      </w:r>
      <w:r/>
    </w:p>
    <w:p>
      <w:pPr>
        <w:ind w:firstLine="482"/>
        <w:spacing w:line="500" w:lineRule="exact"/>
        <w:rPr>
          <w:rFonts w:hint="eastAsia" w:asciiTheme="minorEastAsia" w:hAnsiTheme="minorEastAsia"/>
          <w:b/>
          <w:sz w:val="24"/>
          <w:szCs w:val="24"/>
        </w:rPr>
      </w:pPr>
      <w:r>
        <w:rPr>
          <w:rFonts w:hint="eastAsia" w:asciiTheme="minorEastAsia" w:hAnsiTheme="minorEastAsia"/>
          <w:b/>
          <w:sz w:val="24"/>
          <w:szCs w:val="24"/>
        </w:rPr>
        <w:t xml:space="preserve">3.单位负责人为同一人或者存在直接控股、管理关系的不同供应商，不得参加同一合同项下的政府采购活动。</w:t>
      </w:r>
      <w:r/>
    </w:p>
    <w:p>
      <w:pPr>
        <w:ind w:firstLine="482"/>
        <w:spacing w:line="500" w:lineRule="exact"/>
        <w:rPr>
          <w:rFonts w:hint="eastAsia" w:asciiTheme="minorEastAsia" w:hAnsiTheme="minorEastAsia"/>
          <w:b/>
          <w:sz w:val="24"/>
          <w:szCs w:val="24"/>
        </w:rPr>
      </w:pPr>
      <w:r>
        <w:rPr>
          <w:rFonts w:hint="eastAsia" w:asciiTheme="minorEastAsia" w:hAnsiTheme="minorEastAsia"/>
          <w:b/>
          <w:sz w:val="24"/>
          <w:szCs w:val="24"/>
        </w:rPr>
        <w:t xml:space="preserve">采购包2：</w:t>
      </w:r>
      <w:r/>
    </w:p>
    <w:p>
      <w:pPr>
        <w:ind w:firstLine="482"/>
        <w:spacing w:line="500" w:lineRule="exact"/>
        <w:rPr>
          <w:rFonts w:hint="eastAsia" w:asciiTheme="minorEastAsia" w:hAnsiTheme="minorEastAsia"/>
          <w:b/>
          <w:sz w:val="24"/>
          <w:szCs w:val="24"/>
        </w:rPr>
      </w:pPr>
      <w:r>
        <w:rPr>
          <w:rFonts w:hint="eastAsia" w:asciiTheme="minorEastAsia" w:hAnsiTheme="minorEastAsia"/>
          <w:b/>
          <w:sz w:val="24"/>
          <w:szCs w:val="24"/>
        </w:rPr>
        <w:t xml:space="preserve">1.投标人须具备《中华人民共和国基础电信业务经营许可证》。（投标文件中提供证书扫描件并加盖投标人公章，否则投标无效）。</w:t>
      </w:r>
      <w:r/>
    </w:p>
    <w:p>
      <w:pPr>
        <w:ind w:firstLine="482"/>
        <w:spacing w:line="500" w:lineRule="exact"/>
        <w:rPr>
          <w:rFonts w:hint="eastAsia" w:asciiTheme="minorEastAsia" w:hAnsiTheme="minorEastAsia"/>
          <w:b/>
          <w:sz w:val="24"/>
          <w:szCs w:val="24"/>
        </w:rPr>
      </w:pPr>
      <w:r>
        <w:rPr>
          <w:rFonts w:hint="eastAsia" w:asciiTheme="minorEastAsia" w:hAnsiTheme="minorEastAsia"/>
          <w:b/>
          <w:sz w:val="24"/>
          <w:szCs w:val="24"/>
        </w:rPr>
        <w:t xml:space="preserve">2.电信等特殊行业法人的分支机构（不具有独立的法人资格）参与本项目政府采购活动的，应当提供总公司出具的愿为其参与政府采购活动以及履约行为承担民事责任的承诺书（或授权书）。（投标文件中提供加盖投标人公章的承诺书或授权书，否则响应无效）</w:t>
      </w:r>
      <w:r/>
    </w:p>
    <w:p>
      <w:pPr>
        <w:ind w:firstLine="482"/>
        <w:spacing w:line="500" w:lineRule="exact"/>
        <w:rPr>
          <w:rFonts w:hint="eastAsia" w:asciiTheme="minorEastAsia" w:hAnsiTheme="minorEastAsia"/>
          <w:b/>
          <w:sz w:val="24"/>
          <w:szCs w:val="24"/>
        </w:rPr>
      </w:pPr>
      <w:r>
        <w:rPr>
          <w:rFonts w:hint="eastAsia" w:asciiTheme="minorEastAsia" w:hAnsiTheme="minorEastAsia"/>
          <w:b/>
          <w:sz w:val="24"/>
          <w:szCs w:val="24"/>
        </w:rPr>
        <w:t xml:space="preserve">3.单位负责人为同一人或者存在直接控股、管理关系的不同供应商，不得参加同一合同项下的政府采购活动。</w:t>
      </w:r>
      <w:r/>
    </w:p>
    <w:p>
      <w:pPr>
        <w:ind w:firstLine="482"/>
        <w:spacing w:line="500" w:lineRule="exact"/>
        <w:rPr>
          <w:rFonts w:hint="eastAsia" w:asciiTheme="minorEastAsia" w:hAnsiTheme="minorEastAsia"/>
          <w:b/>
          <w:sz w:val="24"/>
          <w:szCs w:val="24"/>
        </w:rPr>
      </w:pPr>
      <w:r>
        <w:rPr>
          <w:rFonts w:hint="eastAsia" w:asciiTheme="minorEastAsia" w:hAnsiTheme="minorEastAsia"/>
          <w:b/>
          <w:sz w:val="24"/>
          <w:szCs w:val="24"/>
        </w:rPr>
        <w:t xml:space="preserve">采购包3：</w:t>
      </w:r>
      <w:r/>
    </w:p>
    <w:p>
      <w:pPr>
        <w:ind w:firstLine="482"/>
        <w:spacing w:line="500" w:lineRule="exact"/>
        <w:rPr>
          <w:rFonts w:hint="eastAsia" w:asciiTheme="minorEastAsia" w:hAnsiTheme="minorEastAsia"/>
          <w:b/>
          <w:sz w:val="24"/>
          <w:szCs w:val="24"/>
        </w:rPr>
      </w:pPr>
      <w:r>
        <w:rPr>
          <w:rFonts w:hint="eastAsia" w:asciiTheme="minorEastAsia" w:hAnsiTheme="minorEastAsia"/>
          <w:b/>
          <w:sz w:val="24"/>
          <w:szCs w:val="24"/>
        </w:rPr>
        <w:t xml:space="preserve">1.投标人须具备《中华人民共和国基础电信业务经营许可证》。（投标文件中提供证书扫描件并加盖投标人公章，否则投标无效）。</w:t>
      </w:r>
      <w:r/>
    </w:p>
    <w:p>
      <w:pPr>
        <w:ind w:firstLine="482"/>
        <w:spacing w:line="500" w:lineRule="exact"/>
        <w:rPr>
          <w:rFonts w:hint="eastAsia" w:asciiTheme="minorEastAsia" w:hAnsiTheme="minorEastAsia"/>
          <w:b/>
          <w:sz w:val="24"/>
          <w:szCs w:val="24"/>
        </w:rPr>
      </w:pPr>
      <w:r>
        <w:rPr>
          <w:rFonts w:hint="eastAsia" w:asciiTheme="minorEastAsia" w:hAnsiTheme="minorEastAsia"/>
          <w:b/>
          <w:sz w:val="24"/>
          <w:szCs w:val="24"/>
        </w:rPr>
        <w:t xml:space="preserve">2.电信等特殊行业法人的分支机构（不具有独立的法人资格）参与本项目政府采购活动的，应当提供总公司出具的愿为其参与政府采购活动以及履约行为承担民事责任的承诺书（或授权书）。（投标文件中提供加盖投标人公章的承诺书或授权书，否则响应无效）</w:t>
      </w:r>
      <w:r/>
    </w:p>
    <w:p>
      <w:pPr>
        <w:ind w:firstLine="482"/>
        <w:spacing w:line="500" w:lineRule="exact"/>
        <w:rPr>
          <w:rFonts w:hint="eastAsia" w:asciiTheme="minorEastAsia" w:hAnsiTheme="minorEastAsia"/>
          <w:b/>
          <w:sz w:val="24"/>
          <w:szCs w:val="24"/>
        </w:rPr>
      </w:pPr>
      <w:r>
        <w:rPr>
          <w:rFonts w:hint="eastAsia" w:asciiTheme="minorEastAsia" w:hAnsiTheme="minorEastAsia"/>
          <w:b/>
          <w:sz w:val="24"/>
          <w:szCs w:val="24"/>
        </w:rPr>
        <w:t xml:space="preserve">3.单位负责人为同一人或者存在直接控股、管理关系的不同供应商，不得参加同一合同项下的政府采购活动。</w:t>
      </w:r>
      <w:r/>
    </w:p>
    <w:p>
      <w:pPr>
        <w:pStyle w:val="833"/>
        <w:spacing w:before="0" w:after="0" w:line="500" w:lineRule="exact"/>
        <w:rPr>
          <w:rFonts w:hint="eastAsia"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时间：自招标公告发布之日起至2026年</w:t>
      </w:r>
      <w:r>
        <w:rPr>
          <w:rFonts w:hint="eastAsia" w:asciiTheme="minorEastAsia" w:hAnsiTheme="minorEastAsia"/>
          <w:sz w:val="24"/>
          <w:szCs w:val="24"/>
          <w:lang w:val="en-US" w:eastAsia="zh-CN"/>
        </w:rPr>
        <w:t xml:space="preserve">6</w:t>
      </w:r>
      <w:r>
        <w:rPr>
          <w:rFonts w:hint="eastAsia" w:asciiTheme="minorEastAsia" w:hAnsiTheme="minorEastAsia"/>
          <w:sz w:val="24"/>
          <w:szCs w:val="24"/>
        </w:rPr>
        <w:t xml:space="preserve">月</w:t>
      </w:r>
      <w:r>
        <w:rPr>
          <w:rFonts w:hint="eastAsia" w:asciiTheme="minorEastAsia" w:hAnsiTheme="minorEastAsia"/>
          <w:sz w:val="24"/>
          <w:szCs w:val="24"/>
          <w:lang w:val="en-US" w:eastAsia="zh-CN"/>
        </w:rPr>
        <w:t xml:space="preserve">23</w:t>
      </w:r>
      <w:r>
        <w:rPr>
          <w:rFonts w:hint="eastAsia" w:asciiTheme="minorEastAsia" w:hAnsiTheme="minorEastAsia"/>
          <w:sz w:val="24"/>
          <w:szCs w:val="24"/>
        </w:rPr>
        <w:t xml:space="preserve">日（北京时间）</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售价：0.00元</w:t>
      </w:r>
      <w:r/>
    </w:p>
    <w:p>
      <w:pPr>
        <w:pStyle w:val="833"/>
        <w:spacing w:before="0" w:after="0" w:line="500" w:lineRule="exact"/>
        <w:rPr>
          <w:rFonts w:hint="eastAsia"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提交投标文件截止时间：2026年</w:t>
      </w:r>
      <w:r>
        <w:rPr>
          <w:rFonts w:hint="eastAsia" w:asciiTheme="minorEastAsia" w:hAnsiTheme="minorEastAsia"/>
          <w:sz w:val="24"/>
          <w:szCs w:val="24"/>
          <w:lang w:val="en-US" w:eastAsia="zh-CN"/>
        </w:rPr>
        <w:t xml:space="preserve">7</w:t>
      </w:r>
      <w:r>
        <w:rPr>
          <w:rFonts w:hint="eastAsia" w:asciiTheme="minorEastAsia" w:hAnsiTheme="minorEastAsia"/>
          <w:sz w:val="24"/>
          <w:szCs w:val="24"/>
        </w:rPr>
        <w:t xml:space="preserve">月</w:t>
      </w:r>
      <w:r>
        <w:rPr>
          <w:rFonts w:hint="eastAsia" w:asciiTheme="minorEastAsia" w:hAnsiTheme="minorEastAsia"/>
          <w:sz w:val="24"/>
          <w:szCs w:val="24"/>
          <w:lang w:val="en-US" w:eastAsia="zh-CN"/>
        </w:rPr>
        <w:t xml:space="preserve">3</w:t>
      </w:r>
      <w:r>
        <w:rPr>
          <w:rFonts w:hint="eastAsia" w:asciiTheme="minorEastAsia" w:hAnsiTheme="minorEastAsia"/>
          <w:sz w:val="24"/>
          <w:szCs w:val="24"/>
        </w:rPr>
        <w:t xml:space="preserve">日</w:t>
      </w:r>
      <w:r>
        <w:rPr>
          <w:rFonts w:hint="eastAsia" w:asciiTheme="minorEastAsia" w:hAnsiTheme="minorEastAsia"/>
          <w:sz w:val="24"/>
          <w:szCs w:val="24"/>
          <w:lang w:val="en-US" w:eastAsia="zh-CN"/>
        </w:rPr>
        <w:t xml:space="preserve">10</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3</w:t>
      </w:r>
      <w:r>
        <w:rPr>
          <w:rFonts w:hint="eastAsia" w:asciiTheme="minorEastAsia" w:hAnsiTheme="minorEastAsia"/>
          <w:sz w:val="24"/>
          <w:szCs w:val="24"/>
        </w:rPr>
        <w:t xml:space="preserve">0:00（北京时间）</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开标时间：2026年</w:t>
      </w:r>
      <w:r>
        <w:rPr>
          <w:rFonts w:hint="eastAsia" w:asciiTheme="minorEastAsia" w:hAnsiTheme="minorEastAsia"/>
          <w:sz w:val="24"/>
          <w:szCs w:val="24"/>
          <w:lang w:val="en-US" w:eastAsia="zh-CN"/>
        </w:rPr>
        <w:t xml:space="preserve">7</w:t>
      </w:r>
      <w:r>
        <w:rPr>
          <w:rFonts w:hint="eastAsia" w:asciiTheme="minorEastAsia" w:hAnsiTheme="minorEastAsia"/>
          <w:sz w:val="24"/>
          <w:szCs w:val="24"/>
        </w:rPr>
        <w:t xml:space="preserve">月</w:t>
      </w:r>
      <w:r>
        <w:rPr>
          <w:rFonts w:hint="eastAsia" w:asciiTheme="minorEastAsia" w:hAnsiTheme="minorEastAsia"/>
          <w:sz w:val="24"/>
          <w:szCs w:val="24"/>
          <w:lang w:val="en-US" w:eastAsia="zh-CN"/>
        </w:rPr>
        <w:t xml:space="preserve">3</w:t>
      </w:r>
      <w:r>
        <w:rPr>
          <w:rFonts w:hint="eastAsia" w:asciiTheme="minorEastAsia" w:hAnsiTheme="minorEastAsia"/>
          <w:sz w:val="24"/>
          <w:szCs w:val="24"/>
        </w:rPr>
        <w:t xml:space="preserve">日</w:t>
      </w:r>
      <w:r>
        <w:rPr>
          <w:rFonts w:hint="eastAsia" w:asciiTheme="minorEastAsia" w:hAnsiTheme="minorEastAsia"/>
          <w:sz w:val="24"/>
          <w:szCs w:val="24"/>
          <w:lang w:val="en-US" w:eastAsia="zh-CN"/>
        </w:rPr>
        <w:t xml:space="preserve">10</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3</w:t>
      </w:r>
      <w:r>
        <w:rPr>
          <w:rFonts w:hint="eastAsia" w:asciiTheme="minorEastAsia" w:hAnsiTheme="minorEastAsia"/>
          <w:sz w:val="24"/>
          <w:szCs w:val="24"/>
        </w:rPr>
        <w:t xml:space="preserve">0:00（北京时间）</w:t>
      </w:r>
      <w:r/>
    </w:p>
    <w:p>
      <w:pPr>
        <w:ind w:firstLine="480"/>
        <w:spacing w:line="500" w:lineRule="exact"/>
        <w:rPr>
          <w:rFonts w:hint="eastAsia" w:asciiTheme="minorEastAsia" w:hAnsiTheme="minorEastAsia"/>
        </w:rPr>
      </w:pPr>
      <w:r>
        <w:rPr>
          <w:rFonts w:hint="eastAsia" w:asciiTheme="minorEastAsia" w:hAnsiTheme="minorEastAsia"/>
          <w:sz w:val="24"/>
          <w:szCs w:val="24"/>
        </w:rPr>
        <w:t xml:space="preserve">开标地点：“苏采云”政府采购交易系统网上开标大厅（开标顺序按照采购包1、采购包2、采购包3依次进行）</w:t>
      </w:r>
      <w:r/>
    </w:p>
    <w:p>
      <w:pPr>
        <w:pStyle w:val="833"/>
        <w:spacing w:before="0" w:after="0" w:line="500" w:lineRule="exact"/>
        <w:rPr>
          <w:rFonts w:hint="eastAsia"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33"/>
        <w:spacing w:before="0" w:after="0" w:line="500" w:lineRule="exact"/>
        <w:rPr>
          <w:rFonts w:hint="eastAsia"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33"/>
        <w:spacing w:before="0" w:after="0" w:line="500" w:lineRule="exact"/>
        <w:rPr>
          <w:rFonts w:hint="eastAsia"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1.采购人信息</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名    称：连云港市公安局</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地    址：连云港市海州区朝阳东路9号</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联系方式：15861237719</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hint="eastAsia" w:cs="Times New Roman" w:asciiTheme="minorEastAsia" w:hAnsiTheme="minorEastAsia"/>
          <w:sz w:val="24"/>
          <w:szCs w:val="24"/>
        </w:rPr>
      </w:pPr>
      <w:r>
        <w:rPr>
          <w:rFonts w:hint="eastAsia" w:asciiTheme="minorEastAsia" w:hAnsiTheme="minorEastAsia"/>
          <w:sz w:val="24"/>
          <w:szCs w:val="24"/>
        </w:rPr>
        <w:t xml:space="preserve">联系方式：李俊怡 </w:t>
      </w:r>
      <w:r>
        <w:rPr>
          <w:rFonts w:cs="Times New Roman" w:asciiTheme="minorEastAsia" w:hAnsiTheme="minorEastAsia"/>
          <w:sz w:val="24"/>
          <w:szCs w:val="24"/>
        </w:rPr>
        <w:t xml:space="preserve">  0518-85868290</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项目联系人：金鑫</w:t>
      </w:r>
      <w:r/>
    </w:p>
    <w:p>
      <w:pPr>
        <w:ind w:firstLine="480"/>
        <w:spacing w:line="500" w:lineRule="exact"/>
        <w:rPr>
          <w:rFonts w:hint="eastAsia" w:asciiTheme="minorEastAsia" w:hAnsiTheme="minorEastAsia"/>
          <w:sz w:val="24"/>
          <w:szCs w:val="24"/>
          <w:highlight w:val="none"/>
        </w:rPr>
      </w:pPr>
      <w:r>
        <w:rPr>
          <w:rFonts w:hint="eastAsia" w:asciiTheme="minorEastAsia" w:hAnsiTheme="minorEastAsia"/>
          <w:sz w:val="24"/>
          <w:szCs w:val="24"/>
        </w:rPr>
        <w:t xml:space="preserve">电      话：15861237719</w:t>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sz w:val="24"/>
          <w:szCs w:val="24"/>
        </w:rPr>
      </w:r>
      <w:r>
        <w:rPr>
          <w:sz w:val="24"/>
          <w:szCs w:val="24"/>
        </w:rPr>
      </w:r>
      <w:r/>
    </w:p>
    <w:p>
      <w:pPr>
        <w:ind w:firstLine="480"/>
        <w:spacing w:line="500" w:lineRule="exact"/>
        <w:rPr>
          <w:sz w:val="24"/>
          <w:szCs w:val="24"/>
        </w:rPr>
      </w:pPr>
      <w:r>
        <w:rPr>
          <w:rFonts w:hint="eastAsia" w:asciiTheme="minorEastAsia" w:hAnsiTheme="minorEastAsia"/>
          <w:sz w:val="24"/>
          <w:szCs w:val="24"/>
          <w:highlight w:val="none"/>
        </w:rPr>
      </w:r>
      <w:r>
        <w:rPr>
          <w:rFonts w:hint="eastAsia" w:asciiTheme="minorEastAsia" w:hAnsiTheme="minorEastAsia"/>
          <w:sz w:val="24"/>
          <w:szCs w:val="24"/>
          <w:highlight w:val="none"/>
        </w:rPr>
      </w:r>
      <w:r/>
    </w:p>
    <w:p>
      <w:pPr>
        <w:pStyle w:val="832"/>
        <w:jc w:val="center"/>
        <w:spacing w:before="156" w:after="156" w:line="360" w:lineRule="auto"/>
        <w:rPr>
          <w:rFonts w:hint="eastAsia" w:ascii="黑体" w:hAnsi="黑体" w:eastAsia="黑体"/>
          <w:b w:val="0"/>
        </w:rPr>
      </w:pPr>
      <w:r/>
      <w:bookmarkStart w:id="1" w:name="_Toc162361611"/>
      <w:r>
        <w:rPr>
          <w:rFonts w:hint="eastAsia" w:ascii="黑体" w:hAnsi="黑体" w:eastAsia="黑体"/>
          <w:b w:val="0"/>
        </w:rPr>
        <w:t xml:space="preserve">第二章  投标人须知</w:t>
      </w:r>
      <w:bookmarkEnd w:id="1"/>
      <w:r/>
      <w:r/>
    </w:p>
    <w:p>
      <w:pPr>
        <w:pStyle w:val="833"/>
        <w:spacing w:before="0" w:after="0" w:line="500" w:lineRule="exact"/>
        <w:rPr>
          <w:rFonts w:hint="eastAsia"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2.2 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833"/>
        <w:spacing w:before="0" w:after="0" w:line="500" w:lineRule="exact"/>
        <w:rPr>
          <w:rFonts w:hint="eastAsia"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833"/>
        <w:spacing w:before="0" w:after="0" w:line="500" w:lineRule="exact"/>
        <w:rPr>
          <w:rFonts w:hint="eastAsia"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9.3根据关于印发《连云港市本级优化政府采购领域营商环境2026年重点举措》的通知（连采购〔2026〕11号）规定，自2026年4月1日起，针对市本级全部集中采购项目实施暗标盲评。</w:t>
      </w:r>
      <w:r/>
    </w:p>
    <w:p>
      <w:pPr>
        <w:ind w:firstLine="480"/>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项目三个采购包评审因素中技术（方案）部分均采用暗标评审。要求如下：方案内容、文字、各类型图表、框图均不得出现供应商名称、相关人员姓名和其他可识别供应商身份的字符、徽标、人员名称、投标人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r/>
    </w:p>
    <w:p>
      <w:pPr>
        <w:ind w:firstLine="48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10.2.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12.2招标文件对证明文件无明确形式要求的，证明文件可以以文字资料、图纸和数据等形式提交。</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hint="eastAsia" w:asciiTheme="minorEastAsia" w:hAnsiTheme="minorEastAsia"/>
          <w:sz w:val="24"/>
          <w:szCs w:val="24"/>
        </w:rPr>
      </w:pPr>
      <w:r/>
      <w:bookmarkStart w:id="2" w:name="OLE_LINK149"/>
      <w:r>
        <w:rPr>
          <w:rFonts w:hint="eastAsia" w:asciiTheme="minorEastAsia" w:hAnsiTheme="minorEastAsia"/>
          <w:sz w:val="24"/>
          <w:szCs w:val="24"/>
        </w:rPr>
        <w:t xml:space="preserve">13.1投标人应根据投标报价要求在投标分项报价表中列明各项投标单价、总价等，未全部列示的作无效响应处理。</w:t>
      </w:r>
      <w:bookmarkEnd w:id="2"/>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33"/>
        <w:spacing w:before="0" w:after="0" w:line="500" w:lineRule="exact"/>
        <w:rPr>
          <w:rFonts w:hint="eastAsia"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833"/>
        <w:spacing w:before="0" w:after="0" w:line="500" w:lineRule="exact"/>
        <w:rPr>
          <w:rFonts w:hint="eastAsia"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23.1 开标后，交易中心将立即组织评委会进行评标。本项目开标、评标顺序按照采购包1、采购包2、采购包3依次进行。</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采购人资格审查的同时，在信用中国网站（www.creditchina.gov.cn）、查询投标人的信用记录，以确定投标人是否具备投标资格，查询结果留存并归档。</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采购包1：</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（一）政府采购评审中出现下列情形之一的，评审委员会应当启动异常低价投标审查程序：</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1.投标报价低于全部通过符合性审查供应商投标报价平均值65%的，即投标报价&lt;全部通过符合性审查供应商投标报价平均值×65%；</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2.投标报价低于通过符合性审查的次低报价供应商投标报价65%的，即投标报价&lt;通过符合性审查的次低报价供应商投标报价×65%；</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3.投标报价低于采购项目最高限价65%的，即投标报价&lt;采购项目最高限价×65%；</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采购包2:</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（一）政府采购评审中出现下列情形之一的，评审委员会应当启动异常低价投标审查程序：</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1.投标报价低于全部通过符合性审查供应商投标报价平均值65%的，即投标报价&lt;全部通过符合性审查供应商投标报价平均值×65%；</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2.投标报价低于通过符合性审查的次低报价供应商投标报价65%的，即投标报价&lt;通过符合性审查的次低报价供应商投标报价×65%；</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3.投标报价低于采购项目最高限价65%的，即投标报价&lt;采购项目最高限价×65%；</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采购包3：</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（一）政府采购评审中出现下列情形之一的，评审委员会应当启动异常低价投标审查程序：</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1.投标报价低于全部通过符合性审查供应商投标报价平均值65%的，即投标报价&lt;全部通过符合性审查供应商投标报价平均值×65%；</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2.投标报价低于通过符合性审查的次低报价供应商投标报价65%的，即投标报价&lt;通过符合性审查的次低报价供应商投标报价×65%；</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3.投标报价低于采购项目最高限价65%的，即投标报价&lt;采购项目最高限价×65%；</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26.1.4未通过资格审查或符合性审查的投标人，将通过“苏采云”系统中告知其未通过的原因，评审结束后，将不再告知。</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26.6采用综合评分法的采购项目，评审得分相同的，由评委会按照招标文件规定的方式确定一个投标人获得中标人推荐资格，招标文件未规定的采取随机抽取方式确定。</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或者符合政府采购异常低价认定标准的，将通过“苏采云”系统要求其在合理的时间内提供说明，必要时提交相关证明材料，投标人不能证明其报价合理性的。</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833"/>
        <w:spacing w:before="0" w:after="0" w:line="500" w:lineRule="exact"/>
        <w:rPr>
          <w:rFonts w:hint="eastAsia"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833"/>
        <w:spacing w:before="0" w:after="0" w:line="500" w:lineRule="exact"/>
        <w:rPr>
          <w:rFonts w:hint="eastAsia"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hint="eastAsia" w:asciiTheme="minorEastAsia" w:hAnsiTheme="minorEastAsia"/>
          <w:bCs/>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30.2中标人违约的，采购人将按照合同约定扣除其全部或部分履约保证金。如中标人违约给采购人造成的损失超过履约保证金的，应当依法赔偿超过部分的损失。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hint="eastAsia"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hint="eastAsia"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hint="eastAsia"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3" w:name="OLE_LINK150"/>
      <w:r>
        <w:rPr>
          <w:rFonts w:hint="eastAsia" w:asciiTheme="minorEastAsia" w:hAnsiTheme="minorEastAsia"/>
          <w:sz w:val="24"/>
          <w:szCs w:val="24"/>
        </w:rPr>
        <w:t xml:space="preserve">（包含与服务相关的货物）</w:t>
      </w:r>
      <w:bookmarkEnd w:id="3"/>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833"/>
        <w:spacing w:before="0" w:after="0" w:line="500" w:lineRule="exact"/>
        <w:rPr>
          <w:rFonts w:hint="eastAsia"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hint="eastAsia"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37.1 未尽事宜，依照有关法律、法规执行。</w:t>
      </w:r>
      <w:r/>
    </w:p>
    <w:p>
      <w:pPr>
        <w:pStyle w:val="833"/>
        <w:spacing w:before="0" w:after="0" w:line="500" w:lineRule="exact"/>
        <w:rPr>
          <w:rFonts w:hint="eastAsia"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38.1</w:t>
      </w:r>
      <w:bookmarkStart w:id="4" w:name="OLE_LINK151"/>
      <w:r>
        <w:rPr>
          <w:rFonts w:hint="eastAsia" w:asciiTheme="minorEastAsia" w:hAnsiTheme="minorEastAsia"/>
          <w:sz w:val="24"/>
          <w:szCs w:val="24"/>
        </w:rPr>
        <w:t xml:space="preserve"> 本项目（采购包1、采购包2、采购包3）执行《关于印发&lt;政府采购促进中小企业发展管理办法&gt;的通知》（财库〔2020〕</w:t>
      </w:r>
      <w:r>
        <w:rPr>
          <w:rFonts w:hint="eastAsia" w:asciiTheme="minorEastAsia" w:hAnsiTheme="minorEastAsia"/>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38.2 本项目（采购包1、采购包2、采购包3）对提供的服务全部由小型企业、微型企业、残疾人福利性单位和监狱企业承接的报价给予10%的扣除，用扣除后的价格参与评审。</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38.3 参加本项目政府采购活动的供应商享受价格评审优惠的应当提供的材料： </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（1）投标人为小型企业、微型企业的，提供《中小企业声明函》（第六章 投标文件格式）。</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38.4 残疾人福利单位、监狱企业属于小型企业、微型企业的，不重复享受政策。</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38.5 享受扶持政策获得政府采购合同的，小微企业不得将合同分包给大中型企业，中型企业不得将合同分包给大型企业。</w:t>
      </w:r>
      <w:bookmarkEnd w:id="4"/>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39.支持绿色发展</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hint="eastAsia" w:asciiTheme="minorEastAsia" w:hAnsiTheme="minorEastAsia"/>
          <w:sz w:val="24"/>
        </w:rPr>
      </w:pPr>
      <w:r>
        <w:rPr>
          <w:rFonts w:hint="eastAsia" w:asciiTheme="minorEastAsia" w:hAnsiTheme="minorEastAsia"/>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hint="eastAsia" w:asciiTheme="minorEastAsia" w:hAnsiTheme="minorEastAsia"/>
          <w:b/>
          <w:sz w:val="24"/>
        </w:rPr>
      </w:pPr>
      <w:r>
        <w:rPr>
          <w:rFonts w:hint="eastAsia" w:asciiTheme="minorEastAsia" w:hAnsiTheme="minorEastAsia"/>
          <w:b/>
          <w:sz w:val="24"/>
        </w:rPr>
        <w:t xml:space="preserve">40.政府采购需求标准</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40.1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32"/>
        <w:jc w:val="center"/>
        <w:spacing w:before="156" w:after="156" w:line="360" w:lineRule="auto"/>
        <w:rPr>
          <w:rFonts w:hint="eastAsia" w:ascii="黑体" w:hAnsi="黑体" w:eastAsia="黑体"/>
          <w:b w:val="0"/>
        </w:rPr>
      </w:pPr>
      <w:r/>
      <w:bookmarkStart w:id="5" w:name="_Toc162361612"/>
      <w:r>
        <w:rPr>
          <w:rFonts w:hint="eastAsia" w:ascii="黑体" w:hAnsi="黑体" w:eastAsia="黑体"/>
          <w:b w:val="0"/>
        </w:rPr>
        <w:t xml:space="preserve">第三章  合同文本</w:t>
      </w:r>
      <w:bookmarkEnd w:id="5"/>
      <w:r/>
      <w:r/>
    </w:p>
    <w:p>
      <w:pPr>
        <w:ind w:firstLine="480"/>
        <w:jc w:val="left"/>
        <w:spacing w:line="500" w:lineRule="exact"/>
        <w:rPr>
          <w:sz w:val="24"/>
          <w:szCs w:val="24"/>
        </w:rPr>
      </w:pPr>
      <w:r>
        <w:rPr>
          <w:sz w:val="24"/>
          <w:szCs w:val="24"/>
        </w:rPr>
      </w:r>
      <w:r/>
    </w:p>
    <w:p>
      <w:pPr>
        <w:jc w:val="center"/>
        <w:spacing w:line="500" w:lineRule="exact"/>
        <w:rPr>
          <w:rFonts w:hint="eastAsia" w:ascii="黑体" w:hAnsi="黑体" w:eastAsia="黑体"/>
          <w:sz w:val="32"/>
          <w:szCs w:val="24"/>
        </w:rPr>
      </w:pPr>
      <w:r/>
      <w:bookmarkStart w:id="6" w:name="OLE_LINK155"/>
      <w:r/>
      <w:bookmarkStart w:id="7" w:name="OLE_LINK154"/>
      <w:r>
        <w:rPr>
          <w:rFonts w:hint="eastAsia" w:ascii="黑体" w:hAnsi="黑体" w:eastAsia="黑体"/>
          <w:sz w:val="32"/>
          <w:szCs w:val="24"/>
        </w:rPr>
        <w:t xml:space="preserve">连云港市政府采购合同（服务）</w:t>
      </w:r>
      <w:r/>
    </w:p>
    <w:p>
      <w:pPr>
        <w:jc w:val="center"/>
        <w:spacing w:line="500" w:lineRule="exact"/>
        <w:rPr>
          <w:rFonts w:hint="eastAsia"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sz w:val="24"/>
          <w:szCs w:val="24"/>
        </w:rPr>
        <w:t xml:space="preserve">项目（项目编号：）公开招标的结果，签订本合同。</w:t>
      </w:r>
      <w:r/>
    </w:p>
    <w:p>
      <w:pPr>
        <w:ind w:firstLine="482"/>
        <w:jc w:val="left"/>
        <w:spacing w:line="500" w:lineRule="exact"/>
        <w:rPr>
          <w:rFonts w:hint="eastAsia"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p>
    <w:p>
      <w:pPr>
        <w:ind w:firstLine="480"/>
        <w:jc w:val="left"/>
        <w:spacing w:line="500" w:lineRule="exact"/>
        <w:rPr>
          <w:sz w:val="24"/>
          <w:szCs w:val="24"/>
        </w:rPr>
      </w:pPr>
      <w:r>
        <w:rPr>
          <w:sz w:val="24"/>
          <w:szCs w:val="24"/>
        </w:rPr>
        <w:t xml:space="preserve">1.2 服务要求：。</w:t>
      </w:r>
      <w:r/>
    </w:p>
    <w:p>
      <w:pPr>
        <w:ind w:firstLine="480"/>
        <w:jc w:val="left"/>
        <w:spacing w:line="500" w:lineRule="exact"/>
        <w:rPr>
          <w:sz w:val="24"/>
          <w:szCs w:val="24"/>
        </w:rPr>
      </w:pPr>
      <w:r>
        <w:rPr>
          <w:rFonts w:hint="eastAsia"/>
          <w:sz w:val="24"/>
          <w:szCs w:val="24"/>
        </w:rPr>
        <w:t xml:space="preserve">1.3 服务标准：</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p>
    <w:p>
      <w:pPr>
        <w:ind w:firstLine="482"/>
        <w:jc w:val="left"/>
        <w:spacing w:line="500" w:lineRule="exact"/>
        <w:rPr>
          <w:rFonts w:hint="eastAsia"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本合同金额为人民币（大写）：元（¥）。</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hint="eastAsia"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hint="eastAsia"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hint="eastAsia"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hint="eastAsia"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2"/>
        <w:jc w:val="left"/>
        <w:spacing w:line="500" w:lineRule="exact"/>
        <w:rPr>
          <w:rFonts w:hint="eastAsia"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hint="eastAsia"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hint="eastAsia" w:ascii="黑体" w:hAnsi="黑体" w:eastAsia="黑体"/>
          <w:sz w:val="24"/>
          <w:szCs w:val="24"/>
        </w:rPr>
      </w:pPr>
      <w:r>
        <w:rPr>
          <w:rFonts w:hint="eastAsia"/>
          <w:sz w:val="24"/>
          <w:szCs w:val="24"/>
        </w:rPr>
        <w:t xml:space="preserve">8.1 服务时间：</w:t>
      </w:r>
      <w:r>
        <w:rPr>
          <w:rFonts w:hint="eastAsia" w:ascii="黑体" w:hAnsi="黑体" w:eastAsia="黑体"/>
          <w:sz w:val="24"/>
          <w:szCs w:val="24"/>
        </w:rPr>
        <w:t xml:space="preserve">。</w:t>
      </w:r>
      <w:r/>
    </w:p>
    <w:p>
      <w:pPr>
        <w:ind w:firstLine="482"/>
        <w:jc w:val="left"/>
        <w:spacing w:line="500" w:lineRule="exact"/>
        <w:rPr>
          <w:rFonts w:hint="eastAsia"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2"/>
        <w:jc w:val="left"/>
        <w:spacing w:line="500" w:lineRule="exact"/>
        <w:rPr>
          <w:rFonts w:hint="eastAsia"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hint="eastAsia"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hint="eastAsia"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hint="eastAsia"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hint="eastAsia"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hint="eastAsia"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甲方无故逾期验收和办理合同款支付手续的，甲方应按逾期付款总额每日向乙方支付违约金，</w:t>
      </w:r>
      <w:r>
        <w:rPr>
          <w:rFonts w:hint="eastAsia" w:ascii="Times New Roman" w:hAnsi="Times New Roman"/>
          <w:color w:val="000000"/>
          <w:sz w:val="24"/>
          <w:szCs w:val="24"/>
        </w:rPr>
        <w:t xml:space="preserve">最高限额为本合同总额的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hint="eastAsia"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hint="eastAsia"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hint="eastAsia"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       年    月    日</w:t>
      </w:r>
      <w:bookmarkEnd w:id="6"/>
      <w:r/>
      <w:bookmarkEnd w:id="7"/>
      <w:r/>
      <w:r/>
    </w:p>
    <w:p>
      <w:pPr>
        <w:jc w:val="left"/>
        <w:widowControl/>
        <w:rPr>
          <w:sz w:val="24"/>
          <w:szCs w:val="24"/>
        </w:rPr>
      </w:pPr>
      <w:r>
        <w:rPr>
          <w:sz w:val="24"/>
          <w:szCs w:val="24"/>
        </w:rPr>
        <w:br w:type="page" w:clear="all"/>
      </w:r>
      <w:r/>
    </w:p>
    <w:p>
      <w:pPr>
        <w:pStyle w:val="832"/>
        <w:jc w:val="center"/>
        <w:spacing w:before="156" w:after="156" w:line="360" w:lineRule="auto"/>
        <w:rPr>
          <w:rFonts w:hint="eastAsia" w:ascii="黑体" w:hAnsi="黑体" w:eastAsia="黑体"/>
          <w:b w:val="0"/>
        </w:rPr>
      </w:pPr>
      <w:r/>
      <w:bookmarkStart w:id="8" w:name="_Toc162361613"/>
      <w:r>
        <w:rPr>
          <w:rFonts w:hint="eastAsia" w:ascii="黑体" w:hAnsi="黑体" w:eastAsia="黑体"/>
          <w:b w:val="0"/>
        </w:rPr>
        <w:t xml:space="preserve">第四章  采购需求</w:t>
      </w:r>
      <w:bookmarkEnd w:id="8"/>
      <w:r/>
      <w:r/>
    </w:p>
    <w:p>
      <w:pPr>
        <w:ind w:firstLine="482"/>
        <w:jc w:val="left"/>
        <w:spacing w:line="500" w:lineRule="exact"/>
        <w:rPr>
          <w:rFonts w:hint="eastAsia" w:asciiTheme="minorEastAsia" w:hAnsiTheme="minorEastAsia"/>
          <w:b/>
          <w:sz w:val="24"/>
          <w:szCs w:val="24"/>
        </w:rPr>
      </w:pPr>
      <w:r>
        <w:rPr>
          <w:rFonts w:hint="eastAsia" w:asciiTheme="minorEastAsia" w:hAnsiTheme="minorEastAsia"/>
          <w:b/>
          <w:sz w:val="24"/>
          <w:szCs w:val="24"/>
        </w:rPr>
        <w:t xml:space="preserve">说明：本项目属性为服务，采购包1、采购包2、采购包3采购标的对应的中小企业划分标准所属行业为：</w:t>
      </w:r>
      <w:r>
        <w:rPr>
          <w:rFonts w:hint="eastAsia" w:asciiTheme="minorEastAsia" w:hAnsiTheme="minorEastAsia"/>
          <w:b/>
          <w:sz w:val="24"/>
          <w:szCs w:val="24"/>
          <w:u w:val="single"/>
        </w:rPr>
        <w:t xml:space="preserve"> 信息传输业 </w:t>
      </w:r>
      <w:r>
        <w:rPr>
          <w:rFonts w:hint="eastAsia" w:asciiTheme="minorEastAsia" w:hAnsiTheme="minorEastAsia"/>
          <w:b/>
          <w:sz w:val="24"/>
          <w:szCs w:val="24"/>
        </w:rPr>
        <w:t xml:space="preserve">。</w:t>
      </w:r>
      <w:r/>
    </w:p>
    <w:p>
      <w:pPr>
        <w:ind w:firstLine="482"/>
        <w:jc w:val="left"/>
        <w:spacing w:line="500" w:lineRule="exact"/>
        <w:rPr>
          <w:rFonts w:hint="eastAsia" w:asciiTheme="minorEastAsia" w:hAnsiTheme="minorEastAsia"/>
          <w:b/>
          <w:sz w:val="24"/>
          <w:szCs w:val="24"/>
        </w:rPr>
      </w:pPr>
      <w:r>
        <w:rPr>
          <w:rFonts w:hint="eastAsia" w:asciiTheme="minorEastAsia" w:hAnsiTheme="minorEastAsia"/>
          <w:b/>
          <w:sz w:val="24"/>
          <w:szCs w:val="24"/>
        </w:rPr>
        <w:t xml:space="preserve">根据《关于印发中小企业划型标准规定的通知》（工信部联企业〔2011〕300号）规定，行业划型标准如下：（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jc w:val="left"/>
        <w:spacing w:line="500" w:lineRule="exact"/>
        <w:rPr>
          <w:b/>
          <w:sz w:val="24"/>
          <w:szCs w:val="24"/>
        </w:rPr>
      </w:pPr>
      <w:r>
        <w:rPr>
          <w:b/>
          <w:sz w:val="24"/>
          <w:szCs w:val="24"/>
        </w:rPr>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2.本招标文件三个采购包中斜体且有下划线部分为实质性要求和条件，由采购人根据实际情况设置，投标人必须逐条明确作出满足实质性要求和条件的响应，否则将按无效投标处理。</w:t>
      </w:r>
      <w:r/>
    </w:p>
    <w:p>
      <w:pPr>
        <w:ind w:firstLine="480"/>
        <w:jc w:val="left"/>
        <w:spacing w:line="500" w:lineRule="exact"/>
        <w:rPr>
          <w:rFonts w:hint="eastAsia" w:ascii="宋体" w:hAnsi="宋体" w:eastAsia="宋体" w:cs="宋体"/>
          <w:sz w:val="24"/>
          <w:szCs w:val="24"/>
        </w:rPr>
      </w:pPr>
      <w:r>
        <w:rPr>
          <w:rFonts w:hint="eastAsia" w:asciiTheme="minorEastAsia" w:hAnsiTheme="minorEastAsia"/>
          <w:sz w:val="24"/>
          <w:szCs w:val="24"/>
        </w:rPr>
        <w:t xml:space="preserve">3.</w:t>
      </w:r>
      <w:r>
        <w:rPr>
          <w:rFonts w:hint="eastAsia"/>
          <w:sz w:val="24"/>
          <w:szCs w:val="24"/>
        </w:rPr>
        <w:t xml:space="preserve">合同履行期限（采购包1、采购包2、采购包3）：</w:t>
      </w:r>
      <w:r>
        <w:rPr>
          <w:rFonts w:hint="eastAsia" w:ascii="宋体" w:hAnsi="宋体" w:eastAsia="宋体" w:cs="宋体"/>
          <w:sz w:val="24"/>
          <w:szCs w:val="24"/>
        </w:rPr>
        <w:t xml:space="preserve">2年（合同约定之日起算）。</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Theme="minorEastAsia" w:hAnsiTheme="minorEastAsia"/>
          <w:b/>
          <w:sz w:val="28"/>
          <w:szCs w:val="24"/>
        </w:rPr>
      </w:pPr>
      <w:r>
        <w:rPr>
          <w:rFonts w:hint="eastAsia" w:asciiTheme="minorEastAsia" w:hAnsiTheme="minorEastAsia"/>
          <w:b/>
          <w:sz w:val="28"/>
          <w:szCs w:val="24"/>
        </w:rPr>
        <w:t xml:space="preserve">采购包1</w:t>
      </w:r>
      <w:r/>
    </w:p>
    <w:p>
      <w:pPr>
        <w:jc w:val="center"/>
        <w:rPr>
          <w:rFonts w:hint="eastAsia" w:asciiTheme="minorEastAsia" w:hAnsiTheme="minorEastAsia"/>
          <w:b/>
          <w:sz w:val="28"/>
          <w:szCs w:val="24"/>
        </w:rPr>
      </w:pPr>
      <w:r>
        <w:rPr>
          <w:rFonts w:hint="eastAsia" w:asciiTheme="minorEastAsia" w:hAnsiTheme="minorEastAsia"/>
          <w:b/>
          <w:sz w:val="28"/>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一、项目概况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当前公安工作正深度融入数字化、智能化发展浪潮，网络基础设施作为支撑执法办案、治安防控、应急处突、政务服务、大数据研判等核心业务的 “基石”，其稳定性、安全性和适配性直接关系到公安工作的效率与公共安全治理成效。为全面保障各项重点工作推进和重大项目落地实施，解决现有网络资源在覆盖范围、承载能力、服务保障等方面的适配需求，夯实信息化基础设施建设根基。</w:t>
      </w:r>
      <w:r>
        <w:rPr>
          <w:rFonts w:hint="eastAsia" w:ascii="宋体" w:hAnsi="宋体" w:cs="宋体"/>
          <w:sz w:val="24"/>
          <w:szCs w:val="24"/>
        </w:rPr>
        <w:t xml:space="preserve">需要</w:t>
      </w:r>
      <w:r>
        <w:rPr>
          <w:rFonts w:hint="eastAsia" w:ascii="宋体" w:hAnsi="宋体" w:eastAsia="宋体" w:cs="宋体"/>
          <w:sz w:val="24"/>
          <w:szCs w:val="24"/>
        </w:rPr>
        <w:t xml:space="preserve">完成对全局各类网络线路、机柜、物联网卡、流量卡、短信服务、互联网IP地址、网络电视统服务等统一采购，明确技术和资费标准，规范租用业务流程，合理降低网络租金，提升网络运维服务水平。</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二、服务技术要求</w:t>
      </w:r>
      <w:r/>
    </w:p>
    <w:p>
      <w:pPr>
        <w:ind w:firstLine="482"/>
        <w:spacing w:line="360" w:lineRule="auto"/>
        <w:rPr>
          <w:rFonts w:hint="eastAsia" w:asciiTheme="minorEastAsia" w:hAnsiTheme="minorEastAsia"/>
          <w:b/>
          <w:bCs/>
          <w:sz w:val="24"/>
        </w:rPr>
      </w:pPr>
      <w:r>
        <w:rPr>
          <w:rFonts w:hint="eastAsia" w:asciiTheme="minorEastAsia" w:hAnsiTheme="minorEastAsia"/>
          <w:b/>
          <w:bCs/>
          <w:sz w:val="24"/>
        </w:rPr>
        <w:t xml:space="preserve">1.服务内容</w:t>
      </w:r>
      <w:r/>
    </w:p>
    <w:p>
      <w:pPr>
        <w:ind w:firstLine="420"/>
        <w:spacing w:line="360" w:lineRule="auto"/>
        <w:rPr>
          <w:rFonts w:hint="eastAsia" w:ascii="宋体" w:hAnsi="宋体" w:eastAsia="宋体" w:cs="宋体"/>
          <w:sz w:val="24"/>
          <w:szCs w:val="24"/>
        </w:rPr>
      </w:pPr>
      <w:r>
        <w:rPr>
          <w:rFonts w:hint="eastAsia" w:ascii="宋体" w:hAnsi="宋体" w:cs="宋体"/>
          <w:sz w:val="24"/>
          <w:szCs w:val="24"/>
        </w:rPr>
        <w:t xml:space="preserve">本次</w:t>
      </w:r>
      <w:r>
        <w:rPr>
          <w:rFonts w:hint="eastAsia" w:ascii="宋体" w:hAnsi="宋体" w:eastAsia="宋体" w:cs="宋体"/>
          <w:sz w:val="24"/>
          <w:szCs w:val="24"/>
        </w:rPr>
        <w:t xml:space="preserve">租用的网络资源服务类型主要为：互联网专线、数据专线、业务专线1、业务专线2、350兆专线、机柜、</w:t>
      </w:r>
      <w:r>
        <w:rPr>
          <w:rFonts w:hint="eastAsia" w:ascii="宋体" w:hAnsi="宋体" w:eastAsia="宋体" w:cs="宋体"/>
          <w:color w:val="000000"/>
          <w:sz w:val="24"/>
          <w:szCs w:val="24"/>
        </w:rPr>
        <w:t xml:space="preserve">业务</w:t>
      </w:r>
      <w:r>
        <w:rPr>
          <w:rFonts w:hint="eastAsia" w:ascii="宋体" w:hAnsi="宋体" w:eastAsia="宋体" w:cs="宋体"/>
          <w:sz w:val="24"/>
          <w:szCs w:val="24"/>
        </w:rPr>
        <w:t xml:space="preserve">流量卡、短信平台、IP地址等资源租用服务，服务期2年。</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网络资源统计如下(具体清单明细见附件）：</w:t>
      </w:r>
      <w:r/>
    </w:p>
    <w:tbl>
      <w:tblPr>
        <w:tblStyle w:val="842"/>
        <w:tblW w:w="8364" w:type="dxa"/>
        <w:tblInd w:w="108" w:type="dxa"/>
        <w:tblLayout w:type="fixed"/>
        <w:tblCellMar>
          <w:left w:w="108" w:type="dxa"/>
          <w:top w:w="0" w:type="dxa"/>
          <w:right w:w="108" w:type="dxa"/>
          <w:bottom w:w="0" w:type="dxa"/>
        </w:tblCellMar>
        <w:tblLook w:val="04A0" w:firstRow="1" w:lastRow="0" w:firstColumn="1" w:lastColumn="0" w:noHBand="0" w:noVBand="1"/>
      </w:tblPr>
      <w:tblGrid>
        <w:gridCol w:w="737"/>
        <w:gridCol w:w="1916"/>
        <w:gridCol w:w="800"/>
        <w:gridCol w:w="878"/>
        <w:gridCol w:w="1339"/>
        <w:gridCol w:w="2694"/>
      </w:tblGrid>
      <w:tr>
        <w:trPr>
          <w:trHeight w:val="408"/>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业务类型</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带宽（兆）</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p>
        </w:tc>
      </w:tr>
      <w:tr>
        <w:trPr>
          <w:trHeight w:val="56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互联网专线</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条</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含1个公网IP，上下行速率对等</w:t>
            </w:r>
            <w:r/>
          </w:p>
        </w:tc>
      </w:tr>
      <w:tr>
        <w:trPr>
          <w:trHeight w:val="56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数据专线</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条</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业务专线1</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条</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传输线路提供裸纤</w:t>
            </w:r>
            <w:r/>
          </w:p>
        </w:tc>
      </w:tr>
      <w:tr>
        <w:trPr>
          <w:trHeight w:val="402"/>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业务专线2</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条</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300</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7"/>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350M专线</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条</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含客户端设备</w:t>
            </w:r>
            <w:r/>
          </w:p>
        </w:tc>
      </w:tr>
      <w:tr>
        <w:trPr>
          <w:trHeight w:val="379"/>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8"/>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业务流量卡</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张</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91"/>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交警12123短信</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万条/月</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02"/>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IP地址</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公网IP</w:t>
            </w:r>
            <w:r/>
          </w:p>
        </w:tc>
      </w:tr>
      <w:tr>
        <w:trPr>
          <w:trHeight w:val="434"/>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电梯安全监控专线</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条</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车管所电梯里使用电路</w:t>
            </w:r>
            <w:r/>
          </w:p>
        </w:tc>
      </w:tr>
    </w:tbl>
    <w:p>
      <w:pPr>
        <w:ind w:firstLine="482"/>
        <w:spacing w:line="360" w:lineRule="auto"/>
        <w:rPr>
          <w:rFonts w:hint="eastAsia" w:asciiTheme="minorEastAsia" w:hAnsiTheme="minorEastAsia"/>
          <w:b/>
          <w:bCs/>
          <w:sz w:val="24"/>
        </w:rPr>
      </w:pPr>
      <w:r>
        <w:rPr>
          <w:rFonts w:hint="eastAsia" w:asciiTheme="minorEastAsia" w:hAnsiTheme="minorEastAsia"/>
          <w:b/>
          <w:bCs/>
          <w:sz w:val="24"/>
        </w:rPr>
        <w:t xml:space="preserve">2.服务要求</w:t>
      </w:r>
      <w:r/>
    </w:p>
    <w:p>
      <w:pPr>
        <w:pStyle w:val="904"/>
        <w:ind w:firstLine="482"/>
        <w:spacing w:line="360" w:lineRule="auto"/>
        <w:rPr>
          <w:rFonts w:hint="eastAsia" w:ascii="宋体" w:hAnsi="宋体" w:cs="宋体"/>
          <w:b/>
          <w:bCs/>
          <w:sz w:val="24"/>
        </w:rPr>
      </w:pPr>
      <w:r>
        <w:rPr>
          <w:rFonts w:hint="eastAsia" w:ascii="宋体" w:hAnsi="宋体" w:cs="宋体"/>
          <w:b/>
          <w:bCs/>
          <w:sz w:val="24"/>
        </w:rPr>
        <w:t xml:space="preserve">2.1互联网专线、数据专线线路要求</w:t>
      </w:r>
      <w:r/>
    </w:p>
    <w:p>
      <w:pPr>
        <w:pStyle w:val="905"/>
        <w:ind w:firstLine="480"/>
        <w:rPr>
          <w:rFonts w:hint="eastAsia" w:ascii="宋体" w:hAnsi="宋体" w:eastAsia="宋体" w:cs="宋体"/>
          <w:sz w:val="24"/>
          <w:szCs w:val="24"/>
        </w:rPr>
      </w:pPr>
      <w:r>
        <w:rPr>
          <w:rFonts w:hint="eastAsia" w:ascii="宋体" w:hAnsi="宋体" w:eastAsia="宋体" w:cs="宋体"/>
          <w:sz w:val="24"/>
          <w:szCs w:val="24"/>
        </w:rPr>
        <w:t xml:space="preserve">连通率：在硬件设备正常运行情况下，单条电路年平均连通率达到99.97%。</w:t>
      </w:r>
      <w:r/>
    </w:p>
    <w:p>
      <w:pPr>
        <w:pStyle w:val="905"/>
        <w:ind w:firstLine="480"/>
        <w:rPr>
          <w:rFonts w:hint="eastAsia" w:ascii="宋体" w:hAnsi="宋体" w:eastAsia="宋体" w:cs="宋体"/>
          <w:sz w:val="24"/>
          <w:szCs w:val="24"/>
        </w:rPr>
      </w:pPr>
      <w:r>
        <w:rPr>
          <w:rFonts w:hint="eastAsia" w:ascii="宋体" w:hAnsi="宋体" w:eastAsia="宋体" w:cs="宋体"/>
          <w:sz w:val="24"/>
          <w:szCs w:val="24"/>
        </w:rPr>
        <w:t xml:space="preserve">业务保障等级：提供7×24小时业务保障水平，为用户提供方便快捷的高速互联网在线服务，并提供个性化的网络解决方案。</w:t>
      </w:r>
      <w:r/>
    </w:p>
    <w:p>
      <w:pPr>
        <w:pStyle w:val="905"/>
        <w:ind w:firstLine="480"/>
        <w:rPr>
          <w:rFonts w:hint="eastAsia" w:ascii="宋体" w:hAnsi="宋体" w:eastAsia="宋体" w:cs="宋体"/>
          <w:sz w:val="24"/>
          <w:szCs w:val="24"/>
        </w:rPr>
      </w:pPr>
      <w:r>
        <w:rPr>
          <w:rFonts w:hint="eastAsia" w:ascii="宋体" w:hAnsi="宋体" w:eastAsia="宋体" w:cs="宋体"/>
          <w:sz w:val="24"/>
          <w:szCs w:val="24"/>
        </w:rPr>
        <w:t xml:space="preserve">可用带宽：电路端到端带宽可用率不小于客户合同带宽的90%。</w:t>
      </w:r>
      <w:r/>
    </w:p>
    <w:p>
      <w:pPr>
        <w:pStyle w:val="905"/>
        <w:ind w:firstLine="480"/>
        <w:rPr>
          <w:rFonts w:hint="eastAsia" w:ascii="宋体" w:hAnsi="宋体" w:eastAsia="宋体" w:cs="宋体"/>
          <w:sz w:val="24"/>
          <w:szCs w:val="24"/>
        </w:rPr>
      </w:pPr>
      <w:r>
        <w:rPr>
          <w:rFonts w:hint="eastAsia" w:ascii="宋体" w:hAnsi="宋体" w:eastAsia="宋体" w:cs="宋体"/>
          <w:sz w:val="24"/>
          <w:szCs w:val="24"/>
        </w:rPr>
        <w:t xml:space="preserve">时延：端到端不丢包情况下的网络转发数据所用时间，包括传输时延和传输节点处理时延≤20ms。</w:t>
      </w:r>
      <w:r/>
    </w:p>
    <w:p>
      <w:pPr>
        <w:pStyle w:val="905"/>
        <w:ind w:firstLine="480"/>
        <w:rPr>
          <w:rFonts w:hint="eastAsia" w:ascii="宋体" w:hAnsi="宋体" w:eastAsia="宋体" w:cs="宋体"/>
          <w:sz w:val="24"/>
          <w:szCs w:val="24"/>
        </w:rPr>
      </w:pPr>
      <w:r>
        <w:rPr>
          <w:rFonts w:hint="eastAsia" w:ascii="宋体" w:hAnsi="宋体" w:eastAsia="宋体" w:cs="宋体"/>
          <w:sz w:val="24"/>
          <w:szCs w:val="24"/>
        </w:rPr>
        <w:t xml:space="preserve">丢包率：在网络稳定状态下由于网络资源缺乏造成的不能转发的数据帧和总数据帧的百分比，在正常带宽负荷下（负荷小于70％）≤0.2%。</w:t>
      </w:r>
      <w:r/>
    </w:p>
    <w:p>
      <w:pPr>
        <w:pStyle w:val="905"/>
        <w:ind w:firstLine="480"/>
        <w:rPr>
          <w:rFonts w:hint="eastAsia" w:ascii="宋体" w:hAnsi="宋体" w:eastAsia="宋体" w:cs="宋体"/>
          <w:sz w:val="24"/>
          <w:szCs w:val="24"/>
        </w:rPr>
      </w:pPr>
      <w:r>
        <w:rPr>
          <w:rFonts w:hint="eastAsia" w:ascii="宋体" w:hAnsi="宋体" w:eastAsia="宋体" w:cs="宋体"/>
          <w:sz w:val="24"/>
          <w:szCs w:val="24"/>
        </w:rPr>
        <w:t xml:space="preserve">可靠性：通信线路应具备高可靠性，有完善的冗余和保护机制，有一定扩容能力。具备完善的网管能力和服务质量（QoS）功能，满足系统的通信需求。</w:t>
      </w:r>
      <w:r/>
    </w:p>
    <w:p>
      <w:pPr>
        <w:pStyle w:val="905"/>
        <w:ind w:firstLine="480"/>
        <w:rPr>
          <w:rFonts w:hint="eastAsia" w:ascii="宋体" w:hAnsi="宋体" w:eastAsia="宋体" w:cs="宋体"/>
          <w:sz w:val="24"/>
          <w:szCs w:val="24"/>
        </w:rPr>
      </w:pPr>
      <w:r>
        <w:rPr>
          <w:rFonts w:hint="eastAsia" w:ascii="宋体" w:hAnsi="宋体" w:eastAsia="宋体" w:cs="宋体"/>
          <w:sz w:val="24"/>
          <w:szCs w:val="24"/>
        </w:rPr>
        <w:t xml:space="preserve">误码率：在一个确定的测试期间（15分钟），接收出现差错的比特数与总发送的比特数之比≤10e-8。</w:t>
      </w:r>
      <w:r/>
    </w:p>
    <w:p>
      <w:pPr>
        <w:ind w:firstLine="482"/>
        <w:spacing w:line="360" w:lineRule="auto"/>
        <w:rPr>
          <w:rFonts w:hint="eastAsia" w:ascii="宋体" w:hAnsi="宋体" w:eastAsia="宋体" w:cs="宋体"/>
          <w:b/>
          <w:bCs/>
          <w:sz w:val="24"/>
          <w:szCs w:val="24"/>
        </w:rPr>
      </w:pPr>
      <w:r>
        <w:rPr>
          <w:rFonts w:hint="eastAsia" w:ascii="宋体" w:hAnsi="宋体" w:cs="宋体"/>
          <w:b/>
          <w:bCs/>
          <w:sz w:val="24"/>
          <w:szCs w:val="24"/>
        </w:rPr>
        <w:t xml:space="preserve">2</w:t>
      </w:r>
      <w:r>
        <w:rPr>
          <w:rFonts w:hint="eastAsia" w:ascii="宋体" w:hAnsi="宋体" w:eastAsia="宋体" w:cs="宋体"/>
          <w:b/>
          <w:bCs/>
          <w:sz w:val="24"/>
          <w:szCs w:val="24"/>
        </w:rPr>
        <w:t xml:space="preserve">.2业务专线1、业务专线2、350M电路线路要求</w:t>
      </w:r>
      <w:r/>
    </w:p>
    <w:p>
      <w:pPr>
        <w:pStyle w:val="905"/>
        <w:ind w:firstLine="480"/>
        <w:rPr>
          <w:rFonts w:hint="eastAsia" w:ascii="宋体" w:hAnsi="宋体" w:eastAsia="宋体" w:cs="宋体"/>
          <w:sz w:val="24"/>
          <w:szCs w:val="24"/>
        </w:rPr>
      </w:pPr>
      <w:r>
        <w:rPr>
          <w:rFonts w:hint="eastAsia" w:ascii="宋体" w:hAnsi="宋体" w:eastAsia="宋体" w:cs="宋体"/>
          <w:sz w:val="24"/>
          <w:szCs w:val="24"/>
        </w:rPr>
        <w:t xml:space="preserve">确保所用电路传输信息安全；任何第三方用户不得通过传输电路接入公安网络。</w:t>
      </w:r>
      <w:r/>
    </w:p>
    <w:p>
      <w:pPr>
        <w:pStyle w:val="905"/>
        <w:ind w:firstLine="480"/>
        <w:rPr>
          <w:rFonts w:hint="eastAsia" w:ascii="宋体" w:hAnsi="宋体" w:eastAsia="宋体" w:cs="宋体"/>
          <w:sz w:val="24"/>
          <w:szCs w:val="24"/>
        </w:rPr>
      </w:pPr>
      <w:r>
        <w:rPr>
          <w:rFonts w:hint="eastAsia" w:ascii="宋体" w:hAnsi="宋体" w:eastAsia="宋体" w:cs="宋体"/>
          <w:sz w:val="24"/>
          <w:szCs w:val="24"/>
        </w:rPr>
        <w:t xml:space="preserve">带宽与速率：电路专线裸机测试上下行速率需稳定在约定值，线路带宽为独享，支持弹性扩容。</w:t>
      </w:r>
      <w:r/>
    </w:p>
    <w:p>
      <w:pPr>
        <w:pStyle w:val="905"/>
        <w:ind w:firstLine="480"/>
        <w:rPr>
          <w:rFonts w:hint="eastAsia" w:ascii="宋体" w:hAnsi="宋体" w:eastAsia="宋体" w:cs="宋体"/>
          <w:sz w:val="24"/>
          <w:szCs w:val="24"/>
        </w:rPr>
      </w:pPr>
      <w:r>
        <w:rPr>
          <w:rFonts w:hint="eastAsia" w:ascii="宋体" w:hAnsi="宋体" w:eastAsia="宋体" w:cs="宋体"/>
          <w:sz w:val="24"/>
          <w:szCs w:val="24"/>
        </w:rPr>
        <w:t xml:space="preserve">传输质量：电路可用率方面不小于 99.9%；误码率小于 10E－7；单模光纤每公里损耗约 0.3dB，连接器损耗按 0.5dB / 个计算，接入点至终端设备的线路衰减值≤28dB。</w:t>
      </w:r>
      <w:r/>
    </w:p>
    <w:p>
      <w:pPr>
        <w:pStyle w:val="905"/>
        <w:ind w:firstLine="480"/>
        <w:rPr>
          <w:rFonts w:hint="eastAsia" w:ascii="宋体" w:hAnsi="宋体" w:eastAsia="宋体" w:cs="宋体"/>
          <w:sz w:val="24"/>
          <w:szCs w:val="24"/>
        </w:rPr>
      </w:pPr>
      <w:r>
        <w:rPr>
          <w:rFonts w:hint="eastAsia" w:ascii="宋体" w:hAnsi="宋体" w:eastAsia="宋体" w:cs="宋体"/>
          <w:sz w:val="24"/>
          <w:szCs w:val="24"/>
        </w:rPr>
        <w:t xml:space="preserve">网络保护与接口：骨干层多采用自愈环保护，故障时可自动快速恢复业务；汇聚层、核心层采用双路由备份；接口类型为 10/100/1000M 自适应光、电接口，支持 IPv4/IPv6 双栈协议。</w:t>
      </w:r>
      <w:r/>
    </w:p>
    <w:p>
      <w:pPr>
        <w:pStyle w:val="905"/>
        <w:ind w:firstLine="480"/>
        <w:rPr>
          <w:rFonts w:hint="eastAsia" w:ascii="宋体" w:hAnsi="宋体" w:eastAsia="宋体" w:cs="宋体"/>
          <w:sz w:val="24"/>
          <w:szCs w:val="24"/>
        </w:rPr>
      </w:pPr>
      <w:r>
        <w:rPr>
          <w:rFonts w:hint="eastAsia" w:ascii="宋体" w:hAnsi="宋体" w:eastAsia="宋体" w:cs="宋体"/>
          <w:sz w:val="24"/>
          <w:szCs w:val="24"/>
        </w:rPr>
        <w:t xml:space="preserve">线路性能时延要求：点对点测试，传输 1500 bytes，延时≤3ms，丢包率≤0.1%。</w:t>
      </w:r>
      <w:r/>
    </w:p>
    <w:p>
      <w:pPr>
        <w:pStyle w:val="900"/>
        <w:ind w:firstLine="482"/>
        <w:spacing w:line="360" w:lineRule="auto"/>
        <w:rPr>
          <w:rFonts w:hint="eastAsia" w:ascii="宋体" w:hAnsi="宋体" w:cs="宋体"/>
          <w:b/>
          <w:bCs/>
          <w:sz w:val="24"/>
        </w:rPr>
      </w:pPr>
      <w:r>
        <w:rPr>
          <w:rFonts w:hint="eastAsia" w:ascii="宋体" w:hAnsi="宋体" w:cs="宋体"/>
          <w:b/>
          <w:bCs/>
          <w:sz w:val="24"/>
        </w:rPr>
        <w:t xml:space="preserve">2.3机柜租赁要求</w:t>
      </w:r>
      <w:r/>
    </w:p>
    <w:p>
      <w:pPr>
        <w:pStyle w:val="905"/>
        <w:ind w:firstLine="480"/>
        <w:rPr>
          <w:rFonts w:hint="eastAsia" w:ascii="宋体" w:hAnsi="宋体" w:eastAsia="宋体" w:cs="宋体"/>
          <w:sz w:val="24"/>
          <w:szCs w:val="24"/>
        </w:rPr>
      </w:pPr>
      <w:r>
        <w:rPr>
          <w:rFonts w:hint="eastAsia" w:ascii="宋体" w:hAnsi="宋体" w:eastAsia="宋体" w:cs="宋体"/>
          <w:sz w:val="24"/>
          <w:szCs w:val="24"/>
        </w:rPr>
        <w:t xml:space="preserve">IT机柜须为数据中心服务器提供可靠稳定的安装空间，保证服务器的安全运行机柜尺寸统一，并采用前后风道，尺寸参考标准42U机柜。</w:t>
      </w:r>
      <w:r/>
    </w:p>
    <w:p>
      <w:pPr>
        <w:pStyle w:val="905"/>
        <w:ind w:firstLine="480"/>
        <w:rPr>
          <w:rFonts w:hint="eastAsia" w:ascii="宋体" w:hAnsi="宋体" w:eastAsia="宋体" w:cs="宋体"/>
          <w:sz w:val="24"/>
          <w:szCs w:val="24"/>
        </w:rPr>
      </w:pPr>
      <w:r>
        <w:rPr>
          <w:rFonts w:ascii="宋体" w:hAnsi="宋体" w:eastAsia="宋体" w:cs="宋体"/>
          <w:sz w:val="24"/>
          <w:szCs w:val="24"/>
        </w:rPr>
        <w:t xml:space="preserve">提供动力系统双路由保护，提供标准机柜空间，双路由供电及UPS系统，100%的电力保证，7*24小时的恒温恒湿环境，动环监控系统对机房动力设备和环境进行全面管理，监视各种设备的状态及参数，主要包括：机房供配电系统、机房电源列头柜、UPS主机、空调主机、恒温恒湿精密空调机、蓄电池、机房环境（温度、湿度）、漏水报警等。</w:t>
      </w:r>
      <w:r>
        <w:rPr>
          <w:rFonts w:hint="eastAsia" w:ascii="宋体" w:hAnsi="宋体" w:eastAsia="宋体" w:cs="宋体"/>
          <w:sz w:val="24"/>
          <w:szCs w:val="24"/>
        </w:rPr>
        <w:t xml:space="preserve">根据实际点位需求，提供适配我局动环系统的硬盘录像机及摄像头等监控设备，配合我局进行动环监控纳管工作。</w:t>
      </w:r>
      <w:r/>
    </w:p>
    <w:p>
      <w:pPr>
        <w:pStyle w:val="906"/>
        <w:ind w:left="0" w:firstLine="482"/>
        <w:spacing w:line="360" w:lineRule="auto"/>
        <w:rPr>
          <w:rFonts w:hint="eastAsia" w:ascii="宋体" w:hAnsi="宋体" w:eastAsia="宋体" w:cs="宋体"/>
          <w:b/>
          <w:bCs/>
          <w:sz w:val="24"/>
          <w:szCs w:val="24"/>
        </w:rPr>
      </w:pPr>
      <w:r>
        <w:rPr>
          <w:rFonts w:hint="eastAsia" w:ascii="宋体" w:hAnsi="宋体" w:cs="宋体"/>
          <w:b/>
          <w:bCs/>
          <w:sz w:val="24"/>
          <w:szCs w:val="24"/>
        </w:rPr>
        <w:t xml:space="preserve">2</w:t>
      </w:r>
      <w:r>
        <w:rPr>
          <w:rFonts w:hint="eastAsia" w:ascii="宋体" w:hAnsi="宋体" w:eastAsia="宋体" w:cs="宋体"/>
          <w:b/>
          <w:bCs/>
          <w:sz w:val="24"/>
          <w:szCs w:val="24"/>
        </w:rPr>
        <w:t xml:space="preserve">.4流量卡</w:t>
      </w:r>
      <w:r>
        <w:rPr>
          <w:rFonts w:hint="eastAsia" w:ascii="宋体" w:hAnsi="宋体" w:cs="宋体"/>
          <w:b/>
          <w:bCs/>
          <w:sz w:val="24"/>
          <w:szCs w:val="24"/>
        </w:rPr>
        <w:t xml:space="preserve">要求</w:t>
      </w:r>
      <w:r/>
    </w:p>
    <w:p>
      <w:pPr>
        <w:pStyle w:val="905"/>
        <w:ind w:firstLine="480"/>
        <w:jc w:val="left"/>
        <w:rPr>
          <w:rFonts w:hint="eastAsia" w:ascii="宋体" w:hAnsi="宋体" w:eastAsia="宋体" w:cs="宋体"/>
          <w:sz w:val="24"/>
          <w:szCs w:val="24"/>
        </w:rPr>
      </w:pPr>
      <w:r>
        <w:rPr>
          <w:rFonts w:hint="eastAsia" w:ascii="宋体" w:hAnsi="宋体" w:eastAsia="宋体" w:cs="宋体"/>
          <w:sz w:val="24"/>
          <w:szCs w:val="24"/>
        </w:rPr>
        <w:t xml:space="preserve">(1)提供6张流量卡，上行速率最高100Mbps,下行速率最高500Mbps。套餐内包含的流量当月未使用完的部分可延期至次月底之前使用，但次月仍未使用完部分不再延续。6张流量卡当月可使用6G流量。</w:t>
      </w:r>
      <w:r>
        <w:rPr>
          <w:rFonts w:hint="eastAsia" w:ascii="宋体" w:hAnsi="宋体" w:eastAsia="宋体" w:cs="宋体"/>
          <w:sz w:val="24"/>
          <w:szCs w:val="24"/>
        </w:rPr>
        <w:br/>
      </w:r>
      <w:r>
        <w:rPr>
          <w:rFonts w:hint="eastAsia" w:ascii="宋体" w:hAnsi="宋体" w:eastAsia="宋体" w:cs="宋体"/>
          <w:sz w:val="24"/>
          <w:szCs w:val="24"/>
        </w:rPr>
        <w:tab/>
      </w:r>
      <w:r>
        <w:rPr>
          <w:rFonts w:hint="eastAsia" w:ascii="宋体" w:hAnsi="宋体" w:eastAsia="宋体" w:cs="宋体"/>
          <w:sz w:val="24"/>
          <w:szCs w:val="24"/>
        </w:rPr>
        <w:t xml:space="preserve">(2)网络传输性能指标</w:t>
      </w:r>
      <w:r/>
    </w:p>
    <w:p>
      <w:pPr>
        <w:pStyle w:val="905"/>
        <w:ind w:firstLine="480"/>
        <w:rPr>
          <w:rFonts w:hint="eastAsia" w:ascii="宋体" w:hAnsi="宋体" w:eastAsia="宋体" w:cs="宋体"/>
          <w:sz w:val="24"/>
          <w:szCs w:val="24"/>
        </w:rPr>
      </w:pPr>
      <w:r>
        <w:rPr>
          <w:rFonts w:hint="eastAsia" w:ascii="宋体" w:hAnsi="宋体" w:eastAsia="宋体" w:cs="宋体"/>
          <w:sz w:val="24"/>
          <w:szCs w:val="24"/>
        </w:rPr>
        <w:t xml:space="preserve">速率：不同网络制式速率差异显著。4G LTE 理论下行 150Mbps，实际20 - 50Mbps；5G理论下行1Gbps，实际100 - 300Mbps；</w:t>
      </w:r>
      <w:r/>
    </w:p>
    <w:p>
      <w:pPr>
        <w:pStyle w:val="905"/>
        <w:ind w:firstLine="480"/>
        <w:rPr>
          <w:rFonts w:hint="eastAsia" w:ascii="宋体" w:hAnsi="宋体" w:eastAsia="宋体" w:cs="宋体"/>
          <w:sz w:val="24"/>
          <w:szCs w:val="24"/>
        </w:rPr>
      </w:pPr>
      <w:r>
        <w:rPr>
          <w:rFonts w:hint="eastAsia" w:ascii="宋体" w:hAnsi="宋体" w:eastAsia="宋体" w:cs="宋体"/>
          <w:sz w:val="24"/>
          <w:szCs w:val="24"/>
        </w:rPr>
        <w:t xml:space="preserve">时延：城市中心区5G信号下延迟可低至28ms；普通住宅区4G信号延迟约52ms；</w:t>
      </w:r>
      <w:r/>
    </w:p>
    <w:p>
      <w:pPr>
        <w:pStyle w:val="905"/>
        <w:ind w:firstLine="48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(3)硬件与兼容性指标</w:t>
      </w:r>
      <w:r/>
    </w:p>
    <w:p>
      <w:pPr>
        <w:pStyle w:val="905"/>
        <w:ind w:firstLine="48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接口规格：遵循ISO/IEC 7816标准，明确了电源电压、时钟频率、数据传输速率等电气特性，以及复位、时钟、数据输入 / 输出等信号的定义，同时规范了卡的尺寸、厚度和接触点分布，确保与不同终端设备的卡槽适配。</w:t>
      </w:r>
      <w:r/>
    </w:p>
    <w:p>
      <w:pPr>
        <w:pStyle w:val="905"/>
        <w:ind w:firstLine="48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多制式兼容：主流流量卡支持全网通4G/5G 双模。</w:t>
      </w:r>
      <w:r/>
    </w:p>
    <w:p>
      <w:pPr>
        <w:pStyle w:val="906"/>
        <w:ind w:left="0" w:firstLine="482"/>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2.5短信平台要求</w:t>
      </w:r>
      <w:r/>
    </w:p>
    <w:p>
      <w:pPr>
        <w:pStyle w:val="905"/>
        <w:ind w:firstLine="48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提供短信发送明细。提供基础网络支持，确保服务正常运行；短信发送提交速度达到 200 条/秒/每线程，短信到达时间不超过 15秒。负责传输系统的维护，保障短信系统到用户的传输通畅和数据包路由的准确性。对运行过程中考核方提供的所有资料（包括技术、用户信息）负有保密义务，对使用的单位及个人信息履行保护义务。</w:t>
      </w:r>
      <w:r/>
    </w:p>
    <w:p>
      <w:pPr>
        <w:pStyle w:val="870"/>
        <w:ind w:firstLine="482"/>
        <w:spacing w:after="0"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2.6 IP地址要求</w:t>
      </w:r>
      <w:r/>
    </w:p>
    <w:p>
      <w:pPr>
        <w:pStyle w:val="905"/>
        <w:ind w:firstLine="48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支持IPV4、IPV6双栈的地址分配，并能够根据市公安局各项的业务需求，进行IP地址的新增、变更和维护工作。</w:t>
      </w:r>
      <w:r/>
    </w:p>
    <w:p>
      <w:pPr>
        <w:pStyle w:val="905"/>
        <w:ind w:firstLine="48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确保每月IP地址稳定运行，严格按照《网络安全法》等法律法规的相关要求，协助做好通信安全工作，对客户资料和通信信息有保密义务,对使用的单位及个人信息履行保护义务。</w:t>
      </w:r>
      <w:r/>
    </w:p>
    <w:p>
      <w:pPr>
        <w:pStyle w:val="870"/>
        <w:ind w:firstLine="482"/>
        <w:spacing w:after="0"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2.7其他服务要求</w:t>
      </w:r>
      <w:r/>
    </w:p>
    <w:p>
      <w:pPr>
        <w:pStyle w:val="870"/>
        <w:ind w:firstLine="480"/>
        <w:spacing w:after="0" w:line="360" w:lineRule="auto"/>
        <w:rPr>
          <w:rFonts w:hint="eastAsia" w:cs="宋体" w:asciiTheme="minorEastAsia" w:hAnsiTheme="minorEastAsia"/>
          <w:b/>
          <w:bCs/>
          <w:sz w:val="24"/>
          <w:szCs w:val="24"/>
        </w:rPr>
      </w:pPr>
      <w:r>
        <w:rPr>
          <w:rFonts w:cs="宋体" w:asciiTheme="minorEastAsia" w:hAnsiTheme="minorEastAsia"/>
          <w:sz w:val="24"/>
          <w:szCs w:val="24"/>
        </w:rPr>
        <w:t xml:space="preserve">本项目执行《财政部 生态环境部 工业和信息化部关于印发《绿色数据中心政府采购需求标准（试行）&gt;的通知》（财库〔2023〕7号）的相关要求。</w:t>
      </w:r>
      <w:r/>
    </w:p>
    <w:p>
      <w:pPr>
        <w:ind w:firstLine="482"/>
        <w:spacing w:line="360" w:lineRule="auto"/>
        <w:rPr>
          <w:rFonts w:hint="eastAsia" w:cs="宋体" w:asciiTheme="minorEastAsia" w:hAnsiTheme="minorEastAsia"/>
          <w:b/>
          <w:sz w:val="24"/>
          <w:szCs w:val="24"/>
        </w:rPr>
      </w:pPr>
      <w:r>
        <w:rPr>
          <w:rFonts w:hint="eastAsia" w:cs="宋体" w:asciiTheme="minorEastAsia" w:hAnsiTheme="minorEastAsia"/>
          <w:b/>
          <w:sz w:val="24"/>
          <w:szCs w:val="24"/>
        </w:rPr>
        <w:t xml:space="preserve">三、人员配备要求</w:t>
      </w:r>
      <w:r/>
    </w:p>
    <w:p>
      <w:pPr>
        <w:ind w:firstLine="480"/>
        <w:spacing w:line="360" w:lineRule="auto"/>
        <w:widowControl/>
        <w:rPr>
          <w:rFonts w:hint="eastAsia" w:asciiTheme="minorEastAsia" w:hAnsiTheme="minorEastAsia"/>
          <w:bCs/>
          <w:color w:val="000000"/>
          <w:sz w:val="24"/>
          <w:szCs w:val="24"/>
        </w:rPr>
      </w:pPr>
      <w:r>
        <w:rPr>
          <w:rFonts w:hint="eastAsia" w:cs="宋体" w:asciiTheme="minorEastAsia" w:hAnsiTheme="minorEastAsia"/>
          <w:sz w:val="24"/>
          <w:szCs w:val="24"/>
        </w:rPr>
        <w:t xml:space="preserve">本项目需配置项目团队成员不低于3名，包括项目负责人1名，项目组成员</w:t>
      </w:r>
      <w:r>
        <w:rPr>
          <w:rFonts w:hint="eastAsia" w:cs="宋体" w:asciiTheme="minorEastAsia" w:hAnsiTheme="minorEastAsia"/>
          <w:color w:val="000000"/>
          <w:sz w:val="24"/>
          <w:szCs w:val="24"/>
        </w:rPr>
        <w:t xml:space="preserve">不低于2名。</w:t>
      </w:r>
      <w:r>
        <w:rPr>
          <w:rFonts w:hint="eastAsia" w:cs="宋体" w:asciiTheme="minorEastAsia" w:hAnsiTheme="minorEastAsia"/>
          <w:bCs/>
          <w:color w:val="000000"/>
          <w:sz w:val="24"/>
          <w:szCs w:val="24"/>
        </w:rPr>
        <w:t xml:space="preserve">投标人一经中标，项目负责人不得随意更换，如有特殊原因需更换，须提前5天通知，经采购人同意后，方可更换。</w:t>
      </w:r>
      <w:r>
        <w:rPr>
          <w:rFonts w:hint="eastAsia" w:cs="宋体" w:asciiTheme="minorEastAsia" w:hAnsiTheme="minorEastAsia"/>
          <w:color w:val="000000"/>
          <w:sz w:val="24"/>
          <w:szCs w:val="24"/>
        </w:rPr>
        <w:t xml:space="preserve">本项目</w:t>
      </w:r>
      <w:r>
        <w:rPr>
          <w:rFonts w:hint="eastAsia" w:cs="宋体" w:asciiTheme="minorEastAsia" w:hAnsiTheme="minorEastAsia"/>
          <w:bCs/>
          <w:color w:val="000000"/>
          <w:sz w:val="24"/>
          <w:szCs w:val="24"/>
        </w:rPr>
        <w:t xml:space="preserve">安全要求严苛，</w:t>
      </w:r>
      <w:r>
        <w:rPr>
          <w:rFonts w:hint="eastAsia" w:asciiTheme="minorEastAsia" w:hAnsiTheme="minorEastAsia"/>
          <w:bCs/>
          <w:color w:val="000000"/>
          <w:sz w:val="24"/>
          <w:szCs w:val="24"/>
        </w:rPr>
        <w:t xml:space="preserve">需要项目负责人和团队成员具备较高的信息安全意识和信息安全水平。</w:t>
      </w:r>
      <w:r/>
    </w:p>
    <w:p>
      <w:pPr>
        <w:ind w:firstLine="480"/>
        <w:spacing w:line="360" w:lineRule="auto"/>
        <w:widowControl/>
        <w:rPr>
          <w:rFonts w:hint="eastAsia" w:cs="宋体" w:asciiTheme="minorEastAsia" w:hAnsiTheme="minorEastAsia"/>
          <w:color w:val="000000"/>
          <w:sz w:val="24"/>
          <w:szCs w:val="24"/>
        </w:rPr>
      </w:pPr>
      <w:r>
        <w:rPr>
          <w:rFonts w:cs="宋体" w:asciiTheme="minorEastAsia" w:hAnsiTheme="minorEastAsia"/>
          <w:color w:val="000000"/>
          <w:sz w:val="24"/>
          <w:szCs w:val="24"/>
        </w:rPr>
        <w:t xml:space="preserve">所有运维和客服人员，需为</w:t>
      </w:r>
      <w:r>
        <w:rPr>
          <w:rFonts w:hint="eastAsia" w:cs="宋体" w:asciiTheme="minorEastAsia" w:hAnsiTheme="minorEastAsia"/>
          <w:color w:val="000000"/>
          <w:sz w:val="24"/>
          <w:szCs w:val="24"/>
        </w:rPr>
        <w:t xml:space="preserve">中标人</w:t>
      </w:r>
      <w:r>
        <w:rPr>
          <w:rFonts w:cs="宋体" w:asciiTheme="minorEastAsia" w:hAnsiTheme="minorEastAsia"/>
          <w:color w:val="000000"/>
          <w:sz w:val="24"/>
          <w:szCs w:val="24"/>
        </w:rPr>
        <w:t xml:space="preserve">正式聘用和招录人员，无违法犯罪记录及不良信用记录</w:t>
      </w:r>
      <w:r>
        <w:rPr>
          <w:rFonts w:hint="eastAsia" w:cs="宋体" w:asciiTheme="minorEastAsia" w:hAnsiTheme="minorEastAsia"/>
          <w:color w:val="000000"/>
          <w:sz w:val="24"/>
          <w:szCs w:val="24"/>
        </w:rPr>
        <w:t xml:space="preserve">，</w:t>
      </w:r>
      <w:r>
        <w:rPr>
          <w:rFonts w:cs="宋体" w:asciiTheme="minorEastAsia" w:hAnsiTheme="minorEastAsia"/>
          <w:color w:val="000000"/>
          <w:sz w:val="24"/>
          <w:szCs w:val="24"/>
        </w:rPr>
        <w:t xml:space="preserve">经过一定安全保密教育培训，</w:t>
      </w:r>
      <w:r>
        <w:rPr>
          <w:rFonts w:hint="eastAsia" w:cs="宋体" w:asciiTheme="minorEastAsia" w:hAnsiTheme="minorEastAsia"/>
          <w:color w:val="000000"/>
          <w:sz w:val="24"/>
          <w:szCs w:val="24"/>
        </w:rPr>
        <w:t xml:space="preserve">能</w:t>
      </w:r>
      <w:r>
        <w:rPr>
          <w:rFonts w:cs="宋体" w:asciiTheme="minorEastAsia" w:hAnsiTheme="minorEastAsia"/>
          <w:color w:val="000000"/>
          <w:sz w:val="24"/>
          <w:szCs w:val="24"/>
        </w:rPr>
        <w:t xml:space="preserve">充分认识公安各类网络的安全保密要求，未经公安部门同意不得私自“监控、测试、接入、更换”公安线路和专用终端设备。要严格遵循安全保密工作规范，在满足运维工作的同时，有足够的技术手段防止信息滥用，有效保护公民隐私和警务秘密</w:t>
      </w:r>
      <w:r>
        <w:rPr>
          <w:rFonts w:hint="eastAsia" w:cs="宋体" w:asciiTheme="minorEastAsia" w:hAnsiTheme="minorEastAsia"/>
          <w:color w:val="000000"/>
          <w:sz w:val="24"/>
          <w:szCs w:val="24"/>
        </w:rPr>
        <w:t xml:space="preserve">。</w:t>
      </w:r>
      <w:r>
        <w:rPr>
          <w:rFonts w:cs="宋体" w:asciiTheme="minorEastAsia" w:hAnsiTheme="minorEastAsia"/>
          <w:color w:val="000000"/>
          <w:sz w:val="24"/>
          <w:szCs w:val="24"/>
        </w:rPr>
        <w:t xml:space="preserve">严禁“一机两用”、网络违规互联，违者一律先断网、查扣涉事设备，再依规严肃处理</w:t>
      </w:r>
      <w:r>
        <w:rPr>
          <w:rFonts w:hint="eastAsia" w:cs="宋体" w:asciiTheme="minorEastAsia" w:hAnsiTheme="minorEastAsia"/>
          <w:color w:val="000000"/>
          <w:sz w:val="24"/>
          <w:szCs w:val="24"/>
        </w:rPr>
        <w:t xml:space="preserve">。</w:t>
      </w:r>
      <w:r/>
    </w:p>
    <w:p>
      <w:pPr>
        <w:ind w:firstLine="480"/>
        <w:spacing w:line="360" w:lineRule="auto"/>
        <w:rPr>
          <w:rFonts w:hint="eastAsia" w:asciiTheme="minorEastAsia" w:hAnsiTheme="minorEastAsia"/>
          <w:sz w:val="24"/>
          <w:szCs w:val="24"/>
        </w:rPr>
      </w:pPr>
      <w:r>
        <w:rPr>
          <w:rFonts w:hint="eastAsia" w:cs="宋体" w:asciiTheme="minorEastAsia" w:hAnsiTheme="minorEastAsia"/>
          <w:color w:val="000000"/>
          <w:sz w:val="24"/>
          <w:szCs w:val="24"/>
        </w:rPr>
        <w:t xml:space="preserve">1.项目负责人：在整个项目实施全过程中，项目负责人需与采购人做好对接工作，</w:t>
      </w:r>
      <w:r>
        <w:rPr>
          <w:rFonts w:hint="eastAsia" w:asciiTheme="minorEastAsia" w:hAnsiTheme="minorEastAsia"/>
          <w:sz w:val="24"/>
          <w:szCs w:val="24"/>
        </w:rPr>
        <w:t xml:space="preserve">熟悉信息安全相关法规、行业标准，具备项目管理所需技能，负责对整个项目的实施进度、安装调试、传输功能的配置与调整、线路性能调试、线路系统安全测试及验收培训进行管理并协助采购人完成验收。</w:t>
      </w:r>
      <w:r/>
    </w:p>
    <w:p>
      <w:pPr>
        <w:ind w:firstLine="480"/>
        <w:spacing w:line="360" w:lineRule="auto"/>
        <w:widowControl/>
        <w:rPr>
          <w:rFonts w:hint="eastAsia" w:asciiTheme="minorEastAsia" w:hAnsiTheme="minorEastAsia"/>
          <w:sz w:val="24"/>
          <w:szCs w:val="24"/>
        </w:rPr>
      </w:pPr>
      <w:r>
        <w:rPr>
          <w:rFonts w:hint="eastAsia" w:cs="宋体" w:asciiTheme="minorEastAsia" w:hAnsiTheme="minorEastAsia"/>
          <w:color w:val="000000"/>
          <w:sz w:val="24"/>
          <w:szCs w:val="24"/>
        </w:rPr>
        <w:t xml:space="preserve">2.项目团队成员：具有网络维护知识，线路安装和维护经验，了解</w:t>
      </w:r>
      <w:r>
        <w:rPr>
          <w:rFonts w:hint="eastAsia" w:asciiTheme="minorEastAsia" w:hAnsiTheme="minorEastAsia"/>
          <w:sz w:val="24"/>
          <w:szCs w:val="24"/>
        </w:rPr>
        <w:t xml:space="preserve">信息安全相关法规</w:t>
      </w:r>
      <w:r>
        <w:rPr>
          <w:rFonts w:hint="eastAsia" w:cs="宋体" w:asciiTheme="minorEastAsia" w:hAnsiTheme="minorEastAsia"/>
          <w:color w:val="000000"/>
          <w:sz w:val="24"/>
          <w:szCs w:val="24"/>
        </w:rPr>
        <w:t xml:space="preserve">。在项目组织中明确各岗位的职责，确保项目顺利实施，参与此项目的各类技术人员须具有高度的服务意识和高度的责任感。</w:t>
      </w:r>
      <w:r/>
    </w:p>
    <w:p>
      <w:pPr>
        <w:ind w:firstLine="482"/>
        <w:spacing w:line="360" w:lineRule="auto"/>
        <w:rPr>
          <w:rFonts w:hint="eastAsia" w:cs="宋体" w:asciiTheme="minorEastAsia" w:hAnsiTheme="minorEastAsia"/>
          <w:b/>
          <w:color w:val="000000"/>
          <w:sz w:val="24"/>
          <w:szCs w:val="24"/>
        </w:rPr>
      </w:pPr>
      <w:r>
        <w:rPr>
          <w:rFonts w:hint="eastAsia" w:cs="宋体" w:asciiTheme="minorEastAsia" w:hAnsiTheme="minorEastAsia"/>
          <w:b/>
          <w:color w:val="000000"/>
          <w:sz w:val="24"/>
          <w:szCs w:val="24"/>
        </w:rPr>
        <w:t xml:space="preserve">四、服务期限与项目进度安排</w:t>
      </w:r>
      <w:r/>
    </w:p>
    <w:p>
      <w:pPr>
        <w:ind w:firstLine="480"/>
        <w:spacing w:line="360" w:lineRule="auto"/>
        <w:rPr>
          <w:rFonts w:hint="eastAsia" w:asciiTheme="minorEastAsia" w:hAnsiTheme="minorEastAsia"/>
          <w:bCs/>
          <w:color w:val="000000"/>
          <w:sz w:val="24"/>
          <w:szCs w:val="24"/>
        </w:rPr>
      </w:pPr>
      <w:r>
        <w:rPr>
          <w:rFonts w:hint="eastAsia" w:asciiTheme="minorEastAsia" w:hAnsiTheme="minorEastAsia"/>
          <w:bCs/>
          <w:color w:val="000000"/>
          <w:sz w:val="24"/>
          <w:szCs w:val="24"/>
        </w:rPr>
        <w:t xml:space="preserve">1.服务期限：</w:t>
      </w:r>
      <w:r>
        <w:rPr>
          <w:rFonts w:hint="eastAsia" w:asciiTheme="minorEastAsia" w:hAnsiTheme="minorEastAsia"/>
          <w:sz w:val="24"/>
          <w:szCs w:val="24"/>
        </w:rPr>
        <w:t xml:space="preserve">2年</w:t>
      </w:r>
      <w:r>
        <w:rPr>
          <w:rFonts w:hint="eastAsia" w:asciiTheme="minorEastAsia" w:hAnsiTheme="minorEastAsia"/>
          <w:bCs/>
          <w:color w:val="000000"/>
          <w:sz w:val="24"/>
          <w:szCs w:val="24"/>
        </w:rPr>
        <w:t xml:space="preserve">（合同约定之日起算）</w:t>
      </w:r>
      <w:r>
        <w:rPr>
          <w:rFonts w:hint="eastAsia" w:asciiTheme="minorEastAsia" w:hAnsiTheme="minorEastAsia"/>
          <w:sz w:val="24"/>
          <w:szCs w:val="24"/>
        </w:rPr>
        <w:t xml:space="preserve">。</w:t>
      </w:r>
      <w:r/>
    </w:p>
    <w:p>
      <w:pPr>
        <w:ind w:firstLine="482"/>
        <w:spacing w:line="360" w:lineRule="auto"/>
        <w:rPr>
          <w:rFonts w:hint="eastAsia" w:asciiTheme="minorEastAsia" w:hAnsiTheme="minorEastAsia"/>
          <w:b/>
          <w:i/>
          <w:iCs/>
          <w:sz w:val="24"/>
          <w:szCs w:val="24"/>
          <w:u w:val="single"/>
        </w:rPr>
      </w:pPr>
      <w:r>
        <w:rPr>
          <w:rFonts w:hint="eastAsia" w:asciiTheme="minorEastAsia" w:hAnsiTheme="minorEastAsia"/>
          <w:b/>
          <w:i/>
          <w:iCs/>
          <w:color w:val="000000"/>
          <w:sz w:val="24"/>
          <w:szCs w:val="24"/>
          <w:u w:val="single"/>
        </w:rPr>
        <w:t xml:space="preserve">2.投标人承诺在中标合同签订完成后3个工作日内完成项目清单中各类网络线路、机柜、短信平台、流量卡、IP地址等服务开通，满足采购人正常使用；若没有在规定时间内完成服务开通，采购人可单方面解除合同或取消投标人中标资格。</w:t>
      </w:r>
      <w:r>
        <w:rPr>
          <w:rFonts w:hint="eastAsia" w:asciiTheme="minorEastAsia" w:hAnsiTheme="minorEastAsia"/>
          <w:b/>
          <w:i/>
          <w:iCs/>
          <w:sz w:val="24"/>
          <w:szCs w:val="24"/>
          <w:u w:val="single"/>
        </w:rPr>
        <w:t xml:space="preserve">（投标文件中提供承诺函并加盖投标人公章，格式自拟，否则投标无效）</w:t>
      </w:r>
      <w:r/>
    </w:p>
    <w:p>
      <w:pPr>
        <w:ind w:firstLine="482"/>
        <w:spacing w:line="360" w:lineRule="auto"/>
        <w:rPr>
          <w:rFonts w:hint="eastAsia" w:cs="宋体" w:asciiTheme="minorEastAsia" w:hAnsiTheme="minorEastAsia"/>
          <w:b/>
          <w:color w:val="000000"/>
          <w:sz w:val="24"/>
          <w:szCs w:val="24"/>
        </w:rPr>
      </w:pPr>
      <w:r>
        <w:rPr>
          <w:rFonts w:hint="eastAsia" w:cs="宋体" w:asciiTheme="minorEastAsia" w:hAnsiTheme="minorEastAsia"/>
          <w:b/>
          <w:color w:val="000000"/>
          <w:sz w:val="24"/>
          <w:szCs w:val="24"/>
        </w:rPr>
        <w:t xml:space="preserve">五、服务标准</w:t>
      </w:r>
      <w:r/>
    </w:p>
    <w:p>
      <w:pPr>
        <w:ind w:firstLine="482"/>
        <w:spacing w:line="360" w:lineRule="auto"/>
        <w:rPr>
          <w:rFonts w:hint="eastAsia" w:cs="宋体" w:asciiTheme="minorEastAsia" w:hAnsiTheme="minorEastAsia"/>
          <w:b/>
          <w:color w:val="000000"/>
          <w:sz w:val="24"/>
          <w:szCs w:val="24"/>
        </w:rPr>
      </w:pPr>
      <w:r>
        <w:rPr>
          <w:rFonts w:hint="eastAsia" w:asciiTheme="minorEastAsia" w:hAnsiTheme="minorEastAsia"/>
          <w:b/>
          <w:sz w:val="24"/>
          <w:szCs w:val="24"/>
        </w:rPr>
        <w:t xml:space="preserve">5.1线路类业务</w:t>
      </w:r>
      <w:r/>
    </w:p>
    <w:p>
      <w:pPr>
        <w:pStyle w:val="905"/>
        <w:ind w:firstLine="480"/>
        <w:rPr>
          <w:rFonts w:hint="eastAsia"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（1）</w:t>
      </w:r>
      <w:r>
        <w:rPr>
          <w:rFonts w:cs="Times New Roman" w:asciiTheme="minorEastAsia" w:hAnsiTheme="minorEastAsia" w:eastAsiaTheme="minorEastAsia"/>
          <w:sz w:val="24"/>
          <w:szCs w:val="24"/>
        </w:rPr>
        <w:t xml:space="preserve">具有对所有节点配套的</w:t>
      </w:r>
      <w:r>
        <w:rPr>
          <w:rFonts w:hint="eastAsia" w:cs="Times New Roman" w:asciiTheme="minorEastAsia" w:hAnsiTheme="minorEastAsia" w:eastAsiaTheme="minorEastAsia"/>
          <w:sz w:val="24"/>
          <w:szCs w:val="24"/>
        </w:rPr>
        <w:t xml:space="preserve">传输</w:t>
      </w:r>
      <w:r>
        <w:rPr>
          <w:rFonts w:cs="Times New Roman" w:asciiTheme="minorEastAsia" w:hAnsiTheme="minorEastAsia" w:eastAsiaTheme="minorEastAsia"/>
          <w:sz w:val="24"/>
          <w:szCs w:val="24"/>
        </w:rPr>
        <w:t xml:space="preserve">设备进行日常运行状态、故障响应、资源分配和调度控制等监测管理功能；</w:t>
      </w:r>
      <w:r/>
    </w:p>
    <w:p>
      <w:pPr>
        <w:pStyle w:val="905"/>
        <w:ind w:firstLine="480"/>
        <w:rPr>
          <w:rFonts w:hint="eastAsia"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（2）</w:t>
      </w:r>
      <w:r>
        <w:rPr>
          <w:rFonts w:cs="Times New Roman" w:asciiTheme="minorEastAsia" w:hAnsiTheme="minorEastAsia" w:eastAsiaTheme="minorEastAsia"/>
          <w:sz w:val="24"/>
          <w:szCs w:val="24"/>
        </w:rPr>
        <w:t xml:space="preserve">提供端到端的客户网络监控等业务，对客户网络通断和传输性能提供 7*24 实时监控服务人员；</w:t>
      </w:r>
      <w:r/>
    </w:p>
    <w:p>
      <w:pPr>
        <w:pStyle w:val="900"/>
        <w:ind w:firstLine="480"/>
        <w:jc w:val="both"/>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w:t>
      </w:r>
      <w:r>
        <w:rPr>
          <w:rFonts w:asciiTheme="minorEastAsia" w:hAnsiTheme="minorEastAsia" w:eastAsiaTheme="minorEastAsia"/>
          <w:sz w:val="24"/>
        </w:rPr>
        <w:t xml:space="preserve">确保所用电路传输信息安全；任何第三方用户不得通过传输电路接入公安网络；</w:t>
      </w:r>
      <w:r/>
    </w:p>
    <w:p>
      <w:pPr>
        <w:ind w:firstLine="482"/>
        <w:spacing w:line="360" w:lineRule="auto"/>
        <w:rPr>
          <w:rFonts w:hint="eastAsia" w:asciiTheme="minorEastAsia" w:hAnsiTheme="minorEastAsia"/>
          <w:b/>
          <w:bCs/>
          <w:i/>
          <w:iCs/>
          <w:sz w:val="24"/>
          <w:szCs w:val="24"/>
          <w:u w:val="single"/>
        </w:rPr>
      </w:pPr>
      <w:r>
        <w:rPr>
          <w:rFonts w:hint="eastAsia" w:asciiTheme="minorEastAsia" w:hAnsiTheme="minorEastAsia"/>
          <w:b/>
          <w:bCs/>
          <w:i/>
          <w:iCs/>
          <w:sz w:val="24"/>
          <w:szCs w:val="24"/>
          <w:u w:val="single"/>
        </w:rPr>
        <w:t xml:space="preserve">（4）如若中标，服务期限内</w:t>
      </w:r>
      <w:r>
        <w:rPr>
          <w:rFonts w:hint="eastAsia" w:asciiTheme="minorEastAsia" w:hAnsiTheme="minorEastAsia"/>
          <w:b/>
          <w:bCs/>
          <w:i/>
          <w:iCs/>
          <w:sz w:val="24"/>
          <w:szCs w:val="24"/>
          <w:u w:val="single"/>
        </w:rPr>
        <w:t xml:space="preserve">对线路状态进行7×24监控，出现故障即时响应，主城区30分钟内维护力量到故障现场，郊区和县城区6</w:t>
      </w:r>
      <w:r>
        <w:rPr>
          <w:rFonts w:hint="eastAsia" w:asciiTheme="minorEastAsia" w:hAnsiTheme="minorEastAsia"/>
          <w:b/>
          <w:bCs/>
          <w:i/>
          <w:iCs/>
          <w:sz w:val="24"/>
          <w:szCs w:val="24"/>
          <w:u w:val="single"/>
        </w:rPr>
        <w:t xml:space="preserve">0分钟内维护力量到故障现场；所有零散传输类故障90分钟内排除；大规模传输类故障第一时间出具可行方案，中标人单位运维部门和客服部门分管领导需现场指挥协调，事后书面提交情况报告</w:t>
      </w:r>
      <w:r>
        <w:rPr>
          <w:rFonts w:hint="eastAsia" w:asciiTheme="minorEastAsia" w:hAnsiTheme="minorEastAsia"/>
          <w:b/>
          <w:bCs/>
          <w:i/>
          <w:iCs/>
          <w:sz w:val="24"/>
          <w:szCs w:val="24"/>
          <w:u w:val="single"/>
        </w:rPr>
        <w:t xml:space="preserve">。</w:t>
      </w:r>
      <w:r>
        <w:rPr>
          <w:rFonts w:hint="eastAsia" w:asciiTheme="minorEastAsia" w:hAnsiTheme="minorEastAsia"/>
          <w:b/>
          <w:bCs/>
          <w:i/>
          <w:iCs/>
          <w:sz w:val="24"/>
          <w:szCs w:val="24"/>
          <w:u w:val="single"/>
        </w:rPr>
        <w:t xml:space="preserve">（</w:t>
      </w:r>
      <w:r>
        <w:rPr>
          <w:rFonts w:hint="eastAsia" w:asciiTheme="minorEastAsia" w:hAnsiTheme="minorEastAsia"/>
          <w:b/>
          <w:i/>
          <w:iCs/>
          <w:sz w:val="24"/>
          <w:szCs w:val="24"/>
          <w:u w:val="single"/>
        </w:rPr>
        <w:t xml:space="preserve">投标文件中提供承诺函并加盖投标人公章，格式自拟，否则投标无效</w:t>
      </w:r>
      <w:r>
        <w:rPr>
          <w:rFonts w:hint="eastAsia" w:asciiTheme="minorEastAsia" w:hAnsiTheme="minorEastAsia"/>
          <w:b/>
          <w:bCs/>
          <w:i/>
          <w:iCs/>
          <w:sz w:val="24"/>
          <w:szCs w:val="24"/>
          <w:u w:val="single"/>
        </w:rPr>
        <w:t xml:space="preserve">）。</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（5）提供每月1次以上巡检、维护服务，提供24小时统一故障申告服务电话，提供故障响应流程和服务承诺。</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（6）服务期限内，采购人因工作需要迁移线路的，采购人应提前24小时书面通知中标人</w:t>
      </w:r>
      <w:r>
        <w:rPr>
          <w:rFonts w:hint="eastAsia" w:asciiTheme="minorEastAsia" w:hAnsiTheme="minorEastAsia"/>
          <w:sz w:val="24"/>
          <w:szCs w:val="24"/>
          <w:lang w:eastAsia="zh-CN"/>
        </w:rPr>
        <w:t xml:space="preserve">，</w:t>
      </w:r>
      <w:r>
        <w:rPr>
          <w:rFonts w:hint="eastAsia" w:asciiTheme="minorEastAsia" w:hAnsiTheme="minorEastAsia"/>
          <w:sz w:val="24"/>
          <w:szCs w:val="24"/>
          <w:lang w:val="en-US" w:eastAsia="zh-CN"/>
        </w:rPr>
        <w:t xml:space="preserve">中标人需提供免费迁移服务。</w:t>
      </w:r>
      <w:r>
        <w:rPr>
          <w:rFonts w:hint="eastAsia" w:asciiTheme="minorEastAsia" w:hAnsiTheme="minorEastAsia"/>
          <w:sz w:val="24"/>
          <w:szCs w:val="24"/>
        </w:rPr>
        <w:t xml:space="preserve">非采购人需求的施工行为，中标人应提前24小时书面通知采购人并同采购人约定施工时间。施工时间持续不得超过24小时，施工期间造成的采购人网络中断时间不得超过3小时。</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（7）服务期限内，采购人因紧急工作需要临时迁移、拆除、阻断、增加线路的，采购人应提前12小时书面通知中标人。中标人在接到应急线路保障需求后，应在12小时内完成应急保障线路布设。</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（8）须按时为采购人单位的网络维护人员提供培训，使网络维护人员可以处理简单的日常问题。</w:t>
      </w:r>
      <w:r/>
    </w:p>
    <w:p>
      <w:pPr>
        <w:pStyle w:val="900"/>
        <w:ind w:firstLine="482"/>
        <w:jc w:val="both"/>
        <w:spacing w:line="360" w:lineRule="auto"/>
        <w:rPr>
          <w:rFonts w:hint="eastAsia" w:asciiTheme="minorEastAsia" w:hAnsiTheme="minorEastAsia" w:eastAsiaTheme="minorEastAsia"/>
          <w:b/>
          <w:bCs/>
          <w:color w:val="auto"/>
          <w:sz w:val="24"/>
        </w:rPr>
      </w:pPr>
      <w:r>
        <w:rPr>
          <w:rFonts w:hint="eastAsia" w:asciiTheme="minorEastAsia" w:hAnsiTheme="minorEastAsia" w:eastAsiaTheme="minorEastAsia"/>
          <w:b/>
          <w:bCs/>
          <w:color w:val="auto"/>
          <w:sz w:val="24"/>
        </w:rPr>
        <w:t xml:space="preserve">5.2</w:t>
      </w:r>
      <w:r>
        <w:rPr>
          <w:rFonts w:asciiTheme="minorEastAsia" w:hAnsiTheme="minorEastAsia" w:eastAsiaTheme="minorEastAsia"/>
          <w:b/>
          <w:bCs/>
          <w:color w:val="auto"/>
          <w:sz w:val="24"/>
        </w:rPr>
        <w:t xml:space="preserve">短信平台</w:t>
      </w:r>
      <w:r>
        <w:rPr>
          <w:rFonts w:hint="eastAsia" w:asciiTheme="minorEastAsia" w:hAnsiTheme="minorEastAsia" w:eastAsiaTheme="minorEastAsia"/>
          <w:b/>
          <w:bCs/>
          <w:color w:val="auto"/>
          <w:sz w:val="24"/>
        </w:rPr>
        <w:t xml:space="preserve">业务</w:t>
      </w:r>
      <w:r/>
    </w:p>
    <w:p>
      <w:pPr>
        <w:pStyle w:val="905"/>
        <w:ind w:firstLine="480"/>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w:t>
      </w:r>
      <w:r>
        <w:rPr>
          <w:rFonts w:cs="宋体" w:asciiTheme="minorEastAsia" w:hAnsiTheme="minorEastAsia" w:eastAsiaTheme="minorEastAsia"/>
          <w:color w:val="000000"/>
          <w:sz w:val="24"/>
          <w:szCs w:val="24"/>
        </w:rPr>
        <w:t xml:space="preserve">提供基础网络支持，确保服务正常运行。</w:t>
      </w:r>
      <w:r/>
    </w:p>
    <w:p>
      <w:pPr>
        <w:pStyle w:val="905"/>
        <w:ind w:firstLine="480"/>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w:t>
      </w:r>
      <w:r>
        <w:rPr>
          <w:rFonts w:cs="宋体" w:asciiTheme="minorEastAsia" w:hAnsiTheme="minorEastAsia" w:eastAsiaTheme="minorEastAsia"/>
          <w:color w:val="000000"/>
          <w:sz w:val="24"/>
          <w:szCs w:val="24"/>
        </w:rPr>
        <w:t xml:space="preserve">异网发送和接收成功率达到 95%，短信发送提交速度达到 200 条/秒/每线程，短信到达时间不超过 15秒。</w:t>
      </w:r>
      <w:r/>
    </w:p>
    <w:p>
      <w:pPr>
        <w:pStyle w:val="905"/>
        <w:ind w:firstLine="480"/>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w:t>
      </w:r>
      <w:r>
        <w:rPr>
          <w:rFonts w:cs="宋体" w:asciiTheme="minorEastAsia" w:hAnsiTheme="minorEastAsia" w:eastAsiaTheme="minorEastAsia"/>
          <w:color w:val="000000"/>
          <w:sz w:val="24"/>
          <w:szCs w:val="24"/>
        </w:rPr>
        <w:t xml:space="preserve">负责传输系统的维护，保障短信系统到用户的传输通畅和数据包路由的准确性。</w:t>
      </w:r>
      <w:r/>
    </w:p>
    <w:p>
      <w:pPr>
        <w:ind w:firstLine="480"/>
        <w:spacing w:line="360" w:lineRule="auto"/>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（4）</w:t>
      </w:r>
      <w:r>
        <w:rPr>
          <w:rFonts w:cs="宋体" w:asciiTheme="minorEastAsia" w:hAnsiTheme="minorEastAsia"/>
          <w:color w:val="000000"/>
          <w:sz w:val="24"/>
          <w:szCs w:val="24"/>
        </w:rPr>
        <w:t xml:space="preserve">对运行过程中</w:t>
      </w:r>
      <w:r>
        <w:rPr>
          <w:rFonts w:hint="eastAsia" w:cs="宋体" w:asciiTheme="minorEastAsia" w:hAnsiTheme="minorEastAsia"/>
          <w:color w:val="000000"/>
          <w:sz w:val="24"/>
          <w:szCs w:val="24"/>
        </w:rPr>
        <w:t xml:space="preserve">采购人</w:t>
      </w:r>
      <w:r>
        <w:rPr>
          <w:rFonts w:cs="宋体" w:asciiTheme="minorEastAsia" w:hAnsiTheme="minorEastAsia"/>
          <w:color w:val="000000"/>
          <w:sz w:val="24"/>
          <w:szCs w:val="24"/>
        </w:rPr>
        <w:t xml:space="preserve">提供的所有资料（包括技术、用户信息）负有保密义务，对使用的单位及个人信息履行保护义务。</w:t>
      </w:r>
      <w:r/>
    </w:p>
    <w:p>
      <w:pPr>
        <w:ind w:firstLine="482"/>
        <w:spacing w:line="360" w:lineRule="auto"/>
        <w:rPr>
          <w:rFonts w:hint="eastAsia" w:cs="宋体" w:asciiTheme="minorEastAsia" w:hAnsiTheme="minorEastAsia"/>
          <w:b/>
          <w:color w:val="000000"/>
          <w:sz w:val="24"/>
          <w:szCs w:val="24"/>
        </w:rPr>
      </w:pPr>
      <w:r>
        <w:rPr>
          <w:rFonts w:hint="eastAsia" w:cs="宋体" w:asciiTheme="minorEastAsia" w:hAnsiTheme="minorEastAsia"/>
          <w:b/>
          <w:color w:val="000000"/>
          <w:sz w:val="24"/>
          <w:szCs w:val="24"/>
        </w:rPr>
        <w:t xml:space="preserve">六、培训要求</w:t>
      </w:r>
      <w:r/>
    </w:p>
    <w:p>
      <w:pPr>
        <w:ind w:firstLine="480"/>
        <w:spacing w:line="360" w:lineRule="auto"/>
        <w:widowControl/>
        <w:rPr>
          <w:rFonts w:hint="eastAsia" w:asciiTheme="minorEastAsia" w:hAnsiTheme="minorEastAsia"/>
          <w:sz w:val="24"/>
          <w:szCs w:val="24"/>
        </w:rPr>
      </w:pPr>
      <w:r>
        <w:rPr>
          <w:rFonts w:hint="eastAsia" w:cs="宋体" w:asciiTheme="minorEastAsia" w:hAnsiTheme="minorEastAsia"/>
          <w:color w:val="000000"/>
          <w:sz w:val="24"/>
          <w:szCs w:val="24"/>
        </w:rPr>
        <w:t xml:space="preserve">培训对象：项目中各系统的使用人员、系统管理人员。</w:t>
      </w:r>
      <w:r/>
    </w:p>
    <w:p>
      <w:pPr>
        <w:ind w:firstLine="480"/>
        <w:spacing w:line="36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培训内容及目的：保证相关人员了解、掌握本系统所涉及的各种线路技术，更有效和更全面地应用、管理业务系统。</w:t>
      </w:r>
      <w:r/>
    </w:p>
    <w:p>
      <w:pPr>
        <w:ind w:firstLine="480"/>
        <w:spacing w:line="36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培训方式：培训方式采用集中培训、现场培训相结合的方式，针对不同层次的人员，开设不同的培训课程和确定培训方式。</w:t>
      </w:r>
      <w:r/>
    </w:p>
    <w:p>
      <w:pPr>
        <w:pStyle w:val="900"/>
        <w:ind w:firstLine="480"/>
        <w:jc w:val="both"/>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培训规模：合同履行期内不少于1次。</w:t>
      </w:r>
      <w:r/>
    </w:p>
    <w:p>
      <w:pPr>
        <w:ind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t xml:space="preserve">七、考核标准及考核办法</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考核指标包括：传输类线路、机房动力系统等设施设备的恢复时间；信息安全事件级别；运行服务质量。</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单次出现以下任一故障情形（不可抗力因素除外），均判定该租赁业务月底考核不达标：零散传输类故障致使业务中断超过90分钟、机房动力系统故障引发整机柜服务器集群停运。采购人每月对租赁项目进行考核，如某项业务考核不达标，扣除当月该项目不达标数量的租赁费。</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信息安全事件每发生一起，经过采购人认定，按照一般、严重两个级别进行处罚。其中，一般事件每发生一起，一次性扣除5千元；严重事件，每发生一起，一次性扣除1万元。</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运行服务质量包括第三方线路进入租赁机房、警种部门进出机房规范管理、响应采购人需求及时性等。</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第三方线路进入租赁机房。对于采购人安排第三方线路进入机房的，中标方必须无条件及时响应，每发现一次不配合情况，扣费用1万元。</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警种部门进出机房规范管理。市公安局所有警种部门需要进机房维护设备的，必须经过市公安局机房管理部门授权，每发现一次未经授权私自进入情况，扣费用1万元。</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响应采购人需求及时性。常规情况在采购人提出需求后4 小时、紧急情况在采购人提出需求后2 小时响应，每有一次响应不及时，扣费用1万元。</w:t>
      </w:r>
      <w:r/>
    </w:p>
    <w:p>
      <w:pPr>
        <w:ind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t xml:space="preserve">八、履约验收</w:t>
      </w:r>
      <w:r/>
    </w:p>
    <w:p>
      <w:pPr>
        <w:pStyle w:val="907"/>
        <w:ind w:firstLine="480"/>
        <w:jc w:val="both"/>
        <w:rPr>
          <w:rFonts w:hint="eastAsia" w:asciiTheme="minorEastAsia" w:hAnsiTheme="minorEastAsia"/>
          <w:color w:val="000000"/>
          <w:sz w:val="24"/>
        </w:rPr>
      </w:pPr>
      <w:r>
        <w:rPr>
          <w:rFonts w:hint="eastAsia" w:asciiTheme="minorEastAsia" w:hAnsiTheme="minorEastAsia"/>
          <w:color w:val="000000"/>
          <w:sz w:val="24"/>
        </w:rPr>
        <w:t xml:space="preserve">1</w:t>
      </w:r>
      <w:r>
        <w:rPr>
          <w:rFonts w:hint="eastAsia" w:asciiTheme="minorEastAsia" w:hAnsiTheme="minorEastAsia"/>
          <w:color w:val="000000"/>
          <w:sz w:val="24"/>
          <w:lang w:val="en-US" w:eastAsia="zh-CN"/>
        </w:rPr>
        <w:t xml:space="preserve">.</w:t>
      </w:r>
      <w:r>
        <w:rPr>
          <w:rFonts w:hint="eastAsia" w:asciiTheme="minorEastAsia" w:hAnsiTheme="minorEastAsia"/>
          <w:color w:val="000000"/>
          <w:sz w:val="24"/>
        </w:rPr>
        <w:t xml:space="preserve">在合同签订后3个日历日内完成服务开通，</w:t>
      </w:r>
      <w:r>
        <w:rPr>
          <w:rFonts w:hint="eastAsia" w:asciiTheme="minorEastAsia" w:hAnsiTheme="minorEastAsia"/>
          <w:color w:val="000000"/>
          <w:sz w:val="24"/>
          <w:lang w:val="en-US" w:eastAsia="zh-CN"/>
        </w:rPr>
        <w:t xml:space="preserve">服务开通后</w:t>
      </w:r>
      <w:r>
        <w:rPr>
          <w:rFonts w:hint="eastAsia" w:asciiTheme="minorEastAsia" w:hAnsiTheme="minorEastAsia"/>
          <w:color w:val="000000"/>
          <w:sz w:val="24"/>
        </w:rPr>
        <w:t xml:space="preserve">中标人于7个工作日内提交初验申请，</w:t>
      </w:r>
      <w:r>
        <w:rPr>
          <w:rFonts w:hint="eastAsia" w:asciiTheme="minorEastAsia" w:hAnsiTheme="minorEastAsia"/>
          <w:color w:val="000000"/>
          <w:sz w:val="24"/>
          <w:lang w:val="en-US" w:eastAsia="zh-CN"/>
        </w:rPr>
        <w:t xml:space="preserve">采购人</w:t>
      </w:r>
      <w:r>
        <w:rPr>
          <w:rFonts w:hint="eastAsia" w:asciiTheme="minorEastAsia" w:hAnsiTheme="minorEastAsia"/>
          <w:color w:val="000000"/>
          <w:sz w:val="24"/>
        </w:rPr>
        <w:t xml:space="preserve">对中标人提交的服务依据招标文件上的项目需求要求、中标人响应文件及国家有关质量标准进行验收。</w:t>
      </w:r>
      <w:r/>
    </w:p>
    <w:p>
      <w:pPr>
        <w:pStyle w:val="907"/>
        <w:ind w:firstLine="480"/>
        <w:jc w:val="both"/>
        <w:rPr>
          <w:rFonts w:hint="eastAsia" w:asciiTheme="minorEastAsia" w:hAnsiTheme="minorEastAsia"/>
          <w:color w:val="000000"/>
          <w:sz w:val="24"/>
        </w:rPr>
      </w:pPr>
      <w:r>
        <w:rPr>
          <w:rFonts w:hint="eastAsia" w:asciiTheme="minorEastAsia" w:hAnsiTheme="minorEastAsia"/>
          <w:color w:val="000000"/>
          <w:sz w:val="24"/>
        </w:rPr>
        <w:t xml:space="preserve">2</w:t>
      </w:r>
      <w:r>
        <w:rPr>
          <w:rFonts w:hint="eastAsia" w:asciiTheme="minorEastAsia" w:hAnsiTheme="minorEastAsia"/>
          <w:color w:val="000000"/>
          <w:sz w:val="24"/>
          <w:lang w:val="en-US" w:eastAsia="zh-CN"/>
        </w:rPr>
        <w:t xml:space="preserve">.</w:t>
      </w:r>
      <w:r>
        <w:rPr>
          <w:rFonts w:hint="eastAsia" w:asciiTheme="minorEastAsia" w:hAnsiTheme="minorEastAsia"/>
          <w:color w:val="000000"/>
          <w:sz w:val="24"/>
        </w:rPr>
        <w:t xml:space="preserve">中标人交付前应对服务做出全面检查和对验收文件进行整理，并列出清单，作为采购人验收和使用的技术条件依据，检验的结果应随服务一起提交</w:t>
      </w:r>
      <w:r>
        <w:rPr>
          <w:rFonts w:hint="eastAsia" w:asciiTheme="minorEastAsia" w:hAnsiTheme="minorEastAsia"/>
          <w:color w:val="000000"/>
          <w:sz w:val="24"/>
          <w:lang w:val="en-US" w:eastAsia="zh-CN"/>
        </w:rPr>
        <w:t xml:space="preserve">采购人</w:t>
      </w:r>
      <w:r>
        <w:rPr>
          <w:rFonts w:hint="eastAsia" w:asciiTheme="minorEastAsia" w:hAnsiTheme="minorEastAsia"/>
          <w:color w:val="000000"/>
          <w:sz w:val="24"/>
        </w:rPr>
        <w:t xml:space="preserve">。</w:t>
      </w:r>
      <w:r/>
    </w:p>
    <w:p>
      <w:pPr>
        <w:pStyle w:val="907"/>
        <w:ind w:firstLine="480"/>
        <w:jc w:val="both"/>
        <w:rPr>
          <w:rFonts w:hint="eastAsia" w:asciiTheme="minorEastAsia" w:hAnsiTheme="minorEastAsia"/>
          <w:color w:val="000000"/>
          <w:sz w:val="24"/>
        </w:rPr>
      </w:pPr>
      <w:r>
        <w:rPr>
          <w:rFonts w:hint="eastAsia" w:asciiTheme="minorEastAsia" w:hAnsiTheme="minorEastAsia"/>
          <w:color w:val="000000"/>
          <w:sz w:val="24"/>
        </w:rPr>
        <w:t xml:space="preserve">3</w:t>
      </w:r>
      <w:r>
        <w:rPr>
          <w:rFonts w:hint="eastAsia" w:asciiTheme="minorEastAsia" w:hAnsiTheme="minorEastAsia"/>
          <w:color w:val="000000"/>
          <w:sz w:val="24"/>
          <w:lang w:val="en-US" w:eastAsia="zh-CN"/>
        </w:rPr>
        <w:t xml:space="preserve">.</w:t>
      </w:r>
      <w:r>
        <w:rPr>
          <w:rFonts w:hint="eastAsia" w:asciiTheme="minorEastAsia" w:hAnsiTheme="minorEastAsia"/>
          <w:color w:val="000000"/>
          <w:sz w:val="24"/>
        </w:rPr>
        <w:t xml:space="preserve">项目初验合格后进入试运行期（7个日历天），试运行期满且所有核心验收指标达标后，中标人在7</w:t>
      </w:r>
      <w:r>
        <w:rPr>
          <w:rFonts w:hint="eastAsia" w:asciiTheme="minorEastAsia" w:hAnsiTheme="minorEastAsia"/>
          <w:color w:val="000000"/>
          <w:sz w:val="24"/>
          <w:lang w:val="en-US" w:eastAsia="zh-CN"/>
        </w:rPr>
        <w:t xml:space="preserve">个工作</w:t>
      </w:r>
      <w:r>
        <w:rPr>
          <w:rFonts w:hint="eastAsia" w:asciiTheme="minorEastAsia" w:hAnsiTheme="minorEastAsia"/>
          <w:color w:val="000000"/>
          <w:sz w:val="24"/>
        </w:rPr>
        <w:t xml:space="preserve">日内提交终验申请，</w:t>
      </w:r>
      <w:r>
        <w:rPr>
          <w:rFonts w:hint="eastAsia" w:asciiTheme="minorEastAsia" w:hAnsiTheme="minorEastAsia"/>
          <w:color w:val="000000"/>
          <w:sz w:val="24"/>
          <w:lang w:val="en-US" w:eastAsia="zh-CN"/>
        </w:rPr>
        <w:t xml:space="preserve">采购人</w:t>
      </w:r>
      <w:r>
        <w:rPr>
          <w:rFonts w:hint="eastAsia" w:asciiTheme="minorEastAsia" w:hAnsiTheme="minorEastAsia"/>
          <w:color w:val="000000"/>
          <w:sz w:val="24"/>
        </w:rPr>
        <w:t xml:space="preserve">依据试运行结果及相关技术条件进行验收。</w:t>
      </w:r>
      <w:r/>
    </w:p>
    <w:p>
      <w:pPr>
        <w:pStyle w:val="907"/>
        <w:ind w:firstLine="480"/>
        <w:jc w:val="both"/>
        <w:rPr>
          <w:rFonts w:hint="eastAsia" w:asciiTheme="minorEastAsia" w:hAnsiTheme="minorEastAsia"/>
          <w:color w:val="000000"/>
          <w:sz w:val="24"/>
        </w:rPr>
      </w:pPr>
      <w:r>
        <w:rPr>
          <w:rFonts w:hint="eastAsia" w:asciiTheme="minorEastAsia" w:hAnsiTheme="minorEastAsia"/>
          <w:color w:val="000000"/>
          <w:sz w:val="24"/>
        </w:rPr>
        <w:t xml:space="preserve">4</w:t>
      </w:r>
      <w:r>
        <w:rPr>
          <w:rFonts w:hint="eastAsia" w:asciiTheme="minorEastAsia" w:hAnsiTheme="minorEastAsia"/>
          <w:color w:val="000000"/>
          <w:sz w:val="24"/>
          <w:lang w:val="en-US" w:eastAsia="zh-CN"/>
        </w:rPr>
        <w:t xml:space="preserve">.采购人</w:t>
      </w:r>
      <w:r>
        <w:rPr>
          <w:rFonts w:hint="eastAsia" w:asciiTheme="minorEastAsia" w:hAnsiTheme="minorEastAsia"/>
          <w:color w:val="000000"/>
          <w:sz w:val="24"/>
        </w:rPr>
        <w:t xml:space="preserve">可请服务使用人员或组织业内专家进行项目验收，并出具验收报告。</w:t>
      </w:r>
      <w:r/>
    </w:p>
    <w:p>
      <w:pPr>
        <w:pStyle w:val="907"/>
        <w:ind w:firstLine="480"/>
        <w:jc w:val="both"/>
        <w:rPr>
          <w:rFonts w:hint="eastAsia" w:asciiTheme="minorEastAsia" w:hAnsiTheme="minorEastAsia"/>
          <w:color w:val="000000"/>
          <w:sz w:val="24"/>
        </w:rPr>
      </w:pPr>
      <w:r>
        <w:rPr>
          <w:rFonts w:hint="eastAsia" w:asciiTheme="minorEastAsia" w:hAnsiTheme="minorEastAsia"/>
          <w:color w:val="000000"/>
          <w:sz w:val="24"/>
        </w:rPr>
        <w:t xml:space="preserve">5</w:t>
      </w:r>
      <w:r>
        <w:rPr>
          <w:rFonts w:hint="eastAsia" w:asciiTheme="minorEastAsia" w:hAnsiTheme="minorEastAsia"/>
          <w:color w:val="000000"/>
          <w:sz w:val="24"/>
          <w:lang w:val="en-US" w:eastAsia="zh-CN"/>
        </w:rPr>
        <w:t xml:space="preserve">.</w:t>
      </w:r>
      <w:r>
        <w:rPr>
          <w:rFonts w:hint="eastAsia" w:asciiTheme="minorEastAsia" w:hAnsiTheme="minorEastAsia"/>
          <w:color w:val="000000"/>
          <w:sz w:val="24"/>
        </w:rPr>
        <w:t xml:space="preserve">验收时中标人必须在现场，验收完毕后作出验收结果报告；招标文件规定以外的验收费用由</w:t>
      </w:r>
      <w:r>
        <w:rPr>
          <w:rFonts w:hint="eastAsia" w:asciiTheme="minorEastAsia" w:hAnsiTheme="minorEastAsia"/>
          <w:color w:val="000000"/>
          <w:sz w:val="24"/>
          <w:lang w:val="en-US" w:eastAsia="zh-CN"/>
        </w:rPr>
        <w:t xml:space="preserve">采购人</w:t>
      </w:r>
      <w:r>
        <w:rPr>
          <w:rFonts w:hint="eastAsia" w:asciiTheme="minorEastAsia" w:hAnsiTheme="minorEastAsia"/>
          <w:color w:val="000000"/>
          <w:sz w:val="24"/>
        </w:rPr>
        <w:t xml:space="preserve">及中标人双方协商解决。</w:t>
      </w:r>
      <w:r/>
    </w:p>
    <w:p>
      <w:pPr>
        <w:ind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t xml:space="preserve">九、付款方式与履约保证金</w:t>
      </w:r>
      <w:r/>
    </w:p>
    <w:p>
      <w:pPr>
        <w:ind w:firstLine="480"/>
        <w:spacing w:line="360" w:lineRule="auto"/>
        <w:rPr>
          <w:rFonts w:hint="eastAsia" w:asciiTheme="minorEastAsia" w:hAnsiTheme="minorEastAsia"/>
          <w:sz w:val="24"/>
          <w:szCs w:val="24"/>
        </w:rPr>
      </w:pPr>
      <w:r>
        <w:rPr>
          <w:rFonts w:hint="eastAsia" w:cs="Times New Roman" w:asciiTheme="minorEastAsia" w:hAnsiTheme="minorEastAsia"/>
          <w:sz w:val="24"/>
          <w:szCs w:val="24"/>
        </w:rPr>
        <w:t xml:space="preserve">1.付款方式：</w:t>
      </w:r>
      <w:r>
        <w:rPr>
          <w:rFonts w:hint="eastAsia" w:asciiTheme="minorEastAsia" w:hAnsiTheme="minorEastAsia"/>
          <w:bCs/>
          <w:color w:val="000000"/>
          <w:sz w:val="24"/>
          <w:szCs w:val="24"/>
        </w:rPr>
        <w:t xml:space="preserve">经验收合格后，根据每月考核结果按月支付服务费。</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2.履约保证金：本项目不收取履约保证金。</w:t>
      </w:r>
      <w:r/>
    </w:p>
    <w:p>
      <w:pPr>
        <w:ind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t xml:space="preserve">十、报价要求及其他</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1.投标人应对投标总报价一次报定，包括完成该项服务的所有费用，包含网络专线使用费、所需设备及设备运输、安装费、测试费、维护及修理费和人员工资、劳保、税金、利润、政策性文件规定及合同包含的所有风险、责任等各项应有费用。</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2.本采购包报价不得超过预算价。应根据国家收费标准并结合市场实际进行报价，总价包干。</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3.工作中涉及的敏感资料、电子数据等相关信息，中标人应严格执行保密的相关规定，不得以任何方式向任何第三人披露、泄露或许可第三人使用，否则追究其相应法律责任。</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4.现场考察</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由于租赁业务明细较多、涉及业务广、线路错综复杂，部分点位涉及警务工作秘密，为了避免投标人无法掌握现有网络业务运行实际情况，建议投标人进行现场考察，采购人会提供必要的协助和解释，让投标人充分了解业务运行情况。如投标人因对现场资料和数据所作出的推论、解释和结论影响投标报价、方案编制等由此造成的后果由投标人自行承担。因投标人自身原因现场考察不全面的，中标后不得因此提出修改投标报价或提出索赔等要求，不得以此为由拒绝签署合同或履行所约定的各项义务。</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本次项目涉及公安局内部线路、流量卡、各点位网络分布及警务工作秘密等，现场考察环节具有高度的保密性。为确保国家秘密安全，凡参与现场考察的人员，严禁拍照与录像，严禁信息外泄。考察结束后，不得以任何形式（口头、书面、社交软件等）向第三方透露任何网络业务运行细节，服从现场指挥。</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考察联系人：金鑫         </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联系电话：15861237719</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考察前请提前联系，预约时间，考察时请携带授权委托书和有效身份证，现场考察的费用由投标人自行承担。</w:t>
      </w:r>
      <w:r/>
    </w:p>
    <w:p>
      <w:pPr>
        <w:jc w:val="both"/>
        <w:rPr>
          <w:rFonts w:hint="eastAsia" w:asciiTheme="minorEastAsia" w:hAnsiTheme="minorEastAsia"/>
          <w:b/>
          <w:sz w:val="28"/>
          <w:szCs w:val="24"/>
        </w:rPr>
      </w:pPr>
      <w:r>
        <w:rPr>
          <w:rFonts w:hint="eastAsia" w:asciiTheme="minorEastAsia" w:hAnsiTheme="minorEastAsia"/>
          <w:b/>
          <w:sz w:val="28"/>
          <w:szCs w:val="24"/>
        </w:rPr>
      </w:r>
      <w:r/>
    </w:p>
    <w:p>
      <w:pPr>
        <w:jc w:val="center"/>
        <w:rPr>
          <w:rFonts w:hint="eastAsia" w:asciiTheme="minorEastAsia" w:hAnsiTheme="minorEastAsia"/>
          <w:b/>
          <w:sz w:val="28"/>
          <w:szCs w:val="24"/>
        </w:rPr>
      </w:pPr>
      <w:r>
        <w:rPr>
          <w:rFonts w:hint="eastAsia" w:asciiTheme="minorEastAsia" w:hAnsiTheme="minorEastAsia"/>
          <w:b/>
          <w:sz w:val="28"/>
          <w:szCs w:val="24"/>
        </w:rPr>
      </w:r>
      <w:r/>
    </w:p>
    <w:p>
      <w:pPr>
        <w:jc w:val="center"/>
        <w:rPr>
          <w:rFonts w:hint="eastAsia" w:asciiTheme="minorEastAsia" w:hAnsiTheme="minorEastAsia"/>
          <w:b/>
          <w:sz w:val="28"/>
          <w:szCs w:val="24"/>
        </w:rPr>
      </w:pPr>
      <w:r>
        <w:rPr>
          <w:rFonts w:hint="eastAsia" w:asciiTheme="minorEastAsia" w:hAnsiTheme="minorEastAsia"/>
          <w:b/>
          <w:sz w:val="28"/>
          <w:szCs w:val="24"/>
        </w:rPr>
      </w:r>
      <w:r/>
    </w:p>
    <w:p>
      <w:pPr>
        <w:jc w:val="center"/>
        <w:rPr>
          <w:rFonts w:hint="eastAsia" w:asciiTheme="minorEastAsia" w:hAnsiTheme="minorEastAsia"/>
          <w:b/>
          <w:sz w:val="28"/>
          <w:szCs w:val="24"/>
        </w:rPr>
      </w:pPr>
      <w:r>
        <w:rPr>
          <w:rFonts w:hint="eastAsia" w:asciiTheme="minorEastAsia" w:hAnsiTheme="minorEastAsia"/>
          <w:b/>
          <w:sz w:val="28"/>
          <w:szCs w:val="24"/>
        </w:rPr>
        <w:t xml:space="preserve">采购包2</w:t>
      </w:r>
      <w:r/>
    </w:p>
    <w:p>
      <w:pPr>
        <w:pStyle w:val="900"/>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ind w:firstLine="482"/>
        <w:spacing w:line="360" w:lineRule="auto"/>
        <w:rPr>
          <w:b/>
          <w:sz w:val="24"/>
        </w:rPr>
      </w:pPr>
      <w:r>
        <w:rPr>
          <w:rFonts w:hint="eastAsia"/>
          <w:b/>
          <w:sz w:val="24"/>
        </w:rPr>
        <w:t xml:space="preserve">一、项目概况</w:t>
      </w:r>
      <w:r/>
    </w:p>
    <w:p>
      <w:pPr>
        <w:ind w:firstLine="480"/>
        <w:spacing w:line="360" w:lineRule="auto"/>
        <w:rPr>
          <w:sz w:val="24"/>
        </w:rPr>
      </w:pPr>
      <w:r>
        <w:rPr>
          <w:rFonts w:hint="eastAsia"/>
          <w:sz w:val="24"/>
        </w:rPr>
        <w:t xml:space="preserve">当前公安工作正深度融入数字化、智能化发展浪潮，网络基础设施作为支撑执法办案、治安防控、应急处突、政务服务、大数据研判等核心业务的 “基石”，其稳定性、安全性和适配性直接关系到公安工作的效率与公共安全治理成效。</w:t>
      </w:r>
      <w:r/>
    </w:p>
    <w:p>
      <w:pPr>
        <w:ind w:firstLine="480"/>
        <w:spacing w:line="360" w:lineRule="auto"/>
        <w:rPr>
          <w:strike/>
          <w:sz w:val="24"/>
        </w:rPr>
      </w:pPr>
      <w:r>
        <w:rPr>
          <w:rFonts w:hint="eastAsia"/>
          <w:sz w:val="24"/>
        </w:rPr>
        <w:t xml:space="preserve">为全面保障各类信息化基础设施、业务系统正常运转，解决现有网络资源在覆盖范围、承载能力、服务保障等方面的适配需求，夯实信息化基础设施建设根基。租赁运营商各类网络线路、机柜、物联网卡、流量卡、短信服务、互联网IP地址、网络电视统等服务。</w:t>
      </w:r>
      <w:r/>
    </w:p>
    <w:p>
      <w:pPr>
        <w:ind w:firstLine="482"/>
        <w:spacing w:line="360" w:lineRule="auto"/>
        <w:rPr>
          <w:b/>
          <w:sz w:val="24"/>
        </w:rPr>
      </w:pPr>
      <w:r>
        <w:rPr>
          <w:rFonts w:hint="eastAsia"/>
          <w:b/>
          <w:sz w:val="24"/>
        </w:rPr>
        <w:t xml:space="preserve">二、服务技术要求</w:t>
      </w:r>
      <w:r/>
    </w:p>
    <w:p>
      <w:pPr>
        <w:ind w:firstLine="482"/>
        <w:spacing w:line="360" w:lineRule="auto"/>
        <w:rPr>
          <w:rFonts w:hint="eastAsia" w:asciiTheme="minorEastAsia" w:hAnsiTheme="minorEastAsia"/>
          <w:b/>
          <w:sz w:val="24"/>
        </w:rPr>
      </w:pPr>
      <w:r>
        <w:rPr>
          <w:rFonts w:hint="eastAsia" w:asciiTheme="minorEastAsia" w:hAnsiTheme="minorEastAsia"/>
          <w:b/>
          <w:sz w:val="24"/>
        </w:rPr>
        <w:t xml:space="preserve">1.服务内容及要求</w:t>
      </w:r>
      <w:r/>
    </w:p>
    <w:p>
      <w:pPr>
        <w:ind w:firstLine="482"/>
        <w:spacing w:line="360" w:lineRule="auto"/>
        <w:rPr>
          <w:rFonts w:hint="eastAsia" w:asciiTheme="minorEastAsia" w:hAnsiTheme="minorEastAsia"/>
          <w:b/>
          <w:sz w:val="24"/>
        </w:rPr>
      </w:pPr>
      <w:r>
        <w:rPr>
          <w:rFonts w:hint="eastAsia" w:asciiTheme="minorEastAsia" w:hAnsiTheme="minorEastAsia"/>
          <w:b/>
          <w:sz w:val="24"/>
        </w:rPr>
        <w:t xml:space="preserve">1.1需求数量总表</w:t>
      </w:r>
      <w:r/>
    </w:p>
    <w:tbl>
      <w:tblPr>
        <w:tblStyle w:val="842"/>
        <w:tblW w:w="83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3574"/>
        <w:gridCol w:w="3923"/>
      </w:tblGrid>
      <w:tr>
        <w:trPr>
          <w:jc w:val="center"/>
          <w:trHeight w:val="430"/>
          <w:tblHeader/>
        </w:trPr>
        <w:tc>
          <w:tcPr>
            <w:tcBorders>
              <w:top w:val="single" w:color="auto" w:sz="4" w:space="0"/>
              <w:left w:val="single" w:color="auto" w:sz="4" w:space="0"/>
              <w:bottom w:val="single" w:color="auto" w:sz="4" w:space="0"/>
              <w:right w:val="single" w:color="auto" w:sz="4" w:space="0"/>
            </w:tcBorders>
            <w:tcW w:w="894" w:type="dxa"/>
            <w:vAlign w:val="center"/>
            <w:textDirection w:val="lrTb"/>
            <w:noWrap/>
          </w:tcPr>
          <w:p>
            <w:pPr>
              <w:jc w:val="center"/>
              <w:spacing w:line="400" w:lineRule="exact"/>
              <w:widowControl/>
              <w:rPr>
                <w:rFonts w:hint="eastAsia" w:cs="宋体" w:asciiTheme="minorEastAsia" w:hAnsiTheme="minorEastAsia"/>
                <w:b/>
                <w:bCs/>
                <w:sz w:val="24"/>
                <w:szCs w:val="24"/>
              </w:rPr>
            </w:pPr>
            <w:r>
              <w:rPr>
                <w:rFonts w:hint="eastAsia" w:cs="宋体" w:asciiTheme="minorEastAsia" w:hAnsiTheme="minorEastAsia"/>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3574" w:type="dxa"/>
            <w:vAlign w:val="center"/>
            <w:textDirection w:val="lrTb"/>
            <w:noWrap/>
          </w:tcPr>
          <w:p>
            <w:pPr>
              <w:jc w:val="center"/>
              <w:spacing w:line="400" w:lineRule="exact"/>
              <w:widowControl/>
              <w:rPr>
                <w:rFonts w:hint="eastAsia" w:cs="宋体" w:asciiTheme="minorEastAsia" w:hAnsiTheme="minorEastAsia"/>
                <w:b/>
                <w:bCs/>
                <w:sz w:val="24"/>
                <w:szCs w:val="24"/>
              </w:rPr>
            </w:pPr>
            <w:r>
              <w:rPr>
                <w:rFonts w:hint="eastAsia" w:cs="宋体" w:asciiTheme="minorEastAsia" w:hAnsiTheme="minorEastAsia"/>
                <w:b/>
                <w:bCs/>
                <w:sz w:val="24"/>
                <w:szCs w:val="24"/>
              </w:rPr>
              <w:t xml:space="preserve">业务类型</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jc w:val="center"/>
              <w:spacing w:line="400" w:lineRule="exact"/>
              <w:widowControl/>
              <w:rPr>
                <w:rFonts w:hint="eastAsia" w:cs="宋体" w:asciiTheme="minorEastAsia" w:hAnsiTheme="minorEastAsia"/>
                <w:b/>
                <w:bCs/>
                <w:sz w:val="24"/>
                <w:szCs w:val="24"/>
              </w:rPr>
            </w:pPr>
            <w:r>
              <w:rPr>
                <w:rFonts w:hint="eastAsia" w:cs="宋体" w:asciiTheme="minorEastAsia" w:hAnsiTheme="minorEastAsia"/>
                <w:b/>
                <w:bCs/>
                <w:sz w:val="24"/>
                <w:szCs w:val="24"/>
              </w:rPr>
              <w:t xml:space="preserve">数量（条）</w:t>
            </w:r>
            <w:r/>
          </w:p>
        </w:tc>
      </w:tr>
      <w:tr>
        <w:trPr>
          <w:jc w:val="center"/>
          <w:trHeight w:val="384"/>
        </w:trPr>
        <w:tc>
          <w:tcPr>
            <w:tcBorders>
              <w:top w:val="single" w:color="auto" w:sz="4" w:space="0"/>
              <w:left w:val="single" w:color="auto" w:sz="4" w:space="0"/>
              <w:bottom w:val="single" w:color="auto" w:sz="4" w:space="0"/>
              <w:right w:val="single" w:color="auto" w:sz="4" w:space="0"/>
            </w:tcBorders>
            <w:tcW w:w="89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357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三级网及传输设备</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13(主线路，含传输设备)</w:t>
            </w:r>
            <w:r/>
          </w:p>
        </w:tc>
      </w:tr>
      <w:tr>
        <w:trPr>
          <w:jc w:val="center"/>
          <w:trHeight w:val="471"/>
        </w:trPr>
        <w:tc>
          <w:tcPr>
            <w:tcBorders>
              <w:top w:val="single" w:color="auto" w:sz="4" w:space="0"/>
              <w:left w:val="single" w:color="auto" w:sz="4" w:space="0"/>
              <w:bottom w:val="single" w:color="auto" w:sz="4" w:space="0"/>
              <w:right w:val="single" w:color="auto" w:sz="4" w:space="0"/>
            </w:tcBorders>
            <w:tcW w:w="89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3574" w:type="dxa"/>
            <w:vAlign w:val="center"/>
            <w:vMerge w:val="restart"/>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四级网及传输设备</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115(线路，含传输设备)</w:t>
            </w:r>
            <w:r/>
          </w:p>
        </w:tc>
      </w:tr>
      <w:tr>
        <w:trPr>
          <w:jc w:val="center"/>
          <w:trHeight w:val="365"/>
        </w:trPr>
        <w:tc>
          <w:tcPr>
            <w:tcBorders>
              <w:top w:val="single" w:color="auto" w:sz="4" w:space="0"/>
              <w:left w:val="single" w:color="auto" w:sz="4" w:space="0"/>
              <w:bottom w:val="single" w:color="auto" w:sz="4" w:space="0"/>
              <w:right w:val="single" w:color="auto" w:sz="4" w:space="0"/>
            </w:tcBorders>
            <w:tcW w:w="89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3574" w:type="dxa"/>
            <w:vAlign w:val="center"/>
            <w:vMerge w:val="continue"/>
            <w:textDirection w:val="lrTb"/>
            <w:noWrap/>
          </w:tcPr>
          <w:p>
            <w:pPr>
              <w:spacing w:line="400" w:lineRule="exact"/>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17（裸纤）</w:t>
            </w:r>
            <w:r/>
          </w:p>
        </w:tc>
      </w:tr>
      <w:tr>
        <w:trPr>
          <w:jc w:val="center"/>
          <w:trHeight w:val="510"/>
        </w:trPr>
        <w:tc>
          <w:tcPr>
            <w:tcBorders>
              <w:top w:val="single" w:color="auto" w:sz="4" w:space="0"/>
              <w:left w:val="single" w:color="auto" w:sz="4" w:space="0"/>
              <w:bottom w:val="single" w:color="auto" w:sz="4" w:space="0"/>
              <w:right w:val="single" w:color="auto" w:sz="4" w:space="0"/>
            </w:tcBorders>
            <w:tcW w:w="89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4</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57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智能交通监控点专网</w:t>
            </w:r>
            <w:r/>
          </w:p>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（含传输设备和机房设备托管服务）</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923"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354（裸纤，含传输设备和机房设备托管）</w:t>
            </w:r>
            <w:r/>
          </w:p>
        </w:tc>
      </w:tr>
      <w:tr>
        <w:trPr>
          <w:jc w:val="center"/>
          <w:trHeight w:val="510"/>
        </w:trPr>
        <w:tc>
          <w:tcPr>
            <w:tcBorders>
              <w:top w:val="single" w:color="auto" w:sz="4" w:space="0"/>
              <w:left w:val="single" w:color="auto" w:sz="4" w:space="0"/>
              <w:bottom w:val="single" w:color="auto" w:sz="4" w:space="0"/>
              <w:right w:val="single" w:color="auto" w:sz="4" w:space="0"/>
            </w:tcBorders>
            <w:tcW w:w="89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357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互联网专线(50M)及IPv4公网IP</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7</w:t>
            </w:r>
            <w:r/>
          </w:p>
        </w:tc>
      </w:tr>
      <w:tr>
        <w:trPr>
          <w:jc w:val="center"/>
          <w:trHeight w:val="627"/>
        </w:trPr>
        <w:tc>
          <w:tcPr>
            <w:tcBorders>
              <w:top w:val="single" w:color="auto" w:sz="4" w:space="0"/>
              <w:left w:val="single" w:color="auto" w:sz="4" w:space="0"/>
              <w:bottom w:val="single" w:color="auto" w:sz="4" w:space="0"/>
              <w:right w:val="single" w:color="auto" w:sz="4" w:space="0"/>
            </w:tcBorders>
            <w:tcW w:w="89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6</w:t>
            </w:r>
            <w:r/>
          </w:p>
        </w:tc>
        <w:tc>
          <w:tcPr>
            <w:tcBorders>
              <w:top w:val="single" w:color="auto" w:sz="4" w:space="0"/>
              <w:left w:val="single" w:color="auto" w:sz="4" w:space="0"/>
              <w:bottom w:val="single" w:color="auto" w:sz="4" w:space="0"/>
              <w:right w:val="single" w:color="auto" w:sz="4" w:space="0"/>
            </w:tcBorders>
            <w:tcW w:w="3574" w:type="dxa"/>
            <w:vAlign w:val="center"/>
            <w:textDirection w:val="lrTb"/>
            <w:noWrap/>
          </w:tcPr>
          <w:p>
            <w:pPr>
              <w:jc w:val="center"/>
              <w:spacing w:line="400" w:lineRule="exact"/>
              <w:rPr>
                <w:rFonts w:hint="eastAsia" w:cs="宋体" w:asciiTheme="minorEastAsia" w:hAnsiTheme="minorEastAsia"/>
                <w:sz w:val="24"/>
                <w:szCs w:val="24"/>
              </w:rPr>
            </w:pPr>
            <w:r>
              <w:rPr>
                <w:rFonts w:hint="eastAsia" w:cs="宋体" w:asciiTheme="minorEastAsia" w:hAnsiTheme="minorEastAsia"/>
                <w:sz w:val="24"/>
                <w:szCs w:val="24"/>
              </w:rPr>
              <w:t xml:space="preserve">互联网专线(100M)及IPv4公网IP</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18</w:t>
            </w:r>
            <w:r/>
          </w:p>
        </w:tc>
      </w:tr>
      <w:tr>
        <w:trPr>
          <w:jc w:val="center"/>
          <w:trHeight w:val="387"/>
        </w:trPr>
        <w:tc>
          <w:tcPr>
            <w:tcBorders>
              <w:top w:val="single" w:color="auto" w:sz="4" w:space="0"/>
              <w:left w:val="single" w:color="auto" w:sz="4" w:space="0"/>
              <w:right w:val="single" w:color="auto" w:sz="4" w:space="0"/>
            </w:tcBorders>
            <w:tcW w:w="894" w:type="dxa"/>
            <w:vAlign w:val="center"/>
            <w:vMerge w:val="restart"/>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7</w:t>
            </w:r>
            <w:r/>
          </w:p>
        </w:tc>
        <w:tc>
          <w:tcPr>
            <w:tcBorders>
              <w:top w:val="single" w:color="auto" w:sz="4" w:space="0"/>
              <w:left w:val="single" w:color="auto" w:sz="4" w:space="0"/>
              <w:right w:val="single" w:color="auto" w:sz="4" w:space="0"/>
            </w:tcBorders>
            <w:tcW w:w="3574" w:type="dxa"/>
            <w:vAlign w:val="center"/>
            <w:vMerge w:val="restart"/>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数字电路</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11（市内线路）</w:t>
            </w:r>
            <w:r/>
          </w:p>
        </w:tc>
      </w:tr>
      <w:tr>
        <w:trPr>
          <w:jc w:val="center"/>
          <w:trHeight w:val="387"/>
        </w:trPr>
        <w:tc>
          <w:tcPr>
            <w:tcBorders>
              <w:left w:val="single" w:color="auto" w:sz="4" w:space="0"/>
              <w:right w:val="single" w:color="auto" w:sz="4" w:space="0"/>
            </w:tcBorders>
            <w:tcW w:w="894" w:type="dxa"/>
            <w:vAlign w:val="center"/>
            <w:vMerge w:val="continue"/>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left w:val="single" w:color="auto" w:sz="4" w:space="0"/>
              <w:right w:val="single" w:color="auto" w:sz="4" w:space="0"/>
            </w:tcBorders>
            <w:tcW w:w="3574" w:type="dxa"/>
            <w:vAlign w:val="center"/>
            <w:vMerge w:val="continue"/>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1（省市线路）</w:t>
            </w:r>
            <w:r/>
          </w:p>
        </w:tc>
      </w:tr>
      <w:tr>
        <w:trPr>
          <w:jc w:val="center"/>
          <w:trHeight w:val="510"/>
        </w:trPr>
        <w:tc>
          <w:tcPr>
            <w:tcBorders>
              <w:top w:val="single" w:color="auto" w:sz="4" w:space="0"/>
              <w:left w:val="single" w:color="auto" w:sz="4" w:space="0"/>
              <w:bottom w:val="single" w:color="auto" w:sz="4" w:space="0"/>
              <w:right w:val="single" w:color="auto" w:sz="4" w:space="0"/>
            </w:tcBorders>
            <w:tcW w:w="89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8</w:t>
            </w:r>
            <w:r/>
          </w:p>
        </w:tc>
        <w:tc>
          <w:tcPr>
            <w:tcBorders>
              <w:top w:val="single" w:color="auto" w:sz="4" w:space="0"/>
              <w:left w:val="single" w:color="auto" w:sz="4" w:space="0"/>
              <w:bottom w:val="single" w:color="auto" w:sz="4" w:space="0"/>
              <w:right w:val="single" w:color="auto" w:sz="4" w:space="0"/>
            </w:tcBorders>
            <w:tcW w:w="357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电子政务网接入</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6</w:t>
            </w:r>
            <w:r/>
          </w:p>
        </w:tc>
      </w:tr>
      <w:tr>
        <w:trPr>
          <w:jc w:val="center"/>
          <w:trHeight w:val="510"/>
        </w:trPr>
        <w:tc>
          <w:tcPr>
            <w:tcBorders>
              <w:top w:val="single" w:color="auto" w:sz="4" w:space="0"/>
              <w:left w:val="single" w:color="auto" w:sz="4" w:space="0"/>
              <w:bottom w:val="single" w:color="auto" w:sz="4" w:space="0"/>
              <w:right w:val="single" w:color="auto" w:sz="4" w:space="0"/>
            </w:tcBorders>
            <w:tcW w:w="89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9</w:t>
            </w:r>
            <w:r/>
          </w:p>
        </w:tc>
        <w:tc>
          <w:tcPr>
            <w:tcBorders>
              <w:top w:val="single" w:color="auto" w:sz="4" w:space="0"/>
              <w:left w:val="single" w:color="auto" w:sz="4" w:space="0"/>
              <w:right w:val="single" w:color="auto" w:sz="4" w:space="0"/>
            </w:tcBorders>
            <w:tcW w:w="3574" w:type="dxa"/>
            <w:vAlign w:val="center"/>
            <w:vMerge w:val="restart"/>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业务专线</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5（纯线路，裸纤）</w:t>
            </w:r>
            <w:r/>
          </w:p>
        </w:tc>
      </w:tr>
      <w:tr>
        <w:trPr>
          <w:jc w:val="center"/>
          <w:trHeight w:val="510"/>
        </w:trPr>
        <w:tc>
          <w:tcPr>
            <w:tcBorders>
              <w:top w:val="single" w:color="auto" w:sz="4" w:space="0"/>
              <w:left w:val="single" w:color="auto" w:sz="4" w:space="0"/>
              <w:bottom w:val="single" w:color="auto" w:sz="4" w:space="0"/>
              <w:right w:val="single" w:color="auto" w:sz="4" w:space="0"/>
            </w:tcBorders>
            <w:tcW w:w="89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10</w:t>
            </w:r>
            <w:r/>
          </w:p>
        </w:tc>
        <w:tc>
          <w:tcPr>
            <w:tcBorders>
              <w:left w:val="single" w:color="auto" w:sz="4" w:space="0"/>
              <w:bottom w:val="single" w:color="auto" w:sz="4" w:space="0"/>
              <w:right w:val="single" w:color="auto" w:sz="4" w:space="0"/>
            </w:tcBorders>
            <w:tcW w:w="3574" w:type="dxa"/>
            <w:vAlign w:val="center"/>
            <w:vMerge w:val="continue"/>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3（拨号）</w:t>
            </w:r>
            <w:r/>
          </w:p>
        </w:tc>
      </w:tr>
      <w:tr>
        <w:trPr>
          <w:jc w:val="center"/>
          <w:trHeight w:val="510"/>
        </w:trPr>
        <w:tc>
          <w:tcPr>
            <w:tcBorders>
              <w:top w:val="single" w:color="auto" w:sz="4" w:space="0"/>
              <w:left w:val="single" w:color="auto" w:sz="4" w:space="0"/>
              <w:bottom w:val="single" w:color="auto" w:sz="4" w:space="0"/>
              <w:right w:val="single" w:color="auto" w:sz="4" w:space="0"/>
            </w:tcBorders>
            <w:tcW w:w="89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11</w:t>
            </w:r>
            <w:r/>
          </w:p>
        </w:tc>
        <w:tc>
          <w:tcPr>
            <w:tcBorders>
              <w:top w:val="single" w:color="auto" w:sz="4" w:space="0"/>
              <w:left w:val="single" w:color="auto" w:sz="4" w:space="0"/>
              <w:bottom w:val="single" w:color="auto" w:sz="4" w:space="0"/>
              <w:right w:val="single" w:color="auto" w:sz="4" w:space="0"/>
            </w:tcBorders>
            <w:tcW w:w="357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4G图传VPN电路</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4</w:t>
            </w:r>
            <w:r/>
          </w:p>
        </w:tc>
      </w:tr>
      <w:tr>
        <w:trPr>
          <w:jc w:val="center"/>
          <w:trHeight w:val="510"/>
        </w:trPr>
        <w:tc>
          <w:tcPr>
            <w:tcBorders>
              <w:top w:val="single" w:color="auto" w:sz="4" w:space="0"/>
              <w:left w:val="single" w:color="auto" w:sz="4" w:space="0"/>
              <w:bottom w:val="single" w:color="auto" w:sz="4" w:space="0"/>
              <w:right w:val="single" w:color="auto" w:sz="4" w:space="0"/>
            </w:tcBorders>
            <w:tcW w:w="89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12</w:t>
            </w:r>
            <w:r/>
          </w:p>
        </w:tc>
        <w:tc>
          <w:tcPr>
            <w:tcBorders>
              <w:left w:val="single" w:color="auto" w:sz="4" w:space="0"/>
              <w:bottom w:val="single" w:color="auto" w:sz="4" w:space="0"/>
              <w:right w:val="single" w:color="auto" w:sz="4" w:space="0"/>
            </w:tcBorders>
            <w:tcW w:w="357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机柜</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2</w:t>
            </w:r>
            <w:r/>
          </w:p>
        </w:tc>
      </w:tr>
      <w:tr>
        <w:trPr>
          <w:jc w:val="center"/>
          <w:trHeight w:val="379"/>
        </w:trPr>
        <w:tc>
          <w:tcPr>
            <w:tcBorders>
              <w:top w:val="single" w:color="auto" w:sz="4" w:space="0"/>
              <w:left w:val="single" w:color="auto" w:sz="4" w:space="0"/>
              <w:bottom w:val="single" w:color="auto" w:sz="4" w:space="0"/>
              <w:right w:val="single" w:color="auto" w:sz="4" w:space="0"/>
            </w:tcBorders>
            <w:tcW w:w="89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13</w:t>
            </w:r>
            <w:r/>
          </w:p>
        </w:tc>
        <w:tc>
          <w:tcPr>
            <w:tcBorders>
              <w:top w:val="single" w:color="auto" w:sz="4" w:space="0"/>
              <w:left w:val="single" w:color="auto" w:sz="4" w:space="0"/>
              <w:right w:val="single" w:color="auto" w:sz="4" w:space="0"/>
            </w:tcBorders>
            <w:tcW w:w="357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4G图传流量卡</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1（800G流量池，273</w:t>
            </w:r>
            <w:r>
              <w:rPr>
                <w:rFonts w:hint="eastAsia" w:cs="宋体" w:asciiTheme="minorEastAsia" w:hAnsiTheme="minorEastAsia"/>
                <w:sz w:val="24"/>
                <w:szCs w:val="24"/>
                <w:lang w:val="en-US" w:eastAsia="zh-CN"/>
              </w:rPr>
              <w:t xml:space="preserve">张卡</w:t>
            </w:r>
            <w:r>
              <w:rPr>
                <w:rFonts w:hint="eastAsia" w:cs="宋体" w:asciiTheme="minorEastAsia" w:hAnsiTheme="minorEastAsia"/>
                <w:sz w:val="24"/>
                <w:szCs w:val="24"/>
              </w:rPr>
              <w:t xml:space="preserve">）</w:t>
            </w:r>
            <w:r/>
          </w:p>
        </w:tc>
      </w:tr>
      <w:tr>
        <w:trPr>
          <w:jc w:val="center"/>
          <w:trHeight w:val="510"/>
        </w:trPr>
        <w:tc>
          <w:tcPr>
            <w:tcBorders>
              <w:top w:val="single" w:color="auto" w:sz="4" w:space="0"/>
              <w:left w:val="single" w:color="auto" w:sz="4" w:space="0"/>
              <w:bottom w:val="single" w:color="auto" w:sz="4" w:space="0"/>
              <w:right w:val="single" w:color="auto" w:sz="4" w:space="0"/>
            </w:tcBorders>
            <w:tcW w:w="89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14</w:t>
            </w:r>
            <w:r/>
          </w:p>
        </w:tc>
        <w:tc>
          <w:tcPr>
            <w:tcBorders>
              <w:top w:val="single" w:color="auto" w:sz="4" w:space="0"/>
              <w:left w:val="single" w:color="auto" w:sz="4" w:space="0"/>
              <w:bottom w:val="single" w:color="auto" w:sz="4" w:space="0"/>
              <w:right w:val="single" w:color="auto" w:sz="4" w:space="0"/>
            </w:tcBorders>
            <w:tcW w:w="357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业务流量卡</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4</w:t>
            </w:r>
            <w:r/>
          </w:p>
        </w:tc>
      </w:tr>
      <w:tr>
        <w:trPr>
          <w:jc w:val="center"/>
          <w:trHeight w:val="510"/>
        </w:trPr>
        <w:tc>
          <w:tcPr>
            <w:tcBorders>
              <w:top w:val="single" w:color="auto" w:sz="4" w:space="0"/>
              <w:left w:val="single" w:color="auto" w:sz="4" w:space="0"/>
              <w:bottom w:val="single" w:color="auto" w:sz="4" w:space="0"/>
              <w:right w:val="single" w:color="auto" w:sz="4" w:space="0"/>
            </w:tcBorders>
            <w:tcW w:w="89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15</w:t>
            </w:r>
            <w:r/>
          </w:p>
        </w:tc>
        <w:tc>
          <w:tcPr>
            <w:tcBorders>
              <w:top w:val="single" w:color="auto" w:sz="4" w:space="0"/>
              <w:left w:val="single" w:color="auto" w:sz="4" w:space="0"/>
              <w:bottom w:val="single" w:color="auto" w:sz="4" w:space="0"/>
              <w:right w:val="single" w:color="auto" w:sz="4" w:space="0"/>
            </w:tcBorders>
            <w:tcW w:w="357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业务手机卡</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1</w:t>
            </w:r>
            <w:r/>
          </w:p>
        </w:tc>
      </w:tr>
      <w:tr>
        <w:trPr>
          <w:jc w:val="center"/>
          <w:trHeight w:val="510"/>
        </w:trPr>
        <w:tc>
          <w:tcPr>
            <w:tcBorders>
              <w:top w:val="single" w:color="auto" w:sz="4" w:space="0"/>
              <w:left w:val="single" w:color="auto" w:sz="4" w:space="0"/>
              <w:bottom w:val="single" w:color="auto" w:sz="4" w:space="0"/>
              <w:right w:val="single" w:color="auto" w:sz="4" w:space="0"/>
            </w:tcBorders>
            <w:tcW w:w="89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16</w:t>
            </w:r>
            <w:r/>
          </w:p>
        </w:tc>
        <w:tc>
          <w:tcPr>
            <w:tcBorders>
              <w:top w:val="single" w:color="auto" w:sz="4" w:space="0"/>
              <w:left w:val="single" w:color="auto" w:sz="4" w:space="0"/>
              <w:bottom w:val="single" w:color="auto" w:sz="4" w:space="0"/>
              <w:right w:val="single" w:color="auto" w:sz="4" w:space="0"/>
            </w:tcBorders>
            <w:tcW w:w="357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拘留所ITV</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15</w:t>
            </w:r>
            <w:r/>
          </w:p>
        </w:tc>
      </w:tr>
      <w:tr>
        <w:trPr>
          <w:jc w:val="center"/>
          <w:trHeight w:val="510"/>
        </w:trPr>
        <w:tc>
          <w:tcPr>
            <w:tcBorders>
              <w:top w:val="single" w:color="auto" w:sz="4" w:space="0"/>
              <w:left w:val="single" w:color="auto" w:sz="4" w:space="0"/>
              <w:bottom w:val="single" w:color="auto" w:sz="4" w:space="0"/>
              <w:right w:val="single" w:color="auto" w:sz="4" w:space="0"/>
            </w:tcBorders>
            <w:tcW w:w="89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17</w:t>
            </w:r>
            <w:r/>
          </w:p>
        </w:tc>
        <w:tc>
          <w:tcPr>
            <w:tcBorders>
              <w:top w:val="single" w:color="auto" w:sz="4" w:space="0"/>
              <w:left w:val="single" w:color="auto" w:sz="4" w:space="0"/>
              <w:right w:val="single" w:color="auto" w:sz="4" w:space="0"/>
            </w:tcBorders>
            <w:tcW w:w="357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交警12123短信</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48万条/月</w:t>
            </w:r>
            <w:r/>
          </w:p>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（每月按实际发送量结算）</w:t>
            </w:r>
            <w:r/>
          </w:p>
        </w:tc>
      </w:tr>
      <w:tr>
        <w:trPr>
          <w:jc w:val="center"/>
          <w:trHeight w:val="510"/>
        </w:trPr>
        <w:tc>
          <w:tcPr>
            <w:tcBorders>
              <w:top w:val="single" w:color="auto" w:sz="4" w:space="0"/>
              <w:left w:val="single" w:color="auto" w:sz="4" w:space="0"/>
              <w:bottom w:val="single" w:color="auto" w:sz="4" w:space="0"/>
              <w:right w:val="single" w:color="auto" w:sz="4" w:space="0"/>
            </w:tcBorders>
            <w:tcW w:w="89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18</w:t>
            </w:r>
            <w:r/>
          </w:p>
        </w:tc>
        <w:tc>
          <w:tcPr>
            <w:tcBorders>
              <w:top w:val="single" w:color="auto" w:sz="4" w:space="0"/>
              <w:left w:val="single" w:color="auto" w:sz="4" w:space="0"/>
              <w:bottom w:val="single" w:color="auto" w:sz="4" w:space="0"/>
              <w:right w:val="single" w:color="auto" w:sz="4" w:space="0"/>
            </w:tcBorders>
            <w:tcW w:w="357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IP地址</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24</w:t>
            </w:r>
            <w:r/>
          </w:p>
        </w:tc>
      </w:tr>
      <w:tr>
        <w:trPr>
          <w:jc w:val="center"/>
          <w:trHeight w:val="510"/>
        </w:trPr>
        <w:tc>
          <w:tcPr>
            <w:tcBorders>
              <w:top w:val="single" w:color="auto" w:sz="4" w:space="0"/>
              <w:left w:val="single" w:color="auto" w:sz="4" w:space="0"/>
              <w:bottom w:val="single" w:color="auto" w:sz="4" w:space="0"/>
              <w:right w:val="single" w:color="auto" w:sz="4" w:space="0"/>
            </w:tcBorders>
            <w:tcW w:w="89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19</w:t>
            </w:r>
            <w:r/>
          </w:p>
        </w:tc>
        <w:tc>
          <w:tcPr>
            <w:tcBorders>
              <w:top w:val="single" w:color="auto" w:sz="4" w:space="0"/>
              <w:left w:val="single" w:color="auto" w:sz="4" w:space="0"/>
              <w:bottom w:val="single" w:color="auto" w:sz="4" w:space="0"/>
              <w:right w:val="single" w:color="auto" w:sz="4" w:space="0"/>
            </w:tcBorders>
            <w:tcW w:w="357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96110反诈短信</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15万条/月</w:t>
            </w:r>
            <w:r/>
          </w:p>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（每月按实际发送量结算）</w:t>
            </w:r>
            <w:r/>
          </w:p>
        </w:tc>
      </w:tr>
      <w:tr>
        <w:trPr>
          <w:jc w:val="center"/>
          <w:trHeight w:val="510"/>
        </w:trPr>
        <w:tc>
          <w:tcPr>
            <w:tcBorders>
              <w:top w:val="single" w:color="auto" w:sz="4" w:space="0"/>
              <w:left w:val="single" w:color="auto" w:sz="4" w:space="0"/>
              <w:bottom w:val="single" w:color="auto" w:sz="4" w:space="0"/>
              <w:right w:val="single" w:color="auto" w:sz="4" w:space="0"/>
            </w:tcBorders>
            <w:tcW w:w="89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20</w:t>
            </w:r>
            <w:r/>
          </w:p>
        </w:tc>
        <w:tc>
          <w:tcPr>
            <w:tcBorders>
              <w:top w:val="single" w:color="auto" w:sz="4" w:space="0"/>
              <w:left w:val="single" w:color="auto" w:sz="4" w:space="0"/>
              <w:bottom w:val="single" w:color="auto" w:sz="4" w:space="0"/>
              <w:right w:val="single" w:color="auto" w:sz="4" w:space="0"/>
            </w:tcBorders>
            <w:tcW w:w="3574"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综合管控平台</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jc w:val="center"/>
              <w:spacing w:line="40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1</w:t>
            </w:r>
            <w:r/>
          </w:p>
        </w:tc>
      </w:tr>
    </w:tbl>
    <w:p>
      <w:pPr>
        <w:ind w:firstLine="420"/>
        <w:spacing w:line="360" w:lineRule="auto"/>
        <w:rPr>
          <w:rFonts w:hint="eastAsia" w:asciiTheme="minorEastAsia" w:hAnsiTheme="minorEastAsia"/>
          <w:sz w:val="24"/>
        </w:rPr>
      </w:pPr>
      <w:r>
        <w:rPr>
          <w:rFonts w:hint="eastAsia" w:asciiTheme="minorEastAsia" w:hAnsiTheme="minorEastAsia"/>
          <w:b/>
          <w:sz w:val="24"/>
        </w:rPr>
        <w:t xml:space="preserve">1.2三、四级网及传输设备配备要求</w:t>
      </w:r>
      <w:r/>
    </w:p>
    <w:p>
      <w:pPr>
        <w:ind w:firstLine="480"/>
        <w:spacing w:line="360" w:lineRule="auto"/>
        <w:rPr>
          <w:rFonts w:hint="eastAsia" w:asciiTheme="minorEastAsia" w:hAnsiTheme="minorEastAsia"/>
          <w:sz w:val="24"/>
        </w:rPr>
      </w:pPr>
      <w:r>
        <w:rPr>
          <w:rFonts w:hint="eastAsia" w:asciiTheme="minorEastAsia" w:hAnsiTheme="minorEastAsia"/>
          <w:sz w:val="24"/>
        </w:rPr>
        <w:t xml:space="preserve">总体指标和要求：“带宽和传输链路”为“专用专享”，满足省公安厅公安内部组网技术要求的“物理隔离”线路，设备具有双路由保护功能，满足在单路由阻断的情况下的业务自动倒换恢复。三、四级网需与省厅二级网对接联调，确保业务畅通。</w:t>
      </w:r>
      <w:r/>
    </w:p>
    <w:p>
      <w:pPr>
        <w:ind w:firstLine="482"/>
        <w:spacing w:line="400" w:lineRule="exact"/>
        <w:rPr>
          <w:rFonts w:hint="eastAsia" w:ascii="宋体" w:hAnsi="宋体" w:eastAsia="宋体"/>
          <w:b/>
          <w:bCs/>
          <w:sz w:val="24"/>
          <w:szCs w:val="24"/>
        </w:rPr>
      </w:pPr>
      <w:r>
        <w:rPr>
          <w:rFonts w:hint="eastAsia" w:ascii="宋体" w:hAnsi="宋体" w:eastAsia="宋体"/>
          <w:b/>
          <w:bCs/>
          <w:sz w:val="24"/>
          <w:szCs w:val="24"/>
        </w:rPr>
        <w:t xml:space="preserve">1.2.1公安三级网传送网设备技术指标</w:t>
      </w:r>
      <w:r/>
    </w:p>
    <w:p>
      <w:pPr>
        <w:pStyle w:val="900"/>
        <w:ind w:firstLine="482"/>
        <w:spacing w:line="360" w:lineRule="auto"/>
        <w:rPr>
          <w:rFonts w:hint="eastAsia" w:ascii="宋体" w:hAnsi="宋体"/>
          <w:b/>
          <w:bCs/>
          <w:sz w:val="24"/>
        </w:rPr>
      </w:pPr>
      <w:r>
        <w:rPr>
          <w:rFonts w:hint="eastAsia" w:ascii="宋体" w:hAnsi="宋体"/>
          <w:b/>
          <w:bCs/>
          <w:sz w:val="24"/>
        </w:rPr>
        <w:t xml:space="preserve">1.2.1.1性能指标</w:t>
      </w:r>
      <w:r/>
    </w:p>
    <w:tbl>
      <w:tblPr>
        <w:tblStyle w:val="842"/>
        <w:tblW w:w="8430"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65"/>
        <w:gridCol w:w="6365"/>
      </w:tblGrid>
      <w:tr>
        <w:trPr/>
        <w:tc>
          <w:tcPr>
            <w:tcW w:w="2065" w:type="dxa"/>
            <w:vAlign w:val="center"/>
            <w:textDirection w:val="lrTb"/>
            <w:noWrap w:val="false"/>
          </w:tcPr>
          <w:p>
            <w:pPr>
              <w:pStyle w:val="900"/>
              <w:jc w:val="center"/>
              <w:spacing w:line="360" w:lineRule="auto"/>
              <w:rPr>
                <w:rFonts w:hint="eastAsia" w:ascii="宋体" w:hAnsi="宋体" w:cs="宋体"/>
                <w:b/>
                <w:bCs/>
                <w:sz w:val="24"/>
              </w:rPr>
            </w:pPr>
            <w:r>
              <w:rPr>
                <w:rFonts w:hint="eastAsia" w:ascii="宋体" w:hAnsi="宋体" w:cs="宋体"/>
                <w:b/>
                <w:bCs/>
                <w:sz w:val="24"/>
              </w:rPr>
              <w:t xml:space="preserve">传送网设备功能</w:t>
            </w:r>
            <w:r/>
          </w:p>
          <w:p>
            <w:pPr>
              <w:pStyle w:val="900"/>
              <w:jc w:val="center"/>
              <w:spacing w:line="360" w:lineRule="auto"/>
              <w:rPr>
                <w:rFonts w:hint="eastAsia" w:ascii="宋体" w:hAnsi="宋体" w:cs="宋体"/>
                <w:b/>
                <w:bCs/>
                <w:sz w:val="24"/>
              </w:rPr>
            </w:pPr>
            <w:r>
              <w:rPr>
                <w:rFonts w:hint="eastAsia" w:ascii="宋体" w:hAnsi="宋体" w:cs="宋体"/>
                <w:b/>
                <w:bCs/>
                <w:sz w:val="24"/>
              </w:rPr>
              <w:t xml:space="preserve">（基础要求）</w:t>
            </w:r>
            <w:r/>
          </w:p>
        </w:tc>
        <w:tc>
          <w:tcPr>
            <w:tcW w:w="6365" w:type="dxa"/>
            <w:vAlign w:val="center"/>
            <w:textDirection w:val="lrTb"/>
            <w:noWrap w:val="false"/>
          </w:tcPr>
          <w:p>
            <w:pPr>
              <w:pStyle w:val="900"/>
              <w:jc w:val="center"/>
              <w:spacing w:line="360" w:lineRule="auto"/>
              <w:rPr>
                <w:rFonts w:hint="eastAsia" w:ascii="宋体" w:hAnsi="宋体" w:cs="宋体"/>
                <w:b/>
                <w:bCs/>
                <w:sz w:val="24"/>
              </w:rPr>
            </w:pPr>
            <w:r>
              <w:rPr>
                <w:rFonts w:hint="eastAsia" w:ascii="宋体" w:hAnsi="宋体" w:cs="宋体"/>
                <w:b/>
                <w:bCs/>
                <w:sz w:val="24"/>
              </w:rPr>
              <w:t xml:space="preserve">参数要求</w:t>
            </w:r>
            <w:r/>
          </w:p>
        </w:tc>
      </w:tr>
      <w:tr>
        <w:trPr/>
        <w:tc>
          <w:tcPr>
            <w:tcW w:w="2065" w:type="dxa"/>
            <w:vAlign w:val="center"/>
            <w:textDirection w:val="lrTb"/>
            <w:noWrap w:val="false"/>
          </w:tcPr>
          <w:p>
            <w:pPr>
              <w:pStyle w:val="900"/>
              <w:jc w:val="center"/>
              <w:spacing w:line="360" w:lineRule="auto"/>
              <w:rPr>
                <w:rFonts w:hint="eastAsia" w:ascii="宋体" w:hAnsi="宋体" w:cs="宋体"/>
                <w:b/>
                <w:bCs/>
                <w:sz w:val="24"/>
              </w:rPr>
            </w:pPr>
            <w:r>
              <w:rPr>
                <w:rFonts w:hint="eastAsia" w:ascii="宋体" w:hAnsi="宋体" w:cs="宋体"/>
                <w:b/>
                <w:bCs/>
                <w:sz w:val="24"/>
              </w:rPr>
              <w:t xml:space="preserve">功耗</w:t>
            </w:r>
            <w:r/>
          </w:p>
        </w:tc>
        <w:tc>
          <w:tcPr>
            <w:tcW w:w="6365" w:type="dxa"/>
            <w:vAlign w:val="center"/>
            <w:textDirection w:val="lrTb"/>
            <w:noWrap w:val="false"/>
          </w:tcPr>
          <w:p>
            <w:pPr>
              <w:pStyle w:val="900"/>
              <w:spacing w:line="360" w:lineRule="auto"/>
              <w:rPr>
                <w:rFonts w:hint="eastAsia" w:ascii="宋体" w:hAnsi="宋体" w:cs="宋体"/>
                <w:b/>
                <w:bCs/>
                <w:sz w:val="24"/>
              </w:rPr>
            </w:pPr>
            <w:r>
              <w:rPr>
                <w:rFonts w:hint="eastAsia" w:ascii="宋体" w:hAnsi="宋体" w:cs="宋体"/>
                <w:sz w:val="24"/>
              </w:rPr>
              <w:t xml:space="preserve">整机功耗：集中式机框≦800W</w:t>
            </w:r>
            <w:r/>
          </w:p>
        </w:tc>
      </w:tr>
      <w:tr>
        <w:trPr/>
        <w:tc>
          <w:tcPr>
            <w:tcW w:w="2065" w:type="dxa"/>
            <w:vAlign w:val="center"/>
            <w:textDirection w:val="lrTb"/>
            <w:noWrap w:val="false"/>
          </w:tcPr>
          <w:p>
            <w:pPr>
              <w:pStyle w:val="900"/>
              <w:jc w:val="center"/>
              <w:spacing w:line="360" w:lineRule="auto"/>
              <w:rPr>
                <w:rFonts w:hint="eastAsia" w:ascii="宋体" w:hAnsi="宋体" w:cs="宋体"/>
                <w:b/>
                <w:bCs/>
                <w:sz w:val="24"/>
              </w:rPr>
            </w:pPr>
            <w:r>
              <w:rPr>
                <w:rFonts w:hint="eastAsia" w:ascii="宋体" w:hAnsi="宋体" w:cs="宋体"/>
                <w:b/>
                <w:bCs/>
                <w:sz w:val="24"/>
              </w:rPr>
              <w:t xml:space="preserve">冗余功能</w:t>
            </w:r>
            <w:r/>
          </w:p>
        </w:tc>
        <w:tc>
          <w:tcPr>
            <w:tcW w:w="6365" w:type="dxa"/>
            <w:vAlign w:val="center"/>
            <w:textDirection w:val="lrTb"/>
            <w:noWrap w:val="false"/>
          </w:tcPr>
          <w:p>
            <w:pPr>
              <w:pStyle w:val="900"/>
              <w:spacing w:line="360" w:lineRule="auto"/>
              <w:rPr>
                <w:rFonts w:hint="eastAsia" w:ascii="宋体" w:hAnsi="宋体" w:cs="宋体"/>
                <w:b/>
                <w:bCs/>
                <w:sz w:val="24"/>
              </w:rPr>
            </w:pPr>
            <w:r>
              <w:rPr>
                <w:rFonts w:hint="eastAsia" w:ascii="宋体" w:hAnsi="宋体" w:cs="宋体"/>
                <w:sz w:val="24"/>
              </w:rPr>
              <w:t xml:space="preserve">双电源冗余备份，可以支持直流电源或者220V交流电源</w:t>
            </w:r>
            <w:r/>
          </w:p>
        </w:tc>
      </w:tr>
      <w:tr>
        <w:trPr>
          <w:trHeight w:val="468"/>
        </w:trPr>
        <w:tc>
          <w:tcPr>
            <w:tcW w:w="2065" w:type="dxa"/>
            <w:vAlign w:val="center"/>
            <w:textDirection w:val="lrTb"/>
            <w:noWrap w:val="false"/>
          </w:tcPr>
          <w:p>
            <w:pPr>
              <w:pStyle w:val="900"/>
              <w:jc w:val="center"/>
              <w:spacing w:line="360" w:lineRule="auto"/>
              <w:rPr>
                <w:rFonts w:hint="eastAsia" w:ascii="宋体" w:hAnsi="宋体" w:cs="宋体"/>
                <w:b/>
                <w:bCs/>
                <w:sz w:val="24"/>
              </w:rPr>
            </w:pPr>
            <w:r>
              <w:rPr>
                <w:rFonts w:hint="eastAsia" w:ascii="宋体" w:hAnsi="宋体" w:cs="宋体"/>
                <w:b/>
                <w:bCs/>
                <w:sz w:val="24"/>
              </w:rPr>
              <w:t xml:space="preserve">环境适应</w:t>
            </w:r>
            <w:r/>
          </w:p>
        </w:tc>
        <w:tc>
          <w:tcPr>
            <w:tcW w:w="6365" w:type="dxa"/>
            <w:vAlign w:val="center"/>
            <w:textDirection w:val="lrTb"/>
            <w:noWrap w:val="false"/>
          </w:tcPr>
          <w:p>
            <w:pPr>
              <w:pStyle w:val="900"/>
              <w:spacing w:line="360" w:lineRule="auto"/>
              <w:rPr>
                <w:rFonts w:hint="eastAsia" w:ascii="宋体" w:hAnsi="宋体" w:cs="宋体"/>
                <w:sz w:val="24"/>
              </w:rPr>
            </w:pPr>
            <w:r>
              <w:rPr>
                <w:rFonts w:hint="eastAsia" w:ascii="宋体" w:hAnsi="宋体" w:cs="宋体"/>
                <w:sz w:val="24"/>
              </w:rPr>
              <w:t xml:space="preserve">工作温度支持-5~50摄氏度</w:t>
            </w:r>
            <w:r/>
          </w:p>
        </w:tc>
      </w:tr>
      <w:tr>
        <w:trPr/>
        <w:tc>
          <w:tcPr>
            <w:tcW w:w="2065" w:type="dxa"/>
            <w:vAlign w:val="center"/>
            <w:textDirection w:val="lrTb"/>
            <w:noWrap w:val="false"/>
          </w:tcPr>
          <w:p>
            <w:pPr>
              <w:pStyle w:val="900"/>
              <w:jc w:val="center"/>
              <w:spacing w:line="360" w:lineRule="auto"/>
              <w:rPr>
                <w:rFonts w:hint="eastAsia" w:ascii="宋体" w:hAnsi="宋体" w:cs="宋体"/>
                <w:b/>
                <w:bCs/>
                <w:sz w:val="24"/>
              </w:rPr>
            </w:pPr>
            <w:r>
              <w:rPr>
                <w:rFonts w:hint="eastAsia" w:ascii="宋体" w:hAnsi="宋体" w:cs="宋体"/>
                <w:b/>
                <w:bCs/>
                <w:sz w:val="24"/>
              </w:rPr>
              <w:t xml:space="preserve">尺寸</w:t>
            </w:r>
            <w:r/>
          </w:p>
        </w:tc>
        <w:tc>
          <w:tcPr>
            <w:tcW w:w="6365" w:type="dxa"/>
            <w:vAlign w:val="center"/>
            <w:textDirection w:val="lrTb"/>
            <w:noWrap w:val="false"/>
          </w:tcPr>
          <w:p>
            <w:pPr>
              <w:pStyle w:val="900"/>
              <w:spacing w:line="360" w:lineRule="auto"/>
              <w:rPr>
                <w:rFonts w:hint="eastAsia" w:ascii="宋体" w:hAnsi="宋体" w:cs="宋体"/>
                <w:sz w:val="24"/>
              </w:rPr>
            </w:pPr>
            <w:r>
              <w:rPr>
                <w:rFonts w:hint="eastAsia" w:ascii="宋体" w:hAnsi="宋体" w:cs="宋体"/>
                <w:sz w:val="24"/>
              </w:rPr>
              <w:t xml:space="preserve">▲整机高度≤5U，最大可支持15个业务槽位。</w:t>
            </w:r>
            <w:r/>
          </w:p>
          <w:p>
            <w:pPr>
              <w:pStyle w:val="900"/>
              <w:spacing w:line="360" w:lineRule="auto"/>
              <w:rPr>
                <w:rFonts w:hint="eastAsia" w:ascii="宋体" w:hAnsi="宋体" w:cs="宋体"/>
                <w:sz w:val="24"/>
              </w:rPr>
            </w:pPr>
            <w:r>
              <w:rPr>
                <w:rFonts w:hint="eastAsia" w:ascii="宋体" w:hAnsi="宋体" w:cs="宋体"/>
                <w:b/>
                <w:bCs/>
                <w:sz w:val="24"/>
              </w:rPr>
              <w:t xml:space="preserve">（投标文件中提供产品彩页或说明书等相关证明材料加盖投标人公章，提供的证明材料须清晰体现上述技术参数</w:t>
            </w:r>
            <w:r>
              <w:rPr>
                <w:rFonts w:hint="eastAsia" w:ascii="宋体" w:hAnsi="宋体" w:cs="宋体"/>
                <w:b/>
                <w:bCs/>
                <w:color w:val="auto"/>
                <w:sz w:val="24"/>
              </w:rPr>
              <w:t xml:space="preserve">）</w:t>
            </w:r>
            <w:r/>
          </w:p>
        </w:tc>
      </w:tr>
    </w:tbl>
    <w:p>
      <w:pPr>
        <w:pStyle w:val="900"/>
        <w:ind w:firstLine="420"/>
        <w:spacing w:line="360" w:lineRule="auto"/>
        <w:rPr>
          <w:rFonts w:hint="eastAsia" w:ascii="宋体" w:hAnsi="宋体"/>
          <w:b/>
          <w:bCs/>
          <w:sz w:val="24"/>
        </w:rPr>
      </w:pPr>
      <w:r>
        <w:rPr>
          <w:rFonts w:hint="eastAsia" w:ascii="宋体" w:hAnsi="宋体"/>
          <w:b/>
          <w:bCs/>
          <w:sz w:val="24"/>
        </w:rPr>
        <w:t xml:space="preserve">1.2.1.2接入要求</w:t>
      </w:r>
      <w:r/>
    </w:p>
    <w:tbl>
      <w:tblPr>
        <w:tblStyle w:val="842"/>
        <w:tblW w:w="4944" w:type="pct"/>
        <w:tblInd w:w="42" w:type="dxa"/>
        <w:tblLayout w:type="fixed"/>
        <w:tblCellMar>
          <w:left w:w="108" w:type="dxa"/>
          <w:top w:w="0" w:type="dxa"/>
          <w:right w:w="108" w:type="dxa"/>
          <w:bottom w:w="0" w:type="dxa"/>
        </w:tblCellMar>
        <w:tblLook w:val="04A0" w:firstRow="1" w:lastRow="0" w:firstColumn="1" w:lastColumn="0" w:noHBand="0" w:noVBand="1"/>
      </w:tblPr>
      <w:tblGrid>
        <w:gridCol w:w="2113"/>
        <w:gridCol w:w="6314"/>
      </w:tblGrid>
      <w:tr>
        <w:trPr>
          <w:trHeight w:val="312"/>
        </w:trPr>
        <w:tc>
          <w:tcPr>
            <w:tcBorders>
              <w:top w:val="single" w:color="auto" w:sz="4" w:space="0"/>
              <w:left w:val="single" w:color="auto" w:sz="4" w:space="0"/>
              <w:bottom w:val="single" w:color="auto" w:sz="4" w:space="0"/>
              <w:right w:val="single" w:color="auto" w:sz="4" w:space="0"/>
            </w:tcBorders>
            <w:tcW w:w="1254" w:type="pct"/>
            <w:vAlign w:val="center"/>
            <w:textDirection w:val="lrTb"/>
            <w:noWrap/>
          </w:tcPr>
          <w:p>
            <w:pPr>
              <w:pStyle w:val="900"/>
              <w:jc w:val="center"/>
              <w:spacing w:line="360" w:lineRule="auto"/>
              <w:rPr>
                <w:rFonts w:hint="eastAsia" w:ascii="宋体" w:hAnsi="宋体" w:cs="宋体"/>
                <w:b/>
                <w:bCs/>
                <w:sz w:val="24"/>
              </w:rPr>
            </w:pPr>
            <w:r>
              <w:rPr>
                <w:rFonts w:hint="eastAsia" w:ascii="宋体" w:hAnsi="宋体" w:cs="宋体"/>
                <w:b/>
                <w:bCs/>
                <w:sz w:val="24"/>
              </w:rPr>
              <w:t xml:space="preserve">传送网设备功能</w:t>
            </w:r>
            <w:r/>
          </w:p>
          <w:p>
            <w:pPr>
              <w:pStyle w:val="900"/>
              <w:jc w:val="center"/>
              <w:spacing w:line="360" w:lineRule="auto"/>
              <w:rPr>
                <w:rFonts w:hint="eastAsia" w:ascii="宋体" w:hAnsi="宋体" w:cs="宋体"/>
                <w:b/>
                <w:bCs/>
                <w:sz w:val="24"/>
              </w:rPr>
            </w:pPr>
            <w:r>
              <w:rPr>
                <w:rFonts w:hint="eastAsia" w:ascii="宋体" w:hAnsi="宋体" w:cs="宋体"/>
                <w:b/>
                <w:bCs/>
                <w:sz w:val="24"/>
              </w:rPr>
              <w:t xml:space="preserve">（接入要求）</w:t>
            </w:r>
            <w:r/>
          </w:p>
        </w:tc>
        <w:tc>
          <w:tcPr>
            <w:tcBorders>
              <w:top w:val="single" w:color="auto" w:sz="4" w:space="0"/>
              <w:left w:val="none" w:color="000000" w:sz="4" w:space="0"/>
              <w:bottom w:val="single" w:color="auto" w:sz="4" w:space="0"/>
              <w:right w:val="single" w:color="auto" w:sz="4" w:space="0"/>
            </w:tcBorders>
            <w:tcW w:w="3745" w:type="pct"/>
            <w:vAlign w:val="center"/>
            <w:textDirection w:val="lrTb"/>
            <w:noWrap/>
          </w:tcPr>
          <w:p>
            <w:pPr>
              <w:pStyle w:val="900"/>
              <w:jc w:val="center"/>
              <w:spacing w:line="360" w:lineRule="auto"/>
              <w:rPr>
                <w:rFonts w:hint="eastAsia" w:ascii="宋体" w:hAnsi="宋体" w:cs="宋体"/>
                <w:b/>
                <w:bCs/>
                <w:sz w:val="24"/>
              </w:rPr>
            </w:pPr>
            <w:r>
              <w:rPr>
                <w:rFonts w:hint="eastAsia" w:ascii="宋体" w:hAnsi="宋体" w:cs="宋体"/>
                <w:b/>
                <w:bCs/>
                <w:sz w:val="24"/>
              </w:rPr>
              <w:t xml:space="preserve">详细参数</w:t>
            </w:r>
            <w:r/>
          </w:p>
        </w:tc>
      </w:tr>
      <w:tr>
        <w:trPr>
          <w:trHeight w:val="312"/>
        </w:trPr>
        <w:tc>
          <w:tcPr>
            <w:tcBorders>
              <w:top w:val="single" w:color="auto" w:sz="4" w:space="0"/>
              <w:left w:val="single" w:color="auto" w:sz="4" w:space="0"/>
              <w:bottom w:val="single" w:color="auto" w:sz="4" w:space="0"/>
              <w:right w:val="single" w:color="auto" w:sz="4" w:space="0"/>
            </w:tcBorders>
            <w:tcW w:w="1254" w:type="pct"/>
            <w:vAlign w:val="center"/>
            <w:textDirection w:val="lrTb"/>
            <w:noWrap/>
          </w:tcPr>
          <w:p>
            <w:pPr>
              <w:pStyle w:val="900"/>
              <w:jc w:val="center"/>
              <w:spacing w:line="360" w:lineRule="auto"/>
              <w:rPr>
                <w:rFonts w:hint="eastAsia" w:ascii="宋体" w:hAnsi="宋体" w:cs="宋体"/>
                <w:sz w:val="24"/>
              </w:rPr>
            </w:pPr>
            <w:r>
              <w:rPr>
                <w:rFonts w:hint="eastAsia" w:ascii="宋体" w:hAnsi="宋体" w:cs="宋体"/>
                <w:sz w:val="24"/>
              </w:rPr>
              <w:t xml:space="preserve">网关管理</w:t>
            </w:r>
            <w:r/>
          </w:p>
        </w:tc>
        <w:tc>
          <w:tcPr>
            <w:tcBorders>
              <w:top w:val="single" w:color="auto" w:sz="4" w:space="0"/>
              <w:left w:val="none" w:color="000000" w:sz="4" w:space="0"/>
              <w:bottom w:val="single" w:color="auto" w:sz="4" w:space="0"/>
              <w:right w:val="single" w:color="auto" w:sz="4" w:space="0"/>
            </w:tcBorders>
            <w:tcW w:w="3745" w:type="pct"/>
            <w:vAlign w:val="center"/>
            <w:textDirection w:val="lrTb"/>
            <w:noWrap/>
          </w:tcPr>
          <w:p>
            <w:pPr>
              <w:pStyle w:val="900"/>
              <w:spacing w:line="360" w:lineRule="auto"/>
              <w:rPr>
                <w:rFonts w:hint="eastAsia" w:ascii="宋体" w:hAnsi="宋体" w:cs="宋体"/>
                <w:sz w:val="24"/>
              </w:rPr>
            </w:pPr>
            <w:r>
              <w:rPr>
                <w:rFonts w:hint="eastAsia" w:ascii="宋体" w:hAnsi="宋体" w:cs="宋体"/>
                <w:sz w:val="24"/>
              </w:rPr>
              <w:t xml:space="preserve">支持GCCO/1/2网管通道；支持IEEE 802.3ah、IEEE 802.1ag、MPLS-TP 0AM等协议</w:t>
            </w:r>
            <w:r/>
          </w:p>
        </w:tc>
      </w:tr>
      <w:tr>
        <w:trPr>
          <w:trHeight w:val="276"/>
        </w:trPr>
        <w:tc>
          <w:tcPr>
            <w:tcBorders>
              <w:top w:val="none" w:color="000000" w:sz="4" w:space="0"/>
              <w:left w:val="single" w:color="auto" w:sz="4" w:space="0"/>
              <w:bottom w:val="single" w:color="auto" w:sz="4" w:space="0"/>
              <w:right w:val="single" w:color="auto" w:sz="4" w:space="0"/>
            </w:tcBorders>
            <w:tcW w:w="1254" w:type="pct"/>
            <w:vAlign w:val="center"/>
            <w:textDirection w:val="lrTb"/>
            <w:noWrap/>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业务接入</w:t>
            </w:r>
            <w:r/>
          </w:p>
        </w:tc>
        <w:tc>
          <w:tcPr>
            <w:tcBorders>
              <w:top w:val="none" w:color="000000" w:sz="4" w:space="0"/>
              <w:left w:val="none" w:color="000000" w:sz="4" w:space="0"/>
              <w:bottom w:val="single" w:color="auto" w:sz="4" w:space="0"/>
              <w:right w:val="single" w:color="auto" w:sz="4" w:space="0"/>
            </w:tcBorders>
            <w:tcW w:w="3745" w:type="pct"/>
            <w:vAlign w:val="center"/>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▲（1）支持SDH、OTN、以太网等业务。整机支持1.25G/2.5G/10G/100G接口能力，配置不少于8路2.5G业务口、8路10G上行口、12路10G业务口、24路千兆以太网接口、16路语音接口。</w:t>
            </w:r>
            <w:r>
              <w:rPr>
                <w:rFonts w:hint="eastAsia" w:ascii="宋体" w:hAnsi="宋体" w:eastAsia="宋体" w:cs="宋体"/>
                <w:b/>
                <w:bCs/>
                <w:sz w:val="24"/>
                <w:szCs w:val="24"/>
              </w:rPr>
              <w:t xml:space="preserve">（</w:t>
            </w:r>
            <w:r>
              <w:rPr>
                <w:rFonts w:hint="eastAsia" w:ascii="宋体" w:hAnsi="宋体" w:cs="宋体"/>
                <w:b/>
                <w:bCs/>
                <w:sz w:val="24"/>
                <w:szCs w:val="24"/>
              </w:rPr>
              <w:t xml:space="preserve">投标文件中</w:t>
            </w:r>
            <w:r>
              <w:rPr>
                <w:rFonts w:hint="eastAsia" w:ascii="宋体" w:hAnsi="宋体" w:eastAsia="宋体" w:cs="宋体"/>
                <w:b/>
                <w:bCs/>
                <w:sz w:val="24"/>
                <w:szCs w:val="24"/>
              </w:rPr>
              <w:t xml:space="preserve">提供产品彩页</w:t>
            </w:r>
            <w:r>
              <w:rPr>
                <w:rFonts w:hint="eastAsia" w:ascii="宋体" w:hAnsi="宋体" w:cs="宋体"/>
                <w:b/>
                <w:bCs/>
                <w:sz w:val="24"/>
                <w:szCs w:val="24"/>
              </w:rPr>
              <w:t xml:space="preserve">或</w:t>
            </w:r>
            <w:r>
              <w:rPr>
                <w:rFonts w:hint="eastAsia" w:ascii="宋体" w:hAnsi="宋体" w:eastAsia="宋体" w:cs="宋体"/>
                <w:b/>
                <w:bCs/>
                <w:sz w:val="24"/>
                <w:szCs w:val="24"/>
              </w:rPr>
              <w:t xml:space="preserve">说明书或产品手册等相关证明材料加盖投标人公章</w:t>
            </w:r>
            <w:r>
              <w:rPr>
                <w:rFonts w:hint="eastAsia" w:ascii="宋体" w:hAnsi="宋体" w:cs="宋体"/>
                <w:b/>
                <w:bCs/>
                <w:sz w:val="24"/>
                <w:szCs w:val="24"/>
              </w:rPr>
              <w:t xml:space="preserve">，提供的证明材料须清晰体现上述技术参数</w:t>
            </w:r>
            <w:r>
              <w:rPr>
                <w:rFonts w:hint="eastAsia" w:ascii="宋体" w:hAnsi="宋体" w:eastAsia="宋体" w:cs="宋体"/>
                <w:b/>
                <w:bCs/>
                <w:sz w:val="24"/>
                <w:szCs w:val="24"/>
              </w:rPr>
              <w:t xml:space="preserve">）</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▲（2）具备OTU（1/2/4）、SDH（1/4/16/64）、以太网（GE/10GE）业务到 OTUk 的映射复用。</w:t>
            </w:r>
            <w:r>
              <w:rPr>
                <w:rFonts w:hint="eastAsia" w:ascii="宋体" w:hAnsi="宋体" w:eastAsia="宋体" w:cs="宋体"/>
                <w:b/>
                <w:bCs/>
                <w:sz w:val="24"/>
                <w:szCs w:val="24"/>
              </w:rPr>
              <w:t xml:space="preserve">（提供国家认可的第三方检测机构出具的检测报告扫描件并加盖投标人公章）</w:t>
            </w:r>
            <w:r/>
          </w:p>
        </w:tc>
      </w:tr>
      <w:tr>
        <w:trPr>
          <w:trHeight w:val="276"/>
        </w:trPr>
        <w:tc>
          <w:tcPr>
            <w:tcBorders>
              <w:top w:val="none" w:color="000000" w:sz="4" w:space="0"/>
              <w:left w:val="single" w:color="auto" w:sz="4" w:space="0"/>
              <w:bottom w:val="single" w:color="auto" w:sz="4" w:space="0"/>
              <w:right w:val="single" w:color="auto" w:sz="4" w:space="0"/>
            </w:tcBorders>
            <w:tcW w:w="1254"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语音单板</w:t>
            </w:r>
            <w:r/>
          </w:p>
        </w:tc>
        <w:tc>
          <w:tcPr>
            <w:tcBorders>
              <w:top w:val="none" w:color="000000" w:sz="4" w:space="0"/>
              <w:left w:val="none" w:color="000000" w:sz="4" w:space="0"/>
              <w:bottom w:val="single" w:color="auto" w:sz="4" w:space="0"/>
              <w:right w:val="single" w:color="auto" w:sz="4" w:space="0"/>
            </w:tcBorders>
            <w:tcW w:w="3745" w:type="pct"/>
            <w:vAlign w:val="center"/>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▲支持16 路 FXS/FXO/磁石电话语音单板，语音增益可调，步调值为 0.1dB，接收 A/D 均为-10dB～+16dB，发送 D/A 为-13dB～+10dB；磁石电话支持 2100Hz 音频的检测和发生功能；支持配置信令模式。</w:t>
            </w:r>
            <w:r>
              <w:rPr>
                <w:rFonts w:hint="eastAsia" w:ascii="宋体" w:hAnsi="宋体" w:eastAsia="宋体" w:cs="宋体"/>
                <w:b/>
                <w:bCs/>
                <w:sz w:val="24"/>
                <w:szCs w:val="24"/>
              </w:rPr>
              <w:t xml:space="preserve">（</w:t>
            </w:r>
            <w:r>
              <w:rPr>
                <w:rFonts w:hint="eastAsia" w:ascii="宋体" w:hAnsi="宋体" w:cs="宋体"/>
                <w:b/>
                <w:bCs/>
                <w:sz w:val="24"/>
                <w:szCs w:val="24"/>
              </w:rPr>
              <w:t xml:space="preserve">投标文件中</w:t>
            </w:r>
            <w:r>
              <w:rPr>
                <w:rFonts w:hint="eastAsia" w:ascii="宋体" w:hAnsi="宋体" w:eastAsia="宋体" w:cs="宋体"/>
                <w:b/>
                <w:bCs/>
                <w:sz w:val="24"/>
                <w:szCs w:val="24"/>
              </w:rPr>
              <w:t xml:space="preserve">提供产品彩页</w:t>
            </w:r>
            <w:r>
              <w:rPr>
                <w:rFonts w:hint="eastAsia" w:ascii="宋体" w:hAnsi="宋体" w:cs="宋体"/>
                <w:b/>
                <w:bCs/>
                <w:sz w:val="24"/>
                <w:szCs w:val="24"/>
              </w:rPr>
              <w:t xml:space="preserve">或</w:t>
            </w:r>
            <w:r>
              <w:rPr>
                <w:rFonts w:hint="eastAsia" w:ascii="宋体" w:hAnsi="宋体" w:eastAsia="宋体" w:cs="宋体"/>
                <w:b/>
                <w:bCs/>
                <w:sz w:val="24"/>
                <w:szCs w:val="24"/>
              </w:rPr>
              <w:t xml:space="preserve">说明书或产品手册等相关证明材料加盖投标人公章</w:t>
            </w:r>
            <w:r>
              <w:rPr>
                <w:rFonts w:hint="eastAsia" w:ascii="宋体" w:hAnsi="宋体" w:cs="宋体"/>
                <w:b/>
                <w:bCs/>
                <w:sz w:val="24"/>
                <w:szCs w:val="24"/>
              </w:rPr>
              <w:t xml:space="preserve">，提供的证明材料须清晰体现上述技术参数</w:t>
            </w:r>
            <w:r>
              <w:rPr>
                <w:rFonts w:hint="eastAsia" w:ascii="宋体" w:hAnsi="宋体" w:eastAsia="宋体" w:cs="宋体"/>
                <w:b/>
                <w:bCs/>
                <w:sz w:val="24"/>
                <w:szCs w:val="24"/>
              </w:rPr>
              <w:t xml:space="preserve">）</w:t>
            </w:r>
            <w:r/>
          </w:p>
        </w:tc>
      </w:tr>
    </w:tbl>
    <w:p>
      <w:pPr>
        <w:pStyle w:val="900"/>
        <w:ind w:firstLine="482"/>
        <w:spacing w:line="360" w:lineRule="auto"/>
        <w:rPr>
          <w:rFonts w:hint="eastAsia" w:ascii="宋体" w:hAnsi="宋体"/>
          <w:b/>
          <w:bCs/>
          <w:sz w:val="24"/>
        </w:rPr>
      </w:pPr>
      <w:r>
        <w:rPr>
          <w:rFonts w:hint="eastAsia" w:ascii="宋体" w:hAnsi="宋体"/>
          <w:b/>
          <w:bCs/>
          <w:sz w:val="24"/>
        </w:rPr>
        <w:t xml:space="preserve">1.2.1.3保护机制要求</w:t>
      </w:r>
      <w:r/>
    </w:p>
    <w:tbl>
      <w:tblPr>
        <w:tblStyle w:val="842"/>
        <w:tblW w:w="4967" w:type="pct"/>
        <w:tblInd w:w="0" w:type="dxa"/>
        <w:tblLayout w:type="fixed"/>
        <w:tblCellMar>
          <w:left w:w="108" w:type="dxa"/>
          <w:top w:w="0" w:type="dxa"/>
          <w:right w:w="108" w:type="dxa"/>
          <w:bottom w:w="0" w:type="dxa"/>
        </w:tblCellMar>
        <w:tblLook w:val="04A0" w:firstRow="1" w:lastRow="0" w:firstColumn="1" w:lastColumn="0" w:noHBand="0" w:noVBand="1"/>
      </w:tblPr>
      <w:tblGrid>
        <w:gridCol w:w="2567"/>
        <w:gridCol w:w="5899"/>
      </w:tblGrid>
      <w:tr>
        <w:trPr>
          <w:trHeight w:val="312"/>
        </w:trPr>
        <w:tc>
          <w:tcPr>
            <w:tcBorders>
              <w:top w:val="single" w:color="auto" w:sz="4" w:space="0"/>
              <w:left w:val="single" w:color="auto" w:sz="4" w:space="0"/>
              <w:bottom w:val="single" w:color="auto" w:sz="4" w:space="0"/>
              <w:right w:val="single" w:color="auto" w:sz="4" w:space="0"/>
            </w:tcBorders>
            <w:tcW w:w="1516"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传送网设备功能</w:t>
            </w:r>
            <w:r/>
          </w:p>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（保护机制要求）</w:t>
            </w:r>
            <w:r/>
          </w:p>
        </w:tc>
        <w:tc>
          <w:tcPr>
            <w:tcBorders>
              <w:top w:val="single" w:color="auto" w:sz="4" w:space="0"/>
              <w:left w:val="none" w:color="000000" w:sz="4" w:space="0"/>
              <w:bottom w:val="single" w:color="auto" w:sz="4" w:space="0"/>
              <w:right w:val="single" w:color="auto" w:sz="4" w:space="0"/>
            </w:tcBorders>
            <w:tcW w:w="348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详细参数</w:t>
            </w:r>
            <w:r/>
          </w:p>
        </w:tc>
      </w:tr>
      <w:tr>
        <w:trPr>
          <w:trHeight w:val="1656"/>
        </w:trPr>
        <w:tc>
          <w:tcPr>
            <w:tcBorders>
              <w:top w:val="none" w:color="000000" w:sz="4" w:space="0"/>
              <w:left w:val="single" w:color="auto" w:sz="4" w:space="0"/>
              <w:bottom w:val="single" w:color="auto" w:sz="4" w:space="0"/>
              <w:right w:val="single" w:color="auto" w:sz="4" w:space="0"/>
            </w:tcBorders>
            <w:tcW w:w="1516" w:type="pct"/>
            <w:vAlign w:val="center"/>
            <w:textDirection w:val="lrTb"/>
            <w:noWrap/>
          </w:tcPr>
          <w:p>
            <w:pPr>
              <w:jc w:val="center"/>
              <w:widowControl/>
              <w:rPr>
                <w:rFonts w:hint="eastAsia" w:asciiTheme="minorEastAsia" w:hAnsiTheme="minorEastAsia"/>
                <w:sz w:val="24"/>
              </w:rPr>
            </w:pPr>
            <w:r>
              <w:rPr>
                <w:rFonts w:hint="eastAsia" w:asciiTheme="minorEastAsia" w:hAnsiTheme="minorEastAsia"/>
                <w:sz w:val="24"/>
              </w:rPr>
              <w:t xml:space="preserve">保护能力</w:t>
            </w:r>
            <w:r/>
          </w:p>
        </w:tc>
        <w:tc>
          <w:tcPr>
            <w:tcBorders>
              <w:top w:val="none" w:color="000000" w:sz="4" w:space="0"/>
              <w:left w:val="none" w:color="000000" w:sz="4" w:space="0"/>
              <w:bottom w:val="single" w:color="auto" w:sz="4" w:space="0"/>
              <w:right w:val="single" w:color="auto" w:sz="4" w:space="0"/>
            </w:tcBorders>
            <w:tcW w:w="3483" w:type="pct"/>
            <w:vAlign w:val="center"/>
            <w:textDirection w:val="lrTb"/>
            <w:noWrap w:val="false"/>
          </w:tcPr>
          <w:p>
            <w:pPr>
              <w:jc w:val="left"/>
              <w:spacing w:line="360" w:lineRule="auto"/>
              <w:widowControl/>
              <w:rPr>
                <w:rFonts w:hint="eastAsia" w:asciiTheme="minorEastAsia" w:hAnsiTheme="minorEastAsia"/>
                <w:sz w:val="24"/>
              </w:rPr>
            </w:pPr>
            <w:r>
              <w:rPr>
                <w:rFonts w:hint="eastAsia" w:ascii="宋体" w:hAnsi="宋体"/>
                <w:sz w:val="24"/>
              </w:rPr>
              <w:t xml:space="preserve">▲应支持设备保护能力，包括主控盘冗余保护、电源盘冗余保护、交叉盘冗余保护。</w:t>
            </w:r>
            <w:r>
              <w:rPr>
                <w:rFonts w:hint="eastAsia" w:ascii="宋体" w:hAnsi="宋体" w:eastAsia="宋体" w:cs="宋体"/>
                <w:b/>
                <w:bCs/>
                <w:sz w:val="24"/>
                <w:szCs w:val="24"/>
              </w:rPr>
              <w:t xml:space="preserve">（提供国家认可的第三方检测机构出具的检测报告扫描件并加盖投标人公章）</w:t>
            </w:r>
            <w:r/>
          </w:p>
        </w:tc>
      </w:tr>
    </w:tbl>
    <w:p>
      <w:pPr>
        <w:pStyle w:val="900"/>
        <w:ind w:firstLine="482"/>
        <w:spacing w:line="360" w:lineRule="auto"/>
        <w:rPr>
          <w:rFonts w:hint="eastAsia" w:ascii="宋体" w:hAnsi="宋体"/>
          <w:sz w:val="24"/>
        </w:rPr>
      </w:pPr>
      <w:r>
        <w:rPr>
          <w:rFonts w:hint="eastAsia" w:ascii="宋体" w:hAnsi="宋体"/>
          <w:b/>
          <w:bCs/>
          <w:sz w:val="24"/>
        </w:rPr>
        <w:t xml:space="preserve">1.2.2公安四级网路由设备技术指标</w:t>
      </w:r>
      <w:r/>
    </w:p>
    <w:p>
      <w:pPr>
        <w:pStyle w:val="900"/>
        <w:ind w:firstLine="482"/>
        <w:spacing w:line="360" w:lineRule="auto"/>
        <w:rPr>
          <w:rFonts w:hint="eastAsia" w:ascii="宋体" w:hAnsi="宋体"/>
          <w:b/>
          <w:bCs/>
          <w:sz w:val="24"/>
        </w:rPr>
      </w:pPr>
      <w:r>
        <w:rPr>
          <w:rFonts w:hint="eastAsia" w:ascii="宋体" w:hAnsi="宋体"/>
          <w:b/>
          <w:bCs/>
          <w:sz w:val="24"/>
        </w:rPr>
        <w:t xml:space="preserve">1.2.2.1硬件基础性能</w:t>
      </w:r>
      <w:r/>
    </w:p>
    <w:tbl>
      <w:tblPr>
        <w:tblStyle w:val="842"/>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2056"/>
        <w:gridCol w:w="6466"/>
      </w:tblGrid>
      <w:tr>
        <w:trPr>
          <w:trHeight w:val="312"/>
        </w:trPr>
        <w:tc>
          <w:tcPr>
            <w:tcBorders>
              <w:top w:val="single" w:color="auto" w:sz="4" w:space="0"/>
              <w:left w:val="single" w:color="auto" w:sz="4" w:space="0"/>
              <w:bottom w:val="single" w:color="auto" w:sz="4" w:space="0"/>
              <w:right w:val="single" w:color="auto" w:sz="4" w:space="0"/>
            </w:tcBorders>
            <w:tcW w:w="1206" w:type="pct"/>
            <w:vAlign w:val="center"/>
            <w:textDirection w:val="lrTb"/>
            <w:noWrap/>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设备功能</w:t>
            </w:r>
            <w:r/>
          </w:p>
        </w:tc>
        <w:tc>
          <w:tcPr>
            <w:tcBorders>
              <w:top w:val="single" w:color="auto" w:sz="4" w:space="0"/>
              <w:left w:val="none" w:color="000000" w:sz="4" w:space="0"/>
              <w:bottom w:val="single" w:color="auto" w:sz="4" w:space="0"/>
              <w:right w:val="single" w:color="auto" w:sz="4" w:space="0"/>
            </w:tcBorders>
            <w:tcW w:w="3794" w:type="pct"/>
            <w:vAlign w:val="center"/>
            <w:textDirection w:val="lrTb"/>
            <w:noWrap/>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详细参数</w:t>
            </w:r>
            <w:r/>
          </w:p>
        </w:tc>
      </w:tr>
      <w:tr>
        <w:trPr>
          <w:trHeight w:val="941"/>
        </w:trPr>
        <w:tc>
          <w:tcPr>
            <w:tcBorders>
              <w:top w:val="single" w:color="auto" w:sz="4" w:space="0"/>
              <w:left w:val="single" w:color="auto" w:sz="4" w:space="0"/>
              <w:bottom w:val="single" w:color="auto" w:sz="4" w:space="0"/>
              <w:right w:val="single" w:color="auto" w:sz="4" w:space="0"/>
            </w:tcBorders>
            <w:tcW w:w="1206"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接口能力</w:t>
            </w:r>
            <w:r/>
          </w:p>
        </w:tc>
        <w:tc>
          <w:tcPr>
            <w:tcBorders>
              <w:top w:val="single" w:color="auto" w:sz="4" w:space="0"/>
              <w:left w:val="single" w:color="auto" w:sz="4" w:space="0"/>
              <w:bottom w:val="single" w:color="auto" w:sz="4" w:space="0"/>
              <w:right w:val="single" w:color="auto" w:sz="4" w:space="0"/>
            </w:tcBorders>
            <w:tcW w:w="3794" w:type="pct"/>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业务接口：网络侧接口提供两路 SFP 插槽、100Base-Fx/1000Base-x光模块兼容。用户侧接口提供4路 10/100/1000M 自适应以太网 COMB0 口。支持1路 CONSOLE接口,基于标准的 IP 协议栈,可通过 IP 地址进行Telnet管理。</w:t>
            </w:r>
            <w:r/>
          </w:p>
        </w:tc>
      </w:tr>
      <w:tr>
        <w:trPr>
          <w:trHeight w:val="735"/>
        </w:trPr>
        <w:tc>
          <w:tcPr>
            <w:tcBorders>
              <w:top w:val="single" w:color="auto" w:sz="4" w:space="0"/>
              <w:left w:val="single" w:color="auto" w:sz="4" w:space="0"/>
              <w:bottom w:val="single" w:color="auto" w:sz="4" w:space="0"/>
              <w:right w:val="single" w:color="auto" w:sz="4" w:space="0"/>
            </w:tcBorders>
            <w:tcW w:w="1206"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协议与标准</w:t>
            </w:r>
            <w:r/>
          </w:p>
        </w:tc>
        <w:tc>
          <w:tcPr>
            <w:tcBorders>
              <w:top w:val="single" w:color="auto" w:sz="4" w:space="0"/>
              <w:left w:val="none" w:color="000000" w:sz="4" w:space="0"/>
              <w:bottom w:val="single" w:color="auto" w:sz="4" w:space="0"/>
              <w:right w:val="single" w:color="auto" w:sz="4" w:space="0"/>
            </w:tcBorders>
            <w:tcW w:w="3794" w:type="pct"/>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支持路由协议：OSPFv2、IS-IS、BGP、TCP/IP等。</w:t>
            </w:r>
            <w:r/>
          </w:p>
        </w:tc>
      </w:tr>
    </w:tbl>
    <w:p>
      <w:pPr>
        <w:pStyle w:val="900"/>
        <w:ind w:firstLine="482"/>
        <w:spacing w:line="360" w:lineRule="auto"/>
        <w:rPr>
          <w:rFonts w:hint="eastAsia" w:ascii="宋体" w:hAnsi="宋体"/>
          <w:b/>
          <w:bCs/>
          <w:sz w:val="24"/>
        </w:rPr>
      </w:pPr>
      <w:r>
        <w:rPr>
          <w:rFonts w:hint="eastAsia" w:ascii="宋体" w:hAnsi="宋体"/>
          <w:b/>
          <w:bCs/>
          <w:sz w:val="24"/>
        </w:rPr>
        <w:t xml:space="preserve">1.2.2.2可靠性设计</w:t>
      </w:r>
      <w:r/>
    </w:p>
    <w:tbl>
      <w:tblPr>
        <w:tblStyle w:val="842"/>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1831"/>
        <w:gridCol w:w="6691"/>
      </w:tblGrid>
      <w:tr>
        <w:trPr>
          <w:trHeight w:val="312"/>
        </w:trPr>
        <w:tc>
          <w:tcPr>
            <w:tcBorders>
              <w:top w:val="single" w:color="auto" w:sz="4" w:space="0"/>
              <w:left w:val="single" w:color="auto" w:sz="4" w:space="0"/>
              <w:bottom w:val="single" w:color="auto" w:sz="4" w:space="0"/>
              <w:right w:val="single" w:color="auto" w:sz="4" w:space="0"/>
            </w:tcBorders>
            <w:tcW w:w="1074" w:type="pct"/>
            <w:vAlign w:val="center"/>
            <w:textDirection w:val="lrTb"/>
            <w:noWrap/>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设备功能</w:t>
            </w:r>
            <w:r/>
          </w:p>
        </w:tc>
        <w:tc>
          <w:tcPr>
            <w:tcBorders>
              <w:top w:val="single" w:color="auto" w:sz="4" w:space="0"/>
              <w:left w:val="none" w:color="000000" w:sz="4" w:space="0"/>
              <w:bottom w:val="single" w:color="auto" w:sz="4" w:space="0"/>
              <w:right w:val="single" w:color="auto" w:sz="4" w:space="0"/>
            </w:tcBorders>
            <w:tcW w:w="3926" w:type="pct"/>
            <w:vAlign w:val="center"/>
            <w:textDirection w:val="lrTb"/>
            <w:noWrap/>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详细参数</w:t>
            </w:r>
            <w:r/>
          </w:p>
        </w:tc>
      </w:tr>
      <w:tr>
        <w:trPr>
          <w:trHeight w:val="312"/>
        </w:trPr>
        <w:tc>
          <w:tcPr>
            <w:tcBorders>
              <w:top w:val="single" w:color="auto" w:sz="4" w:space="0"/>
              <w:left w:val="single" w:color="auto" w:sz="4" w:space="0"/>
              <w:bottom w:val="single" w:color="auto" w:sz="4" w:space="0"/>
              <w:right w:val="single" w:color="auto" w:sz="4" w:space="0"/>
            </w:tcBorders>
            <w:tcW w:w="1074" w:type="pct"/>
            <w:vAlign w:val="center"/>
            <w:textDirection w:val="lrTb"/>
            <w:noWrap/>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sz w:val="24"/>
                <w:szCs w:val="24"/>
              </w:rPr>
              <w:t xml:space="preserve">日志功能</w:t>
            </w:r>
            <w:r/>
          </w:p>
        </w:tc>
        <w:tc>
          <w:tcPr>
            <w:tcBorders>
              <w:top w:val="single" w:color="auto" w:sz="4" w:space="0"/>
              <w:left w:val="none" w:color="000000" w:sz="4" w:space="0"/>
              <w:bottom w:val="single" w:color="auto" w:sz="4" w:space="0"/>
              <w:right w:val="single" w:color="auto" w:sz="4" w:space="0"/>
            </w:tcBorders>
            <w:tcW w:w="3926" w:type="pct"/>
            <w:vAlign w:val="bottom"/>
            <w:textDirection w:val="lrTb"/>
            <w:noWrap/>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（1）支持安全日志功能。可将日志输出至安全服务器，日志内容包含安全事件来源、发生事件、3描述等信息。</w:t>
            </w:r>
            <w:r/>
          </w:p>
          <w:p>
            <w:pPr>
              <w:spacing w:line="360" w:lineRule="auto"/>
              <w:widowControl/>
              <w:rPr>
                <w:rFonts w:hint="eastAsia" w:ascii="宋体" w:hAnsi="宋体" w:eastAsia="宋体" w:cs="宋体"/>
                <w:b/>
                <w:bCs/>
                <w:color w:val="000000"/>
                <w:sz w:val="24"/>
                <w:szCs w:val="24"/>
              </w:rPr>
            </w:pPr>
            <w:r>
              <w:rPr>
                <w:rFonts w:hint="eastAsia" w:ascii="宋体" w:hAnsi="宋体" w:eastAsia="宋体" w:cs="宋体"/>
                <w:sz w:val="24"/>
                <w:szCs w:val="24"/>
              </w:rPr>
              <w:t xml:space="preserve">（2）支持操作日志功能。应能在本地操作日志中对用户登录IP地址、登陆时间、所进行的操作、推出时间进行记录；可将操作日志输出至日志服务器。</w:t>
            </w:r>
            <w:r/>
          </w:p>
        </w:tc>
      </w:tr>
      <w:tr>
        <w:trPr>
          <w:trHeight w:val="552"/>
        </w:trPr>
        <w:tc>
          <w:tcPr>
            <w:tcBorders>
              <w:top w:val="single" w:color="auto" w:sz="4" w:space="0"/>
              <w:left w:val="single" w:color="auto" w:sz="4" w:space="0"/>
              <w:bottom w:val="single" w:color="auto" w:sz="4" w:space="0"/>
              <w:right w:val="single" w:color="auto" w:sz="4" w:space="0"/>
            </w:tcBorders>
            <w:tcW w:w="1074" w:type="pct"/>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抗攻击能力</w:t>
            </w:r>
            <w:r/>
          </w:p>
        </w:tc>
        <w:tc>
          <w:tcPr>
            <w:tcBorders>
              <w:top w:val="single" w:color="auto" w:sz="4" w:space="0"/>
              <w:left w:val="none" w:color="000000" w:sz="4" w:space="0"/>
              <w:bottom w:val="single" w:color="auto" w:sz="4" w:space="0"/>
              <w:right w:val="single" w:color="auto" w:sz="4" w:space="0"/>
            </w:tcBorders>
            <w:tcW w:w="3926" w:type="pct"/>
            <w:vAlign w:val="bottom"/>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（1）具备Ping Flood攻击处理能力。</w:t>
            </w:r>
            <w:r/>
          </w:p>
          <w:p>
            <w:pPr>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（2）具备抗大流量攻击能力</w:t>
            </w:r>
            <w:r>
              <w:rPr>
                <w:rFonts w:hint="eastAsia" w:ascii="宋体" w:hAnsi="宋体" w:eastAsia="宋体" w:cs="宋体"/>
                <w:b/>
                <w:bCs/>
                <w:sz w:val="24"/>
                <w:szCs w:val="24"/>
              </w:rPr>
              <w:t xml:space="preserve">（提供国家认可的第三方检测机构出具的检测报告扫描件并加盖投标人公章）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（3）具备畸形包处理能力。</w:t>
            </w:r>
            <w:r>
              <w:rPr>
                <w:rFonts w:hint="eastAsia" w:ascii="宋体" w:hAnsi="宋体" w:eastAsia="宋体" w:cs="宋体"/>
                <w:b/>
                <w:bCs/>
                <w:sz w:val="24"/>
                <w:szCs w:val="24"/>
              </w:rPr>
              <w:t xml:space="preserve">（提供国家认可的第三方检测机构出具的检测报告扫描件并加盖投标人公章）</w:t>
            </w:r>
            <w:r/>
          </w:p>
          <w:p>
            <w:pPr>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（4）具备Smurf攻击处理能力。</w:t>
            </w:r>
            <w:r>
              <w:rPr>
                <w:rFonts w:hint="eastAsia" w:ascii="宋体" w:hAnsi="宋体" w:eastAsia="宋体" w:cs="宋体"/>
                <w:b/>
                <w:bCs/>
                <w:sz w:val="24"/>
                <w:szCs w:val="24"/>
              </w:rPr>
              <w:t xml:space="preserve">（提供国家认可的第三方检测机构出具的检测报告扫描件并加盖投标人公章）</w:t>
            </w:r>
            <w:r/>
          </w:p>
        </w:tc>
      </w:tr>
      <w:tr>
        <w:trPr>
          <w:trHeight w:val="552"/>
        </w:trPr>
        <w:tc>
          <w:tcPr>
            <w:tcBorders>
              <w:top w:val="single" w:color="auto" w:sz="4" w:space="0"/>
              <w:left w:val="single" w:color="auto" w:sz="4" w:space="0"/>
              <w:bottom w:val="single" w:color="auto" w:sz="4" w:space="0"/>
              <w:right w:val="single" w:color="auto" w:sz="4" w:space="0"/>
            </w:tcBorders>
            <w:tcW w:w="1074" w:type="pct"/>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登录用户身份标识与鉴别</w:t>
            </w:r>
            <w:r/>
          </w:p>
        </w:tc>
        <w:tc>
          <w:tcPr>
            <w:tcBorders>
              <w:top w:val="single" w:color="auto" w:sz="4" w:space="0"/>
              <w:left w:val="none" w:color="000000" w:sz="4" w:space="0"/>
              <w:bottom w:val="single" w:color="auto" w:sz="4" w:space="0"/>
              <w:right w:val="single" w:color="auto" w:sz="4" w:space="0"/>
            </w:tcBorders>
            <w:tcW w:w="3926" w:type="pct"/>
            <w:vAlign w:val="bottom"/>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设备登录应对用户进行身份标识和鉴别、用户身份标识应具有唯一性。</w:t>
            </w:r>
            <w:r/>
          </w:p>
        </w:tc>
      </w:tr>
    </w:tbl>
    <w:p>
      <w:pPr>
        <w:pStyle w:val="900"/>
        <w:ind w:firstLine="482"/>
        <w:spacing w:line="360" w:lineRule="auto"/>
        <w:rPr>
          <w:rFonts w:hint="eastAsia" w:ascii="宋体" w:hAnsi="宋体"/>
          <w:b/>
          <w:bCs/>
          <w:sz w:val="24"/>
        </w:rPr>
      </w:pPr>
      <w:r>
        <w:rPr>
          <w:rFonts w:hint="eastAsia" w:ascii="宋体" w:hAnsi="宋体"/>
          <w:b/>
          <w:bCs/>
          <w:sz w:val="24"/>
        </w:rPr>
        <w:t xml:space="preserve">1.2.2.3数据安全</w:t>
      </w:r>
      <w:r/>
    </w:p>
    <w:tbl>
      <w:tblPr>
        <w:tblStyle w:val="842"/>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1365"/>
        <w:gridCol w:w="7157"/>
      </w:tblGrid>
      <w:tr>
        <w:trPr>
          <w:trHeight w:val="312"/>
        </w:trPr>
        <w:tc>
          <w:tcPr>
            <w:tcBorders>
              <w:top w:val="single" w:color="auto" w:sz="4" w:space="0"/>
              <w:left w:val="single" w:color="auto" w:sz="4" w:space="0"/>
              <w:bottom w:val="single" w:color="auto" w:sz="4" w:space="0"/>
              <w:right w:val="single" w:color="auto" w:sz="4" w:space="0"/>
            </w:tcBorders>
            <w:tcW w:w="801" w:type="pct"/>
            <w:vAlign w:val="center"/>
            <w:textDirection w:val="lrTb"/>
            <w:noWrap/>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设备功能</w:t>
            </w:r>
            <w:r/>
          </w:p>
        </w:tc>
        <w:tc>
          <w:tcPr>
            <w:tcBorders>
              <w:top w:val="single" w:color="auto" w:sz="4" w:space="0"/>
              <w:left w:val="none" w:color="000000" w:sz="4" w:space="0"/>
              <w:bottom w:val="single" w:color="auto" w:sz="4" w:space="0"/>
              <w:right w:val="single" w:color="auto" w:sz="4" w:space="0"/>
            </w:tcBorders>
            <w:tcW w:w="4199" w:type="pct"/>
            <w:vAlign w:val="center"/>
            <w:textDirection w:val="lrTb"/>
            <w:noWrap/>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详细参数</w:t>
            </w:r>
            <w:r/>
          </w:p>
        </w:tc>
      </w:tr>
      <w:tr>
        <w:trPr>
          <w:trHeight w:val="1104"/>
        </w:trPr>
        <w:tc>
          <w:tcPr>
            <w:tcBorders>
              <w:top w:val="single" w:color="auto" w:sz="4" w:space="0"/>
              <w:left w:val="single" w:color="auto" w:sz="4" w:space="0"/>
              <w:bottom w:val="single" w:color="auto" w:sz="4" w:space="0"/>
              <w:right w:val="single" w:color="auto" w:sz="4" w:space="0"/>
            </w:tcBorders>
            <w:tcW w:w="801" w:type="pct"/>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具备漏洞及恶意程序防范</w:t>
            </w:r>
            <w:r/>
          </w:p>
        </w:tc>
        <w:tc>
          <w:tcPr>
            <w:tcBorders>
              <w:top w:val="single" w:color="auto" w:sz="4" w:space="0"/>
              <w:left w:val="none" w:color="000000" w:sz="4" w:space="0"/>
              <w:bottom w:val="single" w:color="auto" w:sz="4" w:space="0"/>
              <w:right w:val="single" w:color="auto" w:sz="4" w:space="0"/>
            </w:tcBorders>
            <w:tcW w:w="4199" w:type="pct"/>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具备漏洞及恶意程序防范。不应存在已公布的漏洞，或具备补救措施防范漏洞安全风险。预装软件、补丁包/升级包不应存在恶意程序。不应存在未声明的功能和访问接口。（含远程调试接口）</w:t>
            </w:r>
            <w:r/>
          </w:p>
        </w:tc>
      </w:tr>
      <w:tr>
        <w:trPr>
          <w:trHeight w:val="1104"/>
        </w:trPr>
        <w:tc>
          <w:tcPr>
            <w:tcBorders>
              <w:top w:val="single" w:color="auto" w:sz="4" w:space="0"/>
              <w:left w:val="single" w:color="auto" w:sz="4" w:space="0"/>
              <w:bottom w:val="single" w:color="auto" w:sz="4" w:space="0"/>
              <w:right w:val="single" w:color="auto" w:sz="4" w:space="0"/>
            </w:tcBorders>
            <w:tcW w:w="801" w:type="pct"/>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数据保护</w:t>
            </w:r>
            <w:r/>
          </w:p>
        </w:tc>
        <w:tc>
          <w:tcPr>
            <w:tcBorders>
              <w:top w:val="single" w:color="auto" w:sz="4" w:space="0"/>
              <w:left w:val="none" w:color="000000" w:sz="4" w:space="0"/>
              <w:bottom w:val="single" w:color="auto" w:sz="4" w:space="0"/>
              <w:right w:val="single" w:color="auto" w:sz="4" w:space="0"/>
            </w:tcBorders>
            <w:tcW w:w="4199" w:type="pct"/>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▲具备对存储在设备上的敏感数据进行安全保护的功能。</w:t>
            </w:r>
            <w:r/>
          </w:p>
          <w:p>
            <w:pPr>
              <w:jc w:val="left"/>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（提供国家认可的第三方检测机构出具的检测报告扫描件并加盖投标人公章）</w:t>
            </w:r>
            <w:r/>
          </w:p>
        </w:tc>
      </w:tr>
    </w:tbl>
    <w:p>
      <w:pPr>
        <w:pStyle w:val="900"/>
        <w:ind w:firstLine="482"/>
        <w:spacing w:line="360" w:lineRule="auto"/>
        <w:rPr>
          <w:rFonts w:hint="eastAsia" w:ascii="宋体" w:hAnsi="宋体"/>
          <w:b/>
          <w:bCs/>
          <w:sz w:val="24"/>
        </w:rPr>
      </w:pPr>
      <w:r>
        <w:rPr>
          <w:rFonts w:hint="eastAsia" w:ascii="宋体" w:hAnsi="宋体"/>
          <w:b/>
          <w:bCs/>
          <w:sz w:val="24"/>
        </w:rPr>
        <w:t xml:space="preserve">1.2.2.4运维与管理功能</w:t>
      </w:r>
      <w:r/>
    </w:p>
    <w:tbl>
      <w:tblPr>
        <w:tblStyle w:val="842"/>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785"/>
        <w:gridCol w:w="6737"/>
      </w:tblGrid>
      <w:tr>
        <w:trPr>
          <w:trHeight w:val="312"/>
        </w:trPr>
        <w:tc>
          <w:tcPr>
            <w:tcBorders>
              <w:top w:val="single" w:color="auto" w:sz="4" w:space="0"/>
              <w:left w:val="single" w:color="auto" w:sz="4" w:space="0"/>
              <w:bottom w:val="single" w:color="auto" w:sz="4" w:space="0"/>
              <w:right w:val="single" w:color="auto" w:sz="4" w:space="0"/>
            </w:tcBorders>
            <w:tcW w:w="1047" w:type="pct"/>
            <w:vAlign w:val="center"/>
            <w:textDirection w:val="lrTb"/>
            <w:noWrap/>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设备功能</w:t>
            </w:r>
            <w:r/>
          </w:p>
        </w:tc>
        <w:tc>
          <w:tcPr>
            <w:tcBorders>
              <w:top w:val="single" w:color="auto" w:sz="4" w:space="0"/>
              <w:left w:val="none" w:color="000000" w:sz="4" w:space="0"/>
              <w:bottom w:val="single" w:color="auto" w:sz="4" w:space="0"/>
              <w:right w:val="single" w:color="auto" w:sz="4" w:space="0"/>
            </w:tcBorders>
            <w:tcW w:w="3952" w:type="pct"/>
            <w:vAlign w:val="center"/>
            <w:textDirection w:val="lrTb"/>
            <w:noWrap/>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详细参数</w:t>
            </w:r>
            <w:r/>
          </w:p>
        </w:tc>
      </w:tr>
      <w:tr>
        <w:trPr>
          <w:trHeight w:val="828"/>
        </w:trPr>
        <w:tc>
          <w:tcPr>
            <w:tcBorders>
              <w:top w:val="none" w:color="000000" w:sz="4" w:space="0"/>
              <w:left w:val="single" w:color="auto" w:sz="4" w:space="0"/>
              <w:bottom w:val="single" w:color="auto" w:sz="4" w:space="0"/>
              <w:right w:val="single" w:color="auto" w:sz="4" w:space="0"/>
            </w:tcBorders>
            <w:tcW w:w="1047" w:type="pct"/>
            <w:vAlign w:val="center"/>
            <w:textDirection w:val="lrTb"/>
            <w:noWrap/>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网络管理</w:t>
            </w:r>
            <w:r/>
          </w:p>
        </w:tc>
        <w:tc>
          <w:tcPr>
            <w:tcBorders>
              <w:top w:val="none" w:color="000000" w:sz="4" w:space="0"/>
              <w:left w:val="none" w:color="000000" w:sz="4" w:space="0"/>
              <w:bottom w:val="single" w:color="auto" w:sz="4" w:space="0"/>
              <w:right w:val="single" w:color="auto" w:sz="4" w:space="0"/>
            </w:tcBorders>
            <w:tcW w:w="3952"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支持图形化网管平台。支持告警主动推送，助力运维。</w:t>
            </w:r>
            <w:r/>
          </w:p>
        </w:tc>
      </w:tr>
      <w:tr>
        <w:trPr>
          <w:trHeight w:val="1380"/>
        </w:trPr>
        <w:tc>
          <w:tcPr>
            <w:tcBorders>
              <w:top w:val="none" w:color="000000" w:sz="4" w:space="0"/>
              <w:left w:val="single" w:color="auto" w:sz="4" w:space="0"/>
              <w:bottom w:val="single" w:color="auto" w:sz="4" w:space="0"/>
              <w:right w:val="single" w:color="auto" w:sz="4" w:space="0"/>
            </w:tcBorders>
            <w:tcW w:w="1047" w:type="pct"/>
            <w:vAlign w:val="center"/>
            <w:textDirection w:val="lrTb"/>
            <w:noWrap/>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智能运维</w:t>
            </w:r>
            <w:r/>
          </w:p>
        </w:tc>
        <w:tc>
          <w:tcPr>
            <w:tcBorders>
              <w:top w:val="none" w:color="000000" w:sz="4" w:space="0"/>
              <w:left w:val="none" w:color="000000" w:sz="4" w:space="0"/>
              <w:bottom w:val="single" w:color="auto" w:sz="4" w:space="0"/>
              <w:right w:val="single" w:color="auto" w:sz="4" w:space="0"/>
            </w:tcBorders>
            <w:tcW w:w="3952"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一键式业务配置：通过模板化部署快速开通专线。</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可提供层次化QoS，提供差异化服务，精确监测专线性能指标，智能分析提供报表。</w:t>
            </w:r>
            <w:r/>
          </w:p>
        </w:tc>
      </w:tr>
    </w:tbl>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通用传输设备要求：根据采购人需求提供普通光猫、尾纤、跳线、机柜、配线架、标签等。</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1.2.3</w:t>
      </w:r>
      <w:r>
        <w:rPr>
          <w:rFonts w:hint="eastAsia" w:ascii="宋体" w:hAnsi="宋体" w:eastAsia="宋体"/>
          <w:b/>
          <w:sz w:val="24"/>
          <w:szCs w:val="24"/>
        </w:rPr>
        <w:t xml:space="preserve">智能交通监控点专网</w:t>
      </w:r>
      <w:r>
        <w:rPr>
          <w:rFonts w:hint="eastAsia" w:ascii="宋体" w:hAnsi="宋体" w:eastAsia="宋体"/>
          <w:b/>
          <w:bCs/>
          <w:sz w:val="24"/>
          <w:szCs w:val="24"/>
        </w:rPr>
        <w:t xml:space="preserve">线路要求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点对点采用单模光纤直连，并且提供至少一个千兆以太网电口，光纤的技术指标参考图像专网、裸纤专线线路要求。同时应提供不少于11个机柜的托管服务，供智能交通监控点专网使用，相关费用由投标人综合考虑在此项投标报价中。</w:t>
      </w:r>
      <w:r/>
    </w:p>
    <w:p>
      <w:pPr>
        <w:ind w:firstLine="482"/>
        <w:spacing w:line="360" w:lineRule="auto"/>
        <w:rPr>
          <w:rFonts w:hint="eastAsia" w:ascii="宋体" w:hAnsi="宋体" w:eastAsia="宋体"/>
          <w:bCs/>
          <w:sz w:val="24"/>
          <w:szCs w:val="24"/>
        </w:rPr>
      </w:pPr>
      <w:r>
        <w:rPr>
          <w:rFonts w:hint="eastAsia" w:ascii="宋体" w:hAnsi="宋体" w:eastAsia="宋体"/>
          <w:b/>
          <w:bCs/>
          <w:sz w:val="24"/>
          <w:szCs w:val="24"/>
        </w:rPr>
        <w:t xml:space="preserve">1.2.4</w:t>
      </w:r>
      <w:r>
        <w:rPr>
          <w:rFonts w:hint="eastAsia" w:ascii="宋体" w:hAnsi="宋体" w:eastAsia="宋体"/>
          <w:b/>
          <w:sz w:val="24"/>
          <w:szCs w:val="24"/>
        </w:rPr>
        <w:t xml:space="preserve">互联网专线线路要求</w:t>
      </w:r>
      <w:r/>
    </w:p>
    <w:tbl>
      <w:tblPr>
        <w:tblStyle w:val="842"/>
        <w:tblW w:w="5000" w:type="pct"/>
        <w:tblInd w:w="0" w:type="dxa"/>
        <w:tblLayout w:type="fixed"/>
        <w:tblCellMar>
          <w:left w:w="0" w:type="dxa"/>
          <w:top w:w="0" w:type="dxa"/>
          <w:right w:w="0" w:type="dxa"/>
          <w:bottom w:w="0" w:type="dxa"/>
        </w:tblCellMar>
        <w:tblLook w:val="04A0" w:firstRow="1" w:lastRow="0" w:firstColumn="1" w:lastColumn="0" w:noHBand="0" w:noVBand="1"/>
      </w:tblPr>
      <w:tblGrid>
        <w:gridCol w:w="1542"/>
        <w:gridCol w:w="6794"/>
      </w:tblGrid>
      <w:tr>
        <w:trPr>
          <w:trHeight w:val="31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25" w:type="pct"/>
            <w:vAlign w:val="center"/>
            <w:textDirection w:val="lrTb"/>
            <w:noWrap/>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类别</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074" w:type="pct"/>
            <w:vAlign w:val="center"/>
            <w:textDirection w:val="lrTb"/>
            <w:noWrap/>
          </w:tcPr>
          <w:p>
            <w:pPr>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参数要求</w:t>
            </w:r>
            <w:r/>
          </w:p>
        </w:tc>
      </w:tr>
      <w:tr>
        <w:trPr>
          <w:trHeight w:val="276"/>
        </w:trPr>
        <w:tc>
          <w:tcPr>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925" w:type="pct"/>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总体要求</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4074" w:type="pct"/>
            <w:vAlign w:val="bottom"/>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支持IPV4、IPV6双栈的地址分配，并能够根据市公安局各项的业务需求，进行IP地址的新增、变更和维护工作。</w:t>
            </w:r>
            <w:r/>
          </w:p>
        </w:tc>
      </w:tr>
      <w:tr>
        <w:trPr>
          <w:trHeight w:val="552"/>
        </w:trPr>
        <w:tc>
          <w:tcPr>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925" w:type="pct"/>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IP和带宽要求</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4074" w:type="pct"/>
            <w:vAlign w:val="bottom"/>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A类互联网专线：带宽50M，配置公网IP可用数1个；</w:t>
            </w:r>
            <w:r>
              <w:rPr>
                <w:rFonts w:hint="eastAsia" w:ascii="宋体" w:hAnsi="宋体" w:eastAsia="宋体" w:cs="宋体"/>
                <w:sz w:val="24"/>
                <w:szCs w:val="24"/>
              </w:rPr>
              <w:br/>
            </w:r>
            <w:r>
              <w:rPr>
                <w:rFonts w:hint="eastAsia" w:ascii="宋体" w:hAnsi="宋体" w:eastAsia="宋体" w:cs="宋体"/>
                <w:sz w:val="24"/>
                <w:szCs w:val="24"/>
              </w:rPr>
              <w:t xml:space="preserve">B类互联网专线：带宽100M，配置公网IP可用数1个。</w:t>
            </w:r>
            <w:r/>
          </w:p>
        </w:tc>
      </w:tr>
      <w:tr>
        <w:trPr>
          <w:trHeight w:val="1932"/>
        </w:trPr>
        <w:tc>
          <w:tcPr>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925" w:type="pct"/>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服务要求</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4074" w:type="pct"/>
            <w:vAlign w:val="bottom"/>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涉及设备的IP地址安装和系统切割配合要求，因线路变更导致IP变更的，采购人应积极协调省厅、业务主管部门和应用系统开发公司，涉及的应用系统切割、迁移、改造、维护费用由投标方全额负责。</w:t>
            </w:r>
            <w:r>
              <w:rPr>
                <w:rFonts w:hint="eastAsia" w:ascii="宋体" w:hAnsi="宋体" w:eastAsia="宋体" w:cs="宋体"/>
                <w:sz w:val="24"/>
                <w:szCs w:val="24"/>
              </w:rPr>
              <w:br/>
            </w:r>
            <w:r>
              <w:rPr>
                <w:rFonts w:hint="eastAsia" w:ascii="宋体" w:hAnsi="宋体" w:eastAsia="宋体" w:cs="宋体"/>
                <w:sz w:val="24"/>
                <w:szCs w:val="24"/>
              </w:rPr>
              <w:t xml:space="preserve">对在线运行的业务系统因IP变更导致的业务中断时间需满足省厅和业务部门的要求，因IP变更导致的维护管理、业务推广和群众产生的纠纷，做出合理解决方案和赔偿办法。</w:t>
            </w:r>
            <w:r/>
          </w:p>
        </w:tc>
      </w:tr>
    </w:tbl>
    <w:p>
      <w:pPr>
        <w:ind w:firstLine="420"/>
        <w:spacing w:line="360" w:lineRule="auto"/>
        <w:rPr>
          <w:rFonts w:hint="eastAsia" w:ascii="宋体" w:hAnsi="宋体" w:eastAsia="宋体"/>
          <w:b/>
          <w:sz w:val="24"/>
          <w:szCs w:val="24"/>
        </w:rPr>
      </w:pPr>
      <w:r>
        <w:rPr>
          <w:rFonts w:hint="eastAsia" w:ascii="宋体" w:hAnsi="宋体" w:eastAsia="宋体"/>
          <w:b/>
          <w:bCs/>
          <w:sz w:val="24"/>
          <w:szCs w:val="24"/>
        </w:rPr>
        <w:t xml:space="preserve"> 1.2.5</w:t>
      </w:r>
      <w:r>
        <w:rPr>
          <w:rFonts w:hint="eastAsia" w:ascii="宋体" w:hAnsi="宋体" w:eastAsia="宋体"/>
          <w:b/>
          <w:sz w:val="24"/>
          <w:szCs w:val="24"/>
        </w:rPr>
        <w:t xml:space="preserve">数字电路线路要求</w:t>
      </w:r>
      <w:r/>
    </w:p>
    <w:tbl>
      <w:tblPr>
        <w:tblStyle w:val="842"/>
        <w:tblW w:w="4910" w:type="pct"/>
        <w:tblInd w:w="86" w:type="dxa"/>
        <w:tblLayout w:type="autofit"/>
        <w:tblCellMar>
          <w:left w:w="108" w:type="dxa"/>
          <w:top w:w="0" w:type="dxa"/>
          <w:right w:w="108" w:type="dxa"/>
          <w:bottom w:w="0" w:type="dxa"/>
        </w:tblCellMar>
        <w:tblLook w:val="04A0" w:firstRow="1" w:lastRow="0" w:firstColumn="1" w:lastColumn="0" w:noHBand="0" w:noVBand="1"/>
      </w:tblPr>
      <w:tblGrid>
        <w:gridCol w:w="1754"/>
        <w:gridCol w:w="6615"/>
      </w:tblGrid>
      <w:tr>
        <w:trPr>
          <w:trHeight w:val="312"/>
        </w:trPr>
        <w:tc>
          <w:tcPr>
            <w:tcBorders>
              <w:top w:val="single" w:color="auto" w:sz="4" w:space="0"/>
              <w:left w:val="single" w:color="auto" w:sz="4" w:space="0"/>
              <w:bottom w:val="single" w:color="auto" w:sz="4" w:space="0"/>
              <w:right w:val="single" w:color="auto" w:sz="4" w:space="0"/>
            </w:tcBorders>
            <w:tcW w:w="1048" w:type="pct"/>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类别</w:t>
            </w:r>
            <w:r/>
          </w:p>
        </w:tc>
        <w:tc>
          <w:tcPr>
            <w:tcBorders>
              <w:top w:val="single" w:color="auto" w:sz="4" w:space="0"/>
              <w:left w:val="none" w:color="000000" w:sz="4" w:space="0"/>
              <w:bottom w:val="single" w:color="auto" w:sz="4" w:space="0"/>
              <w:right w:val="single" w:color="auto" w:sz="4" w:space="0"/>
            </w:tcBorders>
            <w:tcW w:w="3951" w:type="pct"/>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参数要求</w:t>
            </w:r>
            <w:r/>
          </w:p>
        </w:tc>
      </w:tr>
      <w:tr>
        <w:trPr>
          <w:trHeight w:val="828"/>
        </w:trPr>
        <w:tc>
          <w:tcPr>
            <w:tcBorders>
              <w:top w:val="none" w:color="000000" w:sz="4" w:space="0"/>
              <w:left w:val="single" w:color="auto" w:sz="4" w:space="0"/>
              <w:bottom w:val="single" w:color="auto" w:sz="4" w:space="0"/>
              <w:right w:val="single" w:color="auto" w:sz="4" w:space="0"/>
            </w:tcBorders>
            <w:tcW w:w="1048"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承载技术要求</w:t>
            </w:r>
            <w:r/>
          </w:p>
        </w:tc>
        <w:tc>
          <w:tcPr>
            <w:tcBorders>
              <w:top w:val="none" w:color="000000" w:sz="4" w:space="0"/>
              <w:left w:val="none" w:color="000000" w:sz="4" w:space="0"/>
              <w:bottom w:val="single" w:color="auto" w:sz="4" w:space="0"/>
              <w:right w:val="single" w:color="auto" w:sz="4" w:space="0"/>
            </w:tcBorders>
            <w:tcW w:w="3951" w:type="pct"/>
            <w:vAlign w:val="bottom"/>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该项目通信线路务必采用与互联网物理隔离，实现透明管道，物理传输的以太网、E1等专线业务承载，保证网络安全级别及运行稳定性。</w:t>
            </w:r>
            <w:r/>
          </w:p>
        </w:tc>
      </w:tr>
      <w:tr>
        <w:trPr>
          <w:trHeight w:val="552"/>
        </w:trPr>
        <w:tc>
          <w:tcPr>
            <w:tcBorders>
              <w:top w:val="none" w:color="000000" w:sz="4" w:space="0"/>
              <w:left w:val="single" w:color="auto" w:sz="4" w:space="0"/>
              <w:bottom w:val="single" w:color="auto" w:sz="4" w:space="0"/>
              <w:right w:val="single" w:color="auto" w:sz="4" w:space="0"/>
            </w:tcBorders>
            <w:tcW w:w="1048"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带宽保障要求</w:t>
            </w:r>
            <w:r/>
          </w:p>
        </w:tc>
        <w:tc>
          <w:tcPr>
            <w:tcBorders>
              <w:top w:val="none" w:color="000000" w:sz="4" w:space="0"/>
              <w:left w:val="none" w:color="000000" w:sz="4" w:space="0"/>
              <w:bottom w:val="single" w:color="auto" w:sz="4" w:space="0"/>
              <w:right w:val="single" w:color="auto" w:sz="4" w:space="0"/>
            </w:tcBorders>
            <w:tcW w:w="3951" w:type="pct"/>
            <w:vAlign w:val="bottom"/>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该项目线路实际带宽务必保证满足采购人线路带宽要求，同时支持后期网络扩容的平滑升级。</w:t>
            </w:r>
            <w:r/>
          </w:p>
        </w:tc>
      </w:tr>
      <w:tr>
        <w:trPr>
          <w:trHeight w:val="828"/>
        </w:trPr>
        <w:tc>
          <w:tcPr>
            <w:tcBorders>
              <w:top w:val="none" w:color="000000" w:sz="4" w:space="0"/>
              <w:left w:val="single" w:color="auto" w:sz="4" w:space="0"/>
              <w:bottom w:val="single" w:color="auto" w:sz="4" w:space="0"/>
              <w:right w:val="single" w:color="auto" w:sz="4" w:space="0"/>
            </w:tcBorders>
            <w:tcW w:w="1048"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线路保护要求</w:t>
            </w:r>
            <w:r/>
          </w:p>
        </w:tc>
        <w:tc>
          <w:tcPr>
            <w:tcBorders>
              <w:top w:val="none" w:color="000000" w:sz="4" w:space="0"/>
              <w:left w:val="none" w:color="000000" w:sz="4" w:space="0"/>
              <w:bottom w:val="single" w:color="auto" w:sz="4" w:space="0"/>
              <w:right w:val="single" w:color="auto" w:sz="4" w:space="0"/>
            </w:tcBorders>
            <w:tcW w:w="3951" w:type="pct"/>
            <w:vAlign w:val="bottom"/>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提供物理双路由保护的光缆资源接入采购人中心点汇聚机房，需保证中心机房的光缆线路安全稳定性及线缆冗余，保证线路抗风险保护能力。</w:t>
            </w:r>
            <w:r/>
          </w:p>
        </w:tc>
      </w:tr>
      <w:tr>
        <w:trPr>
          <w:trHeight w:val="828"/>
        </w:trPr>
        <w:tc>
          <w:tcPr>
            <w:tcBorders>
              <w:top w:val="none" w:color="000000" w:sz="4" w:space="0"/>
              <w:left w:val="single" w:color="auto" w:sz="4" w:space="0"/>
              <w:bottom w:val="single" w:color="auto" w:sz="4" w:space="0"/>
              <w:right w:val="single" w:color="auto" w:sz="4" w:space="0"/>
            </w:tcBorders>
            <w:tcW w:w="1048"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通道质量要求</w:t>
            </w:r>
            <w:r/>
          </w:p>
        </w:tc>
        <w:tc>
          <w:tcPr>
            <w:tcBorders>
              <w:top w:val="none" w:color="000000" w:sz="4" w:space="0"/>
              <w:left w:val="none" w:color="000000" w:sz="4" w:space="0"/>
              <w:bottom w:val="single" w:color="auto" w:sz="4" w:space="0"/>
              <w:right w:val="single" w:color="auto" w:sz="4" w:space="0"/>
            </w:tcBorders>
            <w:tcW w:w="3951" w:type="pct"/>
            <w:vAlign w:val="bottom"/>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项目所租用线路需纳入中标人本地与长途骨干传输系统中，同时选择稳定、安全的光缆路由接入，确保线路运行质量与运行稳定性。</w:t>
            </w:r>
            <w:r/>
          </w:p>
        </w:tc>
      </w:tr>
      <w:tr>
        <w:trPr>
          <w:trHeight w:val="403"/>
        </w:trPr>
        <w:tc>
          <w:tcPr>
            <w:tcBorders>
              <w:top w:val="none" w:color="000000" w:sz="4" w:space="0"/>
              <w:left w:val="single" w:color="auto" w:sz="4" w:space="0"/>
              <w:bottom w:val="single" w:color="auto" w:sz="4" w:space="0"/>
              <w:right w:val="single" w:color="auto" w:sz="4" w:space="0"/>
            </w:tcBorders>
            <w:tcW w:w="1048"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设备配置要求</w:t>
            </w:r>
            <w:r/>
          </w:p>
        </w:tc>
        <w:tc>
          <w:tcPr>
            <w:tcBorders>
              <w:top w:val="none" w:color="000000" w:sz="4" w:space="0"/>
              <w:left w:val="none" w:color="000000" w:sz="4" w:space="0"/>
              <w:bottom w:val="single" w:color="auto" w:sz="4" w:space="0"/>
              <w:right w:val="single" w:color="auto" w:sz="4" w:space="0"/>
            </w:tcBorders>
            <w:tcW w:w="3951" w:type="pct"/>
            <w:vAlign w:val="bottom"/>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提供运行稳定的客户端传输承载设备，传输设备，具备足够的备件可供使用，并负责该设备的维护与调测。</w:t>
            </w:r>
            <w:r>
              <w:rPr>
                <w:rFonts w:hint="eastAsia" w:ascii="宋体" w:hAnsi="宋体" w:eastAsia="宋体"/>
                <w:sz w:val="24"/>
                <w:szCs w:val="24"/>
              </w:rPr>
              <w:br/>
            </w:r>
            <w:r>
              <w:rPr>
                <w:rFonts w:hint="eastAsia" w:ascii="宋体" w:hAnsi="宋体" w:eastAsia="宋体"/>
                <w:sz w:val="24"/>
                <w:szCs w:val="24"/>
              </w:rPr>
              <w:t xml:space="preserve">同时要求线路全程传输设备支持在线网管监控，同时保证电源及业务接口有冗余保护，便于维护测试或后期网络扩容。</w:t>
            </w:r>
            <w:r/>
          </w:p>
        </w:tc>
      </w:tr>
      <w:tr>
        <w:trPr>
          <w:trHeight w:val="828"/>
        </w:trPr>
        <w:tc>
          <w:tcPr>
            <w:tcBorders>
              <w:top w:val="none" w:color="000000" w:sz="4" w:space="0"/>
              <w:left w:val="single" w:color="auto" w:sz="4" w:space="0"/>
              <w:bottom w:val="single" w:color="auto" w:sz="4" w:space="0"/>
              <w:right w:val="single" w:color="auto" w:sz="4" w:space="0"/>
            </w:tcBorders>
            <w:tcW w:w="1048"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保护倒换要求</w:t>
            </w:r>
            <w:r/>
          </w:p>
        </w:tc>
        <w:tc>
          <w:tcPr>
            <w:tcBorders>
              <w:top w:val="none" w:color="000000" w:sz="4" w:space="0"/>
              <w:left w:val="none" w:color="000000" w:sz="4" w:space="0"/>
              <w:bottom w:val="single" w:color="auto" w:sz="4" w:space="0"/>
              <w:right w:val="single" w:color="auto" w:sz="4" w:space="0"/>
            </w:tcBorders>
            <w:tcW w:w="3951" w:type="pct"/>
            <w:vAlign w:val="bottom"/>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所提供的客户端传输承载设备，尤其是公安中心点传输设备，应支持配置主备上联端口/光路间的保护倒换，保证保护倒换时间≤50ms，倒换期间业务应用无感知。</w:t>
            </w:r>
            <w:r/>
          </w:p>
        </w:tc>
      </w:tr>
      <w:tr>
        <w:trPr>
          <w:trHeight w:val="2484"/>
        </w:trPr>
        <w:tc>
          <w:tcPr>
            <w:tcBorders>
              <w:top w:val="none" w:color="000000" w:sz="4" w:space="0"/>
              <w:left w:val="single" w:color="auto" w:sz="4" w:space="0"/>
              <w:bottom w:val="single" w:color="auto" w:sz="4" w:space="0"/>
              <w:right w:val="single" w:color="auto" w:sz="4" w:space="0"/>
            </w:tcBorders>
            <w:tcW w:w="1048"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电路性能要求</w:t>
            </w:r>
            <w:r/>
          </w:p>
        </w:tc>
        <w:tc>
          <w:tcPr>
            <w:tcBorders>
              <w:top w:val="none" w:color="000000" w:sz="4" w:space="0"/>
              <w:left w:val="none" w:color="000000" w:sz="4" w:space="0"/>
              <w:bottom w:val="single" w:color="auto" w:sz="4" w:space="0"/>
              <w:right w:val="single" w:color="auto" w:sz="4" w:space="0"/>
            </w:tcBorders>
            <w:tcW w:w="3951" w:type="pct"/>
            <w:vAlign w:val="bottom"/>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差错性能：应达到原邮电部标YDN-026 "SDH数字通道和复用段的投入业务和维护性能限值"中的相应规定。租用电路是一个实际数字通道，一个通道由多个通道段组成时，各段配额的总和不应超过该通道的配额。</w:t>
            </w:r>
            <w:r>
              <w:rPr>
                <w:rFonts w:hint="eastAsia" w:ascii="宋体" w:hAnsi="宋体" w:eastAsia="宋体"/>
                <w:sz w:val="24"/>
                <w:szCs w:val="24"/>
              </w:rPr>
              <w:br/>
            </w:r>
            <w:r>
              <w:rPr>
                <w:rFonts w:hint="eastAsia" w:ascii="宋体" w:hAnsi="宋体" w:eastAsia="宋体"/>
                <w:sz w:val="24"/>
                <w:szCs w:val="24"/>
              </w:rPr>
              <w:t xml:space="preserve">时延性能：租用电路的传输时间应不大于 (10+0.01G)ms。G为非卫星连接距离的公里数。</w:t>
            </w:r>
            <w:r>
              <w:rPr>
                <w:rFonts w:hint="eastAsia" w:ascii="宋体" w:hAnsi="宋体" w:eastAsia="宋体"/>
                <w:sz w:val="24"/>
                <w:szCs w:val="24"/>
              </w:rPr>
              <w:br/>
            </w:r>
            <w:r>
              <w:rPr>
                <w:rFonts w:hint="eastAsia" w:ascii="宋体" w:hAnsi="宋体" w:eastAsia="宋体"/>
                <w:sz w:val="24"/>
                <w:szCs w:val="24"/>
              </w:rPr>
              <w:t xml:space="preserve">可用性性能：可根据公安实际需求，采用不同的保护或恢复机制来提供不同程度的可用性性能，其性能与费用有关，本次电路可用性为99.9%。</w:t>
            </w:r>
            <w:r/>
          </w:p>
        </w:tc>
      </w:tr>
      <w:tr>
        <w:trPr>
          <w:trHeight w:val="828"/>
        </w:trPr>
        <w:tc>
          <w:tcPr>
            <w:tcBorders>
              <w:top w:val="none" w:color="000000" w:sz="4" w:space="0"/>
              <w:left w:val="single" w:color="auto" w:sz="4" w:space="0"/>
              <w:bottom w:val="single" w:color="auto" w:sz="4" w:space="0"/>
              <w:right w:val="single" w:color="auto" w:sz="4" w:space="0"/>
            </w:tcBorders>
            <w:tcW w:w="1048"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扩容升级要求</w:t>
            </w:r>
            <w:r/>
          </w:p>
        </w:tc>
        <w:tc>
          <w:tcPr>
            <w:tcBorders>
              <w:top w:val="none" w:color="000000" w:sz="4" w:space="0"/>
              <w:left w:val="none" w:color="000000" w:sz="4" w:space="0"/>
              <w:bottom w:val="single" w:color="auto" w:sz="4" w:space="0"/>
              <w:right w:val="single" w:color="auto" w:sz="4" w:space="0"/>
            </w:tcBorders>
            <w:tcW w:w="3951" w:type="pct"/>
            <w:vAlign w:val="bottom"/>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所提供的传输线路必须综合考虑后期网络节点扩容、提速等需求，保证后期网络线路提速扩容的灵活性、便利性。</w:t>
            </w:r>
            <w:r/>
          </w:p>
        </w:tc>
      </w:tr>
      <w:tr>
        <w:trPr>
          <w:trHeight w:val="552"/>
        </w:trPr>
        <w:tc>
          <w:tcPr>
            <w:tcBorders>
              <w:top w:val="none" w:color="000000" w:sz="4" w:space="0"/>
              <w:left w:val="single" w:color="auto" w:sz="4" w:space="0"/>
              <w:bottom w:val="single" w:color="auto" w:sz="4" w:space="0"/>
              <w:right w:val="single" w:color="auto" w:sz="4" w:space="0"/>
            </w:tcBorders>
            <w:tcW w:w="1048"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线路所有权要求</w:t>
            </w:r>
            <w:r/>
          </w:p>
        </w:tc>
        <w:tc>
          <w:tcPr>
            <w:tcBorders>
              <w:top w:val="none" w:color="000000" w:sz="4" w:space="0"/>
              <w:left w:val="none" w:color="000000" w:sz="4" w:space="0"/>
              <w:bottom w:val="single" w:color="auto" w:sz="4" w:space="0"/>
              <w:right w:val="single" w:color="auto" w:sz="4" w:space="0"/>
            </w:tcBorders>
            <w:tcW w:w="3951" w:type="pct"/>
            <w:vAlign w:val="bottom"/>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所提供的线路要求全程为中标人自有资产，无任何租用第三方或其它投标人资产情况。</w:t>
            </w:r>
            <w:r/>
          </w:p>
        </w:tc>
      </w:tr>
    </w:tbl>
    <w:p>
      <w:pPr>
        <w:ind w:firstLine="420"/>
        <w:spacing w:line="360" w:lineRule="auto"/>
        <w:rPr>
          <w:rFonts w:hint="eastAsia" w:ascii="宋体" w:hAnsi="宋体" w:eastAsia="宋体"/>
          <w:b/>
          <w:sz w:val="24"/>
          <w:szCs w:val="24"/>
        </w:rPr>
      </w:pPr>
      <w:r>
        <w:rPr>
          <w:rFonts w:hint="eastAsia" w:ascii="宋体" w:hAnsi="宋体" w:eastAsia="宋体"/>
          <w:b/>
          <w:bCs/>
          <w:sz w:val="24"/>
          <w:szCs w:val="24"/>
        </w:rPr>
        <w:t xml:space="preserve">1.2.6</w:t>
      </w:r>
      <w:r>
        <w:rPr>
          <w:rFonts w:hint="eastAsia" w:ascii="宋体" w:hAnsi="宋体" w:eastAsia="宋体"/>
          <w:b/>
          <w:sz w:val="24"/>
          <w:szCs w:val="24"/>
        </w:rPr>
        <w:t xml:space="preserve">电子政务外网专线线路要求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提供电子政务外网稳定高速接入服务。</w:t>
      </w:r>
      <w:r/>
    </w:p>
    <w:p>
      <w:pPr>
        <w:pStyle w:val="900"/>
        <w:ind w:firstLine="480"/>
        <w:jc w:val="both"/>
        <w:spacing w:line="360" w:lineRule="auto"/>
        <w:rPr>
          <w:rFonts w:hint="eastAsia" w:ascii="宋体" w:hAnsi="宋体"/>
          <w:sz w:val="24"/>
        </w:rPr>
      </w:pPr>
      <w:r>
        <w:rPr>
          <w:rFonts w:hint="eastAsia" w:ascii="宋体" w:hAnsi="宋体"/>
          <w:sz w:val="24"/>
        </w:rPr>
        <w:t xml:space="preserve">为接入单位独占专线，全透明专用二层数据线路，与互联网物理隔离。线路采用裸光纤、OTN、IPRAN等传输链路方式承载，可用率不低于99.95%，平均丢包率不高于1%，误码率至1×10</w:t>
      </w:r>
      <w:r>
        <w:rPr>
          <w:rFonts w:hint="eastAsia" w:ascii="宋体" w:hAnsi="宋体"/>
          <w:sz w:val="24"/>
          <w:vertAlign w:val="superscript"/>
        </w:rPr>
        <w:t xml:space="preserve">-7</w:t>
      </w:r>
      <w:r>
        <w:rPr>
          <w:rFonts w:hint="eastAsia" w:ascii="宋体" w:hAnsi="宋体"/>
          <w:sz w:val="24"/>
        </w:rPr>
        <w:t xml:space="preserve">，最高时延≤50ms，倒换时间≤50ms。</w:t>
      </w:r>
      <w:r/>
    </w:p>
    <w:p>
      <w:pPr>
        <w:ind w:firstLine="482"/>
        <w:spacing w:line="360" w:lineRule="auto"/>
        <w:rPr>
          <w:rFonts w:hint="eastAsia" w:ascii="宋体" w:hAnsi="宋体" w:eastAsia="宋体"/>
          <w:b/>
          <w:sz w:val="24"/>
          <w:szCs w:val="24"/>
        </w:rPr>
      </w:pPr>
      <w:r>
        <w:rPr>
          <w:rFonts w:hint="eastAsia" w:ascii="宋体" w:hAnsi="宋体" w:eastAsia="宋体"/>
          <w:b/>
          <w:bCs/>
          <w:sz w:val="24"/>
          <w:szCs w:val="24"/>
        </w:rPr>
        <w:t xml:space="preserve">1.2.7</w:t>
      </w:r>
      <w:r>
        <w:rPr>
          <w:rFonts w:hint="eastAsia" w:ascii="宋体" w:hAnsi="宋体" w:eastAsia="宋体"/>
          <w:b/>
          <w:sz w:val="24"/>
          <w:szCs w:val="24"/>
        </w:rPr>
        <w:t xml:space="preserve">业务专线、裸纤专线线路要求</w:t>
      </w:r>
      <w:r/>
    </w:p>
    <w:p>
      <w:pPr>
        <w:ind w:firstLine="480"/>
        <w:spacing w:line="360" w:lineRule="auto"/>
        <w:rPr>
          <w:rFonts w:hint="eastAsia" w:ascii="宋体" w:hAnsi="宋体" w:eastAsia="宋体"/>
          <w:sz w:val="24"/>
          <w:szCs w:val="24"/>
        </w:rPr>
      </w:pPr>
      <w:r>
        <w:rPr>
          <w:rFonts w:hint="eastAsia" w:ascii="宋体" w:hAnsi="宋体" w:eastAsia="宋体"/>
          <w:bCs/>
          <w:sz w:val="24"/>
          <w:szCs w:val="24"/>
        </w:rPr>
        <w:t xml:space="preserve">业务专线、裸纤采用点对点单模光纤直连。</w:t>
      </w:r>
      <w:r>
        <w:rPr>
          <w:rFonts w:ascii="宋体" w:hAnsi="宋体" w:eastAsia="宋体"/>
          <w:sz w:val="24"/>
          <w:szCs w:val="24"/>
        </w:rPr>
        <w:t xml:space="preserve">主要技术要求</w:t>
      </w:r>
      <w:r>
        <w:rPr>
          <w:rFonts w:hint="eastAsia" w:ascii="宋体" w:hAnsi="宋体" w:eastAsia="宋体"/>
          <w:sz w:val="24"/>
          <w:szCs w:val="24"/>
        </w:rPr>
        <w:t xml:space="preserve">见下表：</w:t>
      </w:r>
      <w:r/>
    </w:p>
    <w:tbl>
      <w:tblPr>
        <w:tblStyle w:val="842"/>
        <w:tblW w:w="8635" w:type="dxa"/>
        <w:jc w:val="center"/>
        <w:tblLayout w:type="fixed"/>
        <w:tblCellMar>
          <w:left w:w="108" w:type="dxa"/>
          <w:top w:w="0" w:type="dxa"/>
          <w:right w:w="108" w:type="dxa"/>
          <w:bottom w:w="0" w:type="dxa"/>
        </w:tblCellMar>
        <w:tblLook w:val="04A0" w:firstRow="1" w:lastRow="0" w:firstColumn="1" w:lastColumn="0" w:noHBand="0" w:noVBand="1"/>
      </w:tblPr>
      <w:tblGrid>
        <w:gridCol w:w="799"/>
        <w:gridCol w:w="1353"/>
        <w:gridCol w:w="1324"/>
        <w:gridCol w:w="1727"/>
        <w:gridCol w:w="1772"/>
        <w:gridCol w:w="965"/>
        <w:gridCol w:w="695"/>
      </w:tblGrid>
      <w:tr>
        <w:trPr>
          <w:jc w:val="center"/>
          <w:trHeight w:val="518"/>
          <w:tblHeader/>
        </w:trPr>
        <w:tc>
          <w:tcPr>
            <w:tcBorders>
              <w:top w:val="single" w:color="auto" w:sz="4" w:space="0"/>
              <w:left w:val="single" w:color="auto" w:sz="4" w:space="0"/>
              <w:bottom w:val="single" w:color="000000" w:sz="4" w:space="0"/>
              <w:right w:val="single" w:color="auto" w:sz="4" w:space="0"/>
            </w:tcBorders>
            <w:tcW w:w="799" w:type="dxa"/>
            <w:vAlign w:val="center"/>
            <w:vMerge w:val="restart"/>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gridSpan w:val="2"/>
            <w:tcBorders>
              <w:top w:val="single" w:color="auto" w:sz="4" w:space="0"/>
              <w:left w:val="none" w:color="000000" w:sz="4" w:space="0"/>
              <w:bottom w:val="single" w:color="000000" w:sz="4" w:space="0"/>
              <w:right w:val="single" w:color="000000" w:sz="4" w:space="0"/>
            </w:tcBorders>
            <w:tcW w:w="2677" w:type="dxa"/>
            <w:vAlign w:val="center"/>
            <w:vMerge w:val="restart"/>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    目</w:t>
            </w:r>
            <w:r/>
          </w:p>
        </w:tc>
        <w:tc>
          <w:tcPr>
            <w:tcBorders>
              <w:top w:val="single" w:color="auto" w:sz="4" w:space="0"/>
              <w:left w:val="none" w:color="000000" w:sz="4" w:space="0"/>
              <w:bottom w:val="single" w:color="000000" w:sz="4" w:space="0"/>
              <w:right w:val="single" w:color="auto" w:sz="4" w:space="0"/>
            </w:tcBorders>
            <w:tcW w:w="1727" w:type="dxa"/>
            <w:vAlign w:val="center"/>
            <w:vMerge w:val="restart"/>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 位</w:t>
            </w:r>
            <w:r/>
          </w:p>
        </w:tc>
        <w:tc>
          <w:tcPr>
            <w:gridSpan w:val="3"/>
            <w:tcBorders>
              <w:top w:val="single" w:color="auto" w:sz="4" w:space="0"/>
              <w:left w:val="none" w:color="000000" w:sz="4" w:space="0"/>
              <w:bottom w:val="single" w:color="auto" w:sz="4" w:space="0"/>
              <w:right w:val="single" w:color="000000" w:sz="4" w:space="0"/>
            </w:tcBorders>
            <w:tcW w:w="343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技术指标</w:t>
            </w:r>
            <w:r/>
          </w:p>
        </w:tc>
      </w:tr>
      <w:tr>
        <w:trPr>
          <w:jc w:val="center"/>
          <w:trHeight w:val="220"/>
          <w:tblHeader/>
        </w:trPr>
        <w:tc>
          <w:tcPr>
            <w:tcBorders>
              <w:top w:val="single" w:color="auto" w:sz="4" w:space="0"/>
              <w:left w:val="single" w:color="auto" w:sz="4" w:space="0"/>
              <w:bottom w:val="single" w:color="000000" w:sz="4" w:space="0"/>
              <w:right w:val="single" w:color="auto" w:sz="4" w:space="0"/>
            </w:tcBorders>
            <w:tcW w:w="799" w:type="dxa"/>
            <w:vAlign w:val="center"/>
            <w:vMerge w:val="continue"/>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none" w:color="000000" w:sz="4" w:space="0"/>
              <w:bottom w:val="single" w:color="000000" w:sz="4" w:space="0"/>
              <w:right w:val="single" w:color="000000" w:sz="4" w:space="0"/>
            </w:tcBorders>
            <w:tcW w:w="2677" w:type="dxa"/>
            <w:vAlign w:val="center"/>
            <w:vMerge w:val="continue"/>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none" w:color="000000" w:sz="4" w:space="0"/>
              <w:bottom w:val="single" w:color="000000" w:sz="4" w:space="0"/>
              <w:right w:val="single" w:color="auto" w:sz="4" w:space="0"/>
            </w:tcBorders>
            <w:tcW w:w="1727" w:type="dxa"/>
            <w:vAlign w:val="center"/>
            <w:vMerge w:val="continue"/>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G.652D</w:t>
            </w:r>
            <w:r/>
          </w:p>
        </w:tc>
        <w:tc>
          <w:tcPr>
            <w:gridSpan w:val="2"/>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G.657A2</w:t>
            </w:r>
            <w:r/>
          </w:p>
        </w:tc>
      </w:tr>
      <w:tr>
        <w:trPr>
          <w:jc w:val="center"/>
          <w:trHeight w:val="372"/>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353"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模场直径</w:t>
            </w:r>
            <w:r/>
          </w:p>
        </w:tc>
        <w:tc>
          <w:tcPr>
            <w:tcBorders>
              <w:top w:val="none" w:color="000000" w:sz="4" w:space="0"/>
              <w:left w:val="none" w:color="000000" w:sz="4" w:space="0"/>
              <w:bottom w:val="single" w:color="auto" w:sz="4" w:space="0"/>
              <w:right w:val="single" w:color="auto" w:sz="4" w:space="0"/>
            </w:tcBorders>
            <w:tcW w:w="1324"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1310nm</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μm</w:t>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（8.6~9.5）±0.6</w:t>
            </w:r>
            <w:r/>
          </w:p>
        </w:tc>
        <w:tc>
          <w:tcPr>
            <w:gridSpan w:val="2"/>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（8.6~9.5）±0.4</w:t>
            </w:r>
            <w:r/>
          </w:p>
        </w:tc>
      </w:tr>
      <w:tr>
        <w:trPr>
          <w:jc w:val="center"/>
          <w:trHeight w:val="220"/>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2"/>
            <w:tcBorders>
              <w:top w:val="single" w:color="auto" w:sz="4" w:space="0"/>
              <w:left w:val="none" w:color="000000" w:sz="4" w:space="0"/>
              <w:bottom w:val="single" w:color="auto" w:sz="4" w:space="0"/>
              <w:right w:val="single" w:color="auto" w:sz="4" w:space="0"/>
            </w:tcBorders>
            <w:tcW w:w="2677"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包层直径</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mm</w:t>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125±1</w:t>
            </w:r>
            <w:r/>
          </w:p>
        </w:tc>
        <w:tc>
          <w:tcPr>
            <w:gridSpan w:val="2"/>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125±0.7</w:t>
            </w:r>
            <w:r/>
          </w:p>
        </w:tc>
      </w:tr>
      <w:tr>
        <w:trPr>
          <w:jc w:val="center"/>
          <w:trHeight w:val="220"/>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gridSpan w:val="2"/>
            <w:tcBorders>
              <w:top w:val="single" w:color="auto" w:sz="4" w:space="0"/>
              <w:left w:val="none" w:color="000000" w:sz="4" w:space="0"/>
              <w:bottom w:val="single" w:color="auto" w:sz="4" w:space="0"/>
              <w:right w:val="single" w:color="auto" w:sz="4" w:space="0"/>
            </w:tcBorders>
            <w:tcW w:w="2677"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纤心同心度误差</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mm</w:t>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≤±0.6</w:t>
            </w:r>
            <w:r/>
          </w:p>
        </w:tc>
        <w:tc>
          <w:tcPr>
            <w:gridSpan w:val="2"/>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≤±0.7</w:t>
            </w:r>
            <w:r/>
          </w:p>
        </w:tc>
      </w:tr>
      <w:tr>
        <w:trPr>
          <w:jc w:val="center"/>
          <w:trHeight w:val="220"/>
        </w:trPr>
        <w:tc>
          <w:tcPr>
            <w:tcBorders>
              <w:top w:val="single" w:color="auto" w:sz="4" w:space="0"/>
              <w:left w:val="single" w:color="auto" w:sz="4" w:space="0"/>
              <w:bottom w:val="single" w:color="auto" w:sz="4" w:space="0"/>
              <w:right w:val="single" w:color="auto" w:sz="4" w:space="0"/>
            </w:tcBorders>
            <w:tcW w:w="799"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gridSpan w:val="2"/>
            <w:tcBorders>
              <w:top w:val="single" w:color="auto" w:sz="4" w:space="0"/>
              <w:left w:val="none" w:color="000000" w:sz="4" w:space="0"/>
              <w:bottom w:val="single" w:color="auto" w:sz="4" w:space="0"/>
              <w:right w:val="single" w:color="auto" w:sz="4" w:space="0"/>
            </w:tcBorders>
            <w:tcW w:w="2677"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包层不圆度</w:t>
            </w:r>
            <w:r/>
          </w:p>
        </w:tc>
        <w:tc>
          <w:tcPr>
            <w:tcBorders>
              <w:top w:val="single" w:color="auto" w:sz="4" w:space="0"/>
              <w:left w:val="none" w:color="000000" w:sz="4" w:space="0"/>
              <w:bottom w:val="single" w:color="auto" w:sz="4" w:space="0"/>
              <w:right w:val="single" w:color="auto" w:sz="4" w:space="0"/>
            </w:tcBorders>
            <w:tcW w:w="1727" w:type="dxa"/>
            <w:vAlign w:val="center"/>
            <w:textDirection w:val="lrTb"/>
            <w:noWrap/>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2"/>
            <w:tcBorders>
              <w:top w:val="single" w:color="auto" w:sz="4" w:space="0"/>
              <w:left w:val="none" w:color="000000" w:sz="4" w:space="0"/>
              <w:bottom w:val="single" w:color="auto" w:sz="4" w:space="0"/>
              <w:right w:val="single" w:color="auto" w:sz="4" w:space="0"/>
            </w:tcBorders>
            <w:tcW w:w="1660"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220"/>
        </w:trPr>
        <w:tc>
          <w:tcPr>
            <w:tcBorders>
              <w:top w:val="none" w:color="000000" w:sz="4" w:space="0"/>
              <w:left w:val="single" w:color="auto" w:sz="4" w:space="0"/>
              <w:bottom w:val="single" w:color="auto" w:sz="4" w:space="0"/>
              <w:right w:val="single" w:color="auto" w:sz="4" w:space="0"/>
            </w:tcBorders>
            <w:tcW w:w="799" w:type="dxa"/>
            <w:vAlign w:val="center"/>
            <w:vMerge w:val="restart"/>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353" w:type="dxa"/>
            <w:vAlign w:val="center"/>
            <w:vMerge w:val="restart"/>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截止波长</w:t>
            </w:r>
            <w:r/>
          </w:p>
        </w:tc>
        <w:tc>
          <w:tcPr>
            <w:tcBorders>
              <w:top w:val="single" w:color="auto" w:sz="4" w:space="0"/>
              <w:left w:val="none" w:color="000000" w:sz="4" w:space="0"/>
              <w:bottom w:val="single" w:color="auto" w:sz="4" w:space="0"/>
              <w:right w:val="single" w:color="auto" w:sz="4" w:space="0"/>
            </w:tcBorders>
            <w:tcW w:w="1324"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λc</w:t>
            </w:r>
            <w:r/>
          </w:p>
        </w:tc>
        <w:tc>
          <w:tcPr>
            <w:tcBorders>
              <w:top w:val="none" w:color="000000" w:sz="4" w:space="0"/>
              <w:left w:val="none" w:color="000000" w:sz="4" w:space="0"/>
              <w:bottom w:val="single" w:color="auto" w:sz="4" w:space="0"/>
              <w:right w:val="single" w:color="auto" w:sz="4" w:space="0"/>
            </w:tcBorders>
            <w:tcW w:w="1727" w:type="dxa"/>
            <w:vAlign w:val="center"/>
            <w:vMerge w:val="restart"/>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nm</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≤1250</w:t>
            </w:r>
            <w:r/>
          </w:p>
        </w:tc>
        <w:tc>
          <w:tcPr>
            <w:gridSpan w:val="2"/>
            <w:tcBorders>
              <w:top w:val="single" w:color="auto" w:sz="4" w:space="0"/>
              <w:left w:val="none" w:color="000000" w:sz="4" w:space="0"/>
              <w:bottom w:val="single" w:color="auto" w:sz="4" w:space="0"/>
              <w:right w:val="single" w:color="auto" w:sz="4" w:space="0"/>
            </w:tcBorders>
            <w:tcW w:w="1660"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≤1250</w:t>
            </w:r>
            <w:r/>
          </w:p>
        </w:tc>
      </w:tr>
      <w:tr>
        <w:trPr>
          <w:jc w:val="center"/>
          <w:trHeight w:val="220"/>
        </w:trPr>
        <w:tc>
          <w:tcPr>
            <w:tcBorders>
              <w:top w:val="none" w:color="000000" w:sz="4" w:space="0"/>
              <w:left w:val="single" w:color="auto" w:sz="4" w:space="0"/>
              <w:bottom w:val="single" w:color="auto" w:sz="4" w:space="0"/>
              <w:right w:val="single" w:color="auto" w:sz="4" w:space="0"/>
            </w:tcBorders>
            <w:tcW w:w="799" w:type="dxa"/>
            <w:vAlign w:val="center"/>
            <w:vMerge w:val="continue"/>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1353" w:type="dxa"/>
            <w:vAlign w:val="center"/>
            <w:vMerge w:val="continue"/>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1324"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λcc</w:t>
            </w:r>
            <w:r/>
          </w:p>
        </w:tc>
        <w:tc>
          <w:tcPr>
            <w:tcBorders>
              <w:top w:val="none" w:color="000000" w:sz="4" w:space="0"/>
              <w:left w:val="none" w:color="000000" w:sz="4" w:space="0"/>
              <w:bottom w:val="single" w:color="auto" w:sz="4" w:space="0"/>
              <w:right w:val="single" w:color="auto" w:sz="4" w:space="0"/>
            </w:tcBorders>
            <w:tcW w:w="1727" w:type="dxa"/>
            <w:vAlign w:val="center"/>
            <w:vMerge w:val="continue"/>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≤1260</w:t>
            </w:r>
            <w:r/>
          </w:p>
        </w:tc>
        <w:tc>
          <w:tcPr>
            <w:gridSpan w:val="2"/>
            <w:tcBorders>
              <w:top w:val="single" w:color="auto" w:sz="4" w:space="0"/>
              <w:left w:val="none" w:color="000000" w:sz="4" w:space="0"/>
              <w:bottom w:val="single" w:color="auto" w:sz="4" w:space="0"/>
              <w:right w:val="single" w:color="auto" w:sz="4" w:space="0"/>
            </w:tcBorders>
            <w:tcW w:w="1660"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≤1260</w:t>
            </w:r>
            <w:r/>
          </w:p>
        </w:tc>
      </w:tr>
      <w:tr>
        <w:trPr>
          <w:jc w:val="center"/>
          <w:trHeight w:val="220"/>
        </w:trPr>
        <w:tc>
          <w:tcPr>
            <w:tcBorders>
              <w:top w:val="none" w:color="000000" w:sz="4" w:space="0"/>
              <w:left w:val="single" w:color="auto" w:sz="4" w:space="0"/>
              <w:bottom w:val="single" w:color="auto" w:sz="4" w:space="0"/>
              <w:right w:val="single" w:color="auto" w:sz="4" w:space="0"/>
            </w:tcBorders>
            <w:tcW w:w="799" w:type="dxa"/>
            <w:vAlign w:val="center"/>
            <w:vMerge w:val="restart"/>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none" w:color="000000" w:sz="4" w:space="0"/>
              <w:left w:val="none" w:color="000000" w:sz="4" w:space="0"/>
              <w:bottom w:val="single" w:color="000000" w:sz="4" w:space="0"/>
              <w:right w:val="single" w:color="auto" w:sz="4" w:space="0"/>
            </w:tcBorders>
            <w:tcW w:w="1353" w:type="dxa"/>
            <w:vAlign w:val="center"/>
            <w:vMerge w:val="restart"/>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衰减系数</w:t>
            </w:r>
            <w:r/>
          </w:p>
        </w:tc>
        <w:tc>
          <w:tcPr>
            <w:tcBorders>
              <w:top w:val="single" w:color="auto" w:sz="4" w:space="0"/>
              <w:left w:val="none" w:color="000000" w:sz="4" w:space="0"/>
              <w:bottom w:val="single" w:color="auto" w:sz="4" w:space="0"/>
              <w:right w:val="single" w:color="auto" w:sz="4" w:space="0"/>
            </w:tcBorders>
            <w:tcW w:w="1324"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1310nm</w:t>
            </w:r>
            <w:r/>
          </w:p>
        </w:tc>
        <w:tc>
          <w:tcPr>
            <w:tcBorders>
              <w:top w:val="none" w:color="000000" w:sz="4" w:space="0"/>
              <w:left w:val="none" w:color="000000" w:sz="4" w:space="0"/>
              <w:bottom w:val="single" w:color="auto" w:sz="4" w:space="0"/>
              <w:right w:val="single" w:color="auto" w:sz="4" w:space="0"/>
            </w:tcBorders>
            <w:tcW w:w="1727" w:type="dxa"/>
            <w:vAlign w:val="center"/>
            <w:vMerge w:val="restart"/>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dB/km</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≤0.40</w:t>
            </w:r>
            <w:r/>
          </w:p>
        </w:tc>
        <w:tc>
          <w:tcPr>
            <w:gridSpan w:val="2"/>
            <w:tcBorders>
              <w:top w:val="single" w:color="auto" w:sz="4" w:space="0"/>
              <w:left w:val="none" w:color="000000" w:sz="4" w:space="0"/>
              <w:bottom w:val="single" w:color="auto" w:sz="4" w:space="0"/>
              <w:right w:val="single" w:color="auto" w:sz="4" w:space="0"/>
            </w:tcBorders>
            <w:tcW w:w="1660"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≤0.40</w:t>
            </w:r>
            <w:r/>
          </w:p>
        </w:tc>
      </w:tr>
      <w:tr>
        <w:trPr>
          <w:jc w:val="center"/>
          <w:trHeight w:val="220"/>
        </w:trPr>
        <w:tc>
          <w:tcPr>
            <w:tcBorders>
              <w:top w:val="none" w:color="000000" w:sz="4" w:space="0"/>
              <w:left w:val="single" w:color="auto" w:sz="4" w:space="0"/>
              <w:bottom w:val="single" w:color="auto" w:sz="4" w:space="0"/>
              <w:right w:val="single" w:color="auto" w:sz="4" w:space="0"/>
            </w:tcBorders>
            <w:tcW w:w="799" w:type="dxa"/>
            <w:vAlign w:val="center"/>
            <w:vMerge w:val="continue"/>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1353" w:type="dxa"/>
            <w:vAlign w:val="center"/>
            <w:vMerge w:val="continue"/>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324"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1550nm</w:t>
            </w:r>
            <w:r/>
          </w:p>
        </w:tc>
        <w:tc>
          <w:tcPr>
            <w:tcBorders>
              <w:top w:val="none" w:color="000000" w:sz="4" w:space="0"/>
              <w:left w:val="none" w:color="000000" w:sz="4" w:space="0"/>
              <w:bottom w:val="single" w:color="auto" w:sz="4" w:space="0"/>
              <w:right w:val="single" w:color="auto" w:sz="4" w:space="0"/>
            </w:tcBorders>
            <w:tcW w:w="1727" w:type="dxa"/>
            <w:vAlign w:val="center"/>
            <w:vMerge w:val="continue"/>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≤0.35</w:t>
            </w:r>
            <w:r/>
          </w:p>
        </w:tc>
        <w:tc>
          <w:tcPr>
            <w:gridSpan w:val="2"/>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≤0.30</w:t>
            </w:r>
            <w:r/>
          </w:p>
        </w:tc>
      </w:tr>
      <w:tr>
        <w:trPr>
          <w:jc w:val="center"/>
          <w:trHeight w:val="372"/>
        </w:trPr>
        <w:tc>
          <w:tcPr>
            <w:tcBorders>
              <w:top w:val="single" w:color="auto" w:sz="4" w:space="0"/>
              <w:left w:val="single" w:color="auto" w:sz="4" w:space="0"/>
              <w:bottom w:val="single" w:color="auto" w:sz="4" w:space="0"/>
              <w:right w:val="single" w:color="auto" w:sz="4" w:space="0"/>
            </w:tcBorders>
            <w:tcW w:w="799"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gridSpan w:val="2"/>
            <w:tcBorders>
              <w:top w:val="single" w:color="auto" w:sz="4" w:space="0"/>
              <w:left w:val="none" w:color="000000" w:sz="4" w:space="0"/>
              <w:bottom w:val="single" w:color="auto" w:sz="4" w:space="0"/>
              <w:right w:val="single" w:color="auto" w:sz="4" w:space="0"/>
            </w:tcBorders>
            <w:tcW w:w="2677"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零色散波长范围</w:t>
            </w:r>
            <w:r/>
          </w:p>
        </w:tc>
        <w:tc>
          <w:tcPr>
            <w:tcBorders>
              <w:top w:val="single" w:color="auto" w:sz="4" w:space="0"/>
              <w:left w:val="none" w:color="000000" w:sz="4" w:space="0"/>
              <w:bottom w:val="single" w:color="auto" w:sz="4" w:space="0"/>
              <w:right w:val="single" w:color="auto" w:sz="4" w:space="0"/>
            </w:tcBorders>
            <w:tcW w:w="1727"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nm</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1300~1324</w:t>
            </w:r>
            <w:r/>
          </w:p>
        </w:tc>
        <w:tc>
          <w:tcPr>
            <w:gridSpan w:val="2"/>
            <w:tcBorders>
              <w:top w:val="single" w:color="auto" w:sz="4" w:space="0"/>
              <w:left w:val="none" w:color="000000" w:sz="4" w:space="0"/>
              <w:bottom w:val="single" w:color="auto" w:sz="4" w:space="0"/>
              <w:right w:val="single" w:color="auto" w:sz="4" w:space="0"/>
            </w:tcBorders>
            <w:tcW w:w="1660"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1300~1324</w:t>
            </w:r>
            <w:r/>
          </w:p>
        </w:tc>
      </w:tr>
      <w:tr>
        <w:trPr>
          <w:jc w:val="center"/>
          <w:trHeight w:val="406"/>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gridSpan w:val="2"/>
            <w:tcBorders>
              <w:top w:val="single" w:color="auto" w:sz="4" w:space="0"/>
              <w:left w:val="none" w:color="000000" w:sz="4" w:space="0"/>
              <w:bottom w:val="single" w:color="auto" w:sz="4" w:space="0"/>
              <w:right w:val="single" w:color="auto" w:sz="4" w:space="0"/>
            </w:tcBorders>
            <w:tcW w:w="2677"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最大零色散点斜率</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Ps/（nm2×km）</w:t>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≤0.092</w:t>
            </w:r>
            <w:r/>
          </w:p>
        </w:tc>
        <w:tc>
          <w:tcPr>
            <w:gridSpan w:val="2"/>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≤0.092</w:t>
            </w:r>
            <w:r/>
          </w:p>
        </w:tc>
      </w:tr>
      <w:tr>
        <w:trPr>
          <w:jc w:val="center"/>
          <w:trHeight w:val="220"/>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p>
        </w:tc>
        <w:tc>
          <w:tcPr>
            <w:gridSpan w:val="2"/>
            <w:tcBorders>
              <w:top w:val="single" w:color="auto" w:sz="4" w:space="0"/>
              <w:left w:val="none" w:color="000000" w:sz="4" w:space="0"/>
              <w:bottom w:val="single" w:color="auto" w:sz="4" w:space="0"/>
              <w:right w:val="single" w:color="000000" w:sz="4" w:space="0"/>
            </w:tcBorders>
            <w:tcW w:w="2677"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表面应力</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GPa</w:t>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≥0.69</w:t>
            </w:r>
            <w:r/>
          </w:p>
        </w:tc>
        <w:tc>
          <w:tcPr>
            <w:gridSpan w:val="2"/>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≥0.69</w:t>
            </w:r>
            <w:r/>
          </w:p>
        </w:tc>
      </w:tr>
      <w:tr>
        <w:trPr>
          <w:jc w:val="center"/>
          <w:trHeight w:val="220"/>
        </w:trPr>
        <w:tc>
          <w:tcPr>
            <w:tcBorders>
              <w:top w:val="none" w:color="000000" w:sz="4" w:space="0"/>
              <w:left w:val="single" w:color="auto" w:sz="4" w:space="0"/>
              <w:bottom w:val="single" w:color="000000" w:sz="4" w:space="0"/>
              <w:right w:val="single" w:color="auto" w:sz="4" w:space="0"/>
            </w:tcBorders>
            <w:tcW w:w="799" w:type="dxa"/>
            <w:vAlign w:val="center"/>
            <w:vMerge w:val="restart"/>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auto" w:sz="4" w:space="0"/>
              <w:right w:val="single" w:color="auto" w:sz="4" w:space="0"/>
            </w:tcBorders>
            <w:tcW w:w="1353" w:type="dxa"/>
            <w:vAlign w:val="center"/>
            <w:vMerge w:val="restart"/>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宏弯损耗</w:t>
            </w:r>
            <w:r/>
          </w:p>
        </w:tc>
        <w:tc>
          <w:tcPr>
            <w:tcBorders>
              <w:top w:val="none" w:color="000000" w:sz="4" w:space="0"/>
              <w:left w:val="none" w:color="000000" w:sz="4" w:space="0"/>
              <w:bottom w:val="single" w:color="auto" w:sz="4" w:space="0"/>
              <w:right w:val="single" w:color="auto" w:sz="4" w:space="0"/>
            </w:tcBorders>
            <w:tcW w:w="1324"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半径</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mm</w:t>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30</w:t>
            </w:r>
            <w:r/>
          </w:p>
        </w:tc>
        <w:tc>
          <w:tcPr>
            <w:tcBorders>
              <w:top w:val="single" w:color="auto" w:sz="4" w:space="0"/>
              <w:left w:val="none" w:color="000000" w:sz="4" w:space="0"/>
              <w:bottom w:val="single" w:color="auto" w:sz="4" w:space="0"/>
              <w:right w:val="single" w:color="auto" w:sz="4" w:space="0"/>
            </w:tcBorders>
            <w:tcW w:w="965"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15</w:t>
            </w:r>
            <w:r/>
          </w:p>
        </w:tc>
        <w:tc>
          <w:tcPr>
            <w:tcBorders>
              <w:top w:val="single" w:color="auto" w:sz="4" w:space="0"/>
              <w:left w:val="none" w:color="000000" w:sz="4" w:space="0"/>
              <w:bottom w:val="single" w:color="auto" w:sz="4" w:space="0"/>
              <w:right w:val="single" w:color="auto" w:sz="4" w:space="0"/>
            </w:tcBorders>
            <w:tcW w:w="695"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r>
      <w:tr>
        <w:trPr>
          <w:jc w:val="center"/>
          <w:trHeight w:val="220"/>
        </w:trPr>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353" w:type="dxa"/>
            <w:vAlign w:val="center"/>
            <w:vMerge w:val="continue"/>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324"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圈数</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圈</w:t>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100</w:t>
            </w:r>
            <w:r/>
          </w:p>
        </w:tc>
        <w:tc>
          <w:tcPr>
            <w:tcBorders>
              <w:top w:val="single" w:color="auto" w:sz="4" w:space="0"/>
              <w:left w:val="none" w:color="000000" w:sz="4" w:space="0"/>
              <w:bottom w:val="single" w:color="auto" w:sz="4" w:space="0"/>
              <w:right w:val="single" w:color="auto" w:sz="4" w:space="0"/>
            </w:tcBorders>
            <w:tcW w:w="965"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none" w:color="000000" w:sz="4" w:space="0"/>
              <w:bottom w:val="single" w:color="auto" w:sz="4" w:space="0"/>
              <w:right w:val="single" w:color="auto" w:sz="4" w:space="0"/>
            </w:tcBorders>
            <w:tcW w:w="695"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220"/>
        </w:trPr>
        <w:tc>
          <w:tcPr>
            <w:tcBorders>
              <w:top w:val="single" w:color="auto" w:sz="4" w:space="0"/>
              <w:left w:val="single" w:color="auto" w:sz="4" w:space="0"/>
              <w:bottom w:val="single" w:color="auto" w:sz="4" w:space="0"/>
              <w:right w:val="single" w:color="auto" w:sz="4" w:space="0"/>
            </w:tcBorders>
            <w:tcW w:w="799"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top w:val="single" w:color="auto" w:sz="4" w:space="0"/>
              <w:left w:val="none" w:color="000000" w:sz="4" w:space="0"/>
              <w:bottom w:val="single" w:color="auto" w:sz="4" w:space="0"/>
              <w:right w:val="single" w:color="auto" w:sz="4" w:space="0"/>
            </w:tcBorders>
            <w:tcW w:w="1353"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宏弯损耗</w:t>
            </w:r>
            <w:r/>
          </w:p>
        </w:tc>
        <w:tc>
          <w:tcPr>
            <w:tcBorders>
              <w:top w:val="single" w:color="auto" w:sz="4" w:space="0"/>
              <w:left w:val="none" w:color="000000" w:sz="4" w:space="0"/>
              <w:bottom w:val="single" w:color="auto" w:sz="4" w:space="0"/>
              <w:right w:val="single" w:color="auto" w:sz="4" w:space="0"/>
            </w:tcBorders>
            <w:tcW w:w="1324"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1550nm</w:t>
            </w:r>
            <w:r/>
          </w:p>
        </w:tc>
        <w:tc>
          <w:tcPr>
            <w:tcBorders>
              <w:top w:val="single" w:color="auto" w:sz="4" w:space="0"/>
              <w:left w:val="none" w:color="000000" w:sz="4" w:space="0"/>
              <w:bottom w:val="single" w:color="auto" w:sz="4" w:space="0"/>
              <w:right w:val="single" w:color="auto" w:sz="4" w:space="0"/>
            </w:tcBorders>
            <w:tcW w:w="1727"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dB</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≤0.1dB</w:t>
            </w:r>
            <w:r/>
          </w:p>
        </w:tc>
        <w:tc>
          <w:tcPr>
            <w:tcBorders>
              <w:top w:val="single" w:color="auto" w:sz="4" w:space="0"/>
              <w:left w:val="none" w:color="000000" w:sz="4" w:space="0"/>
              <w:bottom w:val="single" w:color="auto" w:sz="4" w:space="0"/>
              <w:right w:val="single" w:color="auto" w:sz="4" w:space="0"/>
            </w:tcBorders>
            <w:tcW w:w="965"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≤0.030</w:t>
            </w:r>
            <w:r/>
          </w:p>
        </w:tc>
        <w:tc>
          <w:tcPr>
            <w:tcBorders>
              <w:top w:val="single" w:color="auto" w:sz="4" w:space="0"/>
              <w:left w:val="none" w:color="000000" w:sz="4" w:space="0"/>
              <w:bottom w:val="single" w:color="auto" w:sz="4" w:space="0"/>
              <w:right w:val="single" w:color="auto" w:sz="4" w:space="0"/>
            </w:tcBorders>
            <w:tcW w:w="695"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≤0.1</w:t>
            </w:r>
            <w:r/>
          </w:p>
        </w:tc>
      </w:tr>
    </w:tbl>
    <w:p>
      <w:pPr>
        <w:ind w:firstLine="480"/>
        <w:spacing w:before="240" w:line="360" w:lineRule="auto"/>
        <w:rPr>
          <w:rFonts w:hint="eastAsia" w:ascii="宋体" w:hAnsi="宋体" w:eastAsia="宋体" w:cs="宋体"/>
          <w:sz w:val="24"/>
        </w:rPr>
      </w:pPr>
      <w:r>
        <w:rPr>
          <w:rFonts w:hint="eastAsia" w:ascii="宋体" w:hAnsi="宋体" w:eastAsia="宋体" w:cs="宋体"/>
          <w:sz w:val="24"/>
        </w:rPr>
        <w:t xml:space="preserve">接入网络用光缆的允许拉伸力和压扁力:</w:t>
      </w:r>
      <w:r/>
    </w:p>
    <w:tbl>
      <w:tblPr>
        <w:tblStyle w:val="842"/>
        <w:tblW w:w="8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3"/>
        <w:gridCol w:w="1417"/>
        <w:gridCol w:w="899"/>
        <w:gridCol w:w="1469"/>
        <w:gridCol w:w="1339"/>
        <w:gridCol w:w="1082"/>
        <w:gridCol w:w="1044"/>
        <w:gridCol w:w="922"/>
      </w:tblGrid>
      <w:tr>
        <w:trPr>
          <w:jc w:val="center"/>
          <w:trHeight w:val="348"/>
        </w:trPr>
        <w:tc>
          <w:tcPr>
            <w:gridSpan w:val="4"/>
            <w:tcBorders>
              <w:top w:val="single" w:color="auto" w:sz="4" w:space="0"/>
              <w:left w:val="single" w:color="auto" w:sz="4" w:space="0"/>
              <w:bottom w:val="single" w:color="auto" w:sz="4" w:space="0"/>
              <w:right w:val="single" w:color="auto" w:sz="4" w:space="0"/>
            </w:tcBorders>
            <w:tcW w:w="4278" w:type="dxa"/>
            <w:vAlign w:val="center"/>
            <w:vMerge w:val="restart"/>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敷设方式</w:t>
            </w:r>
            <w:r/>
          </w:p>
        </w:tc>
        <w:tc>
          <w:tcPr>
            <w:gridSpan w:val="2"/>
            <w:tcBorders>
              <w:top w:val="single" w:color="auto" w:sz="4" w:space="0"/>
              <w:left w:val="none" w:color="000000" w:sz="4" w:space="0"/>
              <w:bottom w:val="single" w:color="auto" w:sz="4" w:space="0"/>
              <w:right w:val="single" w:color="auto" w:sz="4" w:space="0"/>
            </w:tcBorders>
            <w:tcW w:w="2421"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允许拉伸力（最小值） （N）</w:t>
            </w:r>
            <w:r/>
          </w:p>
        </w:tc>
        <w:tc>
          <w:tcPr>
            <w:gridSpan w:val="2"/>
            <w:tcBorders>
              <w:top w:val="single" w:color="auto" w:sz="4" w:space="0"/>
              <w:left w:val="none" w:color="000000" w:sz="4" w:space="0"/>
              <w:bottom w:val="single" w:color="auto" w:sz="4" w:space="0"/>
              <w:right w:val="single" w:color="auto" w:sz="4" w:space="0"/>
            </w:tcBorders>
            <w:tcW w:w="1966"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允许压扁力（最小值） （N/100mm）</w:t>
            </w:r>
            <w:r/>
          </w:p>
        </w:tc>
      </w:tr>
      <w:tr>
        <w:trPr>
          <w:jc w:val="center"/>
          <w:trHeight w:val="323"/>
        </w:trPr>
        <w:tc>
          <w:tcPr>
            <w:gridSpan w:val="4"/>
            <w:tcBorders>
              <w:top w:val="single" w:color="auto" w:sz="4" w:space="0"/>
              <w:left w:val="single" w:color="auto" w:sz="4" w:space="0"/>
              <w:bottom w:val="single" w:color="auto" w:sz="4" w:space="0"/>
              <w:right w:val="single" w:color="auto" w:sz="4" w:space="0"/>
            </w:tcBorders>
            <w:tcW w:w="4278" w:type="dxa"/>
            <w:vAlign w:val="center"/>
            <w:vMerge w:val="continue"/>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1339"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短暂</w:t>
            </w:r>
            <w:r/>
          </w:p>
        </w:tc>
        <w:tc>
          <w:tcPr>
            <w:tcBorders>
              <w:top w:val="single" w:color="auto" w:sz="4" w:space="0"/>
              <w:left w:val="none" w:color="000000" w:sz="4" w:space="0"/>
              <w:bottom w:val="single" w:color="auto" w:sz="4" w:space="0"/>
              <w:right w:val="single" w:color="auto" w:sz="4" w:space="0"/>
            </w:tcBorders>
            <w:tcW w:w="108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长期</w:t>
            </w:r>
            <w:r/>
          </w:p>
        </w:tc>
        <w:tc>
          <w:tcPr>
            <w:tcBorders>
              <w:top w:val="single" w:color="auto" w:sz="4" w:space="0"/>
              <w:left w:val="none" w:color="000000" w:sz="4" w:space="0"/>
              <w:bottom w:val="single" w:color="auto" w:sz="4" w:space="0"/>
              <w:right w:val="single" w:color="auto" w:sz="4" w:space="0"/>
            </w:tcBorders>
            <w:tcW w:w="1044"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短暂</w:t>
            </w:r>
            <w:r/>
          </w:p>
        </w:tc>
        <w:tc>
          <w:tcPr>
            <w:tcBorders>
              <w:top w:val="single" w:color="auto" w:sz="4" w:space="0"/>
              <w:left w:val="none" w:color="000000" w:sz="4" w:space="0"/>
              <w:bottom w:val="single" w:color="auto" w:sz="4" w:space="0"/>
              <w:right w:val="single" w:color="auto" w:sz="4" w:space="0"/>
            </w:tcBorders>
            <w:tcW w:w="92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长期</w:t>
            </w:r>
            <w:r/>
          </w:p>
        </w:tc>
      </w:tr>
      <w:tr>
        <w:trPr>
          <w:jc w:val="center"/>
          <w:trHeight w:val="323"/>
        </w:trPr>
        <w:tc>
          <w:tcPr>
            <w:gridSpan w:val="4"/>
            <w:tcBorders>
              <w:top w:val="single" w:color="auto" w:sz="4" w:space="0"/>
              <w:left w:val="single" w:color="auto" w:sz="4" w:space="0"/>
              <w:bottom w:val="single" w:color="auto" w:sz="4" w:space="0"/>
              <w:right w:val="single" w:color="auto" w:sz="4" w:space="0"/>
            </w:tcBorders>
            <w:tcW w:w="4278"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管道、非自承架空</w:t>
            </w:r>
            <w:r/>
          </w:p>
        </w:tc>
        <w:tc>
          <w:tcPr>
            <w:tcBorders>
              <w:top w:val="single" w:color="auto" w:sz="4" w:space="0"/>
              <w:left w:val="none" w:color="000000" w:sz="4" w:space="0"/>
              <w:bottom w:val="single" w:color="auto" w:sz="4" w:space="0"/>
              <w:right w:val="single" w:color="auto" w:sz="4" w:space="0"/>
            </w:tcBorders>
            <w:tcW w:w="1339"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1500</w:t>
            </w:r>
            <w:r/>
          </w:p>
        </w:tc>
        <w:tc>
          <w:tcPr>
            <w:tcBorders>
              <w:top w:val="single" w:color="auto" w:sz="4" w:space="0"/>
              <w:left w:val="none" w:color="000000" w:sz="4" w:space="0"/>
              <w:bottom w:val="single" w:color="auto" w:sz="4" w:space="0"/>
              <w:right w:val="single" w:color="auto" w:sz="4" w:space="0"/>
            </w:tcBorders>
            <w:tcW w:w="108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600</w:t>
            </w:r>
            <w:r/>
          </w:p>
        </w:tc>
        <w:tc>
          <w:tcPr>
            <w:tcBorders>
              <w:top w:val="single" w:color="auto" w:sz="4" w:space="0"/>
              <w:left w:val="none" w:color="000000" w:sz="4" w:space="0"/>
              <w:bottom w:val="single" w:color="auto" w:sz="4" w:space="0"/>
              <w:right w:val="single" w:color="auto" w:sz="4" w:space="0"/>
            </w:tcBorders>
            <w:tcW w:w="1044"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1000</w:t>
            </w:r>
            <w:r/>
          </w:p>
        </w:tc>
        <w:tc>
          <w:tcPr>
            <w:tcBorders>
              <w:top w:val="single" w:color="auto" w:sz="4" w:space="0"/>
              <w:left w:val="none" w:color="000000" w:sz="4" w:space="0"/>
              <w:bottom w:val="single" w:color="auto" w:sz="4" w:space="0"/>
              <w:right w:val="single" w:color="auto" w:sz="4" w:space="0"/>
            </w:tcBorders>
            <w:tcW w:w="92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300</w:t>
            </w:r>
            <w:r/>
          </w:p>
        </w:tc>
      </w:tr>
      <w:tr>
        <w:trPr>
          <w:jc w:val="center"/>
          <w:trHeight w:val="323"/>
        </w:trPr>
        <w:tc>
          <w:tcPr>
            <w:gridSpan w:val="2"/>
            <w:tcBorders>
              <w:top w:val="none" w:color="000000" w:sz="4" w:space="0"/>
              <w:left w:val="single" w:color="auto" w:sz="4" w:space="0"/>
              <w:bottom w:val="single" w:color="auto" w:sz="4" w:space="0"/>
              <w:right w:val="single" w:color="auto" w:sz="4" w:space="0"/>
            </w:tcBorders>
            <w:tcW w:w="1910" w:type="dxa"/>
            <w:vAlign w:val="center"/>
            <w:vMerge w:val="restart"/>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蝶型引入光缆</w:t>
            </w:r>
            <w:r/>
          </w:p>
        </w:tc>
        <w:tc>
          <w:tcPr>
            <w:tcBorders>
              <w:top w:val="none" w:color="000000" w:sz="4" w:space="0"/>
              <w:left w:val="none" w:color="000000" w:sz="4" w:space="0"/>
              <w:bottom w:val="single" w:color="auto" w:sz="4" w:space="0"/>
              <w:right w:val="single" w:color="auto" w:sz="4" w:space="0"/>
            </w:tcBorders>
            <w:tcW w:w="899" w:type="dxa"/>
            <w:vAlign w:val="center"/>
            <w:vMerge w:val="restart"/>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室内</w:t>
            </w:r>
            <w:r/>
          </w:p>
        </w:tc>
        <w:tc>
          <w:tcPr>
            <w:tcBorders>
              <w:top w:val="single" w:color="auto" w:sz="4" w:space="0"/>
              <w:left w:val="none" w:color="000000" w:sz="4" w:space="0"/>
              <w:bottom w:val="single" w:color="auto" w:sz="4" w:space="0"/>
              <w:right w:val="single" w:color="auto" w:sz="4" w:space="0"/>
            </w:tcBorders>
            <w:tcW w:w="1469" w:type="dxa"/>
            <w:vAlign w:val="center"/>
            <w:vMerge w:val="restart"/>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非金属加强件</w:t>
            </w:r>
            <w:r/>
          </w:p>
        </w:tc>
        <w:tc>
          <w:tcPr>
            <w:tcBorders>
              <w:top w:val="single" w:color="auto" w:sz="4" w:space="0"/>
              <w:left w:val="none" w:color="000000" w:sz="4" w:space="0"/>
              <w:bottom w:val="single" w:color="auto" w:sz="4" w:space="0"/>
              <w:right w:val="single" w:color="auto" w:sz="4" w:space="0"/>
            </w:tcBorders>
            <w:tcW w:w="1339"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100</w:t>
            </w:r>
            <w:r/>
          </w:p>
        </w:tc>
        <w:tc>
          <w:tcPr>
            <w:tcBorders>
              <w:top w:val="single" w:color="auto" w:sz="4" w:space="0"/>
              <w:left w:val="none" w:color="000000" w:sz="4" w:space="0"/>
              <w:bottom w:val="single" w:color="auto" w:sz="4" w:space="0"/>
              <w:right w:val="single" w:color="auto" w:sz="4" w:space="0"/>
            </w:tcBorders>
            <w:tcW w:w="108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60</w:t>
            </w:r>
            <w:r/>
          </w:p>
        </w:tc>
        <w:tc>
          <w:tcPr>
            <w:tcBorders>
              <w:top w:val="single" w:color="auto" w:sz="4" w:space="0"/>
              <w:left w:val="none" w:color="000000" w:sz="4" w:space="0"/>
              <w:bottom w:val="single" w:color="auto" w:sz="4" w:space="0"/>
              <w:right w:val="single" w:color="auto" w:sz="4" w:space="0"/>
            </w:tcBorders>
            <w:tcW w:w="1044"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1000</w:t>
            </w:r>
            <w:r/>
          </w:p>
        </w:tc>
        <w:tc>
          <w:tcPr>
            <w:tcBorders>
              <w:top w:val="single" w:color="auto" w:sz="4" w:space="0"/>
              <w:left w:val="none" w:color="000000" w:sz="4" w:space="0"/>
              <w:bottom w:val="single" w:color="auto" w:sz="4" w:space="0"/>
              <w:right w:val="single" w:color="auto" w:sz="4" w:space="0"/>
            </w:tcBorders>
            <w:tcW w:w="92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500</w:t>
            </w:r>
            <w:r/>
          </w:p>
        </w:tc>
      </w:tr>
      <w:tr>
        <w:trPr>
          <w:jc w:val="center"/>
          <w:trHeight w:val="323"/>
        </w:trPr>
        <w:tc>
          <w:tcPr>
            <w:gridSpan w:val="2"/>
            <w:tcBorders>
              <w:top w:val="none" w:color="000000" w:sz="4" w:space="0"/>
              <w:left w:val="single" w:color="auto" w:sz="4" w:space="0"/>
              <w:bottom w:val="single" w:color="auto" w:sz="4" w:space="0"/>
              <w:right w:val="single" w:color="auto" w:sz="4" w:space="0"/>
            </w:tcBorders>
            <w:tcW w:w="1910" w:type="dxa"/>
            <w:vAlign w:val="center"/>
            <w:vMerge w:val="continue"/>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899" w:type="dxa"/>
            <w:vAlign w:val="center"/>
            <w:vMerge w:val="continue"/>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1469"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金属加强件</w:t>
            </w:r>
            <w:r/>
          </w:p>
        </w:tc>
        <w:tc>
          <w:tcPr>
            <w:tcBorders>
              <w:top w:val="single" w:color="auto" w:sz="4" w:space="0"/>
              <w:left w:val="none" w:color="000000" w:sz="4" w:space="0"/>
              <w:bottom w:val="single" w:color="auto" w:sz="4" w:space="0"/>
              <w:right w:val="single" w:color="auto" w:sz="4" w:space="0"/>
            </w:tcBorders>
            <w:tcW w:w="1339"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200</w:t>
            </w:r>
            <w:r/>
          </w:p>
        </w:tc>
        <w:tc>
          <w:tcPr>
            <w:tcBorders>
              <w:top w:val="single" w:color="auto" w:sz="4" w:space="0"/>
              <w:left w:val="none" w:color="000000" w:sz="4" w:space="0"/>
              <w:bottom w:val="single" w:color="auto" w:sz="4" w:space="0"/>
              <w:right w:val="single" w:color="auto" w:sz="4" w:space="0"/>
            </w:tcBorders>
            <w:tcW w:w="108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100</w:t>
            </w:r>
            <w:r/>
          </w:p>
        </w:tc>
        <w:tc>
          <w:tcPr>
            <w:tcBorders>
              <w:top w:val="single" w:color="auto" w:sz="4" w:space="0"/>
              <w:left w:val="none" w:color="000000" w:sz="4" w:space="0"/>
              <w:bottom w:val="single" w:color="auto" w:sz="4" w:space="0"/>
              <w:right w:val="single" w:color="auto" w:sz="4" w:space="0"/>
            </w:tcBorders>
            <w:tcW w:w="1044"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2200</w:t>
            </w:r>
            <w:r/>
          </w:p>
        </w:tc>
        <w:tc>
          <w:tcPr>
            <w:tcBorders>
              <w:top w:val="single" w:color="auto" w:sz="4" w:space="0"/>
              <w:left w:val="none" w:color="000000" w:sz="4" w:space="0"/>
              <w:bottom w:val="single" w:color="auto" w:sz="4" w:space="0"/>
              <w:right w:val="single" w:color="auto" w:sz="4" w:space="0"/>
            </w:tcBorders>
            <w:tcW w:w="92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1000</w:t>
            </w:r>
            <w:r/>
          </w:p>
        </w:tc>
      </w:tr>
      <w:tr>
        <w:trPr>
          <w:jc w:val="center"/>
          <w:trHeight w:val="323"/>
        </w:trPr>
        <w:tc>
          <w:tcPr>
            <w:gridSpan w:val="2"/>
            <w:tcBorders>
              <w:top w:val="none" w:color="000000" w:sz="4" w:space="0"/>
              <w:left w:val="single" w:color="auto" w:sz="4" w:space="0"/>
              <w:bottom w:val="single" w:color="auto" w:sz="4" w:space="0"/>
              <w:right w:val="single" w:color="auto" w:sz="4" w:space="0"/>
            </w:tcBorders>
            <w:tcW w:w="1910" w:type="dxa"/>
            <w:vAlign w:val="center"/>
            <w:vMerge w:val="continue"/>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none" w:color="000000" w:sz="4" w:space="0"/>
              <w:bottom w:val="single" w:color="auto" w:sz="4" w:space="0"/>
              <w:right w:val="single" w:color="auto" w:sz="4" w:space="0"/>
            </w:tcBorders>
            <w:tcW w:w="2368"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自承式</w:t>
            </w:r>
            <w:r/>
          </w:p>
        </w:tc>
        <w:tc>
          <w:tcPr>
            <w:tcBorders>
              <w:top w:val="single" w:color="auto" w:sz="4" w:space="0"/>
              <w:left w:val="none" w:color="000000" w:sz="4" w:space="0"/>
              <w:bottom w:val="single" w:color="auto" w:sz="4" w:space="0"/>
              <w:right w:val="single" w:color="auto" w:sz="4" w:space="0"/>
            </w:tcBorders>
            <w:tcW w:w="1339"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600</w:t>
            </w:r>
            <w:r/>
          </w:p>
        </w:tc>
        <w:tc>
          <w:tcPr>
            <w:tcBorders>
              <w:top w:val="single" w:color="auto" w:sz="4" w:space="0"/>
              <w:left w:val="none" w:color="000000" w:sz="4" w:space="0"/>
              <w:bottom w:val="single" w:color="auto" w:sz="4" w:space="0"/>
              <w:right w:val="single" w:color="auto" w:sz="4" w:space="0"/>
            </w:tcBorders>
            <w:tcW w:w="108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300</w:t>
            </w:r>
            <w:r/>
          </w:p>
        </w:tc>
        <w:tc>
          <w:tcPr>
            <w:tcBorders>
              <w:top w:val="single" w:color="auto" w:sz="4" w:space="0"/>
              <w:left w:val="none" w:color="000000" w:sz="4" w:space="0"/>
              <w:bottom w:val="single" w:color="auto" w:sz="4" w:space="0"/>
              <w:right w:val="single" w:color="auto" w:sz="4" w:space="0"/>
            </w:tcBorders>
            <w:tcW w:w="1044"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2200</w:t>
            </w:r>
            <w:r/>
          </w:p>
        </w:tc>
        <w:tc>
          <w:tcPr>
            <w:tcBorders>
              <w:top w:val="single" w:color="auto" w:sz="4" w:space="0"/>
              <w:left w:val="none" w:color="000000" w:sz="4" w:space="0"/>
              <w:bottom w:val="single" w:color="auto" w:sz="4" w:space="0"/>
              <w:right w:val="single" w:color="auto" w:sz="4" w:space="0"/>
            </w:tcBorders>
            <w:tcW w:w="92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1000</w:t>
            </w:r>
            <w:r/>
          </w:p>
        </w:tc>
      </w:tr>
      <w:tr>
        <w:trPr>
          <w:jc w:val="center"/>
          <w:trHeight w:val="328"/>
        </w:trPr>
        <w:tc>
          <w:tcPr>
            <w:gridSpan w:val="2"/>
            <w:tcBorders>
              <w:top w:val="none" w:color="000000" w:sz="4" w:space="0"/>
              <w:left w:val="single" w:color="auto" w:sz="4" w:space="0"/>
              <w:bottom w:val="single" w:color="auto" w:sz="4" w:space="0"/>
              <w:right w:val="single" w:color="auto" w:sz="4" w:space="0"/>
            </w:tcBorders>
            <w:tcW w:w="1910" w:type="dxa"/>
            <w:vAlign w:val="center"/>
            <w:vMerge w:val="continue"/>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none" w:color="000000" w:sz="4" w:space="0"/>
              <w:bottom w:val="single" w:color="auto" w:sz="4" w:space="0"/>
              <w:right w:val="single" w:color="auto" w:sz="4" w:space="0"/>
            </w:tcBorders>
            <w:tcW w:w="2368"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管道型</w:t>
            </w:r>
            <w:r/>
          </w:p>
        </w:tc>
        <w:tc>
          <w:tcPr>
            <w:tcBorders>
              <w:top w:val="single" w:color="auto" w:sz="4" w:space="0"/>
              <w:left w:val="none" w:color="000000" w:sz="4" w:space="0"/>
              <w:bottom w:val="single" w:color="auto" w:sz="4" w:space="0"/>
              <w:right w:val="single" w:color="auto" w:sz="4" w:space="0"/>
            </w:tcBorders>
            <w:tcW w:w="1339"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600</w:t>
            </w:r>
            <w:r/>
          </w:p>
        </w:tc>
        <w:tc>
          <w:tcPr>
            <w:tcBorders>
              <w:top w:val="single" w:color="auto" w:sz="4" w:space="0"/>
              <w:left w:val="none" w:color="000000" w:sz="4" w:space="0"/>
              <w:bottom w:val="single" w:color="auto" w:sz="4" w:space="0"/>
              <w:right w:val="single" w:color="auto" w:sz="4" w:space="0"/>
            </w:tcBorders>
            <w:tcW w:w="108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300</w:t>
            </w:r>
            <w:r/>
          </w:p>
        </w:tc>
        <w:tc>
          <w:tcPr>
            <w:tcBorders>
              <w:top w:val="single" w:color="auto" w:sz="4" w:space="0"/>
              <w:left w:val="none" w:color="000000" w:sz="4" w:space="0"/>
              <w:bottom w:val="single" w:color="auto" w:sz="4" w:space="0"/>
              <w:right w:val="single" w:color="auto" w:sz="4" w:space="0"/>
            </w:tcBorders>
            <w:tcW w:w="1044"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1000</w:t>
            </w:r>
            <w:r/>
          </w:p>
        </w:tc>
        <w:tc>
          <w:tcPr>
            <w:tcBorders>
              <w:top w:val="single" w:color="auto" w:sz="4" w:space="0"/>
              <w:left w:val="none" w:color="000000" w:sz="4" w:space="0"/>
              <w:bottom w:val="single" w:color="auto" w:sz="4" w:space="0"/>
              <w:right w:val="single" w:color="auto" w:sz="4" w:space="0"/>
            </w:tcBorders>
            <w:tcW w:w="92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300</w:t>
            </w:r>
            <w:r/>
          </w:p>
        </w:tc>
      </w:tr>
      <w:tr>
        <w:trPr>
          <w:jc w:val="center"/>
          <w:trHeight w:val="235"/>
        </w:trPr>
        <w:tc>
          <w:tcPr>
            <w:tcBorders>
              <w:top w:val="none" w:color="000000" w:sz="4" w:space="0"/>
              <w:left w:val="single" w:color="auto" w:sz="4" w:space="0"/>
              <w:bottom w:val="single" w:color="auto" w:sz="4" w:space="0"/>
              <w:right w:val="single" w:color="auto" w:sz="4" w:space="0"/>
            </w:tcBorders>
            <w:tcW w:w="493" w:type="dxa"/>
            <w:vAlign w:val="center"/>
            <w:vMerge w:val="restart"/>
            <w:textDirection w:val="lrTb"/>
            <w:noWrap/>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室内外光缆</w:t>
            </w:r>
            <w:r/>
          </w:p>
        </w:tc>
        <w:tc>
          <w:tcPr>
            <w:tcBorders>
              <w:top w:val="none" w:color="000000" w:sz="4" w:space="0"/>
              <w:left w:val="none" w:color="000000" w:sz="4" w:space="0"/>
              <w:bottom w:val="single" w:color="auto" w:sz="4" w:space="0"/>
              <w:right w:val="single" w:color="auto" w:sz="4" w:space="0"/>
            </w:tcBorders>
            <w:tcW w:w="1417" w:type="dxa"/>
            <w:vAlign w:val="center"/>
            <w:vMerge w:val="restart"/>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垂直布线</w:t>
            </w:r>
            <w:r/>
          </w:p>
        </w:tc>
        <w:tc>
          <w:tcPr>
            <w:gridSpan w:val="2"/>
            <w:tcBorders>
              <w:top w:val="single" w:color="auto" w:sz="4" w:space="0"/>
              <w:left w:val="none" w:color="000000" w:sz="4" w:space="0"/>
              <w:bottom w:val="single" w:color="auto" w:sz="4" w:space="0"/>
              <w:right w:val="single" w:color="auto" w:sz="4" w:space="0"/>
            </w:tcBorders>
            <w:tcW w:w="2368"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&gt;12 芯</w:t>
            </w:r>
            <w:r/>
          </w:p>
        </w:tc>
        <w:tc>
          <w:tcPr>
            <w:tcBorders>
              <w:top w:val="single" w:color="auto" w:sz="4" w:space="0"/>
              <w:left w:val="none" w:color="000000" w:sz="4" w:space="0"/>
              <w:bottom w:val="single" w:color="auto" w:sz="4" w:space="0"/>
              <w:right w:val="single" w:color="auto" w:sz="4" w:space="0"/>
            </w:tcBorders>
            <w:tcW w:w="1339"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1320</w:t>
            </w:r>
            <w:r/>
          </w:p>
        </w:tc>
        <w:tc>
          <w:tcPr>
            <w:tcBorders>
              <w:top w:val="single" w:color="auto" w:sz="4" w:space="0"/>
              <w:left w:val="none" w:color="000000" w:sz="4" w:space="0"/>
              <w:bottom w:val="single" w:color="auto" w:sz="4" w:space="0"/>
              <w:right w:val="single" w:color="auto" w:sz="4" w:space="0"/>
            </w:tcBorders>
            <w:tcW w:w="108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400</w:t>
            </w:r>
            <w:r/>
          </w:p>
        </w:tc>
        <w:tc>
          <w:tcPr>
            <w:tcBorders>
              <w:top w:val="single" w:color="auto" w:sz="4" w:space="0"/>
              <w:left w:val="none" w:color="000000" w:sz="4" w:space="0"/>
              <w:bottom w:val="single" w:color="auto" w:sz="4" w:space="0"/>
              <w:right w:val="single" w:color="auto" w:sz="4" w:space="0"/>
            </w:tcBorders>
            <w:tcW w:w="1044"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1000</w:t>
            </w:r>
            <w:r/>
          </w:p>
        </w:tc>
        <w:tc>
          <w:tcPr>
            <w:tcBorders>
              <w:top w:val="single" w:color="auto" w:sz="4" w:space="0"/>
              <w:left w:val="none" w:color="000000" w:sz="4" w:space="0"/>
              <w:bottom w:val="single" w:color="auto" w:sz="4" w:space="0"/>
              <w:right w:val="single" w:color="auto" w:sz="4" w:space="0"/>
            </w:tcBorders>
            <w:tcW w:w="92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300</w:t>
            </w:r>
            <w:r/>
          </w:p>
        </w:tc>
      </w:tr>
      <w:tr>
        <w:trPr>
          <w:jc w:val="center"/>
          <w:trHeight w:val="323"/>
        </w:trPr>
        <w:tc>
          <w:tcPr>
            <w:tcBorders>
              <w:top w:val="none" w:color="000000" w:sz="4" w:space="0"/>
              <w:left w:val="single" w:color="auto" w:sz="4" w:space="0"/>
              <w:bottom w:val="single" w:color="auto" w:sz="4" w:space="0"/>
              <w:right w:val="single" w:color="auto" w:sz="4" w:space="0"/>
            </w:tcBorders>
            <w:tcW w:w="493" w:type="dxa"/>
            <w:vAlign w:val="center"/>
            <w:vMerge w:val="continue"/>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417" w:type="dxa"/>
            <w:vAlign w:val="center"/>
            <w:vMerge w:val="continue"/>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none" w:color="000000" w:sz="4" w:space="0"/>
              <w:bottom w:val="single" w:color="auto" w:sz="4" w:space="0"/>
              <w:right w:val="single" w:color="auto" w:sz="4" w:space="0"/>
            </w:tcBorders>
            <w:tcW w:w="2368"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≦12 芯</w:t>
            </w:r>
            <w:r/>
          </w:p>
        </w:tc>
        <w:tc>
          <w:tcPr>
            <w:tcBorders>
              <w:top w:val="single" w:color="auto" w:sz="4" w:space="0"/>
              <w:left w:val="none" w:color="000000" w:sz="4" w:space="0"/>
              <w:bottom w:val="single" w:color="auto" w:sz="4" w:space="0"/>
              <w:right w:val="single" w:color="auto" w:sz="4" w:space="0"/>
            </w:tcBorders>
            <w:tcW w:w="1339"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600</w:t>
            </w:r>
            <w:r/>
          </w:p>
        </w:tc>
        <w:tc>
          <w:tcPr>
            <w:tcBorders>
              <w:top w:val="single" w:color="auto" w:sz="4" w:space="0"/>
              <w:left w:val="none" w:color="000000" w:sz="4" w:space="0"/>
              <w:bottom w:val="single" w:color="auto" w:sz="4" w:space="0"/>
              <w:right w:val="single" w:color="auto" w:sz="4" w:space="0"/>
            </w:tcBorders>
            <w:tcW w:w="108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200</w:t>
            </w:r>
            <w:r/>
          </w:p>
        </w:tc>
        <w:tc>
          <w:tcPr>
            <w:tcBorders>
              <w:top w:val="single" w:color="auto" w:sz="4" w:space="0"/>
              <w:left w:val="none" w:color="000000" w:sz="4" w:space="0"/>
              <w:bottom w:val="single" w:color="auto" w:sz="4" w:space="0"/>
              <w:right w:val="single" w:color="auto" w:sz="4" w:space="0"/>
            </w:tcBorders>
            <w:tcW w:w="1044"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1000</w:t>
            </w:r>
            <w:r/>
          </w:p>
        </w:tc>
        <w:tc>
          <w:tcPr>
            <w:tcBorders>
              <w:top w:val="single" w:color="auto" w:sz="4" w:space="0"/>
              <w:left w:val="none" w:color="000000" w:sz="4" w:space="0"/>
              <w:bottom w:val="single" w:color="auto" w:sz="4" w:space="0"/>
              <w:right w:val="single" w:color="auto" w:sz="4" w:space="0"/>
            </w:tcBorders>
            <w:tcW w:w="92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300</w:t>
            </w:r>
            <w:r/>
          </w:p>
        </w:tc>
      </w:tr>
      <w:tr>
        <w:trPr>
          <w:jc w:val="center"/>
          <w:trHeight w:val="323"/>
        </w:trPr>
        <w:tc>
          <w:tcPr>
            <w:tcBorders>
              <w:top w:val="none" w:color="000000" w:sz="4" w:space="0"/>
              <w:left w:val="single" w:color="auto" w:sz="4" w:space="0"/>
              <w:bottom w:val="single" w:color="auto" w:sz="4" w:space="0"/>
              <w:right w:val="single" w:color="auto" w:sz="4" w:space="0"/>
            </w:tcBorders>
            <w:tcW w:w="493" w:type="dxa"/>
            <w:vAlign w:val="center"/>
            <w:vMerge w:val="continue"/>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417" w:type="dxa"/>
            <w:vAlign w:val="center"/>
            <w:vMerge w:val="restart"/>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水平布线</w:t>
            </w:r>
            <w:r/>
          </w:p>
        </w:tc>
        <w:tc>
          <w:tcPr>
            <w:gridSpan w:val="2"/>
            <w:tcBorders>
              <w:top w:val="single" w:color="auto" w:sz="4" w:space="0"/>
              <w:left w:val="none" w:color="000000" w:sz="4" w:space="0"/>
              <w:bottom w:val="single" w:color="auto" w:sz="4" w:space="0"/>
              <w:right w:val="single" w:color="auto" w:sz="4" w:space="0"/>
            </w:tcBorders>
            <w:tcW w:w="2368"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&gt;12 芯</w:t>
            </w:r>
            <w:r/>
          </w:p>
        </w:tc>
        <w:tc>
          <w:tcPr>
            <w:tcBorders>
              <w:top w:val="single" w:color="auto" w:sz="4" w:space="0"/>
              <w:left w:val="none" w:color="000000" w:sz="4" w:space="0"/>
              <w:bottom w:val="single" w:color="auto" w:sz="4" w:space="0"/>
              <w:right w:val="single" w:color="auto" w:sz="4" w:space="0"/>
            </w:tcBorders>
            <w:tcW w:w="1339"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660</w:t>
            </w:r>
            <w:r/>
          </w:p>
        </w:tc>
        <w:tc>
          <w:tcPr>
            <w:tcBorders>
              <w:top w:val="single" w:color="auto" w:sz="4" w:space="0"/>
              <w:left w:val="none" w:color="000000" w:sz="4" w:space="0"/>
              <w:bottom w:val="single" w:color="auto" w:sz="4" w:space="0"/>
              <w:right w:val="single" w:color="auto" w:sz="4" w:space="0"/>
            </w:tcBorders>
            <w:tcW w:w="108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200</w:t>
            </w:r>
            <w:r/>
          </w:p>
        </w:tc>
        <w:tc>
          <w:tcPr>
            <w:tcBorders>
              <w:top w:val="single" w:color="auto" w:sz="4" w:space="0"/>
              <w:left w:val="none" w:color="000000" w:sz="4" w:space="0"/>
              <w:bottom w:val="single" w:color="auto" w:sz="4" w:space="0"/>
              <w:right w:val="single" w:color="auto" w:sz="4" w:space="0"/>
            </w:tcBorders>
            <w:tcW w:w="1044"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1000</w:t>
            </w:r>
            <w:r/>
          </w:p>
        </w:tc>
        <w:tc>
          <w:tcPr>
            <w:tcBorders>
              <w:top w:val="single" w:color="auto" w:sz="4" w:space="0"/>
              <w:left w:val="none" w:color="000000" w:sz="4" w:space="0"/>
              <w:bottom w:val="single" w:color="auto" w:sz="4" w:space="0"/>
              <w:right w:val="single" w:color="auto" w:sz="4" w:space="0"/>
            </w:tcBorders>
            <w:tcW w:w="92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200</w:t>
            </w:r>
            <w:r/>
          </w:p>
        </w:tc>
      </w:tr>
      <w:tr>
        <w:trPr>
          <w:jc w:val="center"/>
          <w:trHeight w:val="323"/>
        </w:trPr>
        <w:tc>
          <w:tcPr>
            <w:tcBorders>
              <w:top w:val="none" w:color="000000" w:sz="4" w:space="0"/>
              <w:left w:val="single" w:color="auto" w:sz="4" w:space="0"/>
              <w:bottom w:val="single" w:color="auto" w:sz="4" w:space="0"/>
              <w:right w:val="single" w:color="auto" w:sz="4" w:space="0"/>
            </w:tcBorders>
            <w:tcW w:w="493" w:type="dxa"/>
            <w:vAlign w:val="center"/>
            <w:vMerge w:val="continue"/>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417" w:type="dxa"/>
            <w:vAlign w:val="center"/>
            <w:vMerge w:val="continue"/>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none" w:color="000000" w:sz="4" w:space="0"/>
              <w:bottom w:val="single" w:color="auto" w:sz="4" w:space="0"/>
              <w:right w:val="single" w:color="auto" w:sz="4" w:space="0"/>
            </w:tcBorders>
            <w:tcW w:w="2368"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≦12 芯</w:t>
            </w:r>
            <w:r/>
          </w:p>
        </w:tc>
        <w:tc>
          <w:tcPr>
            <w:tcBorders>
              <w:top w:val="single" w:color="auto" w:sz="4" w:space="0"/>
              <w:left w:val="none" w:color="000000" w:sz="4" w:space="0"/>
              <w:bottom w:val="single" w:color="auto" w:sz="4" w:space="0"/>
              <w:right w:val="single" w:color="auto" w:sz="4" w:space="0"/>
            </w:tcBorders>
            <w:tcW w:w="1339"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440</w:t>
            </w:r>
            <w:r/>
          </w:p>
        </w:tc>
        <w:tc>
          <w:tcPr>
            <w:tcBorders>
              <w:top w:val="single" w:color="auto" w:sz="4" w:space="0"/>
              <w:left w:val="none" w:color="000000" w:sz="4" w:space="0"/>
              <w:bottom w:val="single" w:color="auto" w:sz="4" w:space="0"/>
              <w:right w:val="single" w:color="auto" w:sz="4" w:space="0"/>
            </w:tcBorders>
            <w:tcW w:w="108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130</w:t>
            </w:r>
            <w:r/>
          </w:p>
        </w:tc>
        <w:tc>
          <w:tcPr>
            <w:tcBorders>
              <w:top w:val="single" w:color="auto" w:sz="4" w:space="0"/>
              <w:left w:val="none" w:color="000000" w:sz="4" w:space="0"/>
              <w:bottom w:val="single" w:color="auto" w:sz="4" w:space="0"/>
              <w:right w:val="single" w:color="auto" w:sz="4" w:space="0"/>
            </w:tcBorders>
            <w:tcW w:w="1044"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1000</w:t>
            </w:r>
            <w:r/>
          </w:p>
        </w:tc>
        <w:tc>
          <w:tcPr>
            <w:tcBorders>
              <w:top w:val="single" w:color="auto" w:sz="4" w:space="0"/>
              <w:left w:val="none" w:color="000000" w:sz="4" w:space="0"/>
              <w:bottom w:val="single" w:color="auto" w:sz="4" w:space="0"/>
              <w:right w:val="single" w:color="auto" w:sz="4" w:space="0"/>
            </w:tcBorders>
            <w:tcW w:w="92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200</w:t>
            </w:r>
            <w:r/>
          </w:p>
        </w:tc>
      </w:tr>
      <w:tr>
        <w:trPr>
          <w:jc w:val="center"/>
          <w:trHeight w:val="323"/>
        </w:trPr>
        <w:tc>
          <w:tcPr>
            <w:tcBorders>
              <w:top w:val="none" w:color="000000" w:sz="4" w:space="0"/>
              <w:left w:val="single" w:color="auto" w:sz="4" w:space="0"/>
              <w:bottom w:val="single" w:color="auto" w:sz="4" w:space="0"/>
              <w:right w:val="single" w:color="auto" w:sz="4" w:space="0"/>
            </w:tcBorders>
            <w:tcW w:w="493" w:type="dxa"/>
            <w:vAlign w:val="center"/>
            <w:vMerge w:val="continue"/>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≦50m自承式入户</w:t>
            </w:r>
            <w:r/>
          </w:p>
        </w:tc>
        <w:tc>
          <w:tcPr>
            <w:gridSpan w:val="2"/>
            <w:tcBorders>
              <w:top w:val="single" w:color="auto" w:sz="4" w:space="0"/>
              <w:left w:val="none" w:color="000000" w:sz="4" w:space="0"/>
              <w:bottom w:val="single" w:color="auto" w:sz="4" w:space="0"/>
              <w:right w:val="single" w:color="auto" w:sz="4" w:space="0"/>
            </w:tcBorders>
            <w:tcW w:w="2368"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单芯/双芯</w:t>
            </w:r>
            <w:r/>
          </w:p>
        </w:tc>
        <w:tc>
          <w:tcPr>
            <w:tcBorders>
              <w:top w:val="single" w:color="auto" w:sz="4" w:space="0"/>
              <w:left w:val="none" w:color="000000" w:sz="4" w:space="0"/>
              <w:bottom w:val="single" w:color="auto" w:sz="4" w:space="0"/>
              <w:right w:val="single" w:color="auto" w:sz="4" w:space="0"/>
            </w:tcBorders>
            <w:tcW w:w="1339"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660</w:t>
            </w:r>
            <w:r/>
          </w:p>
        </w:tc>
        <w:tc>
          <w:tcPr>
            <w:tcBorders>
              <w:top w:val="single" w:color="auto" w:sz="4" w:space="0"/>
              <w:left w:val="none" w:color="000000" w:sz="4" w:space="0"/>
              <w:bottom w:val="single" w:color="auto" w:sz="4" w:space="0"/>
              <w:right w:val="single" w:color="auto" w:sz="4" w:space="0"/>
            </w:tcBorders>
            <w:tcW w:w="108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200</w:t>
            </w:r>
            <w:r/>
          </w:p>
        </w:tc>
        <w:tc>
          <w:tcPr>
            <w:tcBorders>
              <w:top w:val="single" w:color="auto" w:sz="4" w:space="0"/>
              <w:left w:val="none" w:color="000000" w:sz="4" w:space="0"/>
              <w:bottom w:val="single" w:color="auto" w:sz="4" w:space="0"/>
              <w:right w:val="single" w:color="auto" w:sz="4" w:space="0"/>
            </w:tcBorders>
            <w:tcW w:w="1044"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1000</w:t>
            </w:r>
            <w:r/>
          </w:p>
        </w:tc>
        <w:tc>
          <w:tcPr>
            <w:tcBorders>
              <w:top w:val="single" w:color="auto" w:sz="4" w:space="0"/>
              <w:left w:val="none" w:color="000000" w:sz="4" w:space="0"/>
              <w:bottom w:val="single" w:color="auto" w:sz="4" w:space="0"/>
              <w:right w:val="single" w:color="auto" w:sz="4" w:space="0"/>
            </w:tcBorders>
            <w:tcW w:w="92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300</w:t>
            </w:r>
            <w:r/>
          </w:p>
        </w:tc>
      </w:tr>
      <w:tr>
        <w:trPr>
          <w:jc w:val="center"/>
          <w:trHeight w:val="323"/>
        </w:trPr>
        <w:tc>
          <w:tcPr>
            <w:tcBorders>
              <w:top w:val="none" w:color="000000" w:sz="4" w:space="0"/>
              <w:left w:val="single" w:color="auto" w:sz="4" w:space="0"/>
              <w:bottom w:val="single" w:color="auto" w:sz="4" w:space="0"/>
              <w:right w:val="single" w:color="auto" w:sz="4" w:space="0"/>
            </w:tcBorders>
            <w:tcW w:w="493" w:type="dxa"/>
            <w:vAlign w:val="center"/>
            <w:vMerge w:val="continue"/>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管道入户</w:t>
            </w:r>
            <w:r/>
          </w:p>
        </w:tc>
        <w:tc>
          <w:tcPr>
            <w:gridSpan w:val="2"/>
            <w:tcBorders>
              <w:top w:val="single" w:color="auto" w:sz="4" w:space="0"/>
              <w:left w:val="none" w:color="000000" w:sz="4" w:space="0"/>
              <w:bottom w:val="single" w:color="auto" w:sz="4" w:space="0"/>
              <w:right w:val="single" w:color="auto" w:sz="4" w:space="0"/>
            </w:tcBorders>
            <w:tcW w:w="2368"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单芯/双芯</w:t>
            </w:r>
            <w:r/>
          </w:p>
        </w:tc>
        <w:tc>
          <w:tcPr>
            <w:tcBorders>
              <w:top w:val="single" w:color="auto" w:sz="4" w:space="0"/>
              <w:left w:val="none" w:color="000000" w:sz="4" w:space="0"/>
              <w:bottom w:val="single" w:color="auto" w:sz="4" w:space="0"/>
              <w:right w:val="single" w:color="auto" w:sz="4" w:space="0"/>
            </w:tcBorders>
            <w:tcW w:w="1339"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440</w:t>
            </w:r>
            <w:r/>
          </w:p>
        </w:tc>
        <w:tc>
          <w:tcPr>
            <w:tcBorders>
              <w:top w:val="single" w:color="auto" w:sz="4" w:space="0"/>
              <w:left w:val="none" w:color="000000" w:sz="4" w:space="0"/>
              <w:bottom w:val="single" w:color="auto" w:sz="4" w:space="0"/>
              <w:right w:val="single" w:color="auto" w:sz="4" w:space="0"/>
            </w:tcBorders>
            <w:tcW w:w="108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130</w:t>
            </w:r>
            <w:r/>
          </w:p>
        </w:tc>
        <w:tc>
          <w:tcPr>
            <w:tcBorders>
              <w:top w:val="single" w:color="auto" w:sz="4" w:space="0"/>
              <w:left w:val="none" w:color="000000" w:sz="4" w:space="0"/>
              <w:bottom w:val="single" w:color="auto" w:sz="4" w:space="0"/>
              <w:right w:val="single" w:color="auto" w:sz="4" w:space="0"/>
            </w:tcBorders>
            <w:tcW w:w="1044"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1000</w:t>
            </w:r>
            <w:r/>
          </w:p>
        </w:tc>
        <w:tc>
          <w:tcPr>
            <w:tcBorders>
              <w:top w:val="single" w:color="auto" w:sz="4" w:space="0"/>
              <w:left w:val="none" w:color="000000" w:sz="4" w:space="0"/>
              <w:bottom w:val="single" w:color="auto" w:sz="4" w:space="0"/>
              <w:right w:val="single" w:color="auto" w:sz="4" w:space="0"/>
            </w:tcBorders>
            <w:tcW w:w="92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200</w:t>
            </w:r>
            <w:r/>
          </w:p>
        </w:tc>
      </w:tr>
    </w:tbl>
    <w:p>
      <w:pPr>
        <w:ind w:firstLine="482"/>
        <w:spacing w:line="360" w:lineRule="auto"/>
        <w:rPr>
          <w:rFonts w:hint="eastAsia" w:ascii="宋体" w:hAnsi="宋体" w:eastAsia="宋体"/>
          <w:b/>
          <w:sz w:val="24"/>
          <w:szCs w:val="24"/>
        </w:rPr>
      </w:pPr>
      <w:r>
        <w:rPr>
          <w:rFonts w:hint="eastAsia" w:ascii="宋体" w:hAnsi="宋体" w:eastAsia="宋体"/>
          <w:b/>
          <w:bCs/>
          <w:sz w:val="24"/>
          <w:szCs w:val="24"/>
        </w:rPr>
        <w:t xml:space="preserve">1.2.8 4G图传VPN电路</w:t>
      </w:r>
      <w:r>
        <w:rPr>
          <w:rFonts w:hint="eastAsia" w:ascii="宋体" w:hAnsi="宋体" w:eastAsia="宋体"/>
          <w:b/>
          <w:sz w:val="24"/>
          <w:szCs w:val="24"/>
        </w:rPr>
        <w:t xml:space="preserve">要求</w:t>
      </w:r>
      <w:r/>
    </w:p>
    <w:p>
      <w:pPr>
        <w:ind w:firstLine="420"/>
        <w:spacing w:line="360" w:lineRule="auto"/>
        <w:rPr>
          <w:rFonts w:hint="eastAsia" w:ascii="宋体" w:hAnsi="宋体" w:eastAsia="宋体"/>
          <w:b/>
          <w:bCs/>
          <w:sz w:val="24"/>
          <w:szCs w:val="24"/>
        </w:rPr>
      </w:pPr>
      <w:r>
        <w:rPr>
          <w:rFonts w:hint="eastAsia" w:ascii="宋体" w:hAnsi="宋体" w:eastAsia="宋体"/>
          <w:bCs/>
          <w:sz w:val="24"/>
          <w:szCs w:val="24"/>
        </w:rPr>
        <w:t xml:space="preserve">需提供稳定、安全的虚拟专用网络（VPN）电路，支持数据加密传输，确保客户业务数据在公网传输过程中的安全性。电路需具备高可用性，满足7*24小时不间断运行需求，并支持灵活的宽带配置。</w:t>
      </w:r>
      <w:r/>
    </w:p>
    <w:p>
      <w:pPr>
        <w:ind w:firstLine="420"/>
        <w:spacing w:line="360" w:lineRule="auto"/>
        <w:rPr>
          <w:rFonts w:hint="eastAsia" w:ascii="宋体" w:hAnsi="宋体" w:eastAsia="宋体"/>
          <w:b/>
          <w:sz w:val="24"/>
          <w:szCs w:val="24"/>
        </w:rPr>
      </w:pPr>
      <w:r>
        <w:rPr>
          <w:rFonts w:hint="eastAsia" w:ascii="宋体" w:hAnsi="宋体" w:eastAsia="宋体"/>
          <w:b/>
          <w:bCs/>
          <w:sz w:val="24"/>
          <w:szCs w:val="24"/>
        </w:rPr>
        <w:t xml:space="preserve">1.2.9</w:t>
      </w:r>
      <w:r>
        <w:rPr>
          <w:rFonts w:hint="eastAsia" w:ascii="宋体" w:hAnsi="宋体" w:eastAsia="宋体"/>
          <w:b/>
          <w:sz w:val="24"/>
          <w:szCs w:val="24"/>
        </w:rPr>
        <w:t xml:space="preserve">机柜租用服务要求</w:t>
      </w:r>
      <w:r/>
    </w:p>
    <w:tbl>
      <w:tblPr>
        <w:tblStyle w:val="842"/>
        <w:tblW w:w="5181" w:type="pct"/>
        <w:tblInd w:w="-152" w:type="dxa"/>
        <w:tblLayout w:type="fixed"/>
        <w:tblCellMar>
          <w:left w:w="0" w:type="dxa"/>
          <w:top w:w="0" w:type="dxa"/>
          <w:right w:w="0" w:type="dxa"/>
          <w:bottom w:w="0" w:type="dxa"/>
        </w:tblCellMar>
        <w:tblLook w:val="04A0" w:firstRow="1" w:lastRow="0" w:firstColumn="1" w:lastColumn="0" w:noHBand="0" w:noVBand="1"/>
      </w:tblPr>
      <w:tblGrid>
        <w:gridCol w:w="1545"/>
        <w:gridCol w:w="7093"/>
      </w:tblGrid>
      <w:tr>
        <w:trPr>
          <w:trHeight w:val="31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94" w:type="pct"/>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类别</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05" w:type="pct"/>
            <w:vAlign w:val="center"/>
            <w:textDirection w:val="lrTb"/>
            <w:noWrap w:val="false"/>
          </w:tcPr>
          <w:p>
            <w:pPr>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参数要求</w:t>
            </w:r>
            <w:r/>
          </w:p>
        </w:tc>
      </w:tr>
      <w:tr>
        <w:trPr>
          <w:trHeight w:val="276"/>
        </w:trPr>
        <w:tc>
          <w:tcPr>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94" w:type="pct"/>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总体要求</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4105" w:type="pct"/>
            <w:vAlign w:val="bottom"/>
            <w:textDirection w:val="lrTb"/>
            <w:noWrap/>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用DC舱建设模式。机柜所在机房主要需包括微模块区、支持区两部分。微模块区主要用于安装用户所需集装架、UPS、配电柜、行间空调等基础设施以及网络设备。支持区主要支持并保障完成信息处理过程和必要的技术作业的区域。主要包括交流电源区、蓄电池区域、配线区等，提供的机柜符合数据机房规范。</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根据实际点位需求，提供适配我局动环系统的硬盘录像机及摄像头等监控设备，配合我局进行动环监控纳管工作。</w:t>
            </w:r>
            <w:r/>
          </w:p>
        </w:tc>
      </w:tr>
      <w:tr>
        <w:trPr>
          <w:trHeight w:val="276"/>
        </w:trPr>
        <w:tc>
          <w:tcPr>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94" w:type="pct"/>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成品机柜要求</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4105" w:type="pct"/>
            <w:vAlign w:val="bottom"/>
            <w:textDirection w:val="lrTb"/>
            <w:noWrap/>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服务器标准机柜（约600×1100×2200mm，不低于42U）及电源配电单元由供应商提供，每机柜须提供双路UPS电源。C13、C19或国标口电源插座每机柜不少于40位（具体规格可根据采购人需求定制）。</w:t>
            </w:r>
            <w:r/>
          </w:p>
        </w:tc>
      </w:tr>
      <w:tr>
        <w:trPr>
          <w:trHeight w:val="276"/>
        </w:trPr>
        <w:tc>
          <w:tcPr>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94" w:type="pct"/>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供电需求</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4105" w:type="pct"/>
            <w:vAlign w:val="bottom"/>
            <w:textDirection w:val="lrTb"/>
            <w:noWrap/>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标准机柜要求提供220V、13A机柜供电。</w:t>
            </w:r>
            <w:r/>
          </w:p>
        </w:tc>
      </w:tr>
      <w:tr>
        <w:trPr>
          <w:trHeight w:val="276"/>
        </w:trPr>
        <w:tc>
          <w:tcPr>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94" w:type="pct"/>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位置要求</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4105" w:type="pct"/>
            <w:vAlign w:val="bottom"/>
            <w:textDirection w:val="lrTb"/>
            <w:noWrap/>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机柜处于独立空间区域，该区域须标明本项目标识，并与非本项目空间及设备物理隔离；机房应设置独立进出通道，配置电子门禁系统控制、鉴别和记录进入的人，仅限采购人及采购人授权人员进出，不受任何限制。如现场无法满足独立进出通道要求，投标人应有措施保证采购人及采购人授权人员进出，不受任何限制。</w:t>
            </w:r>
            <w:r/>
          </w:p>
        </w:tc>
      </w:tr>
    </w:tbl>
    <w:p>
      <w:pPr>
        <w:ind w:firstLine="420"/>
        <w:spacing w:line="360" w:lineRule="auto"/>
        <w:rPr>
          <w:rFonts w:hint="eastAsia" w:ascii="宋体" w:hAnsi="宋体" w:eastAsia="宋体"/>
          <w:b/>
          <w:sz w:val="24"/>
          <w:szCs w:val="24"/>
        </w:rPr>
      </w:pPr>
      <w:r>
        <w:rPr>
          <w:rFonts w:hint="eastAsia" w:ascii="宋体" w:hAnsi="宋体" w:eastAsia="宋体"/>
          <w:b/>
          <w:bCs/>
          <w:sz w:val="24"/>
          <w:szCs w:val="24"/>
        </w:rPr>
        <w:t xml:space="preserve">1.2.10 4G图传</w:t>
      </w:r>
      <w:r>
        <w:rPr>
          <w:rFonts w:hint="eastAsia" w:ascii="宋体" w:hAnsi="宋体" w:eastAsia="宋体"/>
          <w:b/>
          <w:sz w:val="24"/>
          <w:szCs w:val="24"/>
        </w:rPr>
        <w:t xml:space="preserve">流量卡服务要求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1、提供通保4G图传流量卡（流量池最低800G/月），提供流量池服务。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2、流量池主要应用模式分类：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(1)移动办公流量：满足移动办公、信息化等需求，结合手机移动应用提出流量池共享解决方案。</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(2)设备流量：满足移动工作设备卡的流量需求，如车船载设备数据上行、即拍即传、移动视频监控等应用需求。 </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手机号码作为账号登录流量池自助服务管理平台，对购买的流量池进行管理，可进行新增成员、设置成员状态，为成员分配流量池使用限额等操作。</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流量池为共享使用流量的产品，流量池内流量可供加入流量池的流量卡共享使用，池内最大客户数不能超过池容量的值。</w:t>
      </w:r>
      <w:r/>
    </w:p>
    <w:p>
      <w:pPr>
        <w:ind w:firstLine="420"/>
        <w:spacing w:line="360" w:lineRule="auto"/>
        <w:rPr>
          <w:rFonts w:hint="eastAsia" w:ascii="宋体" w:hAnsi="宋体" w:eastAsia="宋体"/>
          <w:b/>
          <w:sz w:val="24"/>
          <w:szCs w:val="24"/>
        </w:rPr>
      </w:pPr>
      <w:r>
        <w:rPr>
          <w:rFonts w:hint="eastAsia" w:ascii="宋体" w:hAnsi="宋体" w:eastAsia="宋体"/>
          <w:b/>
          <w:bCs/>
          <w:sz w:val="24"/>
          <w:szCs w:val="24"/>
        </w:rPr>
        <w:t xml:space="preserve">1.2.11 业务流量卡和业务手机卡</w:t>
      </w:r>
      <w:r>
        <w:rPr>
          <w:rFonts w:hint="eastAsia" w:ascii="宋体" w:hAnsi="宋体" w:eastAsia="宋体"/>
          <w:b/>
          <w:sz w:val="24"/>
          <w:szCs w:val="24"/>
        </w:rPr>
        <w:t xml:space="preserve">服务要求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需提供一定数量的4G/5G手机卡，支持全国范围内的高速移动通信服务，满足客户在外勤、远程办公等场景下的语音和数据通信需求。手机卡需具备良好的信号覆盖和稳定的网络连接能力。</w:t>
      </w:r>
      <w:r/>
    </w:p>
    <w:p>
      <w:pPr>
        <w:ind w:firstLine="420"/>
        <w:spacing w:line="360" w:lineRule="auto"/>
        <w:rPr>
          <w:rFonts w:hint="eastAsia" w:ascii="宋体" w:hAnsi="宋体" w:eastAsia="宋体"/>
          <w:b/>
          <w:sz w:val="24"/>
          <w:szCs w:val="24"/>
        </w:rPr>
      </w:pPr>
      <w:r>
        <w:rPr>
          <w:rFonts w:hint="eastAsia" w:ascii="宋体" w:hAnsi="宋体" w:eastAsia="宋体"/>
          <w:b/>
          <w:bCs/>
          <w:sz w:val="24"/>
          <w:szCs w:val="24"/>
        </w:rPr>
        <w:t xml:space="preserve">1.2.12</w:t>
      </w:r>
      <w:r>
        <w:rPr>
          <w:rFonts w:hint="eastAsia" w:ascii="宋体" w:hAnsi="宋体" w:eastAsia="宋体"/>
          <w:b/>
          <w:sz w:val="24"/>
          <w:szCs w:val="24"/>
        </w:rPr>
        <w:t xml:space="preserve">拘留所ITV服务要求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要求网络电视清晰度高、网络电视节目种类丰富、网络电视使用便捷性、网络电视服务及时性高，且能够提供至少一周的节目回访和时延功能，在网络出现问题时能够及时进行障碍的查修和技术支持工作。</w:t>
      </w:r>
      <w:r/>
    </w:p>
    <w:p>
      <w:pPr>
        <w:ind w:firstLine="420"/>
        <w:spacing w:line="360" w:lineRule="auto"/>
        <w:rPr>
          <w:rFonts w:hint="eastAsia" w:ascii="宋体" w:hAnsi="宋体" w:eastAsia="宋体"/>
          <w:b/>
          <w:sz w:val="24"/>
          <w:szCs w:val="24"/>
        </w:rPr>
      </w:pPr>
      <w:r>
        <w:rPr>
          <w:rFonts w:hint="eastAsia" w:ascii="宋体" w:hAnsi="宋体" w:eastAsia="宋体"/>
          <w:b/>
          <w:bCs/>
          <w:sz w:val="24"/>
          <w:szCs w:val="24"/>
        </w:rPr>
        <w:t xml:space="preserve">1.2.13</w:t>
      </w:r>
      <w:r>
        <w:rPr>
          <w:rFonts w:hint="eastAsia" w:ascii="宋体" w:hAnsi="宋体" w:eastAsia="宋体"/>
          <w:b/>
          <w:sz w:val="24"/>
          <w:szCs w:val="24"/>
        </w:rPr>
        <w:t xml:space="preserve">短信服务要求</w:t>
      </w:r>
      <w:r/>
    </w:p>
    <w:tbl>
      <w:tblPr>
        <w:tblStyle w:val="842"/>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1460"/>
        <w:gridCol w:w="6846"/>
      </w:tblGrid>
      <w:tr>
        <w:trPr>
          <w:trHeight w:val="312"/>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类别</w:t>
            </w:r>
            <w:r/>
          </w:p>
        </w:tc>
        <w:tc>
          <w:tcPr>
            <w:tcBorders>
              <w:top w:val="single" w:color="auto" w:sz="4" w:space="0"/>
              <w:left w:val="none" w:color="000000" w:sz="4" w:space="0"/>
              <w:bottom w:val="single" w:color="auto" w:sz="4" w:space="0"/>
              <w:right w:val="single" w:color="auto" w:sz="4" w:space="0"/>
            </w:tcBorders>
            <w:tcW w:w="6846"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参数要求</w:t>
            </w:r>
            <w:r/>
          </w:p>
        </w:tc>
      </w:tr>
      <w:tr>
        <w:trPr>
          <w:trHeight w:val="276"/>
        </w:trPr>
        <w:tc>
          <w:tcPr>
            <w:tcBorders>
              <w:top w:val="none" w:color="000000" w:sz="4" w:space="0"/>
              <w:left w:val="single" w:color="auto" w:sz="4" w:space="0"/>
              <w:bottom w:val="single" w:color="auto" w:sz="4" w:space="0"/>
              <w:right w:val="single" w:color="auto" w:sz="4" w:space="0"/>
            </w:tcBorders>
            <w:tcW w:w="1460" w:type="dxa"/>
            <w:vAlign w:val="center"/>
            <w:textDirection w:val="lrTb"/>
            <w:noWrap/>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服务要求</w:t>
            </w:r>
            <w:r/>
          </w:p>
        </w:tc>
        <w:tc>
          <w:tcPr>
            <w:tcBorders>
              <w:top w:val="none" w:color="000000" w:sz="4" w:space="0"/>
              <w:left w:val="none" w:color="000000" w:sz="4" w:space="0"/>
              <w:bottom w:val="single" w:color="auto" w:sz="4" w:space="0"/>
              <w:right w:val="single" w:color="auto" w:sz="4" w:space="0"/>
            </w:tcBorders>
            <w:tcW w:w="6846" w:type="dxa"/>
            <w:vAlign w:val="bottom"/>
            <w:textDirection w:val="lrTb"/>
            <w:noWrap/>
          </w:tcPr>
          <w:p>
            <w:pPr>
              <w:spacing w:line="360" w:lineRule="auto"/>
              <w:rPr>
                <w:rFonts w:hint="eastAsia" w:ascii="宋体" w:hAnsi="宋体" w:eastAsia="宋体"/>
                <w:sz w:val="24"/>
                <w:szCs w:val="24"/>
              </w:rPr>
            </w:pPr>
            <w:r>
              <w:rPr>
                <w:rFonts w:hint="eastAsia" w:ascii="宋体" w:hAnsi="宋体" w:eastAsia="宋体"/>
                <w:sz w:val="24"/>
                <w:szCs w:val="24"/>
              </w:rPr>
              <w:t xml:space="preserve">提供交警12123短信和反诈96110短信。要求发送时效性和发送准确性符合国标标准。</w:t>
            </w:r>
            <w:r/>
          </w:p>
        </w:tc>
      </w:tr>
      <w:tr>
        <w:trPr/>
        <w:tc>
          <w:tcPr>
            <w:tcBorders>
              <w:top w:val="none" w:color="000000" w:sz="4" w:space="0"/>
              <w:left w:val="single" w:color="auto" w:sz="4" w:space="0"/>
              <w:bottom w:val="single" w:color="auto" w:sz="4" w:space="0"/>
              <w:right w:val="single" w:color="auto" w:sz="4" w:space="0"/>
            </w:tcBorders>
            <w:tcW w:w="1460" w:type="dxa"/>
            <w:vAlign w:val="center"/>
            <w:textDirection w:val="lrTb"/>
            <w:noWrap/>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技术指标</w:t>
            </w:r>
            <w:r/>
          </w:p>
        </w:tc>
        <w:tc>
          <w:tcPr>
            <w:tcBorders>
              <w:top w:val="none" w:color="000000" w:sz="4" w:space="0"/>
              <w:left w:val="none" w:color="000000" w:sz="4" w:space="0"/>
              <w:bottom w:val="single" w:color="auto" w:sz="4" w:space="0"/>
              <w:right w:val="single" w:color="auto" w:sz="4" w:space="0"/>
            </w:tcBorders>
            <w:tcW w:w="6846" w:type="dxa"/>
            <w:vAlign w:val="bottom"/>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(1)5秒可达 —— 短信5秒内可以发送到用户手机</w:t>
            </w:r>
            <w:r>
              <w:rPr>
                <w:rFonts w:hint="eastAsia" w:ascii="宋体" w:hAnsi="宋体" w:eastAsia="宋体"/>
                <w:sz w:val="24"/>
                <w:szCs w:val="24"/>
              </w:rPr>
              <w:br/>
            </w:r>
            <w:r>
              <w:rPr>
                <w:rFonts w:hint="eastAsia" w:ascii="宋体" w:hAnsi="宋体" w:eastAsia="宋体"/>
                <w:sz w:val="24"/>
                <w:szCs w:val="24"/>
              </w:rPr>
              <w:t xml:space="preserve">(2)使命必达—— 98%以上的到达率</w:t>
            </w:r>
            <w:r>
              <w:rPr>
                <w:rFonts w:hint="eastAsia" w:ascii="宋体" w:hAnsi="宋体" w:eastAsia="宋体"/>
                <w:sz w:val="24"/>
                <w:szCs w:val="24"/>
              </w:rPr>
              <w:br/>
            </w:r>
            <w:r>
              <w:rPr>
                <w:rFonts w:hint="eastAsia" w:ascii="宋体" w:hAnsi="宋体" w:eastAsia="宋体"/>
                <w:sz w:val="24"/>
                <w:szCs w:val="24"/>
              </w:rPr>
              <w:t xml:space="preserve">(3)三网合一——  移动、联通、电信三网合一短信双向收发</w:t>
            </w:r>
            <w:r>
              <w:rPr>
                <w:rFonts w:hint="eastAsia" w:ascii="宋体" w:hAnsi="宋体" w:eastAsia="宋体"/>
                <w:sz w:val="24"/>
                <w:szCs w:val="24"/>
              </w:rPr>
              <w:br/>
            </w:r>
            <w:r>
              <w:rPr>
                <w:rFonts w:hint="eastAsia" w:ascii="宋体" w:hAnsi="宋体" w:eastAsia="宋体"/>
                <w:sz w:val="24"/>
                <w:szCs w:val="24"/>
              </w:rPr>
              <w:t xml:space="preserve">(4)独立端口 —— 一客一签，每秒钟可处理300个短信消息</w:t>
            </w:r>
            <w:r>
              <w:rPr>
                <w:rFonts w:hint="eastAsia" w:ascii="宋体" w:hAnsi="宋体" w:eastAsia="宋体"/>
                <w:sz w:val="24"/>
                <w:szCs w:val="24"/>
              </w:rPr>
              <w:br/>
            </w:r>
            <w:r>
              <w:rPr>
                <w:rFonts w:hint="eastAsia" w:ascii="宋体" w:hAnsi="宋体" w:eastAsia="宋体"/>
                <w:sz w:val="24"/>
                <w:szCs w:val="24"/>
              </w:rPr>
              <w:t xml:space="preserve">(5)多通道备份 —— 106专业通道，多个独立通道互为备份</w:t>
            </w:r>
            <w:r>
              <w:rPr>
                <w:rFonts w:hint="eastAsia" w:ascii="宋体" w:hAnsi="宋体" w:eastAsia="宋体"/>
                <w:sz w:val="24"/>
                <w:szCs w:val="24"/>
              </w:rPr>
              <w:br/>
            </w:r>
            <w:r>
              <w:rPr>
                <w:rFonts w:hint="eastAsia" w:ascii="宋体" w:hAnsi="宋体" w:eastAsia="宋体"/>
                <w:sz w:val="24"/>
                <w:szCs w:val="24"/>
              </w:rPr>
              <w:t xml:space="preserve">(6)明细可查 —— 实时查询账户余额、发送记录、支持用户回复短信查询导出</w:t>
            </w:r>
            <w:r>
              <w:rPr>
                <w:rFonts w:hint="eastAsia" w:ascii="宋体" w:hAnsi="宋体" w:eastAsia="宋体"/>
                <w:sz w:val="24"/>
                <w:szCs w:val="24"/>
              </w:rPr>
              <w:br/>
            </w:r>
            <w:r>
              <w:rPr>
                <w:rFonts w:hint="eastAsia" w:ascii="宋体" w:hAnsi="宋体" w:eastAsia="宋体"/>
                <w:sz w:val="24"/>
                <w:szCs w:val="24"/>
              </w:rPr>
              <w:t xml:space="preserve">(7)SDK接口 —— 多语言的SDK开发文档，轻松接入使用</w:t>
            </w:r>
            <w:r>
              <w:rPr>
                <w:rFonts w:hint="eastAsia" w:ascii="宋体" w:hAnsi="宋体" w:eastAsia="宋体"/>
                <w:sz w:val="24"/>
                <w:szCs w:val="24"/>
              </w:rPr>
              <w:br/>
            </w:r>
            <w:r>
              <w:rPr>
                <w:rFonts w:hint="eastAsia" w:ascii="宋体" w:hAnsi="宋体" w:eastAsia="宋体"/>
                <w:sz w:val="24"/>
                <w:szCs w:val="24"/>
              </w:rPr>
              <w:t xml:space="preserve">(8)三网版短信业务B/S架构网络版是基于浏览器的移动短信平台。</w:t>
            </w:r>
            <w:r>
              <w:rPr>
                <w:rFonts w:hint="eastAsia" w:ascii="宋体" w:hAnsi="宋体" w:eastAsia="宋体"/>
                <w:sz w:val="24"/>
                <w:szCs w:val="24"/>
              </w:rPr>
              <w:br/>
            </w:r>
            <w:r>
              <w:rPr>
                <w:rFonts w:hint="eastAsia" w:ascii="宋体" w:hAnsi="宋体" w:eastAsia="宋体"/>
                <w:sz w:val="24"/>
                <w:szCs w:val="24"/>
              </w:rPr>
              <w:t xml:space="preserve">(9)基于云服务的“三网版短信业务”提供更加方便、安全、稳定、顺畅的电信级群发短信业务服务能力，通过短信网关连接中国移动、联通、电信的短信中心，进行三网融合，以端口106特服号码进行实时中发送</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（10）短信12123平台按48万条/月核算，96110按15万条/月核算（每月实际结算时，按实际发送量结算）</w:t>
            </w:r>
            <w:r/>
          </w:p>
        </w:tc>
      </w:tr>
    </w:tbl>
    <w:p>
      <w:pPr>
        <w:ind w:firstLine="420"/>
        <w:spacing w:line="360" w:lineRule="auto"/>
        <w:rPr>
          <w:rFonts w:hint="eastAsia" w:ascii="宋体" w:hAnsi="宋体" w:eastAsia="宋体"/>
          <w:b/>
          <w:sz w:val="24"/>
          <w:szCs w:val="24"/>
        </w:rPr>
      </w:pPr>
      <w:r>
        <w:rPr>
          <w:rFonts w:hint="eastAsia" w:ascii="宋体" w:hAnsi="宋体" w:eastAsia="宋体"/>
          <w:b/>
          <w:bCs/>
          <w:sz w:val="24"/>
          <w:szCs w:val="24"/>
        </w:rPr>
        <w:t xml:space="preserve">1.2.14 </w:t>
      </w:r>
      <w:r>
        <w:rPr>
          <w:rFonts w:hint="eastAsia" w:ascii="宋体" w:hAnsi="宋体" w:eastAsia="宋体"/>
          <w:b/>
          <w:sz w:val="24"/>
          <w:szCs w:val="24"/>
        </w:rPr>
        <w:t xml:space="preserve">IP地址服务要求</w:t>
      </w:r>
      <w:r/>
    </w:p>
    <w:p>
      <w:pPr>
        <w:ind w:firstLine="480"/>
        <w:spacing w:line="360" w:lineRule="auto"/>
        <w:rPr>
          <w:rFonts w:hint="eastAsia" w:ascii="宋体" w:hAnsi="宋体" w:eastAsia="宋体"/>
          <w:b/>
          <w:bCs/>
          <w:sz w:val="24"/>
          <w:szCs w:val="24"/>
        </w:rPr>
      </w:pPr>
      <w:r>
        <w:rPr>
          <w:rFonts w:hint="eastAsia" w:ascii="宋体" w:hAnsi="宋体" w:eastAsia="宋体"/>
          <w:sz w:val="24"/>
          <w:szCs w:val="24"/>
        </w:rPr>
        <w:t xml:space="preserve">需提供固定公网IP地址，支持客户设备或业务系统接入互联网，满足远程访问、服务器托管等业务需求。IP地址需具备可管理性，支持灵活分配和配置。</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1.2.15</w:t>
      </w:r>
      <w:r>
        <w:rPr>
          <w:rFonts w:hint="eastAsia" w:ascii="宋体" w:hAnsi="宋体" w:eastAsia="宋体"/>
          <w:b/>
          <w:sz w:val="24"/>
          <w:szCs w:val="24"/>
        </w:rPr>
        <w:t xml:space="preserve">综合管控平台</w:t>
      </w:r>
      <w:r/>
    </w:p>
    <w:tbl>
      <w:tblPr>
        <w:tblStyle w:val="842"/>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1725"/>
        <w:gridCol w:w="6797"/>
      </w:tblGrid>
      <w:tr>
        <w:trPr>
          <w:trHeight w:val="312"/>
        </w:trPr>
        <w:tc>
          <w:tcPr>
            <w:tcBorders>
              <w:top w:val="single" w:color="auto" w:sz="4" w:space="0"/>
              <w:left w:val="single" w:color="auto" w:sz="4" w:space="0"/>
              <w:bottom w:val="single" w:color="auto" w:sz="4" w:space="0"/>
              <w:right w:val="single" w:color="auto" w:sz="4" w:space="0"/>
            </w:tcBorders>
            <w:tcW w:w="1012" w:type="pct"/>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类别</w:t>
            </w:r>
            <w:r/>
          </w:p>
        </w:tc>
        <w:tc>
          <w:tcPr>
            <w:tcBorders>
              <w:top w:val="single" w:color="auto" w:sz="4" w:space="0"/>
              <w:left w:val="none" w:color="000000" w:sz="4" w:space="0"/>
              <w:bottom w:val="single" w:color="auto" w:sz="4" w:space="0"/>
              <w:right w:val="single" w:color="auto" w:sz="4" w:space="0"/>
            </w:tcBorders>
            <w:tcW w:w="3988" w:type="pct"/>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参数要求</w:t>
            </w:r>
            <w:r/>
          </w:p>
        </w:tc>
      </w:tr>
      <w:tr>
        <w:trPr>
          <w:trHeight w:val="1656"/>
        </w:trPr>
        <w:tc>
          <w:tcPr>
            <w:tcBorders>
              <w:top w:val="none" w:color="000000" w:sz="4" w:space="0"/>
              <w:left w:val="single" w:color="auto" w:sz="4" w:space="0"/>
              <w:bottom w:val="single" w:color="auto" w:sz="4" w:space="0"/>
              <w:right w:val="single" w:color="auto" w:sz="4" w:space="0"/>
            </w:tcBorders>
            <w:tcW w:w="1012" w:type="pct"/>
            <w:vAlign w:val="center"/>
            <w:textDirection w:val="lrTb"/>
            <w:noWrap/>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资产管理</w:t>
            </w:r>
            <w:r/>
          </w:p>
        </w:tc>
        <w:tc>
          <w:tcPr>
            <w:tcBorders>
              <w:top w:val="none" w:color="000000" w:sz="4" w:space="0"/>
              <w:left w:val="none" w:color="000000" w:sz="4" w:space="0"/>
              <w:bottom w:val="single" w:color="auto" w:sz="4" w:space="0"/>
              <w:right w:val="single" w:color="auto" w:sz="4" w:space="0"/>
            </w:tcBorders>
            <w:tcW w:w="3988" w:type="pct"/>
            <w:vAlign w:val="bottom"/>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1、资产模型覆盖，包括硬件资产（交换机、路由器、防火墙等）、软件资产（操作系统、数据库、中间件）、虚拟资产（Docker容器），并支持自定义创建资产信息；</w:t>
            </w:r>
            <w:r>
              <w:rPr>
                <w:rFonts w:hint="eastAsia" w:ascii="宋体" w:hAnsi="宋体" w:eastAsia="宋体"/>
                <w:sz w:val="24"/>
                <w:szCs w:val="24"/>
              </w:rPr>
              <w:br/>
            </w:r>
            <w:r>
              <w:rPr>
                <w:rFonts w:hint="eastAsia" w:ascii="宋体" w:hAnsi="宋体" w:eastAsia="宋体"/>
                <w:sz w:val="24"/>
                <w:szCs w:val="24"/>
              </w:rPr>
              <w:t xml:space="preserve">2、支持批量纳管资产、批量导出资产；</w:t>
            </w:r>
            <w:r>
              <w:rPr>
                <w:rFonts w:hint="eastAsia" w:ascii="宋体" w:hAnsi="宋体" w:eastAsia="宋体"/>
                <w:sz w:val="24"/>
                <w:szCs w:val="24"/>
              </w:rPr>
              <w:br/>
            </w:r>
            <w:r>
              <w:rPr>
                <w:rFonts w:hint="eastAsia" w:ascii="宋体" w:hAnsi="宋体" w:eastAsia="宋体"/>
                <w:sz w:val="24"/>
                <w:szCs w:val="24"/>
              </w:rPr>
              <w:t xml:space="preserve">▲3、具备资产自动发现能力，支持通过IP网段自动识别设备，并支持纳管设备。</w:t>
            </w:r>
            <w:r>
              <w:rPr>
                <w:rFonts w:hint="eastAsia" w:ascii="宋体" w:hAnsi="宋体" w:eastAsia="宋体"/>
                <w:b/>
                <w:bCs/>
                <w:sz w:val="24"/>
                <w:szCs w:val="24"/>
              </w:rPr>
              <w:t xml:space="preserve">（投标文件中提供功能截图相关证明材料加盖投标人公章）</w:t>
            </w:r>
            <w:r/>
          </w:p>
        </w:tc>
      </w:tr>
      <w:tr>
        <w:trPr>
          <w:trHeight w:val="629"/>
        </w:trPr>
        <w:tc>
          <w:tcPr>
            <w:tcBorders>
              <w:top w:val="single" w:color="auto" w:sz="4" w:space="0"/>
              <w:left w:val="single" w:color="auto" w:sz="4" w:space="0"/>
              <w:bottom w:val="single" w:color="auto" w:sz="4" w:space="0"/>
              <w:right w:val="single" w:color="auto" w:sz="4" w:space="0"/>
            </w:tcBorders>
            <w:tcW w:w="1012" w:type="pct"/>
            <w:vAlign w:val="center"/>
            <w:textDirection w:val="lrTb"/>
            <w:noWrap/>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监控能力</w:t>
            </w:r>
            <w:r/>
          </w:p>
        </w:tc>
        <w:tc>
          <w:tcPr>
            <w:tcBorders>
              <w:top w:val="single" w:color="auto" w:sz="4" w:space="0"/>
              <w:left w:val="single" w:color="auto" w:sz="4" w:space="0"/>
              <w:bottom w:val="single" w:color="auto" w:sz="4" w:space="0"/>
              <w:right w:val="single" w:color="auto" w:sz="4" w:space="0"/>
            </w:tcBorders>
            <w:tcW w:w="3988" w:type="pct"/>
            <w:vAlign w:val="bottom"/>
            <w:textDirection w:val="lrTb"/>
            <w:noWrap w:val="false"/>
          </w:tcPr>
          <w:p>
            <w:pPr>
              <w:jc w:val="left"/>
              <w:spacing w:line="360" w:lineRule="auto"/>
              <w:rPr>
                <w:rFonts w:hint="eastAsia" w:ascii="宋体" w:hAnsi="宋体" w:eastAsia="宋体"/>
                <w:b/>
                <w:bCs/>
                <w:sz w:val="24"/>
                <w:szCs w:val="24"/>
              </w:rPr>
            </w:pPr>
            <w:r>
              <w:rPr>
                <w:rFonts w:hint="eastAsia" w:ascii="宋体" w:hAnsi="宋体" w:eastAsia="宋体"/>
                <w:sz w:val="24"/>
                <w:szCs w:val="24"/>
              </w:rPr>
              <w:t xml:space="preserve">1、支持对纳管设备进行监控，采集资产关键性能指标（如CPU、内存、流量等），并提供历史趋势图表，支持按时间回溯分析，内置告警规则，当采集指标达到一定条件，自动触发告警。</w:t>
            </w:r>
            <w:r>
              <w:rPr>
                <w:rFonts w:hint="eastAsia" w:ascii="宋体" w:hAnsi="宋体" w:eastAsia="宋体"/>
                <w:sz w:val="24"/>
                <w:szCs w:val="24"/>
              </w:rPr>
              <w:br/>
            </w:r>
            <w:r>
              <w:rPr>
                <w:rFonts w:hint="eastAsia" w:ascii="宋体" w:hAnsi="宋体" w:eastAsia="宋体"/>
                <w:sz w:val="24"/>
                <w:szCs w:val="24"/>
              </w:rPr>
              <w:t xml:space="preserve">▲2、具备拨测能力，包括PING连通性测试、端口可达性检测、接口可用性拨测，并可基于拨测结果自动触发告警；</w:t>
            </w:r>
            <w:r>
              <w:rPr>
                <w:rFonts w:hint="eastAsia" w:ascii="宋体" w:hAnsi="宋体" w:eastAsia="宋体"/>
                <w:b/>
                <w:bCs/>
                <w:sz w:val="24"/>
                <w:szCs w:val="24"/>
              </w:rPr>
              <w:t xml:space="preserve">（投标文件中提供功能截图相关证明材料加盖投标人公章）</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▲3、支持对平台监控资产自定义巡检策略与模版，可定时自动执行巡检任务并生成结构化报告。</w:t>
            </w:r>
            <w:r/>
          </w:p>
        </w:tc>
      </w:tr>
      <w:tr>
        <w:trPr>
          <w:trHeight w:val="1104"/>
        </w:trPr>
        <w:tc>
          <w:tcPr>
            <w:tcBorders>
              <w:top w:val="single" w:color="auto" w:sz="4" w:space="0"/>
              <w:left w:val="single" w:color="auto" w:sz="4" w:space="0"/>
              <w:bottom w:val="single" w:color="auto" w:sz="4" w:space="0"/>
              <w:right w:val="single" w:color="auto" w:sz="4" w:space="0"/>
            </w:tcBorders>
            <w:tcW w:w="1012" w:type="pct"/>
            <w:vAlign w:val="center"/>
            <w:textDirection w:val="lrTb"/>
            <w:noWrap/>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告警管理</w:t>
            </w:r>
            <w:r/>
          </w:p>
        </w:tc>
        <w:tc>
          <w:tcPr>
            <w:tcBorders>
              <w:top w:val="single" w:color="auto" w:sz="4" w:space="0"/>
              <w:left w:val="none" w:color="000000" w:sz="4" w:space="0"/>
              <w:bottom w:val="single" w:color="auto" w:sz="4" w:space="0"/>
              <w:right w:val="single" w:color="auto" w:sz="4" w:space="0"/>
            </w:tcBorders>
            <w:tcW w:w="3988" w:type="pct"/>
            <w:vAlign w:val="bottom"/>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1、告警监控处置：提供告警集中展示、分类查询能力。</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▲2、多源告警统一接入：支持汇聚自有监控告警，并提供标准接口对接第三方监控系统，实现告警统一汇聚。</w:t>
            </w:r>
            <w:r/>
          </w:p>
          <w:p>
            <w:pPr>
              <w:jc w:val="left"/>
              <w:spacing w:line="360" w:lineRule="auto"/>
              <w:rPr>
                <w:rFonts w:hint="eastAsia" w:ascii="宋体" w:hAnsi="宋体" w:eastAsia="宋体"/>
                <w:sz w:val="24"/>
                <w:szCs w:val="24"/>
              </w:rPr>
            </w:pPr>
            <w:r>
              <w:rPr>
                <w:rFonts w:hint="eastAsia" w:ascii="宋体" w:hAnsi="宋体" w:eastAsia="宋体"/>
                <w:b/>
                <w:bCs/>
                <w:sz w:val="24"/>
                <w:szCs w:val="24"/>
              </w:rPr>
              <w:t xml:space="preserve">（投标文件中提供功能截图相关证明材料加盖投标人公章）</w:t>
            </w:r>
            <w:r/>
          </w:p>
        </w:tc>
      </w:tr>
      <w:tr>
        <w:trPr>
          <w:trHeight w:val="1656"/>
        </w:trPr>
        <w:tc>
          <w:tcPr>
            <w:tcBorders>
              <w:top w:val="none" w:color="000000" w:sz="4" w:space="0"/>
              <w:left w:val="single" w:color="auto" w:sz="4" w:space="0"/>
              <w:bottom w:val="single" w:color="auto" w:sz="4" w:space="0"/>
              <w:right w:val="single" w:color="auto" w:sz="4" w:space="0"/>
            </w:tcBorders>
            <w:tcW w:w="1012" w:type="pct"/>
            <w:vAlign w:val="center"/>
            <w:textDirection w:val="lrTb"/>
            <w:noWrap/>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可视化展示</w:t>
            </w:r>
            <w:r/>
          </w:p>
        </w:tc>
        <w:tc>
          <w:tcPr>
            <w:tcBorders>
              <w:top w:val="none" w:color="000000" w:sz="4" w:space="0"/>
              <w:left w:val="none" w:color="000000" w:sz="4" w:space="0"/>
              <w:bottom w:val="single" w:color="auto" w:sz="4" w:space="0"/>
              <w:right w:val="single" w:color="auto" w:sz="4" w:space="0"/>
            </w:tcBorders>
            <w:tcW w:w="3988" w:type="pct"/>
            <w:vAlign w:val="bottom"/>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1、提供开箱即用的运维驾驶舱，动态展示资产分布、告警分布等核心数据；</w:t>
            </w:r>
            <w:r>
              <w:rPr>
                <w:rFonts w:hint="eastAsia" w:ascii="宋体" w:hAnsi="宋体" w:eastAsia="宋体"/>
                <w:sz w:val="24"/>
                <w:szCs w:val="24"/>
              </w:rPr>
              <w:br/>
            </w:r>
            <w:r>
              <w:rPr>
                <w:rFonts w:hint="eastAsia" w:ascii="宋体" w:hAnsi="宋体" w:eastAsia="宋体"/>
                <w:sz w:val="24"/>
                <w:szCs w:val="24"/>
              </w:rPr>
              <w:t xml:space="preserve">2、支持自定义拓扑视图，手动构建资产关系，并实现告警联动展示；</w:t>
            </w:r>
            <w:r>
              <w:rPr>
                <w:rFonts w:hint="eastAsia" w:ascii="宋体" w:hAnsi="宋体" w:eastAsia="宋体"/>
                <w:sz w:val="24"/>
                <w:szCs w:val="24"/>
              </w:rPr>
              <w:br/>
            </w:r>
            <w:r>
              <w:rPr>
                <w:rFonts w:hint="eastAsia" w:ascii="宋体" w:hAnsi="宋体" w:eastAsia="宋体"/>
                <w:sz w:val="24"/>
                <w:szCs w:val="24"/>
              </w:rPr>
              <w:t xml:space="preserve">▲3、具备自定义驾驶舱能力，支持通过拖拉拽图形化组件，自主创建、编辑可视化大屏，并支持动态绑定数据源。</w:t>
            </w:r>
            <w:r>
              <w:rPr>
                <w:rFonts w:hint="eastAsia" w:ascii="宋体" w:hAnsi="宋体" w:eastAsia="宋体"/>
                <w:b/>
                <w:bCs/>
                <w:sz w:val="24"/>
                <w:szCs w:val="24"/>
              </w:rPr>
              <w:t xml:space="preserve">（投标文件中提供功能截图相关证明材料加盖投标人公章）</w:t>
            </w:r>
            <w:r/>
          </w:p>
        </w:tc>
      </w:tr>
      <w:tr>
        <w:trPr>
          <w:trHeight w:val="552"/>
        </w:trPr>
        <w:tc>
          <w:tcPr>
            <w:tcBorders>
              <w:top w:val="none" w:color="000000" w:sz="4" w:space="0"/>
              <w:left w:val="single" w:color="auto" w:sz="4" w:space="0"/>
              <w:bottom w:val="single" w:color="auto" w:sz="4" w:space="0"/>
              <w:right w:val="single" w:color="auto" w:sz="4" w:space="0"/>
            </w:tcBorders>
            <w:tcW w:w="1012" w:type="pct"/>
            <w:vAlign w:val="center"/>
            <w:textDirection w:val="lrTb"/>
            <w:noWrap/>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部署与兼容性要求</w:t>
            </w:r>
            <w:r/>
          </w:p>
        </w:tc>
        <w:tc>
          <w:tcPr>
            <w:tcBorders>
              <w:top w:val="none" w:color="000000" w:sz="4" w:space="0"/>
              <w:left w:val="none" w:color="000000" w:sz="4" w:space="0"/>
              <w:bottom w:val="single" w:color="auto" w:sz="4" w:space="0"/>
              <w:right w:val="single" w:color="auto" w:sz="4" w:space="0"/>
            </w:tcBorders>
            <w:tcW w:w="3988" w:type="pct"/>
            <w:vAlign w:val="bottom"/>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w:t>
            </w:r>
            <w:r>
              <w:rPr>
                <w:rFonts w:hint="eastAsia" w:ascii="宋体" w:hAnsi="宋体" w:eastAsia="宋体"/>
                <w:sz w:val="24"/>
                <w:szCs w:val="24"/>
              </w:rPr>
              <w:t xml:space="preserve">平台兼容ARM64/x86主流CPU架构及麒麟、统信UOS等操作系统，可在受限环境中稳定运行。</w:t>
            </w:r>
            <w:r>
              <w:rPr>
                <w:rFonts w:hint="eastAsia" w:ascii="宋体" w:hAnsi="宋体" w:eastAsia="宋体"/>
                <w:b/>
                <w:bCs/>
                <w:sz w:val="24"/>
                <w:szCs w:val="24"/>
              </w:rPr>
              <w:t xml:space="preserve">（投标文件中提供功能截图相关证明材料或承诺书（须明确承诺内容），证明材料加盖投标人公章）</w:t>
            </w:r>
            <w:r/>
          </w:p>
        </w:tc>
      </w:tr>
    </w:tbl>
    <w:p>
      <w:pPr>
        <w:ind w:firstLine="420"/>
        <w:spacing w:line="360" w:lineRule="auto"/>
        <w:rPr>
          <w:rFonts w:hint="eastAsia" w:asciiTheme="minorEastAsia" w:hAnsiTheme="minorEastAsia"/>
          <w:b/>
          <w:bCs/>
          <w:sz w:val="24"/>
        </w:rPr>
      </w:pPr>
      <w:r>
        <w:rPr>
          <w:rFonts w:hint="eastAsia" w:asciiTheme="minorEastAsia" w:hAnsiTheme="minorEastAsia"/>
          <w:b/>
          <w:bCs/>
          <w:sz w:val="24"/>
        </w:rPr>
        <w:t xml:space="preserve">2.服务要求</w:t>
      </w:r>
      <w:r/>
    </w:p>
    <w:tbl>
      <w:tblPr>
        <w:tblStyle w:val="842"/>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1602"/>
        <w:gridCol w:w="6704"/>
      </w:tblGrid>
      <w:tr>
        <w:trPr>
          <w:trHeight w:val="312"/>
        </w:trPr>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类别</w:t>
            </w:r>
            <w:r/>
          </w:p>
        </w:tc>
        <w:tc>
          <w:tcPr>
            <w:tcBorders>
              <w:top w:val="single" w:color="auto" w:sz="4" w:space="0"/>
              <w:left w:val="none" w:color="000000" w:sz="4" w:space="0"/>
              <w:bottom w:val="single" w:color="auto" w:sz="4" w:space="0"/>
              <w:right w:val="single" w:color="auto" w:sz="4" w:space="0"/>
            </w:tcBorders>
            <w:tcW w:w="6704"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参数要求</w:t>
            </w:r>
            <w:r/>
          </w:p>
        </w:tc>
      </w:tr>
      <w:tr>
        <w:trPr>
          <w:trHeight w:val="312"/>
        </w:trPr>
        <w:tc>
          <w:tcPr>
            <w:tcBorders>
              <w:top w:val="single" w:color="auto" w:sz="4" w:space="0"/>
              <w:left w:val="single" w:color="auto" w:sz="4" w:space="0"/>
              <w:bottom w:val="single" w:color="auto" w:sz="4" w:space="0"/>
              <w:right w:val="single" w:color="auto" w:sz="4" w:space="0"/>
            </w:tcBorders>
            <w:tcW w:w="1602" w:type="dxa"/>
            <w:vAlign w:val="center"/>
            <w:vMerge w:val="restart"/>
            <w:textDirection w:val="lrTb"/>
            <w:noWrap/>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安全要求</w:t>
            </w:r>
            <w:r/>
          </w:p>
        </w:tc>
        <w:tc>
          <w:tcPr>
            <w:tcBorders>
              <w:top w:val="single" w:color="auto" w:sz="4" w:space="0"/>
              <w:left w:val="single" w:color="auto" w:sz="4" w:space="0"/>
              <w:bottom w:val="single" w:color="auto" w:sz="4" w:space="0"/>
              <w:right w:val="single" w:color="auto" w:sz="4" w:space="0"/>
            </w:tcBorders>
            <w:tcW w:w="6704" w:type="dxa"/>
            <w:vAlign w:val="bottom"/>
            <w:textDirection w:val="lrTb"/>
            <w:noWrap/>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人员安全要求：所有运维和客服人员，需为公司正式聘用和招录人员，经过一定安全保密教育培训，充分认识公安各类网络的安全保密要求，未经公安部门同意不得私自“监控、测试、接入、更换”公安线路和专用终端设备。</w:t>
            </w:r>
            <w:r/>
          </w:p>
        </w:tc>
      </w:tr>
      <w:tr>
        <w:trPr>
          <w:trHeight w:val="276"/>
        </w:trPr>
        <w:tc>
          <w:tcPr>
            <w:tcBorders>
              <w:top w:val="single" w:color="auto" w:sz="4" w:space="0"/>
              <w:left w:val="single" w:color="auto" w:sz="4" w:space="0"/>
              <w:bottom w:val="single" w:color="auto" w:sz="4" w:space="0"/>
              <w:right w:val="single" w:color="auto" w:sz="4" w:space="0"/>
            </w:tcBorders>
            <w:tcW w:w="1602" w:type="dxa"/>
            <w:vAlign w:val="center"/>
            <w:vMerge w:val="continue"/>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6704" w:type="dxa"/>
            <w:vAlign w:val="bottom"/>
            <w:textDirection w:val="lrTb"/>
            <w:noWrap/>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技术安全要求：优化网络，提高网络的可靠性和安全性，对所租用的“互联网”“电子政务网”在网络传输过程中可能遭受的网络窃听、网络病毒和恶意代码攻击等安全风险，进行必要的防护；对“三四级网”“图像监控专网”“智能交通专网”中采购人提出的网络安全技术要求提供人员响应、技术支撑和业务配合。</w:t>
            </w:r>
            <w:r/>
          </w:p>
        </w:tc>
      </w:tr>
      <w:tr>
        <w:trPr/>
        <w:tc>
          <w:tcPr>
            <w:tcBorders>
              <w:top w:val="single" w:color="auto" w:sz="4" w:space="0"/>
              <w:left w:val="single" w:color="auto" w:sz="4" w:space="0"/>
              <w:bottom w:val="single" w:color="auto" w:sz="4" w:space="0"/>
              <w:right w:val="single" w:color="auto" w:sz="4" w:space="0"/>
            </w:tcBorders>
            <w:tcW w:w="1602" w:type="dxa"/>
            <w:vAlign w:val="center"/>
            <w:textDirection w:val="lrTb"/>
            <w:noWrap/>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维护及运营服务要求</w:t>
            </w:r>
            <w:r/>
          </w:p>
        </w:tc>
        <w:tc>
          <w:tcPr>
            <w:tcBorders>
              <w:top w:val="single" w:color="auto" w:sz="4" w:space="0"/>
              <w:left w:val="single" w:color="auto" w:sz="4" w:space="0"/>
              <w:bottom w:val="single" w:color="auto" w:sz="4" w:space="0"/>
              <w:right w:val="single" w:color="auto" w:sz="4" w:space="0"/>
            </w:tcBorders>
            <w:tcW w:w="6704" w:type="dxa"/>
            <w:vAlign w:val="bottom"/>
            <w:textDirection w:val="lrTb"/>
            <w:noWrap w:val="false"/>
          </w:tcPr>
          <w:p>
            <w:pPr>
              <w:numPr>
                <w:ilvl w:val="0"/>
                <w:numId w:val="3"/>
              </w:numPr>
              <w:jc w:val="left"/>
              <w:spacing w:line="360" w:lineRule="auto"/>
              <w:rPr>
                <w:rFonts w:hint="eastAsia" w:ascii="宋体" w:hAnsi="宋体" w:eastAsia="宋体"/>
                <w:sz w:val="24"/>
                <w:szCs w:val="24"/>
              </w:rPr>
            </w:pPr>
            <w:r>
              <w:rPr>
                <w:rFonts w:hint="eastAsia" w:ascii="宋体" w:hAnsi="宋体" w:eastAsia="宋体"/>
                <w:sz w:val="24"/>
                <w:szCs w:val="24"/>
              </w:rPr>
              <w:t xml:space="preserve">提供运维服务平台服务，实现7*24远程监控能力，全天候设备在线监测，具有对所有节点传输设备的日常运行状态、故障响应、资源分配和调度控制等监测管理功能，提供告警汇聚、流程调度、运营支撑等的数字化平台运维服务。</w:t>
            </w:r>
            <w:r>
              <w:rPr>
                <w:rFonts w:hint="eastAsia" w:ascii="宋体" w:hAnsi="宋体" w:eastAsia="宋体"/>
                <w:sz w:val="24"/>
                <w:szCs w:val="24"/>
              </w:rPr>
              <w:br/>
            </w:r>
            <w:r>
              <w:rPr>
                <w:rFonts w:hint="eastAsia" w:ascii="宋体" w:hAnsi="宋体" w:eastAsia="宋体"/>
                <w:sz w:val="24"/>
                <w:szCs w:val="24"/>
              </w:rPr>
              <w:t xml:space="preserve">2、提供端到端的客户网络监控等业务，对客户网络通断和传输性能提供7*24实时监控服务人员。</w:t>
            </w:r>
            <w:r>
              <w:rPr>
                <w:rFonts w:hint="eastAsia" w:ascii="宋体" w:hAnsi="宋体" w:eastAsia="宋体"/>
                <w:sz w:val="24"/>
                <w:szCs w:val="24"/>
              </w:rPr>
              <w:br/>
            </w:r>
            <w:r>
              <w:rPr>
                <w:rFonts w:hint="eastAsia" w:ascii="宋体" w:hAnsi="宋体" w:eastAsia="宋体"/>
                <w:sz w:val="24"/>
                <w:szCs w:val="24"/>
              </w:rPr>
              <w:t xml:space="preserve">3、提供7*24故障即时响应服务，主城区30分钟内维护力量到故障现场；郊区和县城区60分钟内维护力量到故障现场，所有零散传输类故障</w:t>
            </w:r>
            <w:r>
              <w:rPr>
                <w:rFonts w:hint="eastAsia" w:ascii="宋体" w:hAnsi="宋体" w:eastAsia="宋体"/>
                <w:sz w:val="24"/>
                <w:szCs w:val="24"/>
                <w:lang w:val="en-US" w:eastAsia="zh-CN"/>
              </w:rPr>
              <w:t xml:space="preserve">90分钟</w:t>
            </w:r>
            <w:r>
              <w:rPr>
                <w:rFonts w:hint="eastAsia" w:ascii="宋体" w:hAnsi="宋体" w:eastAsia="宋体"/>
                <w:sz w:val="24"/>
                <w:szCs w:val="24"/>
              </w:rPr>
              <w:t xml:space="preserve">内排除；大规模传输类故障第一时间出具可行方案，中标人单位运维部门和客服部门分管领导需现场指挥协调，事后书面提交情况报告。</w:t>
            </w:r>
            <w:r>
              <w:rPr>
                <w:rFonts w:hint="eastAsia" w:ascii="宋体" w:hAnsi="宋体" w:eastAsia="宋体"/>
                <w:sz w:val="24"/>
                <w:szCs w:val="24"/>
              </w:rPr>
              <w:br/>
            </w:r>
            <w:r>
              <w:rPr>
                <w:rFonts w:hint="eastAsia" w:ascii="宋体" w:hAnsi="宋体" w:eastAsia="宋体"/>
                <w:sz w:val="24"/>
                <w:szCs w:val="24"/>
              </w:rPr>
              <w:t xml:space="preserve">4、采购人因工作需要迁移、拆除、阻断、增加线路的，应提前24小时书面通知中标人。</w:t>
            </w:r>
            <w:r>
              <w:rPr>
                <w:rFonts w:hint="eastAsia" w:ascii="宋体" w:hAnsi="宋体" w:eastAsia="宋体"/>
                <w:sz w:val="24"/>
                <w:szCs w:val="24"/>
                <w:lang w:val="en-US" w:eastAsia="zh-CN"/>
              </w:rPr>
              <w:t xml:space="preserve">其中迁移、拆除、阻断等情况中标人不收取费用，增加线路按照中标单价进行收取费用。</w:t>
            </w:r>
            <w:r>
              <w:rPr>
                <w:rFonts w:hint="eastAsia" w:ascii="宋体" w:hAnsi="宋体" w:eastAsia="宋体"/>
                <w:sz w:val="24"/>
                <w:szCs w:val="24"/>
              </w:rPr>
              <w:t xml:space="preserve">非采购人需求的施工行为，中标人应提前24小时书面通知采购人并同采购人约定施工时间。施工时间持续不得超过24小时，施工期间造成的采购人网络中断时间不得超过3小时。</w:t>
            </w:r>
            <w:r>
              <w:rPr>
                <w:rFonts w:hint="eastAsia" w:ascii="宋体" w:hAnsi="宋体" w:eastAsia="宋体"/>
                <w:sz w:val="24"/>
                <w:szCs w:val="24"/>
              </w:rPr>
              <w:br/>
            </w:r>
            <w:r>
              <w:rPr>
                <w:rFonts w:hint="eastAsia" w:ascii="宋体" w:hAnsi="宋体" w:eastAsia="宋体"/>
                <w:sz w:val="24"/>
                <w:szCs w:val="24"/>
              </w:rPr>
              <w:t xml:space="preserve">5、采购人因紧急工作需要临时迁移、拆除、阻断、增加线路的，应提前12小时书面通知中标人。中标人在接到应急线路保障需求后，应在12小时内完成应急保障线路布设。</w:t>
            </w:r>
            <w:r>
              <w:rPr>
                <w:rFonts w:hint="eastAsia" w:ascii="宋体" w:hAnsi="宋体" w:eastAsia="宋体"/>
                <w:sz w:val="24"/>
                <w:szCs w:val="24"/>
              </w:rPr>
              <w:br/>
            </w:r>
            <w:r>
              <w:rPr>
                <w:rFonts w:hint="eastAsia" w:ascii="宋体" w:hAnsi="宋体" w:eastAsia="宋体"/>
                <w:sz w:val="24"/>
                <w:szCs w:val="24"/>
              </w:rPr>
              <w:t xml:space="preserve">6、中标人须根据采购人要求派相关技术人员到现场为采购人单位相关技术人员进行培训，并提供详细、切实可行的培训方案，方案包含培训师资、方式、课程等内容，确保相关人员可进行独立操作和处理一些基本问题。</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7、中标人需提供2台专用台式电脑用于专网日常巡检、维护和故障处置，禁止使用非专用电脑进行内网运营维护，一旦发生一机两用、双网互联等安全事故，每发生一起当月租赁费扣除1万元。</w:t>
            </w:r>
            <w:r/>
          </w:p>
        </w:tc>
      </w:tr>
      <w:tr>
        <w:trPr>
          <w:trHeight w:val="1104"/>
        </w:trPr>
        <w:tc>
          <w:tcPr>
            <w:tcBorders>
              <w:top w:val="single" w:color="auto" w:sz="4" w:space="0"/>
              <w:left w:val="single" w:color="auto" w:sz="4" w:space="0"/>
              <w:bottom w:val="single" w:color="auto" w:sz="4" w:space="0"/>
              <w:right w:val="single" w:color="auto" w:sz="4" w:space="0"/>
            </w:tcBorders>
            <w:tcW w:w="1602" w:type="dxa"/>
            <w:vAlign w:val="center"/>
            <w:textDirection w:val="lrTb"/>
            <w:noWrap/>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线路性能要求</w:t>
            </w:r>
            <w:r/>
          </w:p>
        </w:tc>
        <w:tc>
          <w:tcPr>
            <w:tcBorders>
              <w:top w:val="single" w:color="auto" w:sz="4" w:space="0"/>
              <w:left w:val="none" w:color="000000" w:sz="4" w:space="0"/>
              <w:bottom w:val="single" w:color="auto" w:sz="4" w:space="0"/>
              <w:right w:val="single" w:color="auto" w:sz="4" w:space="0"/>
            </w:tcBorders>
            <w:tcW w:w="6704" w:type="dxa"/>
            <w:vAlign w:val="bottom"/>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1、线路畅通率：全年畅通率平均达到99.9％；</w:t>
            </w:r>
            <w:r>
              <w:rPr>
                <w:rFonts w:hint="eastAsia" w:ascii="宋体" w:hAnsi="宋体" w:eastAsia="宋体"/>
                <w:sz w:val="24"/>
                <w:szCs w:val="24"/>
              </w:rPr>
              <w:br/>
            </w:r>
            <w:r>
              <w:rPr>
                <w:rFonts w:hint="eastAsia" w:ascii="宋体" w:hAnsi="宋体" w:eastAsia="宋体"/>
                <w:sz w:val="24"/>
                <w:szCs w:val="24"/>
              </w:rPr>
              <w:t xml:space="preserve">2、资源覆盖要求：光缆资源预覆盖率不低于70%；</w:t>
            </w:r>
            <w:r>
              <w:rPr>
                <w:rFonts w:hint="eastAsia" w:ascii="宋体" w:hAnsi="宋体" w:eastAsia="宋体"/>
                <w:sz w:val="24"/>
                <w:szCs w:val="24"/>
              </w:rPr>
              <w:br/>
            </w:r>
            <w:r>
              <w:rPr>
                <w:rFonts w:hint="eastAsia" w:ascii="宋体" w:hAnsi="宋体" w:eastAsia="宋体"/>
                <w:sz w:val="24"/>
                <w:szCs w:val="24"/>
              </w:rPr>
              <w:t xml:space="preserve">3、时延要求：点对点测试，传输1500 bytes，延时≤3ms，丢包率≤0.1%。</w:t>
            </w:r>
            <w:r/>
          </w:p>
        </w:tc>
      </w:tr>
    </w:tbl>
    <w:p>
      <w:pPr>
        <w:ind w:firstLine="420"/>
        <w:spacing w:line="360" w:lineRule="auto"/>
        <w:rPr>
          <w:rFonts w:hint="eastAsia" w:ascii="宋体" w:hAnsi="宋体" w:eastAsia="宋体" w:cs="宋体"/>
          <w:b/>
          <w:bCs/>
          <w:color w:val="000000"/>
          <w:sz w:val="24"/>
          <w:szCs w:val="24"/>
        </w:rPr>
      </w:pPr>
      <w:r>
        <w:rPr>
          <w:rFonts w:hint="eastAsia" w:ascii="宋体" w:hAnsi="宋体" w:eastAsia="宋体" w:cs="宋体"/>
          <w:b/>
          <w:bCs/>
          <w:sz w:val="24"/>
          <w:szCs w:val="24"/>
        </w:rPr>
        <w:t xml:space="preserve">3.</w:t>
      </w:r>
      <w:r>
        <w:rPr>
          <w:rFonts w:hint="eastAsia" w:ascii="宋体" w:hAnsi="宋体" w:eastAsia="宋体" w:cs="宋体"/>
          <w:b/>
          <w:bCs/>
          <w:color w:val="000000"/>
          <w:sz w:val="24"/>
          <w:szCs w:val="24"/>
        </w:rPr>
        <w:t xml:space="preserve">具体服务要求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三四级网建设服务要求：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1.提供的三四级网络服务具体标准不得低于信息产业部颁布的《通信行业服务质量标准》。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2.确保所用电路传输信息安全；承诺专线仅为采购人专用，任何第三方用户不得通过传输电路接入采购人网络。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3.提供传输设备配套的机柜、线缆，并负责上述配套设备的维护。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4.应在线路建设前提交本项目实施方案和详细计划，经采购人同意后方可开展实施。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5.提供线路传输设备的安装调测保障服务，布设割接线路、设备，更换维护不得影响采购人正常业务的网络传输。</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6.未经采购人书面授权，不得将本项目实施过程中涉及的采购信息和相关资料向第三方提供。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7.提供每月两次以上巡检、维护服务，提供24小时统一故障申告服务电话，提供故障响应流程和服务承诺。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8.建立备品备件库系统。为保证租赁线路系统正常运转，内网故障得到安全处置，需提供2台24口三层万兆全光交换机和20个万兆光模块作为备品备件，发生故障可以第一时间调用更换。</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三、人员配备要求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组成员不低于4名，包括项目负责人1名，项目技术负责人1名，项目成员不低于2名，项目组需保证7*24小时通讯联络畅通，日常性维护事项1小时内响应，3小时内到现场，5小内处置，重大事项需1小时内处置，并汇报公司业务主管部门主要领导，提出全面的应急相应方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项目组成员能够实现网络维修，光缆检测以及光纤熔接等工作。项目负责人需具有中级及以上通信工程师相关证书。</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投标人一经中标，拟派项目负责人不得更换，如有特殊原因需更换，须经采购人认可后，方可更换。</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四、服务期限与项目进度安排</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1.服务期限：</w:t>
      </w:r>
      <w:r>
        <w:rPr>
          <w:rFonts w:hint="eastAsia" w:asciiTheme="minorEastAsia" w:hAnsiTheme="minorEastAsia"/>
          <w:sz w:val="24"/>
          <w:szCs w:val="24"/>
        </w:rPr>
        <w:t xml:space="preserve">2年</w:t>
      </w:r>
      <w:r>
        <w:rPr>
          <w:rFonts w:hint="eastAsia" w:asciiTheme="minorEastAsia" w:hAnsiTheme="minorEastAsia"/>
          <w:bCs/>
          <w:color w:val="000000"/>
          <w:sz w:val="24"/>
          <w:szCs w:val="24"/>
        </w:rPr>
        <w:t xml:space="preserve">（合同约定之日起算）</w:t>
      </w:r>
      <w:r>
        <w:rPr>
          <w:rFonts w:hint="eastAsia" w:asciiTheme="minorEastAsia" w:hAnsiTheme="minorEastAsia"/>
          <w:sz w:val="24"/>
          <w:szCs w:val="24"/>
        </w:rPr>
        <w:t xml:space="preserve">。</w:t>
      </w:r>
      <w:r/>
    </w:p>
    <w:p>
      <w:pPr>
        <w:ind w:firstLine="458"/>
        <w:spacing w:line="360" w:lineRule="auto"/>
        <w:rPr>
          <w:rFonts w:hint="eastAsia" w:ascii="宋体" w:hAnsi="宋体" w:cs="宋体"/>
          <w:b/>
          <w:bCs/>
          <w:sz w:val="24"/>
          <w:szCs w:val="24"/>
        </w:rPr>
      </w:pPr>
      <w:r>
        <w:rPr>
          <w:rFonts w:hint="eastAsia" w:ascii="宋体" w:hAnsi="宋体" w:eastAsia="宋体" w:cs="宋体"/>
          <w:b/>
          <w:bCs/>
          <w:sz w:val="24"/>
          <w:szCs w:val="24"/>
        </w:rPr>
        <w:t xml:space="preserve">2.</w:t>
      </w:r>
      <w:r>
        <w:rPr>
          <w:rFonts w:hint="eastAsia" w:asciiTheme="minorEastAsia" w:hAnsiTheme="minorEastAsia"/>
          <w:b/>
          <w:i/>
          <w:iCs/>
          <w:color w:val="000000"/>
          <w:sz w:val="24"/>
          <w:szCs w:val="24"/>
          <w:u w:val="single"/>
        </w:rPr>
        <w:t xml:space="preserve">投标人承诺在中标合同签订完成后3个工作日内完成项目清单中各类网络线路、机柜、短信平台、流量卡、IP地址等服务开通，满足采购人正常使用；若没有在规定时间内完成服务开通，采购人可单方面解除合同或取消投标人中标资格。</w:t>
      </w:r>
      <w:r>
        <w:rPr>
          <w:rFonts w:hint="eastAsia" w:asciiTheme="minorEastAsia" w:hAnsiTheme="minorEastAsia"/>
          <w:b/>
          <w:i/>
          <w:iCs/>
          <w:sz w:val="24"/>
          <w:szCs w:val="24"/>
          <w:u w:val="single"/>
        </w:rPr>
        <w:t xml:space="preserve">（投标文件中提供承诺函并加盖投标人公章，格式自拟，否则投标无效）。</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五、服务标准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1.需符合国家相关标准、行业标准、地方标准或者其他标准、规范。</w:t>
      </w:r>
      <w:r/>
    </w:p>
    <w:p>
      <w:pPr>
        <w:ind w:firstLine="480"/>
        <w:spacing w:line="500" w:lineRule="exact"/>
        <w:rPr>
          <w:rFonts w:hint="eastAsia" w:asciiTheme="minorEastAsia" w:hAnsiTheme="minorEastAsia"/>
          <w:sz w:val="24"/>
          <w:szCs w:val="24"/>
        </w:rPr>
      </w:pPr>
      <w:r>
        <w:rPr>
          <w:rFonts w:hint="eastAsia" w:ascii="宋体" w:hAnsi="宋体" w:eastAsia="宋体" w:cs="宋体"/>
          <w:sz w:val="24"/>
          <w:szCs w:val="24"/>
        </w:rPr>
        <w:t xml:space="preserve">2.采购包</w:t>
      </w:r>
      <w:r>
        <w:rPr>
          <w:rFonts w:hint="eastAsia" w:asciiTheme="minorEastAsia" w:hAnsiTheme="minorEastAsia"/>
          <w:sz w:val="24"/>
          <w:szCs w:val="24"/>
        </w:rPr>
        <w:t xml:space="preserve">中涉及商品包装和快递包装的，提供产品及相关快递服务的具体包装要求符合《商品包装政府采购需求标准（试行）》、《快递包装政府采购需求标准（试行）》。</w:t>
      </w:r>
      <w:r/>
    </w:p>
    <w:p>
      <w:pPr>
        <w:ind w:firstLine="480"/>
        <w:spacing w:line="500" w:lineRule="exact"/>
        <w:rPr>
          <w:rFonts w:hint="eastAsia" w:ascii="宋体" w:hAnsi="宋体" w:eastAsia="宋体" w:cs="宋体"/>
          <w:sz w:val="24"/>
          <w:szCs w:val="24"/>
        </w:rPr>
      </w:pPr>
      <w:r>
        <w:rPr>
          <w:rFonts w:hint="eastAsia" w:asciiTheme="minorEastAsia" w:hAnsiTheme="minorEastAsia"/>
          <w:sz w:val="24"/>
        </w:rPr>
        <w:t xml:space="preserve">3.</w:t>
      </w:r>
      <w:r>
        <w:rPr>
          <w:rFonts w:hint="eastAsia" w:asciiTheme="minorEastAsia" w:hAnsiTheme="minorEastAsia"/>
          <w:sz w:val="24"/>
          <w:szCs w:val="24"/>
        </w:rPr>
        <w:t xml:space="preserve">执行《绿色数据中心政府采购需求标准（试行）》等政府采购需求标准。涉及数据中心相关设备及运维服务的，执行相关政府采购需求标准。</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六、考核标准及考核办法</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须在合同签订后3个日历天内完成项目建设，具备试运行条件，实现所有点位与市局中心节点的设备和物理线路资源100%到位；公安三级网联网率（线路上承载的各类业务需正常运行，下同）达到100%，公安四级网达到100%，互联网专线接入率及IP资源系统部署率达到100%，交警智能交通监控专网达到98%，电子政务网接入率达到95%。</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服务考核指标包括：三四级网线路、数字电路、互联网专线，供应商机房动力系统等设施设备的恢复时间；信息安全事件级别；运行服务质量。</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单次故障出现以下情况之一：三四级网线路中断时间超过90分钟未完成修复的；供应商机房动力系统一旦出现中断，视为考核不达标。采购人每月对租赁项目进行考核，如某项业务考核不达标，扣除当月该项目不达标数量的租赁费。</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信息安全事件每发生一起，经过甲方认定，按照一般、严重两个级别进行处罚。其中，一般事件每发生一起，一次性扣除5千元；严重事件，每发生一起，一次性扣除1万元。</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运行服务质量包括第三方线路进入租赁机房、警种部门进出机房规范管理、响应采购人需求及时性等。</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第三方线路进入租赁机房。对于招标人安排第三方线路进入机房的，中标方必须无条件及时响应，每发现一次不配合情况，扣费用1万元。</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警种部门进出机房规范管理。市公安局所有警种部门需要进机房维护设备的，必须经过市公安局机房管理部门授权，每发现一次未经授权私自进入情况，扣费用1万元。</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响应采购人需求及时性。常规情况在采购人提出需求后4小时、紧急情况在采购人提出需求后2小时响应，每有一次响应不及时，扣费用1万元。</w:t>
      </w:r>
      <w:r/>
    </w:p>
    <w:p>
      <w:pPr>
        <w:ind w:firstLine="480"/>
        <w:spacing w:line="360" w:lineRule="auto"/>
        <w:rPr>
          <w:rFonts w:hint="eastAsia" w:ascii="宋体" w:hAnsi="宋体" w:eastAsia="宋体" w:cs="宋体"/>
          <w:b/>
          <w:sz w:val="24"/>
          <w:szCs w:val="24"/>
        </w:rPr>
      </w:pPr>
      <w:r>
        <w:rPr>
          <w:rFonts w:hint="eastAsia" w:ascii="宋体" w:hAnsi="宋体" w:eastAsia="宋体" w:cs="宋体"/>
          <w:bCs/>
          <w:sz w:val="24"/>
          <w:szCs w:val="24"/>
        </w:rPr>
        <w:t xml:space="preserve">智能交通、图像专网等其它业务的故障处理响应时效和考核，参照上述考核标准执行。</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七、履约验收</w:t>
      </w:r>
      <w:r/>
    </w:p>
    <w:p>
      <w:pPr>
        <w:ind w:firstLine="480"/>
        <w:spacing w:line="360" w:lineRule="auto"/>
        <w:rPr>
          <w:rFonts w:hint="eastAsia" w:asciiTheme="minorEastAsia" w:hAnsiTheme="minorEastAsia"/>
          <w:color w:val="000000"/>
          <w:sz w:val="24"/>
        </w:rPr>
      </w:pPr>
      <w:r>
        <w:rPr>
          <w:rFonts w:hint="eastAsia" w:asciiTheme="minorEastAsia" w:hAnsiTheme="minorEastAsia"/>
          <w:color w:val="000000"/>
          <w:sz w:val="24"/>
        </w:rPr>
        <w:t xml:space="preserve">1</w:t>
      </w:r>
      <w:r>
        <w:rPr>
          <w:rFonts w:hint="eastAsia" w:asciiTheme="minorEastAsia" w:hAnsiTheme="minorEastAsia"/>
          <w:color w:val="000000"/>
          <w:sz w:val="24"/>
          <w:lang w:val="en-US" w:eastAsia="zh-CN"/>
        </w:rPr>
        <w:t xml:space="preserve">.</w:t>
      </w:r>
      <w:r>
        <w:rPr>
          <w:rFonts w:hint="eastAsia" w:asciiTheme="minorEastAsia" w:hAnsiTheme="minorEastAsia"/>
          <w:color w:val="000000"/>
          <w:sz w:val="24"/>
        </w:rPr>
        <w:t xml:space="preserve">在合同签订后3个日历日内完成服务开通，</w:t>
      </w:r>
      <w:r>
        <w:rPr>
          <w:rFonts w:hint="eastAsia" w:asciiTheme="minorEastAsia" w:hAnsiTheme="minorEastAsia"/>
          <w:color w:val="000000"/>
          <w:sz w:val="24"/>
          <w:lang w:val="en-US" w:eastAsia="zh-CN"/>
        </w:rPr>
        <w:t xml:space="preserve">服务开通后</w:t>
      </w:r>
      <w:r>
        <w:rPr>
          <w:rFonts w:hint="eastAsia" w:asciiTheme="minorEastAsia" w:hAnsiTheme="minorEastAsia"/>
          <w:color w:val="000000"/>
          <w:sz w:val="24"/>
        </w:rPr>
        <w:t xml:space="preserve">中标人于7个工作日内提交初验申请，</w:t>
      </w:r>
      <w:r>
        <w:rPr>
          <w:rFonts w:hint="eastAsia" w:asciiTheme="minorEastAsia" w:hAnsiTheme="minorEastAsia"/>
          <w:color w:val="000000"/>
          <w:sz w:val="24"/>
          <w:lang w:val="en-US" w:eastAsia="zh-CN"/>
        </w:rPr>
        <w:t xml:space="preserve">采购人</w:t>
      </w:r>
      <w:r>
        <w:rPr>
          <w:rFonts w:hint="eastAsia" w:asciiTheme="minorEastAsia" w:hAnsiTheme="minorEastAsia"/>
          <w:color w:val="000000"/>
          <w:sz w:val="24"/>
        </w:rPr>
        <w:t xml:space="preserve">对中标人提交的服务依据招标文件上的项目需求要求、中标人响应文件及国家有关质量标准进行验收。</w:t>
      </w:r>
      <w:r/>
    </w:p>
    <w:p>
      <w:pPr>
        <w:ind w:firstLine="480"/>
        <w:spacing w:line="360" w:lineRule="auto"/>
        <w:rPr>
          <w:rFonts w:hint="eastAsia" w:asciiTheme="minorEastAsia" w:hAnsiTheme="minorEastAsia"/>
          <w:color w:val="000000"/>
          <w:sz w:val="24"/>
        </w:rPr>
      </w:pPr>
      <w:r>
        <w:rPr>
          <w:rFonts w:hint="eastAsia" w:asciiTheme="minorEastAsia" w:hAnsiTheme="minorEastAsia"/>
          <w:color w:val="000000"/>
          <w:sz w:val="24"/>
        </w:rPr>
        <w:t xml:space="preserve">2</w:t>
      </w:r>
      <w:r>
        <w:rPr>
          <w:rFonts w:hint="eastAsia" w:asciiTheme="minorEastAsia" w:hAnsiTheme="minorEastAsia"/>
          <w:color w:val="000000"/>
          <w:sz w:val="24"/>
          <w:lang w:val="en-US" w:eastAsia="zh-CN"/>
        </w:rPr>
        <w:t xml:space="preserve">.</w:t>
      </w:r>
      <w:r>
        <w:rPr>
          <w:rFonts w:hint="eastAsia" w:asciiTheme="minorEastAsia" w:hAnsiTheme="minorEastAsia"/>
          <w:color w:val="000000"/>
          <w:sz w:val="24"/>
        </w:rPr>
        <w:t xml:space="preserve">中标人交付前应对服务做出全面检查和对验收文件进行整理，并列出清单，作为采购人验收和使用的技术条件依据，检验的结果应随服务一起提交</w:t>
      </w:r>
      <w:r>
        <w:rPr>
          <w:rFonts w:hint="eastAsia" w:asciiTheme="minorEastAsia" w:hAnsiTheme="minorEastAsia"/>
          <w:color w:val="000000"/>
          <w:sz w:val="24"/>
          <w:lang w:val="en-US" w:eastAsia="zh-CN"/>
        </w:rPr>
        <w:t xml:space="preserve">采购人</w:t>
      </w:r>
      <w:r>
        <w:rPr>
          <w:rFonts w:hint="eastAsia" w:asciiTheme="minorEastAsia" w:hAnsiTheme="minorEastAsia"/>
          <w:color w:val="000000"/>
          <w:sz w:val="24"/>
        </w:rPr>
        <w:t xml:space="preserve">。</w:t>
      </w:r>
      <w:r/>
    </w:p>
    <w:p>
      <w:pPr>
        <w:ind w:firstLine="480"/>
        <w:spacing w:line="360" w:lineRule="auto"/>
        <w:rPr>
          <w:rFonts w:hint="eastAsia" w:asciiTheme="minorEastAsia" w:hAnsiTheme="minorEastAsia"/>
          <w:color w:val="000000"/>
          <w:sz w:val="24"/>
        </w:rPr>
      </w:pPr>
      <w:r>
        <w:rPr>
          <w:rFonts w:hint="eastAsia" w:asciiTheme="minorEastAsia" w:hAnsiTheme="minorEastAsia"/>
          <w:color w:val="000000"/>
          <w:sz w:val="24"/>
        </w:rPr>
        <w:t xml:space="preserve">3</w:t>
      </w:r>
      <w:r>
        <w:rPr>
          <w:rFonts w:hint="eastAsia" w:asciiTheme="minorEastAsia" w:hAnsiTheme="minorEastAsia"/>
          <w:color w:val="000000"/>
          <w:sz w:val="24"/>
          <w:lang w:val="en-US" w:eastAsia="zh-CN"/>
        </w:rPr>
        <w:t xml:space="preserve">.</w:t>
      </w:r>
      <w:r>
        <w:rPr>
          <w:rFonts w:hint="eastAsia" w:asciiTheme="minorEastAsia" w:hAnsiTheme="minorEastAsia"/>
          <w:color w:val="000000"/>
          <w:sz w:val="24"/>
        </w:rPr>
        <w:t xml:space="preserve">项目初验合格后进入试运行期（7个日历天），试运行期满且所有核心验收指标达标后，中标人在7</w:t>
      </w:r>
      <w:r>
        <w:rPr>
          <w:rFonts w:hint="eastAsia" w:asciiTheme="minorEastAsia" w:hAnsiTheme="minorEastAsia"/>
          <w:color w:val="000000"/>
          <w:sz w:val="24"/>
          <w:lang w:val="en-US" w:eastAsia="zh-CN"/>
        </w:rPr>
        <w:t xml:space="preserve">个工作</w:t>
      </w:r>
      <w:r>
        <w:rPr>
          <w:rFonts w:hint="eastAsia" w:asciiTheme="minorEastAsia" w:hAnsiTheme="minorEastAsia"/>
          <w:color w:val="000000"/>
          <w:sz w:val="24"/>
        </w:rPr>
        <w:t xml:space="preserve">日内提交终验申请，</w:t>
      </w:r>
      <w:r>
        <w:rPr>
          <w:rFonts w:hint="eastAsia" w:asciiTheme="minorEastAsia" w:hAnsiTheme="minorEastAsia"/>
          <w:color w:val="000000"/>
          <w:sz w:val="24"/>
          <w:lang w:val="en-US" w:eastAsia="zh-CN"/>
        </w:rPr>
        <w:t xml:space="preserve">采购人</w:t>
      </w:r>
      <w:r>
        <w:rPr>
          <w:rFonts w:hint="eastAsia" w:asciiTheme="minorEastAsia" w:hAnsiTheme="minorEastAsia"/>
          <w:color w:val="000000"/>
          <w:sz w:val="24"/>
        </w:rPr>
        <w:t xml:space="preserve">依据试运行结果及相关技术条件进行验收。</w:t>
      </w:r>
      <w:r/>
    </w:p>
    <w:p>
      <w:pPr>
        <w:ind w:firstLine="480"/>
        <w:spacing w:line="360" w:lineRule="auto"/>
        <w:rPr>
          <w:rFonts w:hint="eastAsia" w:asciiTheme="minorEastAsia" w:hAnsiTheme="minorEastAsia"/>
          <w:color w:val="000000"/>
          <w:sz w:val="24"/>
        </w:rPr>
      </w:pPr>
      <w:r>
        <w:rPr>
          <w:rFonts w:hint="eastAsia" w:asciiTheme="minorEastAsia" w:hAnsiTheme="minorEastAsia"/>
          <w:color w:val="000000"/>
          <w:sz w:val="24"/>
        </w:rPr>
        <w:t xml:space="preserve">4</w:t>
      </w:r>
      <w:r>
        <w:rPr>
          <w:rFonts w:hint="eastAsia" w:asciiTheme="minorEastAsia" w:hAnsiTheme="minorEastAsia"/>
          <w:color w:val="000000"/>
          <w:sz w:val="24"/>
          <w:lang w:val="en-US" w:eastAsia="zh-CN"/>
        </w:rPr>
        <w:t xml:space="preserve">.采购人</w:t>
      </w:r>
      <w:r>
        <w:rPr>
          <w:rFonts w:hint="eastAsia" w:asciiTheme="minorEastAsia" w:hAnsiTheme="minorEastAsia"/>
          <w:color w:val="000000"/>
          <w:sz w:val="24"/>
        </w:rPr>
        <w:t xml:space="preserve">可请服务使用人员或组织业内专家进行项目验收，并出具验收报告。</w:t>
      </w:r>
      <w:r/>
    </w:p>
    <w:p>
      <w:pPr>
        <w:ind w:firstLine="480"/>
        <w:spacing w:line="360" w:lineRule="auto"/>
        <w:rPr>
          <w:rFonts w:hint="eastAsia" w:ascii="宋体" w:hAnsi="宋体" w:eastAsia="宋体" w:cs="宋体"/>
          <w:sz w:val="24"/>
          <w:szCs w:val="24"/>
        </w:rPr>
      </w:pPr>
      <w:r>
        <w:rPr>
          <w:rFonts w:hint="eastAsia" w:asciiTheme="minorEastAsia" w:hAnsiTheme="minorEastAsia"/>
          <w:color w:val="000000"/>
          <w:sz w:val="24"/>
        </w:rPr>
        <w:t xml:space="preserve">5</w:t>
      </w:r>
      <w:r>
        <w:rPr>
          <w:rFonts w:hint="eastAsia" w:asciiTheme="minorEastAsia" w:hAnsiTheme="minorEastAsia"/>
          <w:color w:val="000000"/>
          <w:sz w:val="24"/>
          <w:lang w:val="en-US" w:eastAsia="zh-CN"/>
        </w:rPr>
        <w:t xml:space="preserve">.</w:t>
      </w:r>
      <w:r>
        <w:rPr>
          <w:rFonts w:hint="eastAsia" w:asciiTheme="minorEastAsia" w:hAnsiTheme="minorEastAsia"/>
          <w:color w:val="000000"/>
          <w:sz w:val="24"/>
        </w:rPr>
        <w:t xml:space="preserve">验收时中标人必须在现场，验收完毕后作出验收结果报告；招标文件规定以外的验收费用由</w:t>
      </w:r>
      <w:r>
        <w:rPr>
          <w:rFonts w:hint="eastAsia" w:asciiTheme="minorEastAsia" w:hAnsiTheme="minorEastAsia"/>
          <w:color w:val="000000"/>
          <w:sz w:val="24"/>
          <w:lang w:val="en-US" w:eastAsia="zh-CN"/>
        </w:rPr>
        <w:t xml:space="preserve">采购人</w:t>
      </w:r>
      <w:r>
        <w:rPr>
          <w:rFonts w:hint="eastAsia" w:asciiTheme="minorEastAsia" w:hAnsiTheme="minorEastAsia"/>
          <w:color w:val="000000"/>
          <w:sz w:val="24"/>
        </w:rPr>
        <w:t xml:space="preserve">及中标人双方协商解决。</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八、付款方式与履约保证金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1.付款方式：经验收合格后，根据每月考核结果按月支付服务费。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2.履约保证金：本项目不收取履约保证金。</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九、报价要求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1.本项目最后报价不得超过预算金额，应根据国家收费标准并结合市场实际进行报价。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报价包括完成该项服务（含承诺）的所有费用，包含了所投设备及线路租赁费、设备运输、安装费、测试费、租赁期内的维修费及修理费、劳保、税金、利润、政策性文件规定及合同包含的所有风险、责任等各项应有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3.投标人应采用分项报价最终汇总的方式进行，须按照拟提供服务专线的每月报价和总价详细填写详细报价书。</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4.投标人承担因线路割接自身产权设备所产生的搬迁费用。</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十、其他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1.工作中涉及的敏感资料、电子数据等相关信息，中标人应严格执行保密的相关规定，不得以任何方式向任何第三人披露、泄露或许可第三人使用，否则追究其相应法律责任。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现场考察：由于租赁业务明细较多、涉及业务广、线路错综复杂，部分点位涉及警务工作秘密，为了避免投标人无法掌握现有网络业务运行实际情况，建议投标人进行现场考察，采购人会提供必要的协助和解释，让投标人充分了解业务运行情况。如投标人因对现场资料和数据所作出的推论、解释和结论影响投标报价、方案编制等由此造成的后果由投标人自行承担。因投标人自身原因现场考察不全面的，中标后不得因此提出修改投标报价或提出索赔等要求，不得以此为由拒绝签署合同或履行所约定的各项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次项目涉及公安局内部线路、流量卡、各点位网络分布及警务工作秘密等，现场考察环节具有高度的保密性。为确保国家秘密安全，凡参与现场考察的人员，严禁拍照与录像，严禁信息外泄。考察结束后，不得以任何形式（口头、书面、社交软件等）向第三方透露任何网络业务运行细节，服从现场指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考察联系人：金鑫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联系电话：15861237719</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考察前请提前联系，预约时间，考察时请携带授权委托书和有效身份证，现场考察的费用由投标人自行承担。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Theme="minorEastAsia" w:hAnsiTheme="minorEastAsia"/>
          <w:b/>
          <w:sz w:val="28"/>
          <w:szCs w:val="24"/>
        </w:rPr>
      </w:pPr>
      <w:r>
        <w:rPr>
          <w:rFonts w:hint="eastAsia" w:asciiTheme="minorEastAsia" w:hAnsiTheme="minorEastAsia"/>
          <w:b/>
          <w:sz w:val="28"/>
          <w:szCs w:val="24"/>
        </w:rPr>
        <w:t xml:space="preserve">采购包3</w:t>
      </w:r>
      <w:r/>
    </w:p>
    <w:p>
      <w:pPr>
        <w:rPr>
          <w:rFonts w:hint="eastAsia" w:asciiTheme="minorEastAsia" w:hAnsiTheme="minorEastAsia"/>
          <w:b/>
          <w:sz w:val="28"/>
          <w:szCs w:val="24"/>
        </w:rPr>
      </w:pPr>
      <w:r>
        <w:rPr>
          <w:rFonts w:hint="eastAsia" w:asciiTheme="minorEastAsia" w:hAnsiTheme="minorEastAsia"/>
          <w:b/>
          <w:sz w:val="28"/>
          <w:szCs w:val="24"/>
        </w:rPr>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一、项目概况</w:t>
      </w:r>
      <w:r/>
    </w:p>
    <w:p>
      <w:pPr>
        <w:pStyle w:val="900"/>
        <w:ind w:firstLine="480"/>
        <w:spacing w:line="360" w:lineRule="auto"/>
        <w:rPr>
          <w:rFonts w:hint="eastAsia" w:ascii="宋体" w:hAnsi="宋体" w:cs="宋体"/>
          <w:sz w:val="24"/>
          <w:szCs w:val="32"/>
        </w:rPr>
      </w:pPr>
      <w:r>
        <w:rPr>
          <w:rFonts w:hint="eastAsia" w:ascii="宋体" w:hAnsi="宋体" w:cs="宋体"/>
          <w:sz w:val="24"/>
        </w:rPr>
        <w:t xml:space="preserve">为全面保障各项重点工作推进和重大项目落地实施，解决现有网络资源在覆盖范围、承载能力、服务保障等方面的适配需求，夯实信息化基础设施建设根基，本着“实用、效能、安全、长效”的原则，拟开展各类网络线路、机柜、物联网卡、流量卡、短信服务等采购</w:t>
      </w:r>
      <w:r>
        <w:rPr>
          <w:rFonts w:hint="eastAsia" w:ascii="宋体" w:hAnsi="宋体" w:cs="宋体"/>
          <w:sz w:val="24"/>
          <w:szCs w:val="32"/>
        </w:rPr>
        <w:t xml:space="preserve">，明确技术和资费标准，规范租用业务流程，合理降低网络租金，提升网络运维服务水平，以支撑执法办案、治安防控、应急处突、政务服务、大数据研判等核心业务。</w:t>
      </w:r>
      <w:r/>
    </w:p>
    <w:p>
      <w:pPr>
        <w:ind w:firstLine="482"/>
        <w:spacing w:line="360" w:lineRule="auto"/>
        <w:rPr>
          <w:rFonts w:hint="eastAsia" w:ascii="宋体" w:hAnsi="宋体" w:eastAsia="宋体" w:cs="宋体"/>
          <w:b/>
          <w:bCs/>
          <w:color w:val="000000"/>
          <w:sz w:val="24"/>
          <w:szCs w:val="32"/>
        </w:rPr>
      </w:pPr>
      <w:r>
        <w:rPr>
          <w:rFonts w:hint="eastAsia" w:ascii="宋体" w:hAnsi="宋体" w:eastAsia="宋体" w:cs="宋体"/>
          <w:b/>
          <w:bCs/>
          <w:color w:val="000000"/>
          <w:sz w:val="24"/>
          <w:szCs w:val="32"/>
        </w:rPr>
        <w:t xml:space="preserve">二、服务要求</w:t>
      </w:r>
      <w:r/>
    </w:p>
    <w:p>
      <w:pPr>
        <w:pStyle w:val="900"/>
        <w:ind w:firstLine="480"/>
        <w:spacing w:line="360" w:lineRule="auto"/>
        <w:rPr>
          <w:rFonts w:hint="eastAsia" w:ascii="宋体" w:hAnsi="宋体" w:cs="宋体"/>
          <w:sz w:val="24"/>
        </w:rPr>
      </w:pPr>
      <w:r>
        <w:rPr>
          <w:rFonts w:hint="eastAsia" w:ascii="宋体" w:hAnsi="宋体" w:cs="宋体"/>
          <w:sz w:val="24"/>
        </w:rPr>
        <w:t xml:space="preserve">服务清单</w:t>
      </w:r>
      <w:r/>
    </w:p>
    <w:tbl>
      <w:tblPr>
        <w:tblStyle w:val="8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2"/>
        <w:gridCol w:w="3129"/>
        <w:gridCol w:w="2296"/>
        <w:gridCol w:w="1675"/>
      </w:tblGrid>
      <w:tr>
        <w:trPr>
          <w:trHeight w:val="440"/>
        </w:trPr>
        <w:tc>
          <w:tcPr>
            <w:tcW w:w="834" w:type="pct"/>
            <w:vAlign w:val="center"/>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业务类型</w:t>
            </w:r>
            <w:r/>
          </w:p>
        </w:tc>
        <w:tc>
          <w:tcPr>
            <w:tcW w:w="1835" w:type="pct"/>
            <w:vAlign w:val="center"/>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业务名称</w:t>
            </w:r>
            <w:r/>
          </w:p>
        </w:tc>
        <w:tc>
          <w:tcPr>
            <w:tcW w:w="1346" w:type="pct"/>
            <w:vAlign w:val="center"/>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数量（条、张、个）</w:t>
            </w:r>
            <w:r/>
          </w:p>
        </w:tc>
        <w:tc>
          <w:tcPr>
            <w:tcW w:w="983"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规格</w:t>
            </w:r>
            <w:r/>
          </w:p>
        </w:tc>
      </w:tr>
      <w:tr>
        <w:trPr>
          <w:trHeight w:val="440"/>
        </w:trPr>
        <w:tc>
          <w:tcPr>
            <w:tcW w:w="834" w:type="pct"/>
            <w:vAlign w:val="center"/>
            <w:vMerge w:val="restart"/>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机柜租赁</w:t>
            </w:r>
            <w:r/>
          </w:p>
        </w:tc>
        <w:tc>
          <w:tcPr>
            <w:tcW w:w="1835" w:type="pct"/>
            <w:vAlign w:val="center"/>
            <w:textDirection w:val="lrTb"/>
            <w:noWrap/>
          </w:tcPr>
          <w:p>
            <w:pPr>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机柜</w:t>
            </w:r>
            <w:r/>
          </w:p>
        </w:tc>
        <w:tc>
          <w:tcPr>
            <w:tcW w:w="1346"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46</w:t>
            </w:r>
            <w:r/>
          </w:p>
        </w:tc>
        <w:tc>
          <w:tcPr>
            <w:tcW w:w="983"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标准机柜</w:t>
            </w:r>
            <w:r/>
          </w:p>
        </w:tc>
      </w:tr>
      <w:tr>
        <w:trPr>
          <w:trHeight w:val="442"/>
        </w:trPr>
        <w:tc>
          <w:tcPr>
            <w:tcW w:w="834" w:type="pct"/>
            <w:vAlign w:val="center"/>
            <w:vMerge w:val="continue"/>
            <w:textDirection w:val="lrTb"/>
            <w:noWrap/>
          </w:tcPr>
          <w:p>
            <w:pPr>
              <w:jc w:val="center"/>
              <w:spacing w:line="40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835" w:type="pct"/>
            <w:vAlign w:val="center"/>
            <w:textDirection w:val="lrTb"/>
            <w:noWrap/>
          </w:tcPr>
          <w:p>
            <w:pPr>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交警新增机柜</w:t>
            </w:r>
            <w:r/>
          </w:p>
        </w:tc>
        <w:tc>
          <w:tcPr>
            <w:tcW w:w="1346"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22</w:t>
            </w:r>
            <w:r/>
          </w:p>
        </w:tc>
        <w:tc>
          <w:tcPr>
            <w:tcW w:w="983"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标准机柜</w:t>
            </w:r>
            <w:r/>
          </w:p>
        </w:tc>
      </w:tr>
      <w:tr>
        <w:trPr>
          <w:trHeight w:val="440"/>
        </w:trPr>
        <w:tc>
          <w:tcPr>
            <w:tcW w:w="834" w:type="pct"/>
            <w:vAlign w:val="center"/>
            <w:vMerge w:val="continue"/>
            <w:textDirection w:val="lrTb"/>
            <w:noWrap/>
          </w:tcPr>
          <w:p>
            <w:pPr>
              <w:jc w:val="center"/>
              <w:spacing w:line="40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835" w:type="pct"/>
            <w:vAlign w:val="center"/>
            <w:textDirection w:val="lrTb"/>
            <w:noWrap/>
          </w:tcPr>
          <w:p>
            <w:pPr>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大数据新增机柜</w:t>
            </w:r>
            <w:r/>
          </w:p>
        </w:tc>
        <w:tc>
          <w:tcPr>
            <w:tcW w:w="1346"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w:t>
            </w:r>
            <w:r/>
          </w:p>
        </w:tc>
        <w:tc>
          <w:tcPr>
            <w:tcW w:w="983"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标准机柜</w:t>
            </w:r>
            <w:r/>
          </w:p>
        </w:tc>
      </w:tr>
      <w:tr>
        <w:trPr>
          <w:trHeight w:val="440"/>
        </w:trPr>
        <w:tc>
          <w:tcPr>
            <w:tcW w:w="834" w:type="pct"/>
            <w:vAlign w:val="center"/>
            <w:vMerge w:val="restart"/>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数据专线</w:t>
            </w:r>
            <w:r/>
          </w:p>
        </w:tc>
        <w:tc>
          <w:tcPr>
            <w:tcW w:w="1835" w:type="pct"/>
            <w:vAlign w:val="center"/>
            <w:textDirection w:val="lrTb"/>
            <w:noWrap/>
          </w:tcPr>
          <w:p>
            <w:pPr>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交通信号灯数据专线</w:t>
            </w:r>
            <w:r/>
          </w:p>
        </w:tc>
        <w:tc>
          <w:tcPr>
            <w:tcW w:w="1346" w:type="pct"/>
            <w:vAlign w:val="center"/>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75</w:t>
            </w:r>
            <w:r/>
          </w:p>
        </w:tc>
        <w:tc>
          <w:tcPr>
            <w:tcW w:w="983"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100M</w:t>
            </w:r>
            <w:r/>
          </w:p>
        </w:tc>
      </w:tr>
      <w:tr>
        <w:trPr>
          <w:trHeight w:val="440"/>
        </w:trPr>
        <w:tc>
          <w:tcPr>
            <w:tcW w:w="834" w:type="pct"/>
            <w:vAlign w:val="center"/>
            <w:vMerge w:val="continue"/>
            <w:textDirection w:val="lrTb"/>
            <w:noWrap/>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35" w:type="pct"/>
            <w:vAlign w:val="center"/>
            <w:textDirection w:val="lrTb"/>
            <w:noWrap/>
          </w:tcPr>
          <w:p>
            <w:pPr>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交警新增信号灯数据专线</w:t>
            </w:r>
            <w:r/>
          </w:p>
        </w:tc>
        <w:tc>
          <w:tcPr>
            <w:tcW w:w="1346" w:type="pct"/>
            <w:vAlign w:val="center"/>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230</w:t>
            </w:r>
            <w:r/>
          </w:p>
        </w:tc>
        <w:tc>
          <w:tcPr>
            <w:tcW w:w="983"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100M</w:t>
            </w:r>
            <w:r/>
          </w:p>
        </w:tc>
      </w:tr>
      <w:tr>
        <w:trPr>
          <w:trHeight w:val="440"/>
        </w:trPr>
        <w:tc>
          <w:tcPr>
            <w:tcW w:w="834" w:type="pct"/>
            <w:vAlign w:val="center"/>
            <w:vMerge w:val="continue"/>
            <w:textDirection w:val="lrTb"/>
            <w:noWrap/>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35" w:type="pct"/>
            <w:vAlign w:val="center"/>
            <w:textDirection w:val="lrTb"/>
            <w:noWrap/>
          </w:tcPr>
          <w:p>
            <w:pPr>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交警高速监控点数据专线</w:t>
            </w:r>
            <w:r/>
          </w:p>
        </w:tc>
        <w:tc>
          <w:tcPr>
            <w:tcW w:w="1346" w:type="pct"/>
            <w:vAlign w:val="center"/>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w:t>
            </w:r>
            <w:r/>
          </w:p>
        </w:tc>
        <w:tc>
          <w:tcPr>
            <w:tcW w:w="983"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100M</w:t>
            </w:r>
            <w:r/>
          </w:p>
        </w:tc>
      </w:tr>
      <w:tr>
        <w:trPr>
          <w:trHeight w:val="440"/>
        </w:trPr>
        <w:tc>
          <w:tcPr>
            <w:tcW w:w="834" w:type="pct"/>
            <w:vAlign w:val="center"/>
            <w:vMerge w:val="continue"/>
            <w:textDirection w:val="lrTb"/>
            <w:noWrap/>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35" w:type="pct"/>
            <w:vAlign w:val="center"/>
            <w:textDirection w:val="lrTb"/>
            <w:noWrap/>
          </w:tcPr>
          <w:p>
            <w:pPr>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机柜配套三级网波分线路</w:t>
            </w:r>
            <w:r/>
          </w:p>
        </w:tc>
        <w:tc>
          <w:tcPr>
            <w:tcW w:w="1346" w:type="pct"/>
            <w:vAlign w:val="center"/>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26</w:t>
            </w:r>
            <w:r/>
          </w:p>
        </w:tc>
        <w:tc>
          <w:tcPr>
            <w:tcW w:w="983"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裸纤</w:t>
            </w:r>
            <w:r/>
          </w:p>
        </w:tc>
      </w:tr>
      <w:tr>
        <w:trPr>
          <w:trHeight w:val="440"/>
        </w:trPr>
        <w:tc>
          <w:tcPr>
            <w:tcW w:w="834" w:type="pct"/>
            <w:vAlign w:val="center"/>
            <w:vMerge w:val="continue"/>
            <w:textDirection w:val="lrTb"/>
            <w:noWrap/>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35" w:type="pct"/>
            <w:vAlign w:val="center"/>
            <w:textDirection w:val="lrTb"/>
            <w:noWrap/>
          </w:tcPr>
          <w:p>
            <w:pPr>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350M系统数据专线</w:t>
            </w:r>
            <w:r/>
          </w:p>
        </w:tc>
        <w:tc>
          <w:tcPr>
            <w:tcW w:w="1346" w:type="pct"/>
            <w:vAlign w:val="center"/>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w:t>
            </w:r>
            <w:r/>
          </w:p>
        </w:tc>
        <w:tc>
          <w:tcPr>
            <w:tcW w:w="983"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100M</w:t>
            </w:r>
            <w:r/>
          </w:p>
        </w:tc>
      </w:tr>
      <w:tr>
        <w:trPr>
          <w:trHeight w:val="440"/>
        </w:trPr>
        <w:tc>
          <w:tcPr>
            <w:tcW w:w="834" w:type="pct"/>
            <w:vAlign w:val="center"/>
            <w:vMerge w:val="continue"/>
            <w:textDirection w:val="lrTb"/>
            <w:noWrap/>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35" w:type="pct"/>
            <w:vAlign w:val="center"/>
            <w:textDirection w:val="lrTb"/>
            <w:noWrap/>
          </w:tcPr>
          <w:p>
            <w:pPr>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交警急救专线</w:t>
            </w:r>
            <w:r/>
          </w:p>
        </w:tc>
        <w:tc>
          <w:tcPr>
            <w:tcW w:w="1346" w:type="pct"/>
            <w:vAlign w:val="center"/>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W w:w="983"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100M</w:t>
            </w:r>
            <w:r/>
          </w:p>
        </w:tc>
      </w:tr>
      <w:tr>
        <w:trPr>
          <w:trHeight w:val="440"/>
        </w:trPr>
        <w:tc>
          <w:tcPr>
            <w:tcW w:w="834" w:type="pct"/>
            <w:vAlign w:val="center"/>
            <w:vMerge w:val="continue"/>
            <w:textDirection w:val="lrTb"/>
            <w:noWrap/>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35" w:type="pct"/>
            <w:vAlign w:val="center"/>
            <w:textDirection w:val="lrTb"/>
            <w:noWrap/>
          </w:tcPr>
          <w:p>
            <w:pPr>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机房图像网专线</w:t>
            </w:r>
            <w:r/>
          </w:p>
        </w:tc>
        <w:tc>
          <w:tcPr>
            <w:tcW w:w="1346" w:type="pct"/>
            <w:vAlign w:val="center"/>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W w:w="983"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100M</w:t>
            </w:r>
            <w:r/>
          </w:p>
        </w:tc>
      </w:tr>
      <w:tr>
        <w:trPr>
          <w:trHeight w:val="440"/>
        </w:trPr>
        <w:tc>
          <w:tcPr>
            <w:tcW w:w="834" w:type="pct"/>
            <w:vAlign w:val="center"/>
            <w:vMerge w:val="restart"/>
            <w:textDirection w:val="lrTb"/>
            <w:noWrap w:val="false"/>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互联网线路</w:t>
            </w:r>
            <w:r/>
          </w:p>
        </w:tc>
        <w:tc>
          <w:tcPr>
            <w:tcW w:w="1835" w:type="pct"/>
            <w:vAlign w:val="center"/>
            <w:textDirection w:val="lrTb"/>
            <w:noWrap/>
          </w:tcPr>
          <w:p>
            <w:pPr>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高速点位互联网专线</w:t>
            </w:r>
            <w:r/>
          </w:p>
        </w:tc>
        <w:tc>
          <w:tcPr>
            <w:tcW w:w="1346" w:type="pct"/>
            <w:vAlign w:val="center"/>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W w:w="983"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50M</w:t>
            </w:r>
            <w:r/>
          </w:p>
        </w:tc>
      </w:tr>
      <w:tr>
        <w:trPr>
          <w:trHeight w:val="440"/>
        </w:trPr>
        <w:tc>
          <w:tcPr>
            <w:tcW w:w="834" w:type="pct"/>
            <w:vAlign w:val="center"/>
            <w:vMerge w:val="continue"/>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35" w:type="pct"/>
            <w:vAlign w:val="center"/>
            <w:textDirection w:val="lrTb"/>
            <w:noWrap/>
          </w:tcPr>
          <w:p>
            <w:pPr>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固定IP物联网卡互联网专线</w:t>
            </w:r>
            <w:r/>
          </w:p>
        </w:tc>
        <w:tc>
          <w:tcPr>
            <w:tcW w:w="1346" w:type="pct"/>
            <w:vAlign w:val="center"/>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W w:w="983"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100M</w:t>
            </w:r>
            <w:r/>
          </w:p>
        </w:tc>
      </w:tr>
      <w:tr>
        <w:trPr>
          <w:trHeight w:val="638"/>
        </w:trPr>
        <w:tc>
          <w:tcPr>
            <w:tcW w:w="834" w:type="pct"/>
            <w:vAlign w:val="center"/>
            <w:vMerge w:val="continue"/>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35" w:type="pct"/>
            <w:vAlign w:val="center"/>
            <w:textDirection w:val="lrTb"/>
            <w:noWrap w:val="false"/>
          </w:tcPr>
          <w:p>
            <w:pPr>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350M系统全市移动基站互联网线路</w:t>
            </w:r>
            <w:r/>
          </w:p>
        </w:tc>
        <w:tc>
          <w:tcPr>
            <w:tcW w:w="1346" w:type="pct"/>
            <w:vAlign w:val="center"/>
            <w:textDirection w:val="lrTb"/>
            <w:noWrap w:val="false"/>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W w:w="983" w:type="pct"/>
            <w:vAlign w:val="center"/>
            <w:textDirection w:val="lrTb"/>
            <w:noWrap w:val="false"/>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10M</w:t>
            </w:r>
            <w:r/>
          </w:p>
        </w:tc>
      </w:tr>
      <w:tr>
        <w:trPr>
          <w:trHeight w:val="554"/>
        </w:trPr>
        <w:tc>
          <w:tcPr>
            <w:tcW w:w="834" w:type="pct"/>
            <w:vAlign w:val="center"/>
            <w:vMerge w:val="continue"/>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35" w:type="pct"/>
            <w:vAlign w:val="center"/>
            <w:textDirection w:val="lrTb"/>
            <w:noWrap w:val="false"/>
          </w:tcPr>
          <w:p>
            <w:pPr>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图控中心线上视频会议互联网线路</w:t>
            </w:r>
            <w:r/>
          </w:p>
        </w:tc>
        <w:tc>
          <w:tcPr>
            <w:tcW w:w="1346" w:type="pct"/>
            <w:vAlign w:val="center"/>
            <w:textDirection w:val="lrTb"/>
            <w:noWrap w:val="false"/>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W w:w="983" w:type="pct"/>
            <w:vAlign w:val="center"/>
            <w:textDirection w:val="lrTb"/>
            <w:noWrap w:val="false"/>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20M</w:t>
            </w:r>
            <w:r/>
          </w:p>
        </w:tc>
      </w:tr>
      <w:tr>
        <w:trPr>
          <w:trHeight w:val="440"/>
        </w:trPr>
        <w:tc>
          <w:tcPr>
            <w:tcW w:w="834" w:type="pct"/>
            <w:vAlign w:val="center"/>
            <w:vMerge w:val="continue"/>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35" w:type="pct"/>
            <w:vAlign w:val="center"/>
            <w:textDirection w:val="lrTb"/>
            <w:noWrap/>
          </w:tcPr>
          <w:p>
            <w:pPr>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互联网专线</w:t>
            </w:r>
            <w:r/>
          </w:p>
        </w:tc>
        <w:tc>
          <w:tcPr>
            <w:tcW w:w="1346" w:type="pct"/>
            <w:vAlign w:val="center"/>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W w:w="983"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100M</w:t>
            </w:r>
            <w:r/>
          </w:p>
        </w:tc>
      </w:tr>
      <w:tr>
        <w:trPr>
          <w:trHeight w:val="440"/>
        </w:trPr>
        <w:tc>
          <w:tcPr>
            <w:tcW w:w="834" w:type="pct"/>
            <w:vAlign w:val="center"/>
            <w:vMerge w:val="continue"/>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35" w:type="pct"/>
            <w:vAlign w:val="center"/>
            <w:textDirection w:val="lrTb"/>
            <w:noWrap/>
          </w:tcPr>
          <w:p>
            <w:pPr>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交警办案中心互联网</w:t>
            </w:r>
            <w:r/>
          </w:p>
        </w:tc>
        <w:tc>
          <w:tcPr>
            <w:tcW w:w="1346" w:type="pct"/>
            <w:vAlign w:val="center"/>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W w:w="983"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1000M</w:t>
            </w:r>
            <w:r/>
          </w:p>
        </w:tc>
      </w:tr>
      <w:tr>
        <w:trPr>
          <w:trHeight w:val="440"/>
        </w:trPr>
        <w:tc>
          <w:tcPr>
            <w:tcW w:w="834" w:type="pct"/>
            <w:vAlign w:val="center"/>
            <w:vMerge w:val="restart"/>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短信服务</w:t>
            </w:r>
            <w:r/>
          </w:p>
        </w:tc>
        <w:tc>
          <w:tcPr>
            <w:tcW w:w="1835" w:type="pct"/>
            <w:vAlign w:val="center"/>
            <w:textDirection w:val="lrTb"/>
            <w:noWrap/>
          </w:tcPr>
          <w:p>
            <w:pPr>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交警12123短信</w:t>
            </w:r>
            <w:r/>
          </w:p>
        </w:tc>
        <w:tc>
          <w:tcPr>
            <w:tcW w:w="1346" w:type="pct"/>
            <w:vAlign w:val="center"/>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1500000</w:t>
            </w:r>
            <w:r/>
          </w:p>
        </w:tc>
        <w:tc>
          <w:tcPr>
            <w:tcW w:w="983"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p>
        </w:tc>
      </w:tr>
      <w:tr>
        <w:trPr>
          <w:trHeight w:val="440"/>
        </w:trPr>
        <w:tc>
          <w:tcPr>
            <w:tcW w:w="834" w:type="pct"/>
            <w:vAlign w:val="center"/>
            <w:vMerge w:val="continue"/>
            <w:textDirection w:val="lrTb"/>
            <w:noWrap/>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35" w:type="pct"/>
            <w:vAlign w:val="center"/>
            <w:textDirection w:val="lrTb"/>
            <w:noWrap/>
          </w:tcPr>
          <w:p>
            <w:pPr>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业务部门小微系统短信</w:t>
            </w:r>
            <w:r/>
          </w:p>
        </w:tc>
        <w:tc>
          <w:tcPr>
            <w:tcW w:w="1346" w:type="pct"/>
            <w:vAlign w:val="center"/>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300000</w:t>
            </w:r>
            <w:r/>
          </w:p>
        </w:tc>
        <w:tc>
          <w:tcPr>
            <w:tcW w:w="983"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p>
        </w:tc>
      </w:tr>
      <w:tr>
        <w:trPr>
          <w:trHeight w:val="440"/>
        </w:trPr>
        <w:tc>
          <w:tcPr>
            <w:tcW w:w="834" w:type="pct"/>
            <w:vAlign w:val="center"/>
            <w:vMerge w:val="continue"/>
            <w:textDirection w:val="lrTb"/>
            <w:noWrap/>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35" w:type="pct"/>
            <w:vAlign w:val="center"/>
            <w:textDirection w:val="lrTb"/>
            <w:noWrap/>
          </w:tcPr>
          <w:p>
            <w:pPr>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交警短信服务</w:t>
            </w:r>
            <w:r/>
          </w:p>
        </w:tc>
        <w:tc>
          <w:tcPr>
            <w:tcW w:w="1346" w:type="pct"/>
            <w:vAlign w:val="center"/>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330000</w:t>
            </w:r>
            <w:r/>
          </w:p>
        </w:tc>
        <w:tc>
          <w:tcPr>
            <w:tcW w:w="983"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p>
        </w:tc>
      </w:tr>
      <w:tr>
        <w:trPr>
          <w:trHeight w:val="440"/>
        </w:trPr>
        <w:tc>
          <w:tcPr>
            <w:tcW w:w="834" w:type="pct"/>
            <w:vAlign w:val="center"/>
            <w:vMerge w:val="continue"/>
            <w:textDirection w:val="lrTb"/>
            <w:noWrap/>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35" w:type="pct"/>
            <w:vAlign w:val="center"/>
            <w:textDirection w:val="lrTb"/>
            <w:noWrap/>
          </w:tcPr>
          <w:p>
            <w:pPr>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出入境短信服务</w:t>
            </w:r>
            <w:r/>
          </w:p>
        </w:tc>
        <w:tc>
          <w:tcPr>
            <w:tcW w:w="1346" w:type="pct"/>
            <w:vAlign w:val="center"/>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88000</w:t>
            </w:r>
            <w:r/>
          </w:p>
        </w:tc>
        <w:tc>
          <w:tcPr>
            <w:tcW w:w="983"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p>
        </w:tc>
      </w:tr>
      <w:tr>
        <w:trPr>
          <w:trHeight w:val="440"/>
        </w:trPr>
        <w:tc>
          <w:tcPr>
            <w:tcW w:w="834" w:type="pct"/>
            <w:vAlign w:val="center"/>
            <w:vMerge w:val="restart"/>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流量卡与</w:t>
            </w:r>
            <w:r/>
          </w:p>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物联网卡</w:t>
            </w:r>
            <w:r/>
          </w:p>
        </w:tc>
        <w:tc>
          <w:tcPr>
            <w:tcW w:w="1835" w:type="pct"/>
            <w:vAlign w:val="center"/>
            <w:textDirection w:val="lrTb"/>
            <w:noWrap/>
          </w:tcPr>
          <w:p>
            <w:pPr>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交警酒精流量卡</w:t>
            </w:r>
            <w:r/>
          </w:p>
        </w:tc>
        <w:tc>
          <w:tcPr>
            <w:shd w:val="clear" w:color="auto" w:fill="ffffff"/>
            <w:tcW w:w="1346" w:type="pct"/>
            <w:vAlign w:val="center"/>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60</w:t>
            </w:r>
            <w:r/>
          </w:p>
        </w:tc>
        <w:tc>
          <w:tcPr>
            <w:shd w:val="clear" w:color="auto" w:fill="ffffff"/>
            <w:tcW w:w="983"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10M/张</w:t>
            </w:r>
            <w:r/>
          </w:p>
        </w:tc>
      </w:tr>
      <w:tr>
        <w:trPr>
          <w:trHeight w:val="566"/>
        </w:trPr>
        <w:tc>
          <w:tcPr>
            <w:tcW w:w="834" w:type="pct"/>
            <w:vAlign w:val="center"/>
            <w:vMerge w:val="continue"/>
            <w:textDirection w:val="lrTb"/>
            <w:noWrap/>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35" w:type="pct"/>
            <w:vAlign w:val="center"/>
            <w:textDirection w:val="lrTb"/>
            <w:noWrap/>
          </w:tcPr>
          <w:p>
            <w:pPr>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业务流量卡</w:t>
            </w:r>
            <w:r/>
          </w:p>
        </w:tc>
        <w:tc>
          <w:tcPr>
            <w:tcW w:w="1346" w:type="pct"/>
            <w:vAlign w:val="center"/>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w:t>
            </w:r>
            <w:r/>
          </w:p>
        </w:tc>
        <w:tc>
          <w:tcPr>
            <w:tcW w:w="983"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20G/张，具备短信通话功能</w:t>
            </w:r>
            <w:r/>
          </w:p>
        </w:tc>
      </w:tr>
      <w:tr>
        <w:trPr>
          <w:trHeight w:val="440"/>
        </w:trPr>
        <w:tc>
          <w:tcPr>
            <w:tcW w:w="834" w:type="pct"/>
            <w:vAlign w:val="center"/>
            <w:vMerge w:val="continue"/>
            <w:textDirection w:val="lrTb"/>
            <w:noWrap/>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35" w:type="pct"/>
            <w:vAlign w:val="center"/>
            <w:textDirection w:val="lrTb"/>
            <w:noWrap/>
          </w:tcPr>
          <w:p>
            <w:pPr>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监管流量卡</w:t>
            </w:r>
            <w:r/>
          </w:p>
        </w:tc>
        <w:tc>
          <w:tcPr>
            <w:tcW w:w="1346" w:type="pct"/>
            <w:vAlign w:val="center"/>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w:t>
            </w:r>
            <w:r/>
          </w:p>
        </w:tc>
        <w:tc>
          <w:tcPr>
            <w:tcW w:w="983"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5G/张</w:t>
            </w:r>
            <w:r/>
          </w:p>
        </w:tc>
      </w:tr>
      <w:tr>
        <w:trPr>
          <w:trHeight w:val="440"/>
        </w:trPr>
        <w:tc>
          <w:tcPr>
            <w:tcW w:w="834" w:type="pct"/>
            <w:vAlign w:val="center"/>
            <w:vMerge w:val="continue"/>
            <w:textDirection w:val="lrTb"/>
            <w:noWrap/>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35" w:type="pct"/>
            <w:vAlign w:val="center"/>
            <w:textDirection w:val="lrTb"/>
            <w:noWrap/>
          </w:tcPr>
          <w:p>
            <w:pPr>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移动警务物联网卡</w:t>
            </w:r>
            <w:r/>
          </w:p>
        </w:tc>
        <w:tc>
          <w:tcPr>
            <w:tcW w:w="1346" w:type="pct"/>
            <w:vAlign w:val="center"/>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w:t>
            </w:r>
            <w:r/>
          </w:p>
        </w:tc>
        <w:tc>
          <w:tcPr>
            <w:tcW w:w="983"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1G/张，组成流量池共享流量</w:t>
            </w:r>
            <w:r/>
          </w:p>
        </w:tc>
      </w:tr>
      <w:tr>
        <w:trPr>
          <w:trHeight w:val="440"/>
        </w:trPr>
        <w:tc>
          <w:tcPr>
            <w:tcW w:w="834" w:type="pct"/>
            <w:vAlign w:val="center"/>
            <w:vMerge w:val="continue"/>
            <w:textDirection w:val="lrTb"/>
            <w:noWrap/>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35" w:type="pct"/>
            <w:vAlign w:val="center"/>
            <w:textDirection w:val="lrTb"/>
            <w:noWrap/>
          </w:tcPr>
          <w:p>
            <w:pPr>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交警测速设备物联网卡</w:t>
            </w:r>
            <w:r/>
          </w:p>
        </w:tc>
        <w:tc>
          <w:tcPr>
            <w:tcW w:w="1346" w:type="pct"/>
            <w:vAlign w:val="center"/>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38</w:t>
            </w:r>
            <w:r/>
          </w:p>
        </w:tc>
        <w:tc>
          <w:tcPr>
            <w:tcW w:w="983"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无套餐，按使用量付费</w:t>
            </w:r>
            <w:r/>
          </w:p>
        </w:tc>
      </w:tr>
      <w:tr>
        <w:trPr>
          <w:trHeight w:val="586"/>
        </w:trPr>
        <w:tc>
          <w:tcPr>
            <w:tcW w:w="834" w:type="pct"/>
            <w:vAlign w:val="center"/>
            <w:vMerge w:val="continue"/>
            <w:textDirection w:val="lrTb"/>
            <w:noWrap/>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35" w:type="pct"/>
            <w:vAlign w:val="center"/>
            <w:textDirection w:val="lrTb"/>
            <w:noWrap/>
          </w:tcPr>
          <w:p>
            <w:pPr>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交警执法记录仪物联网卡</w:t>
            </w:r>
            <w:r/>
          </w:p>
        </w:tc>
        <w:tc>
          <w:tcPr>
            <w:tcW w:w="1346" w:type="pct"/>
            <w:vAlign w:val="center"/>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450</w:t>
            </w:r>
            <w:r/>
          </w:p>
        </w:tc>
        <w:tc>
          <w:tcPr>
            <w:tcW w:w="983"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20G/张，组成流量池共享流量</w:t>
            </w:r>
            <w:r/>
          </w:p>
        </w:tc>
      </w:tr>
      <w:tr>
        <w:trPr>
          <w:trHeight w:val="506"/>
        </w:trPr>
        <w:tc>
          <w:tcPr>
            <w:tcW w:w="834" w:type="pct"/>
            <w:vAlign w:val="center"/>
            <w:vMerge w:val="continue"/>
            <w:textDirection w:val="lrTb"/>
            <w:noWrap/>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35" w:type="pct"/>
            <w:vAlign w:val="center"/>
            <w:textDirection w:val="lrTb"/>
            <w:noWrap/>
          </w:tcPr>
          <w:p>
            <w:pPr>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交警移动处罚终端物联网池</w:t>
            </w:r>
            <w:r/>
          </w:p>
        </w:tc>
        <w:tc>
          <w:tcPr>
            <w:tcW w:w="1346" w:type="pct"/>
            <w:vAlign w:val="center"/>
            <w:textDirection w:val="lrTb"/>
            <w:noWrap/>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350</w:t>
            </w:r>
            <w:r/>
          </w:p>
        </w:tc>
        <w:tc>
          <w:tcPr>
            <w:tcW w:w="983"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20G/张，组成流量池共享流量</w:t>
            </w:r>
            <w:r/>
          </w:p>
        </w:tc>
      </w:tr>
      <w:tr>
        <w:trPr>
          <w:trHeight w:val="732"/>
        </w:trPr>
        <w:tc>
          <w:tcPr>
            <w:tcW w:w="834" w:type="pct"/>
            <w:vAlign w:val="center"/>
            <w:textDirection w:val="lrTb"/>
            <w:noWrap/>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网络安全服务</w:t>
            </w:r>
            <w:r/>
          </w:p>
        </w:tc>
        <w:tc>
          <w:tcPr>
            <w:tcW w:w="1835" w:type="pct"/>
            <w:vAlign w:val="center"/>
            <w:textDirection w:val="lrTb"/>
            <w:noWrap/>
          </w:tcPr>
          <w:p>
            <w:pPr>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提供网络安全服务，协助采购人安全漏洞、评估安全状态、提供漏洞修复建议</w:t>
            </w:r>
            <w:r/>
          </w:p>
        </w:tc>
        <w:tc>
          <w:tcPr>
            <w:tcW w:w="1346"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983" w:type="pct"/>
            <w:vAlign w:val="center"/>
            <w:textDirection w:val="lrTb"/>
            <w:noWrap/>
          </w:tcPr>
          <w:p>
            <w:pPr>
              <w:jc w:val="center"/>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p>
        </w:tc>
      </w:tr>
    </w:tbl>
    <w:p>
      <w:pPr>
        <w:ind w:firstLine="480"/>
        <w:spacing w:line="360" w:lineRule="auto"/>
        <w:rPr>
          <w:b/>
          <w:bCs/>
          <w:sz w:val="24"/>
        </w:rPr>
      </w:pPr>
      <w:r>
        <w:rPr>
          <w:rFonts w:hint="eastAsia"/>
          <w:b/>
          <w:bCs/>
          <w:sz w:val="24"/>
        </w:rPr>
        <w:t xml:space="preserve">三、技术指标需求</w:t>
      </w:r>
      <w:r/>
    </w:p>
    <w:p>
      <w:pPr>
        <w:ind w:firstLine="482"/>
        <w:spacing w:line="360" w:lineRule="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3.1租赁机房</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3.1.1整体要求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机房应主要包括微模块区、支持区两部分。微模块区主要用于安装用户所需集装架、UPS、配电柜、行间空调等基础设施以及网络设备。支持区主要支持并保障完成信息处理过程和必要的技术作业的区域。主要包括交流电源区、蓄电池区域、配线区等。服务器机柜满足下列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温湿度需满足下表要求：</w:t>
      </w:r>
      <w:r/>
    </w:p>
    <w:tbl>
      <w:tblPr>
        <w:tblStyle w:val="842"/>
        <w:tblW w:w="8438" w:type="dxa"/>
        <w:jc w:val="center"/>
        <w:tblLayout w:type="fixed"/>
        <w:tblCellMar>
          <w:left w:w="108" w:type="dxa"/>
          <w:top w:w="0" w:type="dxa"/>
          <w:right w:w="108" w:type="dxa"/>
          <w:bottom w:w="0" w:type="dxa"/>
        </w:tblCellMar>
        <w:tblLook w:val="04A0" w:firstRow="1" w:lastRow="0" w:firstColumn="1" w:lastColumn="0" w:noHBand="0" w:noVBand="1"/>
      </w:tblPr>
      <w:tblGrid>
        <w:gridCol w:w="3578"/>
        <w:gridCol w:w="2745"/>
        <w:gridCol w:w="2115"/>
      </w:tblGrid>
      <w:tr>
        <w:trPr>
          <w:jc w:val="center"/>
          <w:trHeight w:val="541"/>
          <w:tblHeader/>
        </w:trPr>
        <w:tc>
          <w:tcPr>
            <w:tcBorders>
              <w:top w:val="single" w:color="auto" w:sz="4" w:space="0"/>
              <w:left w:val="single" w:color="auto" w:sz="4" w:space="0"/>
              <w:bottom w:val="single" w:color="auto" w:sz="4" w:space="0"/>
              <w:right w:val="single" w:color="auto" w:sz="4" w:space="0"/>
            </w:tcBorders>
            <w:tcW w:w="3578"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w:t>
            </w:r>
            <w:r/>
          </w:p>
        </w:tc>
        <w:tc>
          <w:tcPr>
            <w:tcBorders>
              <w:top w:val="single" w:color="auto" w:sz="4" w:space="0"/>
              <w:left w:val="none" w:color="000000" w:sz="4" w:space="0"/>
              <w:bottom w:val="single" w:color="auto" w:sz="4" w:space="0"/>
              <w:right w:val="single" w:color="auto" w:sz="4" w:space="0"/>
            </w:tcBorders>
            <w:tcW w:w="2745"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A级机房技术要求</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408"/>
        </w:trPr>
        <w:tc>
          <w:tcPr>
            <w:tcBorders>
              <w:top w:val="none" w:color="000000" w:sz="4" w:space="0"/>
              <w:left w:val="single" w:color="auto" w:sz="4" w:space="0"/>
              <w:bottom w:val="single" w:color="auto" w:sz="4" w:space="0"/>
              <w:right w:val="single" w:color="auto" w:sz="4" w:space="0"/>
            </w:tcBorders>
            <w:tcW w:w="3578"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主机房温度（开机时）</w:t>
            </w:r>
            <w:r/>
          </w:p>
        </w:tc>
        <w:tc>
          <w:tcPr>
            <w:tcBorders>
              <w:top w:val="single" w:color="auto" w:sz="4" w:space="0"/>
              <w:left w:val="none" w:color="000000" w:sz="4" w:space="0"/>
              <w:bottom w:val="single" w:color="auto" w:sz="4" w:space="0"/>
              <w:right w:val="single" w:color="auto" w:sz="4" w:space="0"/>
            </w:tcBorders>
            <w:tcW w:w="2745"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w:t>
            </w:r>
            <w:r/>
          </w:p>
        </w:tc>
        <w:tc>
          <w:tcPr>
            <w:tcBorders>
              <w:top w:val="none" w:color="000000" w:sz="4" w:space="0"/>
              <w:left w:val="single" w:color="auto" w:sz="4" w:space="0"/>
              <w:bottom w:val="single" w:color="000000" w:sz="4" w:space="0"/>
              <w:right w:val="single" w:color="auto" w:sz="4" w:space="0"/>
            </w:tcBorders>
            <w:tcW w:w="2115" w:type="dxa"/>
            <w:vAlign w:val="center"/>
            <w:vMerge w:val="restar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不得结露</w:t>
            </w:r>
            <w:r/>
          </w:p>
        </w:tc>
      </w:tr>
      <w:tr>
        <w:trPr>
          <w:jc w:val="center"/>
          <w:trHeight w:val="415"/>
        </w:trPr>
        <w:tc>
          <w:tcPr>
            <w:tcBorders>
              <w:top w:val="none" w:color="000000" w:sz="4" w:space="0"/>
              <w:left w:val="single" w:color="auto" w:sz="4" w:space="0"/>
              <w:bottom w:val="single" w:color="auto" w:sz="4" w:space="0"/>
              <w:right w:val="single" w:color="auto" w:sz="4" w:space="0"/>
            </w:tcBorders>
            <w:tcW w:w="3578"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主机房相对湿度（开机时）</w:t>
            </w:r>
            <w:r/>
          </w:p>
        </w:tc>
        <w:tc>
          <w:tcPr>
            <w:tcBorders>
              <w:top w:val="single" w:color="auto" w:sz="4" w:space="0"/>
              <w:left w:val="none" w:color="000000" w:sz="4" w:space="0"/>
              <w:bottom w:val="single" w:color="auto" w:sz="4" w:space="0"/>
              <w:right w:val="single" w:color="auto" w:sz="4" w:space="0"/>
            </w:tcBorders>
            <w:tcW w:w="2745"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40％~55％</w:t>
            </w:r>
            <w:r/>
          </w:p>
        </w:tc>
        <w:tc>
          <w:tcPr>
            <w:tcBorders>
              <w:top w:val="none" w:color="000000" w:sz="4" w:space="0"/>
              <w:left w:val="single" w:color="auto" w:sz="4" w:space="0"/>
              <w:bottom w:val="single" w:color="000000" w:sz="4" w:space="0"/>
              <w:right w:val="single" w:color="auto" w:sz="4" w:space="0"/>
            </w:tcBorders>
            <w:tcW w:w="2115" w:type="dxa"/>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07"/>
        </w:trPr>
        <w:tc>
          <w:tcPr>
            <w:tcBorders>
              <w:top w:val="none" w:color="000000" w:sz="4" w:space="0"/>
              <w:left w:val="single" w:color="auto" w:sz="4" w:space="0"/>
              <w:bottom w:val="single" w:color="auto" w:sz="4" w:space="0"/>
              <w:right w:val="single" w:color="auto" w:sz="4" w:space="0"/>
            </w:tcBorders>
            <w:tcW w:w="3578"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主机房温度（停机时）</w:t>
            </w:r>
            <w:r/>
          </w:p>
        </w:tc>
        <w:tc>
          <w:tcPr>
            <w:tcBorders>
              <w:top w:val="single" w:color="auto" w:sz="4" w:space="0"/>
              <w:left w:val="none" w:color="000000" w:sz="4" w:space="0"/>
              <w:bottom w:val="single" w:color="auto" w:sz="4" w:space="0"/>
              <w:right w:val="single" w:color="auto" w:sz="4" w:space="0"/>
            </w:tcBorders>
            <w:tcW w:w="2745"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5~35℃</w:t>
            </w:r>
            <w:r/>
          </w:p>
        </w:tc>
        <w:tc>
          <w:tcPr>
            <w:tcBorders>
              <w:top w:val="none" w:color="000000" w:sz="4" w:space="0"/>
              <w:left w:val="single" w:color="auto" w:sz="4" w:space="0"/>
              <w:bottom w:val="single" w:color="000000" w:sz="4" w:space="0"/>
              <w:right w:val="single" w:color="auto" w:sz="4" w:space="0"/>
            </w:tcBorders>
            <w:tcW w:w="2115" w:type="dxa"/>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26"/>
        </w:trPr>
        <w:tc>
          <w:tcPr>
            <w:tcBorders>
              <w:top w:val="none" w:color="000000" w:sz="4" w:space="0"/>
              <w:left w:val="single" w:color="auto" w:sz="4" w:space="0"/>
              <w:bottom w:val="single" w:color="auto" w:sz="4" w:space="0"/>
              <w:right w:val="single" w:color="auto" w:sz="4" w:space="0"/>
            </w:tcBorders>
            <w:tcW w:w="3578"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主机房相对湿度（停机时）</w:t>
            </w:r>
            <w:r/>
          </w:p>
        </w:tc>
        <w:tc>
          <w:tcPr>
            <w:tcBorders>
              <w:top w:val="single" w:color="auto" w:sz="4" w:space="0"/>
              <w:left w:val="none" w:color="000000" w:sz="4" w:space="0"/>
              <w:bottom w:val="single" w:color="auto" w:sz="4" w:space="0"/>
              <w:right w:val="single" w:color="auto" w:sz="4" w:space="0"/>
            </w:tcBorders>
            <w:tcW w:w="2745"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40％~70％</w:t>
            </w:r>
            <w:r/>
          </w:p>
        </w:tc>
        <w:tc>
          <w:tcPr>
            <w:tcBorders>
              <w:top w:val="none" w:color="000000" w:sz="4" w:space="0"/>
              <w:left w:val="single" w:color="auto" w:sz="4" w:space="0"/>
              <w:bottom w:val="single" w:color="000000" w:sz="4" w:space="0"/>
              <w:right w:val="single" w:color="auto" w:sz="4" w:space="0"/>
            </w:tcBorders>
            <w:tcW w:w="2115" w:type="dxa"/>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08"/>
        </w:trPr>
        <w:tc>
          <w:tcPr>
            <w:tcBorders>
              <w:top w:val="none" w:color="000000" w:sz="4" w:space="0"/>
              <w:left w:val="single" w:color="auto" w:sz="4" w:space="0"/>
              <w:bottom w:val="single" w:color="auto" w:sz="4" w:space="0"/>
              <w:right w:val="single" w:color="auto" w:sz="4" w:space="0"/>
            </w:tcBorders>
            <w:tcW w:w="3578"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不间断电源系统电池室温度</w:t>
            </w:r>
            <w:r/>
          </w:p>
        </w:tc>
        <w:tc>
          <w:tcPr>
            <w:tcBorders>
              <w:top w:val="single" w:color="auto" w:sz="4" w:space="0"/>
              <w:left w:val="none" w:color="000000" w:sz="4" w:space="0"/>
              <w:bottom w:val="single" w:color="auto" w:sz="4" w:space="0"/>
              <w:right w:val="single" w:color="auto" w:sz="4" w:space="0"/>
            </w:tcBorders>
            <w:tcW w:w="2745"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15~25℃</w:t>
            </w:r>
            <w:r/>
          </w:p>
        </w:tc>
        <w:tc>
          <w:tcPr>
            <w:tcBorders>
              <w:top w:val="none" w:color="000000" w:sz="4" w:space="0"/>
              <w:left w:val="single" w:color="auto" w:sz="4" w:space="0"/>
              <w:bottom w:val="single" w:color="000000" w:sz="4" w:space="0"/>
              <w:right w:val="single" w:color="auto" w:sz="4" w:space="0"/>
            </w:tcBorders>
            <w:tcW w:w="2115" w:type="dxa"/>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建筑结构：主机房活荷载标准值应不低于8kN/m2，电池室活荷载标准值应不低于16kN/m2，防静电活动地板的高度不应小于400 mm。</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主机房和辅助区应设置空气调节系统，机房专用空调应为N+1 冗余，主机房中每个区域冗余1 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变压器和后备柴油发电机系统应具备冗余机制，采用三台发电机组主备冗余保障，柴油发电机的燃料存储量不应小于8小时，并有充份时间和渠道供给燃油，保证不间断发电运行。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不间断电源系统配置应为2N 或(N+1)冗余，不间断电源系统电池备用时间应不低于15min。</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空调系统电源配置应为双路电源，末端切换。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承担信息业务的传输介质应为光缆或六类及以上对绞电缆采用1+1 冗余，支持区信息点配置不少于4个。</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通信缆线防火等级应采用CMP 级电缆，OFNP 或OFCP级光缆。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设备监控应包括温湿度、漏水检测、机房专用空调、供配电系统、电池、柴油发电机系统，应具有主机集中控制和管理功能。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发电机室、变配电室、不间断电源系统室、动力站房应具有出入控制（识读设备采用读卡器）、视频监控。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监控中心、安防设备间、主机房出入口应具有出入控制，主机房内和建筑物周围和停车场应具有视频监视。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主机房、不间断电源系统和电池室设置洁净气体灭火系统。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3.1.2模块化数据中心要求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1.整体要求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模块化数据中心设备需包含机柜及封闭通道系统、配电系统、制冷系统、通道内照明及配电、监控系统、布线系统等。微模块架构要从整体解决方案考虑，需满足高集成度，安全可靠，节省机房占地面积和节约能源，安装省时、省力、省心，架构兼容，快速灵活部署，监控完善的特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2.机柜要求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机柜须为数据中心服务器提供可靠稳定的安装空间，保证服务器的安全运行机柜尺寸统一，并采用前后风道，尺寸参考标准42U机柜。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3.密封通道要求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密封通道由天窗、端门与机柜连接组合而成，形成良好的密封效果，避免冷热气流混合造成能量损失。天窗采用平顶结构，两端控制天窗可安装摄像机、温湿度传感器、烟雾传感器、通道照明红外传感及预留消防喷头深入孔等，中间天窗可固定、可翻转。天窗开启实现与通道内消防告警信号联动，在消防状态下电磁锁打开，旋转天窗在重力作用下自动打开，保证灭火气体进入密封冷通道。天窗开启后冷通道的净高不小于2米，不影响日常维护工作和维护人员安全。通道内结构件颜色要求与机房机柜的颜色一致，整体协调，配合美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4.供配电系统要求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气工程是整个机房的基础系统工程，机房对供配电系统的可靠性要求极高，要求供配电系统从低压配电到IT机柜应为双路市电、主备双变压器，另配置固定式柴油发电机。IDC机房中每个机柜容量不小于3KW，采取“双路UPS交流电”供电方式，在满载情况下电池供电时间大于0.5小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5.制冷系统要求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为了提高冷量的利用率及节约能源，制冷系统采用风冷行级精密空调+密封通道的制冷方式，风冷行级精密空调和设备机柜共同组成密封通道，实现冷热空气隔离。精密空调通过水平送风方式直接对机柜输送冷量，减少送风距离，提高冷量的利用效率，避免局部热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6.管理系统要求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管理系统可实现智能微模块各环节、各基础设施的数据采集与管理。提供微模块内部设备的实时状态、告警信息和配置信息进行管理，提供可视化界面，温度实时监测，智能故障隔离，温度-负载-温控系统智能联动，降低能耗。支持多个DC统一云管理，提高数据中心运维效率与质量。根据实际点位需求，提供适配我局动环系统的硬盘录像机及摄像头等监控设备，配合我局进行动环监控纳管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7.桥架及走线</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机房内的电源线、数据线、尾纤分别布置在不同走线架，相互隔开，互不影响。走线架、线槽和护管的弯曲半径不应小于线缆最小允许弯曲半径，敷设应符合现行国家标准《建筑电气工程施工质量验收规范》GB50303的有关规定。对于上走线方式，走线架的敷设除应符合现行国家标准《建筑电气工程施工质量验收规范》GB50303的有关规定和设计要求外，还应符合下列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（1）走线架内敷设光缆时，对尾纤应用阻燃塑料设置专用槽道，尾纤槽道转角处应平滑、呈弧形；尾纤槽两侧壁应设置下线口，下线口应做平滑处理；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（2）光缆的尾纤部分应绑扎；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（3）走线架吊架应垂直、整齐、牢固。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3.1.3机房安全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1.技术人员每日对机房环境（温湿度、供电）、网络设备、机柜物理状态进行巡检，每周对企业托管设备的运行状态进行远程监测，每月提交运维报告；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2.每季度开展一次全面巡检，包括机柜硬件检测、PDU 性能测试、网络链路质量检测等，及时发现并排除潜在故障。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3.提供7×24小时现场技术支持，协助企业进行设备上架、下架、重启、配置调试等操作，市区内现场响应时间≤2小时，郊区≤4小时；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4.针对市电中断、火灾、自然灾害等突发情况，制定应急预案并定期演练（每年至少2次）；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5.市电中断时，UPS 和柴油发电机无缝切换，保障设备持续运行；火灾发生时，气体灭火系统启动，同时关闭相关区域空调、通风设备，防止火势蔓延。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6.数据中心机房需通过信息系统安全等级保护第三级测评，且获取备案证明原件。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本项目机房必须为独立或相对独立空间区域，并与非本项目空间及设备物理隔离；机房必须满足系统运行、运行管理、人员操作、安全防范、材料运输、设备安装和维护等要求，具有电力、温度、湿度、闯入等报警检测功能；须配置电子门禁、视频监控等系统设备，鉴别和记录进出的人，采购人及采购人授权人员进出不受任何限制。如现场无法满足独立进出通道要求，中标人应有措施保证采购人及采购人授权人员进出不受任何限制。</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8.本项目</w:t>
      </w:r>
      <w:r>
        <w:rPr>
          <w:rFonts w:hint="eastAsia" w:asciiTheme="minorEastAsia" w:hAnsiTheme="minorEastAsia"/>
          <w:sz w:val="24"/>
          <w:szCs w:val="24"/>
        </w:rPr>
        <w:t xml:space="preserve">执行《绿色数据中心政府采购需求标准（试行）》等政府采购需求标准。</w:t>
      </w:r>
      <w:r/>
    </w:p>
    <w:p>
      <w:pPr>
        <w:ind w:firstLine="482"/>
        <w:spacing w:line="360" w:lineRule="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3.2数据专线及互联网线路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3.2.1技术指标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连通率：在硬件设备正常运行情况下，单条电路年平均连通率达到99.97%。</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业务保障等级：提供7×24小时业务保障水平，为用户提供方便快捷的高速互联网在线服务，并提供个性化的网络解决方案。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可用带宽：电路端到端带宽可用率不小于客户合同带宽的90%。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时延：端到端不丢包情况下的网络转发数据所用时间，包括传输时延和传输节点处理时延≤20ms。</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丢包率：在网络稳定状态下由于网络资源缺乏造成的不能转发的数据帧和总数据帧的百分比，在正常带宽负荷下（负荷小于70％）≤0.2%。</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可靠性：通信线路应具备高可靠性，有完善的冗余和保护机制，有一定扩容能力。具备完善的网管能力和服务质量（QoS）功能，满足系统的通信需求。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误码率：在一个确定的测试期间（15分钟），接收出现差错的比特数与总发送的比特数之比≤10e-8。</w:t>
      </w:r>
      <w:r/>
    </w:p>
    <w:p>
      <w:pPr>
        <w:ind w:firstLine="482"/>
        <w:spacing w:line="360" w:lineRule="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3.3短信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3.3.1租用标准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发送时效性和发送准确性符合国标标准。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3.3.2技术要求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1.技术指标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异网发送和接收成功率达到90%；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短信发送提交速度达到50条/秒/每线程；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在用户手机状态正常情况下,短信到达时间不超过15秒；</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黑白名单管理、关键字过滤报警处理、监测报告、报表处理。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2.平台信息安全保障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要求平台对数据的安全、数据信息准确和保密有多重的安全措施，以保证其短信平台使用的安全性，系统的安全从五个方面进行考虑，分别是账户使用安全，系统操作安全，数据传输安全，通讯连接安全和系统运行安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3.通道使用用户密码加密存储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平台的用户密码在数据库中需采用不可逆加密算法进行加密存储，即使运维人员、研发人员也无法反算出用户密码，用户密码找回仅密码重置一种途径，而密码重置后会发送到相关人员手机上。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4.通道的密码使用强规则策略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密码强度的最低要求为8位，其中必须包含英文大小写、数字、符号。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5.通道使用信任IP登录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平台可对用户可实现IP地址绑定操作，拦截非信任IP地址的登陆请求。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6.通道使用登录密码和发送密码双重验证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业务平台支持多种密码校验方式：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仅用户名、密码登陆；可后台关闭此关闭；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绑定手机号、手机验证码综合验证；可后台关闭此关闭；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7.通道支持敏感及非法关键字过滤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业务平台作为运营级的平台，平台需支持敏感字、非法关键字等系统自动过滤和人工审核规则。对触发关键字的短信会予以自动拦截，定期予以更新关键字、敏感字库。</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8.短信内容传输安全性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用DES算法对数据进行加密。对短信的加密算法：DES（MD5（消息体）＋消息体）。DES加密只针对消息体，对消息头不加密。短信数据不仅要进行软件系统本身的加密，而且在运营商的网络传输中也要经过移动短信通信协议的加密。通过数据的多层加密，从而保证数据的安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9.系统操作安全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平台可以使用管理员权限对每个登陆用户进行安全可控的能力授权，包括系统角色的安全方案制定以及系统用户的权限分配，支持手机号码访问范围控制。短信使用和短信到达情况会通过软件自动上报监控平台，监控平台具有完整的操作日志记录以用于安全审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10.保密制度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平台对于信息通讯的保密措施需做到以下两个方面，一方面通过VPN网络传输，短信加密协议进行短信的安全通信；另一方面，按照责任到人的原则进行平台运营管理人员信息登记备案，从规章制度和法律的角度保证信息的安全。</w:t>
      </w:r>
      <w:r/>
    </w:p>
    <w:p>
      <w:pPr>
        <w:ind w:firstLine="482"/>
        <w:spacing w:line="360" w:lineRule="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3.4流量卡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3.4.1实施与服务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提供全域网络覆盖，确保关键业务区域信号良好。所有卡片必须通过私有APN技术组建专网，实现安全、定向通信，从物理和逻辑上隔绝公共网络风险。</w:t>
      </w:r>
      <w:r/>
    </w:p>
    <w:p>
      <w:pPr>
        <w:ind w:firstLine="482"/>
        <w:spacing w:line="360" w:lineRule="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3.5物联网卡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3.5.1租用标准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（1）蜂窝网络全域覆盖、无死角；</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（2）支持TD-LTE /FDD-LTE 双模网络信号，4G 基站网络稳定性达到 99.95%以上，确保视频/文件传输不卡顿；接口规格：遵循 ISO/IEC 7816 标准，明确了电源电压、时钟频率、数据传输速率等电气特性，以及复位、时钟、数据输入 / 输出等信号的定义，同时规范了卡的尺寸、厚度和接触点分布，确保与不同终端设备的卡槽适配。多制式兼容：主流流量卡支持全网通 4G/5G 双模。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（4）支持流量共享（月包模式），共享规则：成员先消耗自身流量、再消耗剩余共享流量。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3.5.2实施与服务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1.严格按照《网络安全法》等法律法规的相关要求，协助做好通信安全工作，对客户资料和通信信息负有保密义务，对使用的单位及个人信息履行保护义务。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2.使用提醒服务：通过短信、运营商 APP 推送等方式，向用户发送流量余量提醒、达量限速提醒以及套餐到期续费提醒。同时提供自动续费服务，简化充值流程，避免因用户忘记充值导致服务中断。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用户问题快速处理：设立专属客服热线和在线客服渠道，及时解答用户关于流量卡套餐、网速、充值等方面的咨询。对用户投诉的故障问题详细记录，一般性问题立即答复，复杂问题协调相关部门处理并按时反馈结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4.终端适配与故障排查：为用户提供流量卡兼容性测试指引，如检查终端设备的调制解调器、天线是否正常。当用户遇到通信故障时，指导用户重启终端、切换飞行模式或检查 APN 接入参数，协助用户快速排查基础问题。</w:t>
      </w:r>
      <w:r/>
    </w:p>
    <w:p>
      <w:pPr>
        <w:ind w:firstLine="482"/>
        <w:spacing w:line="360" w:lineRule="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3.6网络安全服务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根据采购人要求，对采购人的网站及业务系统的安全漏洞、安全隐患进行全面检测。最终目标是查找存在的安全漏洞、评估安全状态、提供漏洞修复建议。具体服务要求如下：</w:t>
      </w:r>
      <w:r/>
    </w:p>
    <w:tbl>
      <w:tblPr>
        <w:tblStyle w:val="87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9"/>
        <w:gridCol w:w="3228"/>
        <w:gridCol w:w="2131"/>
        <w:gridCol w:w="2131"/>
      </w:tblGrid>
      <w:tr>
        <w:trPr>
          <w:jc w:val="center"/>
          <w:trHeight w:val="510"/>
        </w:trPr>
        <w:tc>
          <w:tcPr>
            <w:tcW w:w="604" w:type="pct"/>
            <w:vAlign w:val="center"/>
            <w:textDirection w:val="lrTb"/>
            <w:noWrap w:val="false"/>
          </w:tcPr>
          <w:p>
            <w:pPr>
              <w:pStyle w:val="906"/>
              <w:ind w:left="0"/>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894" w:type="pct"/>
            <w:vAlign w:val="center"/>
            <w:textDirection w:val="lrTb"/>
            <w:noWrap w:val="false"/>
          </w:tcPr>
          <w:p>
            <w:pPr>
              <w:pStyle w:val="906"/>
              <w:ind w:left="0"/>
              <w:jc w:val="center"/>
              <w:rPr>
                <w:rFonts w:hint="eastAsia" w:ascii="宋体" w:hAnsi="宋体" w:eastAsia="宋体" w:cs="宋体"/>
                <w:sz w:val="24"/>
                <w:szCs w:val="24"/>
              </w:rPr>
            </w:pPr>
            <w:r>
              <w:rPr>
                <w:rFonts w:hint="eastAsia" w:ascii="宋体" w:hAnsi="宋体" w:eastAsia="宋体" w:cs="宋体"/>
                <w:sz w:val="24"/>
                <w:szCs w:val="24"/>
              </w:rPr>
              <w:t xml:space="preserve">服务项目</w:t>
            </w:r>
            <w:r/>
          </w:p>
        </w:tc>
        <w:tc>
          <w:tcPr>
            <w:tcW w:w="1250" w:type="pct"/>
            <w:vAlign w:val="center"/>
            <w:textDirection w:val="lrTb"/>
            <w:noWrap w:val="false"/>
          </w:tcPr>
          <w:p>
            <w:pPr>
              <w:pStyle w:val="906"/>
              <w:ind w:left="0"/>
              <w:jc w:val="center"/>
              <w:rPr>
                <w:rFonts w:hint="eastAsia" w:ascii="宋体" w:hAnsi="宋体" w:eastAsia="宋体" w:cs="宋体"/>
                <w:sz w:val="24"/>
                <w:szCs w:val="24"/>
              </w:rPr>
            </w:pPr>
            <w:r>
              <w:rPr>
                <w:rFonts w:hint="eastAsia" w:ascii="宋体" w:hAnsi="宋体" w:eastAsia="宋体" w:cs="宋体"/>
                <w:sz w:val="24"/>
                <w:szCs w:val="24"/>
              </w:rPr>
              <w:t xml:space="preserve">资产数量</w:t>
            </w:r>
            <w:r/>
          </w:p>
        </w:tc>
        <w:tc>
          <w:tcPr>
            <w:tcW w:w="1250" w:type="pct"/>
            <w:vAlign w:val="center"/>
            <w:textDirection w:val="lrTb"/>
            <w:noWrap w:val="false"/>
          </w:tcPr>
          <w:p>
            <w:pPr>
              <w:pStyle w:val="906"/>
              <w:ind w:left="0"/>
              <w:jc w:val="center"/>
              <w:rPr>
                <w:rFonts w:hint="eastAsia" w:ascii="宋体" w:hAnsi="宋体" w:eastAsia="宋体" w:cs="宋体"/>
                <w:sz w:val="24"/>
                <w:szCs w:val="24"/>
              </w:rPr>
            </w:pPr>
            <w:r>
              <w:rPr>
                <w:rFonts w:hint="eastAsia" w:ascii="宋体" w:hAnsi="宋体" w:eastAsia="宋体" w:cs="宋体"/>
                <w:sz w:val="24"/>
                <w:szCs w:val="24"/>
              </w:rPr>
              <w:t xml:space="preserve">测试频次</w:t>
            </w:r>
            <w:r/>
          </w:p>
        </w:tc>
      </w:tr>
      <w:tr>
        <w:trPr>
          <w:jc w:val="center"/>
          <w:trHeight w:val="510"/>
        </w:trPr>
        <w:tc>
          <w:tcPr>
            <w:tcW w:w="604" w:type="pct"/>
            <w:vAlign w:val="center"/>
            <w:textDirection w:val="lrTb"/>
            <w:noWrap w:val="false"/>
          </w:tcPr>
          <w:p>
            <w:pPr>
              <w:pStyle w:val="906"/>
              <w:ind w:left="0"/>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1894" w:type="pct"/>
            <w:vAlign w:val="center"/>
            <w:textDirection w:val="lrTb"/>
            <w:noWrap w:val="false"/>
          </w:tcPr>
          <w:p>
            <w:pPr>
              <w:pStyle w:val="906"/>
              <w:ind w:left="0"/>
              <w:jc w:val="center"/>
              <w:rPr>
                <w:rFonts w:hint="eastAsia" w:ascii="宋体" w:hAnsi="宋体" w:eastAsia="宋体" w:cs="宋体"/>
                <w:sz w:val="24"/>
                <w:szCs w:val="24"/>
              </w:rPr>
            </w:pPr>
            <w:r>
              <w:rPr>
                <w:rFonts w:hint="eastAsia" w:ascii="宋体" w:hAnsi="宋体" w:eastAsia="宋体" w:cs="宋体"/>
                <w:sz w:val="24"/>
                <w:szCs w:val="24"/>
              </w:rPr>
              <w:t xml:space="preserve">互联网环境检测</w:t>
            </w:r>
            <w:r/>
          </w:p>
        </w:tc>
        <w:tc>
          <w:tcPr>
            <w:tcW w:w="1250" w:type="pct"/>
            <w:vAlign w:val="center"/>
            <w:textDirection w:val="lrTb"/>
            <w:noWrap w:val="false"/>
          </w:tcPr>
          <w:p>
            <w:pPr>
              <w:pStyle w:val="906"/>
              <w:ind w:left="0"/>
              <w:jc w:val="center"/>
              <w:rPr>
                <w:rFonts w:hint="eastAsia" w:ascii="宋体" w:hAnsi="宋体" w:eastAsia="宋体" w:cs="宋体"/>
                <w:sz w:val="24"/>
                <w:szCs w:val="24"/>
              </w:rPr>
            </w:pPr>
            <w:r>
              <w:rPr>
                <w:rFonts w:hint="eastAsia" w:ascii="宋体" w:hAnsi="宋体" w:eastAsia="宋体" w:cs="宋体"/>
                <w:sz w:val="24"/>
                <w:szCs w:val="24"/>
              </w:rPr>
              <w:t xml:space="preserve">Ip*45</w:t>
            </w:r>
            <w:r/>
          </w:p>
        </w:tc>
        <w:tc>
          <w:tcPr>
            <w:tcW w:w="1250" w:type="pct"/>
            <w:vAlign w:val="center"/>
            <w:textDirection w:val="lrTb"/>
            <w:noWrap w:val="false"/>
          </w:tcPr>
          <w:p>
            <w:pPr>
              <w:pStyle w:val="906"/>
              <w:ind w:left="0"/>
              <w:jc w:val="center"/>
              <w:rPr>
                <w:rFonts w:hint="eastAsia" w:ascii="宋体" w:hAnsi="宋体" w:eastAsia="宋体" w:cs="宋体"/>
                <w:sz w:val="24"/>
                <w:szCs w:val="24"/>
              </w:rPr>
            </w:pPr>
            <w:r>
              <w:rPr>
                <w:rFonts w:hint="eastAsia" w:ascii="宋体" w:hAnsi="宋体" w:eastAsia="宋体" w:cs="宋体"/>
                <w:sz w:val="24"/>
                <w:szCs w:val="24"/>
              </w:rPr>
              <w:t xml:space="preserve">6次/年</w:t>
            </w:r>
            <w:r/>
          </w:p>
        </w:tc>
      </w:tr>
      <w:tr>
        <w:trPr>
          <w:jc w:val="center"/>
          <w:trHeight w:val="510"/>
        </w:trPr>
        <w:tc>
          <w:tcPr>
            <w:tcW w:w="604" w:type="pct"/>
            <w:vAlign w:val="center"/>
            <w:textDirection w:val="lrTb"/>
            <w:noWrap w:val="false"/>
          </w:tcPr>
          <w:p>
            <w:pPr>
              <w:pStyle w:val="906"/>
              <w:ind w:left="0"/>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1894" w:type="pct"/>
            <w:vAlign w:val="center"/>
            <w:textDirection w:val="lrTb"/>
            <w:noWrap w:val="false"/>
          </w:tcPr>
          <w:p>
            <w:pPr>
              <w:pStyle w:val="906"/>
              <w:ind w:left="0"/>
              <w:jc w:val="center"/>
              <w:rPr>
                <w:rFonts w:hint="eastAsia" w:ascii="宋体" w:hAnsi="宋体" w:eastAsia="宋体" w:cs="宋体"/>
                <w:sz w:val="24"/>
                <w:szCs w:val="24"/>
              </w:rPr>
            </w:pPr>
            <w:r>
              <w:rPr>
                <w:rFonts w:hint="eastAsia" w:ascii="宋体" w:hAnsi="宋体" w:eastAsia="宋体" w:cs="宋体"/>
                <w:sz w:val="24"/>
                <w:szCs w:val="24"/>
              </w:rPr>
              <w:t xml:space="preserve">内网环境检测</w:t>
            </w:r>
            <w:r/>
          </w:p>
        </w:tc>
        <w:tc>
          <w:tcPr>
            <w:tcW w:w="1250" w:type="pct"/>
            <w:vAlign w:val="center"/>
            <w:textDirection w:val="lrTb"/>
            <w:noWrap w:val="false"/>
          </w:tcPr>
          <w:p>
            <w:pPr>
              <w:pStyle w:val="906"/>
              <w:ind w:left="0"/>
              <w:jc w:val="center"/>
              <w:rPr>
                <w:rFonts w:hint="eastAsia" w:ascii="宋体" w:hAnsi="宋体" w:eastAsia="宋体" w:cs="宋体"/>
                <w:sz w:val="24"/>
                <w:szCs w:val="24"/>
              </w:rPr>
            </w:pPr>
            <w:r>
              <w:rPr>
                <w:rFonts w:hint="eastAsia" w:ascii="宋体" w:hAnsi="宋体" w:eastAsia="宋体" w:cs="宋体"/>
                <w:sz w:val="24"/>
                <w:szCs w:val="24"/>
              </w:rPr>
              <w:t xml:space="preserve">服务器*500</w:t>
            </w:r>
            <w:r/>
          </w:p>
        </w:tc>
        <w:tc>
          <w:tcPr>
            <w:tcW w:w="1250" w:type="pct"/>
            <w:vAlign w:val="center"/>
            <w:textDirection w:val="lrTb"/>
            <w:noWrap w:val="false"/>
          </w:tcPr>
          <w:p>
            <w:pPr>
              <w:pStyle w:val="906"/>
              <w:ind w:left="0"/>
              <w:jc w:val="center"/>
              <w:rPr>
                <w:rFonts w:hint="eastAsia" w:ascii="宋体" w:hAnsi="宋体" w:eastAsia="宋体" w:cs="宋体"/>
                <w:sz w:val="24"/>
                <w:szCs w:val="24"/>
              </w:rPr>
            </w:pPr>
            <w:r>
              <w:rPr>
                <w:rFonts w:hint="eastAsia" w:ascii="宋体" w:hAnsi="宋体" w:eastAsia="宋体" w:cs="宋体"/>
                <w:sz w:val="24"/>
                <w:szCs w:val="24"/>
              </w:rPr>
              <w:t xml:space="preserve">4次/年</w:t>
            </w:r>
            <w:r/>
          </w:p>
        </w:tc>
      </w:tr>
    </w:tbl>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四、人员配备要求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本项目配备项目组成员不低于4名，至少包含1名项目负责人，项目组成员不低于3名（含维护期内维护人员）。需具有本项目相关领域的专业知识、工作经验，与项目实施内容和要求相适应。</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负责人：负责协调项目全过程的各项工作，把握项目进度、质量把控、运维规划、信息安全防护等，并能够提供优质的技术支撑和服务水平，确保履约能力。还需具有电子信息或计算机相关专业知识，具有信息系统安全技术测试的基本知识，具有组织信息安全风险评估、</w:t>
      </w:r>
      <w:r>
        <w:rPr>
          <w:rFonts w:hint="eastAsia" w:ascii="宋体" w:hAnsi="宋体" w:eastAsia="宋体" w:cs="宋体"/>
          <w:sz w:val="24"/>
        </w:rPr>
        <w:t xml:space="preserve">信息安全风险管理、</w:t>
      </w:r>
      <w:r>
        <w:rPr>
          <w:rFonts w:hint="eastAsia" w:ascii="宋体" w:hAnsi="宋体" w:eastAsia="宋体" w:cs="宋体"/>
          <w:sz w:val="24"/>
          <w:szCs w:val="24"/>
        </w:rPr>
        <w:t xml:space="preserve">网络安全策略制度制定和监督落实的基本知识和能力。</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项目组成人员：需为专业人员且具有参与类似项目的经验，以保证项目实施质量。负责系统设计、技术方案落实、结构搭建、系统初步调试、系统日常维护、故障响应、定期巡检。需</w:t>
      </w:r>
      <w:r>
        <w:rPr>
          <w:rFonts w:hint="eastAsia" w:ascii="宋体" w:hAnsi="宋体" w:eastAsia="宋体" w:cs="宋体"/>
          <w:sz w:val="24"/>
          <w:szCs w:val="24"/>
          <w:shd w:val="clear" w:color="auto" w:fill="ffffff"/>
        </w:rPr>
        <w:t xml:space="preserve">掌握信息系统技术，熟悉项目质量管理体系，</w:t>
      </w:r>
      <w:r>
        <w:rPr>
          <w:rFonts w:hint="eastAsia" w:ascii="宋体" w:hAnsi="宋体" w:eastAsia="宋体" w:cs="宋体"/>
          <w:sz w:val="24"/>
          <w:szCs w:val="24"/>
        </w:rPr>
        <w:t xml:space="preserve">还需精通信息安全知识、风险管理框架，应急响应技术能力，保障网络和系统信息安全。</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五、服务期限与进度要求</w:t>
      </w:r>
      <w:r/>
    </w:p>
    <w:p>
      <w:pPr>
        <w:ind w:firstLine="480"/>
        <w:spacing w:line="360" w:lineRule="auto"/>
        <w:rPr>
          <w:bCs/>
          <w:sz w:val="24"/>
        </w:rPr>
      </w:pPr>
      <w:r>
        <w:rPr>
          <w:rFonts w:hint="eastAsia" w:ascii="宋体" w:hAnsi="宋体" w:eastAsia="宋体"/>
          <w:bCs/>
          <w:color w:val="000000"/>
          <w:sz w:val="24"/>
        </w:rPr>
        <w:t xml:space="preserve">1.服务期限：</w:t>
      </w:r>
      <w:r>
        <w:rPr>
          <w:rFonts w:hint="eastAsia" w:asciiTheme="minorEastAsia" w:hAnsiTheme="minorEastAsia"/>
          <w:sz w:val="24"/>
          <w:szCs w:val="24"/>
        </w:rPr>
        <w:t xml:space="preserve">2年</w:t>
      </w:r>
      <w:r>
        <w:rPr>
          <w:rFonts w:hint="eastAsia" w:asciiTheme="minorEastAsia" w:hAnsiTheme="minorEastAsia"/>
          <w:bCs/>
          <w:color w:val="000000"/>
          <w:sz w:val="24"/>
          <w:szCs w:val="24"/>
        </w:rPr>
        <w:t xml:space="preserve">（合同约定之日起算）</w:t>
      </w:r>
      <w:r>
        <w:rPr>
          <w:rFonts w:hint="eastAsia" w:asciiTheme="minorEastAsia" w:hAnsiTheme="minorEastAsia"/>
          <w:sz w:val="24"/>
          <w:szCs w:val="24"/>
        </w:rPr>
        <w:t xml:space="preserve">。</w:t>
      </w:r>
      <w:r/>
    </w:p>
    <w:p>
      <w:pPr>
        <w:ind w:firstLine="482"/>
        <w:spacing w:line="360" w:lineRule="auto"/>
        <w:rPr>
          <w:bCs/>
          <w:sz w:val="24"/>
        </w:rPr>
      </w:pPr>
      <w:r>
        <w:rPr>
          <w:rFonts w:hint="eastAsia" w:asciiTheme="minorEastAsia" w:hAnsiTheme="minorEastAsia"/>
          <w:b/>
          <w:i/>
          <w:iCs/>
          <w:color w:val="000000"/>
          <w:sz w:val="24"/>
          <w:szCs w:val="24"/>
          <w:u w:val="single"/>
        </w:rPr>
        <w:t xml:space="preserve">2.投标人承诺在中标合同签订完成后3个工作日内完成项目清单中各类网络线路、机柜、短信平台、流量卡、IP地址等服务开通，满足采购人正常使用；若没有在规定时间内完成服务开通，采购人可单方面解除合同或取消投标人中标资格。</w:t>
      </w:r>
      <w:r>
        <w:rPr>
          <w:rFonts w:hint="eastAsia" w:asciiTheme="minorEastAsia" w:hAnsiTheme="minorEastAsia"/>
          <w:b/>
          <w:i/>
          <w:iCs/>
          <w:sz w:val="24"/>
          <w:szCs w:val="24"/>
          <w:u w:val="single"/>
        </w:rPr>
        <w:t xml:space="preserve">（投标文件中提供承诺函并加盖投标人公章，格式自拟，否则投标无效）</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六、服务标准</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6.1.提供7*24小时机房值守服务，做好日常人员、设备的进出登记管理，机房环境巡检等工作。</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6.1.1严禁非机房工作人员进入专用机房区域，特殊情况需经招标人相关负责人批准，并认真填写《机房进出人员登记本》后由机房工作人员陪同下方可进入。</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6.1.2设备的维护必须由专人负责，他人不可随意操作机房进行任何网络调整和电源调整；操作人员遵守值班制度，不得擅自脱岗。维护设备时需配备专用的台式电脑（需提供3台用于九岭机房、市局机房和租赁机房维护）和笔记本电脑（需提供1台用于重大活动安保维护）。</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6.1.3未经采购人许可，中标人不得对采购人设备进行上机操作和各种配置进行调整或更改。</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6.1.4机房内设备必须按照相关规定放置，并有明确设备标识。未经招标人允许，任何单位不可以放置任何设备于机房内。</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6.1.5 值班人员24小时监控网络设备运行状况，发现异常情况应立即按照相关操作步骤进行操作，并及时上报和作好详细记录</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6.2所租用机房需有完整的动环监控平台。</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为做好机房环境检测，提高应急情况监测和处理效率，租用机房须具备完整的动环监控系统。环境和设备监控系统具备显示、记录、控制、报警、分析和提示功能，市电、空调、UPS 等主要设备应纳入设备监控系统，并对可能发生水患的部位应设置漏水检测和报警装置。</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lang w:val="en-US" w:eastAsia="zh-CN"/>
        </w:rPr>
        <w:t xml:space="preserve">3如遇采购人因工作需要对线路进行调整变更的情形（包含迁移、拆除、阻断、增加等），需双方签署需求变更确认单后进行具体实施，如是迁移情形，则供应商提供1次免费迁移服务，超出部分根据实际工作量进行费用结算；如是拆除、阻断、增加、带宽调整等情形，则在开通后根据签约单价据实结算。未尽事宜双方具体协商，以达成一致后签署的书面文件为准</w:t>
      </w:r>
      <w:r>
        <w:rPr>
          <w:rFonts w:hint="eastAsia" w:ascii="宋体" w:hAnsi="宋体" w:eastAsia="宋体" w:cs="宋体"/>
          <w:sz w:val="24"/>
        </w:rPr>
        <w:t xml:space="preserve">。</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七、项目实施配套要求</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1.互联网出口处部署防火墙1套。技术参数要求：</w:t>
      </w:r>
      <w:r/>
    </w:p>
    <w:tbl>
      <w:tblPr>
        <w:tblStyle w:val="842"/>
        <w:tblW w:w="0" w:type="auto"/>
        <w:tblInd w:w="71" w:type="dxa"/>
        <w:tblLayout w:type="autofit"/>
        <w:tblCellMar>
          <w:left w:w="15" w:type="dxa"/>
          <w:top w:w="15" w:type="dxa"/>
          <w:right w:w="15" w:type="dxa"/>
          <w:bottom w:w="15" w:type="dxa"/>
        </w:tblCellMar>
        <w:tblLook w:val="04A0" w:firstRow="1" w:lastRow="0" w:firstColumn="1" w:lastColumn="0" w:noHBand="0" w:noVBand="1"/>
      </w:tblPr>
      <w:tblGrid>
        <w:gridCol w:w="1035"/>
        <w:gridCol w:w="1155"/>
        <w:gridCol w:w="6195"/>
      </w:tblGrid>
      <w:tr>
        <w:trPr>
          <w:trHeight w:val="405"/>
        </w:trPr>
        <w:tc>
          <w:tcPr>
            <w:tcBorders>
              <w:top w:val="single" w:color="000000" w:sz="6" w:space="0"/>
              <w:left w:val="single" w:color="000000" w:sz="6" w:space="0"/>
              <w:bottom w:val="single" w:color="auto" w:sz="4" w:space="0"/>
              <w:right w:val="single" w:color="000000" w:sz="6" w:space="0"/>
            </w:tcBorders>
            <w:tcMar>
              <w:left w:w="108" w:type="dxa"/>
              <w:top w:w="0" w:type="dxa"/>
              <w:right w:w="108" w:type="dxa"/>
              <w:bottom w:w="0" w:type="dxa"/>
            </w:tcMar>
            <w:tcW w:w="1035" w:type="dxa"/>
            <w:textDirection w:val="lrTb"/>
            <w:noWrap w:val="false"/>
          </w:tcPr>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000000" w:sz="6" w:space="0"/>
              <w:left w:val="single" w:color="000000" w:sz="6" w:space="0"/>
              <w:bottom w:val="single" w:color="auto" w:sz="4" w:space="0"/>
              <w:right w:val="single" w:color="000000" w:sz="6" w:space="0"/>
            </w:tcBorders>
            <w:tcMar>
              <w:left w:w="108" w:type="dxa"/>
              <w:top w:w="0" w:type="dxa"/>
              <w:right w:w="108" w:type="dxa"/>
              <w:bottom w:w="0" w:type="dxa"/>
            </w:tcMar>
            <w:tcW w:w="1155" w:type="dxa"/>
            <w:textDirection w:val="lrTb"/>
            <w:noWrap w:val="false"/>
          </w:tcPr>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名称</w:t>
            </w:r>
            <w:r/>
          </w:p>
        </w:tc>
        <w:tc>
          <w:tcPr>
            <w:tcBorders>
              <w:top w:val="single" w:color="000000" w:sz="6" w:space="0"/>
              <w:left w:val="single" w:color="000000" w:sz="6" w:space="0"/>
              <w:bottom w:val="single" w:color="auto" w:sz="4" w:space="0"/>
              <w:right w:val="single" w:color="000000" w:sz="6" w:space="0"/>
            </w:tcBorders>
            <w:tcMar>
              <w:left w:w="108" w:type="dxa"/>
              <w:top w:w="0" w:type="dxa"/>
              <w:right w:w="108" w:type="dxa"/>
              <w:bottom w:w="0" w:type="dxa"/>
            </w:tcMar>
            <w:tcW w:w="6195" w:type="dxa"/>
            <w:textDirection w:val="lrTb"/>
            <w:noWrap w:val="false"/>
          </w:tcPr>
          <w:p>
            <w:pPr>
              <w:jc w:val="center"/>
              <w:spacing w:line="360" w:lineRule="auto"/>
              <w:widowControl/>
              <w:rPr>
                <w:rFonts w:hint="eastAsia" w:ascii="宋体" w:hAnsi="宋体" w:eastAsia="宋体" w:cs="宋体"/>
                <w:b/>
                <w:sz w:val="24"/>
                <w:szCs w:val="24"/>
              </w:rPr>
            </w:pPr>
            <w:r>
              <w:rPr>
                <w:rFonts w:hint="eastAsia" w:ascii="宋体" w:hAnsi="宋体" w:cs="宋体"/>
                <w:b/>
                <w:bCs/>
                <w:sz w:val="24"/>
              </w:rPr>
              <w:t xml:space="preserve">参数要求</w:t>
            </w:r>
            <w:r/>
          </w:p>
        </w:tc>
      </w:tr>
      <w:tr>
        <w:trPr>
          <w:trHeight w:val="405"/>
        </w:trPr>
        <w:tc>
          <w:tcPr>
            <w:tcBorders>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Borders>
              <w:left w:val="single" w:color="auto" w:sz="4" w:space="0"/>
              <w:bottom w:val="single" w:color="auto" w:sz="4" w:space="0"/>
              <w:right w:val="single" w:color="auto" w:sz="4" w:space="0"/>
            </w:tcBorders>
            <w:tcMar>
              <w:left w:w="108" w:type="dxa"/>
              <w:top w:w="0" w:type="dxa"/>
              <w:right w:w="108" w:type="dxa"/>
              <w:bottom w:w="0" w:type="dxa"/>
            </w:tcMar>
            <w:tcW w:w="1155" w:type="dxa"/>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防火墙</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95" w:type="dxa"/>
            <w:vAlign w:val="center"/>
            <w:textDirection w:val="lrTb"/>
            <w:noWrap w:val="false"/>
          </w:tcPr>
          <w:p>
            <w:pP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1.网络层吞吐量2G，并发连接≥100万，每秒新建连接数≥2万，8个千兆电口，2个千兆光口，双电源。</w:t>
            </w:r>
            <w:r/>
          </w:p>
          <w:p>
            <w:pP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配置3年入侵防御特征库升级服务、3年病毒库升级服务。</w:t>
            </w:r>
            <w:r/>
          </w:p>
          <w:p>
            <w:pP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2.持支持静态路由、策略路由及动态路由；动态路由应至少支持RIPv1、RIPv2、RIPng， OSPF、OSPFv3，BGP4\4+、ISIS路由协议。</w:t>
            </w:r>
            <w:r/>
          </w:p>
          <w:p>
            <w:pP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▲3.支持ISP路由负载均衡，支持自定义负载权重，支持基于优先级的ISP路由链路备份；支持基于IPv4或IPv6的TCP、HTTP、Radius、DNS、ICMP、ARP方式的链路探测联动，同时TCP与HTTP可使用自定义目标端口进行测试。</w:t>
            </w:r>
            <w:r>
              <w:rPr>
                <w:rFonts w:hint="eastAsia" w:ascii="宋体" w:hAnsi="宋体" w:eastAsia="宋体" w:cs="宋体"/>
                <w:b/>
                <w:sz w:val="24"/>
                <w:szCs w:val="24"/>
              </w:rPr>
              <w:t xml:space="preserve">（投标文件中提供功能截图</w:t>
            </w:r>
            <w:r>
              <w:rPr>
                <w:rFonts w:hint="eastAsia" w:ascii="宋体" w:hAnsi="宋体" w:eastAsia="宋体" w:cs="宋体"/>
                <w:b/>
                <w:color w:val="000000"/>
                <w:sz w:val="24"/>
                <w:szCs w:val="24"/>
                <w:lang w:bidi="ar"/>
              </w:rPr>
              <w:t xml:space="preserve">并加盖投标人公章</w:t>
            </w:r>
            <w:r>
              <w:rPr>
                <w:rFonts w:hint="eastAsia" w:ascii="宋体" w:hAnsi="宋体" w:eastAsia="宋体" w:cs="宋体"/>
                <w:b/>
                <w:sz w:val="24"/>
                <w:szCs w:val="24"/>
              </w:rPr>
              <w:t xml:space="preserve">）</w:t>
            </w:r>
            <w:r/>
          </w:p>
          <w:p>
            <w:pP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▲4.支持共享上网检测功能，支持共享接入检测和共享接入管控功能，可以通过设置管控地址和例外地址优化管控功能，同时支持阻断或告警动作。</w:t>
            </w:r>
            <w:r/>
          </w:p>
          <w:p>
            <w:pPr>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（投标文件中提供功能截图</w:t>
            </w:r>
            <w:r>
              <w:rPr>
                <w:rFonts w:hint="eastAsia" w:ascii="宋体" w:hAnsi="宋体" w:eastAsia="宋体" w:cs="宋体"/>
                <w:b/>
                <w:color w:val="000000"/>
                <w:sz w:val="24"/>
                <w:szCs w:val="24"/>
                <w:lang w:bidi="ar"/>
              </w:rPr>
              <w:t xml:space="preserve">并加盖投标人公章</w:t>
            </w:r>
            <w:r>
              <w:rPr>
                <w:rFonts w:hint="eastAsia" w:ascii="宋体" w:hAnsi="宋体" w:eastAsia="宋体" w:cs="宋体"/>
                <w:b/>
                <w:sz w:val="24"/>
                <w:szCs w:val="24"/>
              </w:rPr>
              <w:t xml:space="preserve">）</w:t>
            </w:r>
            <w:r/>
          </w:p>
          <w:p>
            <w:pP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5.HTTP（1.X/2）/FTP/POP3/SMTP/IMAP/SMB/NFS/IPTUX八种协议进行病毒查杀；本地病毒库规模大于3000万，支持样本留存。支持对最多16级的压缩文件进行解压查杀</w:t>
            </w:r>
            <w:r/>
          </w:p>
          <w:p>
            <w:pP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▲6.支持基于源安全域、目的安全域、源用户、源地址、源地区、目的地址、 目的地区、服务、应用、隧道、时间、VLAN等多种方式进行访问控制，并支持国家地区对象的导入以及冗余策略的检查。支持单条策略下的长连接和非对称模式开启，以降低设备整机负荷。</w:t>
            </w:r>
            <w:r/>
          </w:p>
          <w:p>
            <w:pPr>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（投标文件中提供功能截图</w:t>
            </w:r>
            <w:r>
              <w:rPr>
                <w:rFonts w:hint="eastAsia" w:ascii="宋体" w:hAnsi="宋体" w:eastAsia="宋体" w:cs="宋体"/>
                <w:b/>
                <w:color w:val="000000"/>
                <w:sz w:val="24"/>
                <w:szCs w:val="24"/>
                <w:lang w:bidi="ar"/>
              </w:rPr>
              <w:t xml:space="preserve">并加盖投标人公章</w:t>
            </w:r>
            <w:r>
              <w:rPr>
                <w:rFonts w:hint="eastAsia" w:ascii="宋体" w:hAnsi="宋体" w:eastAsia="宋体" w:cs="宋体"/>
                <w:b/>
                <w:sz w:val="24"/>
                <w:szCs w:val="24"/>
              </w:rPr>
              <w:t xml:space="preserve">）</w:t>
            </w:r>
            <w:r/>
          </w:p>
        </w:tc>
      </w:tr>
    </w:tbl>
    <w:p>
      <w:pPr>
        <w:ind w:firstLine="482"/>
        <w:spacing w:line="360" w:lineRule="auto"/>
        <w:rPr>
          <w:rFonts w:hint="eastAsia" w:ascii="宋体" w:hAnsi="宋体" w:eastAsia="宋体" w:cs="宋体"/>
          <w:sz w:val="24"/>
          <w:szCs w:val="24"/>
        </w:rPr>
      </w:pPr>
      <w:r>
        <w:rPr>
          <w:rFonts w:hint="eastAsia" w:ascii="宋体" w:hAnsi="宋体" w:eastAsia="宋体" w:cs="宋体"/>
          <w:sz w:val="24"/>
        </w:rPr>
        <w:t xml:space="preserve">2.为保障视频监控系统稳定性，用于</w:t>
      </w:r>
      <w:r>
        <w:rPr>
          <w:rFonts w:hint="eastAsia" w:ascii="宋体" w:hAnsi="宋体" w:eastAsia="宋体" w:cs="宋体"/>
          <w:sz w:val="24"/>
          <w:szCs w:val="24"/>
        </w:rPr>
        <w:t xml:space="preserve">适配我局动环系统的硬盘录像机应满足基本以下要求：</w:t>
      </w:r>
      <w:r/>
    </w:p>
    <w:tbl>
      <w:tblPr>
        <w:tblStyle w:val="842"/>
        <w:tblW w:w="8327" w:type="dxa"/>
        <w:jc w:val="center"/>
        <w:tblLayout w:type="autofit"/>
        <w:tblCellMar>
          <w:left w:w="108" w:type="dxa"/>
          <w:top w:w="0" w:type="dxa"/>
          <w:right w:w="108" w:type="dxa"/>
          <w:bottom w:w="0" w:type="dxa"/>
        </w:tblCellMar>
        <w:tblLook w:val="04A0" w:firstRow="1" w:lastRow="0" w:firstColumn="1" w:lastColumn="0" w:noHBand="0" w:noVBand="1"/>
      </w:tblPr>
      <w:tblGrid>
        <w:gridCol w:w="992"/>
        <w:gridCol w:w="1140"/>
        <w:gridCol w:w="6195"/>
      </w:tblGrid>
      <w:tr>
        <w:trPr>
          <w:jc w:val="center"/>
          <w:trHeight w:val="624"/>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6195"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cs="宋体"/>
                <w:b/>
                <w:bCs/>
                <w:sz w:val="24"/>
              </w:rPr>
              <w:t xml:space="preserve">参数要求</w:t>
            </w:r>
            <w:r/>
          </w:p>
        </w:tc>
      </w:tr>
      <w:tr>
        <w:trPr>
          <w:jc w:val="center"/>
          <w:trHeight w:val="920"/>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网络硬盘录像机</w:t>
            </w:r>
            <w:r/>
          </w:p>
        </w:tc>
        <w:tc>
          <w:tcPr>
            <w:tcBorders>
              <w:top w:val="single" w:color="000000" w:sz="4" w:space="0"/>
              <w:left w:val="single" w:color="000000" w:sz="4" w:space="0"/>
              <w:bottom w:val="single" w:color="000000" w:sz="4" w:space="0"/>
              <w:right w:val="single" w:color="000000" w:sz="4" w:space="0"/>
            </w:tcBorders>
            <w:tcW w:w="6195" w:type="dxa"/>
            <w:vAlign w:val="center"/>
            <w:textDirection w:val="lrTb"/>
            <w:noWrap w:val="false"/>
          </w:tcPr>
          <w:p>
            <w:pPr>
              <w:jc w:val="left"/>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具有2个HDMI接口、2个VGA接口、2个RJ45网络接口、2个USB2.0接口、2个USB3.0接口、1个RS232接口、2个RS485接口、1个eSata接口；具有1路音频输入接口、2路音频输出接口，16个SATA接口，16个报警输入接口、8个报警输出接口、2个DV12V输出接口。</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2.支持64路网络视频接入，支持384Mbps接入、384Mbps存储、384Mbps转发。</w:t>
            </w:r>
            <w:r>
              <w:rPr>
                <w:rFonts w:hint="eastAsia" w:ascii="宋体" w:hAnsi="宋体" w:eastAsia="宋体" w:cs="宋体"/>
                <w:color w:val="000000"/>
                <w:sz w:val="24"/>
                <w:szCs w:val="24"/>
                <w:lang w:bidi="ar"/>
              </w:rPr>
              <w:br/>
            </w:r>
            <w:r>
              <w:rPr>
                <w:rFonts w:hint="eastAsia" w:ascii="宋体" w:hAnsi="宋体" w:eastAsia="宋体" w:cs="宋体"/>
                <w:bCs/>
                <w:sz w:val="24"/>
                <w:szCs w:val="24"/>
              </w:rPr>
              <w:t xml:space="preserve">▲</w:t>
            </w:r>
            <w:r>
              <w:rPr>
                <w:rFonts w:hint="eastAsia" w:ascii="宋体" w:hAnsi="宋体" w:eastAsia="宋体" w:cs="宋体"/>
                <w:color w:val="000000"/>
                <w:sz w:val="24"/>
                <w:szCs w:val="24"/>
                <w:lang w:bidi="ar"/>
              </w:rPr>
              <w:t xml:space="preserve">3.可检测视频中异常音频，出现干扰信号和声音变化幅度过大时，进行报警提示。支持摄像头属性调节页面直接展示视频效果，调节效果随参数调整实时展现。</w:t>
            </w:r>
            <w:r>
              <w:rPr>
                <w:rFonts w:hint="eastAsia" w:ascii="宋体" w:hAnsi="宋体" w:eastAsia="宋体" w:cs="宋体"/>
                <w:b/>
                <w:bCs/>
                <w:sz w:val="24"/>
                <w:szCs w:val="24"/>
              </w:rPr>
              <w:t xml:space="preserve">（提供国家认可的第三方检测机构出具的检测报告扫描件并加盖投标人公章）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4、支持按时间、按事件等多种方式进行录像的检索、回放、备份，支持图片本地回放与查询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支持设备操作日志、报警日志、系统日志的记录与查询功能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5、支持人脸检测、人脸识别，系统将检测到的人脸与联动人脸库中的人脸图片进行匹配，当匹配相似度达到时，可给出报警提示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▲6、设备应自动记录与设备信息安全相关的日志信息，作为独立的安全日志,内容包括用户登录/登出、重要和敏感操作、安全事件等,并划分独立的记录空间存储安全日志,其它日志信息不能覆盖安全日志。</w:t>
            </w:r>
            <w:r/>
          </w:p>
          <w:p>
            <w:pPr>
              <w:jc w:val="left"/>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（提供国家认可的第三方检测机构出具的检测报告扫描件并加盖投标人公章）</w:t>
            </w:r>
            <w:r/>
          </w:p>
          <w:p>
            <w:pPr>
              <w:jc w:val="left"/>
              <w:spacing w:line="360" w:lineRule="auto"/>
              <w:rPr>
                <w:rFonts w:hint="eastAsia" w:hAnsi="宋体" w:cs="宋体"/>
                <w:color w:val="000000"/>
                <w:sz w:val="24"/>
                <w:szCs w:val="24"/>
                <w:lang w:bidi="ar"/>
              </w:rPr>
            </w:pPr>
            <w:r>
              <w:rPr>
                <w:rFonts w:hint="eastAsia" w:hAnsi="宋体" w:cs="宋体"/>
                <w:color w:val="000000"/>
                <w:sz w:val="24"/>
                <w:szCs w:val="24"/>
                <w:lang w:bidi="ar"/>
              </w:rPr>
              <w:t xml:space="preserve">▲</w:t>
            </w:r>
            <w:r>
              <w:rPr>
                <w:rFonts w:hint="eastAsia" w:ascii="宋体" w:hAnsi="宋体" w:eastAsia="宋体" w:cs="宋体"/>
                <w:color w:val="000000"/>
                <w:sz w:val="24"/>
                <w:szCs w:val="24"/>
                <w:lang w:bidi="ar"/>
              </w:rPr>
              <w:t xml:space="preserve">7、</w:t>
            </w:r>
            <w:r>
              <w:rPr>
                <w:rFonts w:hint="eastAsia" w:hAnsi="宋体" w:cs="宋体"/>
                <w:color w:val="000000"/>
                <w:sz w:val="24"/>
                <w:szCs w:val="24"/>
                <w:lang w:bidi="ar"/>
              </w:rPr>
              <w:t xml:space="preserve">支持接入带有火情检测、冷点检测、热点检测、温度/温差检测、打电话检测、吸烟检测、烟雾检测报警功能的网络摄像机，当触发报警时，可联动录像、抓拍并保存图片、弹出报警画面、声音警告、上传中心、发送邮件、触发报警输出，并按通道、时间、类型检索报警图片，录像搜索结果至少支持图片和列表2种展现形式。</w:t>
            </w:r>
            <w:r/>
          </w:p>
          <w:p>
            <w:pPr>
              <w:jc w:val="left"/>
              <w:spacing w:line="360" w:lineRule="auto"/>
              <w:rPr>
                <w:sz w:val="24"/>
                <w:szCs w:val="24"/>
              </w:rPr>
            </w:pPr>
            <w:r>
              <w:rPr>
                <w:rFonts w:hint="eastAsia" w:ascii="宋体" w:hAnsi="宋体" w:eastAsia="宋体" w:cs="宋体"/>
                <w:b/>
                <w:bCs/>
                <w:sz w:val="24"/>
                <w:szCs w:val="24"/>
              </w:rPr>
              <w:t xml:space="preserve">（提供国家认可的第三方检测机构出具的检测报告扫描件并加盖投标人公章）</w:t>
            </w:r>
            <w:r/>
          </w:p>
        </w:tc>
      </w:tr>
    </w:tbl>
    <w:p>
      <w:pPr>
        <w:ind w:firstLine="482"/>
        <w:spacing w:line="360" w:lineRule="auto"/>
        <w:rPr>
          <w:rFonts w:hint="eastAsia" w:ascii="宋体" w:hAnsi="宋体" w:eastAsia="宋体" w:cs="宋体"/>
          <w:sz w:val="24"/>
        </w:rPr>
      </w:pPr>
      <w:r>
        <w:rPr>
          <w:rFonts w:hint="eastAsia" w:ascii="宋体" w:hAnsi="宋体" w:eastAsia="宋体" w:cs="宋体"/>
          <w:sz w:val="24"/>
        </w:rPr>
        <w:t xml:space="preserve">3.建立备品备件库系统。为保证租赁线路系统正常运转，内网故障得到安全处置，需至少提供2台48口三层千兆交换机、2台48口三层万兆全光交换机、25台千兆8口非网管型交换机、10箱超五类网线、20台千兆无线路由器、10盒超五类水晶头、20个12mm标签色带、10个8孔插排作为备品备件，发生故障可以第一时间调用更换，其中三类交换机参数应满足以下要求：</w:t>
      </w:r>
      <w:r/>
    </w:p>
    <w:tbl>
      <w:tblPr>
        <w:tblStyle w:val="842"/>
        <w:tblW w:w="8318" w:type="dxa"/>
        <w:jc w:val="center"/>
        <w:tblLayout w:type="autofit"/>
        <w:tblCellMar>
          <w:left w:w="108" w:type="dxa"/>
          <w:top w:w="0" w:type="dxa"/>
          <w:right w:w="108" w:type="dxa"/>
          <w:bottom w:w="0" w:type="dxa"/>
        </w:tblCellMar>
        <w:tblLook w:val="04A0" w:firstRow="1" w:lastRow="0" w:firstColumn="1" w:lastColumn="0" w:noHBand="0" w:noVBand="1"/>
      </w:tblPr>
      <w:tblGrid>
        <w:gridCol w:w="972"/>
        <w:gridCol w:w="1172"/>
        <w:gridCol w:w="6174"/>
      </w:tblGrid>
      <w:tr>
        <w:trPr>
          <w:jc w:val="center"/>
          <w:trHeight w:val="23"/>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6174"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cs="宋体"/>
                <w:b/>
                <w:bCs/>
                <w:sz w:val="24"/>
              </w:rPr>
              <w:t xml:space="preserve">参数要求</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48口三层千兆交换机</w:t>
            </w:r>
            <w:r/>
          </w:p>
        </w:tc>
        <w:tc>
          <w:tcPr>
            <w:tcBorders>
              <w:top w:val="single" w:color="000000" w:sz="4" w:space="0"/>
              <w:left w:val="single" w:color="000000" w:sz="4" w:space="0"/>
              <w:bottom w:val="single" w:color="000000" w:sz="4" w:space="0"/>
              <w:right w:val="single" w:color="000000" w:sz="4" w:space="0"/>
            </w:tcBorders>
            <w:tcW w:w="6174" w:type="dxa"/>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1、整机交换容量≥826Gbps；转发性能≥264Mpps（以官网最小值为准），提供≥48个千兆电口，≥6个万兆SFP+口，配置冗余电源。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2、支持≥32k MAC 地址。</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▲3、支持VRRP、OSPFv1/v2、OSPF v3、BGP、ISIS等增强三层路由协议。</w:t>
            </w:r>
            <w:r>
              <w:rPr>
                <w:rFonts w:hint="eastAsia" w:ascii="宋体" w:hAnsi="宋体" w:eastAsia="宋体" w:cs="宋体"/>
                <w:b/>
                <w:bCs/>
                <w:sz w:val="24"/>
                <w:szCs w:val="24"/>
              </w:rPr>
              <w:t xml:space="preserve">（</w:t>
            </w:r>
            <w:r>
              <w:rPr>
                <w:rFonts w:hint="eastAsia" w:ascii="宋体" w:hAnsi="宋体" w:cs="宋体"/>
                <w:b/>
                <w:bCs/>
                <w:sz w:val="24"/>
                <w:szCs w:val="24"/>
              </w:rPr>
              <w:t xml:space="preserve">投标文件中</w:t>
            </w:r>
            <w:r>
              <w:rPr>
                <w:rFonts w:hint="eastAsia" w:ascii="宋体" w:hAnsi="宋体" w:eastAsia="宋体" w:cs="宋体"/>
                <w:b/>
                <w:bCs/>
                <w:sz w:val="24"/>
                <w:szCs w:val="24"/>
              </w:rPr>
              <w:t xml:space="preserve">提供产品彩页</w:t>
            </w:r>
            <w:r>
              <w:rPr>
                <w:rFonts w:hint="eastAsia" w:ascii="宋体" w:hAnsi="宋体" w:cs="宋体"/>
                <w:b/>
                <w:bCs/>
                <w:sz w:val="24"/>
                <w:szCs w:val="24"/>
              </w:rPr>
              <w:t xml:space="preserve">或</w:t>
            </w:r>
            <w:r>
              <w:rPr>
                <w:rFonts w:hint="eastAsia" w:ascii="宋体" w:hAnsi="宋体" w:eastAsia="宋体" w:cs="宋体"/>
                <w:b/>
                <w:bCs/>
                <w:sz w:val="24"/>
                <w:szCs w:val="24"/>
              </w:rPr>
              <w:t xml:space="preserve">说明书或官网截图等相关证明材料加盖投标人公章</w:t>
            </w:r>
            <w:r>
              <w:rPr>
                <w:rFonts w:hint="eastAsia" w:ascii="宋体" w:hAnsi="宋体" w:cs="宋体"/>
                <w:b/>
                <w:bCs/>
                <w:sz w:val="24"/>
                <w:szCs w:val="24"/>
              </w:rPr>
              <w:t xml:space="preserve">，提供的证明材料须清晰体现上述技术参数</w:t>
            </w:r>
            <w:r>
              <w:rPr>
                <w:rFonts w:hint="eastAsia" w:ascii="宋体" w:hAnsi="宋体" w:eastAsia="宋体" w:cs="宋体"/>
                <w:b/>
                <w:bCs/>
                <w:sz w:val="24"/>
                <w:szCs w:val="24"/>
              </w:rPr>
              <w:t xml:space="preserve">）</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4、支持对端口接收报文的速率和发送报文的速率进行限制，最小粒度为16Kbps；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5、支持VLAN Mapping、支持Voice VLAN。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6、支持RRPP（快速环网保护协议），环网故障恢复时间不超过50ms；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7、支持安全日志功能，日志内容应包括安全事件来源、发生事件、事件描述；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▲8、本次实配本地智能管理中心，支持图形化操作的方式实现对网络的统一运维及管理。</w:t>
            </w:r>
            <w:r>
              <w:rPr>
                <w:rFonts w:hint="eastAsia" w:ascii="宋体" w:hAnsi="宋体" w:eastAsia="宋体" w:cs="宋体"/>
                <w:b/>
                <w:bCs/>
                <w:sz w:val="24"/>
                <w:szCs w:val="24"/>
              </w:rPr>
              <w:t xml:space="preserve">（投标文件中提供产品彩页或说明书或官网截图等相关证明材料加盖投标人公章，提供的证明材料须清晰体现上述技术参数）</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48口三层万兆全光交换机</w:t>
            </w:r>
            <w:r/>
          </w:p>
        </w:tc>
        <w:tc>
          <w:tcPr>
            <w:tcBorders>
              <w:top w:val="single" w:color="000000" w:sz="4" w:space="0"/>
              <w:left w:val="single" w:color="000000" w:sz="4" w:space="0"/>
              <w:bottom w:val="single" w:color="000000" w:sz="4" w:space="0"/>
              <w:right w:val="single" w:color="000000" w:sz="4" w:space="0"/>
            </w:tcBorders>
            <w:tcW w:w="6174" w:type="dxa"/>
            <w:vAlign w:val="center"/>
            <w:textDirection w:val="lrTb"/>
            <w:noWrap w:val="false"/>
          </w:tcPr>
          <w:p>
            <w:pPr>
              <w:jc w:val="left"/>
              <w:spacing w:line="360" w:lineRule="auto"/>
              <w:widowControl/>
              <w:rPr>
                <w:rFonts w:hint="eastAsia" w:ascii="宋体" w:hAnsi="宋体" w:eastAsia="宋体" w:cs="宋体"/>
                <w:b/>
                <w:bCs/>
                <w:color w:val="000000"/>
                <w:sz w:val="24"/>
                <w:szCs w:val="24"/>
                <w:lang w:bidi="ar"/>
              </w:rPr>
            </w:pPr>
            <w:r>
              <w:rPr>
                <w:rFonts w:hint="eastAsia" w:ascii="宋体" w:hAnsi="宋体" w:eastAsia="宋体" w:cs="宋体"/>
                <w:color w:val="000000"/>
                <w:sz w:val="24"/>
                <w:szCs w:val="24"/>
                <w:lang w:bidi="ar"/>
              </w:rPr>
              <w:t xml:space="preserve">1、整机交换容量≥1.36Tbps；转发性能≥264Mpps（以官网最小值为准），提供≥48个千兆光口，≥6个万兆SFP+口，≥1个10/100/1000Base-T带外管理口，配置冗余电源。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2、支持≥32k MAC 地址。</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▲3、支持VRRP、OSPFv1/v2、OSPF v3、BGP、ISIS等增强三层路由协议。</w:t>
            </w:r>
            <w:r>
              <w:rPr>
                <w:rFonts w:hint="eastAsia" w:ascii="宋体" w:hAnsi="宋体" w:eastAsia="宋体" w:cs="宋体"/>
                <w:b/>
                <w:bCs/>
                <w:color w:val="000000"/>
                <w:sz w:val="24"/>
                <w:szCs w:val="24"/>
                <w:lang w:bidi="ar"/>
              </w:rPr>
              <w:t xml:space="preserve">（投标文件中提供产品彩页或说明书或官网截图等相关证明材料加盖投标人公章，提供的证明材料须清晰体现上述技术参数）</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4、支持对端口接收报文的速率和发送报文的速率进行限制，最小粒度为16Kbps；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5、支持VLAN Mapping、支持Voice VLAN。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6、支持RRPP（快速环网保护协议），环网故障恢复时间不超过50ms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7、支持安全日志功能，日志内容应包括安全事件来源、发生事件、事件描述。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▲8、本次实配本地智能管理中心，支持图形化操作的方式实现对网络的统一运维及管理。</w:t>
            </w:r>
            <w:r>
              <w:rPr>
                <w:rFonts w:hint="eastAsia" w:ascii="宋体" w:hAnsi="宋体" w:eastAsia="宋体" w:cs="宋体"/>
                <w:b/>
                <w:bCs/>
                <w:sz w:val="24"/>
                <w:szCs w:val="24"/>
              </w:rPr>
              <w:t xml:space="preserve">（</w:t>
            </w:r>
            <w:r>
              <w:rPr>
                <w:rFonts w:hint="eastAsia" w:ascii="宋体" w:hAnsi="宋体" w:cs="宋体"/>
                <w:b/>
                <w:bCs/>
                <w:sz w:val="24"/>
                <w:szCs w:val="24"/>
              </w:rPr>
              <w:t xml:space="preserve">投标文件中</w:t>
            </w:r>
            <w:r>
              <w:rPr>
                <w:rFonts w:hint="eastAsia" w:ascii="宋体" w:hAnsi="宋体" w:eastAsia="宋体" w:cs="宋体"/>
                <w:b/>
                <w:bCs/>
                <w:sz w:val="24"/>
                <w:szCs w:val="24"/>
              </w:rPr>
              <w:t xml:space="preserve">提供产品彩页</w:t>
            </w:r>
            <w:r>
              <w:rPr>
                <w:rFonts w:hint="eastAsia" w:ascii="宋体" w:hAnsi="宋体" w:cs="宋体"/>
                <w:b/>
                <w:bCs/>
                <w:sz w:val="24"/>
                <w:szCs w:val="24"/>
              </w:rPr>
              <w:t xml:space="preserve">或</w:t>
            </w:r>
            <w:r>
              <w:rPr>
                <w:rFonts w:hint="eastAsia" w:ascii="宋体" w:hAnsi="宋体" w:eastAsia="宋体" w:cs="宋体"/>
                <w:b/>
                <w:bCs/>
                <w:sz w:val="24"/>
                <w:szCs w:val="24"/>
              </w:rPr>
              <w:t xml:space="preserve">说明书或官网截图等相关证明材料加盖投标人公章</w:t>
            </w:r>
            <w:r>
              <w:rPr>
                <w:rFonts w:hint="eastAsia" w:ascii="宋体" w:hAnsi="宋体" w:cs="宋体"/>
                <w:b/>
                <w:bCs/>
                <w:sz w:val="24"/>
                <w:szCs w:val="24"/>
              </w:rPr>
              <w:t xml:space="preserve">，提供的证明材料须清晰体现上述技术参数</w:t>
            </w:r>
            <w:r>
              <w:rPr>
                <w:rFonts w:hint="eastAsia" w:ascii="宋体" w:hAnsi="宋体" w:eastAsia="宋体" w:cs="宋体"/>
                <w:b/>
                <w:bCs/>
                <w:sz w:val="24"/>
                <w:szCs w:val="24"/>
              </w:rPr>
              <w:t xml:space="preserve">）</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千兆8口非网管型交换机</w:t>
            </w:r>
            <w:r/>
          </w:p>
        </w:tc>
        <w:tc>
          <w:tcPr>
            <w:tcBorders>
              <w:top w:val="single" w:color="000000" w:sz="4" w:space="0"/>
              <w:left w:val="single" w:color="000000" w:sz="4" w:space="0"/>
              <w:bottom w:val="single" w:color="000000" w:sz="4" w:space="0"/>
              <w:right w:val="single" w:color="000000" w:sz="4" w:space="0"/>
            </w:tcBorders>
            <w:tcW w:w="6174"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1、交换容量≥18Gbps，包转发率≥13.4Mpps。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2、整机提供≥8个千兆电口+1个千兆光口。</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3、采用共享缓存架构；包缓存：1.5Mbit。</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4、支持一键VLAN，便捷组网。</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5、支持12V/0.5A DC供电。</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6、工作温度：0～40℃。</w:t>
            </w:r>
            <w:r/>
          </w:p>
        </w:tc>
      </w:tr>
    </w:tbl>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八、培训要求</w:t>
      </w:r>
      <w:r/>
    </w:p>
    <w:p>
      <w:pPr>
        <w:ind w:firstLine="480"/>
        <w:jc w:val="left"/>
        <w:spacing w:line="360" w:lineRule="auto"/>
        <w:rPr>
          <w:rFonts w:ascii="Times New Roman" w:hAnsi="Times New Roman" w:cs="Times New Roman"/>
          <w:sz w:val="24"/>
          <w:szCs w:val="24"/>
        </w:rPr>
      </w:pPr>
      <w:r>
        <w:rPr>
          <w:rFonts w:hint="eastAsia"/>
          <w:sz w:val="24"/>
        </w:rPr>
        <w:t xml:space="preserve">中标人针对本项目的特点及采购的服务内容，提供必要的培训服务，以便采购人的工作人员能够更好的进行使用。</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九、考核标准及考核办法</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考核指标包括：数据专线、互联网专线、供应商机房动力系统等设施设备的恢复时间；信息安全事件级别；运行服务质量。</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9</w:t>
      </w:r>
      <w:r>
        <w:rPr>
          <w:rFonts w:hint="eastAsia" w:ascii="宋体" w:hAnsi="宋体" w:eastAsia="宋体" w:cs="宋体"/>
          <w:sz w:val="24"/>
        </w:rPr>
        <w:t xml:space="preserve">.1 单次故障出现以下情况之一：数据专线、互联网专线中断时间超过90 分钟；供应商机房动力系统一旦出现中断，视为考核不达标。采购人每月对租赁项目进行考核，如某项业务考核不达标，扣除当月该项目不达标数量的租赁费。</w:t>
      </w:r>
      <w:r/>
    </w:p>
    <w:p>
      <w:pPr>
        <w:ind w:firstLine="482"/>
        <w:spacing w:line="360" w:lineRule="auto"/>
        <w:rPr>
          <w:rFonts w:hint="eastAsia" w:ascii="宋体" w:hAnsi="宋体" w:eastAsia="宋体" w:cs="宋体"/>
          <w:sz w:val="24"/>
        </w:rPr>
      </w:pPr>
      <w:r>
        <w:rPr>
          <w:rFonts w:hint="eastAsia" w:ascii="宋体" w:hAnsi="宋体" w:eastAsia="宋体" w:cs="宋体"/>
          <w:sz w:val="24"/>
          <w:lang w:val="en-US" w:eastAsia="zh-CN"/>
        </w:rPr>
        <w:t xml:space="preserve">9</w:t>
      </w:r>
      <w:r>
        <w:rPr>
          <w:rFonts w:hint="eastAsia" w:ascii="宋体" w:hAnsi="宋体" w:eastAsia="宋体" w:cs="宋体"/>
          <w:sz w:val="24"/>
        </w:rPr>
        <w:t xml:space="preserve">.2信息安全事件每发生一起，经过甲方认定，按照一般、严重两个级别进行处罚。其中，一般事件每发生一起，一次性扣除5千元；严重事件，每发生一起，一次性扣除1万元。</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9</w:t>
      </w:r>
      <w:r>
        <w:rPr>
          <w:rFonts w:hint="eastAsia" w:ascii="宋体" w:hAnsi="宋体" w:eastAsia="宋体" w:cs="宋体"/>
          <w:sz w:val="24"/>
        </w:rPr>
        <w:t xml:space="preserve">.3 运行服务质量包括第三方线路进入租赁机房、警种部门进出机房规范管理、响应采购人需求及时性等。</w:t>
      </w:r>
      <w:r/>
    </w:p>
    <w:p>
      <w:pPr>
        <w:ind w:firstLine="480"/>
        <w:jc w:val="left"/>
        <w:spacing w:line="360" w:lineRule="auto"/>
        <w:rPr>
          <w:rFonts w:hint="eastAsia" w:ascii="宋体" w:hAnsi="宋体" w:eastAsia="宋体" w:cs="宋体"/>
          <w:sz w:val="24"/>
        </w:rPr>
      </w:pPr>
      <w:r>
        <w:rPr>
          <w:rFonts w:hint="eastAsia" w:ascii="宋体" w:hAnsi="宋体" w:eastAsia="宋体" w:cs="宋体"/>
          <w:sz w:val="24"/>
          <w:lang w:val="en-US" w:eastAsia="zh-CN"/>
        </w:rPr>
        <w:t xml:space="preserve">9</w:t>
      </w:r>
      <w:r>
        <w:rPr>
          <w:rFonts w:hint="eastAsia" w:ascii="宋体" w:hAnsi="宋体" w:eastAsia="宋体" w:cs="宋体"/>
          <w:sz w:val="24"/>
        </w:rPr>
        <w:t xml:space="preserve">.4 第三方线路进入租赁机房。对于招标人安排第三方线路进入机房的，中标方必须无条件及时响应，每发现一次不配合情况，扣费用1万元。</w:t>
      </w:r>
      <w:r/>
    </w:p>
    <w:p>
      <w:pPr>
        <w:ind w:firstLine="480"/>
        <w:jc w:val="left"/>
        <w:spacing w:line="360" w:lineRule="auto"/>
        <w:rPr>
          <w:rFonts w:hint="eastAsia" w:ascii="宋体" w:hAnsi="宋体" w:eastAsia="宋体" w:cs="宋体"/>
          <w:sz w:val="24"/>
        </w:rPr>
      </w:pPr>
      <w:r>
        <w:rPr>
          <w:rFonts w:hint="eastAsia" w:ascii="宋体" w:hAnsi="宋体" w:eastAsia="宋体" w:cs="宋体"/>
          <w:sz w:val="24"/>
          <w:lang w:val="en-US" w:eastAsia="zh-CN"/>
        </w:rPr>
        <w:t xml:space="preserve">9</w:t>
      </w:r>
      <w:r>
        <w:rPr>
          <w:rFonts w:hint="eastAsia" w:ascii="宋体" w:hAnsi="宋体" w:eastAsia="宋体" w:cs="宋体"/>
          <w:sz w:val="24"/>
        </w:rPr>
        <w:t xml:space="preserve">.5警种部门进出机房规范管理。市公安局所有警种部门需要进机房维护设备的，必须经过市公安局机房管理部门授权，每发现一次未经授权私自进入情况，扣费用1万元。</w:t>
      </w:r>
      <w:r/>
    </w:p>
    <w:p>
      <w:pPr>
        <w:ind w:firstLine="480"/>
        <w:jc w:val="left"/>
        <w:spacing w:line="360" w:lineRule="auto"/>
        <w:rPr>
          <w:rFonts w:hint="eastAsia" w:ascii="宋体" w:hAnsi="宋体" w:eastAsia="宋体" w:cs="宋体"/>
          <w:sz w:val="24"/>
        </w:rPr>
      </w:pPr>
      <w:r>
        <w:rPr>
          <w:rFonts w:hint="eastAsia" w:ascii="宋体" w:hAnsi="宋体" w:eastAsia="宋体" w:cs="宋体"/>
          <w:sz w:val="24"/>
          <w:lang w:val="en-US" w:eastAsia="zh-CN"/>
        </w:rPr>
        <w:t xml:space="preserve">9</w:t>
      </w:r>
      <w:r>
        <w:rPr>
          <w:rFonts w:hint="eastAsia" w:ascii="宋体" w:hAnsi="宋体" w:eastAsia="宋体" w:cs="宋体"/>
          <w:sz w:val="24"/>
        </w:rPr>
        <w:t xml:space="preserve">.6响应采购人需求及时性。常规情况在采购人提出需求后4 小时、紧急情况在采购人提出需求后2 小时响应，每有一次响应不及时，扣费用1 万元。</w:t>
      </w:r>
      <w:r/>
    </w:p>
    <w:p>
      <w:pPr>
        <w:ind w:firstLine="482"/>
        <w:jc w:val="left"/>
        <w:spacing w:line="360" w:lineRule="auto"/>
        <w:rPr>
          <w:rFonts w:hint="eastAsia" w:ascii="宋体" w:hAnsi="宋体" w:eastAsia="宋体" w:cs="宋体"/>
          <w:b/>
          <w:bCs/>
          <w:sz w:val="24"/>
        </w:rPr>
      </w:pPr>
      <w:r>
        <w:rPr>
          <w:rFonts w:hint="eastAsia" w:ascii="宋体" w:hAnsi="宋体" w:eastAsia="宋体" w:cs="宋体"/>
          <w:b/>
          <w:bCs/>
          <w:sz w:val="24"/>
        </w:rPr>
        <w:t xml:space="preserve">十、履约验收</w:t>
      </w:r>
      <w:r/>
    </w:p>
    <w:p>
      <w:pPr>
        <w:ind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在合同签订后3个日历日内完成服务开通，</w:t>
      </w:r>
      <w:r>
        <w:rPr>
          <w:rFonts w:hint="eastAsia" w:ascii="宋体" w:hAnsi="宋体" w:eastAsia="宋体" w:cs="宋体"/>
          <w:color w:val="000000"/>
          <w:sz w:val="24"/>
          <w:lang w:val="en-US" w:eastAsia="zh-CN"/>
        </w:rPr>
        <w:t xml:space="preserve">服务开通后</w:t>
      </w:r>
      <w:r>
        <w:rPr>
          <w:rFonts w:hint="eastAsia" w:ascii="宋体" w:hAnsi="宋体" w:eastAsia="宋体" w:cs="宋体"/>
          <w:color w:val="000000"/>
          <w:sz w:val="24"/>
        </w:rPr>
        <w:t xml:space="preserve">中标人于7个工作日内提交初验申请，</w:t>
      </w:r>
      <w:r>
        <w:rPr>
          <w:rFonts w:hint="eastAsia" w:ascii="宋体" w:hAnsi="宋体" w:eastAsia="宋体" w:cs="宋体"/>
          <w:color w:val="000000"/>
          <w:sz w:val="24"/>
          <w:lang w:val="en-US" w:eastAsia="zh-CN"/>
        </w:rPr>
        <w:t xml:space="preserve">采购人</w:t>
      </w:r>
      <w:r>
        <w:rPr>
          <w:rFonts w:hint="eastAsia" w:ascii="宋体" w:hAnsi="宋体" w:eastAsia="宋体" w:cs="宋体"/>
          <w:color w:val="000000"/>
          <w:sz w:val="24"/>
        </w:rPr>
        <w:t xml:space="preserve">对中标人提交的服务依据招标文件上的项目需求要求、中标人响应文件及国家有关质量标准进行验收。</w:t>
      </w:r>
      <w:r/>
    </w:p>
    <w:p>
      <w:pPr>
        <w:ind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中标人交付前应对服务做出全面检查和对验收文件进行整理，并列出清单，作为采购人验收和使用的技术条件依据，检验的结果应随服务一起提交</w:t>
      </w:r>
      <w:r>
        <w:rPr>
          <w:rFonts w:hint="eastAsia" w:ascii="宋体" w:hAnsi="宋体" w:eastAsia="宋体" w:cs="宋体"/>
          <w:color w:val="000000"/>
          <w:sz w:val="24"/>
          <w:lang w:val="en-US" w:eastAsia="zh-CN"/>
        </w:rPr>
        <w:t xml:space="preserve">采购人</w:t>
      </w:r>
      <w:r>
        <w:rPr>
          <w:rFonts w:hint="eastAsia" w:ascii="宋体" w:hAnsi="宋体" w:eastAsia="宋体" w:cs="宋体"/>
          <w:color w:val="000000"/>
          <w:sz w:val="24"/>
        </w:rPr>
        <w:t xml:space="preserve">。</w:t>
      </w:r>
      <w:r/>
    </w:p>
    <w:p>
      <w:pPr>
        <w:ind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项目初验合格后进入试运行期（7个日历天），试运行期满且所有核心验收指标达标后，中标人在7</w:t>
      </w:r>
      <w:r>
        <w:rPr>
          <w:rFonts w:hint="eastAsia" w:ascii="宋体" w:hAnsi="宋体" w:eastAsia="宋体" w:cs="宋体"/>
          <w:color w:val="000000"/>
          <w:sz w:val="24"/>
          <w:lang w:val="en-US" w:eastAsia="zh-CN"/>
        </w:rPr>
        <w:t xml:space="preserve">个工作</w:t>
      </w:r>
      <w:r>
        <w:rPr>
          <w:rFonts w:hint="eastAsia" w:ascii="宋体" w:hAnsi="宋体" w:eastAsia="宋体" w:cs="宋体"/>
          <w:color w:val="000000"/>
          <w:sz w:val="24"/>
        </w:rPr>
        <w:t xml:space="preserve">日内提交终验申请，</w:t>
      </w:r>
      <w:r>
        <w:rPr>
          <w:rFonts w:hint="eastAsia" w:ascii="宋体" w:hAnsi="宋体" w:eastAsia="宋体" w:cs="宋体"/>
          <w:color w:val="000000"/>
          <w:sz w:val="24"/>
          <w:lang w:val="en-US" w:eastAsia="zh-CN"/>
        </w:rPr>
        <w:t xml:space="preserve">采购人</w:t>
      </w:r>
      <w:r>
        <w:rPr>
          <w:rFonts w:hint="eastAsia" w:ascii="宋体" w:hAnsi="宋体" w:eastAsia="宋体" w:cs="宋体"/>
          <w:color w:val="000000"/>
          <w:sz w:val="24"/>
        </w:rPr>
        <w:t xml:space="preserve">依据试运行结果及相关技术条件进行验收。</w:t>
      </w:r>
      <w:r/>
    </w:p>
    <w:p>
      <w:pPr>
        <w:ind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t xml:space="preserve">采购人</w:t>
      </w:r>
      <w:r>
        <w:rPr>
          <w:rFonts w:hint="eastAsia" w:ascii="宋体" w:hAnsi="宋体" w:eastAsia="宋体" w:cs="宋体"/>
          <w:color w:val="000000"/>
          <w:sz w:val="24"/>
        </w:rPr>
        <w:t xml:space="preserve">可请服务使用人员或组织业内专家进行项目验收，并出具验收报告。</w:t>
      </w:r>
      <w:r/>
    </w:p>
    <w:p>
      <w:pPr>
        <w:ind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验收时中标人必须在现场，验收完毕后作出验收结果报告；招标文件规定以外的验收费用由</w:t>
      </w:r>
      <w:r>
        <w:rPr>
          <w:rFonts w:hint="eastAsia" w:ascii="宋体" w:hAnsi="宋体" w:eastAsia="宋体" w:cs="宋体"/>
          <w:color w:val="000000"/>
          <w:sz w:val="24"/>
          <w:lang w:val="en-US" w:eastAsia="zh-CN"/>
        </w:rPr>
        <w:t xml:space="preserve">采购人</w:t>
      </w:r>
      <w:r>
        <w:rPr>
          <w:rFonts w:hint="eastAsia" w:ascii="宋体" w:hAnsi="宋体" w:eastAsia="宋体" w:cs="宋体"/>
          <w:color w:val="000000"/>
          <w:sz w:val="24"/>
        </w:rPr>
        <w:t xml:space="preserve">及中标人双方协商解决。</w:t>
      </w:r>
      <w:r/>
    </w:p>
    <w:p>
      <w:pPr>
        <w:ind w:firstLine="482"/>
        <w:spacing w:line="360" w:lineRule="auto"/>
        <w:rPr>
          <w:b/>
          <w:bCs/>
          <w:color w:val="000000"/>
          <w:sz w:val="24"/>
        </w:rPr>
      </w:pPr>
      <w:r>
        <w:rPr>
          <w:rFonts w:hint="eastAsia"/>
          <w:b/>
          <w:bCs/>
          <w:color w:val="000000"/>
          <w:sz w:val="24"/>
        </w:rPr>
        <w:t xml:space="preserve">十一、付款方式与履约保证金</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1.付款方式：经验收合格后，根据每月考核结果按月支付服务费</w:t>
      </w:r>
      <w:r>
        <w:rPr>
          <w:rFonts w:hint="eastAsia" w:ascii="宋体" w:hAnsi="宋体" w:eastAsia="宋体" w:cs="宋体"/>
          <w:sz w:val="24"/>
        </w:rPr>
        <w:t xml:space="preserve">。</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2.履约保证金：本项目不收取履约保证金。</w:t>
      </w:r>
      <w:r/>
    </w:p>
    <w:p>
      <w:pPr>
        <w:ind w:firstLine="482"/>
        <w:spacing w:line="360" w:lineRule="auto"/>
        <w:rPr>
          <w:b/>
          <w:bCs/>
          <w:color w:val="000000"/>
          <w:sz w:val="24"/>
        </w:rPr>
      </w:pPr>
      <w:r>
        <w:rPr>
          <w:rFonts w:hint="eastAsia"/>
          <w:b/>
          <w:bCs/>
          <w:color w:val="000000"/>
          <w:sz w:val="24"/>
        </w:rPr>
        <w:t xml:space="preserve">十二、报价要求及其他</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1.本项目报价不得超过预算价，应根据国家收费标准并结合市场实际进行报价，总价包干。</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2.工作中涉及的敏感资料、电子数据等相关信息，中标人应严格执行保密的相关规定，不得以任何方式向任何第三人披露、泄露或许可第三人使用，否则追究其相应法律责任。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现场考察：由于租赁业务明细较多、涉及业务广、线路错综复杂，部分点位涉及警务工作秘密，为了避免投标人无法掌握现有网络业务运行实际情况，建议投标人进行现场考察，采购人会提供必要的协助和解释，让投标人充分了解业务运行情况。如投标人因对现场资料和数据所作出的推论、解释和结论影响投标报价、方案编制等由此造成的后果由投标人自行承担。因投标人自身原因现场考察不全面的，中标后不得因此提出修改投标报价或提出索赔等要求，不得以此为由拒绝签署合同或履行所约定的各项义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次项目涉及公安局内部线路、流量卡、各点位网络分布及警务工作秘密等，现场考察环节具有高度的保密性。为确保国家秘密安全，凡参与现场考察的人员，严禁拍照与录像，严禁信息外泄。考察结束后，不得以任何形式（口头、书面、社交软件等）向第三方透露任何网络业务运行细节，服从现场指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考察联系人：</w:t>
      </w:r>
      <w:r>
        <w:rPr>
          <w:rFonts w:hint="eastAsia" w:ascii="宋体" w:hAnsi="宋体" w:eastAsia="宋体" w:cs="宋体"/>
          <w:sz w:val="24"/>
          <w:szCs w:val="24"/>
        </w:rPr>
        <w:t xml:space="preserve">金鑫  </w:t>
      </w:r>
      <w:r>
        <w:rPr>
          <w:rFonts w:hint="eastAsia" w:ascii="宋体" w:hAnsi="宋体" w:eastAsia="宋体" w:cs="宋体"/>
          <w:sz w:val="24"/>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联系电话：15861237719</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考察前请提前联系，预约时间，考察时请携带授权委托书和有效身份证，现场考察的费用由投标人自行承担。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before="156" w:after="156"/>
        <w:rPr>
          <w:rFonts w:hint="eastAsia" w:ascii="宋体" w:hAnsi="宋体"/>
          <w:b/>
          <w:bCs/>
          <w:sz w:val="24"/>
        </w:rPr>
        <w:outlineLvl w:val="1"/>
      </w:pPr>
      <w:r>
        <w:rPr>
          <w:rFonts w:hint="eastAsia" w:ascii="宋体" w:hAnsi="宋体"/>
          <w:b/>
          <w:bCs/>
          <w:sz w:val="24"/>
        </w:rPr>
      </w:r>
      <w:r/>
    </w:p>
    <w:p>
      <w:pPr>
        <w:jc w:val="left"/>
        <w:spacing w:before="156" w:after="156"/>
        <w:rPr>
          <w:rFonts w:hint="eastAsia" w:ascii="宋体" w:hAnsi="宋体"/>
          <w:b/>
          <w:bCs/>
          <w:sz w:val="24"/>
        </w:rPr>
        <w:outlineLvl w:val="1"/>
      </w:pPr>
      <w:r>
        <w:rPr>
          <w:rFonts w:hint="eastAsia" w:ascii="宋体" w:hAnsi="宋体"/>
          <w:b/>
          <w:bCs/>
          <w:sz w:val="24"/>
        </w:rPr>
      </w:r>
      <w:r/>
    </w:p>
    <w:p>
      <w:pPr>
        <w:pStyle w:val="900"/>
        <w:rPr>
          <w:rFonts w:hint="eastAsia" w:ascii="黑体" w:hAnsi="黑体" w:eastAsia="黑体"/>
          <w:b/>
        </w:rPr>
      </w:pPr>
      <w:r>
        <w:rPr>
          <w:rFonts w:ascii="黑体" w:hAnsi="黑体" w:eastAsia="黑体"/>
          <w:b/>
        </w:rPr>
        <w:br w:type="page" w:clear="all"/>
      </w:r>
      <w:r/>
    </w:p>
    <w:p>
      <w:pPr>
        <w:pStyle w:val="832"/>
        <w:jc w:val="center"/>
        <w:spacing w:before="156" w:after="156" w:line="360" w:lineRule="auto"/>
        <w:rPr>
          <w:rFonts w:hint="eastAsia" w:ascii="黑体" w:hAnsi="黑体" w:eastAsia="黑体"/>
          <w:b w:val="0"/>
        </w:rPr>
      </w:pPr>
      <w:r/>
      <w:bookmarkStart w:id="9" w:name="_Toc162361614"/>
      <w:r>
        <w:rPr>
          <w:rFonts w:ascii="黑体" w:hAnsi="黑体" w:eastAsia="黑体"/>
          <w:b w:val="0"/>
        </w:rPr>
        <w:t xml:space="preserve">第五章</w:t>
      </w:r>
      <w:r>
        <w:rPr>
          <w:rFonts w:hint="eastAsia" w:ascii="黑体" w:hAnsi="黑体" w:eastAsia="黑体"/>
          <w:b w:val="0"/>
        </w:rPr>
        <w:t xml:space="preserve">  评标方法与评标标准</w:t>
      </w:r>
      <w:bookmarkEnd w:id="9"/>
      <w:r/>
      <w:r/>
    </w:p>
    <w:p>
      <w:pPr>
        <w:ind w:firstLine="482"/>
        <w:jc w:val="left"/>
        <w:spacing w:line="500" w:lineRule="exact"/>
        <w:rPr>
          <w:rFonts w:hint="eastAsia" w:asciiTheme="minorEastAsia" w:hAnsiTheme="minorEastAsia"/>
          <w:b/>
          <w:sz w:val="24"/>
          <w:szCs w:val="24"/>
        </w:rPr>
      </w:pPr>
      <w:r>
        <w:rPr>
          <w:rFonts w:hint="eastAsia" w:asciiTheme="minorEastAsia" w:hAnsiTheme="minorEastAsia"/>
          <w:b/>
          <w:sz w:val="24"/>
          <w:szCs w:val="24"/>
        </w:rPr>
      </w:r>
      <w:r/>
    </w:p>
    <w:p>
      <w:pPr>
        <w:ind w:firstLine="482"/>
        <w:jc w:val="left"/>
        <w:spacing w:line="500" w:lineRule="exact"/>
        <w:rPr>
          <w:rFonts w:hint="eastAsia"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投标人三个采购包皆可投，但只可中一个采购包。开标、评标的顺序按照一、二、三采购包依次进行，中标顺序根据评标顺序确定。如投标人采购包一被确定为中标人，采购包二将不推荐为中标候选人，以此类推。</w:t>
      </w:r>
      <w:r/>
    </w:p>
    <w:p>
      <w:pPr>
        <w:ind w:firstLine="482"/>
        <w:jc w:val="left"/>
        <w:spacing w:line="500" w:lineRule="exact"/>
        <w:rPr>
          <w:rFonts w:hint="eastAsia"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（3）总得分=价格分+技术分+商务分。</w:t>
      </w:r>
      <w:r/>
    </w:p>
    <w:p>
      <w:pPr>
        <w:ind w:firstLine="482"/>
        <w:jc w:val="left"/>
        <w:spacing w:line="500" w:lineRule="exact"/>
        <w:rPr>
          <w:rFonts w:hint="eastAsia"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每个采购包评标结果按评审后得分由高到低顺序排列。得分相同的，按投标报价由低到高顺序排列。得分且投标报价相同的并列。评标委员会按照评审得分由高到低顺序推荐1名中标候选人。如投标人采购包一被确定为中标人，采购包二将不推荐为中标候选人，以此类推。</w:t>
      </w:r>
      <w:r/>
    </w:p>
    <w:p>
      <w:pPr>
        <w:ind w:firstLine="480"/>
        <w:jc w:val="left"/>
        <w:spacing w:line="500" w:lineRule="exact"/>
        <w:rPr>
          <w:sz w:val="24"/>
          <w:szCs w:val="24"/>
        </w:rPr>
      </w:pPr>
      <w:r>
        <w:rPr>
          <w:sz w:val="24"/>
          <w:szCs w:val="24"/>
        </w:rPr>
      </w:r>
      <w:r/>
    </w:p>
    <w:p>
      <w:pPr>
        <w:jc w:val="center"/>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采购包1</w:t>
      </w:r>
      <w:r/>
    </w:p>
    <w:p>
      <w:pPr>
        <w:jc w:val="center"/>
        <w:spacing w:line="500" w:lineRule="exact"/>
        <w:rPr>
          <w:rFonts w:hint="eastAsia" w:ascii="黑体" w:hAnsi="黑体" w:eastAsia="黑体"/>
          <w:sz w:val="32"/>
          <w:szCs w:val="24"/>
        </w:rPr>
      </w:pPr>
      <w:r>
        <w:rPr>
          <w:rFonts w:hint="eastAsia" w:ascii="黑体" w:hAnsi="黑体" w:eastAsia="黑体"/>
          <w:sz w:val="32"/>
          <w:szCs w:val="24"/>
        </w:rPr>
      </w:r>
      <w:r/>
    </w:p>
    <w:p>
      <w:pPr>
        <w:jc w:val="center"/>
        <w:spacing w:line="500" w:lineRule="exact"/>
        <w:rPr>
          <w:rFonts w:hint="eastAsia" w:asciiTheme="minorEastAsia" w:hAnsiTheme="minorEastAsia"/>
          <w:b/>
          <w:sz w:val="24"/>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Theme="minorEastAsia" w:hAnsiTheme="minorEastAsia"/>
          <w:b/>
          <w:sz w:val="24"/>
          <w:szCs w:val="24"/>
        </w:rPr>
        <w:t xml:space="preserve">1.价格分（10分）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投标报价得分=（评标基准价/投标报价）×10分。</w:t>
      </w:r>
      <w:r/>
    </w:p>
    <w:p>
      <w:pPr>
        <w:ind w:firstLine="480"/>
        <w:jc w:val="left"/>
        <w:spacing w:line="500" w:lineRule="exact"/>
        <w:rPr>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2.商务分（70分）</w:t>
      </w:r>
      <w:r/>
    </w:p>
    <w:tbl>
      <w:tblPr>
        <w:tblStyle w:val="842"/>
        <w:tblW w:w="84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5"/>
        <w:gridCol w:w="6347"/>
      </w:tblGrid>
      <w:tr>
        <w:trPr>
          <w:jc w:val="center"/>
          <w:trHeight w:val="621"/>
        </w:trPr>
        <w:tc>
          <w:tcPr>
            <w:tcW w:w="205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评审因素</w:t>
            </w:r>
            <w:r/>
          </w:p>
        </w:tc>
        <w:tc>
          <w:tcPr>
            <w:tcW w:w="634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评审标准</w:t>
            </w:r>
            <w:r/>
          </w:p>
        </w:tc>
      </w:tr>
      <w:tr>
        <w:trPr>
          <w:jc w:val="center"/>
          <w:trHeight w:val="621"/>
        </w:trPr>
        <w:tc>
          <w:tcPr>
            <w:tcW w:w="20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履约能力</w:t>
            </w:r>
            <w:r/>
          </w:p>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（18分）</w:t>
            </w:r>
            <w:r/>
          </w:p>
        </w:tc>
        <w:tc>
          <w:tcPr>
            <w:tcW w:w="6347" w:type="dxa"/>
            <w:vAlign w:val="center"/>
            <w:textDirection w:val="lrTb"/>
            <w:noWrap w:val="false"/>
          </w:tcPr>
          <w:p>
            <w:pPr>
              <w:spacing w:line="500" w:lineRule="exact"/>
              <w:rPr>
                <w:rFonts w:hint="eastAsia" w:ascii="宋体" w:hAnsi="宋体" w:eastAsia="宋体" w:cs="宋体"/>
                <w:sz w:val="24"/>
                <w:szCs w:val="24"/>
              </w:rPr>
            </w:pPr>
            <w:r>
              <w:rPr>
                <w:rFonts w:hint="eastAsia" w:ascii="宋体" w:hAnsi="宋体" w:eastAsia="宋体" w:cs="宋体"/>
                <w:color w:val="000000"/>
                <w:sz w:val="24"/>
                <w:szCs w:val="24"/>
              </w:rPr>
              <w:t xml:space="preserve">1.投标人具有质量管理体系认证证书的</w:t>
            </w:r>
            <w:r>
              <w:rPr>
                <w:rFonts w:hint="eastAsia" w:ascii="宋体" w:hAnsi="宋体" w:eastAsia="宋体" w:cs="宋体"/>
                <w:b/>
                <w:bCs/>
                <w:color w:val="000000"/>
                <w:sz w:val="24"/>
                <w:szCs w:val="24"/>
              </w:rPr>
              <w:t xml:space="preserve">得6分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2.投标人具有职业健康安全管理体系认证证书的</w:t>
            </w:r>
            <w:r>
              <w:rPr>
                <w:rFonts w:hint="eastAsia" w:ascii="宋体" w:hAnsi="宋体" w:eastAsia="宋体" w:cs="宋体"/>
                <w:b/>
                <w:bCs/>
                <w:color w:val="000000"/>
                <w:sz w:val="24"/>
                <w:szCs w:val="24"/>
              </w:rPr>
              <w:t xml:space="preserve">得6分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3.投标人具有环境管理体系认证证书的</w:t>
            </w:r>
            <w:r>
              <w:rPr>
                <w:rFonts w:hint="eastAsia" w:ascii="宋体" w:hAnsi="宋体" w:eastAsia="宋体" w:cs="宋体"/>
                <w:b/>
                <w:bCs/>
                <w:color w:val="000000"/>
                <w:sz w:val="24"/>
                <w:szCs w:val="24"/>
              </w:rPr>
              <w:t xml:space="preserve">得6分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br/>
            </w:r>
            <w:r>
              <w:rPr>
                <w:rFonts w:hint="eastAsia" w:ascii="宋体" w:hAnsi="宋体" w:eastAsia="宋体" w:cs="宋体"/>
                <w:b/>
                <w:bCs/>
                <w:color w:val="000000"/>
                <w:sz w:val="24"/>
                <w:szCs w:val="24"/>
              </w:rPr>
              <w:t xml:space="preserve">（上述1-3项投标文件中须同时提供：（1）有效证书扫描件；（2）中国国家认证认可监督管理委员会的认证信息查询系统(http://www.cnca.gov.cn)或中国合格评定国家认可委员会查询系统(https://www.cnas.org.cn)的网站查询截图，并加盖投标人公章，截图中公示状态须为“有效”。上述证明材料未提供、缺项、证书中信息与网页截图不一致的均不得分）</w:t>
            </w:r>
            <w:r/>
          </w:p>
        </w:tc>
      </w:tr>
      <w:tr>
        <w:trPr>
          <w:jc w:val="center"/>
          <w:trHeight w:val="621"/>
        </w:trPr>
        <w:tc>
          <w:tcPr>
            <w:tcW w:w="20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项目组成员</w:t>
            </w:r>
            <w:r/>
          </w:p>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（24分）</w:t>
            </w:r>
            <w:r/>
          </w:p>
        </w:tc>
        <w:tc>
          <w:tcPr>
            <w:tcW w:w="6347" w:type="dxa"/>
            <w:vAlign w:val="center"/>
            <w:textDirection w:val="lrTb"/>
            <w:noWrap w:val="false"/>
          </w:tcPr>
          <w:p>
            <w:pPr>
              <w:jc w:val="left"/>
              <w:spacing w:line="500" w:lineRule="exact"/>
              <w:rPr>
                <w:rFonts w:hint="eastAsia" w:ascii="宋体" w:hAnsi="宋体" w:eastAsia="宋体" w:cs="宋体"/>
                <w:sz w:val="24"/>
                <w:szCs w:val="24"/>
              </w:rPr>
            </w:pPr>
            <w:r>
              <w:rPr>
                <w:rFonts w:hint="eastAsia" w:ascii="宋体" w:hAnsi="宋体" w:eastAsia="宋体" w:cs="宋体"/>
                <w:color w:val="000000"/>
                <w:sz w:val="24"/>
                <w:szCs w:val="24"/>
              </w:rPr>
              <w:t xml:space="preserve">1.拟派项目负责人具有通信工程专业高级工程师证书的</w:t>
            </w:r>
            <w:r>
              <w:rPr>
                <w:rFonts w:hint="eastAsia" w:ascii="宋体" w:hAnsi="宋体" w:eastAsia="宋体" w:cs="宋体"/>
                <w:b w:val="0"/>
                <w:bCs w:val="0"/>
                <w:color w:val="000000"/>
                <w:sz w:val="24"/>
                <w:szCs w:val="24"/>
              </w:rPr>
              <w:t xml:space="preserve">得</w:t>
            </w: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rPr>
              <w:t xml:space="preserve">分；具有通信工程专业的中级工程师证书的得2分</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本项最高得</w:t>
            </w: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分</w:t>
            </w:r>
            <w:r>
              <w:rPr>
                <w:rFonts w:hint="eastAsia" w:ascii="宋体" w:hAnsi="宋体" w:eastAsia="宋体" w:cs="宋体"/>
                <w:color w:val="000000"/>
                <w:sz w:val="24"/>
                <w:szCs w:val="24"/>
              </w:rPr>
              <w:t xml:space="preserve">。（同时具有按最高得分）</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2.拟派项目负责人具有网络安全架构师（高级）证书的</w:t>
            </w:r>
            <w:r>
              <w:rPr>
                <w:rFonts w:hint="eastAsia" w:ascii="宋体" w:hAnsi="宋体" w:eastAsia="宋体" w:cs="宋体"/>
                <w:b w:val="0"/>
                <w:bCs w:val="0"/>
                <w:color w:val="000000"/>
                <w:sz w:val="24"/>
                <w:szCs w:val="24"/>
              </w:rPr>
              <w:t xml:space="preserve">得</w:t>
            </w: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rPr>
              <w:t xml:space="preserve">分，具有网络安全架构师（中级）证书的得2分</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本项</w:t>
            </w:r>
            <w:r>
              <w:rPr>
                <w:rFonts w:hint="eastAsia" w:ascii="宋体" w:hAnsi="宋体" w:eastAsia="宋体" w:cs="宋体"/>
                <w:b/>
                <w:bCs/>
                <w:color w:val="000000"/>
                <w:sz w:val="24"/>
                <w:szCs w:val="24"/>
              </w:rPr>
              <w:t xml:space="preserve">最</w:t>
            </w:r>
            <w:r>
              <w:rPr>
                <w:rFonts w:hint="eastAsia" w:ascii="宋体" w:hAnsi="宋体" w:eastAsia="宋体" w:cs="宋体"/>
                <w:b/>
                <w:bCs/>
                <w:color w:val="000000"/>
                <w:sz w:val="24"/>
                <w:szCs w:val="24"/>
              </w:rPr>
              <w:t xml:space="preserve">高得</w:t>
            </w: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分</w:t>
            </w:r>
            <w:r>
              <w:rPr>
                <w:rFonts w:hint="eastAsia" w:ascii="宋体" w:hAnsi="宋体" w:eastAsia="宋体" w:cs="宋体"/>
                <w:color w:val="000000"/>
                <w:sz w:val="24"/>
                <w:szCs w:val="24"/>
              </w:rPr>
              <w:t xml:space="preserve">。（同时具有按最高得分）</w:t>
            </w:r>
            <w:r>
              <w:rPr>
                <w:rFonts w:hint="eastAsia" w:ascii="宋体" w:hAnsi="宋体" w:eastAsia="宋体" w:cs="宋体"/>
                <w:color w:val="000000"/>
                <w:sz w:val="24"/>
                <w:szCs w:val="24"/>
                <w:highlight w:val="yellow"/>
              </w:rPr>
              <w:br/>
            </w:r>
            <w:r>
              <w:rPr>
                <w:rFonts w:hint="eastAsia" w:ascii="宋体" w:hAnsi="宋体" w:eastAsia="宋体" w:cs="宋体"/>
                <w:color w:val="000000"/>
                <w:sz w:val="24"/>
                <w:szCs w:val="24"/>
              </w:rPr>
              <w:t xml:space="preserve">3.拟派项目负责人具有注册信息安全专业人员证书的</w:t>
            </w:r>
            <w:r>
              <w:rPr>
                <w:rFonts w:hint="eastAsia" w:ascii="宋体" w:hAnsi="宋体" w:eastAsia="宋体" w:cs="宋体"/>
                <w:b/>
                <w:bCs/>
                <w:color w:val="000000"/>
                <w:sz w:val="24"/>
                <w:szCs w:val="24"/>
              </w:rPr>
              <w:t xml:space="preserve">得</w:t>
            </w: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4.拟派项目团队成员（不包含项目负责人）中具有网络与信息安全工程师证书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高级工程师证书、高级网络工程师证书的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每提供一类证书得3分，</w:t>
            </w:r>
            <w:r>
              <w:rPr>
                <w:rFonts w:hint="eastAsia" w:ascii="宋体" w:hAnsi="宋体" w:eastAsia="宋体" w:cs="宋体"/>
                <w:b/>
                <w:bCs/>
                <w:color w:val="000000"/>
                <w:sz w:val="24"/>
                <w:szCs w:val="24"/>
                <w:lang w:val="en-US" w:eastAsia="zh-CN"/>
              </w:rPr>
              <w:t xml:space="preserve">最高</w:t>
            </w:r>
            <w:r>
              <w:rPr>
                <w:rFonts w:hint="eastAsia" w:ascii="宋体" w:hAnsi="宋体" w:eastAsia="宋体" w:cs="宋体"/>
                <w:b/>
                <w:bCs/>
                <w:color w:val="000000"/>
                <w:sz w:val="24"/>
                <w:szCs w:val="24"/>
              </w:rPr>
              <w:t xml:space="preserve">得</w:t>
            </w:r>
            <w:r>
              <w:rPr>
                <w:rFonts w:hint="eastAsia" w:ascii="宋体" w:hAnsi="宋体" w:eastAsia="宋体" w:cs="宋体"/>
                <w:b/>
                <w:bCs/>
                <w:color w:val="000000"/>
                <w:sz w:val="24"/>
                <w:szCs w:val="24"/>
                <w:lang w:val="en-US" w:eastAsia="zh-CN"/>
              </w:rPr>
              <w:t xml:space="preserve">9</w:t>
            </w:r>
            <w:r>
              <w:rPr>
                <w:rFonts w:hint="eastAsia" w:ascii="宋体" w:hAnsi="宋体" w:eastAsia="宋体" w:cs="宋体"/>
                <w:b/>
                <w:bCs/>
                <w:color w:val="000000"/>
                <w:sz w:val="24"/>
                <w:szCs w:val="24"/>
              </w:rPr>
              <w:t xml:space="preserve">分。</w:t>
            </w:r>
            <w:r>
              <w:rPr>
                <w:rFonts w:hint="eastAsia" w:ascii="宋体" w:hAnsi="宋体" w:eastAsia="宋体" w:cs="宋体"/>
                <w:color w:val="000000"/>
                <w:sz w:val="24"/>
                <w:szCs w:val="24"/>
              </w:rPr>
              <w:br/>
            </w:r>
            <w:r>
              <w:rPr>
                <w:rFonts w:hint="eastAsia" w:ascii="宋体" w:hAnsi="宋体" w:eastAsia="宋体" w:cs="宋体"/>
                <w:b/>
                <w:bCs/>
                <w:color w:val="000000"/>
                <w:sz w:val="24"/>
                <w:szCs w:val="24"/>
              </w:rPr>
              <w:t xml:space="preserve">（上述1-4项投标文件中提供有效相关证书及2026年1月至今任意1个月由投标人为其缴纳的社保证明材料扫描件，并加盖投标人公章，否则不得分）</w:t>
            </w:r>
            <w:r/>
          </w:p>
        </w:tc>
      </w:tr>
      <w:tr>
        <w:trPr>
          <w:jc w:val="center"/>
          <w:trHeight w:val="621"/>
        </w:trPr>
        <w:tc>
          <w:tcPr>
            <w:tcW w:w="20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业绩</w:t>
            </w:r>
            <w:r/>
          </w:p>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（20分）</w:t>
            </w:r>
            <w:r/>
          </w:p>
        </w:tc>
        <w:tc>
          <w:tcPr>
            <w:tcW w:w="6347" w:type="dxa"/>
            <w:vAlign w:val="center"/>
            <w:textDirection w:val="lrTb"/>
            <w:noWrap w:val="false"/>
          </w:tcPr>
          <w:p>
            <w:pPr>
              <w:jc w:val="left"/>
              <w:spacing w:line="500" w:lineRule="exact"/>
              <w:rPr>
                <w:rFonts w:hint="eastAsia" w:ascii="宋体" w:hAnsi="宋体" w:eastAsia="宋体" w:cs="宋体"/>
                <w:sz w:val="24"/>
                <w:szCs w:val="24"/>
              </w:rPr>
            </w:pPr>
            <w:r>
              <w:rPr>
                <w:rFonts w:hint="eastAsia" w:ascii="宋体" w:hAnsi="宋体" w:eastAsia="宋体" w:cs="宋体"/>
                <w:color w:val="000000"/>
                <w:sz w:val="24"/>
                <w:szCs w:val="24"/>
              </w:rPr>
              <w:t xml:space="preserve">自2022年1月1日以来，投标人具有类似项目业绩（合同内容至少包含互联网专线或数据专线）的，每提供一个得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b/>
                <w:bCs/>
                <w:color w:val="000000"/>
                <w:sz w:val="24"/>
                <w:szCs w:val="24"/>
              </w:rPr>
              <w:t xml:space="preserve">最高得20分。</w:t>
            </w:r>
            <w:r>
              <w:rPr>
                <w:rFonts w:hint="eastAsia" w:ascii="宋体" w:hAnsi="宋体" w:eastAsia="宋体" w:cs="宋体"/>
                <w:color w:val="000000"/>
                <w:sz w:val="24"/>
                <w:szCs w:val="24"/>
              </w:rPr>
              <w:br/>
            </w:r>
            <w:r>
              <w:rPr>
                <w:rFonts w:hint="eastAsia" w:ascii="宋体" w:hAnsi="宋体" w:eastAsia="宋体" w:cs="宋体"/>
                <w:b/>
                <w:bCs/>
                <w:color w:val="000000"/>
                <w:sz w:val="24"/>
                <w:szCs w:val="24"/>
              </w:rPr>
              <w:t xml:space="preserve">（投标文件提供合同扫描件并加盖投标人公章，时间、标的内容以合同为准）</w:t>
            </w:r>
            <w:r/>
          </w:p>
        </w:tc>
      </w:tr>
      <w:tr>
        <w:trPr>
          <w:jc w:val="center"/>
          <w:trHeight w:val="621"/>
        </w:trPr>
        <w:tc>
          <w:tcPr>
            <w:tcW w:w="20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响应时间</w:t>
            </w:r>
            <w:r/>
          </w:p>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（8分）</w:t>
            </w:r>
            <w:r/>
          </w:p>
        </w:tc>
        <w:tc>
          <w:tcPr>
            <w:tcW w:w="6347" w:type="dxa"/>
            <w:vAlign w:val="center"/>
            <w:textDirection w:val="lrTb"/>
            <w:noWrap w:val="false"/>
          </w:tcPr>
          <w:p>
            <w:pPr>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在服务期内，无法远程解决传输数据专线问题时，投标人承诺项目服务团队人员在半小时内到现场解决的</w:t>
            </w:r>
            <w:r>
              <w:rPr>
                <w:rFonts w:hint="eastAsia" w:ascii="宋体" w:hAnsi="宋体" w:eastAsia="宋体" w:cs="宋体"/>
                <w:b/>
                <w:bCs/>
                <w:color w:val="000000"/>
                <w:sz w:val="24"/>
                <w:szCs w:val="24"/>
              </w:rPr>
              <w:t xml:space="preserve">得8分。</w:t>
            </w:r>
            <w:r/>
          </w:p>
          <w:p>
            <w:pPr>
              <w:jc w:val="left"/>
              <w:spacing w:line="500" w:lineRule="exact"/>
              <w:rPr>
                <w:rFonts w:hint="eastAsia" w:ascii="宋体" w:hAnsi="宋体" w:eastAsia="宋体" w:cs="宋体"/>
                <w:b/>
                <w:sz w:val="24"/>
                <w:szCs w:val="24"/>
              </w:rPr>
            </w:pPr>
            <w:r>
              <w:rPr>
                <w:rFonts w:hint="eastAsia" w:ascii="宋体" w:hAnsi="宋体" w:eastAsia="宋体" w:cs="宋体"/>
                <w:b/>
                <w:bCs/>
                <w:color w:val="000000"/>
                <w:sz w:val="24"/>
                <w:szCs w:val="24"/>
              </w:rPr>
              <w:t xml:space="preserve">（投标文件中提供承诺函并加盖投标人公章，格式自拟，须明确承诺内容，否则不得分）</w:t>
            </w:r>
            <w:r/>
          </w:p>
        </w:tc>
      </w:tr>
    </w:tbl>
    <w:p>
      <w:pPr>
        <w:ind w:firstLine="482"/>
        <w:jc w:val="left"/>
        <w:spacing w:line="360" w:lineRule="auto"/>
        <w:rPr>
          <w:rFonts w:hint="eastAsia" w:ascii="宋体" w:hAnsi="宋体" w:cs="宋体"/>
          <w:b/>
          <w:sz w:val="24"/>
          <w:szCs w:val="24"/>
          <w:highlight w:val="yellow"/>
        </w:rPr>
      </w:pPr>
      <w:r>
        <w:rPr>
          <w:rFonts w:hint="eastAsia" w:ascii="宋体" w:hAnsi="宋体" w:eastAsia="宋体" w:cs="宋体"/>
          <w:b/>
          <w:sz w:val="24"/>
          <w:szCs w:val="24"/>
        </w:rPr>
        <w:t xml:space="preserve">3.技术分（20分）（本部分</w:t>
      </w:r>
      <w:r>
        <w:rPr>
          <w:rFonts w:hint="eastAsia" w:ascii="宋体" w:hAnsi="宋体" w:cs="Calibri"/>
          <w:b/>
          <w:color w:val="000000"/>
          <w:sz w:val="24"/>
          <w:szCs w:val="24"/>
        </w:rPr>
        <w:t xml:space="preserve">采用暗标方式进行评审）</w:t>
      </w:r>
      <w:r/>
    </w:p>
    <w:tbl>
      <w:tblPr>
        <w:tblStyle w:val="842"/>
        <w:tblW w:w="84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4"/>
        <w:gridCol w:w="6459"/>
      </w:tblGrid>
      <w:tr>
        <w:trPr>
          <w:jc w:val="center"/>
          <w:trHeight w:val="621"/>
        </w:trPr>
        <w:tc>
          <w:tcPr>
            <w:tcW w:w="195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评审因素</w:t>
            </w:r>
            <w:r/>
          </w:p>
        </w:tc>
        <w:tc>
          <w:tcPr>
            <w:tcW w:w="645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评审标准</w:t>
            </w:r>
            <w:r/>
          </w:p>
        </w:tc>
      </w:tr>
      <w:tr>
        <w:trPr>
          <w:jc w:val="center"/>
          <w:trHeight w:val="621"/>
        </w:trPr>
        <w:tc>
          <w:tcPr>
            <w:tcW w:w="1954" w:type="dxa"/>
            <w:vAlign w:val="center"/>
            <w:textDirection w:val="lrTb"/>
            <w:noWrap w:val="false"/>
          </w:tcPr>
          <w:p>
            <w:pPr>
              <w:jc w:val="center"/>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项目理解程度和重难点分析</w:t>
            </w:r>
            <w:r/>
          </w:p>
          <w:p>
            <w:pPr>
              <w:jc w:val="center"/>
              <w:spacing w:line="5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（5分）</w:t>
            </w:r>
            <w:r/>
          </w:p>
        </w:tc>
        <w:tc>
          <w:tcPr>
            <w:tcW w:w="6459" w:type="dxa"/>
            <w:vAlign w:val="center"/>
            <w:textDirection w:val="lrTb"/>
            <w:noWrap w:val="false"/>
          </w:tcPr>
          <w:p>
            <w:pPr>
              <w:jc w:val="left"/>
              <w:spacing w:line="500" w:lineRule="exact"/>
              <w:rPr>
                <w:rFonts w:hint="eastAsia" w:ascii="宋体" w:hAnsi="宋体" w:eastAsia="宋体" w:cs="宋体"/>
                <w:sz w:val="24"/>
                <w:szCs w:val="24"/>
              </w:rPr>
            </w:pPr>
            <w:r>
              <w:rPr>
                <w:rFonts w:hint="eastAsia" w:ascii="宋体" w:hAnsi="宋体" w:eastAsia="宋体" w:cs="宋体"/>
                <w:color w:val="000000"/>
                <w:sz w:val="24"/>
                <w:szCs w:val="24"/>
              </w:rPr>
              <w:t xml:space="preserve">投标人结合项目需求编制对项目理解程度和重难点分析方案。方案包含但不限于项目建设目标与任务、对本项目的理解、项目实施过程中的关键点以及相应的解决思路、方法等。</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内容详细合理，关键点把握到位，有深入的分析研究，分析透彻，对应措施解决方案切实可行的</w:t>
            </w:r>
            <w:r>
              <w:rPr>
                <w:rFonts w:hint="eastAsia" w:ascii="宋体" w:hAnsi="宋体" w:eastAsia="宋体" w:cs="宋体"/>
                <w:b/>
                <w:bCs/>
                <w:color w:val="000000"/>
                <w:sz w:val="24"/>
                <w:szCs w:val="24"/>
              </w:rPr>
              <w:t xml:space="preserve">得5分。</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内容较详细合理，重难点把握较到位，分析较透彻，对应解决方案较切实可行的</w:t>
            </w:r>
            <w:r>
              <w:rPr>
                <w:rFonts w:hint="eastAsia" w:ascii="宋体" w:hAnsi="宋体" w:eastAsia="宋体" w:cs="宋体"/>
                <w:b/>
                <w:bCs/>
                <w:color w:val="000000"/>
                <w:sz w:val="24"/>
                <w:szCs w:val="24"/>
              </w:rPr>
              <w:t xml:space="preserve">得4分。</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内容较简单，重难点阐述合理性一般，对应解决方案切实可行一般的</w:t>
            </w:r>
            <w:r>
              <w:rPr>
                <w:rFonts w:hint="eastAsia" w:ascii="宋体" w:hAnsi="宋体" w:eastAsia="宋体" w:cs="宋体"/>
                <w:b/>
                <w:bCs/>
                <w:color w:val="000000"/>
                <w:sz w:val="24"/>
                <w:szCs w:val="24"/>
              </w:rPr>
              <w:t xml:space="preserve">得3分。</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内容简单粗糙，重难点把握不到位，对应措施解决方案切实可行一般的</w:t>
            </w:r>
            <w:r>
              <w:rPr>
                <w:rFonts w:hint="eastAsia" w:ascii="宋体" w:hAnsi="宋体" w:eastAsia="宋体" w:cs="宋体"/>
                <w:b/>
                <w:bCs/>
                <w:color w:val="000000"/>
                <w:sz w:val="24"/>
                <w:szCs w:val="24"/>
              </w:rPr>
              <w:t xml:space="preserve">得2分。</w:t>
            </w:r>
            <w:r>
              <w:rPr>
                <w:rFonts w:hint="eastAsia" w:ascii="宋体" w:hAnsi="宋体" w:eastAsia="宋体" w:cs="宋体"/>
                <w:color w:val="000000"/>
                <w:sz w:val="24"/>
                <w:szCs w:val="24"/>
              </w:rPr>
              <w:br/>
            </w:r>
            <w:r>
              <w:rPr>
                <w:rFonts w:hint="eastAsia" w:ascii="宋体" w:hAnsi="宋体" w:eastAsia="宋体" w:cs="宋体"/>
                <w:b/>
                <w:bCs/>
                <w:color w:val="000000"/>
                <w:sz w:val="24"/>
                <w:szCs w:val="24"/>
              </w:rPr>
              <w:t xml:space="preserve">该项未见阐述不得分。</w:t>
            </w:r>
            <w:r/>
          </w:p>
        </w:tc>
      </w:tr>
      <w:tr>
        <w:trPr>
          <w:jc w:val="center"/>
          <w:trHeight w:val="621"/>
        </w:trPr>
        <w:tc>
          <w:tcPr>
            <w:tcW w:w="1954" w:type="dxa"/>
            <w:vAlign w:val="center"/>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项目实施方案</w:t>
            </w:r>
            <w:r/>
          </w:p>
          <w:p>
            <w:pPr>
              <w:jc w:val="center"/>
              <w:spacing w:line="500" w:lineRule="exact"/>
              <w:rPr>
                <w:rFonts w:hint="eastAsia" w:ascii="宋体" w:hAnsi="宋体" w:eastAsia="宋体" w:cs="宋体"/>
                <w:sz w:val="24"/>
                <w:szCs w:val="24"/>
              </w:rPr>
            </w:pPr>
            <w:r>
              <w:rPr>
                <w:rFonts w:hint="eastAsia" w:ascii="宋体" w:hAnsi="宋体" w:eastAsia="宋体" w:cs="宋体"/>
                <w:color w:val="000000"/>
                <w:sz w:val="24"/>
                <w:szCs w:val="24"/>
              </w:rPr>
              <w:t xml:space="preserve">（5分）</w:t>
            </w:r>
            <w:r/>
          </w:p>
        </w:tc>
        <w:tc>
          <w:tcPr>
            <w:tcW w:w="6459" w:type="dxa"/>
            <w:vAlign w:val="center"/>
            <w:textDirection w:val="lrTb"/>
            <w:noWrap w:val="false"/>
          </w:tcPr>
          <w:p>
            <w:pPr>
              <w:jc w:val="left"/>
              <w:spacing w:line="500" w:lineRule="exact"/>
              <w:rPr>
                <w:rFonts w:hint="eastAsia" w:ascii="宋体" w:hAnsi="宋体" w:eastAsia="宋体" w:cs="宋体"/>
                <w:sz w:val="24"/>
                <w:szCs w:val="24"/>
              </w:rPr>
            </w:pPr>
            <w:r>
              <w:rPr>
                <w:rFonts w:hint="eastAsia" w:ascii="宋体" w:hAnsi="宋体" w:eastAsia="宋体" w:cs="宋体"/>
                <w:color w:val="000000"/>
                <w:sz w:val="24"/>
                <w:szCs w:val="24"/>
              </w:rPr>
              <w:t xml:space="preserve">投标人结合项目需求提供本项目的组织实施方案，内容包括但不限于组织和实施流程、服务完善程度、建设进度安排、各岗位人员职责等内容。</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方案包含上述全部内容，实施流程清晰，进度计划内容详细，服务措施完善，可操作性强，能够满足或优于本项目需求的</w:t>
            </w:r>
            <w:r>
              <w:rPr>
                <w:rFonts w:hint="eastAsia" w:ascii="宋体" w:hAnsi="宋体" w:eastAsia="宋体" w:cs="宋体"/>
                <w:b/>
                <w:bCs/>
                <w:color w:val="000000"/>
                <w:sz w:val="24"/>
                <w:szCs w:val="24"/>
              </w:rPr>
              <w:t xml:space="preserve">得5分。</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方案包含上述全部内容，流程较清晰，进度计划内容较详细，服务流程较完善，可操作性较强，较能够满足本项目需求的</w:t>
            </w:r>
            <w:r>
              <w:rPr>
                <w:rFonts w:hint="eastAsia" w:ascii="宋体" w:hAnsi="宋体" w:eastAsia="宋体" w:cs="宋体"/>
                <w:b/>
                <w:bCs/>
                <w:color w:val="000000"/>
                <w:sz w:val="24"/>
                <w:szCs w:val="24"/>
              </w:rPr>
              <w:t xml:space="preserve">得4分。</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方案包含上述全部内容，流程简单，进度计划内容不够详细，服务流程完善度一般，可操作性一般，较能够满足本项目需求的</w:t>
            </w:r>
            <w:r>
              <w:rPr>
                <w:rFonts w:hint="eastAsia" w:ascii="宋体" w:hAnsi="宋体" w:eastAsia="宋体" w:cs="宋体"/>
                <w:b/>
                <w:bCs/>
                <w:color w:val="000000"/>
                <w:sz w:val="24"/>
                <w:szCs w:val="24"/>
              </w:rPr>
              <w:t xml:space="preserve">得3分。</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上述内容有缺项，内容合理性一般，措施简单粗糙，可操作性不强，基本能够满足本项目需求的</w:t>
            </w:r>
            <w:r>
              <w:rPr>
                <w:rFonts w:hint="eastAsia" w:ascii="宋体" w:hAnsi="宋体" w:eastAsia="宋体" w:cs="宋体"/>
                <w:b/>
                <w:bCs/>
                <w:color w:val="000000"/>
                <w:sz w:val="24"/>
                <w:szCs w:val="24"/>
              </w:rPr>
              <w:t xml:space="preserve">得2分。</w:t>
            </w:r>
            <w:r>
              <w:rPr>
                <w:rFonts w:hint="eastAsia" w:ascii="宋体" w:hAnsi="宋体" w:eastAsia="宋体" w:cs="宋体"/>
                <w:color w:val="000000"/>
                <w:sz w:val="24"/>
                <w:szCs w:val="24"/>
              </w:rPr>
              <w:br/>
            </w:r>
            <w:r>
              <w:rPr>
                <w:rFonts w:hint="eastAsia" w:ascii="宋体" w:hAnsi="宋体" w:eastAsia="宋体" w:cs="宋体"/>
                <w:b/>
                <w:bCs/>
                <w:color w:val="000000"/>
                <w:sz w:val="24"/>
                <w:szCs w:val="24"/>
              </w:rPr>
              <w:t xml:space="preserve">该项未见阐述不得分。</w:t>
            </w:r>
            <w:r/>
          </w:p>
        </w:tc>
      </w:tr>
      <w:tr>
        <w:trPr>
          <w:jc w:val="center"/>
          <w:trHeight w:val="621"/>
        </w:trPr>
        <w:tc>
          <w:tcPr>
            <w:tcW w:w="1954" w:type="dxa"/>
            <w:vAlign w:val="center"/>
            <w:textDirection w:val="lrTb"/>
            <w:noWrap w:val="false"/>
          </w:tcPr>
          <w:p>
            <w:pPr>
              <w:jc w:val="center"/>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维护服务方案</w:t>
            </w:r>
            <w:r/>
          </w:p>
          <w:p>
            <w:pPr>
              <w:jc w:val="center"/>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（5分）</w:t>
            </w:r>
            <w:r/>
          </w:p>
        </w:tc>
        <w:tc>
          <w:tcPr>
            <w:tcW w:w="6459" w:type="dxa"/>
            <w:vAlign w:val="center"/>
            <w:textDirection w:val="lrTb"/>
            <w:noWrap w:val="false"/>
          </w:tcPr>
          <w:p>
            <w:pPr>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投标人结合项目需求提供维护服务方案，内容包括但不限于维护服务、响应时间、故障处理、恢复时效、支撑保障等。</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维护服务优于或贴合项目需求，阐述详细，流程清晰，响应时间及故障处理及时，支撑保障措施完善的</w:t>
            </w:r>
            <w:r>
              <w:rPr>
                <w:rFonts w:hint="eastAsia" w:ascii="宋体" w:hAnsi="宋体" w:eastAsia="宋体" w:cs="宋体"/>
                <w:b/>
                <w:bCs/>
                <w:color w:val="000000"/>
                <w:sz w:val="24"/>
                <w:szCs w:val="24"/>
              </w:rPr>
              <w:t xml:space="preserve">得5分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维护服务较贴合项目需求，阐述较详细，流程较清晰，响应时间及故障处理较及时，支撑保障措施较完善的</w:t>
            </w:r>
            <w:r>
              <w:rPr>
                <w:rFonts w:hint="eastAsia" w:ascii="宋体" w:hAnsi="宋体" w:eastAsia="宋体" w:cs="宋体"/>
                <w:b/>
                <w:bCs/>
                <w:color w:val="000000"/>
                <w:sz w:val="24"/>
                <w:szCs w:val="24"/>
              </w:rPr>
              <w:t xml:space="preserve">得4分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维护服务基本贴合项目需求，阐述不够详细，流程清晰性一般，响应时间及故障处理符合要求，支撑保障措施完善性一般的</w:t>
            </w:r>
            <w:r>
              <w:rPr>
                <w:rFonts w:hint="eastAsia" w:ascii="宋体" w:hAnsi="宋体" w:eastAsia="宋体" w:cs="宋体"/>
                <w:b/>
                <w:bCs/>
                <w:color w:val="000000"/>
                <w:sz w:val="24"/>
                <w:szCs w:val="24"/>
              </w:rPr>
              <w:t xml:space="preserve">得3分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方案与项目需求有偏差，内容简单粗糙，支撑保障措施及可实施性一般的</w:t>
            </w:r>
            <w:r>
              <w:rPr>
                <w:rFonts w:hint="eastAsia" w:ascii="宋体" w:hAnsi="宋体" w:eastAsia="宋体" w:cs="宋体"/>
                <w:b/>
                <w:bCs/>
                <w:color w:val="000000"/>
                <w:sz w:val="24"/>
                <w:szCs w:val="24"/>
              </w:rPr>
              <w:t xml:space="preserve">得2分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br/>
            </w:r>
            <w:r>
              <w:rPr>
                <w:rFonts w:hint="eastAsia" w:ascii="宋体" w:hAnsi="宋体" w:eastAsia="宋体" w:cs="宋体"/>
                <w:b/>
                <w:bCs/>
                <w:color w:val="000000"/>
                <w:sz w:val="24"/>
                <w:szCs w:val="24"/>
              </w:rPr>
              <w:t xml:space="preserve">该项未见阐述不得分</w:t>
            </w:r>
            <w:r>
              <w:rPr>
                <w:rFonts w:hint="eastAsia" w:ascii="宋体" w:hAnsi="宋体" w:eastAsia="宋体" w:cs="宋体"/>
                <w:color w:val="000000"/>
                <w:sz w:val="24"/>
                <w:szCs w:val="24"/>
              </w:rPr>
              <w:t xml:space="preserve">。</w:t>
            </w:r>
            <w:r/>
          </w:p>
        </w:tc>
      </w:tr>
      <w:tr>
        <w:trPr>
          <w:jc w:val="center"/>
          <w:trHeight w:val="621"/>
        </w:trPr>
        <w:tc>
          <w:tcPr>
            <w:tcW w:w="1954" w:type="dxa"/>
            <w:vAlign w:val="center"/>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培训方案</w:t>
            </w:r>
            <w:r/>
          </w:p>
          <w:p>
            <w:pPr>
              <w:jc w:val="center"/>
              <w:spacing w:line="500" w:lineRule="exact"/>
              <w:rPr>
                <w:rFonts w:hint="eastAsia" w:ascii="宋体" w:hAnsi="宋体" w:eastAsia="宋体" w:cs="宋体"/>
                <w:sz w:val="24"/>
                <w:szCs w:val="24"/>
              </w:rPr>
            </w:pPr>
            <w:r>
              <w:rPr>
                <w:rFonts w:hint="eastAsia" w:ascii="宋体" w:hAnsi="宋体" w:eastAsia="宋体" w:cs="宋体"/>
                <w:color w:val="000000"/>
                <w:sz w:val="24"/>
                <w:szCs w:val="24"/>
              </w:rPr>
              <w:t xml:space="preserve">（5分）</w:t>
            </w:r>
            <w:r/>
          </w:p>
        </w:tc>
        <w:tc>
          <w:tcPr>
            <w:tcW w:w="6459" w:type="dxa"/>
            <w:vAlign w:val="center"/>
            <w:textDirection w:val="lrTb"/>
            <w:noWrap w:val="false"/>
          </w:tcPr>
          <w:p>
            <w:pPr>
              <w:jc w:val="left"/>
              <w:spacing w:line="500" w:lineRule="exact"/>
              <w:rPr>
                <w:rFonts w:hint="eastAsia" w:ascii="宋体" w:hAnsi="宋体" w:eastAsia="宋体" w:cs="宋体"/>
                <w:sz w:val="24"/>
                <w:szCs w:val="24"/>
              </w:rPr>
            </w:pPr>
            <w:r>
              <w:rPr>
                <w:rFonts w:hint="eastAsia" w:ascii="宋体" w:hAnsi="宋体" w:eastAsia="宋体" w:cs="宋体"/>
                <w:color w:val="000000"/>
                <w:sz w:val="24"/>
                <w:szCs w:val="24"/>
              </w:rPr>
              <w:t xml:space="preserve">投标人结合项目需求提供培训方案，内容包括但不限于培训计划、培训内容、培训对象、培训目标等。</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技术培训方案内容详实，课程设置合理，可操作性强，培训方式多样化的</w:t>
            </w:r>
            <w:r>
              <w:rPr>
                <w:rFonts w:hint="eastAsia" w:ascii="宋体" w:hAnsi="宋体" w:eastAsia="宋体" w:cs="宋体"/>
                <w:b/>
                <w:bCs/>
                <w:color w:val="000000"/>
                <w:sz w:val="24"/>
                <w:szCs w:val="24"/>
              </w:rPr>
              <w:t xml:space="preserve">得5分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技术培训方案内容较详实，课程设置较合理，可操作性较强，培训方式固定的</w:t>
            </w:r>
            <w:r>
              <w:rPr>
                <w:rFonts w:hint="eastAsia" w:ascii="宋体" w:hAnsi="宋体" w:eastAsia="宋体" w:cs="宋体"/>
                <w:b/>
                <w:bCs/>
                <w:color w:val="000000"/>
                <w:sz w:val="24"/>
                <w:szCs w:val="24"/>
              </w:rPr>
              <w:t xml:space="preserve">得4分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技术培训方案内容较单一，课程设置及培训方式合理性一般，可操作性一般的</w:t>
            </w:r>
            <w:r>
              <w:rPr>
                <w:rFonts w:hint="eastAsia" w:ascii="宋体" w:hAnsi="宋体" w:eastAsia="宋体" w:cs="宋体"/>
                <w:b/>
                <w:bCs/>
                <w:color w:val="000000"/>
                <w:sz w:val="24"/>
                <w:szCs w:val="24"/>
              </w:rPr>
              <w:t xml:space="preserve">得3分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技术培训方案内容简单粗糙，课程设置及培训方式单一，可操作不强的</w:t>
            </w:r>
            <w:r>
              <w:rPr>
                <w:rFonts w:hint="eastAsia" w:ascii="宋体" w:hAnsi="宋体" w:eastAsia="宋体" w:cs="宋体"/>
                <w:b/>
                <w:bCs/>
                <w:color w:val="000000"/>
                <w:sz w:val="24"/>
                <w:szCs w:val="24"/>
              </w:rPr>
              <w:t xml:space="preserve">得2分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br/>
            </w:r>
            <w:r>
              <w:rPr>
                <w:rFonts w:hint="eastAsia" w:ascii="宋体" w:hAnsi="宋体" w:eastAsia="宋体" w:cs="宋体"/>
                <w:b/>
                <w:bCs/>
                <w:color w:val="000000"/>
                <w:sz w:val="24"/>
                <w:szCs w:val="24"/>
              </w:rPr>
              <w:t xml:space="preserve">该项未见阐述不得分</w:t>
            </w:r>
            <w:r>
              <w:rPr>
                <w:rFonts w:hint="eastAsia" w:ascii="宋体" w:hAnsi="宋体" w:eastAsia="宋体" w:cs="宋体"/>
                <w:color w:val="000000"/>
                <w:sz w:val="24"/>
                <w:szCs w:val="24"/>
              </w:rPr>
              <w:t xml:space="preserve">。</w:t>
            </w:r>
            <w:r/>
          </w:p>
        </w:tc>
      </w:tr>
    </w:tbl>
    <w:p>
      <w:pPr>
        <w:spacing w:line="360" w:lineRule="auto"/>
        <w:rPr>
          <w:rFonts w:hint="eastAsia" w:ascii="宋体" w:hAnsi="宋体" w:eastAsia="宋体" w:cs="Calibri"/>
          <w:b/>
          <w:color w:val="000000"/>
          <w:sz w:val="24"/>
          <w:szCs w:val="24"/>
        </w:rPr>
      </w:pPr>
      <w:r>
        <w:rPr>
          <w:rFonts w:hint="eastAsia" w:ascii="宋体" w:hAnsi="宋体" w:cs="Calibri"/>
          <w:b/>
          <w:color w:val="000000"/>
          <w:sz w:val="24"/>
          <w:szCs w:val="24"/>
        </w:rPr>
        <w:t xml:space="preserve">注;</w:t>
      </w:r>
      <w:r/>
    </w:p>
    <w:p>
      <w:pPr>
        <w:spacing w:line="360" w:lineRule="auto"/>
        <w:rPr>
          <w:rFonts w:hint="eastAsia" w:ascii="宋体" w:hAnsi="宋体" w:cs="Calibri"/>
          <w:b/>
          <w:color w:val="000000"/>
          <w:sz w:val="24"/>
          <w:szCs w:val="24"/>
        </w:rPr>
      </w:pPr>
      <w:r>
        <w:rPr>
          <w:rFonts w:hint="eastAsia" w:ascii="宋体" w:hAnsi="宋体" w:cs="Calibri"/>
          <w:b/>
          <w:color w:val="000000"/>
          <w:sz w:val="24"/>
          <w:szCs w:val="24"/>
        </w:rPr>
        <w:t xml:space="preserve">1.本采购包评标标准中的技术分（20分）采用暗标方式进行评审。</w:t>
      </w:r>
      <w:r/>
    </w:p>
    <w:p>
      <w:pPr>
        <w:spacing w:line="360" w:lineRule="auto"/>
        <w:rPr>
          <w:rFonts w:hint="eastAsia" w:ascii="宋体" w:hAnsi="宋体" w:cs="Calibri"/>
          <w:b/>
          <w:color w:val="000000"/>
          <w:sz w:val="24"/>
          <w:szCs w:val="24"/>
        </w:rPr>
      </w:pPr>
      <w:r>
        <w:rPr>
          <w:rFonts w:hint="eastAsia" w:ascii="宋体" w:hAnsi="宋体" w:cs="Calibri"/>
          <w:b/>
          <w:color w:val="000000"/>
          <w:sz w:val="24"/>
          <w:szCs w:val="24"/>
        </w:rPr>
        <w:t xml:space="preserve">2.编制要求：</w:t>
      </w:r>
      <w:r/>
    </w:p>
    <w:p>
      <w:pPr>
        <w:spacing w:line="400" w:lineRule="exact"/>
        <w:rPr>
          <w:rFonts w:hint="eastAsia"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p>
    <w:p>
      <w:pPr>
        <w:jc w:val="left"/>
        <w:spacing w:line="360" w:lineRule="auto"/>
        <w:widowControl/>
        <w:rPr>
          <w:rFonts w:hint="eastAsia"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spacing w:line="360" w:lineRule="auto"/>
        <w:widowControl/>
        <w:rPr>
          <w:rFonts w:hint="eastAsia" w:ascii="宋体" w:hAnsi="宋体" w:cs="Calibri"/>
          <w:b/>
          <w:color w:val="000000"/>
          <w:sz w:val="24"/>
          <w:szCs w:val="24"/>
        </w:rPr>
      </w:pPr>
      <w:r>
        <w:rPr>
          <w:rFonts w:hint="eastAsia" w:ascii="宋体" w:hAnsi="宋体" w:cs="Calibri"/>
          <w:b/>
          <w:color w:val="000000"/>
          <w:sz w:val="24"/>
          <w:szCs w:val="24"/>
        </w:rPr>
        <w:t xml:space="preserve">2.3供应商需按照上述要求编制方案，未按要求编制的本项不得分。</w:t>
      </w:r>
      <w:r/>
    </w:p>
    <w:p>
      <w:pPr>
        <w:jc w:val="left"/>
        <w:spacing w:line="360" w:lineRule="auto"/>
        <w:widowControl/>
        <w:rPr>
          <w:rFonts w:hint="eastAsia" w:ascii="宋体" w:hAnsi="宋体" w:cs="Calibri"/>
          <w:b/>
          <w:color w:val="000000"/>
          <w:sz w:val="24"/>
          <w:szCs w:val="24"/>
          <w:highlight w:val="yellow"/>
        </w:rPr>
      </w:pPr>
      <w:r>
        <w:rPr>
          <w:rFonts w:hint="eastAsia" w:ascii="宋体" w:hAnsi="宋体" w:cs="Calibri"/>
          <w:b/>
          <w:color w:val="000000"/>
          <w:sz w:val="24"/>
          <w:szCs w:val="24"/>
          <w:highlight w:val="yellow"/>
        </w:rPr>
      </w:r>
      <w:r/>
    </w:p>
    <w:p>
      <w:pPr>
        <w:jc w:val="left"/>
        <w:spacing w:line="360" w:lineRule="auto"/>
        <w:widowControl/>
        <w:rPr>
          <w:rFonts w:hint="eastAsia" w:ascii="宋体" w:hAnsi="宋体" w:cs="Calibri"/>
          <w:b/>
          <w:color w:val="000000"/>
          <w:sz w:val="24"/>
          <w:szCs w:val="24"/>
          <w:highlight w:val="yellow"/>
        </w:rPr>
      </w:pPr>
      <w:r>
        <w:rPr>
          <w:rFonts w:hint="eastAsia" w:ascii="宋体" w:hAnsi="宋体" w:cs="Calibri"/>
          <w:b/>
          <w:color w:val="000000"/>
          <w:sz w:val="24"/>
          <w:szCs w:val="24"/>
          <w:highlight w:val="yellow"/>
        </w:rPr>
      </w:r>
      <w:r/>
    </w:p>
    <w:p>
      <w:pPr>
        <w:jc w:val="left"/>
        <w:spacing w:line="360" w:lineRule="auto"/>
        <w:widowControl/>
        <w:rPr>
          <w:rFonts w:hint="eastAsia" w:ascii="宋体" w:hAnsi="宋体" w:cs="Calibri"/>
          <w:b/>
          <w:color w:val="000000"/>
          <w:sz w:val="24"/>
          <w:szCs w:val="24"/>
          <w:highlight w:val="yellow"/>
        </w:rPr>
      </w:pPr>
      <w:r>
        <w:rPr>
          <w:rFonts w:hint="eastAsia" w:ascii="宋体" w:hAnsi="宋体" w:cs="Calibri"/>
          <w:b/>
          <w:color w:val="000000"/>
          <w:sz w:val="24"/>
          <w:szCs w:val="24"/>
          <w:highlight w:val="yellow"/>
        </w:rPr>
      </w:r>
      <w:r/>
    </w:p>
    <w:p>
      <w:pPr>
        <w:jc w:val="left"/>
        <w:spacing w:line="360" w:lineRule="auto"/>
        <w:widowControl/>
        <w:rPr>
          <w:rFonts w:hint="eastAsia" w:ascii="宋体" w:hAnsi="宋体" w:cs="Calibri"/>
          <w:b/>
          <w:color w:val="000000"/>
          <w:sz w:val="24"/>
          <w:szCs w:val="24"/>
          <w:highlight w:val="yellow"/>
        </w:rPr>
      </w:pPr>
      <w:r>
        <w:rPr>
          <w:rFonts w:hint="eastAsia" w:ascii="宋体" w:hAnsi="宋体" w:cs="Calibri"/>
          <w:b/>
          <w:color w:val="000000"/>
          <w:sz w:val="24"/>
          <w:szCs w:val="24"/>
          <w:highlight w:val="yellow"/>
        </w:rPr>
      </w:r>
      <w:r/>
    </w:p>
    <w:p>
      <w:pPr>
        <w:jc w:val="left"/>
        <w:spacing w:line="360" w:lineRule="auto"/>
        <w:widowControl/>
        <w:rPr>
          <w:rFonts w:hint="eastAsia" w:ascii="宋体" w:hAnsi="宋体" w:cs="Calibri"/>
          <w:b/>
          <w:color w:val="000000"/>
          <w:sz w:val="24"/>
          <w:szCs w:val="24"/>
          <w:highlight w:val="yellow"/>
        </w:rPr>
      </w:pPr>
      <w:r>
        <w:rPr>
          <w:rFonts w:hint="eastAsia" w:ascii="宋体" w:hAnsi="宋体" w:cs="Calibri"/>
          <w:b/>
          <w:color w:val="000000"/>
          <w:sz w:val="24"/>
          <w:szCs w:val="24"/>
          <w:highlight w:val="yellow"/>
        </w:rPr>
      </w:r>
      <w:r/>
    </w:p>
    <w:p>
      <w:pPr>
        <w:jc w:val="left"/>
        <w:spacing w:line="360" w:lineRule="auto"/>
        <w:widowControl/>
        <w:rPr>
          <w:rFonts w:hint="eastAsia" w:ascii="宋体" w:hAnsi="宋体" w:cs="Calibri"/>
          <w:b/>
          <w:color w:val="000000"/>
          <w:sz w:val="24"/>
          <w:szCs w:val="24"/>
          <w:highlight w:val="yellow"/>
        </w:rPr>
      </w:pPr>
      <w:r>
        <w:rPr>
          <w:rFonts w:hint="eastAsia" w:ascii="宋体" w:hAnsi="宋体" w:cs="Calibri"/>
          <w:b/>
          <w:color w:val="000000"/>
          <w:sz w:val="24"/>
          <w:szCs w:val="24"/>
          <w:highlight w:val="yellow"/>
        </w:rPr>
      </w:r>
      <w:r/>
    </w:p>
    <w:p>
      <w:pPr>
        <w:jc w:val="left"/>
        <w:spacing w:line="360" w:lineRule="auto"/>
        <w:widowControl/>
        <w:rPr>
          <w:rFonts w:hint="eastAsia" w:ascii="宋体" w:hAnsi="宋体" w:cs="Calibri"/>
          <w:b/>
          <w:color w:val="000000"/>
          <w:sz w:val="24"/>
          <w:szCs w:val="24"/>
          <w:highlight w:val="yellow"/>
        </w:rPr>
      </w:pPr>
      <w:r>
        <w:rPr>
          <w:rFonts w:hint="eastAsia" w:ascii="宋体" w:hAnsi="宋体" w:cs="Calibri"/>
          <w:b/>
          <w:color w:val="000000"/>
          <w:sz w:val="24"/>
          <w:szCs w:val="24"/>
          <w:highlight w:val="yellow"/>
        </w:rPr>
      </w:r>
      <w:r/>
    </w:p>
    <w:p>
      <w:pPr>
        <w:jc w:val="left"/>
        <w:spacing w:line="360" w:lineRule="auto"/>
        <w:widowControl/>
        <w:rPr>
          <w:rFonts w:hint="eastAsia" w:ascii="宋体" w:hAnsi="宋体" w:cs="Calibri"/>
          <w:b/>
          <w:color w:val="000000"/>
          <w:sz w:val="24"/>
          <w:szCs w:val="24"/>
          <w:highlight w:val="yellow"/>
        </w:rPr>
      </w:pPr>
      <w:r>
        <w:rPr>
          <w:rFonts w:hint="eastAsia" w:ascii="宋体" w:hAnsi="宋体" w:cs="Calibri"/>
          <w:b/>
          <w:color w:val="000000"/>
          <w:sz w:val="24"/>
          <w:szCs w:val="24"/>
          <w:highlight w:val="yellow"/>
        </w:rPr>
      </w:r>
      <w:r/>
    </w:p>
    <w:p>
      <w:pPr>
        <w:jc w:val="left"/>
        <w:spacing w:line="360" w:lineRule="auto"/>
        <w:widowControl/>
        <w:rPr>
          <w:rFonts w:hint="eastAsia" w:ascii="宋体" w:hAnsi="宋体" w:cs="Calibri"/>
          <w:b/>
          <w:color w:val="000000"/>
          <w:sz w:val="24"/>
          <w:szCs w:val="24"/>
          <w:highlight w:val="yellow"/>
        </w:rPr>
      </w:pPr>
      <w:r>
        <w:rPr>
          <w:rFonts w:hint="eastAsia" w:ascii="宋体" w:hAnsi="宋体" w:cs="Calibri"/>
          <w:b/>
          <w:color w:val="000000"/>
          <w:sz w:val="24"/>
          <w:szCs w:val="24"/>
          <w:highlight w:val="yellow"/>
        </w:rPr>
      </w:r>
      <w:r/>
    </w:p>
    <w:p>
      <w:pPr>
        <w:jc w:val="center"/>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采购包2</w:t>
      </w:r>
      <w:r/>
    </w:p>
    <w:p>
      <w:pPr>
        <w:jc w:val="center"/>
        <w:spacing w:line="500" w:lineRule="exact"/>
        <w:rPr>
          <w:rFonts w:hint="eastAsia" w:ascii="黑体" w:hAnsi="黑体" w:eastAsia="黑体"/>
          <w:sz w:val="32"/>
          <w:szCs w:val="24"/>
        </w:rPr>
      </w:pPr>
      <w:r>
        <w:rPr>
          <w:rFonts w:hint="eastAsia" w:ascii="黑体" w:hAnsi="黑体" w:eastAsia="黑体"/>
          <w:sz w:val="32"/>
          <w:szCs w:val="24"/>
        </w:rPr>
      </w:r>
      <w:r/>
    </w:p>
    <w:p>
      <w:pPr>
        <w:jc w:val="center"/>
        <w:spacing w:line="500" w:lineRule="exact"/>
        <w:rPr>
          <w:rFonts w:hint="eastAsia" w:ascii="宋体" w:hAnsi="宋体" w:eastAsia="宋体" w:cs="宋体"/>
          <w:b/>
          <w:bCs/>
          <w:sz w:val="28"/>
          <w:szCs w:val="28"/>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Theme="minorEastAsia" w:hAnsiTheme="minorEastAsia"/>
          <w:b/>
          <w:sz w:val="24"/>
          <w:szCs w:val="24"/>
        </w:rPr>
        <w:t xml:space="preserve">1.价格分（10分）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投标报价得分=（评标基准价/投标报价）×10分。</w:t>
      </w:r>
      <w:r/>
    </w:p>
    <w:p>
      <w:pPr>
        <w:ind w:firstLine="480"/>
        <w:jc w:val="left"/>
        <w:spacing w:line="500" w:lineRule="exact"/>
        <w:rPr>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2.商务分（70分）</w:t>
      </w:r>
      <w:r/>
    </w:p>
    <w:tbl>
      <w:tblPr>
        <w:tblStyle w:val="842"/>
        <w:tblW w:w="82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35"/>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43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804" w:type="dxa"/>
            <w:vAlign w:val="center"/>
            <w:textDirection w:val="lrTb"/>
            <w:noWrap w:val="false"/>
          </w:tcPr>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技术参数</w:t>
            </w:r>
            <w:r/>
          </w:p>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rPr>
            </w:pPr>
            <w:r>
              <w:rPr>
                <w:rFonts w:hint="eastAsia" w:ascii="宋体" w:hAnsi="宋体" w:eastAsia="宋体" w:cs="宋体"/>
                <w:sz w:val="24"/>
                <w:szCs w:val="24"/>
              </w:rPr>
              <w:t xml:space="preserve">（36分）</w:t>
            </w:r>
            <w:r/>
          </w:p>
        </w:tc>
        <w:tc>
          <w:tcPr>
            <w:tcW w:w="6435" w:type="dxa"/>
            <w:vAlign w:val="center"/>
            <w:textDirection w:val="lrTb"/>
            <w:noWrap w:val="false"/>
          </w:tcPr>
          <w:p>
            <w:pPr>
              <w:spacing w:line="440" w:lineRule="exact"/>
              <w:rPr>
                <w:rFonts w:hint="eastAsia" w:asciiTheme="minorEastAsia" w:hAnsiTheme="minorEastAsia"/>
                <w:sz w:val="24"/>
                <w:szCs w:val="24"/>
              </w:rPr>
            </w:pPr>
            <w:r>
              <w:rPr>
                <w:rFonts w:hint="eastAsia" w:asciiTheme="minorEastAsia" w:hAnsiTheme="minorEastAsia"/>
                <w:sz w:val="24"/>
                <w:szCs w:val="24"/>
              </w:rPr>
              <w:t xml:space="preserve">技术参数响应评审基准分36分，标注“▲”项的参数每有一项负偏离扣4分，扣完为止。</w:t>
            </w:r>
            <w:r/>
          </w:p>
          <w:p>
            <w:pPr>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
                <w:sz w:val="24"/>
                <w:szCs w:val="24"/>
              </w:rPr>
              <w:t xml:space="preserve">（1.投标文件中详细填写技术要求响应及偏离表，须逐条响应。标注“▲”项要求提供证明材料的未提供、或提供不全、或所提供材料与招标文件要求不符的视为负偏离。投标人可在投标文件中标明证明材料添加说明，以便评审。2.所有技术参数及功能指标中所要求的检测报告检测项与技术参数及功能指标中所列要求表述不完全一致，功能相近的，由评标委员会统一认定）</w:t>
            </w:r>
            <w:r/>
          </w:p>
        </w:tc>
      </w:tr>
      <w:tr>
        <w:trPr>
          <w:jc w:val="center"/>
          <w:trHeight w:val="621"/>
        </w:trPr>
        <w:tc>
          <w:tcPr>
            <w:tcW w:w="1804" w:type="dxa"/>
            <w:vAlign w:val="center"/>
            <w:textDirection w:val="lrTb"/>
            <w:noWrap w:val="false"/>
          </w:tcPr>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人员配备要求</w:t>
            </w:r>
            <w:r/>
          </w:p>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rPr>
            </w:pPr>
            <w:r>
              <w:rPr>
                <w:rFonts w:hint="eastAsia" w:ascii="宋体" w:hAnsi="宋体" w:eastAsia="宋体" w:cs="宋体"/>
                <w:sz w:val="24"/>
                <w:szCs w:val="24"/>
              </w:rPr>
              <w:t xml:space="preserve">（20分）</w:t>
            </w:r>
            <w:r/>
          </w:p>
        </w:tc>
        <w:tc>
          <w:tcPr>
            <w:tcW w:w="6435" w:type="dxa"/>
            <w:vAlign w:val="center"/>
            <w:textDirection w:val="lrTb"/>
            <w:noWrap w:val="false"/>
          </w:tcPr>
          <w:p>
            <w:pPr>
              <w:jc w:val="left"/>
              <w:spacing w:line="500" w:lineRule="exact"/>
              <w:rPr>
                <w:rFonts w:hint="default" w:ascii="宋体" w:hAnsi="宋体" w:eastAsia="宋体" w:cs="宋体"/>
                <w:b w:val="0"/>
                <w:bCs/>
                <w:sz w:val="24"/>
                <w:szCs w:val="24"/>
                <w:lang w:val="en-US" w:eastAsia="zh-CN"/>
              </w:rPr>
            </w:pPr>
            <w:r>
              <w:rPr>
                <w:rFonts w:hint="eastAsia" w:ascii="宋体" w:hAnsi="宋体" w:eastAsia="宋体" w:cs="宋体"/>
                <w:sz w:val="24"/>
                <w:szCs w:val="24"/>
              </w:rPr>
              <w:t xml:space="preserve">1.拟派项目负责人具有高级通信工程师证书的</w:t>
            </w:r>
            <w:r>
              <w:rPr>
                <w:rFonts w:hint="eastAsia" w:ascii="宋体" w:hAnsi="宋体" w:eastAsia="宋体" w:cs="宋体"/>
                <w:b w:val="0"/>
                <w:bCs/>
                <w:sz w:val="24"/>
                <w:szCs w:val="24"/>
              </w:rPr>
              <w:t xml:space="preserve">得</w:t>
            </w:r>
            <w:r>
              <w:rPr>
                <w:rFonts w:ascii="宋体" w:hAnsi="宋体" w:eastAsia="宋体" w:cs="宋体"/>
                <w:b w:val="0"/>
                <w:bCs/>
                <w:sz w:val="24"/>
                <w:szCs w:val="24"/>
              </w:rPr>
              <w:t xml:space="preserve">4</w:t>
            </w:r>
            <w:r>
              <w:rPr>
                <w:rFonts w:hint="eastAsia" w:ascii="宋体" w:hAnsi="宋体" w:eastAsia="宋体" w:cs="宋体"/>
                <w:b w:val="0"/>
                <w:bCs/>
                <w:sz w:val="24"/>
                <w:szCs w:val="24"/>
              </w:rPr>
              <w:t xml:space="preserve">分，中级</w:t>
            </w:r>
            <w:r>
              <w:rPr>
                <w:rFonts w:hint="eastAsia" w:ascii="宋体" w:hAnsi="宋体" w:eastAsia="宋体" w:cs="宋体"/>
                <w:sz w:val="24"/>
                <w:szCs w:val="24"/>
              </w:rPr>
              <w:t xml:space="preserve">通信工程师</w:t>
            </w:r>
            <w:r>
              <w:rPr>
                <w:rFonts w:hint="eastAsia" w:ascii="宋体" w:hAnsi="宋体" w:eastAsia="宋体" w:cs="宋体"/>
                <w:b w:val="0"/>
                <w:bCs/>
                <w:sz w:val="24"/>
                <w:szCs w:val="24"/>
              </w:rPr>
              <w:t xml:space="preserve">证书</w:t>
            </w:r>
            <w:r>
              <w:rPr>
                <w:rFonts w:hint="eastAsia" w:ascii="宋体" w:hAnsi="宋体" w:eastAsia="宋体" w:cs="宋体"/>
                <w:b w:val="0"/>
                <w:bCs/>
                <w:sz w:val="24"/>
                <w:szCs w:val="24"/>
                <w:lang w:val="en-US" w:eastAsia="zh-CN"/>
              </w:rPr>
              <w:t xml:space="preserve">的</w:t>
            </w:r>
            <w:r>
              <w:rPr>
                <w:rFonts w:hint="eastAsia" w:ascii="宋体" w:hAnsi="宋体" w:eastAsia="宋体" w:cs="宋体"/>
                <w:b w:val="0"/>
                <w:bCs/>
                <w:sz w:val="24"/>
                <w:szCs w:val="24"/>
              </w:rPr>
              <w:t xml:space="preserve">得</w:t>
            </w:r>
            <w:r>
              <w:rPr>
                <w:rFonts w:ascii="宋体" w:hAnsi="宋体" w:eastAsia="宋体" w:cs="宋体"/>
                <w:b w:val="0"/>
                <w:bCs/>
                <w:sz w:val="24"/>
                <w:szCs w:val="24"/>
              </w:rPr>
              <w:t xml:space="preserve">2</w:t>
            </w:r>
            <w:r>
              <w:rPr>
                <w:rFonts w:hint="eastAsia" w:ascii="宋体" w:hAnsi="宋体" w:eastAsia="宋体" w:cs="宋体"/>
                <w:b w:val="0"/>
                <w:bCs/>
                <w:sz w:val="24"/>
                <w:szCs w:val="24"/>
              </w:rPr>
              <w:t xml:space="preserve">分</w:t>
            </w:r>
            <w:r>
              <w:rPr>
                <w:rFonts w:hint="eastAsia" w:ascii="宋体" w:hAnsi="宋体" w:eastAsia="宋体" w:cs="宋体"/>
                <w:b w:val="0"/>
                <w:bCs/>
                <w:sz w:val="24"/>
                <w:szCs w:val="24"/>
                <w:lang w:eastAsia="zh-CN"/>
              </w:rPr>
              <w:t xml:space="preserve">，</w:t>
            </w:r>
            <w:r>
              <w:rPr>
                <w:rFonts w:hint="eastAsia" w:ascii="宋体" w:hAnsi="宋体" w:eastAsia="宋体" w:cs="宋体"/>
                <w:b/>
                <w:bCs w:val="0"/>
                <w:sz w:val="24"/>
                <w:szCs w:val="24"/>
                <w:lang w:val="en-US" w:eastAsia="zh-CN"/>
              </w:rPr>
              <w:t xml:space="preserve">本项最高得4分。</w:t>
            </w:r>
            <w:r>
              <w:rPr>
                <w:rFonts w:hint="eastAsia" w:ascii="宋体" w:hAnsi="宋体" w:eastAsia="宋体" w:cs="宋体"/>
                <w:b w:val="0"/>
                <w:bCs/>
                <w:sz w:val="24"/>
                <w:szCs w:val="24"/>
                <w:lang w:val="en-US" w:eastAsia="zh-CN"/>
              </w:rPr>
              <w:t xml:space="preserve">（同时提供按最高得分）</w:t>
            </w:r>
            <w:r/>
          </w:p>
          <w:p>
            <w:pPr>
              <w:jc w:val="left"/>
              <w:spacing w:line="500" w:lineRule="exact"/>
              <w:rPr>
                <w:rFonts w:ascii="宋体" w:hAnsi="宋体" w:eastAsia="宋体" w:cs="宋体"/>
                <w:sz w:val="24"/>
                <w:szCs w:val="24"/>
              </w:rPr>
            </w:pPr>
            <w:r>
              <w:rPr>
                <w:rFonts w:hint="eastAsia" w:ascii="宋体" w:hAnsi="宋体" w:eastAsia="宋体" w:cs="宋体"/>
                <w:sz w:val="24"/>
                <w:szCs w:val="24"/>
              </w:rPr>
              <w:t xml:space="preserve">2.拟派项目技术负责人具有信息系统安全专业认证（CISSP）证书的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jc w:val="left"/>
              <w:spacing w:line="500" w:lineRule="exact"/>
              <w:rPr>
                <w:rFonts w:ascii="宋体" w:hAnsi="宋体" w:eastAsia="宋体" w:cs="宋体"/>
                <w:b/>
                <w:bCs/>
                <w:sz w:val="24"/>
                <w:szCs w:val="24"/>
              </w:rPr>
            </w:pPr>
            <w:r>
              <w:rPr>
                <w:rFonts w:hint="eastAsia" w:ascii="宋体" w:hAnsi="宋体" w:eastAsia="宋体" w:cs="宋体"/>
                <w:sz w:val="24"/>
                <w:szCs w:val="24"/>
              </w:rPr>
              <w:t xml:space="preserve">3.拟派项目团队成员（不包括项目负责人、项目技术负责人）中具有注册信息安全专业认证（CISP）证书、网络规划设计师证书、中级及以上通信工程师证书、网络工程师证书的，每提供一个证书得</w:t>
            </w:r>
            <w:r>
              <w:rPr>
                <w:rFonts w:ascii="宋体" w:hAnsi="宋体" w:eastAsia="宋体" w:cs="宋体"/>
                <w:sz w:val="24"/>
                <w:szCs w:val="24"/>
              </w:rPr>
              <w:t xml:space="preserve">3</w:t>
            </w:r>
            <w:r>
              <w:rPr>
                <w:rFonts w:hint="eastAsia" w:ascii="宋体" w:hAnsi="宋体" w:eastAsia="宋体" w:cs="宋体"/>
                <w:sz w:val="24"/>
                <w:szCs w:val="24"/>
              </w:rPr>
              <w:t xml:space="preserve">分，</w:t>
            </w:r>
            <w:r>
              <w:rPr>
                <w:rFonts w:hint="eastAsia" w:ascii="宋体" w:hAnsi="宋体" w:eastAsia="宋体" w:cs="宋体"/>
                <w:b/>
                <w:bCs/>
                <w:sz w:val="24"/>
                <w:szCs w:val="24"/>
              </w:rPr>
              <w:t xml:space="preserve">最高得</w:t>
            </w:r>
            <w:r>
              <w:rPr>
                <w:rFonts w:ascii="宋体" w:hAnsi="宋体" w:eastAsia="宋体" w:cs="宋体"/>
                <w:b/>
                <w:bCs/>
                <w:sz w:val="24"/>
                <w:szCs w:val="24"/>
              </w:rPr>
              <w:t xml:space="preserve">12</w:t>
            </w:r>
            <w:r>
              <w:rPr>
                <w:rFonts w:hint="eastAsia" w:ascii="宋体" w:hAnsi="宋体" w:eastAsia="宋体" w:cs="宋体"/>
                <w:b/>
                <w:bCs/>
                <w:sz w:val="24"/>
                <w:szCs w:val="24"/>
              </w:rPr>
              <w:t xml:space="preserve">分。</w:t>
            </w:r>
            <w:r/>
          </w:p>
          <w:p>
            <w:pPr>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rPr>
            </w:pPr>
            <w:r>
              <w:rPr>
                <w:rFonts w:hint="eastAsia" w:ascii="宋体" w:hAnsi="宋体" w:eastAsia="宋体" w:cs="宋体"/>
                <w:b/>
                <w:sz w:val="24"/>
                <w:szCs w:val="24"/>
              </w:rPr>
              <w:t xml:space="preserve">（投标文件中提供有效证书扫描件及2026年1月至今任意1个月由投标人为其缴纳的社保证明材料扫描件，加盖投标人公章，否则不得分。项目团队成员</w:t>
            </w:r>
            <w:r>
              <w:rPr>
                <w:rFonts w:hint="eastAsia" w:ascii="宋体" w:hAnsi="宋体" w:eastAsia="宋体" w:cs="宋体"/>
                <w:b/>
                <w:bCs/>
                <w:sz w:val="24"/>
                <w:szCs w:val="24"/>
              </w:rPr>
              <w:t xml:space="preserve">一人多证不重复计分）</w:t>
            </w:r>
            <w:r/>
          </w:p>
        </w:tc>
      </w:tr>
      <w:tr>
        <w:trPr>
          <w:jc w:val="center"/>
          <w:trHeight w:val="621"/>
        </w:trPr>
        <w:tc>
          <w:tcPr>
            <w:tcW w:w="1804"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业绩</w:t>
            </w:r>
            <w:r/>
          </w:p>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（9分）</w:t>
            </w:r>
            <w:r/>
          </w:p>
        </w:tc>
        <w:tc>
          <w:tcPr>
            <w:tcW w:w="6435" w:type="dxa"/>
            <w:vAlign w:val="center"/>
            <w:textDirection w:val="lrTb"/>
            <w:noWrap w:val="false"/>
          </w:tcPr>
          <w:p>
            <w:pPr>
              <w:jc w:val="left"/>
              <w:spacing w:line="500" w:lineRule="exact"/>
              <w:rPr>
                <w:rFonts w:hint="eastAsia" w:ascii="宋体" w:hAnsi="宋体" w:eastAsia="宋体" w:cs="宋体"/>
                <w:b/>
                <w:sz w:val="24"/>
                <w:szCs w:val="24"/>
              </w:rPr>
            </w:pPr>
            <w:r>
              <w:rPr>
                <w:rFonts w:hint="eastAsia" w:ascii="宋体" w:hAnsi="宋体" w:eastAsia="宋体" w:cs="宋体"/>
                <w:sz w:val="24"/>
                <w:szCs w:val="24"/>
              </w:rPr>
              <w:t xml:space="preserve">自2023年1月1日以来，投标人具有类似项目业绩（合同内容至少包含组网或专线相关），每提供一个得3分，</w:t>
            </w:r>
            <w:r>
              <w:rPr>
                <w:rFonts w:hint="eastAsia" w:ascii="宋体" w:hAnsi="宋体" w:eastAsia="宋体" w:cs="宋体"/>
                <w:b/>
                <w:sz w:val="24"/>
                <w:szCs w:val="24"/>
              </w:rPr>
              <w:t xml:space="preserve">最高得9分。</w:t>
            </w:r>
            <w:r/>
          </w:p>
          <w:p>
            <w:pPr>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yellow"/>
              </w:rPr>
            </w:pPr>
            <w:r>
              <w:rPr>
                <w:rFonts w:hint="eastAsia" w:ascii="宋体" w:hAnsi="宋体" w:eastAsia="宋体" w:cs="宋体"/>
                <w:b/>
                <w:sz w:val="24"/>
                <w:szCs w:val="24"/>
              </w:rPr>
              <w:t xml:space="preserve">（投标文件中提供合同扫描件加盖投标人公章，时间、标的内容以合同为准，否则不得分）</w:t>
            </w:r>
            <w:r/>
          </w:p>
        </w:tc>
      </w:tr>
      <w:tr>
        <w:trPr>
          <w:jc w:val="center"/>
          <w:trHeight w:val="621"/>
        </w:trPr>
        <w:tc>
          <w:tcPr>
            <w:tcW w:w="1804" w:type="dxa"/>
            <w:vAlign w:val="center"/>
            <w:textDirection w:val="lrTb"/>
            <w:noWrap w:val="false"/>
          </w:tcPr>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割接服务承诺</w:t>
            </w:r>
            <w:r/>
          </w:p>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（5分）</w:t>
            </w:r>
            <w:r/>
          </w:p>
        </w:tc>
        <w:tc>
          <w:tcPr>
            <w:tcW w:w="6435" w:type="dxa"/>
            <w:vAlign w:val="center"/>
            <w:textDirection w:val="lrTb"/>
            <w:noWrap w:val="false"/>
          </w:tcPr>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Style w:val="919"/>
                <w:rFonts w:hint="default" w:cs="宋体"/>
                <w:b/>
                <w:bCs/>
                <w:sz w:val="24"/>
                <w:szCs w:val="24"/>
              </w:rPr>
            </w:pPr>
            <w:r>
              <w:rPr>
                <w:rStyle w:val="919"/>
                <w:rFonts w:cs="宋体"/>
                <w:sz w:val="24"/>
                <w:szCs w:val="24"/>
              </w:rPr>
              <w:t xml:space="preserve">投标人</w:t>
            </w:r>
            <w:r>
              <w:rPr>
                <w:rStyle w:val="919"/>
                <w:rFonts w:hint="default" w:cs="宋体"/>
                <w:sz w:val="24"/>
                <w:szCs w:val="24"/>
              </w:rPr>
              <w:t xml:space="preserve">承诺</w:t>
            </w:r>
            <w:r>
              <w:rPr>
                <w:rStyle w:val="919"/>
                <w:rFonts w:cs="宋体"/>
                <w:sz w:val="24"/>
                <w:szCs w:val="24"/>
              </w:rPr>
              <w:t xml:space="preserve">项目实施期间</w:t>
            </w:r>
            <w:r>
              <w:rPr>
                <w:rStyle w:val="919"/>
                <w:rFonts w:hint="default" w:cs="宋体"/>
                <w:sz w:val="24"/>
                <w:szCs w:val="24"/>
              </w:rPr>
              <w:t xml:space="preserve">相关线路割接对业务系统无影响的</w:t>
            </w:r>
            <w:r>
              <w:rPr>
                <w:rStyle w:val="919"/>
                <w:rFonts w:hint="default" w:cs="宋体"/>
                <w:b/>
                <w:bCs/>
                <w:sz w:val="24"/>
                <w:szCs w:val="24"/>
              </w:rPr>
              <w:t xml:space="preserve">得5分</w:t>
            </w:r>
            <w:r>
              <w:rPr>
                <w:rStyle w:val="919"/>
                <w:rFonts w:hint="default" w:cs="宋体"/>
                <w:sz w:val="24"/>
                <w:szCs w:val="24"/>
              </w:rPr>
              <w:t xml:space="preserve">；影响在1小时内（含1小时）</w:t>
            </w:r>
            <w:r>
              <w:rPr>
                <w:rStyle w:val="919"/>
                <w:rFonts w:hint="default" w:cs="宋体"/>
                <w:b/>
                <w:bCs/>
                <w:sz w:val="24"/>
                <w:szCs w:val="24"/>
              </w:rPr>
              <w:t xml:space="preserve">得3分</w:t>
            </w:r>
            <w:r>
              <w:rPr>
                <w:rStyle w:val="919"/>
                <w:rFonts w:hint="default" w:cs="宋体"/>
                <w:sz w:val="24"/>
                <w:szCs w:val="24"/>
              </w:rPr>
              <w:t xml:space="preserve">；超过1小时不得分，</w:t>
            </w:r>
            <w:r>
              <w:rPr>
                <w:rStyle w:val="919"/>
                <w:rFonts w:cs="宋体"/>
                <w:b/>
                <w:bCs/>
                <w:sz w:val="24"/>
                <w:szCs w:val="24"/>
              </w:rPr>
              <w:t xml:space="preserve">本项最高得5分。</w:t>
            </w:r>
            <w:r/>
          </w:p>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（投标文件中提供承诺函并加盖投标人公章，格式自拟，须明确承诺内容，否则不得分</w:t>
            </w:r>
            <w:r>
              <w:rPr>
                <w:rStyle w:val="919"/>
                <w:rFonts w:hint="default" w:cs="宋体"/>
                <w:b/>
                <w:bCs/>
                <w:sz w:val="24"/>
                <w:szCs w:val="24"/>
              </w:rPr>
              <w:t xml:space="preserve">。割接安排及影响时间估算需真实、可行</w:t>
            </w:r>
            <w:r>
              <w:rPr>
                <w:rFonts w:hint="eastAsia" w:ascii="宋体" w:hAnsi="宋体" w:eastAsia="宋体" w:cs="宋体"/>
                <w:b/>
                <w:bCs/>
                <w:color w:val="000000"/>
                <w:sz w:val="24"/>
                <w:szCs w:val="24"/>
              </w:rPr>
              <w:t xml:space="preserve">）</w:t>
            </w:r>
            <w:r/>
          </w:p>
        </w:tc>
      </w:tr>
    </w:tbl>
    <w:p>
      <w:pPr>
        <w:ind w:firstLine="482"/>
        <w:jc w:val="left"/>
        <w:spacing w:line="360" w:lineRule="auto"/>
        <w:rPr>
          <w:rFonts w:hint="eastAsia" w:ascii="宋体" w:hAnsi="宋体" w:cs="宋体"/>
          <w:b/>
          <w:sz w:val="24"/>
          <w:szCs w:val="24"/>
          <w:highlight w:val="yellow"/>
        </w:rPr>
      </w:pPr>
      <w:r>
        <w:rPr>
          <w:rFonts w:hint="eastAsia" w:ascii="宋体" w:hAnsi="宋体" w:eastAsia="宋体" w:cs="宋体"/>
          <w:b/>
          <w:sz w:val="24"/>
          <w:szCs w:val="24"/>
        </w:rPr>
        <w:t xml:space="preserve">3.技术分（20分）（本部分</w:t>
      </w:r>
      <w:r>
        <w:rPr>
          <w:rFonts w:hint="eastAsia" w:ascii="宋体" w:hAnsi="宋体" w:cs="Calibri"/>
          <w:b/>
          <w:color w:val="000000"/>
          <w:sz w:val="24"/>
          <w:szCs w:val="24"/>
        </w:rPr>
        <w:t xml:space="preserve">采用暗标方式进行评审）</w:t>
      </w:r>
      <w:r/>
    </w:p>
    <w:tbl>
      <w:tblPr>
        <w:tblStyle w:val="842"/>
        <w:tblW w:w="82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5"/>
        <w:gridCol w:w="6420"/>
      </w:tblGrid>
      <w:tr>
        <w:trPr>
          <w:jc w:val="center"/>
          <w:trHeight w:val="621"/>
        </w:trPr>
        <w:tc>
          <w:tcPr>
            <w:tcW w:w="183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42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835" w:type="dxa"/>
            <w:vAlign w:val="center"/>
            <w:textDirection w:val="lrTb"/>
            <w:noWrap w:val="false"/>
          </w:tcPr>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线路接入方案</w:t>
            </w:r>
            <w:r/>
          </w:p>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（4分）</w:t>
            </w:r>
            <w:r/>
          </w:p>
        </w:tc>
        <w:tc>
          <w:tcPr>
            <w:tcW w:w="6420" w:type="dxa"/>
            <w:vAlign w:val="center"/>
            <w:textDirection w:val="lrTb"/>
            <w:noWrap w:val="false"/>
          </w:tcPr>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在充分调研公安局现有组网方案和运行情况以及各接入点的电路接入情况的基础上，投标人制定科学、合理、详细的线路接入方案，方案包括但不限于对所有网络节点根据实际情况制订详细的接入方案、专线接入方案、具体实施内容等：</w:t>
            </w:r>
            <w:r/>
          </w:p>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4"/>
                <w:szCs w:val="24"/>
              </w:rPr>
            </w:pPr>
            <w:r>
              <w:rPr>
                <w:rFonts w:hint="eastAsia" w:ascii="宋体" w:hAnsi="宋体" w:eastAsia="宋体" w:cs="宋体"/>
                <w:sz w:val="24"/>
                <w:szCs w:val="24"/>
              </w:rPr>
              <w:t xml:space="preserve">内容详细、对所有网络节点根据实际情况制订的接入方案详细、专线接入方案科学、合理、详细，可行性强的</w:t>
            </w:r>
            <w:r>
              <w:rPr>
                <w:rFonts w:hint="eastAsia" w:ascii="宋体" w:hAnsi="宋体" w:eastAsia="宋体" w:cs="宋体"/>
                <w:b/>
                <w:sz w:val="24"/>
                <w:szCs w:val="24"/>
              </w:rPr>
              <w:t xml:space="preserve">得4分；</w:t>
            </w:r>
            <w:r/>
          </w:p>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4"/>
                <w:szCs w:val="24"/>
              </w:rPr>
            </w:pPr>
            <w:r>
              <w:rPr>
                <w:rFonts w:hint="eastAsia" w:ascii="宋体" w:hAnsi="宋体" w:eastAsia="宋体" w:cs="宋体"/>
                <w:sz w:val="24"/>
                <w:szCs w:val="24"/>
              </w:rPr>
              <w:t xml:space="preserve">内容较详细、对所有网络节点根据实际情况制订的接入方案较详细，专线接入方案较科学、合理，可行性较强的</w:t>
            </w:r>
            <w:r>
              <w:rPr>
                <w:rFonts w:hint="eastAsia" w:ascii="宋体" w:hAnsi="宋体" w:eastAsia="宋体" w:cs="宋体"/>
                <w:b/>
                <w:sz w:val="24"/>
                <w:szCs w:val="24"/>
              </w:rPr>
              <w:t xml:space="preserve">得2分</w:t>
            </w:r>
            <w:r>
              <w:rPr>
                <w:rFonts w:hint="eastAsia" w:ascii="宋体" w:hAnsi="宋体" w:eastAsia="宋体" w:cs="宋体"/>
                <w:bCs/>
                <w:sz w:val="24"/>
                <w:szCs w:val="24"/>
              </w:rPr>
              <w:t xml:space="preserve">；</w:t>
            </w:r>
            <w:r/>
          </w:p>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内容一般、电路接入方案基本科学、合理，但未能对所有网络节点根据实际情况制定详细的接入方案，可行性一般的</w:t>
            </w:r>
            <w:r>
              <w:rPr>
                <w:rFonts w:hint="eastAsia" w:ascii="宋体" w:hAnsi="宋体" w:eastAsia="宋体" w:cs="宋体"/>
                <w:b/>
                <w:sz w:val="24"/>
                <w:szCs w:val="24"/>
              </w:rPr>
              <w:t xml:space="preserve">得</w:t>
            </w:r>
            <w:r>
              <w:rPr>
                <w:rStyle w:val="919"/>
                <w:rFonts w:hint="default" w:cs="宋体"/>
                <w:b/>
                <w:sz w:val="24"/>
                <w:szCs w:val="24"/>
              </w:rPr>
              <w:t xml:space="preserve">1</w:t>
            </w:r>
            <w:r>
              <w:rPr>
                <w:rFonts w:hint="eastAsia" w:ascii="宋体" w:hAnsi="宋体" w:eastAsia="宋体" w:cs="宋体"/>
                <w:b/>
                <w:sz w:val="24"/>
                <w:szCs w:val="24"/>
              </w:rPr>
              <w:t xml:space="preserve">分</w:t>
            </w:r>
            <w:r>
              <w:rPr>
                <w:rFonts w:hint="eastAsia" w:ascii="宋体" w:hAnsi="宋体" w:eastAsia="宋体" w:cs="宋体"/>
                <w:bCs/>
                <w:sz w:val="24"/>
                <w:szCs w:val="24"/>
              </w:rPr>
              <w:t xml:space="preserve">；</w:t>
            </w:r>
            <w:r/>
          </w:p>
          <w:p>
            <w:pPr>
              <w:jc w:val="left"/>
              <w:spacing w:line="500" w:lineRule="exact"/>
              <w:rPr>
                <w:rFonts w:hint="eastAsia" w:ascii="宋体" w:hAnsi="宋体" w:eastAsia="宋体" w:cs="宋体"/>
                <w:sz w:val="24"/>
                <w:szCs w:val="24"/>
              </w:rPr>
            </w:pPr>
            <w:r>
              <w:rPr>
                <w:rFonts w:hint="eastAsia" w:ascii="宋体" w:hAnsi="宋体" w:eastAsia="宋体" w:cs="宋体"/>
                <w:b/>
                <w:bCs/>
                <w:sz w:val="24"/>
                <w:szCs w:val="24"/>
              </w:rPr>
              <w:t xml:space="preserve">该项未见阐述不得分。</w:t>
            </w:r>
            <w:r/>
          </w:p>
        </w:tc>
      </w:tr>
      <w:tr>
        <w:trPr>
          <w:jc w:val="center"/>
          <w:trHeight w:val="621"/>
        </w:trPr>
        <w:tc>
          <w:tcPr>
            <w:tcW w:w="1835" w:type="dxa"/>
            <w:vAlign w:val="center"/>
            <w:textDirection w:val="lrTb"/>
            <w:noWrap w:val="false"/>
          </w:tcPr>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实施方案</w:t>
            </w:r>
            <w:r/>
          </w:p>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（12分）</w:t>
            </w:r>
            <w:r/>
          </w:p>
        </w:tc>
        <w:tc>
          <w:tcPr>
            <w:tcW w:w="6420" w:type="dxa"/>
            <w:vAlign w:val="center"/>
            <w:textDirection w:val="lrTb"/>
            <w:noWrap w:val="false"/>
          </w:tcPr>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1.提供项目实施的技术服务能力、光纤等各类基础线路资源覆盖方案。</w:t>
            </w:r>
            <w:r/>
          </w:p>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Style w:val="919"/>
                <w:rFonts w:hint="default" w:cs="宋体"/>
                <w:sz w:val="24"/>
                <w:szCs w:val="24"/>
              </w:rPr>
            </w:pPr>
            <w:r>
              <w:rPr>
                <w:rStyle w:val="919"/>
                <w:rFonts w:hint="default" w:cs="宋体"/>
                <w:sz w:val="24"/>
                <w:szCs w:val="24"/>
              </w:rPr>
              <w:t xml:space="preserve">方案细致全面、合理，技术可行性较强</w:t>
            </w:r>
            <w:r>
              <w:rPr>
                <w:rFonts w:hint="eastAsia" w:ascii="宋体" w:hAnsi="宋体" w:eastAsia="宋体" w:cs="宋体"/>
                <w:b/>
                <w:sz w:val="24"/>
                <w:szCs w:val="24"/>
              </w:rPr>
              <w:t xml:space="preserve">得2分</w:t>
            </w:r>
            <w:r>
              <w:rPr>
                <w:rStyle w:val="919"/>
                <w:rFonts w:hint="default" w:cs="宋体"/>
                <w:sz w:val="24"/>
                <w:szCs w:val="24"/>
              </w:rPr>
              <w:t xml:space="preserve">；</w:t>
            </w:r>
            <w:r/>
          </w:p>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Style w:val="919"/>
                <w:rFonts w:hint="default" w:cs="宋体"/>
                <w:bCs/>
                <w:sz w:val="24"/>
                <w:szCs w:val="24"/>
              </w:rPr>
            </w:pPr>
            <w:r>
              <w:rPr>
                <w:rStyle w:val="919"/>
                <w:rFonts w:hint="default" w:cs="宋体"/>
                <w:sz w:val="24"/>
                <w:szCs w:val="24"/>
              </w:rPr>
              <w:t xml:space="preserve">方案较科学合理，有一定技术可行性</w:t>
            </w:r>
            <w:r>
              <w:rPr>
                <w:rFonts w:hint="eastAsia" w:ascii="宋体" w:hAnsi="宋体" w:eastAsia="宋体" w:cs="宋体"/>
                <w:b/>
                <w:sz w:val="24"/>
                <w:szCs w:val="24"/>
              </w:rPr>
              <w:t xml:space="preserve">得1分</w:t>
            </w:r>
            <w:r>
              <w:rPr>
                <w:rStyle w:val="919"/>
                <w:rFonts w:hint="default" w:cs="宋体"/>
                <w:bCs/>
                <w:sz w:val="24"/>
                <w:szCs w:val="24"/>
              </w:rPr>
              <w:t xml:space="preserve">；</w:t>
            </w:r>
            <w:r/>
          </w:p>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Style w:val="919"/>
                <w:rFonts w:hint="default" w:cs="宋体"/>
                <w:b/>
                <w:sz w:val="24"/>
                <w:szCs w:val="24"/>
              </w:rPr>
            </w:pPr>
            <w:r>
              <w:rPr>
                <w:rStyle w:val="919"/>
                <w:rFonts w:hint="default" w:cs="宋体"/>
                <w:bCs/>
                <w:sz w:val="24"/>
                <w:szCs w:val="24"/>
              </w:rPr>
              <w:t xml:space="preserve">方案不完整，内容简单，技术可行性较低</w:t>
            </w:r>
            <w:r>
              <w:rPr>
                <w:rStyle w:val="919"/>
                <w:rFonts w:hint="default" w:cs="宋体"/>
                <w:b/>
                <w:sz w:val="24"/>
                <w:szCs w:val="24"/>
              </w:rPr>
              <w:t xml:space="preserve">得0.5分</w:t>
            </w:r>
            <w:r>
              <w:rPr>
                <w:rStyle w:val="919"/>
                <w:rFonts w:hint="default" w:cs="宋体"/>
                <w:bCs/>
                <w:sz w:val="24"/>
                <w:szCs w:val="24"/>
              </w:rPr>
              <w:t xml:space="preserve">；</w:t>
            </w:r>
            <w:r/>
          </w:p>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Style w:val="919"/>
                <w:rFonts w:hint="default" w:cs="宋体"/>
                <w:b/>
                <w:bCs/>
                <w:sz w:val="24"/>
                <w:szCs w:val="24"/>
              </w:rPr>
              <w:t xml:space="preserve">该项未见阐述不得分。</w:t>
            </w:r>
            <w:r/>
          </w:p>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2.如有IP变更对现有系统的保护和改造方案。</w:t>
            </w:r>
            <w:r/>
          </w:p>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Style w:val="919"/>
                <w:rFonts w:hint="default" w:cs="宋体"/>
                <w:sz w:val="24"/>
                <w:szCs w:val="24"/>
              </w:rPr>
            </w:pPr>
            <w:r>
              <w:rPr>
                <w:rStyle w:val="919"/>
                <w:rFonts w:hint="default" w:cs="宋体"/>
                <w:sz w:val="24"/>
                <w:szCs w:val="24"/>
              </w:rPr>
              <w:t xml:space="preserve">方案细致全面、合理，技术可行性较强</w:t>
            </w:r>
            <w:r>
              <w:rPr>
                <w:rFonts w:hint="eastAsia" w:ascii="宋体" w:hAnsi="宋体" w:eastAsia="宋体" w:cs="宋体"/>
                <w:b/>
                <w:sz w:val="24"/>
                <w:szCs w:val="24"/>
              </w:rPr>
              <w:t xml:space="preserve">得2分</w:t>
            </w:r>
            <w:r>
              <w:rPr>
                <w:rStyle w:val="919"/>
                <w:rFonts w:hint="default" w:cs="宋体"/>
                <w:sz w:val="24"/>
                <w:szCs w:val="24"/>
              </w:rPr>
              <w:t xml:space="preserve">；</w:t>
            </w:r>
            <w:r/>
          </w:p>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Style w:val="919"/>
                <w:rFonts w:hint="default" w:cs="宋体"/>
                <w:b/>
                <w:sz w:val="24"/>
                <w:szCs w:val="24"/>
              </w:rPr>
            </w:pPr>
            <w:r>
              <w:rPr>
                <w:rStyle w:val="919"/>
                <w:rFonts w:hint="default" w:cs="宋体"/>
                <w:sz w:val="24"/>
                <w:szCs w:val="24"/>
              </w:rPr>
              <w:t xml:space="preserve">方案较科学合理，有一定技术可行性</w:t>
            </w:r>
            <w:r>
              <w:rPr>
                <w:rFonts w:hint="eastAsia" w:ascii="宋体" w:hAnsi="宋体" w:eastAsia="宋体" w:cs="宋体"/>
                <w:b/>
                <w:sz w:val="24"/>
                <w:szCs w:val="24"/>
              </w:rPr>
              <w:t xml:space="preserve">得1分</w:t>
            </w:r>
            <w:r>
              <w:rPr>
                <w:rStyle w:val="919"/>
                <w:rFonts w:hint="default" w:cs="宋体"/>
                <w:bCs/>
                <w:sz w:val="24"/>
                <w:szCs w:val="24"/>
              </w:rPr>
              <w:t xml:space="preserve">；</w:t>
            </w:r>
            <w:r/>
          </w:p>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Style w:val="919"/>
                <w:rFonts w:hint="default" w:cs="宋体"/>
                <w:b/>
                <w:sz w:val="24"/>
                <w:szCs w:val="24"/>
              </w:rPr>
            </w:pPr>
            <w:r>
              <w:rPr>
                <w:rStyle w:val="919"/>
                <w:rFonts w:hint="default" w:cs="宋体"/>
                <w:bCs/>
                <w:sz w:val="24"/>
                <w:szCs w:val="24"/>
              </w:rPr>
              <w:t xml:space="preserve">方案不完整，内容简单，技术可行性较低</w:t>
            </w:r>
            <w:r>
              <w:rPr>
                <w:rStyle w:val="919"/>
                <w:rFonts w:hint="default" w:cs="宋体"/>
                <w:b/>
                <w:sz w:val="24"/>
                <w:szCs w:val="24"/>
              </w:rPr>
              <w:t xml:space="preserve">得0.5分</w:t>
            </w:r>
            <w:r>
              <w:rPr>
                <w:rStyle w:val="919"/>
                <w:rFonts w:hint="default" w:cs="宋体"/>
                <w:bCs/>
                <w:sz w:val="24"/>
                <w:szCs w:val="24"/>
              </w:rPr>
              <w:t xml:space="preserve">；</w:t>
            </w:r>
            <w:r/>
          </w:p>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Style w:val="919"/>
                <w:rFonts w:hint="default" w:cs="宋体"/>
                <w:b/>
                <w:bCs/>
                <w:sz w:val="24"/>
                <w:szCs w:val="24"/>
              </w:rPr>
            </w:pPr>
            <w:r>
              <w:rPr>
                <w:rStyle w:val="919"/>
                <w:rFonts w:hint="default" w:cs="宋体"/>
                <w:b/>
                <w:bCs/>
                <w:sz w:val="24"/>
                <w:szCs w:val="24"/>
              </w:rPr>
              <w:t xml:space="preserve">该项未见阐述不得分。</w:t>
            </w:r>
            <w:r/>
          </w:p>
          <w:p>
            <w:pPr>
              <w:spacing w:line="500" w:lineRule="exact"/>
              <w:widowControl/>
              <w:rPr>
                <w:rFonts w:hint="eastAsia" w:ascii="宋体" w:hAnsi="宋体" w:eastAsia="宋体" w:cs="宋体"/>
                <w:b/>
                <w:bCs/>
                <w:color w:val="000000"/>
                <w:sz w:val="24"/>
                <w:szCs w:val="24"/>
              </w:rPr>
            </w:pPr>
            <w:r>
              <w:rPr>
                <w:rFonts w:hint="eastAsia" w:ascii="宋体" w:hAnsi="宋体" w:eastAsia="宋体" w:cs="宋体"/>
                <w:sz w:val="24"/>
                <w:szCs w:val="24"/>
              </w:rPr>
              <w:t xml:space="preserve">3.三四级网、监控专网和智慧交通专网优化保障方案（如需割接，同时提供割接改造的方案，对切割时可能出现的中断提出弥补措施）</w:t>
            </w:r>
            <w:r/>
          </w:p>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Style w:val="919"/>
                <w:rFonts w:hint="default" w:cs="宋体"/>
                <w:sz w:val="24"/>
                <w:szCs w:val="24"/>
              </w:rPr>
            </w:pPr>
            <w:r>
              <w:rPr>
                <w:rStyle w:val="919"/>
                <w:rFonts w:hint="default" w:cs="宋体"/>
                <w:sz w:val="24"/>
                <w:szCs w:val="24"/>
              </w:rPr>
              <w:t xml:space="preserve">方案细致全面、合理，技术可行性较强</w:t>
            </w:r>
            <w:r>
              <w:rPr>
                <w:rFonts w:hint="eastAsia" w:ascii="宋体" w:hAnsi="宋体" w:eastAsia="宋体" w:cs="宋体"/>
                <w:b/>
                <w:sz w:val="24"/>
                <w:szCs w:val="24"/>
              </w:rPr>
              <w:t xml:space="preserve">得4分</w:t>
            </w:r>
            <w:r>
              <w:rPr>
                <w:rStyle w:val="919"/>
                <w:rFonts w:hint="default" w:cs="宋体"/>
                <w:sz w:val="24"/>
                <w:szCs w:val="24"/>
              </w:rPr>
              <w:t xml:space="preserve">；</w:t>
            </w:r>
            <w:r/>
          </w:p>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Style w:val="919"/>
                <w:rFonts w:hint="default" w:cs="宋体"/>
                <w:b/>
                <w:sz w:val="24"/>
                <w:szCs w:val="24"/>
              </w:rPr>
            </w:pPr>
            <w:r>
              <w:rPr>
                <w:rStyle w:val="919"/>
                <w:rFonts w:hint="default" w:cs="宋体"/>
                <w:sz w:val="24"/>
                <w:szCs w:val="24"/>
              </w:rPr>
              <w:t xml:space="preserve">方案较科学合理，有一定技术可行性</w:t>
            </w:r>
            <w:r>
              <w:rPr>
                <w:rFonts w:hint="eastAsia" w:ascii="宋体" w:hAnsi="宋体" w:eastAsia="宋体" w:cs="宋体"/>
                <w:b/>
                <w:sz w:val="24"/>
                <w:szCs w:val="24"/>
              </w:rPr>
              <w:t xml:space="preserve">得2分</w:t>
            </w:r>
            <w:r>
              <w:rPr>
                <w:rStyle w:val="919"/>
                <w:rFonts w:hint="default" w:cs="宋体"/>
                <w:bCs/>
                <w:sz w:val="24"/>
                <w:szCs w:val="24"/>
              </w:rPr>
              <w:t xml:space="preserve">；</w:t>
            </w:r>
            <w:r/>
          </w:p>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Style w:val="919"/>
                <w:rFonts w:hint="default" w:cs="宋体"/>
                <w:b/>
                <w:sz w:val="24"/>
                <w:szCs w:val="24"/>
              </w:rPr>
            </w:pPr>
            <w:r>
              <w:rPr>
                <w:rStyle w:val="919"/>
                <w:rFonts w:hint="default" w:cs="宋体"/>
                <w:bCs/>
                <w:sz w:val="24"/>
                <w:szCs w:val="24"/>
              </w:rPr>
              <w:t xml:space="preserve">方案不完整，内容简单，技术可行性较低</w:t>
            </w:r>
            <w:r>
              <w:rPr>
                <w:rStyle w:val="919"/>
                <w:rFonts w:hint="default" w:cs="宋体"/>
                <w:b/>
                <w:sz w:val="24"/>
                <w:szCs w:val="24"/>
              </w:rPr>
              <w:t xml:space="preserve">得1分</w:t>
            </w:r>
            <w:r>
              <w:rPr>
                <w:rStyle w:val="919"/>
                <w:rFonts w:hint="default" w:cs="宋体"/>
                <w:bCs/>
                <w:sz w:val="24"/>
                <w:szCs w:val="24"/>
              </w:rPr>
              <w:t xml:space="preserve">；</w:t>
            </w:r>
            <w:r/>
          </w:p>
          <w:p>
            <w:pPr>
              <w:jc w:val="left"/>
              <w:spacing w:line="500" w:lineRule="exact"/>
              <w:rPr>
                <w:rStyle w:val="919"/>
                <w:rFonts w:hint="default" w:cs="宋体"/>
                <w:b/>
                <w:bCs/>
                <w:sz w:val="24"/>
                <w:szCs w:val="24"/>
              </w:rPr>
            </w:pPr>
            <w:r>
              <w:rPr>
                <w:rStyle w:val="919"/>
                <w:rFonts w:hint="default" w:cs="宋体"/>
                <w:b/>
                <w:bCs/>
                <w:sz w:val="24"/>
                <w:szCs w:val="24"/>
              </w:rPr>
              <w:t xml:space="preserve">该项未见阐述不得分。</w:t>
            </w:r>
            <w:r/>
          </w:p>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4.三四级网与省厅二级网对接联调方案。</w:t>
            </w:r>
            <w:r/>
          </w:p>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Style w:val="919"/>
                <w:rFonts w:hint="default" w:cs="宋体"/>
                <w:sz w:val="24"/>
                <w:szCs w:val="24"/>
              </w:rPr>
            </w:pPr>
            <w:r>
              <w:rPr>
                <w:rStyle w:val="919"/>
                <w:rFonts w:hint="default" w:cs="宋体"/>
                <w:sz w:val="24"/>
                <w:szCs w:val="24"/>
              </w:rPr>
              <w:t xml:space="preserve">方案细致全面、合理，技术可行性较强</w:t>
            </w:r>
            <w:r>
              <w:rPr>
                <w:rFonts w:hint="eastAsia" w:ascii="宋体" w:hAnsi="宋体" w:eastAsia="宋体" w:cs="宋体"/>
                <w:bCs/>
                <w:sz w:val="24"/>
                <w:szCs w:val="24"/>
              </w:rPr>
              <w:t xml:space="preserve">得</w:t>
            </w:r>
            <w:r>
              <w:rPr>
                <w:rFonts w:hint="eastAsia" w:ascii="宋体" w:hAnsi="宋体" w:eastAsia="宋体" w:cs="宋体"/>
                <w:b/>
                <w:sz w:val="24"/>
                <w:szCs w:val="24"/>
              </w:rPr>
              <w:t xml:space="preserve">4分</w:t>
            </w:r>
            <w:r>
              <w:rPr>
                <w:rStyle w:val="919"/>
                <w:rFonts w:hint="default" w:cs="宋体"/>
                <w:sz w:val="24"/>
                <w:szCs w:val="24"/>
              </w:rPr>
              <w:t xml:space="preserve">；</w:t>
            </w:r>
            <w:r/>
          </w:p>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Style w:val="919"/>
                <w:rFonts w:hint="default" w:cs="宋体"/>
                <w:b/>
                <w:sz w:val="24"/>
                <w:szCs w:val="24"/>
              </w:rPr>
            </w:pPr>
            <w:r>
              <w:rPr>
                <w:rStyle w:val="919"/>
                <w:rFonts w:hint="default" w:cs="宋体"/>
                <w:sz w:val="24"/>
                <w:szCs w:val="24"/>
              </w:rPr>
              <w:t xml:space="preserve">方案较科学合理，有一定技术可行性</w:t>
            </w:r>
            <w:r>
              <w:rPr>
                <w:rFonts w:hint="eastAsia" w:ascii="宋体" w:hAnsi="宋体" w:eastAsia="宋体" w:cs="宋体"/>
                <w:b/>
                <w:sz w:val="24"/>
                <w:szCs w:val="24"/>
              </w:rPr>
              <w:t xml:space="preserve">得2分</w:t>
            </w:r>
            <w:r>
              <w:rPr>
                <w:rStyle w:val="919"/>
                <w:rFonts w:hint="default" w:cs="宋体"/>
                <w:b/>
                <w:sz w:val="24"/>
                <w:szCs w:val="24"/>
              </w:rPr>
              <w:t xml:space="preserve">；</w:t>
            </w:r>
            <w:r/>
          </w:p>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Style w:val="919"/>
                <w:rFonts w:hint="default" w:cs="宋体"/>
                <w:b/>
                <w:sz w:val="24"/>
                <w:szCs w:val="24"/>
              </w:rPr>
            </w:pPr>
            <w:r>
              <w:rPr>
                <w:rStyle w:val="919"/>
                <w:rFonts w:hint="default" w:cs="宋体"/>
                <w:bCs/>
                <w:sz w:val="24"/>
                <w:szCs w:val="24"/>
              </w:rPr>
              <w:t xml:space="preserve">方案不完整，内容简单，技术可行性较低得</w:t>
            </w:r>
            <w:r>
              <w:rPr>
                <w:rStyle w:val="919"/>
                <w:rFonts w:hint="default" w:cs="宋体"/>
                <w:b/>
                <w:sz w:val="24"/>
                <w:szCs w:val="24"/>
              </w:rPr>
              <w:t xml:space="preserve">1分</w:t>
            </w:r>
            <w:r>
              <w:rPr>
                <w:rStyle w:val="919"/>
                <w:rFonts w:hint="default" w:cs="宋体"/>
                <w:bCs/>
                <w:sz w:val="24"/>
                <w:szCs w:val="24"/>
              </w:rPr>
              <w:t xml:space="preserve">；</w:t>
            </w:r>
            <w:r/>
          </w:p>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Style w:val="919"/>
                <w:rFonts w:hint="default" w:cs="宋体"/>
                <w:b/>
                <w:bCs/>
                <w:sz w:val="24"/>
                <w:szCs w:val="24"/>
              </w:rPr>
              <w:t xml:space="preserve">该项未见阐述不得分。</w:t>
            </w:r>
            <w:r/>
          </w:p>
        </w:tc>
      </w:tr>
      <w:tr>
        <w:trPr>
          <w:jc w:val="center"/>
          <w:trHeight w:val="621"/>
        </w:trPr>
        <w:tc>
          <w:tcPr>
            <w:tcW w:w="1835" w:type="dxa"/>
            <w:vAlign w:val="center"/>
            <w:textDirection w:val="lrTb"/>
            <w:noWrap w:val="false"/>
          </w:tcPr>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运行保障服务方案（4分）</w:t>
            </w:r>
            <w:r/>
          </w:p>
        </w:tc>
        <w:tc>
          <w:tcPr>
            <w:tcW w:w="6420" w:type="dxa"/>
            <w:vAlign w:val="center"/>
            <w:textDirection w:val="lrTb"/>
            <w:noWrap w:val="false"/>
          </w:tcPr>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Style w:val="919"/>
                <w:rFonts w:hint="default" w:cs="宋体"/>
                <w:sz w:val="24"/>
                <w:szCs w:val="24"/>
              </w:rPr>
            </w:pPr>
            <w:r>
              <w:rPr>
                <w:rStyle w:val="919"/>
                <w:rFonts w:hint="default" w:cs="宋体"/>
                <w:sz w:val="24"/>
                <w:szCs w:val="24"/>
              </w:rPr>
              <w:t xml:space="preserve">投标人结合项目需求提供</w:t>
            </w:r>
            <w:r>
              <w:rPr>
                <w:rFonts w:hint="eastAsia" w:ascii="宋体" w:hAnsi="宋体" w:eastAsia="宋体" w:cs="宋体"/>
                <w:sz w:val="24"/>
                <w:szCs w:val="24"/>
              </w:rPr>
              <w:t xml:space="preserve">运行保障服务方案，方案包括但不限于</w:t>
            </w:r>
            <w:r>
              <w:rPr>
                <w:rStyle w:val="919"/>
                <w:rFonts w:hint="default" w:cs="宋体"/>
                <w:sz w:val="24"/>
                <w:szCs w:val="24"/>
              </w:rPr>
              <w:t xml:space="preserve">安全运行和应急相应提供的保障方案、</w:t>
            </w:r>
            <w:r>
              <w:rPr>
                <w:rFonts w:hint="eastAsia" w:ascii="宋体" w:hAnsi="宋体" w:eastAsia="宋体" w:cs="宋体"/>
                <w:sz w:val="24"/>
                <w:szCs w:val="24"/>
              </w:rPr>
              <w:t xml:space="preserve">日常维护方案</w:t>
            </w:r>
            <w:r>
              <w:rPr>
                <w:rStyle w:val="919"/>
                <w:rFonts w:hint="default" w:cs="宋体"/>
                <w:sz w:val="24"/>
                <w:szCs w:val="24"/>
              </w:rPr>
              <w:t xml:space="preserve">、个性化服务和综合服务方案等：</w:t>
            </w:r>
            <w:r/>
          </w:p>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Style w:val="919"/>
                <w:rFonts w:hint="default" w:cs="宋体"/>
                <w:sz w:val="24"/>
                <w:szCs w:val="24"/>
              </w:rPr>
            </w:pPr>
            <w:r>
              <w:rPr>
                <w:rStyle w:val="919"/>
                <w:rFonts w:hint="default" w:cs="宋体"/>
                <w:sz w:val="24"/>
                <w:szCs w:val="24"/>
              </w:rPr>
              <w:t xml:space="preserve">方案包含上述内容，细致全面，清晰合理，技术可行性较强的</w:t>
            </w:r>
            <w:r>
              <w:rPr>
                <w:rStyle w:val="919"/>
                <w:rFonts w:hint="default" w:cs="宋体"/>
                <w:b/>
                <w:sz w:val="24"/>
                <w:szCs w:val="24"/>
              </w:rPr>
              <w:t xml:space="preserve">得</w:t>
            </w:r>
            <w:r>
              <w:rPr>
                <w:rFonts w:hint="eastAsia" w:ascii="宋体" w:hAnsi="宋体" w:eastAsia="宋体" w:cs="宋体"/>
                <w:b/>
                <w:sz w:val="24"/>
                <w:szCs w:val="24"/>
              </w:rPr>
              <w:t xml:space="preserve">4</w:t>
            </w:r>
            <w:r>
              <w:rPr>
                <w:rStyle w:val="919"/>
                <w:rFonts w:hint="default" w:cs="宋体"/>
                <w:b/>
                <w:sz w:val="24"/>
                <w:szCs w:val="24"/>
              </w:rPr>
              <w:t xml:space="preserve">分</w:t>
            </w:r>
            <w:r>
              <w:rPr>
                <w:rStyle w:val="919"/>
                <w:rFonts w:hint="default" w:cs="宋体"/>
                <w:sz w:val="24"/>
                <w:szCs w:val="24"/>
              </w:rPr>
              <w:t xml:space="preserve">；</w:t>
            </w:r>
            <w:r/>
          </w:p>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Style w:val="919"/>
                <w:rFonts w:hint="default" w:cs="宋体"/>
                <w:sz w:val="24"/>
                <w:szCs w:val="24"/>
              </w:rPr>
            </w:pPr>
            <w:r>
              <w:rPr>
                <w:rStyle w:val="919"/>
                <w:rFonts w:hint="default" w:cs="宋体"/>
                <w:sz w:val="24"/>
                <w:szCs w:val="24"/>
              </w:rPr>
              <w:t xml:space="preserve">方案基本包含上述内容，较科学合理，有一定技术可行性的</w:t>
            </w:r>
            <w:r>
              <w:rPr>
                <w:rStyle w:val="919"/>
                <w:rFonts w:hint="default" w:cs="宋体"/>
                <w:b/>
                <w:sz w:val="24"/>
                <w:szCs w:val="24"/>
              </w:rPr>
              <w:t xml:space="preserve">得</w:t>
            </w:r>
            <w:r>
              <w:rPr>
                <w:rFonts w:hint="eastAsia" w:ascii="宋体" w:hAnsi="宋体" w:eastAsia="宋体" w:cs="宋体"/>
                <w:b/>
                <w:sz w:val="24"/>
                <w:szCs w:val="24"/>
              </w:rPr>
              <w:t xml:space="preserve">2</w:t>
            </w:r>
            <w:r>
              <w:rPr>
                <w:rStyle w:val="919"/>
                <w:rFonts w:hint="default" w:cs="宋体"/>
                <w:b/>
                <w:sz w:val="24"/>
                <w:szCs w:val="24"/>
              </w:rPr>
              <w:t xml:space="preserve">分</w:t>
            </w:r>
            <w:r>
              <w:rPr>
                <w:rStyle w:val="919"/>
                <w:rFonts w:hint="default" w:cs="宋体"/>
                <w:bCs/>
                <w:sz w:val="24"/>
                <w:szCs w:val="24"/>
              </w:rPr>
              <w:t xml:space="preserve">；</w:t>
            </w:r>
            <w:r/>
          </w:p>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Style w:val="919"/>
                <w:rFonts w:hint="default" w:cs="宋体"/>
                <w:b/>
                <w:sz w:val="24"/>
                <w:szCs w:val="24"/>
              </w:rPr>
            </w:pPr>
            <w:r>
              <w:rPr>
                <w:rStyle w:val="919"/>
                <w:rFonts w:hint="default" w:cs="宋体"/>
                <w:sz w:val="24"/>
                <w:szCs w:val="24"/>
              </w:rPr>
              <w:t xml:space="preserve">上述方案内容有缺项，内容简单粗糙，不清晰，技术可行性较低的</w:t>
            </w:r>
            <w:r>
              <w:rPr>
                <w:rStyle w:val="919"/>
                <w:rFonts w:hint="default" w:cs="宋体"/>
                <w:b/>
                <w:sz w:val="24"/>
                <w:szCs w:val="24"/>
              </w:rPr>
              <w:t xml:space="preserve">得</w:t>
            </w:r>
            <w:r>
              <w:rPr>
                <w:rFonts w:hint="eastAsia" w:ascii="宋体" w:hAnsi="宋体" w:eastAsia="宋体" w:cs="宋体"/>
                <w:b/>
                <w:sz w:val="24"/>
                <w:szCs w:val="24"/>
              </w:rPr>
              <w:t xml:space="preserve">1</w:t>
            </w:r>
            <w:r>
              <w:rPr>
                <w:rStyle w:val="919"/>
                <w:rFonts w:hint="default" w:cs="宋体"/>
                <w:b/>
                <w:sz w:val="24"/>
                <w:szCs w:val="24"/>
              </w:rPr>
              <w:t xml:space="preserve">分</w:t>
            </w:r>
            <w:r>
              <w:rPr>
                <w:rStyle w:val="919"/>
                <w:rFonts w:hint="default" w:cs="宋体"/>
                <w:bCs/>
                <w:sz w:val="24"/>
                <w:szCs w:val="24"/>
              </w:rPr>
              <w:t xml:space="preserve">。</w:t>
            </w:r>
            <w:r/>
          </w:p>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Style w:val="919"/>
                <w:rFonts w:hint="default" w:cs="宋体"/>
                <w:b/>
                <w:bCs/>
                <w:sz w:val="24"/>
                <w:szCs w:val="24"/>
              </w:rPr>
              <w:t xml:space="preserve">该项未见阐述不得分。</w:t>
            </w:r>
            <w:r/>
          </w:p>
        </w:tc>
      </w:tr>
    </w:tbl>
    <w:p>
      <w:pPr>
        <w:spacing w:line="360" w:lineRule="auto"/>
        <w:rPr>
          <w:rFonts w:hint="eastAsia" w:ascii="宋体" w:hAnsi="宋体" w:eastAsia="宋体" w:cs="Calibri"/>
          <w:b/>
          <w:color w:val="000000"/>
          <w:sz w:val="24"/>
          <w:szCs w:val="24"/>
        </w:rPr>
      </w:pPr>
      <w:r>
        <w:rPr>
          <w:rFonts w:hint="eastAsia" w:ascii="宋体" w:hAnsi="宋体" w:cs="Calibri"/>
          <w:b/>
          <w:color w:val="000000"/>
          <w:sz w:val="24"/>
          <w:szCs w:val="24"/>
        </w:rPr>
        <w:t xml:space="preserve">注;</w:t>
      </w:r>
      <w:r/>
    </w:p>
    <w:p>
      <w:pPr>
        <w:spacing w:line="360" w:lineRule="auto"/>
        <w:rPr>
          <w:rFonts w:hint="eastAsia" w:ascii="宋体" w:hAnsi="宋体" w:cs="Calibri"/>
          <w:b/>
          <w:color w:val="000000"/>
          <w:sz w:val="24"/>
          <w:szCs w:val="24"/>
        </w:rPr>
      </w:pPr>
      <w:r>
        <w:rPr>
          <w:rFonts w:hint="eastAsia" w:ascii="宋体" w:hAnsi="宋体" w:cs="Calibri"/>
          <w:b/>
          <w:color w:val="000000"/>
          <w:sz w:val="24"/>
          <w:szCs w:val="24"/>
        </w:rPr>
        <w:t xml:space="preserve">1.本项目评标标准中的技术分（20分）采用暗标方式进行评审。</w:t>
      </w:r>
      <w:r/>
    </w:p>
    <w:p>
      <w:pPr>
        <w:spacing w:line="360" w:lineRule="auto"/>
        <w:rPr>
          <w:rFonts w:hint="eastAsia" w:ascii="宋体" w:hAnsi="宋体" w:cs="Calibri"/>
          <w:b/>
          <w:color w:val="000000"/>
          <w:sz w:val="24"/>
          <w:szCs w:val="24"/>
        </w:rPr>
      </w:pPr>
      <w:r>
        <w:rPr>
          <w:rFonts w:hint="eastAsia" w:ascii="宋体" w:hAnsi="宋体" w:cs="Calibri"/>
          <w:b/>
          <w:color w:val="000000"/>
          <w:sz w:val="24"/>
          <w:szCs w:val="24"/>
        </w:rPr>
        <w:t xml:space="preserve">2.编制要求：</w:t>
      </w:r>
      <w:r/>
    </w:p>
    <w:p>
      <w:pPr>
        <w:spacing w:line="400" w:lineRule="exact"/>
        <w:rPr>
          <w:rFonts w:hint="eastAsia"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p>
    <w:p>
      <w:pPr>
        <w:jc w:val="left"/>
        <w:spacing w:line="360" w:lineRule="auto"/>
        <w:widowControl/>
        <w:rPr>
          <w:rFonts w:hint="eastAsia"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spacing w:line="360" w:lineRule="auto"/>
        <w:widowControl/>
        <w:rPr>
          <w:rFonts w:hint="eastAsia" w:ascii="宋体" w:hAnsi="宋体" w:cs="Calibri"/>
          <w:b/>
          <w:color w:val="000000"/>
          <w:sz w:val="24"/>
          <w:szCs w:val="24"/>
        </w:rPr>
      </w:pPr>
      <w:r>
        <w:rPr>
          <w:rFonts w:hint="eastAsia" w:ascii="宋体" w:hAnsi="宋体" w:cs="Calibri"/>
          <w:b/>
          <w:color w:val="000000"/>
          <w:sz w:val="24"/>
          <w:szCs w:val="24"/>
        </w:rPr>
        <w:t xml:space="preserve">2.3供应商需按照上述要求编制方案，未按要求编制的本项不得分。</w:t>
      </w:r>
      <w:r/>
    </w:p>
    <w:p>
      <w:pPr>
        <w:jc w:val="left"/>
        <w:spacing w:line="360" w:lineRule="auto"/>
        <w:widowControl/>
        <w:rPr>
          <w:rFonts w:hint="eastAsia" w:ascii="宋体" w:hAnsi="宋体" w:cs="Calibri"/>
          <w:b/>
          <w:color w:val="000000"/>
          <w:sz w:val="24"/>
          <w:szCs w:val="24"/>
          <w:highlight w:val="yellow"/>
        </w:rPr>
      </w:pPr>
      <w:r>
        <w:rPr>
          <w:rFonts w:hint="eastAsia" w:ascii="宋体" w:hAnsi="宋体" w:cs="Calibri"/>
          <w:b/>
          <w:color w:val="000000"/>
          <w:sz w:val="24"/>
          <w:szCs w:val="24"/>
          <w:highlight w:val="yellow"/>
        </w:rPr>
      </w:r>
      <w:r/>
    </w:p>
    <w:p>
      <w:pPr>
        <w:ind w:firstLine="480"/>
        <w:jc w:val="left"/>
        <w:spacing w:line="500" w:lineRule="exact"/>
        <w:rPr>
          <w:sz w:val="24"/>
          <w:szCs w:val="24"/>
        </w:rPr>
      </w:pPr>
      <w:r>
        <w:rPr>
          <w:sz w:val="24"/>
          <w:szCs w:val="24"/>
        </w:rPr>
      </w:r>
      <w:r/>
    </w:p>
    <w:p>
      <w:pPr>
        <w:jc w:val="left"/>
        <w:spacing w:line="500" w:lineRule="exact"/>
        <w:rPr>
          <w:sz w:val="24"/>
          <w:szCs w:val="24"/>
        </w:rPr>
      </w:pPr>
      <w:r/>
      <w:bookmarkStart w:id="24" w:name="_GoBack"/>
      <w:r/>
      <w:bookmarkEnd w:id="24"/>
      <w:r/>
      <w:r/>
    </w:p>
    <w:p>
      <w:pPr>
        <w:jc w:val="center"/>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采购包3</w:t>
      </w:r>
      <w:r/>
    </w:p>
    <w:p>
      <w:pPr>
        <w:jc w:val="center"/>
        <w:spacing w:line="500" w:lineRule="exact"/>
        <w:rPr>
          <w:rFonts w:hint="eastAsia" w:ascii="黑体" w:hAnsi="黑体" w:eastAsia="黑体"/>
          <w:sz w:val="32"/>
          <w:szCs w:val="24"/>
        </w:rPr>
      </w:pPr>
      <w:r>
        <w:rPr>
          <w:rFonts w:hint="eastAsia" w:ascii="黑体" w:hAnsi="黑体" w:eastAsia="黑体"/>
          <w:sz w:val="32"/>
          <w:szCs w:val="24"/>
        </w:rPr>
      </w:r>
      <w:r/>
    </w:p>
    <w:p>
      <w:pPr>
        <w:jc w:val="center"/>
        <w:spacing w:line="500" w:lineRule="exact"/>
        <w:rPr>
          <w:rFonts w:hint="eastAsia" w:asciiTheme="minorEastAsia" w:hAnsiTheme="minorEastAsia"/>
          <w:b/>
          <w:sz w:val="24"/>
          <w:szCs w:val="24"/>
        </w:rPr>
      </w:pPr>
      <w:r>
        <w:rPr>
          <w:rFonts w:hint="eastAsia" w:ascii="黑体" w:hAnsi="黑体" w:eastAsia="黑体"/>
          <w:sz w:val="32"/>
          <w:szCs w:val="24"/>
        </w:rPr>
        <w:t xml:space="preserve">综合评分法</w:t>
      </w:r>
      <w:r/>
    </w:p>
    <w:p>
      <w:pPr>
        <w:ind w:firstLine="482"/>
        <w:spacing w:line="500" w:lineRule="exact"/>
        <w:rPr>
          <w:b/>
          <w:sz w:val="24"/>
          <w:szCs w:val="24"/>
        </w:rPr>
      </w:pPr>
      <w:r>
        <w:rPr>
          <w:rFonts w:hint="eastAsia" w:asciiTheme="minorEastAsia" w:hAnsiTheme="minorEastAsia"/>
          <w:b/>
          <w:sz w:val="24"/>
          <w:szCs w:val="24"/>
        </w:rPr>
        <w:t xml:space="preserve">1.价格分（15分）</w:t>
      </w:r>
      <w:r/>
    </w:p>
    <w:p>
      <w:pPr>
        <w:ind w:firstLine="480"/>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rPr>
          <w:sz w:val="24"/>
          <w:szCs w:val="24"/>
        </w:rPr>
      </w:pPr>
      <w:r>
        <w:rPr>
          <w:rFonts w:hint="eastAsia"/>
          <w:sz w:val="24"/>
          <w:szCs w:val="24"/>
        </w:rPr>
        <w:t xml:space="preserve">投标报价得分=（评标基准价/投标报价）×10分。</w:t>
      </w:r>
      <w:r/>
    </w:p>
    <w:p>
      <w:pPr>
        <w:ind w:firstLine="480"/>
        <w:spacing w:line="500" w:lineRule="exact"/>
        <w:rPr>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2.商务分（51分）</w:t>
      </w:r>
      <w:r/>
    </w:p>
    <w:tbl>
      <w:tblPr>
        <w:tblStyle w:val="842"/>
        <w:tblW w:w="495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7"/>
        <w:gridCol w:w="6670"/>
      </w:tblGrid>
      <w:tr>
        <w:trPr>
          <w:jc w:val="center"/>
          <w:trHeight w:val="621"/>
        </w:trPr>
        <w:tc>
          <w:tcPr>
            <w:tcW w:w="1047" w:type="pct"/>
            <w:vAlign w:val="center"/>
            <w:textDirection w:val="lrTb"/>
            <w:noWrap w:val="false"/>
          </w:tcPr>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3952" w:type="pct"/>
            <w:vAlign w:val="center"/>
            <w:textDirection w:val="lrTb"/>
            <w:noWrap w:val="false"/>
          </w:tcPr>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047" w:type="pct"/>
            <w:vAlign w:val="center"/>
            <w:textDirection w:val="lrTb"/>
            <w:noWrap w:val="false"/>
          </w:tcPr>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color w:val="000000"/>
                <w:sz w:val="24"/>
                <w:szCs w:val="24"/>
              </w:rPr>
            </w:pPr>
            <w:r>
              <w:rPr>
                <w:rFonts w:hint="eastAsia" w:ascii="宋体" w:hAnsi="宋体" w:eastAsia="宋体" w:cs="宋体"/>
                <w:sz w:val="24"/>
                <w:szCs w:val="24"/>
              </w:rPr>
              <w:t xml:space="preserve">技术参数响应（20分）</w:t>
            </w:r>
            <w:r/>
          </w:p>
        </w:tc>
        <w:tc>
          <w:tcPr>
            <w:tcW w:w="3952" w:type="pct"/>
            <w:vAlign w:val="center"/>
            <w:textDirection w:val="lrTb"/>
            <w:noWrap w:val="false"/>
          </w:tcPr>
          <w:p>
            <w:pPr>
              <w:spacing w:line="48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技术参数响应评审基准分20分，标注“▲”项的参数每有一项负偏离扣2分，非“▲”项的参数每有一项负偏离扣1分，扣完为止。</w:t>
            </w:r>
            <w:r/>
          </w:p>
          <w:p>
            <w:pP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color w:val="000000"/>
                <w:sz w:val="24"/>
                <w:szCs w:val="24"/>
              </w:rPr>
            </w:pPr>
            <w:r>
              <w:rPr>
                <w:rFonts w:hint="eastAsia" w:asciiTheme="minorEastAsia" w:hAnsiTheme="minorEastAsia" w:cstheme="minorEastAsia"/>
                <w:b/>
                <w:sz w:val="24"/>
                <w:szCs w:val="24"/>
              </w:rPr>
              <w:t xml:space="preserve">（1.投标文件中详细填写技术要求响应及偏离表，须逐条响应。标注“▲”项要求提供证明材料的未提供证明材料或经评审委员会认定所提供材料与招标文件要求不符的均视为负偏离。</w:t>
            </w:r>
            <w:r>
              <w:rPr>
                <w:rFonts w:hint="eastAsia" w:ascii="宋体" w:hAnsi="宋体" w:eastAsia="宋体" w:cs="宋体"/>
                <w:b/>
                <w:sz w:val="24"/>
                <w:szCs w:val="24"/>
              </w:rPr>
              <w:t xml:space="preserve">2.所有技术参数及功能指标中所要求的检测报告检测项与技术参数及功能指标中所列要求表述不完全一致，功能相近的，由评标委员会统一认定</w:t>
            </w:r>
            <w:r>
              <w:rPr>
                <w:rFonts w:hint="eastAsia" w:asciiTheme="minorEastAsia" w:hAnsiTheme="minorEastAsia" w:cstheme="minorEastAsia"/>
                <w:b/>
                <w:sz w:val="24"/>
                <w:szCs w:val="24"/>
              </w:rPr>
              <w:t xml:space="preserve">）</w:t>
            </w:r>
            <w:r/>
          </w:p>
        </w:tc>
      </w:tr>
      <w:tr>
        <w:trPr>
          <w:jc w:val="center"/>
          <w:trHeight w:val="621"/>
        </w:trPr>
        <w:tc>
          <w:tcPr>
            <w:tcW w:w="1047" w:type="pct"/>
            <w:vAlign w:val="center"/>
            <w:textDirection w:val="lrTb"/>
            <w:noWrap w:val="false"/>
          </w:tcPr>
          <w:p>
            <w:pPr>
              <w:jc w:val="center"/>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业绩</w:t>
            </w:r>
            <w:r/>
          </w:p>
          <w:p>
            <w:pPr>
              <w:jc w:val="center"/>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（10分）</w:t>
            </w:r>
            <w:r/>
          </w:p>
        </w:tc>
        <w:tc>
          <w:tcPr>
            <w:tcW w:w="3952" w:type="pct"/>
            <w:vAlign w:val="center"/>
            <w:textDirection w:val="lrTb"/>
            <w:noWrap w:val="false"/>
          </w:tcPr>
          <w:p>
            <w:pPr>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自2023 年1 月1 日以来，投标人具有与本项目类似项目业绩（合同内容至少需包含数据中心租用或线路租用或短信租用或物联网卡租用任一）的，每提供一个得2.5分，</w:t>
            </w:r>
            <w:r>
              <w:rPr>
                <w:rFonts w:hint="eastAsia" w:ascii="宋体" w:hAnsi="宋体" w:eastAsia="宋体" w:cs="宋体"/>
                <w:b/>
                <w:bCs/>
                <w:sz w:val="24"/>
                <w:szCs w:val="24"/>
              </w:rPr>
              <w:t xml:space="preserve">最高得10分。</w:t>
            </w:r>
            <w:r/>
          </w:p>
          <w:p>
            <w:pPr>
              <w:jc w:val="left"/>
              <w:spacing w:line="50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（投标文件中提供合同扫描件加盖投标人公章，时间、标的内容以合同为准，否则不得分）</w:t>
            </w:r>
            <w:r/>
          </w:p>
        </w:tc>
      </w:tr>
      <w:tr>
        <w:trPr>
          <w:jc w:val="center"/>
          <w:trHeight w:val="621"/>
        </w:trPr>
        <w:tc>
          <w:tcPr>
            <w:tcW w:w="1047" w:type="pct"/>
            <w:vAlign w:val="center"/>
            <w:textDirection w:val="lrTb"/>
            <w:noWrap w:val="false"/>
          </w:tcPr>
          <w:p>
            <w:pPr>
              <w:jc w:val="center"/>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服务承诺</w:t>
            </w:r>
            <w:r/>
          </w:p>
          <w:p>
            <w:pPr>
              <w:jc w:val="center"/>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（9分）</w:t>
            </w:r>
            <w:r/>
          </w:p>
        </w:tc>
        <w:tc>
          <w:tcPr>
            <w:tcW w:w="3952" w:type="pct"/>
            <w:vAlign w:val="center"/>
            <w:textDirection w:val="lrTb"/>
            <w:noWrap w:val="false"/>
          </w:tcPr>
          <w:p>
            <w:pPr>
              <w:jc w:val="left"/>
              <w:spacing w:line="500" w:lineRule="exact"/>
              <w:widowControl/>
              <w:rPr>
                <w:rFonts w:hint="eastAsia" w:ascii="宋体" w:hAnsi="宋体" w:eastAsia="宋体" w:cs="宋体"/>
                <w:b/>
                <w:bCs/>
                <w:sz w:val="24"/>
                <w:szCs w:val="24"/>
              </w:rPr>
            </w:pPr>
            <w:r>
              <w:rPr>
                <w:rFonts w:hint="eastAsia" w:ascii="宋体" w:hAnsi="宋体" w:eastAsia="宋体" w:cs="宋体"/>
                <w:sz w:val="24"/>
                <w:szCs w:val="24"/>
              </w:rPr>
              <w:t xml:space="preserve">1.投标人承诺服务期限内如遇到严重故障或其他紧急突发事件，故障响应时间在5分钟内的</w:t>
            </w:r>
            <w:r>
              <w:rPr>
                <w:rFonts w:hint="eastAsia" w:ascii="宋体" w:hAnsi="宋体" w:eastAsia="宋体" w:cs="宋体"/>
                <w:b/>
                <w:bCs/>
                <w:sz w:val="24"/>
                <w:szCs w:val="24"/>
              </w:rPr>
              <w:t xml:space="preserve">得3分。</w:t>
            </w:r>
            <w:r/>
          </w:p>
          <w:p>
            <w:pPr>
              <w:jc w:val="left"/>
              <w:spacing w:line="500" w:lineRule="exact"/>
              <w:widowControl/>
              <w:rPr>
                <w:rFonts w:hint="eastAsia" w:ascii="宋体" w:hAnsi="宋体" w:eastAsia="宋体" w:cs="宋体"/>
                <w:b/>
                <w:bCs/>
                <w:sz w:val="24"/>
                <w:szCs w:val="24"/>
              </w:rPr>
            </w:pPr>
            <w:r>
              <w:rPr>
                <w:rFonts w:hint="eastAsia" w:ascii="宋体" w:hAnsi="宋体" w:eastAsia="宋体" w:cs="宋体"/>
                <w:sz w:val="24"/>
                <w:szCs w:val="24"/>
              </w:rPr>
              <w:t xml:space="preserve">2.投标人承诺服务期限内如遇到严重故障或其他紧急突发事件，具有处理故障能力的维修人员到达故障服务现场的时间不大于0.5小时的</w:t>
            </w:r>
            <w:r>
              <w:rPr>
                <w:rFonts w:hint="eastAsia" w:ascii="宋体" w:hAnsi="宋体" w:eastAsia="宋体" w:cs="宋体"/>
                <w:b/>
                <w:bCs/>
                <w:sz w:val="24"/>
                <w:szCs w:val="24"/>
              </w:rPr>
              <w:t xml:space="preserve">得3分。</w:t>
            </w:r>
            <w:r>
              <w:rPr>
                <w:rFonts w:hint="eastAsia" w:ascii="宋体" w:hAnsi="宋体" w:eastAsia="宋体" w:cs="宋体"/>
                <w:b/>
                <w:bCs/>
                <w:sz w:val="24"/>
                <w:szCs w:val="24"/>
              </w:rPr>
              <w:br/>
            </w:r>
            <w:r>
              <w:rPr>
                <w:rFonts w:hint="eastAsia" w:ascii="宋体" w:hAnsi="宋体" w:eastAsia="宋体" w:cs="宋体"/>
                <w:sz w:val="24"/>
                <w:szCs w:val="24"/>
              </w:rPr>
              <w:t xml:space="preserve">3.投标人承诺服务期限内严重故障恢复时间不超过1小时的</w:t>
            </w:r>
            <w:r>
              <w:rPr>
                <w:rFonts w:hint="eastAsia" w:ascii="宋体" w:hAnsi="宋体" w:eastAsia="宋体" w:cs="宋体"/>
                <w:b/>
                <w:bCs/>
                <w:sz w:val="24"/>
                <w:szCs w:val="24"/>
              </w:rPr>
              <w:t xml:space="preserve">得3分。</w:t>
            </w:r>
            <w:r/>
          </w:p>
          <w:p>
            <w:pPr>
              <w:pStyle w:val="900"/>
              <w:spacing w:line="500" w:lineRule="exact"/>
            </w:pPr>
            <w:r>
              <w:rPr>
                <w:rFonts w:hint="eastAsia" w:ascii="宋体" w:hAnsi="宋体" w:cs="宋体"/>
                <w:b/>
                <w:bCs/>
                <w:sz w:val="24"/>
              </w:rPr>
              <w:t xml:space="preserve">（上述1-3项投标文件中提供承诺函并加盖投标人公章，须明确承诺内容，否则不得分）</w:t>
            </w:r>
            <w:r/>
          </w:p>
        </w:tc>
      </w:tr>
      <w:tr>
        <w:trPr>
          <w:jc w:val="center"/>
          <w:trHeight w:val="621"/>
        </w:trPr>
        <w:tc>
          <w:tcPr>
            <w:tcW w:w="1047" w:type="pct"/>
            <w:vAlign w:val="center"/>
            <w:textDirection w:val="lrTb"/>
            <w:noWrap w:val="false"/>
          </w:tcPr>
          <w:p>
            <w:pPr>
              <w:jc w:val="center"/>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服务能力</w:t>
            </w:r>
            <w:r/>
          </w:p>
          <w:p>
            <w:pPr>
              <w:jc w:val="center"/>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（12分）</w:t>
            </w:r>
            <w:r/>
          </w:p>
        </w:tc>
        <w:tc>
          <w:tcPr>
            <w:tcW w:w="3952" w:type="pct"/>
            <w:vAlign w:val="center"/>
            <w:textDirection w:val="lrTb"/>
            <w:noWrap w:val="false"/>
          </w:tcPr>
          <w:p>
            <w:pPr>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1.投标人具有有效期内的质量管理体系认证证书的</w:t>
            </w:r>
            <w:r>
              <w:rPr>
                <w:rFonts w:hint="eastAsia" w:ascii="宋体" w:hAnsi="宋体" w:eastAsia="宋体" w:cs="宋体"/>
                <w:b/>
                <w:bCs/>
                <w:sz w:val="24"/>
                <w:szCs w:val="24"/>
              </w:rPr>
              <w:t xml:space="preserve">得3分。</w:t>
            </w:r>
            <w:r/>
          </w:p>
          <w:p>
            <w:pPr>
              <w:jc w:val="left"/>
              <w:spacing w:line="5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（投标文件中提供证书扫描件并加盖投标人公章，否则不得分）</w:t>
            </w:r>
            <w:r/>
          </w:p>
          <w:p>
            <w:pPr>
              <w:jc w:val="left"/>
              <w:spacing w:line="500" w:lineRule="exact"/>
              <w:widowControl/>
              <w:rPr>
                <w:rFonts w:hint="eastAsia" w:ascii="宋体" w:hAnsi="宋体" w:eastAsia="宋体" w:cs="宋体"/>
                <w:b/>
                <w:bCs/>
                <w:sz w:val="24"/>
                <w:szCs w:val="24"/>
              </w:rPr>
            </w:pPr>
            <w:r>
              <w:rPr>
                <w:rFonts w:hint="eastAsia" w:ascii="宋体" w:hAnsi="宋体" w:eastAsia="宋体" w:cs="宋体"/>
                <w:sz w:val="24"/>
                <w:szCs w:val="24"/>
              </w:rPr>
              <w:t xml:space="preserve">2.拟派项目负责人具备高级工程师、ITSS-IT服务项目经理、CISAW信息安全保障人员（安全运维方向）证书的，每提供一个证书得2分，</w:t>
            </w:r>
            <w:r>
              <w:rPr>
                <w:rFonts w:hint="eastAsia" w:ascii="宋体" w:hAnsi="宋体" w:eastAsia="宋体" w:cs="宋体"/>
                <w:b/>
                <w:bCs/>
                <w:sz w:val="24"/>
                <w:szCs w:val="24"/>
              </w:rPr>
              <w:t xml:space="preserve">最高得6分。</w:t>
            </w:r>
            <w:r/>
          </w:p>
          <w:p>
            <w:pPr>
              <w:jc w:val="left"/>
              <w:spacing w:line="500" w:lineRule="exact"/>
              <w:widowControl/>
              <w:rPr>
                <w:rFonts w:hint="eastAsia" w:ascii="宋体" w:hAnsi="宋体" w:eastAsia="宋体" w:cs="宋体"/>
                <w:b/>
                <w:bCs/>
                <w:sz w:val="24"/>
                <w:szCs w:val="24"/>
              </w:rPr>
            </w:pPr>
            <w:r>
              <w:rPr>
                <w:rFonts w:hint="eastAsia" w:ascii="宋体" w:hAnsi="宋体" w:eastAsia="宋体" w:cs="宋体"/>
                <w:sz w:val="24"/>
                <w:szCs w:val="24"/>
              </w:rPr>
              <w:t xml:space="preserve">3.拟派项目团队成员（不含项目负责人）具备网络工程师证书、PMP项目管理专业人士认证证书、CISP注册信息安全专业人员证书的，每提供一个证书得1分，</w:t>
            </w:r>
            <w:r>
              <w:rPr>
                <w:rFonts w:hint="eastAsia" w:ascii="宋体" w:hAnsi="宋体" w:eastAsia="宋体" w:cs="宋体"/>
                <w:b/>
                <w:bCs/>
                <w:sz w:val="24"/>
                <w:szCs w:val="24"/>
              </w:rPr>
              <w:t xml:space="preserve">最高得3分。 </w:t>
            </w:r>
            <w:r/>
          </w:p>
          <w:p>
            <w:pPr>
              <w:jc w:val="left"/>
              <w:spacing w:line="5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(上述2-3项提供证书扫描件及2026年1月以来任意1个月投标人为其缴纳的社保证明扫描件并加盖投标人公章。一人多证不重复得分）</w:t>
            </w:r>
            <w:r/>
          </w:p>
        </w:tc>
      </w:tr>
    </w:tbl>
    <w:p>
      <w:pPr>
        <w:ind w:firstLine="482"/>
        <w:jc w:val="left"/>
        <w:spacing w:line="360" w:lineRule="auto"/>
        <w:rPr>
          <w:rFonts w:hint="eastAsia" w:ascii="宋体" w:hAnsi="宋体" w:cs="Calibri"/>
          <w:b/>
          <w:color w:val="000000"/>
          <w:sz w:val="24"/>
          <w:szCs w:val="24"/>
        </w:rPr>
      </w:pPr>
      <w:r>
        <w:rPr>
          <w:rFonts w:hint="eastAsia" w:ascii="宋体" w:hAnsi="宋体" w:eastAsia="宋体" w:cs="宋体"/>
          <w:b/>
          <w:sz w:val="24"/>
          <w:szCs w:val="24"/>
        </w:rPr>
        <w:t xml:space="preserve">3.技术分（34）（本部分</w:t>
      </w:r>
      <w:r>
        <w:rPr>
          <w:rFonts w:hint="eastAsia" w:ascii="宋体" w:hAnsi="宋体" w:cs="Calibri"/>
          <w:b/>
          <w:color w:val="000000"/>
          <w:sz w:val="24"/>
          <w:szCs w:val="24"/>
        </w:rPr>
        <w:t xml:space="preserve">采用暗标方式进行评审）</w:t>
      </w:r>
      <w:r/>
    </w:p>
    <w:tbl>
      <w:tblPr>
        <w:tblStyle w:val="842"/>
        <w:tblW w:w="494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09"/>
        <w:gridCol w:w="6724"/>
      </w:tblGrid>
      <w:tr>
        <w:trPr>
          <w:jc w:val="center"/>
          <w:trHeight w:val="621"/>
        </w:trPr>
        <w:tc>
          <w:tcPr>
            <w:tcW w:w="1013"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3986"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013" w:type="pct"/>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项目管理方案（7分）</w:t>
            </w:r>
            <w:r/>
          </w:p>
        </w:tc>
        <w:tc>
          <w:tcPr>
            <w:tcW w:w="3986" w:type="pct"/>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投标人结合项目需求提供项目管理方案，方案内容包括但不限于质量管理、安全管理、风险管理、文档管理等内容：</w:t>
            </w:r>
            <w:r/>
          </w:p>
          <w:p>
            <w:pPr>
              <w:jc w:val="left"/>
              <w:spacing w:line="36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对项目的组织设计与管理措施科学合理，有完善的文档管理细则，详细可行的</w:t>
            </w:r>
            <w:r>
              <w:rPr>
                <w:rFonts w:hint="eastAsia" w:ascii="宋体" w:hAnsi="宋体" w:eastAsia="宋体" w:cs="宋体"/>
                <w:b/>
                <w:bCs/>
                <w:sz w:val="24"/>
                <w:szCs w:val="24"/>
              </w:rPr>
              <w:t xml:space="preserve">得7分；</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对项目的组织设计与管理措施较科学合理，有较完善的文档管理细则，较详细可行的</w:t>
            </w:r>
            <w:r>
              <w:rPr>
                <w:rFonts w:hint="eastAsia" w:ascii="宋体" w:hAnsi="宋体" w:eastAsia="宋体" w:cs="宋体"/>
                <w:b/>
                <w:bCs/>
                <w:sz w:val="24"/>
                <w:szCs w:val="24"/>
              </w:rPr>
              <w:t xml:space="preserve">得5分</w:t>
            </w:r>
            <w:r>
              <w:rPr>
                <w:rFonts w:hint="eastAsia" w:ascii="宋体" w:hAnsi="宋体" w:eastAsia="宋体" w:cs="宋体"/>
                <w:sz w:val="24"/>
                <w:szCs w:val="24"/>
              </w:rPr>
              <w:t xml:space="preserve">；</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对项目的组织设计与管理措施合理性一般，可行性差的</w:t>
            </w:r>
            <w:r>
              <w:rPr>
                <w:rFonts w:hint="eastAsia" w:ascii="宋体" w:hAnsi="宋体" w:eastAsia="宋体" w:cs="宋体"/>
                <w:b/>
                <w:bCs/>
                <w:sz w:val="24"/>
                <w:szCs w:val="24"/>
              </w:rPr>
              <w:t xml:space="preserve">得3分</w:t>
            </w:r>
            <w:r>
              <w:rPr>
                <w:rFonts w:hint="eastAsia" w:ascii="宋体" w:hAnsi="宋体" w:eastAsia="宋体" w:cs="宋体"/>
                <w:sz w:val="24"/>
                <w:szCs w:val="24"/>
              </w:rPr>
              <w:t xml:space="preserve">；</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对项目的组织设计与管理措施不合理，无文档管理细则，不可行的</w:t>
            </w:r>
            <w:r>
              <w:rPr>
                <w:rFonts w:hint="eastAsia" w:ascii="宋体" w:hAnsi="宋体" w:eastAsia="宋体" w:cs="宋体"/>
                <w:b/>
                <w:bCs/>
                <w:sz w:val="24"/>
                <w:szCs w:val="24"/>
              </w:rPr>
              <w:t xml:space="preserve">得1分；</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b/>
                <w:bCs/>
                <w:sz w:val="24"/>
                <w:szCs w:val="24"/>
              </w:rPr>
              <w:t xml:space="preserve">该项未见阐述不得分。</w:t>
            </w:r>
            <w:r/>
          </w:p>
        </w:tc>
      </w:tr>
      <w:tr>
        <w:trPr>
          <w:jc w:val="center"/>
          <w:trHeight w:val="621"/>
        </w:trPr>
        <w:tc>
          <w:tcPr>
            <w:tcW w:w="1013" w:type="pct"/>
            <w:vAlign w:val="center"/>
            <w:textDirection w:val="lrTb"/>
            <w:noWrap w:val="false"/>
          </w:tcPr>
          <w:p>
            <w:pPr>
              <w:jc w:val="center"/>
              <w:spacing w:line="360" w:lineRule="auto"/>
              <w:rPr>
                <w:rFonts w:hint="eastAsia" w:ascii="宋体" w:hAnsi="宋体"/>
                <w:sz w:val="24"/>
                <w:szCs w:val="24"/>
              </w:rPr>
            </w:pPr>
            <w:r>
              <w:rPr>
                <w:rFonts w:hint="eastAsia" w:ascii="宋体" w:hAnsi="宋体" w:eastAsia="宋体" w:cs="宋体"/>
                <w:sz w:val="24"/>
                <w:szCs w:val="24"/>
              </w:rPr>
              <w:t xml:space="preserve">应急处置方案</w:t>
            </w:r>
            <w:r>
              <w:rPr>
                <w:rFonts w:hint="eastAsia" w:ascii="宋体" w:hAnsi="宋体" w:eastAsia="宋体" w:cs="宋体"/>
                <w:sz w:val="24"/>
                <w:szCs w:val="24"/>
              </w:rPr>
              <w:br/>
            </w:r>
            <w:r>
              <w:rPr>
                <w:rFonts w:hint="eastAsia" w:ascii="宋体" w:hAnsi="宋体" w:eastAsia="宋体" w:cs="宋体"/>
                <w:sz w:val="24"/>
                <w:szCs w:val="24"/>
              </w:rPr>
              <w:t xml:space="preserve">（7分）</w:t>
            </w:r>
            <w:r/>
          </w:p>
        </w:tc>
        <w:tc>
          <w:tcPr>
            <w:tcW w:w="3986" w:type="pct"/>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投标人结合项目需求提供应急处置方案，方案包括但不限于应急响应、事故解决、处置措施等内容：</w:t>
            </w:r>
            <w:r/>
          </w:p>
          <w:p>
            <w:pPr>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应急故障方案内容全面丰富，框架清晰，应急响应时间合理，可实施性强的</w:t>
            </w:r>
            <w:r>
              <w:rPr>
                <w:rFonts w:hint="eastAsia" w:ascii="宋体" w:hAnsi="宋体" w:eastAsia="宋体" w:cs="宋体"/>
                <w:b/>
                <w:bCs/>
                <w:sz w:val="24"/>
                <w:szCs w:val="24"/>
              </w:rPr>
              <w:t xml:space="preserve">得7分；</w:t>
            </w:r>
            <w:r/>
          </w:p>
          <w:p>
            <w:pPr>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应急故障方案内容较详细，框架较清晰，应急响应时间较合理，可实施性较强的</w:t>
            </w:r>
            <w:r>
              <w:rPr>
                <w:rFonts w:hint="eastAsia" w:ascii="宋体" w:hAnsi="宋体" w:eastAsia="宋体" w:cs="宋体"/>
                <w:b/>
                <w:bCs/>
                <w:sz w:val="24"/>
                <w:szCs w:val="24"/>
              </w:rPr>
              <w:t xml:space="preserve">得5分；</w:t>
            </w:r>
            <w:r/>
          </w:p>
          <w:p>
            <w:pPr>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应急故障方案科学合理性一般、可实施性不强的</w:t>
            </w:r>
            <w:r>
              <w:rPr>
                <w:rFonts w:hint="eastAsia" w:ascii="宋体" w:hAnsi="宋体" w:eastAsia="宋体" w:cs="宋体"/>
                <w:b/>
                <w:bCs/>
                <w:sz w:val="24"/>
                <w:szCs w:val="24"/>
              </w:rPr>
              <w:t xml:space="preserve">得3分；</w:t>
            </w:r>
            <w:r/>
          </w:p>
          <w:p>
            <w:pPr>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应急故障方案内容缺失或严重不合理，框架混乱，无明确应急响应时间，不可实施的</w:t>
            </w:r>
            <w:r>
              <w:rPr>
                <w:rFonts w:hint="eastAsia" w:ascii="宋体" w:hAnsi="宋体" w:eastAsia="宋体" w:cs="宋体"/>
                <w:b/>
                <w:bCs/>
                <w:sz w:val="24"/>
                <w:szCs w:val="24"/>
              </w:rPr>
              <w:t xml:space="preserve">得1分</w:t>
            </w:r>
            <w:r>
              <w:rPr>
                <w:rFonts w:hint="eastAsia" w:ascii="宋体" w:hAnsi="宋体" w:eastAsia="宋体" w:cs="宋体"/>
                <w:sz w:val="24"/>
                <w:szCs w:val="24"/>
              </w:rPr>
              <w:t xml:space="preserve">；</w:t>
            </w:r>
            <w:r/>
          </w:p>
          <w:p>
            <w:pPr>
              <w:jc w:val="left"/>
              <w:spacing w:line="360" w:lineRule="auto"/>
            </w:pPr>
            <w:r>
              <w:rPr>
                <w:rFonts w:hint="eastAsia" w:ascii="宋体" w:hAnsi="宋体" w:eastAsia="宋体" w:cs="宋体"/>
                <w:b/>
                <w:bCs/>
                <w:sz w:val="24"/>
                <w:szCs w:val="24"/>
              </w:rPr>
              <w:t xml:space="preserve">该项未见阐述不得分。</w:t>
            </w:r>
            <w:r/>
          </w:p>
        </w:tc>
      </w:tr>
      <w:tr>
        <w:trPr>
          <w:jc w:val="center"/>
          <w:trHeight w:val="621"/>
        </w:trPr>
        <w:tc>
          <w:tcPr>
            <w:tcW w:w="1013" w:type="pct"/>
            <w:vAlign w:val="center"/>
            <w:textDirection w:val="lrTb"/>
            <w:noWrap w:val="false"/>
          </w:tcPr>
          <w:p>
            <w:pPr>
              <w:jc w:val="center"/>
              <w:spacing w:line="360" w:lineRule="auto"/>
              <w:widowControl/>
              <w:rPr>
                <w:rFonts w:hint="eastAsia" w:ascii="宋体" w:hAnsi="宋体" w:cs="宋体"/>
                <w:sz w:val="24"/>
                <w:szCs w:val="24"/>
              </w:rPr>
            </w:pPr>
            <w:r>
              <w:rPr>
                <w:rFonts w:hint="eastAsia" w:ascii="宋体" w:hAnsi="宋体" w:eastAsia="宋体" w:cs="宋体"/>
                <w:sz w:val="24"/>
                <w:szCs w:val="24"/>
              </w:rPr>
              <w:t xml:space="preserve">售后服务方案</w:t>
            </w:r>
            <w:r>
              <w:rPr>
                <w:rFonts w:hint="eastAsia" w:ascii="宋体" w:hAnsi="宋体" w:cs="宋体"/>
                <w:sz w:val="24"/>
                <w:szCs w:val="24"/>
              </w:rPr>
              <w:t xml:space="preserve">（</w:t>
            </w:r>
            <w:r>
              <w:rPr>
                <w:rFonts w:hint="eastAsia" w:ascii="宋体" w:hAnsi="宋体" w:eastAsia="宋体" w:cs="宋体"/>
                <w:sz w:val="24"/>
                <w:szCs w:val="24"/>
              </w:rPr>
              <w:t xml:space="preserve">7</w:t>
            </w:r>
            <w:r>
              <w:rPr>
                <w:rFonts w:hint="eastAsia" w:ascii="宋体" w:hAnsi="宋体" w:cs="宋体"/>
                <w:sz w:val="24"/>
                <w:szCs w:val="24"/>
              </w:rPr>
              <w:t xml:space="preserve">分）</w:t>
            </w:r>
            <w:r/>
          </w:p>
        </w:tc>
        <w:tc>
          <w:tcPr>
            <w:tcW w:w="3986" w:type="pct"/>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投标人结合项目需求提供售后服务方案，方案包括但不限于</w:t>
            </w:r>
            <w:r>
              <w:rPr>
                <w:rFonts w:hint="eastAsia" w:ascii="宋体" w:hAnsi="宋体" w:eastAsia="宋体" w:cs="宋体"/>
                <w:spacing w:val="-2"/>
                <w:sz w:val="24"/>
                <w:szCs w:val="21"/>
              </w:rPr>
              <w:t xml:space="preserve">售后服务内容、运维保障、故障排除办法</w:t>
            </w:r>
            <w:r>
              <w:rPr>
                <w:rFonts w:hint="eastAsia" w:ascii="宋体" w:hAnsi="宋体" w:eastAsia="宋体" w:cs="宋体"/>
                <w:sz w:val="24"/>
                <w:szCs w:val="24"/>
              </w:rPr>
              <w:t xml:space="preserve">等内容：</w:t>
            </w:r>
            <w:r/>
          </w:p>
          <w:p>
            <w:pPr>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售后服务内容全面丰富，运维保障全面完整，故障排除办法切实可行的</w:t>
            </w:r>
            <w:r>
              <w:rPr>
                <w:rFonts w:hint="eastAsia" w:ascii="宋体" w:hAnsi="宋体" w:eastAsia="宋体" w:cs="宋体"/>
                <w:b/>
                <w:bCs/>
                <w:sz w:val="24"/>
                <w:szCs w:val="24"/>
              </w:rPr>
              <w:t xml:space="preserve">得7分；</w:t>
            </w:r>
            <w:r/>
          </w:p>
          <w:p>
            <w:pPr>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售后服务内容较丰富，运维保障较完整，故障排除办法较可行的</w:t>
            </w:r>
            <w:r>
              <w:rPr>
                <w:rFonts w:hint="eastAsia" w:ascii="宋体" w:hAnsi="宋体" w:eastAsia="宋体" w:cs="宋体"/>
                <w:b/>
                <w:bCs/>
                <w:sz w:val="24"/>
                <w:szCs w:val="24"/>
              </w:rPr>
              <w:t xml:space="preserve">得5分；</w:t>
            </w:r>
            <w:r/>
          </w:p>
          <w:p>
            <w:pPr>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售后服务内容科学合理性一般、可行性不强的</w:t>
            </w:r>
            <w:r>
              <w:rPr>
                <w:rFonts w:hint="eastAsia" w:ascii="宋体" w:hAnsi="宋体" w:eastAsia="宋体" w:cs="宋体"/>
                <w:b/>
                <w:bCs/>
                <w:sz w:val="24"/>
                <w:szCs w:val="24"/>
              </w:rPr>
              <w:t xml:space="preserve">得3分；</w:t>
            </w:r>
            <w:r/>
          </w:p>
          <w:p>
            <w:pPr>
              <w:pStyle w:val="900"/>
              <w:rPr>
                <w:rFonts w:hint="eastAsia" w:ascii="宋体" w:hAnsi="宋体" w:cs="宋体"/>
                <w:b/>
                <w:bCs/>
                <w:sz w:val="24"/>
              </w:rPr>
            </w:pPr>
            <w:r>
              <w:rPr>
                <w:rFonts w:hint="eastAsia" w:ascii="宋体" w:hAnsi="宋体" w:cs="宋体"/>
                <w:sz w:val="24"/>
              </w:rPr>
              <w:t xml:space="preserve">售后服务内容科学合理性差、的</w:t>
            </w:r>
            <w:r>
              <w:rPr>
                <w:rFonts w:hint="eastAsia" w:ascii="宋体" w:hAnsi="宋体" w:cs="宋体"/>
                <w:b/>
                <w:bCs/>
                <w:sz w:val="24"/>
              </w:rPr>
              <w:t xml:space="preserve">得1分；</w:t>
            </w:r>
            <w:r/>
          </w:p>
          <w:p>
            <w:pPr>
              <w:jc w:val="left"/>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eastAsia="宋体" w:cs="宋体"/>
                <w:b/>
                <w:color w:val="000000"/>
                <w:sz w:val="24"/>
                <w:szCs w:val="24"/>
              </w:rPr>
              <w:t xml:space="preserve">该项未见阐述不得分。</w:t>
            </w:r>
            <w:r/>
          </w:p>
        </w:tc>
      </w:tr>
      <w:tr>
        <w:trPr>
          <w:jc w:val="center"/>
          <w:trHeight w:val="621"/>
        </w:trPr>
        <w:tc>
          <w:tcPr>
            <w:tcW w:w="1013"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重点时期保障方案（7分）</w:t>
            </w:r>
            <w:r/>
          </w:p>
        </w:tc>
        <w:tc>
          <w:tcPr>
            <w:tcW w:w="3986" w:type="pct"/>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投标人结合项目需求提供重点时期保障方案，方案内容包括但不限于保障内容、保障措施等内容：</w:t>
            </w:r>
            <w:r/>
          </w:p>
          <w:p>
            <w:pPr>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方案内容丰富详细，保障措施完善的</w:t>
            </w:r>
            <w:r>
              <w:rPr>
                <w:rFonts w:hint="eastAsia" w:ascii="宋体" w:hAnsi="宋体" w:eastAsia="宋体" w:cs="宋体"/>
                <w:b/>
                <w:bCs/>
                <w:sz w:val="24"/>
                <w:szCs w:val="24"/>
              </w:rPr>
              <w:t xml:space="preserve">得7分；</w:t>
            </w:r>
            <w:r/>
          </w:p>
          <w:p>
            <w:pPr>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方案内容内容较详细，保障措施完善的</w:t>
            </w:r>
            <w:r>
              <w:rPr>
                <w:rFonts w:hint="eastAsia" w:ascii="宋体" w:hAnsi="宋体" w:eastAsia="宋体" w:cs="宋体"/>
                <w:b/>
                <w:bCs/>
                <w:sz w:val="24"/>
                <w:szCs w:val="24"/>
              </w:rPr>
              <w:t xml:space="preserve">得5分；</w:t>
            </w:r>
            <w:r/>
          </w:p>
          <w:p>
            <w:pPr>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方案内容单一，保障措施有效性不强的</w:t>
            </w:r>
            <w:r>
              <w:rPr>
                <w:rFonts w:hint="eastAsia" w:ascii="宋体" w:hAnsi="宋体" w:eastAsia="宋体" w:cs="宋体"/>
                <w:b/>
                <w:bCs/>
                <w:sz w:val="24"/>
                <w:szCs w:val="24"/>
              </w:rPr>
              <w:t xml:space="preserve">得3分；</w:t>
            </w:r>
            <w:r/>
          </w:p>
          <w:p>
            <w:pPr>
              <w:jc w:val="left"/>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方案内容空洞，保障措施</w:t>
            </w:r>
            <w:r>
              <w:rPr>
                <w:rFonts w:hint="eastAsia" w:ascii="宋体" w:hAnsi="宋体" w:eastAsia="宋体" w:cs="宋体"/>
                <w:color w:val="000000"/>
                <w:sz w:val="24"/>
                <w:szCs w:val="24"/>
              </w:rPr>
              <w:t xml:space="preserve">距离项目需求有所差距</w:t>
            </w:r>
            <w:r>
              <w:rPr>
                <w:rFonts w:hint="eastAsia" w:ascii="宋体" w:hAnsi="宋体" w:eastAsia="宋体" w:cs="宋体"/>
                <w:sz w:val="24"/>
                <w:szCs w:val="24"/>
              </w:rPr>
              <w:t xml:space="preserve">的</w:t>
            </w:r>
            <w:r>
              <w:rPr>
                <w:rFonts w:hint="eastAsia" w:ascii="宋体" w:hAnsi="宋体" w:eastAsia="宋体" w:cs="宋体"/>
                <w:b/>
                <w:bCs/>
                <w:sz w:val="24"/>
                <w:szCs w:val="24"/>
              </w:rPr>
              <w:t xml:space="preserve">得1分；</w:t>
            </w:r>
            <w:r>
              <w:rPr>
                <w:rFonts w:hint="eastAsia" w:ascii="宋体" w:hAnsi="宋体" w:eastAsia="宋体" w:cs="宋体"/>
                <w:color w:val="000000"/>
                <w:sz w:val="24"/>
                <w:szCs w:val="24"/>
              </w:rPr>
              <w:br/>
            </w:r>
            <w:r>
              <w:rPr>
                <w:rFonts w:hint="eastAsia" w:ascii="宋体" w:hAnsi="宋体" w:eastAsia="宋体" w:cs="宋体"/>
                <w:b/>
                <w:color w:val="000000"/>
                <w:sz w:val="24"/>
                <w:szCs w:val="24"/>
              </w:rPr>
              <w:t xml:space="preserve">该项未见阐述不得分。</w:t>
            </w:r>
            <w:r/>
          </w:p>
        </w:tc>
      </w:tr>
      <w:tr>
        <w:trPr>
          <w:jc w:val="center"/>
          <w:trHeight w:val="621"/>
        </w:trPr>
        <w:tc>
          <w:tcPr>
            <w:tcW w:w="1013"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培训方案</w:t>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（6分）</w:t>
            </w:r>
            <w:r/>
          </w:p>
        </w:tc>
        <w:tc>
          <w:tcPr>
            <w:tcW w:w="3986" w:type="pct"/>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投标人结合项目需求提供培训方案，方案包括但不限于</w:t>
            </w:r>
            <w:r>
              <w:rPr>
                <w:rFonts w:hint="eastAsia" w:ascii="宋体" w:hAnsi="宋体" w:eastAsia="宋体" w:cs="宋体"/>
                <w:spacing w:val="-2"/>
                <w:sz w:val="24"/>
                <w:szCs w:val="21"/>
              </w:rPr>
              <w:t xml:space="preserve">培训内容、培训对象、培训目标</w:t>
            </w:r>
            <w:r>
              <w:rPr>
                <w:rFonts w:hint="eastAsia" w:ascii="宋体" w:hAnsi="宋体" w:eastAsia="宋体" w:cs="宋体"/>
                <w:sz w:val="24"/>
                <w:szCs w:val="24"/>
              </w:rPr>
              <w:t xml:space="preserve">等内容：</w:t>
            </w:r>
            <w:r/>
          </w:p>
          <w:p>
            <w:pPr>
              <w:jc w:val="left"/>
              <w:spacing w:line="360" w:lineRule="auto"/>
              <w:widowControl/>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技术培训方案内容详实，课程设置合理、可操作性强，培训方式多样化的</w:t>
            </w:r>
            <w:r>
              <w:rPr>
                <w:rFonts w:hint="eastAsia" w:ascii="宋体" w:hAnsi="宋体" w:eastAsia="宋体" w:cs="宋体"/>
                <w:b/>
                <w:color w:val="000000"/>
                <w:sz w:val="24"/>
                <w:szCs w:val="24"/>
              </w:rPr>
              <w:t xml:space="preserve">得 6分；</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技术培训方案内容较详实，课程设置较合理，可操作性较强，培训方式固定的</w:t>
            </w:r>
            <w:r>
              <w:rPr>
                <w:rFonts w:hint="eastAsia" w:ascii="宋体" w:hAnsi="宋体" w:eastAsia="宋体" w:cs="宋体"/>
                <w:b/>
                <w:color w:val="000000"/>
                <w:sz w:val="24"/>
                <w:szCs w:val="24"/>
              </w:rPr>
              <w:t xml:space="preserve">得4.5分；</w:t>
            </w:r>
            <w:r/>
          </w:p>
          <w:p>
            <w:pPr>
              <w:jc w:val="left"/>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技术培训方案内容简单粗糙，课程设置及培训方式单一，可操作不强的</w:t>
            </w:r>
            <w:r>
              <w:rPr>
                <w:rFonts w:hint="eastAsia" w:ascii="宋体" w:hAnsi="宋体" w:eastAsia="宋体" w:cs="宋体"/>
                <w:b/>
                <w:color w:val="000000"/>
                <w:sz w:val="24"/>
                <w:szCs w:val="24"/>
              </w:rPr>
              <w:t xml:space="preserve">得3分；</w:t>
            </w:r>
            <w:r/>
          </w:p>
          <w:p>
            <w:pPr>
              <w:jc w:val="left"/>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技术培训方案内容空洞，课程设置有所缺失，距离项目需求有所差距的</w:t>
            </w:r>
            <w:r>
              <w:rPr>
                <w:rFonts w:hint="eastAsia" w:ascii="宋体" w:hAnsi="宋体" w:eastAsia="宋体" w:cs="宋体"/>
                <w:b/>
                <w:color w:val="000000"/>
                <w:sz w:val="24"/>
                <w:szCs w:val="24"/>
              </w:rPr>
              <w:t xml:space="preserve">得1.5分；</w:t>
            </w:r>
            <w:r>
              <w:rPr>
                <w:rFonts w:hint="eastAsia" w:ascii="宋体" w:hAnsi="宋体" w:eastAsia="宋体" w:cs="宋体"/>
                <w:color w:val="000000"/>
                <w:sz w:val="24"/>
                <w:szCs w:val="24"/>
              </w:rPr>
              <w:br/>
            </w:r>
            <w:r>
              <w:rPr>
                <w:rFonts w:hint="eastAsia" w:ascii="宋体" w:hAnsi="宋体" w:eastAsia="宋体" w:cs="宋体"/>
                <w:b/>
                <w:color w:val="000000"/>
                <w:sz w:val="24"/>
                <w:szCs w:val="24"/>
              </w:rPr>
              <w:t xml:space="preserve">该项未见阐述不得分。</w:t>
            </w:r>
            <w:r/>
          </w:p>
        </w:tc>
      </w:tr>
    </w:tbl>
    <w:p>
      <w:pPr>
        <w:spacing w:line="360" w:lineRule="auto"/>
        <w:rPr>
          <w:rFonts w:hint="eastAsia" w:ascii="宋体" w:hAnsi="宋体" w:cs="Calibri"/>
          <w:b/>
          <w:color w:val="000000"/>
          <w:sz w:val="24"/>
          <w:szCs w:val="24"/>
        </w:rPr>
      </w:pPr>
      <w:r>
        <w:rPr>
          <w:rFonts w:hint="eastAsia" w:ascii="宋体" w:hAnsi="宋体" w:cs="Calibri"/>
          <w:b/>
          <w:color w:val="000000"/>
          <w:sz w:val="24"/>
          <w:szCs w:val="24"/>
        </w:rPr>
        <w:t xml:space="preserve">注：</w:t>
      </w:r>
      <w:r/>
    </w:p>
    <w:p>
      <w:pPr>
        <w:spacing w:line="360" w:lineRule="auto"/>
        <w:rPr>
          <w:rFonts w:hint="eastAsia" w:ascii="宋体" w:hAnsi="宋体" w:cs="Calibri"/>
          <w:b/>
          <w:color w:val="000000"/>
          <w:sz w:val="24"/>
          <w:szCs w:val="24"/>
        </w:rPr>
      </w:pPr>
      <w:r>
        <w:rPr>
          <w:rFonts w:hint="eastAsia" w:ascii="宋体" w:hAnsi="宋体" w:cs="Calibri"/>
          <w:b/>
          <w:color w:val="000000"/>
          <w:sz w:val="24"/>
          <w:szCs w:val="24"/>
        </w:rPr>
        <w:t xml:space="preserve">1.本项目评标标准中的技术分（34分）采用暗标方式进行评审。</w:t>
      </w:r>
      <w:r/>
    </w:p>
    <w:p>
      <w:pPr>
        <w:spacing w:line="360" w:lineRule="auto"/>
        <w:rPr>
          <w:rFonts w:hint="eastAsia" w:ascii="宋体" w:hAnsi="宋体" w:cs="Calibri"/>
          <w:b/>
          <w:color w:val="000000"/>
          <w:sz w:val="24"/>
          <w:szCs w:val="24"/>
        </w:rPr>
      </w:pPr>
      <w:r>
        <w:rPr>
          <w:rFonts w:hint="eastAsia" w:ascii="宋体" w:hAnsi="宋体" w:cs="Calibri"/>
          <w:b/>
          <w:color w:val="000000"/>
          <w:sz w:val="24"/>
          <w:szCs w:val="24"/>
        </w:rPr>
        <w:t xml:space="preserve">2.编制要求：</w:t>
      </w:r>
      <w:r/>
    </w:p>
    <w:p>
      <w:pPr>
        <w:spacing w:line="400" w:lineRule="exact"/>
        <w:rPr>
          <w:rFonts w:hint="eastAsia"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p>
    <w:p>
      <w:pPr>
        <w:jc w:val="left"/>
        <w:spacing w:line="360" w:lineRule="auto"/>
        <w:widowControl/>
        <w:rPr>
          <w:rFonts w:hint="eastAsia"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spacing w:line="360" w:lineRule="auto"/>
        <w:widowControl/>
        <w:rPr>
          <w:rFonts w:hint="eastAsia" w:ascii="宋体" w:hAnsi="宋体" w:cs="Calibri"/>
          <w:b/>
          <w:color w:val="000000"/>
          <w:sz w:val="24"/>
          <w:szCs w:val="24"/>
        </w:rPr>
      </w:pPr>
      <w:r>
        <w:rPr>
          <w:rFonts w:hint="eastAsia" w:ascii="宋体" w:hAnsi="宋体" w:cs="Calibri"/>
          <w:b/>
          <w:color w:val="000000"/>
          <w:sz w:val="24"/>
          <w:szCs w:val="24"/>
        </w:rPr>
        <w:t xml:space="preserve">2.3供应商需按照上述要求编制方案，未按要求编制的本项不得分。</w:t>
      </w:r>
      <w:r/>
    </w:p>
    <w:p>
      <w:pPr>
        <w:ind w:firstLine="480"/>
        <w:jc w:val="left"/>
        <w:spacing w:line="500" w:lineRule="exact"/>
        <w:rPr>
          <w:sz w:val="24"/>
          <w:szCs w:val="24"/>
        </w:rPr>
      </w:pPr>
      <w:r>
        <w:rPr>
          <w:sz w:val="24"/>
          <w:szCs w:val="24"/>
        </w:rPr>
      </w:r>
      <w:r/>
    </w:p>
    <w:p>
      <w:pPr>
        <w:rPr>
          <w:sz w:val="24"/>
          <w:szCs w:val="24"/>
        </w:rPr>
      </w:pPr>
      <w:r>
        <w:rPr>
          <w:sz w:val="24"/>
          <w:szCs w:val="24"/>
        </w:rPr>
        <w:br w:type="page" w:clear="all"/>
      </w:r>
      <w:r/>
    </w:p>
    <w:p>
      <w:pPr>
        <w:pStyle w:val="832"/>
        <w:jc w:val="center"/>
        <w:spacing w:before="156" w:after="156" w:line="360" w:lineRule="auto"/>
        <w:rPr>
          <w:rFonts w:hint="eastAsia" w:ascii="黑体" w:hAnsi="黑体" w:eastAsia="黑体"/>
          <w:b w:val="0"/>
        </w:rPr>
      </w:pPr>
      <w:r/>
      <w:bookmarkStart w:id="10" w:name="_Toc162361615"/>
      <w:r>
        <w:rPr>
          <w:rFonts w:hint="eastAsia" w:ascii="黑体" w:hAnsi="黑体" w:eastAsia="黑体"/>
          <w:b w:val="0"/>
        </w:rPr>
        <w:t xml:space="preserve">第六章  投标文件格式</w:t>
      </w:r>
      <w:bookmarkEnd w:id="10"/>
      <w:r/>
      <w:r/>
    </w:p>
    <w:p>
      <w:pPr>
        <w:pStyle w:val="852"/>
        <w:ind w:firstLine="482"/>
        <w:rPr>
          <w:b/>
          <w:sz w:val="24"/>
          <w:szCs w:val="24"/>
        </w:rPr>
      </w:pPr>
      <w:r>
        <w:rPr>
          <w:rFonts w:hint="eastAsia"/>
          <w:b/>
          <w:sz w:val="24"/>
          <w:szCs w:val="24"/>
        </w:rPr>
        <w:t xml:space="preserve">（特别提醒投标人:请投标人按照第六章格式分别制作每个采购包的投标文件，格式中（分包号：**）为采购包1或采购包2或采购包3）</w:t>
      </w:r>
      <w:r/>
    </w:p>
    <w:p>
      <w:r/>
      <w:r/>
    </w:p>
    <w:p>
      <w:pPr>
        <w:jc w:val="left"/>
        <w:spacing w:line="500" w:lineRule="exact"/>
        <w:rPr>
          <w:sz w:val="24"/>
          <w:szCs w:val="24"/>
        </w:rPr>
      </w:pPr>
      <w:r>
        <w:rPr>
          <w:sz w:val="24"/>
          <w:szCs w:val="24"/>
        </w:rPr>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ind w:firstLine="1084"/>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r>
      <w:r/>
    </w:p>
    <w:p>
      <w:pPr>
        <w:spacing w:line="440" w:lineRule="exact"/>
        <w:rPr>
          <w:rFonts w:hint="eastAsia" w:ascii="宋体" w:hAnsi="宋体" w:eastAsia="宋体" w:cs="Times New Roman"/>
          <w:color w:val="000000"/>
          <w:szCs w:val="21"/>
        </w:rPr>
      </w:pPr>
      <w:r>
        <w:rPr>
          <w:rFonts w:hint="eastAsia"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hint="eastAsia"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hint="eastAsia" w:asciiTheme="minorEastAsia" w:hAnsiTheme="minorEastAsia"/>
          <w:sz w:val="24"/>
          <w:szCs w:val="24"/>
        </w:rPr>
      </w:pPr>
      <w:r>
        <w:rPr>
          <w:rFonts w:hint="eastAsia"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hint="eastAsia"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 。（须附证明材料）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五、参加政府采购活动前3年内在经营活动中没有重大违法记录的书面声明</w:t>
      </w:r>
      <w:r/>
    </w:p>
    <w:p>
      <w:pPr>
        <w:jc w:val="center"/>
        <w:spacing w:line="460" w:lineRule="exact"/>
        <w:rPr>
          <w:rFonts w:hint="eastAsia"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r>
    </w:tbl>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hint="eastAsia"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hint="eastAsia" w:ascii="宋体" w:hAnsi="宋体" w:eastAsia="宋体" w:cs="Times New Roman"/>
          <w:sz w:val="20"/>
          <w:szCs w:val="20"/>
        </w:rPr>
      </w:pPr>
      <w:r>
        <w:rPr>
          <w:rFonts w:hint="eastAsia" w:ascii="宋体" w:hAnsi="宋体" w:eastAsia="宋体" w:cs="Times New Roman"/>
          <w:sz w:val="20"/>
          <w:szCs w:val="20"/>
        </w:rPr>
      </w:r>
      <w:r/>
    </w:p>
    <w:p>
      <w:pPr>
        <w:spacing w:line="360" w:lineRule="auto"/>
        <w:tabs>
          <w:tab w:val="left" w:pos="5580" w:leader="none"/>
        </w:tabs>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r>
      <w:r/>
    </w:p>
    <w:p>
      <w:pPr>
        <w:ind w:right="-46"/>
        <w:spacing w:before="120" w:line="583" w:lineRule="auto"/>
        <w:tabs>
          <w:tab w:val="left" w:pos="567" w:leader="none"/>
        </w:tabs>
        <w:rPr>
          <w:rFonts w:hint="eastAsia"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r>
    </w:tbl>
    <w:p>
      <w:pPr>
        <w:ind w:right="4305"/>
        <w:spacing w:before="120" w:line="583" w:lineRule="auto"/>
        <w:tabs>
          <w:tab w:val="left" w:pos="567" w:leader="none"/>
        </w:tabs>
        <w:rPr>
          <w:rFonts w:hint="eastAsia" w:ascii="宋体" w:hAnsi="宋体" w:eastAsia="宋体" w:cs="Times New Roman"/>
          <w:spacing w:val="-3"/>
          <w:sz w:val="24"/>
          <w:szCs w:val="24"/>
        </w:rPr>
      </w:pPr>
      <w:r>
        <w:rPr>
          <w:rFonts w:hint="eastAsia"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260" w:after="260" w:line="416" w:lineRule="auto"/>
        <w:rPr>
          <w:rFonts w:hint="eastAsia"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十一、中小企业声明函（服务）（分包号：**）</w:t>
      </w:r>
      <w:r/>
    </w:p>
    <w:p>
      <w:pPr>
        <w:jc w:val="center"/>
        <w:spacing w:line="360" w:lineRule="auto"/>
        <w:tabs>
          <w:tab w:val="left" w:pos="360" w:leader="none"/>
        </w:tabs>
        <w:rPr>
          <w:rFonts w:hint="eastAsia"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hint="eastAsia"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hint="eastAsia"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right="1620" w:firstLine="2880"/>
        <w:spacing w:line="5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right="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right="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十二、残疾人福利性单位声明函（分包号：**）</w:t>
      </w:r>
      <w:r/>
    </w:p>
    <w:p>
      <w:pPr>
        <w:jc w:val="center"/>
        <w:spacing w:line="360" w:lineRule="auto"/>
        <w:tabs>
          <w:tab w:val="left" w:pos="360" w:leader="none"/>
        </w:tabs>
        <w:rPr>
          <w:rFonts w:hint="eastAsia"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r>
      <w:r/>
    </w:p>
    <w:p>
      <w:pPr>
        <w:ind w:right="1620" w:firstLine="2880"/>
        <w:spacing w:line="5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十三、投标分项报价表（分包号：**）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hint="eastAsia"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p>
      <w:pPr>
        <w:jc w:val="righ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842"/>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单价</w:t>
            </w:r>
            <w:r/>
          </w:p>
        </w:tc>
        <w:tc>
          <w:tcPr>
            <w:tcW w:w="1491"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单项</w:t>
            </w:r>
            <w:r/>
          </w:p>
          <w:p>
            <w:pPr>
              <w:jc w:val="center"/>
              <w:spacing w:line="560" w:lineRule="exact"/>
              <w:rPr>
                <w:rFonts w:hint="eastAsia"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208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461"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491"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208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461"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491"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208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461"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491"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总计（元）</w:t>
            </w:r>
            <w:r/>
          </w:p>
        </w:tc>
        <w:tc>
          <w:tcPr>
            <w:tcW w:w="1491"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hint="eastAsia"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十四、技术要求响应及偏离表（分包号：**）（如有请提供）</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Style w:val="842"/>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4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26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59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4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26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59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4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26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59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4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26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59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bookmarkStart w:id="11" w:name="_Hlt26955054"/>
      <w:r/>
      <w:bookmarkEnd w:id="11"/>
      <w:r>
        <w:rPr>
          <w:rFonts w:hint="eastAsia" w:ascii="Arial" w:hAnsi="Arial" w:eastAsia="宋体" w:cs="Arial"/>
          <w:b/>
          <w:iCs/>
          <w:sz w:val="36"/>
        </w:rPr>
        <w:t xml:space="preserve">十五、商务要求响应及偏离表（分包号：**）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842"/>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spacing w:line="360" w:lineRule="auto"/>
              <w:rPr>
                <w:rFonts w:hint="eastAsia" w:ascii="宋体" w:hAnsi="宋体" w:eastAsia="宋体" w:cs="Times New Roman"/>
                <w:color w:val="000000"/>
                <w:sz w:val="24"/>
                <w:szCs w:val="24"/>
              </w:rPr>
            </w:pPr>
            <w:r/>
            <w:bookmarkStart w:id="12" w:name="_Hlt26671372"/>
            <w:r/>
            <w:bookmarkEnd w:id="12"/>
            <w:r/>
            <w:bookmarkStart w:id="13" w:name="_Hlt26580838"/>
            <w:r/>
            <w:bookmarkEnd w:id="13"/>
            <w:r/>
            <w:bookmarkStart w:id="14" w:name="_Hlt24879081"/>
            <w:r/>
            <w:bookmarkEnd w:id="14"/>
            <w:r/>
            <w:bookmarkStart w:id="15" w:name="_Hlt26955064"/>
            <w:r/>
            <w:bookmarkEnd w:id="15"/>
            <w:r/>
            <w:bookmarkStart w:id="16" w:name="_Hlt26955056"/>
            <w:r/>
            <w:bookmarkEnd w:id="16"/>
            <w:r/>
            <w:bookmarkStart w:id="17" w:name="_Hlt26671343"/>
            <w:r/>
            <w:bookmarkEnd w:id="17"/>
            <w:r/>
            <w:bookmarkStart w:id="18" w:name="_Hlt26609391"/>
            <w:r/>
            <w:bookmarkEnd w:id="18"/>
            <w:r/>
            <w:bookmarkStart w:id="19" w:name="_Hlt26782999"/>
            <w:r/>
            <w:bookmarkEnd w:id="19"/>
            <w:r>
              <w:rPr>
                <w:rFonts w:hint="eastAsia" w:ascii="宋体" w:hAnsi="宋体" w:eastAsia="宋体" w:cs="Times New Roman"/>
                <w:color w:val="000000"/>
                <w:sz w:val="24"/>
                <w:szCs w:val="24"/>
              </w:rPr>
              <w:t xml:space="preserve">序号</w:t>
            </w:r>
            <w:r/>
          </w:p>
        </w:tc>
        <w:tc>
          <w:tcPr>
            <w:tcW w:w="2607" w:type="dxa"/>
            <w:vAlign w:val="center"/>
            <w:textDirection w:val="lrTb"/>
            <w:noWrap w:val="false"/>
          </w:tcPr>
          <w:p>
            <w:pPr>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460" w:type="dxa"/>
            <w:vAlign w:val="center"/>
            <w:textDirection w:val="lrTb"/>
            <w:noWrap w:val="false"/>
          </w:tcPr>
          <w:p>
            <w:pPr>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085" w:type="dxa"/>
            <w:vAlign w:val="center"/>
            <w:textDirection w:val="lrTb"/>
            <w:noWrap w:val="false"/>
          </w:tcPr>
          <w:p>
            <w:pPr>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07"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460"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0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07"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460"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0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07"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460"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0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07"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460"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0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0" w:name="_Hlt26671374"/>
      <w:r/>
      <w:bookmarkEnd w:id="20"/>
      <w:r/>
      <w:bookmarkStart w:id="21" w:name="_格式2__法定代表人授权书"/>
      <w:r/>
      <w:bookmarkEnd w:id="21"/>
      <w:r/>
      <w:bookmarkStart w:id="22" w:name="_Hlt26955066"/>
      <w:r/>
      <w:bookmarkEnd w:id="22"/>
      <w:r/>
      <w:bookmarkStart w:id="23" w:name="_Hlt26609389"/>
      <w:r/>
      <w:bookmarkEnd w:id="23"/>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十六、类似项目业绩一览表（分包号：**）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842"/>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2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9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75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71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2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9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75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71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2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9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75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71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2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9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75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71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sz w:val="36"/>
          <w:szCs w:val="36"/>
        </w:rPr>
      </w:pPr>
      <w:r>
        <w:rPr>
          <w:rFonts w:ascii="Arial" w:hAnsi="Arial" w:eastAsia="宋体" w:cs="Arial"/>
          <w:iCs/>
          <w:sz w:val="36"/>
        </w:rPr>
      </w:r>
      <w:r>
        <w:rPr>
          <w:rFonts w:ascii="Arial" w:hAnsi="Arial" w:eastAsia="宋体" w:cs="Arial"/>
          <w:iCs/>
          <w:sz w:val="36"/>
        </w:rPr>
      </w:r>
      <w:r/>
    </w:p>
    <w:p>
      <w:pPr>
        <w:rPr>
          <w:rFonts w:ascii="Arial" w:hAnsi="Arial" w:eastAsia="宋体" w:cs="Arial"/>
          <w:sz w:val="36"/>
          <w:szCs w:val="36"/>
        </w:rPr>
      </w:pPr>
      <w:r>
        <w:rPr>
          <w:rFonts w:ascii="Arial" w:hAnsi="Arial" w:eastAsia="宋体" w:cs="Arial"/>
          <w:iCs/>
          <w:sz w:val="36"/>
          <w:szCs w:val="36"/>
        </w:rPr>
      </w:r>
      <w:r>
        <w:rPr>
          <w:rFonts w:ascii="Arial" w:hAnsi="Arial" w:eastAsia="宋体" w:cs="Arial"/>
          <w:iCs/>
          <w:sz w:val="36"/>
          <w:szCs w:val="36"/>
        </w:rPr>
      </w:r>
      <w:r/>
    </w:p>
    <w:p>
      <w:pPr>
        <w:rPr>
          <w:rFonts w:ascii="Arial" w:hAnsi="Arial" w:eastAsia="宋体" w:cs="Arial"/>
          <w:iCs/>
          <w:sz w:val="36"/>
          <w:szCs w:val="36"/>
        </w:rPr>
      </w:pPr>
      <w:r>
        <w:rPr>
          <w:rFonts w:ascii="Arial" w:hAnsi="Arial" w:eastAsia="宋体" w:cs="Arial"/>
          <w:iCs/>
          <w:sz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十七、项目团队人员一览表（分包号：**）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842"/>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70"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2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497"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470"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626"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560" w:type="dxa"/>
            <w:textDirection w:val="lrTb"/>
            <w:noWrap w:val="false"/>
          </w:tcPr>
          <w:p>
            <w:pPr>
              <w:jc w:val="center"/>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97"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470"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626"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56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3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497"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470"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626"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56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3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497"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470"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626"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56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3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497"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十八、开标一览表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842"/>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br w:type="page" w:clear="all"/>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hint="eastAsia"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u w:val="single"/>
        </w:rPr>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hint="eastAsia"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852"/>
      </w:pPr>
      <w:r/>
      <w:r/>
    </w:p>
    <w:p>
      <w:pPr>
        <w:ind w:firstLine="480"/>
        <w:jc w:val="left"/>
        <w:spacing w:line="500" w:lineRule="exact"/>
        <w:widowControl/>
        <w:rPr>
          <w:sz w:val="24"/>
          <w:szCs w:val="24"/>
        </w:rPr>
      </w:pPr>
      <w:r>
        <w:rPr>
          <w:sz w:val="24"/>
          <w:szCs w:val="24"/>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entury Schoolbook">
    <w:panose1 w:val="02040604050505020304"/>
  </w:font>
  <w:font w:name="楷体_GB2312">
    <w:panose1 w:val="02010609060101010101"/>
  </w:font>
  <w:font w:name="MS Mincho">
    <w:panose1 w:val="02020603050405090304"/>
  </w:font>
  <w:font w:name="Tahoma">
    <w:panose1 w:val="020B0604030504040204"/>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w:r/>
  </w:p>
  <w:p>
    <w:pPr>
      <w:pStyle w:val="8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57"/>
          <w:jc w:val="center"/>
        </w:pPr>
        <w:r>
          <w:fldChar w:fldCharType="begin"/>
        </w:r>
        <w:r>
          <w:instrText xml:space="preserve"> PAGE   \* MERGEFORMAT </w:instrText>
        </w:r>
        <w:r>
          <w:fldChar w:fldCharType="separate"/>
        </w:r>
        <w:r>
          <w:rPr>
            <w:lang w:val="zh-CN"/>
          </w:rPr>
          <w:t xml:space="preserve">40</w:t>
        </w:r>
        <w:r>
          <w:rPr>
            <w:lang w:val="zh-CN"/>
          </w:rPr>
          <w:fldChar w:fldCharType="end"/>
        </w:r>
        <w:r/>
      </w:p>
    </w:sdtContent>
  </w:sdt>
  <w:p>
    <w:pPr>
      <w:pStyle w:val="8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50"/>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pStyle w:val="1000"/>
      <w:isLgl w:val="false"/>
      <w:suff w:val="tab"/>
      <w:lvlText w:val=""/>
      <w:lvlJc w:val="left"/>
      <w:pPr>
        <w:ind w:left="360" w:hanging="360"/>
        <w:tabs>
          <w:tab w:val="left" w:pos="360" w:leader="none"/>
        </w:tabs>
      </w:pPr>
      <w:rPr>
        <w:rFonts w:hint="default"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1 Char"/>
    <w:basedOn w:val="841"/>
    <w:link w:val="832"/>
    <w:uiPriority w:val="9"/>
    <w:rPr>
      <w:rFonts w:ascii="Arial" w:hAnsi="Arial" w:eastAsia="Arial" w:cs="Arial"/>
      <w:sz w:val="40"/>
      <w:szCs w:val="40"/>
    </w:rPr>
  </w:style>
  <w:style w:type="character" w:styleId="679">
    <w:name w:val="Heading 2 Char"/>
    <w:basedOn w:val="841"/>
    <w:link w:val="833"/>
    <w:uiPriority w:val="9"/>
    <w:rPr>
      <w:rFonts w:ascii="Arial" w:hAnsi="Arial" w:eastAsia="Arial" w:cs="Arial"/>
      <w:sz w:val="34"/>
    </w:rPr>
  </w:style>
  <w:style w:type="character" w:styleId="680">
    <w:name w:val="Heading 3 Char"/>
    <w:basedOn w:val="841"/>
    <w:link w:val="834"/>
    <w:uiPriority w:val="9"/>
    <w:rPr>
      <w:rFonts w:ascii="Arial" w:hAnsi="Arial" w:eastAsia="Arial" w:cs="Arial"/>
      <w:sz w:val="30"/>
      <w:szCs w:val="30"/>
    </w:rPr>
  </w:style>
  <w:style w:type="character" w:styleId="681">
    <w:name w:val="Heading 4 Char"/>
    <w:basedOn w:val="841"/>
    <w:link w:val="835"/>
    <w:uiPriority w:val="9"/>
    <w:rPr>
      <w:rFonts w:ascii="Arial" w:hAnsi="Arial" w:eastAsia="Arial" w:cs="Arial"/>
      <w:b/>
      <w:bCs/>
      <w:sz w:val="26"/>
      <w:szCs w:val="26"/>
    </w:rPr>
  </w:style>
  <w:style w:type="character" w:styleId="682">
    <w:name w:val="Heading 5 Char"/>
    <w:basedOn w:val="841"/>
    <w:link w:val="836"/>
    <w:uiPriority w:val="9"/>
    <w:rPr>
      <w:rFonts w:ascii="Arial" w:hAnsi="Arial" w:eastAsia="Arial" w:cs="Arial"/>
      <w:b/>
      <w:bCs/>
      <w:sz w:val="24"/>
      <w:szCs w:val="24"/>
    </w:rPr>
  </w:style>
  <w:style w:type="character" w:styleId="683">
    <w:name w:val="Heading 6 Char"/>
    <w:basedOn w:val="841"/>
    <w:link w:val="837"/>
    <w:uiPriority w:val="9"/>
    <w:rPr>
      <w:rFonts w:ascii="Arial" w:hAnsi="Arial" w:eastAsia="Arial" w:cs="Arial"/>
      <w:b/>
      <w:bCs/>
      <w:sz w:val="22"/>
      <w:szCs w:val="22"/>
    </w:rPr>
  </w:style>
  <w:style w:type="character" w:styleId="684">
    <w:name w:val="Heading 7 Char"/>
    <w:basedOn w:val="841"/>
    <w:link w:val="838"/>
    <w:uiPriority w:val="9"/>
    <w:rPr>
      <w:rFonts w:ascii="Arial" w:hAnsi="Arial" w:eastAsia="Arial" w:cs="Arial"/>
      <w:b/>
      <w:bCs/>
      <w:i/>
      <w:iCs/>
      <w:sz w:val="22"/>
      <w:szCs w:val="22"/>
    </w:rPr>
  </w:style>
  <w:style w:type="character" w:styleId="685">
    <w:name w:val="Heading 8 Char"/>
    <w:basedOn w:val="841"/>
    <w:link w:val="839"/>
    <w:uiPriority w:val="9"/>
    <w:rPr>
      <w:rFonts w:ascii="Arial" w:hAnsi="Arial" w:eastAsia="Arial" w:cs="Arial"/>
      <w:i/>
      <w:iCs/>
      <w:sz w:val="22"/>
      <w:szCs w:val="22"/>
    </w:rPr>
  </w:style>
  <w:style w:type="character" w:styleId="686">
    <w:name w:val="Heading 9 Char"/>
    <w:basedOn w:val="841"/>
    <w:link w:val="840"/>
    <w:uiPriority w:val="9"/>
    <w:rPr>
      <w:rFonts w:ascii="Arial" w:hAnsi="Arial" w:eastAsia="Arial" w:cs="Arial"/>
      <w:i/>
      <w:iCs/>
      <w:sz w:val="21"/>
      <w:szCs w:val="21"/>
    </w:rPr>
  </w:style>
  <w:style w:type="paragraph" w:styleId="687">
    <w:name w:val="Title"/>
    <w:basedOn w:val="831"/>
    <w:next w:val="831"/>
    <w:link w:val="688"/>
    <w:uiPriority w:val="10"/>
    <w:qFormat/>
    <w:pPr>
      <w:contextualSpacing/>
      <w:spacing w:before="300" w:after="200"/>
    </w:pPr>
    <w:rPr>
      <w:sz w:val="48"/>
      <w:szCs w:val="48"/>
    </w:rPr>
  </w:style>
  <w:style w:type="character" w:styleId="688">
    <w:name w:val="Title Char"/>
    <w:basedOn w:val="841"/>
    <w:link w:val="687"/>
    <w:uiPriority w:val="10"/>
    <w:rPr>
      <w:sz w:val="48"/>
      <w:szCs w:val="48"/>
    </w:rPr>
  </w:style>
  <w:style w:type="character" w:styleId="689">
    <w:name w:val="Subtitle Char"/>
    <w:basedOn w:val="841"/>
    <w:link w:val="861"/>
    <w:uiPriority w:val="11"/>
    <w:rPr>
      <w:sz w:val="24"/>
      <w:szCs w:val="24"/>
    </w:rPr>
  </w:style>
  <w:style w:type="paragraph" w:styleId="690">
    <w:name w:val="Quote"/>
    <w:basedOn w:val="831"/>
    <w:next w:val="831"/>
    <w:link w:val="691"/>
    <w:uiPriority w:val="29"/>
    <w:qFormat/>
    <w:pPr>
      <w:ind w:left="720" w:right="720"/>
    </w:pPr>
    <w:rPr>
      <w:i/>
    </w:rPr>
  </w:style>
  <w:style w:type="character" w:styleId="691">
    <w:name w:val="Quote Char"/>
    <w:link w:val="690"/>
    <w:uiPriority w:val="29"/>
    <w:rPr>
      <w:i/>
    </w:rPr>
  </w:style>
  <w:style w:type="paragraph" w:styleId="692">
    <w:name w:val="Intense Quote"/>
    <w:basedOn w:val="831"/>
    <w:next w:val="831"/>
    <w:link w:val="6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3">
    <w:name w:val="Intense Quote Char"/>
    <w:link w:val="692"/>
    <w:uiPriority w:val="30"/>
    <w:rPr>
      <w:i/>
    </w:rPr>
  </w:style>
  <w:style w:type="character" w:styleId="694">
    <w:name w:val="Header Char"/>
    <w:basedOn w:val="841"/>
    <w:link w:val="858"/>
    <w:uiPriority w:val="99"/>
  </w:style>
  <w:style w:type="character" w:styleId="695">
    <w:name w:val="Footer Char"/>
    <w:basedOn w:val="841"/>
    <w:link w:val="857"/>
    <w:uiPriority w:val="99"/>
  </w:style>
  <w:style w:type="paragraph" w:styleId="696">
    <w:name w:val="Caption"/>
    <w:basedOn w:val="831"/>
    <w:next w:val="831"/>
    <w:uiPriority w:val="35"/>
    <w:semiHidden/>
    <w:unhideWhenUsed/>
    <w:qFormat/>
    <w:pPr>
      <w:spacing w:line="276" w:lineRule="auto"/>
    </w:pPr>
    <w:rPr>
      <w:b/>
      <w:bCs/>
      <w:color w:val="4f81bd" w:themeColor="accent1"/>
      <w:sz w:val="18"/>
      <w:szCs w:val="18"/>
    </w:rPr>
  </w:style>
  <w:style w:type="character" w:styleId="697">
    <w:name w:val="Caption Char"/>
    <w:basedOn w:val="696"/>
    <w:link w:val="857"/>
    <w:uiPriority w:val="99"/>
  </w:style>
  <w:style w:type="table" w:styleId="698">
    <w:name w:val="Table Grid Light"/>
    <w:basedOn w:val="8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9">
    <w:name w:val="Plain Table 1"/>
    <w:basedOn w:val="8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2"/>
    <w:basedOn w:val="8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3"/>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name w:val="Plain Table 4"/>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name w:val="Plain Table 5"/>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4">
    <w:name w:val="Grid Table 1 Light"/>
    <w:basedOn w:val="8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5">
    <w:name w:val="Grid Table 1 Light - Accent 1"/>
    <w:basedOn w:val="8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6">
    <w:name w:val="Grid Table 1 Light - Accent 2"/>
    <w:basedOn w:val="8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7">
    <w:name w:val="Grid Table 1 Light - Accent 3"/>
    <w:basedOn w:val="8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8">
    <w:name w:val="Grid Table 1 Light - Accent 4"/>
    <w:basedOn w:val="8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9">
    <w:name w:val="Grid Table 1 Light - Accent 5"/>
    <w:basedOn w:val="8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0">
    <w:name w:val="Grid Table 1 Light - Accent 6"/>
    <w:basedOn w:val="8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1">
    <w:name w:val="Grid Table 2"/>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2">
    <w:name w:val="Grid Table 2 - Accent 1"/>
    <w:basedOn w:val="8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3">
    <w:name w:val="Grid Table 2 - Accent 2"/>
    <w:basedOn w:val="8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4">
    <w:name w:val="Grid Table 2 - Accent 3"/>
    <w:basedOn w:val="8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5">
    <w:name w:val="Grid Table 2 - Accent 4"/>
    <w:basedOn w:val="8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6">
    <w:name w:val="Grid Table 2 - Accent 5"/>
    <w:basedOn w:val="8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7">
    <w:name w:val="Grid Table 2 - Accent 6"/>
    <w:basedOn w:val="8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8">
    <w:name w:val="Grid Table 3"/>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1"/>
    <w:basedOn w:val="8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2"/>
    <w:basedOn w:val="8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3"/>
    <w:basedOn w:val="8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4"/>
    <w:basedOn w:val="8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5"/>
    <w:basedOn w:val="8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6"/>
    <w:basedOn w:val="8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4"/>
    <w:basedOn w:val="8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name w:val="Grid Table 4 - Accent 1"/>
    <w:basedOn w:val="8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7">
    <w:name w:val="Grid Table 4 - Accent 2"/>
    <w:basedOn w:val="8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8">
    <w:name w:val="Grid Table 4 - Accent 3"/>
    <w:basedOn w:val="8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9">
    <w:name w:val="Grid Table 4 - Accent 4"/>
    <w:basedOn w:val="8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0">
    <w:name w:val="Grid Table 4 - Accent 5"/>
    <w:basedOn w:val="8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1">
    <w:name w:val="Grid Table 4 - Accent 6"/>
    <w:basedOn w:val="8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2">
    <w:name w:val="Grid Table 5 Dark"/>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3">
    <w:name w:val="Grid Table 5 Dark- Accent 1"/>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4">
    <w:name w:val="Grid Table 5 Dark - Accent 2"/>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5">
    <w:name w:val="Grid Table 5 Dark - Accent 3"/>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6">
    <w:name w:val="Grid Table 5 Dark- Accent 4"/>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7">
    <w:name w:val="Grid Table 5 Dark - Accent 5"/>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8">
    <w:name w:val="Grid Table 5 Dark - Accent 6"/>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9">
    <w:name w:val="Grid Table 6 Colorful"/>
    <w:basedOn w:val="8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6 Colorful - Accent 1"/>
    <w:basedOn w:val="8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1">
    <w:name w:val="Grid Table 6 Colorful - Accent 2"/>
    <w:basedOn w:val="8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2">
    <w:name w:val="Grid Table 6 Colorful - Accent 3"/>
    <w:basedOn w:val="8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3">
    <w:name w:val="Grid Table 6 Colorful - Accent 4"/>
    <w:basedOn w:val="8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4">
    <w:name w:val="Grid Table 6 Colorful - Accent 5"/>
    <w:basedOn w:val="8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5">
    <w:name w:val="Grid Table 6 Colorful - Accent 6"/>
    <w:basedOn w:val="8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6">
    <w:name w:val="Grid Table 7 Colorful"/>
    <w:basedOn w:val="8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7">
    <w:name w:val="Grid Table 7 Colorful - Accent 1"/>
    <w:basedOn w:val="8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8">
    <w:name w:val="Grid Table 7 Colorful - Accent 2"/>
    <w:basedOn w:val="8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7 Colorful - Accent 3"/>
    <w:basedOn w:val="8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7 Colorful - Accent 4"/>
    <w:basedOn w:val="8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7 Colorful - Accent 5"/>
    <w:basedOn w:val="8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2">
    <w:name w:val="Grid Table 7 Colorful - Accent 6"/>
    <w:basedOn w:val="8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3">
    <w:name w:val="List Table 1 Light"/>
    <w:basedOn w:val="8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1 Light - Accent 1"/>
    <w:basedOn w:val="84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5">
    <w:name w:val="List Table 1 Light - Accent 2"/>
    <w:basedOn w:val="84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6">
    <w:name w:val="List Table 1 Light - Accent 3"/>
    <w:basedOn w:val="84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7">
    <w:name w:val="List Table 1 Light - Accent 4"/>
    <w:basedOn w:val="84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8">
    <w:name w:val="List Table 1 Light - Accent 5"/>
    <w:basedOn w:val="84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9">
    <w:name w:val="List Table 1 Light - Accent 6"/>
    <w:basedOn w:val="84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0">
    <w:name w:val="List Table 2"/>
    <w:basedOn w:val="8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1">
    <w:name w:val="List Table 2 - Accent 1"/>
    <w:basedOn w:val="8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2">
    <w:name w:val="List Table 2 - Accent 2"/>
    <w:basedOn w:val="8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3">
    <w:name w:val="List Table 2 - Accent 3"/>
    <w:basedOn w:val="8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4">
    <w:name w:val="List Table 2 - Accent 4"/>
    <w:basedOn w:val="8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5">
    <w:name w:val="List Table 2 - Accent 5"/>
    <w:basedOn w:val="8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6">
    <w:name w:val="List Table 2 - Accent 6"/>
    <w:basedOn w:val="8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7">
    <w:name w:val="List Table 3"/>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3 - Accent 1"/>
    <w:basedOn w:val="8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9">
    <w:name w:val="List Table 3 - Accent 2"/>
    <w:basedOn w:val="8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0">
    <w:name w:val="List Table 3 - Accent 3"/>
    <w:basedOn w:val="8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1">
    <w:name w:val="List Table 3 - Accent 4"/>
    <w:basedOn w:val="8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2">
    <w:name w:val="List Table 3 - Accent 5"/>
    <w:basedOn w:val="8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3">
    <w:name w:val="List Table 3 - Accent 6"/>
    <w:basedOn w:val="8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4">
    <w:name w:val="List Table 4"/>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4 - Accent 1"/>
    <w:basedOn w:val="8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6">
    <w:name w:val="List Table 4 - Accent 2"/>
    <w:basedOn w:val="8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7">
    <w:name w:val="List Table 4 - Accent 3"/>
    <w:basedOn w:val="8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8">
    <w:name w:val="List Table 4 - Accent 4"/>
    <w:basedOn w:val="8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9">
    <w:name w:val="List Table 4 - Accent 5"/>
    <w:basedOn w:val="8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0">
    <w:name w:val="List Table 4 - Accent 6"/>
    <w:basedOn w:val="8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1">
    <w:name w:val="List Table 5 Dark"/>
    <w:basedOn w:val="8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1"/>
    <w:basedOn w:val="8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2"/>
    <w:basedOn w:val="8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3"/>
    <w:basedOn w:val="8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4"/>
    <w:basedOn w:val="8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5"/>
    <w:basedOn w:val="8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6"/>
    <w:basedOn w:val="8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6 Colorful"/>
    <w:basedOn w:val="8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9">
    <w:name w:val="List Table 6 Colorful - Accent 1"/>
    <w:basedOn w:val="8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0">
    <w:name w:val="List Table 6 Colorful - Accent 2"/>
    <w:basedOn w:val="8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1">
    <w:name w:val="List Table 6 Colorful - Accent 3"/>
    <w:basedOn w:val="8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2">
    <w:name w:val="List Table 6 Colorful - Accent 4"/>
    <w:basedOn w:val="8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3">
    <w:name w:val="List Table 6 Colorful - Accent 5"/>
    <w:basedOn w:val="8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4">
    <w:name w:val="List Table 6 Colorful - Accent 6"/>
    <w:basedOn w:val="8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5">
    <w:name w:val="List Table 7 Colorful"/>
    <w:basedOn w:val="8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6">
    <w:name w:val="List Table 7 Colorful - Accent 1"/>
    <w:basedOn w:val="8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7">
    <w:name w:val="List Table 7 Colorful - Accent 2"/>
    <w:basedOn w:val="8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8">
    <w:name w:val="List Table 7 Colorful - Accent 3"/>
    <w:basedOn w:val="8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9">
    <w:name w:val="List Table 7 Colorful - Accent 4"/>
    <w:basedOn w:val="8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0">
    <w:name w:val="List Table 7 Colorful - Accent 5"/>
    <w:basedOn w:val="8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1">
    <w:name w:val="List Table 7 Colorful - Accent 6"/>
    <w:basedOn w:val="8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2">
    <w:name w:val="Lined - Accent"/>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3">
    <w:name w:val="Lined - Accent 1"/>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4">
    <w:name w:val="Lined - Accent 2"/>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5">
    <w:name w:val="Lined - Accent 3"/>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6">
    <w:name w:val="Lined - Accent 4"/>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7">
    <w:name w:val="Lined - Accent 5"/>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8">
    <w:name w:val="Lined - Accent 6"/>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9">
    <w:name w:val="Bordered &amp; Lined - Accent"/>
    <w:basedOn w:val="8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Bordered &amp; Lined - Accent 1"/>
    <w:basedOn w:val="8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1">
    <w:name w:val="Bordered &amp; Lined - Accent 2"/>
    <w:basedOn w:val="8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2">
    <w:name w:val="Bordered &amp; Lined - Accent 3"/>
    <w:basedOn w:val="8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3">
    <w:name w:val="Bordered &amp; Lined - Accent 4"/>
    <w:basedOn w:val="8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4">
    <w:name w:val="Bordered &amp; Lined - Accent 5"/>
    <w:basedOn w:val="8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5">
    <w:name w:val="Bordered &amp; Lined - Accent 6"/>
    <w:basedOn w:val="8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6">
    <w:name w:val="Bordered"/>
    <w:basedOn w:val="8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7">
    <w:name w:val="Bordered - Accent 1"/>
    <w:basedOn w:val="8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8">
    <w:name w:val="Bordered - Accent 2"/>
    <w:basedOn w:val="8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9">
    <w:name w:val="Bordered - Accent 3"/>
    <w:basedOn w:val="8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0">
    <w:name w:val="Bordered - Accent 4"/>
    <w:basedOn w:val="8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1">
    <w:name w:val="Bordered - Accent 5"/>
    <w:basedOn w:val="8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2">
    <w:name w:val="Bordered - Accent 6"/>
    <w:basedOn w:val="8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3">
    <w:name w:val="footnote text"/>
    <w:basedOn w:val="831"/>
    <w:link w:val="824"/>
    <w:uiPriority w:val="99"/>
    <w:semiHidden/>
    <w:unhideWhenUsed/>
    <w:pPr>
      <w:spacing w:after="40" w:line="240" w:lineRule="auto"/>
    </w:pPr>
    <w:rPr>
      <w:sz w:val="18"/>
    </w:rPr>
  </w:style>
  <w:style w:type="character" w:styleId="824">
    <w:name w:val="Footnote Text Char"/>
    <w:link w:val="823"/>
    <w:uiPriority w:val="99"/>
    <w:rPr>
      <w:sz w:val="18"/>
    </w:rPr>
  </w:style>
  <w:style w:type="character" w:styleId="825">
    <w:name w:val="footnote reference"/>
    <w:basedOn w:val="841"/>
    <w:uiPriority w:val="99"/>
    <w:unhideWhenUsed/>
    <w:rPr>
      <w:vertAlign w:val="superscript"/>
    </w:rPr>
  </w:style>
  <w:style w:type="paragraph" w:styleId="826">
    <w:name w:val="endnote text"/>
    <w:basedOn w:val="831"/>
    <w:link w:val="827"/>
    <w:uiPriority w:val="99"/>
    <w:semiHidden/>
    <w:unhideWhenUsed/>
    <w:pPr>
      <w:spacing w:after="0" w:line="240" w:lineRule="auto"/>
    </w:pPr>
    <w:rPr>
      <w:sz w:val="20"/>
    </w:rPr>
  </w:style>
  <w:style w:type="character" w:styleId="827">
    <w:name w:val="Endnote Text Char"/>
    <w:link w:val="826"/>
    <w:uiPriority w:val="99"/>
    <w:rPr>
      <w:sz w:val="20"/>
    </w:rPr>
  </w:style>
  <w:style w:type="character" w:styleId="828">
    <w:name w:val="endnote reference"/>
    <w:basedOn w:val="841"/>
    <w:uiPriority w:val="99"/>
    <w:semiHidden/>
    <w:unhideWhenUsed/>
    <w:rPr>
      <w:vertAlign w:val="superscript"/>
    </w:rPr>
  </w:style>
  <w:style w:type="paragraph" w:styleId="829">
    <w:name w:val="TOC Heading"/>
    <w:uiPriority w:val="39"/>
    <w:unhideWhenUsed/>
  </w:style>
  <w:style w:type="paragraph" w:styleId="830">
    <w:name w:val="table of figures"/>
    <w:basedOn w:val="831"/>
    <w:next w:val="831"/>
    <w:uiPriority w:val="99"/>
    <w:unhideWhenUsed/>
    <w:pPr>
      <w:spacing w:after="0" w:afterAutospacing="0"/>
    </w:pPr>
  </w:style>
  <w:style w:type="paragraph" w:styleId="831"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32">
    <w:name w:val="Heading 1"/>
    <w:basedOn w:val="831"/>
    <w:next w:val="831"/>
    <w:link w:val="884"/>
    <w:uiPriority w:val="0"/>
    <w:qFormat/>
    <w:pPr>
      <w:keepLines/>
      <w:keepNext/>
      <w:spacing w:before="340" w:after="330" w:line="578" w:lineRule="auto"/>
      <w:outlineLvl w:val="0"/>
    </w:pPr>
    <w:rPr>
      <w:b/>
      <w:bCs/>
      <w:sz w:val="44"/>
      <w:szCs w:val="44"/>
    </w:rPr>
  </w:style>
  <w:style w:type="paragraph" w:styleId="833">
    <w:name w:val="Heading 2"/>
    <w:basedOn w:val="831"/>
    <w:next w:val="831"/>
    <w:link w:val="885"/>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34">
    <w:name w:val="Heading 3"/>
    <w:basedOn w:val="831"/>
    <w:next w:val="831"/>
    <w:link w:val="886"/>
    <w:uiPriority w:val="0"/>
    <w:unhideWhenUsed/>
    <w:qFormat/>
    <w:pPr>
      <w:keepLines/>
      <w:keepNext/>
      <w:spacing w:before="260" w:after="260" w:line="416" w:lineRule="auto"/>
      <w:outlineLvl w:val="2"/>
    </w:pPr>
    <w:rPr>
      <w:b/>
      <w:bCs/>
      <w:sz w:val="32"/>
      <w:szCs w:val="32"/>
    </w:rPr>
  </w:style>
  <w:style w:type="paragraph" w:styleId="835">
    <w:name w:val="Heading 4"/>
    <w:next w:val="831"/>
    <w:link w:val="887"/>
    <w:uiPriority w:val="0"/>
    <w:qFormat/>
    <w:pPr>
      <w:keepLines/>
      <w:keepNext/>
      <w:spacing w:before="280" w:after="290" w:line="376" w:lineRule="auto"/>
      <w:outlineLvl w:val="3"/>
    </w:pPr>
    <w:rPr>
      <w:rFonts w:ascii="Arial" w:hAnsi="Arial" w:eastAsia="黑体" w:cs="Times New Roman"/>
      <w:b/>
      <w:bCs/>
      <w:sz w:val="28"/>
      <w:szCs w:val="28"/>
      <w:lang w:val="en-US" w:eastAsia="zh-CN" w:bidi="ar-SA"/>
    </w:rPr>
  </w:style>
  <w:style w:type="paragraph" w:styleId="836">
    <w:name w:val="Heading 5"/>
    <w:next w:val="831"/>
    <w:link w:val="888"/>
    <w:uiPriority w:val="0"/>
    <w:qFormat/>
    <w:pPr>
      <w:keepLines/>
      <w:keepNext/>
      <w:spacing w:before="280" w:after="290" w:line="376" w:lineRule="auto"/>
      <w:outlineLvl w:val="4"/>
    </w:pPr>
    <w:rPr>
      <w:rFonts w:ascii="Times New Roman" w:hAnsi="Times New Roman" w:eastAsia="黑体" w:cs="Times New Roman"/>
      <w:b/>
      <w:bCs/>
      <w:sz w:val="28"/>
      <w:szCs w:val="28"/>
      <w:lang w:val="en-US" w:eastAsia="zh-CN" w:bidi="ar-SA"/>
    </w:rPr>
  </w:style>
  <w:style w:type="paragraph" w:styleId="837">
    <w:name w:val="Heading 6"/>
    <w:basedOn w:val="831"/>
    <w:next w:val="831"/>
    <w:link w:val="889"/>
    <w:uiPriority w:val="0"/>
    <w:qFormat/>
    <w:pPr>
      <w:keepLines/>
      <w:keepNext/>
      <w:spacing w:before="240" w:after="64" w:line="320" w:lineRule="auto"/>
      <w:outlineLvl w:val="5"/>
    </w:pPr>
    <w:rPr>
      <w:rFonts w:ascii="Arial" w:hAnsi="Arial" w:eastAsia="黑体" w:cs="Times New Roman"/>
      <w:b/>
      <w:bCs/>
      <w:sz w:val="24"/>
      <w:szCs w:val="24"/>
    </w:rPr>
  </w:style>
  <w:style w:type="paragraph" w:styleId="838">
    <w:name w:val="Heading 7"/>
    <w:basedOn w:val="831"/>
    <w:next w:val="831"/>
    <w:link w:val="890"/>
    <w:uiPriority w:val="0"/>
    <w:qFormat/>
    <w:pPr>
      <w:keepLines/>
      <w:keepNext/>
      <w:spacing w:before="240" w:after="64" w:line="320" w:lineRule="auto"/>
      <w:outlineLvl w:val="6"/>
    </w:pPr>
    <w:rPr>
      <w:rFonts w:ascii="Times New Roman" w:hAnsi="Times New Roman" w:eastAsia="宋体" w:cs="Times New Roman"/>
      <w:b/>
      <w:bCs/>
      <w:sz w:val="24"/>
      <w:szCs w:val="24"/>
    </w:rPr>
  </w:style>
  <w:style w:type="paragraph" w:styleId="839">
    <w:name w:val="Heading 8"/>
    <w:basedOn w:val="831"/>
    <w:next w:val="831"/>
    <w:link w:val="891"/>
    <w:uiPriority w:val="0"/>
    <w:qFormat/>
    <w:pPr>
      <w:keepLines/>
      <w:keepNext/>
      <w:spacing w:before="240" w:after="64" w:line="320" w:lineRule="auto"/>
      <w:outlineLvl w:val="7"/>
    </w:pPr>
    <w:rPr>
      <w:rFonts w:ascii="Arial" w:hAnsi="Arial" w:eastAsia="黑体" w:cs="Times New Roman"/>
      <w:sz w:val="24"/>
      <w:szCs w:val="24"/>
    </w:rPr>
  </w:style>
  <w:style w:type="paragraph" w:styleId="840">
    <w:name w:val="Heading 9"/>
    <w:basedOn w:val="831"/>
    <w:next w:val="831"/>
    <w:link w:val="892"/>
    <w:uiPriority w:val="0"/>
    <w:qFormat/>
    <w:pPr>
      <w:keepLines/>
      <w:keepNext/>
      <w:spacing w:before="240" w:after="64" w:line="320" w:lineRule="auto"/>
      <w:outlineLvl w:val="8"/>
    </w:pPr>
    <w:rPr>
      <w:rFonts w:ascii="Arial" w:hAnsi="Arial" w:eastAsia="黑体" w:cs="Times New Roman"/>
      <w:szCs w:val="21"/>
    </w:rPr>
  </w:style>
  <w:style w:type="character" w:styleId="841" w:default="1">
    <w:name w:val="Default Paragraph Font"/>
    <w:uiPriority w:val="1"/>
    <w:semiHidden/>
    <w:unhideWhenUsed/>
    <w:qFormat/>
  </w:style>
  <w:style w:type="table" w:styleId="842" w:default="1">
    <w:name w:val="Normal Table"/>
    <w:uiPriority w:val="99"/>
    <w:semiHidden/>
    <w:unhideWhenUsed/>
    <w:qFormat/>
    <w:tblPr>
      <w:tblCellMar>
        <w:left w:w="108" w:type="dxa"/>
        <w:top w:w="0" w:type="dxa"/>
        <w:right w:w="108" w:type="dxa"/>
        <w:bottom w:w="0" w:type="dxa"/>
      </w:tblCellMar>
    </w:tblPr>
  </w:style>
  <w:style w:type="paragraph" w:styleId="843">
    <w:name w:val="toc 7"/>
    <w:basedOn w:val="831"/>
    <w:next w:val="831"/>
    <w:uiPriority w:val="0"/>
    <w:qFormat/>
    <w:pPr>
      <w:ind w:left="1050"/>
      <w:jc w:val="left"/>
    </w:pPr>
    <w:rPr>
      <w:rFonts w:ascii="Calibri" w:hAnsi="Calibri" w:eastAsia="宋体" w:cs="Times New Roman"/>
      <w:sz w:val="20"/>
      <w:szCs w:val="20"/>
    </w:rPr>
  </w:style>
  <w:style w:type="paragraph" w:styleId="844">
    <w:name w:val="Normal Indent"/>
    <w:basedOn w:val="831"/>
    <w:link w:val="908"/>
    <w:uiPriority w:val="0"/>
    <w:qFormat/>
    <w:pPr>
      <w:ind w:firstLine="420"/>
    </w:pPr>
    <w:rPr>
      <w:rFonts w:ascii="Times New Roman" w:hAnsi="Times New Roman" w:eastAsia="宋体" w:cs="Times New Roman"/>
      <w:szCs w:val="20"/>
    </w:rPr>
  </w:style>
  <w:style w:type="paragraph" w:styleId="845">
    <w:name w:val="Document Map"/>
    <w:basedOn w:val="831"/>
    <w:link w:val="893"/>
    <w:uiPriority w:val="0"/>
    <w:semiHidden/>
    <w:unhideWhenUsed/>
    <w:qFormat/>
    <w:rPr>
      <w:rFonts w:ascii="宋体" w:eastAsia="宋体"/>
      <w:sz w:val="18"/>
      <w:szCs w:val="18"/>
    </w:rPr>
  </w:style>
  <w:style w:type="paragraph" w:styleId="846">
    <w:name w:val="annotation text"/>
    <w:basedOn w:val="831"/>
    <w:link w:val="894"/>
    <w:uiPriority w:val="0"/>
    <w:qFormat/>
    <w:pPr>
      <w:ind w:firstLine="922"/>
      <w:jc w:val="left"/>
      <w:spacing w:line="360" w:lineRule="auto"/>
    </w:pPr>
    <w:rPr>
      <w:rFonts w:ascii="Times New Roman" w:hAnsi="Times New Roman" w:eastAsia="宋体" w:cs="Times New Roman"/>
      <w:szCs w:val="24"/>
    </w:rPr>
  </w:style>
  <w:style w:type="paragraph" w:styleId="847">
    <w:name w:val="Body Text 3"/>
    <w:basedOn w:val="831"/>
    <w:link w:val="909"/>
    <w:uiPriority w:val="0"/>
    <w:qFormat/>
    <w:pPr>
      <w:spacing w:line="560" w:lineRule="exact"/>
    </w:pPr>
    <w:rPr>
      <w:rFonts w:ascii="仿宋_GB2312" w:hAnsi="Times New Roman" w:eastAsia="仿宋_GB2312" w:cs="Times New Roman"/>
      <w:b/>
      <w:bCs/>
      <w:color w:val="ff0000"/>
      <w:sz w:val="28"/>
      <w:szCs w:val="24"/>
    </w:rPr>
  </w:style>
  <w:style w:type="paragraph" w:styleId="848">
    <w:name w:val="Body Text"/>
    <w:basedOn w:val="831"/>
    <w:link w:val="902"/>
    <w:uiPriority w:val="0"/>
    <w:unhideWhenUsed/>
    <w:qFormat/>
    <w:pPr>
      <w:spacing w:after="120"/>
    </w:pPr>
  </w:style>
  <w:style w:type="paragraph" w:styleId="849">
    <w:name w:val="Body Text Indent"/>
    <w:basedOn w:val="831"/>
    <w:link w:val="910"/>
    <w:uiPriority w:val="0"/>
    <w:qFormat/>
    <w:pPr>
      <w:ind w:firstLine="600"/>
    </w:pPr>
    <w:rPr>
      <w:rFonts w:ascii="Times New Roman" w:hAnsi="Times New Roman" w:eastAsia="仿宋_GB2312" w:cs="Times New Roman"/>
      <w:sz w:val="30"/>
      <w:szCs w:val="30"/>
    </w:rPr>
  </w:style>
  <w:style w:type="paragraph" w:styleId="850">
    <w:name w:val="toc 5"/>
    <w:basedOn w:val="831"/>
    <w:next w:val="831"/>
    <w:uiPriority w:val="0"/>
    <w:qFormat/>
    <w:pPr>
      <w:ind w:left="630"/>
      <w:jc w:val="left"/>
    </w:pPr>
    <w:rPr>
      <w:rFonts w:ascii="Calibri" w:hAnsi="Calibri" w:eastAsia="宋体" w:cs="Times New Roman"/>
      <w:sz w:val="20"/>
      <w:szCs w:val="20"/>
    </w:rPr>
  </w:style>
  <w:style w:type="paragraph" w:styleId="851">
    <w:name w:val="toc 3"/>
    <w:basedOn w:val="831"/>
    <w:next w:val="831"/>
    <w:uiPriority w:val="39"/>
    <w:unhideWhenUsed/>
    <w:qFormat/>
    <w:pPr>
      <w:ind w:left="210"/>
      <w:jc w:val="left"/>
    </w:pPr>
    <w:rPr>
      <w:rFonts w:ascii="Calibri" w:hAnsi="Calibri" w:eastAsia="宋体" w:cs="Times New Roman"/>
      <w:sz w:val="20"/>
      <w:szCs w:val="20"/>
    </w:rPr>
  </w:style>
  <w:style w:type="paragraph" w:styleId="852">
    <w:name w:val="Plain Text"/>
    <w:basedOn w:val="831"/>
    <w:link w:val="895"/>
    <w:uiPriority w:val="0"/>
    <w:qFormat/>
    <w:rPr>
      <w:rFonts w:ascii="宋体" w:hAnsi="Courier New" w:eastAsia="宋体" w:cs="Times New Roman"/>
      <w:szCs w:val="20"/>
    </w:rPr>
  </w:style>
  <w:style w:type="paragraph" w:styleId="853">
    <w:name w:val="toc 8"/>
    <w:basedOn w:val="831"/>
    <w:next w:val="831"/>
    <w:uiPriority w:val="0"/>
    <w:qFormat/>
    <w:pPr>
      <w:ind w:left="1260"/>
      <w:jc w:val="left"/>
    </w:pPr>
    <w:rPr>
      <w:rFonts w:ascii="Calibri" w:hAnsi="Calibri" w:eastAsia="宋体" w:cs="Times New Roman"/>
      <w:sz w:val="20"/>
      <w:szCs w:val="20"/>
    </w:rPr>
  </w:style>
  <w:style w:type="paragraph" w:styleId="854">
    <w:name w:val="Date"/>
    <w:basedOn w:val="831"/>
    <w:next w:val="831"/>
    <w:link w:val="896"/>
    <w:uiPriority w:val="0"/>
    <w:unhideWhenUsed/>
    <w:qFormat/>
    <w:pPr>
      <w:ind w:left="100"/>
    </w:pPr>
  </w:style>
  <w:style w:type="paragraph" w:styleId="855">
    <w:name w:val="Body Text Indent 2"/>
    <w:basedOn w:val="831"/>
    <w:link w:val="911"/>
    <w:uiPriority w:val="0"/>
    <w:qFormat/>
    <w:pPr>
      <w:ind w:firstLine="420"/>
    </w:pPr>
    <w:rPr>
      <w:rFonts w:ascii="宋体" w:hAnsi="Times New Roman" w:eastAsia="宋体" w:cs="Times New Roman"/>
      <w:color w:val="000000"/>
      <w:sz w:val="24"/>
      <w:szCs w:val="24"/>
    </w:rPr>
  </w:style>
  <w:style w:type="paragraph" w:styleId="856">
    <w:name w:val="Balloon Text"/>
    <w:basedOn w:val="831"/>
    <w:link w:val="897"/>
    <w:uiPriority w:val="0"/>
    <w:unhideWhenUsed/>
    <w:qFormat/>
    <w:rPr>
      <w:sz w:val="18"/>
      <w:szCs w:val="18"/>
    </w:rPr>
  </w:style>
  <w:style w:type="paragraph" w:styleId="857">
    <w:name w:val="Footer"/>
    <w:basedOn w:val="831"/>
    <w:link w:val="898"/>
    <w:uiPriority w:val="0"/>
    <w:unhideWhenUsed/>
    <w:qFormat/>
    <w:pPr>
      <w:jc w:val="left"/>
      <w:tabs>
        <w:tab w:val="center" w:pos="4153" w:leader="none"/>
        <w:tab w:val="right" w:pos="8306" w:leader="none"/>
      </w:tabs>
    </w:pPr>
    <w:rPr>
      <w:sz w:val="18"/>
      <w:szCs w:val="18"/>
    </w:rPr>
  </w:style>
  <w:style w:type="paragraph" w:styleId="858">
    <w:name w:val="Header"/>
    <w:basedOn w:val="831"/>
    <w:link w:val="89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59">
    <w:name w:val="toc 1"/>
    <w:basedOn w:val="831"/>
    <w:next w:val="831"/>
    <w:uiPriority w:val="39"/>
    <w:unhideWhenUsed/>
    <w:qFormat/>
    <w:pPr>
      <w:jc w:val="center"/>
      <w:spacing w:line="360" w:lineRule="auto"/>
      <w:tabs>
        <w:tab w:val="right" w:pos="9628" w:leader="dot"/>
      </w:tabs>
    </w:pPr>
    <w:rPr>
      <w:sz w:val="32"/>
    </w:rPr>
  </w:style>
  <w:style w:type="paragraph" w:styleId="860">
    <w:name w:val="toc 4"/>
    <w:basedOn w:val="831"/>
    <w:next w:val="831"/>
    <w:uiPriority w:val="0"/>
    <w:qFormat/>
    <w:pPr>
      <w:ind w:left="420"/>
      <w:jc w:val="left"/>
    </w:pPr>
    <w:rPr>
      <w:rFonts w:ascii="Calibri" w:hAnsi="Calibri" w:eastAsia="宋体" w:cs="Times New Roman"/>
      <w:sz w:val="20"/>
      <w:szCs w:val="20"/>
    </w:rPr>
  </w:style>
  <w:style w:type="paragraph" w:styleId="861">
    <w:name w:val="Subtitle"/>
    <w:basedOn w:val="831"/>
    <w:next w:val="831"/>
    <w:link w:val="912"/>
    <w:uiPriority w:val="0"/>
    <w:qFormat/>
    <w:pPr>
      <w:jc w:val="center"/>
      <w:spacing w:before="240" w:after="60" w:line="312" w:lineRule="auto"/>
      <w:outlineLvl w:val="1"/>
    </w:pPr>
    <w:rPr>
      <w:rFonts w:ascii="Cambria" w:hAnsi="Cambria" w:eastAsia="宋体" w:cs="Times New Roman"/>
      <w:b/>
      <w:bCs/>
      <w:sz w:val="32"/>
      <w:szCs w:val="32"/>
    </w:rPr>
  </w:style>
  <w:style w:type="paragraph" w:styleId="862">
    <w:name w:val="toc 6"/>
    <w:basedOn w:val="831"/>
    <w:next w:val="831"/>
    <w:uiPriority w:val="0"/>
    <w:qFormat/>
    <w:pPr>
      <w:ind w:left="840"/>
      <w:jc w:val="left"/>
    </w:pPr>
    <w:rPr>
      <w:rFonts w:ascii="Calibri" w:hAnsi="Calibri" w:eastAsia="宋体" w:cs="Times New Roman"/>
      <w:sz w:val="20"/>
      <w:szCs w:val="20"/>
    </w:rPr>
  </w:style>
  <w:style w:type="paragraph" w:styleId="863">
    <w:name w:val="Body Text Indent 3"/>
    <w:basedOn w:val="831"/>
    <w:link w:val="913"/>
    <w:uiPriority w:val="0"/>
    <w:qFormat/>
    <w:pPr>
      <w:ind w:left="420"/>
      <w:spacing w:after="120"/>
    </w:pPr>
    <w:rPr>
      <w:rFonts w:ascii="Times New Roman" w:hAnsi="Times New Roman" w:eastAsia="宋体" w:cs="Times New Roman"/>
      <w:sz w:val="16"/>
      <w:szCs w:val="16"/>
    </w:rPr>
  </w:style>
  <w:style w:type="paragraph" w:styleId="864">
    <w:name w:val="toc 2"/>
    <w:basedOn w:val="831"/>
    <w:next w:val="831"/>
    <w:uiPriority w:val="39"/>
    <w:unhideWhenUsed/>
    <w:qFormat/>
    <w:pPr>
      <w:jc w:val="left"/>
      <w:spacing w:before="240"/>
    </w:pPr>
    <w:rPr>
      <w:rFonts w:ascii="Calibri" w:hAnsi="Calibri" w:eastAsia="宋体" w:cs="Times New Roman"/>
      <w:b/>
      <w:bCs/>
      <w:sz w:val="20"/>
      <w:szCs w:val="20"/>
    </w:rPr>
  </w:style>
  <w:style w:type="paragraph" w:styleId="865">
    <w:name w:val="toc 9"/>
    <w:basedOn w:val="831"/>
    <w:next w:val="831"/>
    <w:uiPriority w:val="0"/>
    <w:qFormat/>
    <w:pPr>
      <w:ind w:left="1470"/>
      <w:jc w:val="left"/>
    </w:pPr>
    <w:rPr>
      <w:rFonts w:ascii="Calibri" w:hAnsi="Calibri" w:eastAsia="宋体" w:cs="Times New Roman"/>
      <w:sz w:val="20"/>
      <w:szCs w:val="20"/>
    </w:rPr>
  </w:style>
  <w:style w:type="paragraph" w:styleId="866">
    <w:name w:val="Body Text 2"/>
    <w:basedOn w:val="831"/>
    <w:link w:val="914"/>
    <w:uiPriority w:val="0"/>
    <w:qFormat/>
    <w:pPr>
      <w:spacing w:line="560" w:lineRule="exact"/>
    </w:pPr>
    <w:rPr>
      <w:rFonts w:ascii="仿宋_GB2312" w:hAnsi="Times New Roman" w:eastAsia="仿宋_GB2312" w:cs="Times New Roman"/>
      <w:sz w:val="28"/>
      <w:szCs w:val="30"/>
    </w:rPr>
  </w:style>
  <w:style w:type="paragraph" w:styleId="867">
    <w:name w:val="HTML Preformatted"/>
    <w:basedOn w:val="831"/>
    <w:link w:val="91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rPr>
  </w:style>
  <w:style w:type="paragraph" w:styleId="868">
    <w:name w:val="Normal (Web)"/>
    <w:basedOn w:val="831"/>
    <w:uiPriority w:val="99"/>
    <w:unhideWhenUsed/>
    <w:qFormat/>
    <w:pPr>
      <w:jc w:val="left"/>
      <w:spacing w:before="100" w:beforeAutospacing="1" w:after="100" w:afterAutospacing="1"/>
    </w:pPr>
    <w:rPr>
      <w:rFonts w:ascii="Times New Roman" w:hAnsi="Times New Roman" w:eastAsia="宋体" w:cs="Times New Roman"/>
      <w:sz w:val="24"/>
      <w:szCs w:val="20"/>
    </w:rPr>
  </w:style>
  <w:style w:type="paragraph" w:styleId="869">
    <w:name w:val="annotation subject"/>
    <w:basedOn w:val="846"/>
    <w:next w:val="846"/>
    <w:link w:val="918"/>
    <w:uiPriority w:val="0"/>
    <w:qFormat/>
    <w:pPr>
      <w:ind w:firstLine="0"/>
      <w:spacing w:line="240" w:lineRule="auto"/>
    </w:pPr>
    <w:rPr>
      <w:b/>
      <w:bCs/>
    </w:rPr>
  </w:style>
  <w:style w:type="paragraph" w:styleId="870">
    <w:name w:val="Body Text First Indent"/>
    <w:basedOn w:val="848"/>
    <w:link w:val="903"/>
    <w:uiPriority w:val="0"/>
    <w:qFormat/>
    <w:pPr>
      <w:ind w:firstLine="420"/>
    </w:pPr>
  </w:style>
  <w:style w:type="table" w:styleId="871">
    <w:name w:val="Table Grid"/>
    <w:basedOn w:val="84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2">
    <w:name w:val="page number"/>
    <w:basedOn w:val="841"/>
    <w:uiPriority w:val="0"/>
    <w:qFormat/>
  </w:style>
  <w:style w:type="character" w:styleId="873">
    <w:name w:val="FollowedHyperlink"/>
    <w:basedOn w:val="841"/>
    <w:uiPriority w:val="0"/>
    <w:qFormat/>
    <w:rPr>
      <w:color w:val="800080"/>
      <w:u w:val="none"/>
    </w:rPr>
  </w:style>
  <w:style w:type="character" w:styleId="874">
    <w:name w:val="HTML Definition"/>
    <w:basedOn w:val="841"/>
    <w:uiPriority w:val="0"/>
    <w:qFormat/>
  </w:style>
  <w:style w:type="character" w:styleId="875">
    <w:name w:val="HTML Typewriter"/>
    <w:basedOn w:val="841"/>
    <w:uiPriority w:val="0"/>
    <w:qFormat/>
    <w:rPr>
      <w:rFonts w:hint="default" w:ascii="monospace" w:hAnsi="monospace" w:eastAsia="monospace" w:cs="monospace"/>
      <w:sz w:val="20"/>
    </w:rPr>
  </w:style>
  <w:style w:type="character" w:styleId="876">
    <w:name w:val="HTML Acronym"/>
    <w:basedOn w:val="841"/>
    <w:uiPriority w:val="0"/>
    <w:qFormat/>
  </w:style>
  <w:style w:type="character" w:styleId="877">
    <w:name w:val="HTML Variable"/>
    <w:basedOn w:val="841"/>
    <w:uiPriority w:val="0"/>
    <w:qFormat/>
  </w:style>
  <w:style w:type="character" w:styleId="878">
    <w:name w:val="Hyperlink"/>
    <w:uiPriority w:val="99"/>
    <w:qFormat/>
    <w:rPr>
      <w:color w:val="0000ff"/>
      <w:u w:val="none"/>
    </w:rPr>
  </w:style>
  <w:style w:type="character" w:styleId="879">
    <w:name w:val="HTML Code"/>
    <w:basedOn w:val="841"/>
    <w:uiPriority w:val="0"/>
    <w:qFormat/>
    <w:rPr>
      <w:rFonts w:hint="default" w:ascii="monospace" w:hAnsi="monospace" w:eastAsia="monospace" w:cs="monospace"/>
      <w:sz w:val="20"/>
    </w:rPr>
  </w:style>
  <w:style w:type="character" w:styleId="880">
    <w:name w:val="annotation reference"/>
    <w:uiPriority w:val="0"/>
    <w:qFormat/>
    <w:rPr>
      <w:sz w:val="21"/>
      <w:szCs w:val="21"/>
    </w:rPr>
  </w:style>
  <w:style w:type="character" w:styleId="881">
    <w:name w:val="HTML Cite"/>
    <w:basedOn w:val="841"/>
    <w:uiPriority w:val="0"/>
    <w:qFormat/>
  </w:style>
  <w:style w:type="character" w:styleId="882">
    <w:name w:val="HTML Keyboard"/>
    <w:basedOn w:val="841"/>
    <w:uiPriority w:val="0"/>
    <w:qFormat/>
    <w:rPr>
      <w:rFonts w:ascii="monospace" w:hAnsi="monospace" w:eastAsia="monospace" w:cs="monospace"/>
      <w:sz w:val="20"/>
    </w:rPr>
  </w:style>
  <w:style w:type="character" w:styleId="883">
    <w:name w:val="HTML Sample"/>
    <w:basedOn w:val="841"/>
    <w:uiPriority w:val="0"/>
    <w:qFormat/>
    <w:rPr>
      <w:rFonts w:hint="default" w:ascii="monospace" w:hAnsi="monospace" w:eastAsia="monospace" w:cs="monospace"/>
    </w:rPr>
  </w:style>
  <w:style w:type="character" w:styleId="884" w:customStyle="1">
    <w:name w:val="标题 1 字符"/>
    <w:basedOn w:val="841"/>
    <w:link w:val="832"/>
    <w:uiPriority w:val="9"/>
    <w:qFormat/>
    <w:rPr>
      <w:b/>
      <w:bCs/>
      <w:sz w:val="44"/>
      <w:szCs w:val="44"/>
    </w:rPr>
  </w:style>
  <w:style w:type="character" w:styleId="885" w:customStyle="1">
    <w:name w:val="标题 2 字符"/>
    <w:basedOn w:val="841"/>
    <w:link w:val="833"/>
    <w:uiPriority w:val="9"/>
    <w:qFormat/>
    <w:rPr>
      <w:rFonts w:asciiTheme="majorHAnsi" w:hAnsiTheme="majorHAnsi" w:eastAsiaTheme="majorEastAsia" w:cstheme="majorBidi"/>
      <w:b/>
      <w:bCs/>
      <w:sz w:val="32"/>
      <w:szCs w:val="32"/>
    </w:rPr>
  </w:style>
  <w:style w:type="character" w:styleId="886" w:customStyle="1">
    <w:name w:val="标题 3 字符"/>
    <w:basedOn w:val="841"/>
    <w:link w:val="834"/>
    <w:uiPriority w:val="9"/>
    <w:qFormat/>
    <w:rPr>
      <w:b/>
      <w:bCs/>
      <w:sz w:val="32"/>
      <w:szCs w:val="32"/>
    </w:rPr>
  </w:style>
  <w:style w:type="character" w:styleId="887" w:customStyle="1">
    <w:name w:val="标题 4 字符"/>
    <w:basedOn w:val="841"/>
    <w:link w:val="835"/>
    <w:uiPriority w:val="0"/>
    <w:qFormat/>
    <w:rPr>
      <w:rFonts w:ascii="Arial" w:hAnsi="Arial" w:eastAsia="黑体"/>
      <w:b/>
      <w:bCs/>
      <w:sz w:val="28"/>
      <w:szCs w:val="28"/>
    </w:rPr>
  </w:style>
  <w:style w:type="character" w:styleId="888" w:customStyle="1">
    <w:name w:val="标题 5 字符"/>
    <w:basedOn w:val="841"/>
    <w:link w:val="836"/>
    <w:uiPriority w:val="0"/>
    <w:qFormat/>
    <w:rPr>
      <w:rFonts w:eastAsia="黑体"/>
      <w:b/>
      <w:bCs/>
      <w:sz w:val="28"/>
      <w:szCs w:val="28"/>
    </w:rPr>
  </w:style>
  <w:style w:type="character" w:styleId="889" w:customStyle="1">
    <w:name w:val="标题 6 字符"/>
    <w:basedOn w:val="841"/>
    <w:link w:val="837"/>
    <w:uiPriority w:val="0"/>
    <w:qFormat/>
    <w:rPr>
      <w:rFonts w:ascii="Arial" w:hAnsi="Arial" w:eastAsia="黑体"/>
      <w:b/>
      <w:bCs/>
      <w:sz w:val="24"/>
      <w:szCs w:val="24"/>
    </w:rPr>
  </w:style>
  <w:style w:type="character" w:styleId="890" w:customStyle="1">
    <w:name w:val="标题 7 字符"/>
    <w:basedOn w:val="841"/>
    <w:link w:val="838"/>
    <w:uiPriority w:val="0"/>
    <w:qFormat/>
    <w:rPr>
      <w:b/>
      <w:bCs/>
      <w:sz w:val="24"/>
      <w:szCs w:val="24"/>
    </w:rPr>
  </w:style>
  <w:style w:type="character" w:styleId="891" w:customStyle="1">
    <w:name w:val="标题 8 字符"/>
    <w:basedOn w:val="841"/>
    <w:link w:val="839"/>
    <w:uiPriority w:val="0"/>
    <w:qFormat/>
    <w:rPr>
      <w:rFonts w:ascii="Arial" w:hAnsi="Arial" w:eastAsia="黑体"/>
      <w:sz w:val="24"/>
      <w:szCs w:val="24"/>
    </w:rPr>
  </w:style>
  <w:style w:type="character" w:styleId="892" w:customStyle="1">
    <w:name w:val="标题 9 字符"/>
    <w:basedOn w:val="841"/>
    <w:link w:val="840"/>
    <w:uiPriority w:val="0"/>
    <w:qFormat/>
    <w:rPr>
      <w:rFonts w:ascii="Arial" w:hAnsi="Arial" w:eastAsia="黑体"/>
      <w:sz w:val="21"/>
      <w:szCs w:val="21"/>
    </w:rPr>
  </w:style>
  <w:style w:type="character" w:styleId="893" w:customStyle="1">
    <w:name w:val="文档结构图 字符"/>
    <w:basedOn w:val="841"/>
    <w:link w:val="845"/>
    <w:uiPriority w:val="99"/>
    <w:semiHidden/>
    <w:qFormat/>
    <w:rPr>
      <w:rFonts w:ascii="宋体" w:eastAsia="宋体"/>
      <w:sz w:val="18"/>
      <w:szCs w:val="18"/>
    </w:rPr>
  </w:style>
  <w:style w:type="character" w:styleId="894" w:customStyle="1">
    <w:name w:val="批注文字 字符"/>
    <w:basedOn w:val="841"/>
    <w:link w:val="846"/>
    <w:uiPriority w:val="0"/>
    <w:qFormat/>
    <w:rPr>
      <w:rFonts w:ascii="Times New Roman" w:hAnsi="Times New Roman" w:eastAsia="宋体" w:cs="Times New Roman"/>
      <w:szCs w:val="24"/>
    </w:rPr>
  </w:style>
  <w:style w:type="character" w:styleId="895" w:customStyle="1">
    <w:name w:val="纯文本 字符"/>
    <w:basedOn w:val="841"/>
    <w:link w:val="852"/>
    <w:uiPriority w:val="0"/>
    <w:qFormat/>
    <w:rPr>
      <w:rFonts w:ascii="宋体" w:hAnsi="Courier New" w:eastAsia="宋体" w:cs="Times New Roman"/>
      <w:szCs w:val="20"/>
    </w:rPr>
  </w:style>
  <w:style w:type="character" w:styleId="896" w:customStyle="1">
    <w:name w:val="日期 字符"/>
    <w:basedOn w:val="841"/>
    <w:link w:val="854"/>
    <w:uiPriority w:val="99"/>
    <w:semiHidden/>
    <w:qFormat/>
  </w:style>
  <w:style w:type="character" w:styleId="897" w:customStyle="1">
    <w:name w:val="批注框文本 字符"/>
    <w:basedOn w:val="841"/>
    <w:link w:val="856"/>
    <w:uiPriority w:val="99"/>
    <w:semiHidden/>
    <w:qFormat/>
    <w:rPr>
      <w:sz w:val="18"/>
      <w:szCs w:val="18"/>
    </w:rPr>
  </w:style>
  <w:style w:type="character" w:styleId="898" w:customStyle="1">
    <w:name w:val="页脚 字符"/>
    <w:basedOn w:val="841"/>
    <w:link w:val="857"/>
    <w:uiPriority w:val="99"/>
    <w:qFormat/>
    <w:rPr>
      <w:sz w:val="18"/>
      <w:szCs w:val="18"/>
    </w:rPr>
  </w:style>
  <w:style w:type="character" w:styleId="899" w:customStyle="1">
    <w:name w:val="页眉 字符"/>
    <w:basedOn w:val="841"/>
    <w:link w:val="858"/>
    <w:uiPriority w:val="99"/>
    <w:semiHidden/>
    <w:qFormat/>
    <w:rPr>
      <w:sz w:val="18"/>
      <w:szCs w:val="18"/>
    </w:rPr>
  </w:style>
  <w:style w:type="paragraph" w:styleId="900" w:customStyle="1">
    <w:name w:val="Default"/>
    <w:link w:val="901"/>
    <w:uiPriority w:val="99"/>
    <w:qFormat/>
    <w:pPr>
      <w:widowControl w:val="off"/>
    </w:pPr>
    <w:rPr>
      <w:rFonts w:ascii="MS Mincho" w:hAnsi="Calibri" w:eastAsia="宋体" w:cs="Times New Roman"/>
      <w:color w:val="000000"/>
      <w:sz w:val="21"/>
      <w:szCs w:val="24"/>
      <w:lang w:val="en-US" w:eastAsia="zh-CN" w:bidi="ar-SA"/>
    </w:rPr>
  </w:style>
  <w:style w:type="character" w:styleId="901" w:customStyle="1">
    <w:name w:val="Default Char"/>
    <w:link w:val="900"/>
    <w:uiPriority w:val="99"/>
    <w:qFormat/>
    <w:rPr>
      <w:rFonts w:ascii="MS Mincho" w:hAnsi="Calibri" w:eastAsia="宋体" w:cs="Times New Roman"/>
      <w:color w:val="000000"/>
      <w:szCs w:val="24"/>
    </w:rPr>
  </w:style>
  <w:style w:type="character" w:styleId="902" w:customStyle="1">
    <w:name w:val="正文文本 字符"/>
    <w:basedOn w:val="841"/>
    <w:link w:val="848"/>
    <w:uiPriority w:val="0"/>
    <w:qFormat/>
    <w:rPr>
      <w:rFonts w:asciiTheme="minorHAnsi" w:hAnsiTheme="minorHAnsi" w:eastAsiaTheme="minorEastAsia" w:cstheme="minorBidi"/>
      <w:sz w:val="21"/>
      <w:szCs w:val="22"/>
    </w:rPr>
  </w:style>
  <w:style w:type="character" w:styleId="903" w:customStyle="1">
    <w:name w:val="正文文本首行缩进 字符"/>
    <w:basedOn w:val="902"/>
    <w:link w:val="870"/>
    <w:uiPriority w:val="0"/>
    <w:qFormat/>
    <w:rPr>
      <w:rFonts w:asciiTheme="minorHAnsi" w:hAnsiTheme="minorHAnsi" w:eastAsiaTheme="minorEastAsia" w:cstheme="minorBidi"/>
      <w:sz w:val="21"/>
      <w:szCs w:val="22"/>
    </w:rPr>
  </w:style>
  <w:style w:type="paragraph" w:styleId="904"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905" w:customStyle="1">
    <w:name w:val="正文-2字符首行缩进"/>
    <w:basedOn w:val="831"/>
    <w:uiPriority w:val="0"/>
    <w:qFormat/>
    <w:pPr>
      <w:ind w:firstLine="200"/>
      <w:spacing w:line="360" w:lineRule="auto"/>
    </w:pPr>
    <w:rPr>
      <w:rFonts w:ascii="仿宋_GB2312" w:hAnsi="Times New Roman" w:eastAsia="仿宋_GB2312"/>
      <w:sz w:val="28"/>
      <w:szCs w:val="20"/>
    </w:rPr>
  </w:style>
  <w:style w:type="paragraph" w:styleId="906">
    <w:name w:val="List Paragraph"/>
    <w:basedOn w:val="831"/>
    <w:uiPriority w:val="99"/>
    <w:qFormat/>
    <w:pPr>
      <w:contextualSpacing/>
      <w:ind w:left="720"/>
    </w:pPr>
  </w:style>
  <w:style w:type="paragraph" w:styleId="907" w:customStyle="1">
    <w:name w:val="批注文字1"/>
    <w:basedOn w:val="831"/>
    <w:uiPriority w:val="0"/>
    <w:qFormat/>
    <w:pPr>
      <w:ind w:firstLine="922"/>
      <w:jc w:val="left"/>
      <w:spacing w:line="360" w:lineRule="auto"/>
    </w:pPr>
    <w:rPr>
      <w:rFonts w:ascii="Times New Roman" w:hAnsi="Times New Roman"/>
      <w:szCs w:val="24"/>
    </w:rPr>
  </w:style>
  <w:style w:type="character" w:styleId="908" w:customStyle="1">
    <w:name w:val="正文缩进 字符"/>
    <w:link w:val="844"/>
    <w:uiPriority w:val="0"/>
    <w:qFormat/>
    <w:rPr>
      <w:sz w:val="21"/>
    </w:rPr>
  </w:style>
  <w:style w:type="character" w:styleId="909" w:customStyle="1">
    <w:name w:val="正文文本 3 字符"/>
    <w:basedOn w:val="841"/>
    <w:link w:val="847"/>
    <w:uiPriority w:val="0"/>
    <w:qFormat/>
    <w:rPr>
      <w:rFonts w:ascii="仿宋_GB2312" w:eastAsia="仿宋_GB2312"/>
      <w:b/>
      <w:bCs/>
      <w:color w:val="ff0000"/>
      <w:sz w:val="28"/>
      <w:szCs w:val="24"/>
    </w:rPr>
  </w:style>
  <w:style w:type="character" w:styleId="910" w:customStyle="1">
    <w:name w:val="正文文本缩进 字符"/>
    <w:basedOn w:val="841"/>
    <w:link w:val="849"/>
    <w:uiPriority w:val="0"/>
    <w:qFormat/>
    <w:rPr>
      <w:rFonts w:eastAsia="仿宋_GB2312"/>
      <w:sz w:val="30"/>
      <w:szCs w:val="30"/>
    </w:rPr>
  </w:style>
  <w:style w:type="character" w:styleId="911" w:customStyle="1">
    <w:name w:val="正文文本缩进 2 字符"/>
    <w:basedOn w:val="841"/>
    <w:link w:val="855"/>
    <w:uiPriority w:val="0"/>
    <w:qFormat/>
    <w:rPr>
      <w:rFonts w:ascii="宋体"/>
      <w:color w:val="000000"/>
      <w:sz w:val="24"/>
      <w:szCs w:val="24"/>
    </w:rPr>
  </w:style>
  <w:style w:type="character" w:styleId="912" w:customStyle="1">
    <w:name w:val="副标题 字符"/>
    <w:basedOn w:val="841"/>
    <w:link w:val="861"/>
    <w:uiPriority w:val="0"/>
    <w:qFormat/>
    <w:rPr>
      <w:rFonts w:ascii="Cambria" w:hAnsi="Cambria"/>
      <w:b/>
      <w:bCs/>
      <w:sz w:val="32"/>
      <w:szCs w:val="32"/>
    </w:rPr>
  </w:style>
  <w:style w:type="character" w:styleId="913" w:customStyle="1">
    <w:name w:val="正文文本缩进 3 字符"/>
    <w:basedOn w:val="841"/>
    <w:link w:val="863"/>
    <w:uiPriority w:val="0"/>
    <w:qFormat/>
    <w:rPr>
      <w:sz w:val="16"/>
      <w:szCs w:val="16"/>
    </w:rPr>
  </w:style>
  <w:style w:type="character" w:styleId="914" w:customStyle="1">
    <w:name w:val="正文文本 2 字符"/>
    <w:basedOn w:val="841"/>
    <w:link w:val="866"/>
    <w:uiPriority w:val="0"/>
    <w:qFormat/>
    <w:rPr>
      <w:rFonts w:ascii="仿宋_GB2312" w:eastAsia="仿宋_GB2312"/>
      <w:sz w:val="28"/>
      <w:szCs w:val="30"/>
    </w:rPr>
  </w:style>
  <w:style w:type="character" w:styleId="915" w:customStyle="1">
    <w:name w:val="HTML 预设格式 字符"/>
    <w:basedOn w:val="841"/>
    <w:link w:val="867"/>
    <w:uiPriority w:val="0"/>
    <w:qFormat/>
    <w:rPr>
      <w:rFonts w:ascii="宋体" w:hAnsi="宋体" w:cs="宋体"/>
      <w:sz w:val="24"/>
      <w:szCs w:val="24"/>
    </w:rPr>
  </w:style>
  <w:style w:type="character" w:styleId="916" w:customStyle="1">
    <w:name w:val="HTML 预设格式 Char"/>
    <w:basedOn w:val="841"/>
    <w:link w:val="917"/>
    <w:uiPriority w:val="0"/>
    <w:qFormat/>
    <w:rPr>
      <w:rFonts w:ascii="Courier New" w:hAnsi="Courier New" w:cs="Courier New" w:eastAsiaTheme="minorEastAsia"/>
    </w:rPr>
  </w:style>
  <w:style w:type="paragraph" w:styleId="917" w:customStyle="1">
    <w:name w:val="HTML 预设格式1"/>
    <w:basedOn w:val="831"/>
    <w:link w:val="91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character" w:styleId="918" w:customStyle="1">
    <w:name w:val="批注主题 字符"/>
    <w:basedOn w:val="894"/>
    <w:link w:val="869"/>
    <w:uiPriority w:val="0"/>
    <w:qFormat/>
    <w:rPr>
      <w:rFonts w:ascii="Times New Roman" w:hAnsi="Times New Roman" w:eastAsia="宋体" w:cs="Times New Roman"/>
      <w:b/>
      <w:bCs/>
      <w:sz w:val="21"/>
      <w:szCs w:val="24"/>
    </w:rPr>
  </w:style>
  <w:style w:type="character" w:styleId="919" w:customStyle="1">
    <w:name w:val="15"/>
    <w:uiPriority w:val="0"/>
    <w:qFormat/>
    <w:rPr>
      <w:rFonts w:hint="eastAsia" w:ascii="宋体" w:hAnsi="宋体" w:eastAsia="宋体"/>
      <w:color w:val="000000"/>
      <w:sz w:val="21"/>
      <w:szCs w:val="21"/>
    </w:rPr>
  </w:style>
  <w:style w:type="character" w:styleId="920" w:customStyle="1">
    <w:name w:val="链接"/>
    <w:uiPriority w:val="0"/>
    <w:qFormat/>
    <w:rPr>
      <w:rFonts w:ascii="Times New Roman" w:eastAsia="宋体"/>
      <w:color w:val="0000ff"/>
      <w:sz w:val="21"/>
      <w:u w:val="single"/>
      <w:vertAlign w:val="baseline"/>
      <w:lang w:val="en-US" w:eastAsia="zh-CN"/>
    </w:rPr>
  </w:style>
  <w:style w:type="character" w:styleId="921" w:customStyle="1">
    <w:name w:val="H4 Char"/>
    <w:uiPriority w:val="0"/>
    <w:qFormat/>
    <w:rPr>
      <w:rFonts w:ascii="Arial" w:hAnsi="Arial" w:eastAsia="黑体"/>
      <w:b/>
      <w:bCs/>
      <w:sz w:val="28"/>
      <w:szCs w:val="28"/>
      <w:lang w:val="en-US" w:eastAsia="zh-CN" w:bidi="ar-SA"/>
    </w:rPr>
  </w:style>
  <w:style w:type="character" w:styleId="922" w:customStyle="1">
    <w:name w:val="H6 Char"/>
    <w:uiPriority w:val="0"/>
    <w:qFormat/>
    <w:rPr>
      <w:rFonts w:ascii="Arial" w:hAnsi="Arial" w:eastAsia="黑体"/>
      <w:b/>
      <w:bCs/>
      <w:sz w:val="24"/>
      <w:szCs w:val="24"/>
    </w:rPr>
  </w:style>
  <w:style w:type="character" w:styleId="923" w:customStyle="1">
    <w:name w:val="Char Char3"/>
    <w:uiPriority w:val="0"/>
    <w:qFormat/>
    <w:rPr>
      <w:rFonts w:ascii="Arial" w:hAnsi="Arial" w:eastAsia="黑体"/>
      <w:sz w:val="24"/>
      <w:szCs w:val="24"/>
    </w:rPr>
  </w:style>
  <w:style w:type="character" w:styleId="924" w:customStyle="1">
    <w:name w:val="二级标题2 Char"/>
    <w:link w:val="925"/>
    <w:uiPriority w:val="0"/>
    <w:qFormat/>
    <w:rPr>
      <w:rFonts w:ascii="华文中宋" w:hAnsi="华文中宋" w:eastAsia="华文中宋"/>
      <w:b/>
      <w:bCs/>
      <w:sz w:val="24"/>
      <w:szCs w:val="24"/>
    </w:rPr>
  </w:style>
  <w:style w:type="paragraph" w:styleId="925" w:customStyle="1">
    <w:name w:val="二级标题2"/>
    <w:basedOn w:val="833"/>
    <w:next w:val="848"/>
    <w:link w:val="924"/>
    <w:uiPriority w:val="0"/>
    <w:qFormat/>
    <w:pPr>
      <w:ind w:left="1021" w:hanging="596"/>
      <w:spacing w:before="0" w:after="0" w:line="360" w:lineRule="auto"/>
      <w:tabs>
        <w:tab w:val="left" w:pos="1021" w:leader="none"/>
      </w:tabs>
    </w:pPr>
    <w:rPr>
      <w:rFonts w:ascii="华文中宋" w:hAnsi="华文中宋" w:eastAsia="华文中宋" w:cs="Times New Roman"/>
      <w:sz w:val="24"/>
      <w:szCs w:val="24"/>
    </w:rPr>
  </w:style>
  <w:style w:type="character" w:styleId="926" w:customStyle="1">
    <w:name w:val="普通正文 Char"/>
    <w:link w:val="927"/>
    <w:uiPriority w:val="0"/>
    <w:qFormat/>
    <w:rPr>
      <w:rFonts w:ascii="Arial" w:hAnsi="Arial"/>
      <w:sz w:val="24"/>
      <w:szCs w:val="24"/>
    </w:rPr>
  </w:style>
  <w:style w:type="paragraph" w:styleId="927" w:customStyle="1">
    <w:name w:val="普通正文"/>
    <w:basedOn w:val="831"/>
    <w:link w:val="926"/>
    <w:uiPriority w:val="0"/>
    <w:qFormat/>
    <w:pPr>
      <w:ind w:firstLine="480"/>
      <w:jc w:val="left"/>
      <w:spacing w:before="120" w:after="120" w:line="360" w:lineRule="auto"/>
    </w:pPr>
    <w:rPr>
      <w:rFonts w:ascii="Arial" w:hAnsi="Arial" w:eastAsia="宋体" w:cs="Times New Roman"/>
      <w:sz w:val="24"/>
      <w:szCs w:val="24"/>
    </w:rPr>
  </w:style>
  <w:style w:type="character" w:styleId="928" w:customStyle="1">
    <w:name w:val="Char Char2"/>
    <w:uiPriority w:val="0"/>
    <w:qFormat/>
    <w:rPr>
      <w:rFonts w:ascii="Arial" w:hAnsi="Arial" w:eastAsia="黑体"/>
      <w:sz w:val="21"/>
      <w:szCs w:val="21"/>
    </w:rPr>
  </w:style>
  <w:style w:type="character" w:styleId="929" w:customStyle="1">
    <w:name w:val="wj1"/>
    <w:uiPriority w:val="0"/>
    <w:qFormat/>
    <w:rPr>
      <w:color w:val="000000"/>
      <w:spacing w:val="260"/>
      <w:sz w:val="18"/>
      <w:szCs w:val="18"/>
      <w:u w:val="none"/>
    </w:rPr>
  </w:style>
  <w:style w:type="character" w:styleId="930" w:customStyle="1">
    <w:name w:val="三级标题 Char"/>
    <w:link w:val="931"/>
    <w:uiPriority w:val="0"/>
    <w:qFormat/>
    <w:rPr>
      <w:rFonts w:ascii="华文中宋" w:hAnsi="华文中宋" w:eastAsia="华文中宋"/>
      <w:sz w:val="24"/>
      <w:szCs w:val="24"/>
    </w:rPr>
  </w:style>
  <w:style w:type="paragraph" w:styleId="931" w:customStyle="1">
    <w:name w:val="三级标题"/>
    <w:basedOn w:val="831"/>
    <w:next w:val="831"/>
    <w:link w:val="930"/>
    <w:uiPriority w:val="0"/>
    <w:qFormat/>
    <w:pPr>
      <w:spacing w:line="360" w:lineRule="auto"/>
      <w:outlineLvl w:val="2"/>
    </w:pPr>
    <w:rPr>
      <w:rFonts w:ascii="华文中宋" w:hAnsi="华文中宋" w:eastAsia="华文中宋" w:cs="Times New Roman"/>
      <w:sz w:val="24"/>
      <w:szCs w:val="24"/>
    </w:rPr>
  </w:style>
  <w:style w:type="character" w:styleId="932" w:customStyle="1">
    <w:name w:val="Char Char4"/>
    <w:uiPriority w:val="0"/>
    <w:qFormat/>
    <w:rPr>
      <w:b/>
      <w:bCs/>
      <w:sz w:val="24"/>
      <w:szCs w:val="24"/>
    </w:rPr>
  </w:style>
  <w:style w:type="character" w:styleId="933" w:customStyle="1">
    <w:name w:val="无间隔 Char"/>
    <w:uiPriority w:val="0"/>
    <w:qFormat/>
    <w:rPr>
      <w:rFonts w:ascii="Calibri" w:hAnsi="Calibri"/>
      <w:sz w:val="22"/>
      <w:szCs w:val="22"/>
      <w:lang w:val="en-US" w:eastAsia="zh-CN" w:bidi="ar-SA"/>
    </w:rPr>
  </w:style>
  <w:style w:type="character" w:styleId="934" w:customStyle="1">
    <w:name w:val="第*章 Char"/>
    <w:uiPriority w:val="0"/>
    <w:qFormat/>
    <w:rPr>
      <w:rFonts w:ascii="Arial" w:hAnsi="Arial" w:eastAsia="黑体"/>
      <w:b/>
      <w:bCs/>
      <w:sz w:val="32"/>
      <w:szCs w:val="32"/>
    </w:rPr>
  </w:style>
  <w:style w:type="character" w:styleId="935" w:customStyle="1">
    <w:name w:val="纯文本 Char1"/>
    <w:uiPriority w:val="0"/>
    <w:qFormat/>
    <w:rPr>
      <w:rFonts w:ascii="宋体" w:hAnsi="Courier New"/>
      <w:sz w:val="21"/>
    </w:rPr>
  </w:style>
  <w:style w:type="character" w:styleId="936" w:customStyle="1">
    <w:name w:val="h3 Char"/>
    <w:uiPriority w:val="0"/>
    <w:qFormat/>
    <w:rPr>
      <w:b/>
      <w:bCs/>
      <w:sz w:val="32"/>
      <w:szCs w:val="32"/>
    </w:rPr>
  </w:style>
  <w:style w:type="character" w:styleId="937" w:customStyle="1">
    <w:name w:val="Char Char"/>
    <w:uiPriority w:val="0"/>
    <w:qFormat/>
    <w:rPr>
      <w:sz w:val="18"/>
      <w:szCs w:val="18"/>
    </w:rPr>
  </w:style>
  <w:style w:type="character" w:styleId="938" w:customStyle="1">
    <w:name w:val="H5 Char"/>
    <w:uiPriority w:val="0"/>
    <w:qFormat/>
    <w:rPr>
      <w:rFonts w:eastAsia="黑体"/>
      <w:b/>
      <w:bCs/>
      <w:sz w:val="28"/>
      <w:szCs w:val="28"/>
      <w:lang w:val="en-US" w:eastAsia="zh-CN" w:bidi="ar-SA"/>
    </w:rPr>
  </w:style>
  <w:style w:type="character" w:styleId="939" w:customStyle="1">
    <w:name w:val="Char Char1"/>
    <w:uiPriority w:val="0"/>
    <w:qFormat/>
    <w:rPr>
      <w:sz w:val="18"/>
      <w:szCs w:val="18"/>
    </w:rPr>
  </w:style>
  <w:style w:type="paragraph" w:styleId="940" w:customStyle="1">
    <w:name w:val="IBM 正文"/>
    <w:basedOn w:val="831"/>
    <w:uiPriority w:val="0"/>
    <w:qFormat/>
    <w:pPr>
      <w:spacing w:line="360" w:lineRule="exact"/>
    </w:pPr>
    <w:rPr>
      <w:rFonts w:ascii="Times New Roman" w:hAnsi="Times New Roman" w:eastAsia="宋体" w:cs="Times New Roman"/>
      <w:sz w:val="24"/>
      <w:szCs w:val="20"/>
    </w:rPr>
  </w:style>
  <w:style w:type="paragraph" w:styleId="941" w:customStyle="1">
    <w:name w:val="小节标题"/>
    <w:basedOn w:val="831"/>
    <w:uiPriority w:val="0"/>
    <w:qFormat/>
    <w:pPr>
      <w:spacing w:before="175" w:after="102" w:line="351" w:lineRule="atLeast"/>
      <w:widowControl/>
    </w:pPr>
    <w:rPr>
      <w:rFonts w:ascii="Times New Roman" w:hAnsi="Times New Roman" w:eastAsia="黑体" w:cs="Times New Roman"/>
      <w:color w:val="000000"/>
      <w:szCs w:val="20"/>
    </w:rPr>
  </w:style>
  <w:style w:type="paragraph" w:styleId="942" w:customStyle="1">
    <w:name w:val="目录1"/>
    <w:basedOn w:val="831"/>
    <w:uiPriority w:val="0"/>
    <w:qFormat/>
    <w:pPr>
      <w:jc w:val="left"/>
      <w:spacing w:after="136" w:line="289" w:lineRule="atLeast"/>
      <w:widowControl/>
      <w:tabs>
        <w:tab w:val="left" w:pos="8503" w:leader="dot"/>
      </w:tabs>
    </w:pPr>
    <w:rPr>
      <w:rFonts w:ascii="Arial" w:hAnsi="Times New Roman" w:eastAsia="黑体" w:cs="Times New Roman"/>
      <w:color w:val="000000"/>
      <w:sz w:val="28"/>
      <w:szCs w:val="20"/>
    </w:rPr>
  </w:style>
  <w:style w:type="paragraph" w:styleId="943" w:customStyle="1">
    <w:name w:val="目录3"/>
    <w:basedOn w:val="831"/>
    <w:uiPriority w:val="0"/>
    <w:qFormat/>
    <w:pPr>
      <w:ind w:firstLine="419"/>
      <w:spacing w:line="317" w:lineRule="atLeast"/>
      <w:widowControl/>
      <w:tabs>
        <w:tab w:val="left" w:pos="7370" w:leader="dot"/>
      </w:tabs>
    </w:pPr>
    <w:rPr>
      <w:rFonts w:ascii="Times New Roman" w:hAnsi="Times New Roman" w:eastAsia="宋体" w:cs="Times New Roman"/>
      <w:color w:val="000000"/>
      <w:szCs w:val="20"/>
    </w:rPr>
  </w:style>
  <w:style w:type="paragraph" w:styleId="944" w:customStyle="1">
    <w:name w:val="xl37"/>
    <w:basedOn w:val="831"/>
    <w:uiPriority w:val="0"/>
    <w:qFormat/>
    <w:pPr>
      <w:jc w:val="center"/>
      <w:spacing w:before="100" w:beforeAutospacing="1" w:after="100" w:afterAutospacing="1"/>
      <w:widowControl/>
      <w:pBdr>
        <w:left w:val="single" w:color="auto" w:sz="4" w:space="0"/>
      </w:pBdr>
    </w:pPr>
    <w:rPr>
      <w:rFonts w:ascii="Arial" w:hAnsi="Arial" w:eastAsia="Arial Unicode MS" w:cs="Arial"/>
      <w:b/>
      <w:bCs/>
      <w:sz w:val="16"/>
      <w:szCs w:val="16"/>
    </w:rPr>
  </w:style>
  <w:style w:type="paragraph" w:styleId="945" w:customStyle="1">
    <w:name w:val="??"/>
    <w:uiPriority w:val="0"/>
    <w:qFormat/>
    <w:pPr>
      <w:jc w:val="both"/>
      <w:widowControl w:val="off"/>
    </w:pPr>
    <w:rPr>
      <w:rFonts w:ascii="Times New Roman" w:hAnsi="Times New Roman" w:eastAsia="宋体" w:cs="Times New Roman"/>
      <w:sz w:val="21"/>
      <w:szCs w:val="21"/>
      <w:lang w:val="en-US" w:eastAsia="en-US" w:bidi="ar-SA"/>
    </w:rPr>
  </w:style>
  <w:style w:type="paragraph" w:styleId="946" w:customStyle="1">
    <w:name w:val="xl38"/>
    <w:basedOn w:val="831"/>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16"/>
      <w:szCs w:val="16"/>
    </w:rPr>
  </w:style>
  <w:style w:type="paragraph" w:styleId="947" w:customStyle="1">
    <w:name w:val="font11"/>
    <w:basedOn w:val="831"/>
    <w:uiPriority w:val="0"/>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948" w:customStyle="1">
    <w:name w:val="xl74"/>
    <w:basedOn w:val="831"/>
    <w:uiPriority w:val="0"/>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949" w:customStyle="1">
    <w:name w:val="_Style 82"/>
    <w:basedOn w:val="832"/>
    <w:next w:val="831"/>
    <w:uiPriority w:val="39"/>
    <w:qFormat/>
    <w:pPr>
      <w:ind w:left="284" w:hanging="284"/>
      <w:jc w:val="left"/>
      <w:spacing w:before="480" w:after="0" w:line="276" w:lineRule="auto"/>
      <w:widowControl/>
      <w:tabs>
        <w:tab w:val="left" w:pos="360" w:leader="none"/>
      </w:tabs>
      <w:outlineLvl w:val="9"/>
    </w:pPr>
    <w:rPr>
      <w:rFonts w:ascii="Cambria" w:hAnsi="Cambria" w:eastAsia="宋体" w:cs="Times New Roman"/>
      <w:color w:val="365f91"/>
      <w:sz w:val="28"/>
      <w:szCs w:val="28"/>
    </w:rPr>
  </w:style>
  <w:style w:type="paragraph" w:styleId="950" w:customStyle="1">
    <w:name w:val="题目项目"/>
    <w:basedOn w:val="831"/>
    <w:uiPriority w:val="0"/>
    <w:qFormat/>
    <w:pPr>
      <w:numPr>
        <w:ilvl w:val="0"/>
        <w:numId w:val="1"/>
      </w:numPr>
    </w:pPr>
    <w:rPr>
      <w:rFonts w:ascii="Times New Roman" w:hAnsi="Times New Roman" w:eastAsia="宋体" w:cs="Times New Roman"/>
      <w:szCs w:val="24"/>
    </w:rPr>
  </w:style>
  <w:style w:type="paragraph" w:styleId="951" w:customStyle="1">
    <w:name w:val="Char Char1 Char Char Char"/>
    <w:basedOn w:val="831"/>
    <w:uiPriority w:val="0"/>
    <w:qFormat/>
    <w:rPr>
      <w:rFonts w:ascii="Times New Roman" w:hAnsi="Times New Roman" w:eastAsia="宋体" w:cs="Times New Roman"/>
      <w:szCs w:val="20"/>
    </w:rPr>
  </w:style>
  <w:style w:type="paragraph" w:styleId="952" w:customStyle="1">
    <w:name w:val="xl45"/>
    <w:basedOn w:val="831"/>
    <w:uiPriority w:val="0"/>
    <w:qFormat/>
    <w:pPr>
      <w:jc w:val="left"/>
      <w:spacing w:before="100" w:beforeAutospacing="1" w:after="100" w:afterAutospacing="1"/>
      <w:widowControl/>
      <w:pBdr>
        <w:left w:val="single" w:color="auto" w:sz="4" w:space="0"/>
        <w:right w:val="single" w:color="auto" w:sz="4" w:space="0"/>
      </w:pBdr>
    </w:pPr>
    <w:rPr>
      <w:rFonts w:hint="eastAsia" w:ascii="宋体" w:hAnsi="宋体" w:eastAsia="宋体" w:cs="Arial Unicode MS"/>
      <w:sz w:val="18"/>
      <w:szCs w:val="18"/>
    </w:rPr>
  </w:style>
  <w:style w:type="paragraph" w:styleId="953" w:customStyle="1">
    <w:name w:val="font13"/>
    <w:basedOn w:val="831"/>
    <w:uiPriority w:val="0"/>
    <w:qFormat/>
    <w:pPr>
      <w:jc w:val="left"/>
      <w:spacing w:before="100" w:beforeAutospacing="1" w:after="100" w:afterAutospacing="1"/>
      <w:widowControl/>
    </w:pPr>
    <w:rPr>
      <w:rFonts w:hint="eastAsia" w:ascii="宋体" w:hAnsi="宋体" w:eastAsia="宋体" w:cs="Arial Unicode MS"/>
      <w:sz w:val="20"/>
      <w:szCs w:val="20"/>
    </w:rPr>
  </w:style>
  <w:style w:type="paragraph" w:styleId="954" w:customStyle="1">
    <w:name w:val="文章总标题"/>
    <w:basedOn w:val="831"/>
    <w:uiPriority w:val="0"/>
    <w:qFormat/>
    <w:pPr>
      <w:jc w:val="center"/>
      <w:spacing w:before="566" w:after="544" w:line="566" w:lineRule="atLeast"/>
      <w:widowControl/>
    </w:pPr>
    <w:rPr>
      <w:rFonts w:ascii="Arial" w:hAnsi="Times New Roman" w:eastAsia="黑体" w:cs="Times New Roman"/>
      <w:color w:val="000000"/>
      <w:sz w:val="54"/>
      <w:szCs w:val="20"/>
    </w:rPr>
  </w:style>
  <w:style w:type="paragraph" w:styleId="955" w:customStyle="1">
    <w:name w:val="xl70"/>
    <w:basedOn w:val="831"/>
    <w:uiPriority w:val="0"/>
    <w:qFormat/>
    <w:pPr>
      <w:jc w:val="left"/>
      <w:spacing w:before="100" w:beforeAutospacing="1" w:after="100" w:afterAutospacing="1"/>
      <w:widowControl/>
      <w:pBdr>
        <w:top w:val="single" w:color="auto" w:sz="4" w:space="0"/>
        <w:right w:val="single" w:color="auto" w:sz="4" w:space="0"/>
      </w:pBdr>
    </w:pPr>
    <w:rPr>
      <w:rFonts w:ascii="Arial" w:hAnsi="Arial" w:eastAsia="Arial Unicode MS" w:cs="Arial"/>
      <w:b/>
      <w:bCs/>
      <w:sz w:val="18"/>
      <w:szCs w:val="18"/>
    </w:rPr>
  </w:style>
  <w:style w:type="paragraph" w:styleId="956" w:customStyle="1">
    <w:name w:val="font7"/>
    <w:basedOn w:val="831"/>
    <w:uiPriority w:val="0"/>
    <w:qFormat/>
    <w:pPr>
      <w:jc w:val="left"/>
      <w:spacing w:before="100" w:beforeAutospacing="1" w:after="100" w:afterAutospacing="1"/>
      <w:widowControl/>
    </w:pPr>
    <w:rPr>
      <w:rFonts w:hint="eastAsia" w:ascii="宋体" w:hAnsi="宋体" w:eastAsia="宋体" w:cs="Arial Unicode MS"/>
      <w:sz w:val="18"/>
      <w:szCs w:val="18"/>
    </w:rPr>
  </w:style>
  <w:style w:type="paragraph" w:styleId="957" w:customStyle="1">
    <w:name w:val="xl47"/>
    <w:basedOn w:val="831"/>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958" w:customStyle="1">
    <w:name w:val="xl41"/>
    <w:basedOn w:val="831"/>
    <w:uiPriority w:val="0"/>
    <w:qFormat/>
    <w:pPr>
      <w:jc w:val="left"/>
      <w:spacing w:before="100" w:beforeAutospacing="1" w:after="100" w:afterAutospacing="1"/>
      <w:widowControl/>
      <w:pBdr>
        <w:right w:val="single" w:color="auto" w:sz="4" w:space="0"/>
      </w:pBdr>
    </w:pPr>
    <w:rPr>
      <w:rFonts w:ascii="Arial" w:hAnsi="Arial" w:eastAsia="Arial Unicode MS" w:cs="Arial"/>
      <w:sz w:val="18"/>
      <w:szCs w:val="18"/>
    </w:rPr>
  </w:style>
  <w:style w:type="paragraph" w:styleId="959" w:customStyle="1">
    <w:name w:val="默认段落字体 Para Char Char Char Char Char Char Char"/>
    <w:basedOn w:val="845"/>
    <w:uiPriority w:val="0"/>
    <w:qFormat/>
    <w:pPr>
      <w:ind w:left="357"/>
      <w:jc w:val="left"/>
      <w:spacing w:line="436" w:lineRule="exact"/>
      <w:shd w:val="clear" w:color="auto" w:fill="000080"/>
      <w:outlineLvl w:val="3"/>
    </w:pPr>
    <w:rPr>
      <w:rFonts w:ascii="Tahoma" w:hAnsi="Tahoma" w:cs="Times New Roman"/>
      <w:b/>
      <w:sz w:val="24"/>
      <w:szCs w:val="24"/>
    </w:rPr>
  </w:style>
  <w:style w:type="paragraph" w:styleId="960" w:customStyle="1">
    <w:name w:val="xl29"/>
    <w:basedOn w:val="831"/>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961" w:customStyle="1">
    <w:name w:val="xl72"/>
    <w:basedOn w:val="83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962" w:customStyle="1">
    <w:name w:val="样式1"/>
    <w:basedOn w:val="831"/>
    <w:uiPriority w:val="0"/>
    <w:qFormat/>
    <w:pPr>
      <w:ind w:left="709" w:hanging="709"/>
      <w:tabs>
        <w:tab w:val="left" w:pos="709" w:leader="none"/>
      </w:tabs>
    </w:pPr>
    <w:rPr>
      <w:rFonts w:ascii="宋体" w:hAnsi="宋体" w:eastAsia="宋体" w:cs="Times New Roman"/>
      <w:szCs w:val="21"/>
    </w:rPr>
  </w:style>
  <w:style w:type="paragraph" w:styleId="963" w:customStyle="1">
    <w:name w:val="xl73"/>
    <w:basedOn w:val="831"/>
    <w:uiPriority w:val="0"/>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964" w:customStyle="1">
    <w:name w:val="xl50"/>
    <w:basedOn w:val="831"/>
    <w:uiPriority w:val="0"/>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sz w:val="18"/>
      <w:szCs w:val="18"/>
    </w:rPr>
  </w:style>
  <w:style w:type="paragraph" w:styleId="965" w:customStyle="1">
    <w:name w:val="xl60"/>
    <w:basedOn w:val="831"/>
    <w:uiPriority w:val="0"/>
    <w:qFormat/>
    <w:pPr>
      <w:jc w:val="left"/>
      <w:spacing w:before="100" w:beforeAutospacing="1" w:after="100" w:afterAutospacing="1"/>
      <w:widowControl/>
      <w:pBdr>
        <w:top w:val="single" w:color="auto" w:sz="8" w:space="0"/>
        <w:right w:val="single" w:color="auto" w:sz="8" w:space="0"/>
      </w:pBdr>
    </w:pPr>
    <w:rPr>
      <w:rFonts w:ascii="Arial" w:hAnsi="Arial" w:eastAsia="Arial Unicode MS" w:cs="Arial"/>
      <w:sz w:val="24"/>
      <w:szCs w:val="24"/>
    </w:rPr>
  </w:style>
  <w:style w:type="paragraph" w:styleId="966">
    <w:name w:val="No Spacing"/>
    <w:uiPriority w:val="0"/>
    <w:qFormat/>
    <w:rPr>
      <w:rFonts w:ascii="Calibri" w:hAnsi="Calibri" w:eastAsia="宋体" w:cs="Times New Roman"/>
      <w:sz w:val="22"/>
      <w:szCs w:val="22"/>
      <w:lang w:val="en-US" w:eastAsia="zh-CN" w:bidi="ar-SA"/>
    </w:rPr>
  </w:style>
  <w:style w:type="paragraph" w:styleId="967" w:customStyle="1">
    <w:name w:val="xl59"/>
    <w:basedOn w:val="831"/>
    <w:uiPriority w:val="0"/>
    <w:qFormat/>
    <w:pPr>
      <w:jc w:val="left"/>
      <w:spacing w:before="100" w:beforeAutospacing="1" w:after="100" w:afterAutospacing="1"/>
      <w:widowControl/>
      <w:pBdr>
        <w:top w:val="single" w:color="auto" w:sz="8" w:space="0"/>
      </w:pBdr>
    </w:pPr>
    <w:rPr>
      <w:rFonts w:hint="eastAsia" w:ascii="宋体" w:hAnsi="宋体" w:eastAsia="宋体" w:cs="Arial Unicode MS"/>
      <w:sz w:val="24"/>
      <w:szCs w:val="24"/>
    </w:rPr>
  </w:style>
  <w:style w:type="paragraph" w:styleId="968" w:customStyle="1">
    <w:name w:val="xl35"/>
    <w:basedOn w:val="831"/>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969" w:customStyle="1">
    <w:name w:val="xl27"/>
    <w:basedOn w:val="831"/>
    <w:uiPriority w:val="0"/>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970" w:customStyle="1">
    <w:name w:val="black1"/>
    <w:basedOn w:val="831"/>
    <w:uiPriority w:val="0"/>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971" w:customStyle="1">
    <w:name w:val="xl42"/>
    <w:basedOn w:val="831"/>
    <w:uiPriority w:val="0"/>
    <w:qFormat/>
    <w:pPr>
      <w:jc w:val="left"/>
      <w:spacing w:before="100" w:beforeAutospacing="1" w:after="100" w:afterAutospacing="1"/>
      <w:widowControl/>
    </w:pPr>
    <w:rPr>
      <w:rFonts w:hint="eastAsia" w:ascii="楷体_GB2312" w:hAnsi="Arial Unicode MS" w:eastAsia="楷体_GB2312" w:cs="Arial Unicode MS"/>
      <w:sz w:val="24"/>
      <w:szCs w:val="24"/>
    </w:rPr>
  </w:style>
  <w:style w:type="paragraph" w:styleId="972" w:customStyle="1">
    <w:name w:val="xl64"/>
    <w:basedOn w:val="831"/>
    <w:uiPriority w:val="0"/>
    <w:qFormat/>
    <w:pPr>
      <w:jc w:val="right"/>
      <w:spacing w:before="100" w:beforeAutospacing="1" w:after="100" w:afterAutospacing="1"/>
      <w:widowControl/>
      <w:pBdr>
        <w:right w:val="single" w:color="auto" w:sz="8" w:space="0"/>
      </w:pBdr>
    </w:pPr>
    <w:rPr>
      <w:rFonts w:ascii="Arial" w:hAnsi="Arial" w:eastAsia="Arial Unicode MS" w:cs="Arial"/>
      <w:sz w:val="24"/>
      <w:szCs w:val="24"/>
    </w:rPr>
  </w:style>
  <w:style w:type="paragraph" w:styleId="973" w:customStyle="1">
    <w:name w:val="xl71"/>
    <w:basedOn w:val="831"/>
    <w:uiPriority w:val="0"/>
    <w:qFormat/>
    <w:pPr>
      <w:jc w:val="left"/>
      <w:spacing w:before="100" w:beforeAutospacing="1" w:after="100" w:afterAutospacing="1"/>
      <w:widowControl/>
      <w:pBdr>
        <w:top w:val="single" w:color="auto" w:sz="4" w:space="0"/>
        <w:bottom w:val="single" w:color="auto" w:sz="4" w:space="0"/>
      </w:pBdr>
    </w:pPr>
    <w:rPr>
      <w:rFonts w:ascii="Arial" w:hAnsi="Arial" w:eastAsia="Arial Unicode MS" w:cs="Arial"/>
      <w:sz w:val="16"/>
      <w:szCs w:val="16"/>
    </w:rPr>
  </w:style>
  <w:style w:type="paragraph" w:styleId="974" w:customStyle="1">
    <w:name w:val="xl32"/>
    <w:basedOn w:val="831"/>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975" w:customStyle="1">
    <w:name w:val="xl54"/>
    <w:basedOn w:val="831"/>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976" w:customStyle="1">
    <w:name w:val="节标题"/>
    <w:basedOn w:val="831"/>
    <w:uiPriority w:val="0"/>
    <w:qFormat/>
    <w:pPr>
      <w:jc w:val="center"/>
      <w:spacing w:line="289" w:lineRule="atLeast"/>
      <w:widowControl/>
    </w:pPr>
    <w:rPr>
      <w:rFonts w:ascii="Times New Roman" w:hAnsi="Times New Roman" w:eastAsia="宋体" w:cs="Times New Roman"/>
      <w:color w:val="000000"/>
      <w:sz w:val="28"/>
      <w:szCs w:val="20"/>
    </w:rPr>
  </w:style>
  <w:style w:type="paragraph" w:styleId="977" w:customStyle="1">
    <w:name w:val="xl65"/>
    <w:basedOn w:val="831"/>
    <w:uiPriority w:val="0"/>
    <w:qFormat/>
    <w:pPr>
      <w:jc w:val="left"/>
      <w:spacing w:before="100" w:beforeAutospacing="1" w:after="100" w:afterAutospacing="1"/>
      <w:widowControl/>
      <w:pBdr>
        <w:left w:val="single" w:color="auto" w:sz="4" w:space="0"/>
        <w:bottom w:val="single" w:color="auto" w:sz="4" w:space="0"/>
      </w:pBdr>
    </w:pPr>
    <w:rPr>
      <w:rFonts w:hint="eastAsia" w:ascii="楷体_GB2312" w:hAnsi="Arial Unicode MS" w:eastAsia="楷体_GB2312" w:cs="Arial Unicode MS"/>
      <w:b/>
      <w:bCs/>
      <w:sz w:val="18"/>
      <w:szCs w:val="18"/>
    </w:rPr>
  </w:style>
  <w:style w:type="paragraph" w:styleId="978" w:customStyle="1">
    <w:name w:val="xl39"/>
    <w:basedOn w:val="831"/>
    <w:uiPriority w:val="0"/>
    <w:qFormat/>
    <w:pPr>
      <w:jc w:val="center"/>
      <w:spacing w:before="100" w:beforeAutospacing="1" w:after="100" w:afterAutospacing="1"/>
      <w:widowControl/>
      <w:pBdr>
        <w:top w:val="single" w:color="auto" w:sz="4" w:space="0"/>
        <w:right w:val="single" w:color="auto" w:sz="4" w:space="0"/>
      </w:pBdr>
    </w:pPr>
    <w:rPr>
      <w:rFonts w:ascii="Arial" w:hAnsi="Arial" w:eastAsia="Arial Unicode MS" w:cs="Arial"/>
      <w:b/>
      <w:bCs/>
      <w:sz w:val="16"/>
      <w:szCs w:val="16"/>
    </w:rPr>
  </w:style>
  <w:style w:type="paragraph" w:styleId="979" w:customStyle="1">
    <w:name w:val="xl58"/>
    <w:basedOn w:val="831"/>
    <w:uiPriority w:val="0"/>
    <w:qFormat/>
    <w:pPr>
      <w:jc w:val="left"/>
      <w:spacing w:before="100" w:beforeAutospacing="1" w:after="100" w:afterAutospacing="1"/>
      <w:widowControl/>
      <w:pBdr>
        <w:top w:val="single" w:color="auto" w:sz="8" w:space="0"/>
      </w:pBdr>
    </w:pPr>
    <w:rPr>
      <w:rFonts w:ascii="Arial" w:hAnsi="Arial" w:eastAsia="Arial Unicode MS" w:cs="Arial"/>
      <w:sz w:val="24"/>
      <w:szCs w:val="24"/>
    </w:rPr>
  </w:style>
  <w:style w:type="paragraph" w:styleId="980" w:customStyle="1">
    <w:name w:val="xl52"/>
    <w:basedOn w:val="831"/>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18"/>
      <w:szCs w:val="18"/>
    </w:rPr>
  </w:style>
  <w:style w:type="paragraph" w:styleId="981" w:customStyle="1">
    <w:name w:val="目录标题"/>
    <w:basedOn w:val="831"/>
    <w:uiPriority w:val="0"/>
    <w:qFormat/>
    <w:pPr>
      <w:ind w:firstLine="419"/>
      <w:jc w:val="center"/>
      <w:spacing w:before="566" w:after="544" w:line="566" w:lineRule="atLeast"/>
      <w:widowControl/>
    </w:pPr>
    <w:rPr>
      <w:rFonts w:ascii="Arial" w:hAnsi="Times New Roman" w:eastAsia="黑体" w:cs="Times New Roman"/>
      <w:color w:val="000000"/>
      <w:spacing w:val="566"/>
      <w:sz w:val="54"/>
      <w:szCs w:val="20"/>
    </w:rPr>
  </w:style>
  <w:style w:type="paragraph" w:styleId="982" w:customStyle="1">
    <w:name w:val="xl57"/>
    <w:basedOn w:val="831"/>
    <w:uiPriority w:val="0"/>
    <w:qFormat/>
    <w:pPr>
      <w:jc w:val="left"/>
      <w:spacing w:before="100" w:beforeAutospacing="1" w:after="100" w:afterAutospacing="1"/>
      <w:widowControl/>
      <w:pBdr>
        <w:top w:val="single" w:color="auto" w:sz="8" w:space="0"/>
        <w:left w:val="single" w:color="auto" w:sz="8" w:space="0"/>
      </w:pBdr>
    </w:pPr>
    <w:rPr>
      <w:rFonts w:ascii="Arial" w:hAnsi="Arial" w:eastAsia="Arial Unicode MS" w:cs="Arial"/>
      <w:sz w:val="24"/>
      <w:szCs w:val="24"/>
    </w:rPr>
  </w:style>
  <w:style w:type="paragraph" w:styleId="983" w:customStyle="1">
    <w:name w:val="xl69"/>
    <w:basedOn w:val="831"/>
    <w:uiPriority w:val="0"/>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984" w:customStyle="1">
    <w:name w:val="目录4"/>
    <w:basedOn w:val="831"/>
    <w:uiPriority w:val="0"/>
    <w:qFormat/>
    <w:pPr>
      <w:ind w:firstLine="629"/>
      <w:spacing w:line="317" w:lineRule="atLeast"/>
      <w:widowControl/>
      <w:tabs>
        <w:tab w:val="left" w:pos="7370" w:leader="dot"/>
      </w:tabs>
    </w:pPr>
    <w:rPr>
      <w:rFonts w:ascii="Times New Roman" w:hAnsi="Times New Roman" w:eastAsia="宋体" w:cs="Times New Roman"/>
      <w:color w:val="000000"/>
      <w:szCs w:val="20"/>
    </w:rPr>
  </w:style>
  <w:style w:type="paragraph" w:styleId="985" w:customStyle="1">
    <w:name w:val="xl40"/>
    <w:basedOn w:val="831"/>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986" w:customStyle="1">
    <w:name w:val="font5"/>
    <w:basedOn w:val="831"/>
    <w:uiPriority w:val="0"/>
    <w:qFormat/>
    <w:pPr>
      <w:jc w:val="left"/>
      <w:spacing w:before="100" w:beforeAutospacing="1" w:after="100" w:afterAutospacing="1"/>
      <w:widowControl/>
    </w:pPr>
    <w:rPr>
      <w:rFonts w:ascii="Arial" w:hAnsi="Arial" w:eastAsia="Arial Unicode MS" w:cs="Arial"/>
      <w:sz w:val="20"/>
      <w:szCs w:val="20"/>
    </w:rPr>
  </w:style>
  <w:style w:type="paragraph" w:styleId="987" w:customStyle="1">
    <w:name w:val="Sourcetext"/>
    <w:basedOn w:val="831"/>
    <w:uiPriority w:val="0"/>
    <w:qFormat/>
    <w:pPr>
      <w:ind w:left="2160"/>
      <w:jc w:val="left"/>
      <w:spacing w:after="120"/>
      <w:widowControl/>
    </w:pPr>
    <w:rPr>
      <w:rFonts w:ascii="Century Schoolbook" w:hAnsi="Century Schoolbook" w:eastAsia="宋体" w:cs="Times New Roman"/>
      <w:sz w:val="20"/>
      <w:szCs w:val="20"/>
    </w:rPr>
  </w:style>
  <w:style w:type="paragraph" w:styleId="988" w:customStyle="1">
    <w:name w:val="Char Char1 Char Char Char1"/>
    <w:basedOn w:val="831"/>
    <w:uiPriority w:val="0"/>
    <w:qFormat/>
    <w:rPr>
      <w:rFonts w:ascii="Times New Roman" w:hAnsi="Times New Roman" w:eastAsia="宋体" w:cs="Times New Roman"/>
      <w:szCs w:val="20"/>
    </w:rPr>
  </w:style>
  <w:style w:type="paragraph" w:styleId="989" w:customStyle="1">
    <w:name w:val="xl30"/>
    <w:basedOn w:val="831"/>
    <w:uiPriority w:val="0"/>
    <w:qFormat/>
    <w:pPr>
      <w:jc w:val="left"/>
      <w:spacing w:before="100" w:beforeAutospacing="1" w:after="100" w:afterAutospacing="1"/>
      <w:widowControl/>
    </w:pPr>
    <w:rPr>
      <w:rFonts w:ascii="Arial" w:hAnsi="Arial" w:eastAsia="Arial Unicode MS" w:cs="Arial"/>
      <w:sz w:val="18"/>
      <w:szCs w:val="18"/>
    </w:rPr>
  </w:style>
  <w:style w:type="paragraph" w:styleId="990" w:customStyle="1">
    <w:name w:val="xl34"/>
    <w:basedOn w:val="831"/>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991" w:customStyle="1">
    <w:name w:val="正文2"/>
    <w:basedOn w:val="831"/>
    <w:uiPriority w:val="0"/>
    <w:qFormat/>
    <w:pPr>
      <w:ind w:firstLine="200"/>
      <w:jc w:val="left"/>
      <w:spacing w:after="160" w:line="360" w:lineRule="auto"/>
      <w:widowControl/>
    </w:pPr>
    <w:rPr>
      <w:rFonts w:ascii="Verdana" w:hAnsi="Verdana" w:eastAsia="黑体" w:cs="Times New Roman"/>
      <w:szCs w:val="20"/>
      <w:lang w:eastAsia="en-US"/>
    </w:rPr>
  </w:style>
  <w:style w:type="paragraph" w:styleId="992" w:customStyle="1">
    <w:name w:val="xl62"/>
    <w:basedOn w:val="831"/>
    <w:uiPriority w:val="0"/>
    <w:qFormat/>
    <w:pPr>
      <w:jc w:val="center"/>
      <w:spacing w:before="100" w:beforeAutospacing="1" w:after="100" w:afterAutospacing="1"/>
      <w:widowControl/>
    </w:pPr>
    <w:rPr>
      <w:rFonts w:ascii="Arial" w:hAnsi="Arial" w:eastAsia="Arial Unicode MS" w:cs="Arial"/>
      <w:sz w:val="24"/>
      <w:szCs w:val="24"/>
    </w:rPr>
  </w:style>
  <w:style w:type="paragraph" w:styleId="993" w:customStyle="1">
    <w:name w:val="章标题"/>
    <w:basedOn w:val="831"/>
    <w:uiPriority w:val="0"/>
    <w:qFormat/>
    <w:pPr>
      <w:jc w:val="center"/>
      <w:spacing w:before="158" w:after="153" w:line="323" w:lineRule="atLeast"/>
      <w:widowControl/>
    </w:pPr>
    <w:rPr>
      <w:rFonts w:ascii="Arial" w:hAnsi="Times New Roman" w:eastAsia="黑体" w:cs="Times New Roman"/>
      <w:color w:val="000000"/>
      <w:sz w:val="31"/>
      <w:szCs w:val="20"/>
    </w:rPr>
  </w:style>
  <w:style w:type="paragraph" w:styleId="994" w:customStyle="1">
    <w:name w:val="xl55"/>
    <w:basedOn w:val="831"/>
    <w:uiPriority w:val="0"/>
    <w:qFormat/>
    <w:pPr>
      <w:jc w:val="center"/>
      <w:spacing w:before="100" w:beforeAutospacing="1" w:after="100" w:afterAutospacing="1"/>
      <w:widowControl/>
    </w:pPr>
    <w:rPr>
      <w:rFonts w:ascii="Arial" w:hAnsi="Arial" w:eastAsia="Arial Unicode MS" w:cs="Arial"/>
      <w:sz w:val="24"/>
      <w:szCs w:val="24"/>
    </w:rPr>
  </w:style>
  <w:style w:type="paragraph" w:styleId="995" w:customStyle="1">
    <w:name w:val="目录2"/>
    <w:basedOn w:val="831"/>
    <w:uiPriority w:val="0"/>
    <w:qFormat/>
    <w:pPr>
      <w:ind w:firstLine="209"/>
      <w:spacing w:line="317" w:lineRule="atLeast"/>
      <w:widowControl/>
      <w:tabs>
        <w:tab w:val="left" w:pos="7370" w:leader="dot"/>
      </w:tabs>
    </w:pPr>
    <w:rPr>
      <w:rFonts w:ascii="Times New Roman" w:hAnsi="Times New Roman" w:eastAsia="宋体" w:cs="Times New Roman"/>
      <w:color w:val="000000"/>
      <w:szCs w:val="20"/>
    </w:rPr>
  </w:style>
  <w:style w:type="paragraph" w:styleId="996" w:customStyle="1">
    <w:name w:val="文章附标题"/>
    <w:basedOn w:val="831"/>
    <w:uiPriority w:val="0"/>
    <w:qFormat/>
    <w:pPr>
      <w:jc w:val="center"/>
      <w:spacing w:before="187" w:after="175" w:line="374" w:lineRule="atLeast"/>
      <w:widowControl/>
    </w:pPr>
    <w:rPr>
      <w:rFonts w:ascii="Times New Roman" w:hAnsi="Times New Roman" w:eastAsia="宋体" w:cs="Times New Roman"/>
      <w:color w:val="000000"/>
      <w:sz w:val="36"/>
      <w:szCs w:val="20"/>
    </w:rPr>
  </w:style>
  <w:style w:type="paragraph" w:styleId="997" w:customStyle="1">
    <w:name w:val="xl33"/>
    <w:basedOn w:val="831"/>
    <w:uiPriority w:val="0"/>
    <w:qFormat/>
    <w:pPr>
      <w:jc w:val="right"/>
      <w:spacing w:before="100" w:beforeAutospacing="1" w:after="100" w:afterAutospacing="1"/>
      <w:widowControl/>
      <w:pBdr>
        <w:left w:val="single" w:color="auto" w:sz="4" w:space="0"/>
      </w:pBdr>
    </w:pPr>
    <w:rPr>
      <w:rFonts w:ascii="Arial" w:hAnsi="Arial" w:eastAsia="Arial Unicode MS" w:cs="Arial"/>
      <w:sz w:val="18"/>
      <w:szCs w:val="18"/>
    </w:rPr>
  </w:style>
  <w:style w:type="paragraph" w:styleId="998" w:customStyle="1">
    <w:name w:val="xl61"/>
    <w:basedOn w:val="831"/>
    <w:uiPriority w:val="0"/>
    <w:qFormat/>
    <w:pPr>
      <w:jc w:val="center"/>
      <w:spacing w:before="100" w:beforeAutospacing="1" w:after="100" w:afterAutospacing="1"/>
      <w:widowControl/>
      <w:pBdr>
        <w:left w:val="single" w:color="auto" w:sz="8" w:space="0"/>
      </w:pBdr>
    </w:pPr>
    <w:rPr>
      <w:rFonts w:ascii="Arial" w:hAnsi="Arial" w:eastAsia="Arial Unicode MS" w:cs="Arial"/>
      <w:sz w:val="24"/>
      <w:szCs w:val="24"/>
    </w:rPr>
  </w:style>
  <w:style w:type="paragraph" w:styleId="999" w:customStyle="1">
    <w:name w:val="Char"/>
    <w:basedOn w:val="831"/>
    <w:uiPriority w:val="0"/>
    <w:qFormat/>
    <w:pPr>
      <w:ind w:left="360" w:hanging="360"/>
      <w:keepLines/>
      <w:keepNext/>
      <w:pageBreakBefore/>
      <w:tabs>
        <w:tab w:val="left" w:pos="360" w:leader="none"/>
      </w:tabs>
    </w:pPr>
    <w:rPr>
      <w:rFonts w:ascii="Times New Roman" w:hAnsi="Times New Roman" w:eastAsia="宋体" w:cs="Times New Roman"/>
      <w:sz w:val="22"/>
      <w:szCs w:val="24"/>
    </w:rPr>
  </w:style>
  <w:style w:type="paragraph" w:styleId="1000" w:customStyle="1">
    <w:name w:val="Sourcetext bullet"/>
    <w:basedOn w:val="987"/>
    <w:uiPriority w:val="0"/>
    <w:qFormat/>
    <w:pPr>
      <w:numPr>
        <w:ilvl w:val="0"/>
        <w:numId w:val="2"/>
      </w:numPr>
      <w:ind w:left="2160"/>
    </w:pPr>
  </w:style>
  <w:style w:type="paragraph" w:styleId="1001" w:customStyle="1">
    <w:name w:val="xl51"/>
    <w:basedOn w:val="831"/>
    <w:uiPriority w:val="0"/>
    <w:qFormat/>
    <w:pPr>
      <w:jc w:val="right"/>
      <w:spacing w:before="100" w:beforeAutospacing="1" w:after="100" w:afterAutospacing="1"/>
      <w:widowControl/>
      <w:pBdr>
        <w:left w:val="single" w:color="auto" w:sz="4" w:space="0"/>
        <w:bottom w:val="single" w:color="auto" w:sz="4" w:space="0"/>
      </w:pBdr>
    </w:pPr>
    <w:rPr>
      <w:rFonts w:ascii="Arial" w:hAnsi="Arial" w:eastAsia="Arial Unicode MS" w:cs="Arial"/>
      <w:sz w:val="18"/>
      <w:szCs w:val="18"/>
    </w:rPr>
  </w:style>
  <w:style w:type="paragraph" w:styleId="1002" w:customStyle="1">
    <w:name w:val="xl53"/>
    <w:basedOn w:val="83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1003" w:customStyle="1">
    <w:name w:val="xl48"/>
    <w:basedOn w:val="83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b/>
      <w:bCs/>
      <w:sz w:val="16"/>
      <w:szCs w:val="16"/>
    </w:rPr>
  </w:style>
  <w:style w:type="paragraph" w:styleId="1004" w:customStyle="1">
    <w:name w:val="xl67"/>
    <w:basedOn w:val="831"/>
    <w:uiPriority w:val="0"/>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b/>
      <w:bCs/>
      <w:sz w:val="18"/>
      <w:szCs w:val="18"/>
    </w:rPr>
  </w:style>
  <w:style w:type="paragraph" w:styleId="1005" w:customStyle="1">
    <w:name w:val="xl56"/>
    <w:basedOn w:val="831"/>
    <w:uiPriority w:val="0"/>
    <w:qFormat/>
    <w:pPr>
      <w:jc w:val="right"/>
      <w:spacing w:before="100" w:beforeAutospacing="1" w:after="100" w:afterAutospacing="1"/>
      <w:widowControl/>
    </w:pPr>
    <w:rPr>
      <w:rFonts w:ascii="Arial" w:hAnsi="Arial" w:eastAsia="Arial Unicode MS" w:cs="Arial"/>
      <w:sz w:val="24"/>
      <w:szCs w:val="24"/>
    </w:rPr>
  </w:style>
  <w:style w:type="paragraph" w:styleId="1006" w:customStyle="1">
    <w:name w:val="xl28"/>
    <w:basedOn w:val="83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1007" w:customStyle="1">
    <w:name w:val="默认段落字体 Para Char"/>
    <w:basedOn w:val="831"/>
    <w:uiPriority w:val="0"/>
    <w:qFormat/>
    <w:pPr>
      <w:spacing w:line="360" w:lineRule="auto"/>
    </w:pPr>
    <w:rPr>
      <w:rFonts w:ascii="Times New Roman" w:hAnsi="Times New Roman" w:eastAsia="宋体" w:cs="Times New Roman"/>
      <w:sz w:val="24"/>
      <w:szCs w:val="20"/>
    </w:rPr>
  </w:style>
  <w:style w:type="paragraph" w:styleId="1008" w:customStyle="1">
    <w:name w:val="xl49"/>
    <w:basedOn w:val="831"/>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1009" w:customStyle="1">
    <w:name w:val="xl31"/>
    <w:basedOn w:val="831"/>
    <w:uiPriority w:val="0"/>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10" w:customStyle="1">
    <w:name w:val="xl44"/>
    <w:basedOn w:val="831"/>
    <w:uiPriority w:val="0"/>
    <w:qFormat/>
    <w:pPr>
      <w:jc w:val="left"/>
      <w:spacing w:before="100" w:beforeAutospacing="1" w:after="100" w:afterAutospacing="1"/>
      <w:widowControl/>
      <w:pBdr>
        <w:left w:val="single" w:color="auto" w:sz="4" w:space="0"/>
      </w:pBdr>
    </w:pPr>
    <w:rPr>
      <w:rFonts w:hint="eastAsia" w:ascii="楷体_GB2312" w:hAnsi="Arial Unicode MS" w:eastAsia="楷体_GB2312" w:cs="Arial Unicode MS"/>
      <w:b/>
      <w:bCs/>
      <w:sz w:val="18"/>
      <w:szCs w:val="18"/>
    </w:rPr>
  </w:style>
  <w:style w:type="paragraph" w:styleId="1011" w:customStyle="1">
    <w:name w:val="font12"/>
    <w:basedOn w:val="831"/>
    <w:uiPriority w:val="0"/>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1012" w:customStyle="1">
    <w:name w:val="xl63"/>
    <w:basedOn w:val="831"/>
    <w:uiPriority w:val="0"/>
    <w:qFormat/>
    <w:pPr>
      <w:jc w:val="left"/>
      <w:spacing w:before="100" w:beforeAutospacing="1" w:after="100" w:afterAutospacing="1"/>
      <w:widowControl/>
    </w:pPr>
    <w:rPr>
      <w:rFonts w:hint="eastAsia" w:ascii="宋体" w:hAnsi="宋体" w:eastAsia="宋体" w:cs="Arial Unicode MS"/>
      <w:sz w:val="24"/>
      <w:szCs w:val="24"/>
    </w:rPr>
  </w:style>
  <w:style w:type="paragraph" w:styleId="1013" w:customStyle="1">
    <w:name w:val="xl66"/>
    <w:basedOn w:val="831"/>
    <w:uiPriority w:val="0"/>
    <w:qFormat/>
    <w:pPr>
      <w:jc w:val="left"/>
      <w:spacing w:before="100" w:beforeAutospacing="1" w:after="100" w:afterAutospacing="1"/>
      <w:widowControl/>
      <w:pBdr>
        <w:bottom w:val="single" w:color="auto" w:sz="4" w:space="0"/>
      </w:pBdr>
    </w:pPr>
    <w:rPr>
      <w:rFonts w:ascii="Arial" w:hAnsi="Arial" w:eastAsia="Arial Unicode MS" w:cs="Arial"/>
      <w:b/>
      <w:bCs/>
      <w:sz w:val="18"/>
      <w:szCs w:val="18"/>
    </w:rPr>
  </w:style>
  <w:style w:type="paragraph" w:styleId="1014" w:customStyle="1">
    <w:name w:val="font6"/>
    <w:basedOn w:val="831"/>
    <w:uiPriority w:val="0"/>
    <w:qFormat/>
    <w:pPr>
      <w:jc w:val="left"/>
      <w:spacing w:before="100" w:beforeAutospacing="1" w:after="100" w:afterAutospacing="1"/>
      <w:widowControl/>
    </w:pPr>
    <w:rPr>
      <w:rFonts w:ascii="Arial" w:hAnsi="Arial" w:eastAsia="Arial Unicode MS" w:cs="Arial"/>
      <w:sz w:val="18"/>
      <w:szCs w:val="18"/>
    </w:rPr>
  </w:style>
  <w:style w:type="paragraph" w:styleId="1015" w:customStyle="1">
    <w:name w:val="font8"/>
    <w:basedOn w:val="831"/>
    <w:uiPriority w:val="0"/>
    <w:qFormat/>
    <w:pPr>
      <w:jc w:val="left"/>
      <w:spacing w:before="100" w:beforeAutospacing="1" w:after="100" w:afterAutospacing="1"/>
      <w:widowControl/>
    </w:pPr>
    <w:rPr>
      <w:rFonts w:hint="eastAsia" w:ascii="隶书" w:hAnsi="Arial Unicode MS" w:eastAsia="隶书" w:cs="Arial Unicode MS"/>
      <w:sz w:val="18"/>
      <w:szCs w:val="18"/>
    </w:rPr>
  </w:style>
  <w:style w:type="paragraph" w:styleId="1016" w:customStyle="1">
    <w:name w:val="font9"/>
    <w:basedOn w:val="831"/>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17" w:customStyle="1">
    <w:name w:val="xl46"/>
    <w:basedOn w:val="831"/>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1018" w:customStyle="1">
    <w:name w:val="NAP Normal"/>
    <w:basedOn w:val="831"/>
    <w:uiPriority w:val="0"/>
    <w:qFormat/>
    <w:pPr>
      <w:spacing w:line="240" w:lineRule="exact"/>
    </w:pPr>
    <w:rPr>
      <w:rFonts w:ascii="Times New Roman" w:hAnsi="Times New Roman" w:eastAsia="宋体" w:cs="Times New Roman"/>
      <w:sz w:val="22"/>
    </w:rPr>
  </w:style>
  <w:style w:type="paragraph" w:styleId="1019" w:customStyle="1">
    <w:name w:val="xl36"/>
    <w:basedOn w:val="831"/>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20" w:customStyle="1">
    <w:name w:val="font10"/>
    <w:basedOn w:val="831"/>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1021" w:customStyle="1">
    <w:name w:val="xl68"/>
    <w:basedOn w:val="831"/>
    <w:uiPriority w:val="0"/>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1022" w:customStyle="1">
    <w:name w:val="xl43"/>
    <w:basedOn w:val="831"/>
    <w:uiPriority w:val="0"/>
    <w:qFormat/>
    <w:pPr>
      <w:jc w:val="left"/>
      <w:spacing w:before="100" w:beforeAutospacing="1" w:after="100" w:afterAutospacing="1"/>
      <w:widowControl/>
      <w:pBdr>
        <w:right w:val="single" w:color="auto" w:sz="4" w:space="0"/>
      </w:pBdr>
    </w:pPr>
    <w:rPr>
      <w:rFonts w:ascii="Arial" w:hAnsi="Arial" w:eastAsia="Arial Unicode MS" w:cs="Arial"/>
      <w:b/>
      <w:bCs/>
      <w:sz w:val="18"/>
      <w:szCs w:val="18"/>
    </w:rPr>
  </w:style>
  <w:style w:type="character" w:styleId="1023" w:customStyle="1">
    <w:name w:val="16"/>
    <w:uiPriority w:val="0"/>
    <w:qFormat/>
    <w:rPr>
      <w:rFonts w:hint="eastAsia" w:ascii="宋体" w:hAnsi="宋体" w:eastAsia="宋体"/>
      <w:b/>
      <w:color w:val="000000"/>
      <w:sz w:val="21"/>
      <w:szCs w:val="21"/>
    </w:rPr>
  </w:style>
  <w:style w:type="character" w:styleId="1024" w:customStyle="1">
    <w:name w:val="on1"/>
    <w:basedOn w:val="841"/>
    <w:uiPriority w:val="0"/>
    <w:qFormat/>
    <w:rPr>
      <w:b/>
      <w:bCs/>
      <w:color w:val="195482"/>
    </w:rPr>
  </w:style>
  <w:style w:type="character" w:styleId="1025" w:customStyle="1">
    <w:name w:val="on2"/>
    <w:basedOn w:val="841"/>
    <w:uiPriority w:val="0"/>
    <w:qFormat/>
    <w:rPr>
      <w:color w:val="195482"/>
    </w:rPr>
  </w:style>
  <w:style w:type="character" w:styleId="1026" w:customStyle="1">
    <w:name w:val="on3"/>
    <w:basedOn w:val="841"/>
    <w:uiPriority w:val="0"/>
    <w:qFormat/>
    <w:rPr>
      <w:b/>
      <w:bCs/>
      <w:color w:val="004b85"/>
    </w:rPr>
  </w:style>
  <w:style w:type="character" w:styleId="1027" w:customStyle="1">
    <w:name w:val="prev"/>
    <w:basedOn w:val="841"/>
    <w:uiPriority w:val="0"/>
    <w:qFormat/>
    <w:rPr>
      <w:rFonts w:ascii="微软雅黑" w:hAnsi="微软雅黑" w:eastAsia="微软雅黑" w:cs="微软雅黑"/>
      <w:sz w:val="21"/>
      <w:szCs w:val="21"/>
    </w:rPr>
  </w:style>
  <w:style w:type="character" w:styleId="1028" w:customStyle="1">
    <w:name w:val="prev1"/>
    <w:basedOn w:val="841"/>
    <w:uiPriority w:val="0"/>
    <w:qFormat/>
    <w:rPr>
      <w:color w:val="888888"/>
    </w:rPr>
  </w:style>
  <w:style w:type="character" w:styleId="1029" w:customStyle="1">
    <w:name w:val="qxdate"/>
    <w:basedOn w:val="841"/>
    <w:uiPriority w:val="0"/>
    <w:qFormat/>
    <w:rPr>
      <w:color w:val="333333"/>
      <w:sz w:val="18"/>
      <w:szCs w:val="18"/>
    </w:rPr>
  </w:style>
  <w:style w:type="character" w:styleId="1030" w:customStyle="1">
    <w:name w:val="cfdate"/>
    <w:basedOn w:val="841"/>
    <w:uiPriority w:val="0"/>
    <w:qFormat/>
    <w:rPr>
      <w:color w:val="333333"/>
      <w:sz w:val="18"/>
      <w:szCs w:val="18"/>
    </w:rPr>
  </w:style>
  <w:style w:type="character" w:styleId="1031" w:customStyle="1">
    <w:name w:val="next"/>
    <w:basedOn w:val="841"/>
    <w:uiPriority w:val="0"/>
    <w:qFormat/>
    <w:rPr>
      <w:rFonts w:hint="eastAsia" w:ascii="微软雅黑" w:hAnsi="微软雅黑" w:eastAsia="微软雅黑" w:cs="微软雅黑"/>
      <w:sz w:val="21"/>
      <w:szCs w:val="21"/>
    </w:rPr>
  </w:style>
  <w:style w:type="character" w:styleId="1032" w:customStyle="1">
    <w:name w:val="next1"/>
    <w:basedOn w:val="841"/>
    <w:uiPriority w:val="0"/>
    <w:qFormat/>
    <w:rPr>
      <w:color w:val="888888"/>
    </w:rPr>
  </w:style>
  <w:style w:type="character" w:styleId="1033" w:customStyle="1">
    <w:name w:val="gjfg"/>
    <w:basedOn w:val="841"/>
    <w:uiPriority w:val="0"/>
    <w:qFormat/>
  </w:style>
  <w:style w:type="character" w:styleId="1034" w:customStyle="1">
    <w:name w:val="displayarti"/>
    <w:basedOn w:val="841"/>
    <w:uiPriority w:val="0"/>
    <w:qFormat/>
    <w:rPr>
      <w:color w:val="ffffff"/>
      <w:shd w:val="clear" w:color="auto" w:fill="a00000"/>
    </w:rPr>
  </w:style>
  <w:style w:type="character" w:styleId="1035" w:customStyle="1">
    <w:name w:val="redfilenumber"/>
    <w:basedOn w:val="841"/>
    <w:uiPriority w:val="0"/>
    <w:qFormat/>
    <w:rPr>
      <w:color w:val="ba2636"/>
      <w:sz w:val="18"/>
      <w:szCs w:val="18"/>
    </w:rPr>
  </w:style>
  <w:style w:type="character" w:styleId="1036" w:customStyle="1">
    <w:name w:val="redfilefwwh"/>
    <w:basedOn w:val="841"/>
    <w:uiPriority w:val="0"/>
    <w:qFormat/>
    <w:rPr>
      <w:color w:val="ba2636"/>
      <w:sz w:val="18"/>
      <w:szCs w:val="18"/>
    </w:rPr>
  </w:style>
  <w:style w:type="character" w:styleId="1037" w:customStyle="1">
    <w:name w:val="font21"/>
    <w:basedOn w:val="841"/>
    <w:uiPriority w:val="0"/>
    <w:qFormat/>
    <w:rPr>
      <w:rFonts w:hint="eastAsia" w:ascii="宋体" w:hAnsi="宋体" w:eastAsia="宋体" w:cs="宋体"/>
      <w:color w:val="000000"/>
      <w:sz w:val="22"/>
      <w:szCs w:val="22"/>
      <w:u w:val="none"/>
    </w:rPr>
  </w:style>
  <w:style w:type="character" w:styleId="1038" w:customStyle="1">
    <w:name w:val="font41"/>
    <w:basedOn w:val="841"/>
    <w:uiPriority w:val="0"/>
    <w:qFormat/>
    <w:rPr>
      <w:rFonts w:hint="eastAsia" w:ascii="宋体" w:hAnsi="宋体" w:eastAsia="宋体" w:cs="宋体"/>
      <w:b/>
      <w:bCs/>
      <w:color w:val="000000"/>
      <w:sz w:val="22"/>
      <w:szCs w:val="22"/>
      <w:u w:val="none"/>
    </w:rPr>
  </w:style>
  <w:style w:type="character" w:styleId="1039" w:customStyle="1">
    <w:name w:val="font31"/>
    <w:basedOn w:val="841"/>
    <w:uiPriority w:val="0"/>
    <w:qFormat/>
    <w:rPr>
      <w:rFonts w:hint="eastAsia" w:ascii="宋体" w:hAnsi="宋体" w:eastAsia="宋体" w:cs="宋体"/>
      <w:b/>
      <w:bCs/>
      <w:color w:val="000000"/>
      <w:sz w:val="22"/>
      <w:szCs w:val="22"/>
      <w:u w:val="none"/>
    </w:rPr>
  </w:style>
  <w:style w:type="character" w:styleId="1040" w:customStyle="1">
    <w:name w:val="font51"/>
    <w:basedOn w:val="841"/>
    <w:uiPriority w:val="0"/>
    <w:qFormat/>
    <w:rPr>
      <w:rFonts w:hint="default" w:ascii="Calibri" w:hAnsi="Calibri" w:cs="Calibri"/>
      <w:color w:val="000000"/>
      <w:sz w:val="18"/>
      <w:szCs w:val="18"/>
      <w:u w:val="none"/>
    </w:rPr>
  </w:style>
  <w:style w:type="numbering" w:styleId="10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李俊怡</cp:lastModifiedBy>
  <cp:revision>4</cp:revision>
  <dcterms:created xsi:type="dcterms:W3CDTF">2026-06-04T11:29:00Z</dcterms:created>
  <dcterms:modified xsi:type="dcterms:W3CDTF">2026-06-12T03:17:31Z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eyJoZGlkIjoiMzY5YjJkNGZkMjA4ZGQ4NjQwYzFlOGRmOWQyN2I4MTUiLCJ1c2VySWQiOiIyMTUxOTU3MTcifQ==</vt:lpwstr>
  </property>
  <property fmtid="{D5CDD505-2E9C-101B-9397-08002B2CF9AE}" pid="3" name="KSOProductBuildVer">
    <vt:lpwstr>2052-12.1.0.26895</vt:lpwstr>
  </property>
  <property fmtid="{D5CDD505-2E9C-101B-9397-08002B2CF9AE}" pid="4" name="ICV">
    <vt:lpwstr>F30F0FC4A66840B7B91570F9FBE7E53F_13</vt:lpwstr>
  </property>
</Properties>
</file>