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jc w:val="center"/>
        <w:spacing w:line="360" w:lineRule="auto"/>
        <w:rPr>
          <w:rFonts w:hint="eastAsia" w:ascii="宋体" w:hAnsi="宋体"/>
          <w:b/>
          <w:bCs/>
          <w:spacing w:val="40"/>
          <w:sz w:val="72"/>
          <w:szCs w:val="72"/>
          <w:highlight w:val="none"/>
        </w:rPr>
      </w:pPr>
      <w:r>
        <w:rPr>
          <w:rFonts w:hint="eastAsia" w:ascii="宋体" w:hAnsi="宋体"/>
          <w:b/>
          <w:spacing w:val="40"/>
          <w:sz w:val="72"/>
          <w:szCs w:val="56"/>
          <w:highlight w:val="none"/>
        </w:rPr>
        <w:t xml:space="preserve">苏州市相城区政府采购</w:t>
      </w:r>
      <w:r>
        <w:rPr>
          <w:sz w:val="22"/>
          <w:szCs w:val="24"/>
        </w:rPr>
      </w:r>
      <w:r/>
    </w:p>
    <w:p>
      <w:pPr>
        <w:jc w:val="center"/>
        <w:spacing w:line="360" w:lineRule="auto"/>
        <w:rPr>
          <w:rFonts w:ascii="宋体" w:hAnsi="宋体"/>
          <w:b/>
          <w:bCs/>
          <w:spacing w:val="40"/>
          <w:sz w:val="144"/>
          <w:szCs w:val="144"/>
          <w:highlight w:val="none"/>
        </w:rPr>
      </w:pPr>
      <w:r>
        <w:rPr>
          <w:rFonts w:hint="eastAsia" w:ascii="宋体" w:hAnsi="宋体"/>
          <w:b/>
          <w:spacing w:val="40"/>
          <w:sz w:val="72"/>
          <w:szCs w:val="56"/>
          <w:highlight w:val="none"/>
        </w:rPr>
      </w:r>
      <w:r>
        <w:rPr>
          <w:rFonts w:hint="eastAsia" w:ascii="宋体" w:hAnsi="宋体"/>
          <w:b/>
          <w:spacing w:val="40"/>
          <w:sz w:val="72"/>
          <w:szCs w:val="56"/>
          <w:highlight w:val="none"/>
        </w:rPr>
        <w:t xml:space="preserve">竞争性磋商</w:t>
      </w:r>
      <w:r>
        <w:rPr>
          <w:rFonts w:hint="eastAsia" w:ascii="宋体" w:hAnsi="宋体"/>
          <w:b/>
          <w:spacing w:val="20"/>
          <w:sz w:val="72"/>
          <w:szCs w:val="56"/>
          <w:highlight w:val="none"/>
        </w:rPr>
        <w:t xml:space="preserve">文件</w:t>
      </w:r>
      <w:r>
        <w:rPr>
          <w:sz w:val="22"/>
          <w:szCs w:val="24"/>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2089785</wp:posOffset>
                </wp:positionH>
                <wp:positionV relativeFrom="paragraph">
                  <wp:posOffset>77470</wp:posOffset>
                </wp:positionV>
                <wp:extent cx="1601470" cy="14732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601470" cy="147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64.5pt;mso-position-horizontal:absolute;mso-position-vertical-relative:text;margin-top:6.1pt;mso-position-vertical:absolute;width:126.1pt;height:116.0pt;mso-wrap-distance-left:9.0pt;mso-wrap-distance-top:0.0pt;mso-wrap-distance-right:9.0pt;mso-wrap-distance-bottom:0.0pt;" stroked="f">
                <v:path textboxrect="0,0,0,0"/>
                <w10:wrap type="square"/>
                <v:imagedata r:id="rId24" o:title=""/>
              </v:shape>
            </w:pict>
          </mc:Fallback>
        </mc:AlternateContent>
      </w: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jc w:val="center"/>
        <w:rPr>
          <w:rFonts w:ascii="宋体" w:hAnsi="宋体"/>
          <w:highlight w:val="none"/>
        </w:rPr>
      </w:pPr>
      <w:r>
        <w:rPr>
          <w:rFonts w:ascii="宋体" w:hAnsi="宋体"/>
          <w:highlight w:val="none"/>
        </w:rPr>
      </w:r>
      <w:r/>
    </w:p>
    <w:p>
      <w:pPr>
        <w:pStyle w:val="1035"/>
        <w:ind w:firstLine="964"/>
        <w:spacing w:line="360" w:lineRule="auto"/>
        <w:tabs>
          <w:tab w:val="left" w:pos="709" w:leader="none"/>
        </w:tabs>
        <w:rPr>
          <w:rFonts w:ascii="宋体" w:hAnsi="宋体"/>
          <w:b/>
          <w:sz w:val="32"/>
          <w:highlight w:val="none"/>
        </w:rPr>
      </w:pPr>
      <w:r>
        <w:rPr>
          <w:rFonts w:ascii="宋体" w:hAnsi="宋体"/>
          <w:b/>
          <w:sz w:val="32"/>
          <w:highlight w:val="none"/>
        </w:rPr>
      </w:r>
      <w:r/>
    </w:p>
    <w:p>
      <w:pPr>
        <w:pStyle w:val="1035"/>
        <w:ind w:firstLine="964"/>
        <w:spacing w:line="360" w:lineRule="auto"/>
        <w:tabs>
          <w:tab w:val="left" w:pos="709" w:leader="none"/>
        </w:tabs>
        <w:rPr>
          <w:rFonts w:ascii="宋体" w:hAnsi="宋体"/>
          <w:b/>
          <w:sz w:val="32"/>
          <w:highlight w:val="none"/>
        </w:rPr>
      </w:pPr>
      <w:r>
        <w:rPr>
          <w:rFonts w:ascii="宋体" w:hAnsi="宋体"/>
          <w:b/>
          <w:sz w:val="32"/>
          <w:highlight w:val="none"/>
        </w:rPr>
      </w:r>
      <w:r/>
    </w:p>
    <w:p>
      <w:pPr>
        <w:pStyle w:val="1035"/>
        <w:ind w:left="0" w:firstLine="1263"/>
        <w:spacing w:line="360" w:lineRule="auto"/>
        <w:tabs>
          <w:tab w:val="left" w:pos="709" w:leader="none"/>
        </w:tabs>
        <w:rPr>
          <w:rFonts w:hint="eastAsia" w:ascii="宋体" w:hAnsi="宋体"/>
          <w:b/>
          <w:sz w:val="32"/>
          <w:szCs w:val="22"/>
          <w:highlight w:val="none"/>
        </w:rPr>
      </w:pPr>
      <w:r>
        <w:rPr>
          <w:rFonts w:hint="eastAsia" w:ascii="宋体" w:hAnsi="宋体"/>
          <w:b/>
          <w:sz w:val="32"/>
          <w:szCs w:val="22"/>
          <w:highlight w:val="none"/>
        </w:rPr>
        <w:t xml:space="preserve">采购编号：</w:t>
      </w:r>
      <w:r>
        <w:rPr>
          <w:rFonts w:hint="eastAsia" w:ascii="宋体" w:hAnsi="宋体"/>
          <w:b/>
          <w:sz w:val="32"/>
          <w:szCs w:val="22"/>
          <w:highlight w:val="none"/>
          <w:lang w:eastAsia="zh-CN"/>
        </w:rPr>
        <w:t xml:space="preserve">JSZC-320507-SZGZ-C2026-0042</w:t>
      </w:r>
      <w:r>
        <w:rPr>
          <w:rFonts w:hint="eastAsia" w:ascii="宋体" w:hAnsi="宋体"/>
          <w:b/>
          <w:sz w:val="32"/>
          <w:szCs w:val="22"/>
          <w:highlight w:val="none"/>
        </w:rPr>
        <w:t xml:space="preserve">   </w:t>
      </w:r>
      <w:r>
        <w:rPr>
          <w:sz w:val="24"/>
          <w:szCs w:val="28"/>
        </w:rPr>
      </w:r>
      <w:r/>
    </w:p>
    <w:p>
      <w:pPr>
        <w:pStyle w:val="1035"/>
        <w:ind w:left="0" w:firstLine="1263"/>
        <w:spacing w:line="360" w:lineRule="auto"/>
        <w:tabs>
          <w:tab w:val="left" w:pos="709" w:leader="none"/>
        </w:tabs>
        <w:rPr>
          <w:rFonts w:hint="eastAsia" w:ascii="宋体" w:hAnsi="宋体" w:eastAsia="宋体"/>
          <w:b/>
          <w:sz w:val="32"/>
          <w:szCs w:val="22"/>
          <w:highlight w:val="none"/>
          <w:lang w:eastAsia="zh-CN"/>
        </w:rPr>
      </w:pPr>
      <w:r>
        <w:rPr>
          <w:rFonts w:hint="eastAsia" w:ascii="宋体" w:hAnsi="宋体"/>
          <w:b/>
          <w:sz w:val="32"/>
          <w:szCs w:val="22"/>
          <w:highlight w:val="none"/>
        </w:rPr>
        <w:t xml:space="preserve">采购内容：</w:t>
      </w:r>
      <w:r>
        <w:rPr>
          <w:rFonts w:hint="eastAsia" w:ascii="宋体" w:hAnsi="宋体"/>
          <w:b/>
          <w:sz w:val="32"/>
          <w:szCs w:val="22"/>
          <w:highlight w:val="none"/>
          <w:lang w:eastAsia="zh-CN"/>
        </w:rPr>
        <w:t xml:space="preserve">春申湖路隔音设施安装建设一期</w:t>
      </w:r>
      <w:r>
        <w:rPr>
          <w:sz w:val="24"/>
          <w:szCs w:val="28"/>
        </w:rPr>
      </w:r>
      <w:r/>
    </w:p>
    <w:p>
      <w:pPr>
        <w:pStyle w:val="1035"/>
        <w:ind w:left="0" w:firstLine="1263"/>
        <w:spacing w:line="360" w:lineRule="auto"/>
        <w:tabs>
          <w:tab w:val="left" w:pos="709" w:leader="none"/>
        </w:tabs>
        <w:rPr>
          <w:rFonts w:hint="eastAsia" w:ascii="宋体" w:hAnsi="宋体" w:eastAsia="宋体"/>
          <w:b/>
          <w:sz w:val="32"/>
          <w:szCs w:val="22"/>
          <w:highlight w:val="none"/>
          <w:lang w:eastAsia="zh-CN"/>
        </w:rPr>
      </w:pPr>
      <w:r>
        <w:rPr>
          <w:rFonts w:hint="eastAsia" w:ascii="宋体" w:hAnsi="宋体"/>
          <w:b/>
          <w:sz w:val="32"/>
          <w:szCs w:val="22"/>
          <w:highlight w:val="none"/>
        </w:rPr>
        <w:t xml:space="preserve">采 购 人：</w:t>
      </w:r>
      <w:r>
        <w:rPr>
          <w:rFonts w:hint="eastAsia" w:ascii="宋体" w:hAnsi="宋体"/>
          <w:b/>
          <w:sz w:val="32"/>
          <w:szCs w:val="22"/>
          <w:highlight w:val="none"/>
          <w:lang w:eastAsia="zh-CN"/>
        </w:rPr>
        <w:t xml:space="preserve">苏州相城经济技术开发区管理委员会</w:t>
      </w:r>
      <w:r>
        <w:rPr>
          <w:sz w:val="24"/>
          <w:szCs w:val="28"/>
        </w:rPr>
      </w:r>
      <w:r/>
    </w:p>
    <w:p>
      <w:pPr>
        <w:pStyle w:val="1035"/>
        <w:ind w:left="0" w:firstLine="1263"/>
        <w:spacing w:line="360" w:lineRule="auto"/>
        <w:tabs>
          <w:tab w:val="left" w:pos="709" w:leader="none"/>
        </w:tabs>
        <w:rPr>
          <w:rFonts w:ascii="宋体" w:hAnsi="宋体"/>
          <w:b/>
          <w:sz w:val="32"/>
          <w:szCs w:val="22"/>
          <w:highlight w:val="none"/>
        </w:rPr>
      </w:pPr>
      <w:r>
        <w:rPr>
          <w:rFonts w:hint="eastAsia" w:ascii="宋体" w:hAnsi="宋体"/>
          <w:b/>
          <w:sz w:val="32"/>
          <w:szCs w:val="22"/>
          <w:highlight w:val="none"/>
        </w:rPr>
        <w:t xml:space="preserve">项目类别：工程类</w:t>
      </w:r>
      <w:r>
        <w:rPr>
          <w:sz w:val="24"/>
          <w:szCs w:val="28"/>
        </w:rPr>
      </w:r>
      <w:r/>
    </w:p>
    <w:p>
      <w:pPr>
        <w:pStyle w:val="1035"/>
        <w:ind w:left="0" w:firstLine="1263"/>
        <w:spacing w:line="360" w:lineRule="auto"/>
        <w:tabs>
          <w:tab w:val="left" w:pos="709" w:leader="none"/>
        </w:tabs>
        <w:rPr>
          <w:rFonts w:hint="eastAsia" w:ascii="宋体" w:hAnsi="宋体"/>
          <w:b/>
          <w:sz w:val="32"/>
          <w:szCs w:val="22"/>
          <w:highlight w:val="none"/>
        </w:rPr>
      </w:pPr>
      <w:r>
        <w:rPr>
          <w:rFonts w:ascii="宋体" w:hAnsi="宋体"/>
          <w:b/>
          <w:sz w:val="32"/>
          <w:szCs w:val="22"/>
          <w:highlight w:val="none"/>
        </w:rPr>
        <w:t xml:space="preserve">所属行业</w:t>
      </w:r>
      <w:r>
        <w:rPr>
          <w:rFonts w:hint="eastAsia" w:ascii="宋体" w:hAnsi="宋体"/>
          <w:b/>
          <w:sz w:val="32"/>
          <w:szCs w:val="22"/>
          <w:highlight w:val="none"/>
        </w:rPr>
        <w:t xml:space="preserve">：</w:t>
      </w:r>
      <w:r>
        <w:rPr>
          <w:rFonts w:hint="eastAsia" w:ascii="宋体" w:hAnsi="宋体"/>
          <w:b/>
          <w:spacing w:val="-6"/>
          <w:sz w:val="32"/>
          <w:szCs w:val="32"/>
          <w:highlight w:val="none"/>
        </w:rPr>
        <w:t xml:space="preserve">建筑业</w:t>
      </w:r>
      <w:r>
        <w:rPr>
          <w:sz w:val="24"/>
          <w:szCs w:val="28"/>
        </w:rPr>
      </w:r>
      <w:r/>
    </w:p>
    <w:p>
      <w:pPr>
        <w:pStyle w:val="1035"/>
        <w:ind w:firstLine="964"/>
        <w:spacing w:line="360" w:lineRule="auto"/>
        <w:tabs>
          <w:tab w:val="left" w:pos="709" w:leader="none"/>
        </w:tabs>
        <w:rPr>
          <w:rFonts w:ascii="宋体" w:hAnsi="宋体"/>
          <w:b/>
          <w:sz w:val="40"/>
          <w:szCs w:val="28"/>
          <w:highlight w:val="none"/>
        </w:rPr>
      </w:pPr>
      <w:r>
        <w:rPr>
          <w:rFonts w:ascii="宋体" w:hAnsi="宋体"/>
          <w:b/>
          <w:sz w:val="40"/>
          <w:szCs w:val="28"/>
          <w:highlight w:val="none"/>
        </w:rPr>
      </w:r>
      <w:r>
        <w:rPr>
          <w:sz w:val="24"/>
          <w:szCs w:val="28"/>
        </w:rPr>
      </w:r>
      <w:r/>
    </w:p>
    <w:p>
      <w:pPr>
        <w:jc w:val="center"/>
        <w:spacing w:line="360" w:lineRule="auto"/>
        <w:rPr>
          <w:rFonts w:hint="eastAsia" w:ascii="宋体" w:hAnsi="宋体"/>
          <w:b/>
          <w:bCs/>
          <w:sz w:val="32"/>
          <w:szCs w:val="32"/>
          <w:highlight w:val="none"/>
        </w:rPr>
      </w:pPr>
      <w:r>
        <w:rPr>
          <w:rFonts w:hint="eastAsia" w:ascii="宋体" w:hAnsi="宋体"/>
          <w:b/>
          <w:sz w:val="32"/>
          <w:szCs w:val="22"/>
          <w:highlight w:val="none"/>
        </w:rPr>
      </w:r>
      <w:r>
        <w:rPr>
          <w:rFonts w:hint="eastAsia" w:ascii="宋体" w:hAnsi="宋体"/>
          <w:b/>
          <w:sz w:val="32"/>
          <w:szCs w:val="22"/>
          <w:highlight w:val="none"/>
        </w:rPr>
      </w:r>
      <w:r/>
    </w:p>
    <w:p>
      <w:pPr>
        <w:jc w:val="center"/>
        <w:spacing w:line="360" w:lineRule="auto"/>
        <w:rPr>
          <w:rFonts w:hint="eastAsia" w:ascii="宋体" w:hAnsi="宋体"/>
          <w:b/>
          <w:bCs/>
          <w:sz w:val="32"/>
          <w:szCs w:val="32"/>
          <w:highlight w:val="none"/>
        </w:rPr>
      </w:pPr>
      <w:r>
        <w:rPr>
          <w:rFonts w:hint="eastAsia" w:ascii="宋体" w:hAnsi="宋体"/>
          <w:b/>
          <w:sz w:val="32"/>
          <w:szCs w:val="22"/>
          <w:highlight w:val="none"/>
        </w:rPr>
      </w:r>
      <w:r>
        <w:rPr>
          <w:rFonts w:hint="eastAsia" w:ascii="宋体" w:hAnsi="宋体"/>
          <w:b/>
          <w:sz w:val="32"/>
          <w:szCs w:val="22"/>
          <w:highlight w:val="none"/>
        </w:rPr>
      </w:r>
      <w:r/>
    </w:p>
    <w:p>
      <w:pPr>
        <w:pStyle w:val="1035"/>
        <w:jc w:val="center"/>
        <w:spacing w:line="360" w:lineRule="auto"/>
        <w:rPr>
          <w:rFonts w:hint="eastAsia" w:ascii="宋体" w:hAnsi="宋体"/>
          <w:b/>
          <w:bCs/>
          <w:sz w:val="32"/>
          <w:szCs w:val="32"/>
          <w:highlight w:val="none"/>
        </w:rPr>
      </w:pPr>
      <w:r>
        <w:rPr>
          <w:rFonts w:hint="eastAsia" w:ascii="宋体" w:hAnsi="宋体"/>
          <w:b/>
          <w:sz w:val="32"/>
          <w:szCs w:val="22"/>
          <w:highlight w:val="none"/>
        </w:rPr>
        <w:t xml:space="preserve">苏州公正建设咨询房地产评估有限公司</w:t>
      </w:r>
      <w:r>
        <w:rPr>
          <w:sz w:val="24"/>
          <w:szCs w:val="28"/>
        </w:rPr>
      </w:r>
      <w:r/>
    </w:p>
    <w:p>
      <w:pPr>
        <w:pStyle w:val="1035"/>
        <w:jc w:val="center"/>
        <w:spacing w:line="360" w:lineRule="auto"/>
        <w:rPr>
          <w:rFonts w:hint="eastAsia"/>
          <w:sz w:val="22"/>
          <w:szCs w:val="22"/>
          <w:highlight w:val="none"/>
        </w:rPr>
      </w:pPr>
      <w:r>
        <w:rPr>
          <w:rFonts w:hint="eastAsia" w:ascii="宋体" w:hAnsi="宋体"/>
          <w:b/>
          <w:sz w:val="32"/>
          <w:szCs w:val="22"/>
          <w:highlight w:val="none"/>
        </w:rPr>
        <w:t xml:space="preserve">二○二</w:t>
      </w:r>
      <w:r>
        <w:rPr>
          <w:rFonts w:hint="eastAsia" w:ascii="宋体" w:hAnsi="宋体"/>
          <w:b/>
          <w:sz w:val="32"/>
          <w:szCs w:val="22"/>
          <w:highlight w:val="none"/>
          <w:lang w:val="en-US" w:eastAsia="zh-CN"/>
        </w:rPr>
        <w:t xml:space="preserve">六</w:t>
      </w:r>
      <w:r>
        <w:rPr>
          <w:rFonts w:hint="eastAsia" w:ascii="宋体" w:hAnsi="宋体"/>
          <w:b/>
          <w:sz w:val="32"/>
          <w:szCs w:val="22"/>
          <w:highlight w:val="none"/>
        </w:rPr>
        <w:t xml:space="preserve">年</w:t>
      </w:r>
      <w:r>
        <w:rPr>
          <w:rFonts w:hint="eastAsia" w:ascii="宋体" w:hAnsi="宋体"/>
          <w:b/>
          <w:sz w:val="32"/>
          <w:szCs w:val="22"/>
          <w:highlight w:val="none"/>
          <w:lang w:val="en-US" w:eastAsia="zh-CN"/>
        </w:rPr>
        <w:t xml:space="preserve">七</w:t>
      </w:r>
      <w:r>
        <w:rPr>
          <w:rFonts w:hint="eastAsia" w:ascii="宋体" w:hAnsi="宋体"/>
          <w:b/>
          <w:sz w:val="32"/>
          <w:szCs w:val="22"/>
          <w:highlight w:val="none"/>
        </w:rPr>
        <w:t xml:space="preserve">月</w:t>
      </w:r>
      <w:r>
        <w:rPr>
          <w:sz w:val="24"/>
          <w:szCs w:val="28"/>
        </w:rPr>
      </w:r>
      <w:r/>
    </w:p>
    <w:p>
      <w:pPr>
        <w:jc w:val="center"/>
        <w:tabs>
          <w:tab w:val="left" w:pos="315" w:leader="none"/>
          <w:tab w:val="center" w:pos="4153" w:leader="none"/>
        </w:tabs>
        <w:rPr>
          <w:rFonts w:ascii="宋体" w:hAnsi="宋体"/>
          <w:b/>
          <w:bCs/>
          <w:sz w:val="52"/>
          <w:szCs w:val="52"/>
          <w:highlight w:val="none"/>
        </w:rPr>
      </w:pPr>
      <w:r>
        <w:rPr>
          <w:rFonts w:hint="eastAsia" w:ascii="宋体" w:hAnsi="宋体"/>
          <w:b/>
          <w:sz w:val="52"/>
          <w:szCs w:val="52"/>
          <w:highlight w:val="none"/>
        </w:rPr>
      </w:r>
      <w:r>
        <w:rPr>
          <w:rFonts w:hint="eastAsia" w:ascii="宋体" w:hAnsi="宋体"/>
          <w:b/>
          <w:sz w:val="52"/>
          <w:szCs w:val="52"/>
          <w:highlight w:val="none"/>
        </w:rPr>
      </w:r>
      <w:r/>
    </w:p>
    <w:p>
      <w:pPr>
        <w:shd w:val="nil" w:color="auto"/>
        <w:rPr>
          <w:rFonts w:hint="eastAsia" w:ascii="宋体" w:hAnsi="宋体"/>
          <w:b/>
          <w:bCs/>
          <w:sz w:val="52"/>
          <w:szCs w:val="52"/>
          <w:highlight w:val="none"/>
        </w:rPr>
      </w:pPr>
      <w:r>
        <w:rPr>
          <w:rFonts w:hint="eastAsia" w:ascii="宋体" w:hAnsi="宋体"/>
          <w:b/>
          <w:sz w:val="52"/>
          <w:szCs w:val="52"/>
          <w:highlight w:val="none"/>
        </w:rPr>
        <w:br w:type="page" w:clear="all"/>
      </w:r>
      <w:r>
        <w:rPr>
          <w:rFonts w:hint="eastAsia" w:ascii="宋体" w:hAnsi="宋体"/>
          <w:b/>
          <w:sz w:val="52"/>
          <w:szCs w:val="52"/>
          <w:highlight w:val="none"/>
        </w:rPr>
      </w:r>
      <w:r/>
    </w:p>
    <w:p>
      <w:pPr>
        <w:pStyle w:val="1035"/>
        <w:jc w:val="center"/>
        <w:tabs>
          <w:tab w:val="left" w:pos="315" w:leader="none"/>
          <w:tab w:val="center" w:pos="4153" w:leader="none"/>
        </w:tabs>
        <w:rPr>
          <w:rFonts w:hint="eastAsia" w:ascii="宋体" w:hAnsi="宋体"/>
          <w:b/>
          <w:bCs/>
          <w:sz w:val="52"/>
          <w:szCs w:val="52"/>
          <w:highlight w:val="none"/>
        </w:rPr>
      </w:pPr>
      <w:r>
        <w:rPr>
          <w:rFonts w:hint="eastAsia" w:ascii="宋体" w:hAnsi="宋体"/>
          <w:b/>
          <w:sz w:val="52"/>
          <w:szCs w:val="52"/>
          <w:highlight w:val="none"/>
        </w:rPr>
        <w:t xml:space="preserve">目    录</w:t>
      </w:r>
      <w:r>
        <w:rPr>
          <w:rFonts w:ascii="宋体" w:hAnsi="宋体"/>
          <w:b/>
          <w:sz w:val="52"/>
          <w:szCs w:val="52"/>
          <w:highlight w:val="none"/>
        </w:rPr>
      </w:r>
      <w:r/>
    </w:p>
    <w:p>
      <w:pPr>
        <w:pStyle w:val="1035"/>
        <w:jc w:val="center"/>
        <w:tabs>
          <w:tab w:val="left" w:pos="315" w:leader="none"/>
          <w:tab w:val="center" w:pos="4153" w:leader="none"/>
        </w:tabs>
        <w:rPr>
          <w:rFonts w:ascii="宋体" w:hAnsi="宋体"/>
          <w:b/>
          <w:sz w:val="52"/>
          <w:szCs w:val="52"/>
          <w:highlight w:val="none"/>
        </w:rPr>
      </w:pPr>
      <w:r>
        <w:rPr>
          <w:rFonts w:ascii="宋体" w:hAnsi="宋体"/>
          <w:b/>
          <w:sz w:val="52"/>
          <w:szCs w:val="52"/>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一、竞争性磋商采购公告</w:t>
      </w:r>
      <w:r>
        <w:rPr>
          <w:rFonts w:hint="eastAsia" w:ascii="宋体" w:hAnsi="宋体"/>
          <w:sz w:val="28"/>
          <w:szCs w:val="28"/>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二、供应商须知</w:t>
      </w:r>
      <w:r>
        <w:rPr>
          <w:rFonts w:hint="eastAsia" w:ascii="宋体" w:hAnsi="宋体"/>
          <w:sz w:val="28"/>
          <w:szCs w:val="28"/>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三、响应文件格式</w:t>
      </w:r>
      <w:r>
        <w:rPr>
          <w:rFonts w:hint="eastAsia" w:ascii="宋体" w:hAnsi="宋体"/>
          <w:sz w:val="28"/>
          <w:szCs w:val="28"/>
          <w:highlight w:val="none"/>
        </w:rPr>
      </w:r>
      <w:r/>
    </w:p>
    <w:p>
      <w:pPr>
        <w:pStyle w:val="1035"/>
        <w:tabs>
          <w:tab w:val="left" w:pos="315" w:leader="none"/>
          <w:tab w:val="center" w:pos="4153" w:leader="none"/>
        </w:tabs>
        <w:rPr>
          <w:rFonts w:ascii="宋体" w:hAnsi="宋体" w:eastAsia="宋体"/>
          <w:sz w:val="28"/>
          <w:szCs w:val="28"/>
          <w:highlight w:val="none"/>
          <w:lang w:val="en-US" w:eastAsia="zh-CN"/>
        </w:rPr>
      </w:pPr>
      <w:r>
        <w:rPr>
          <w:rFonts w:hint="eastAsia" w:ascii="宋体" w:hAnsi="宋体"/>
          <w:sz w:val="28"/>
          <w:szCs w:val="28"/>
          <w:highlight w:val="none"/>
        </w:rPr>
        <w:t xml:space="preserve">四、</w:t>
      </w:r>
      <w:r>
        <w:rPr>
          <w:rFonts w:hint="eastAsia" w:ascii="宋体" w:hAnsi="宋体"/>
          <w:sz w:val="28"/>
          <w:szCs w:val="28"/>
          <w:highlight w:val="none"/>
          <w:lang w:val="en-US" w:eastAsia="zh-CN"/>
        </w:rPr>
        <w:t xml:space="preserve">竞争性磋商文件</w:t>
      </w:r>
      <w:r>
        <w:rPr>
          <w:rFonts w:ascii="宋体" w:hAnsi="宋体" w:eastAsia="宋体"/>
          <w:sz w:val="28"/>
          <w:szCs w:val="28"/>
          <w:highlight w:val="none"/>
          <w:lang w:val="en-US" w:eastAsia="zh-CN"/>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五、合同主要条款</w:t>
      </w:r>
      <w:r>
        <w:rPr>
          <w:rFonts w:hint="eastAsia" w:ascii="宋体" w:hAnsi="宋体"/>
          <w:sz w:val="28"/>
          <w:szCs w:val="28"/>
          <w:highlight w:val="none"/>
        </w:rPr>
      </w:r>
      <w:r/>
    </w:p>
    <w:p>
      <w:pPr>
        <w:pStyle w:val="1035"/>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六、技术要求</w:t>
      </w:r>
      <w:r>
        <w:rPr>
          <w:rFonts w:hint="eastAsia" w:ascii="宋体" w:hAnsi="宋体"/>
          <w:sz w:val="28"/>
          <w:szCs w:val="28"/>
          <w:highlight w:val="none"/>
        </w:rPr>
      </w:r>
      <w:r/>
    </w:p>
    <w:p>
      <w:pPr>
        <w:pStyle w:val="1035"/>
        <w:tabs>
          <w:tab w:val="left" w:pos="315" w:leader="none"/>
          <w:tab w:val="center" w:pos="4153" w:leader="none"/>
        </w:tabs>
        <w:rPr>
          <w:rFonts w:ascii="宋体" w:hAnsi="宋体"/>
          <w:b/>
          <w:sz w:val="32"/>
          <w:szCs w:val="32"/>
          <w:highlight w:val="none"/>
        </w:rPr>
      </w:pPr>
      <w:r>
        <w:rPr>
          <w:rFonts w:hint="eastAsia" w:ascii="宋体" w:hAnsi="宋体"/>
          <w:sz w:val="28"/>
          <w:szCs w:val="28"/>
          <w:highlight w:val="none"/>
        </w:rPr>
        <w:t xml:space="preserve">七、评审方法</w:t>
      </w: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1035"/>
        <w:jc w:val="center"/>
        <w:spacing w:line="360" w:lineRule="auto"/>
        <w:widowControl/>
        <w:rPr>
          <w:rFonts w:hint="eastAsia" w:ascii="宋体" w:hAnsi="宋体"/>
          <w:b/>
          <w:bCs/>
          <w:spacing w:val="20"/>
          <w:sz w:val="32"/>
          <w:szCs w:val="32"/>
          <w:highlight w:val="none"/>
        </w:rPr>
      </w:pPr>
      <w:r>
        <w:rPr>
          <w:rFonts w:ascii="宋体" w:hAnsi="宋体"/>
          <w:highlight w:val="none"/>
        </w:rPr>
        <w:br w:type="page" w:clear="all"/>
      </w:r>
      <w:bookmarkStart w:id="0" w:name="_Toc492294162"/>
      <w:r>
        <w:rPr>
          <w:rFonts w:ascii="宋体" w:hAnsi="宋体"/>
          <w:b/>
          <w:bCs/>
          <w:spacing w:val="20"/>
          <w:sz w:val="32"/>
          <w:szCs w:val="32"/>
          <w:highlight w:val="none"/>
        </w:rPr>
        <w:t xml:space="preserve">前附表</w:t>
      </w:r>
      <w:bookmarkEnd w:id="0"/>
      <w:r>
        <w:rPr>
          <w:rFonts w:hint="eastAsia" w:ascii="宋体" w:hAnsi="宋体"/>
          <w:b/>
          <w:bCs/>
          <w:spacing w:val="20"/>
          <w:sz w:val="32"/>
          <w:szCs w:val="32"/>
          <w:highlight w:val="none"/>
        </w:rPr>
      </w:r>
      <w:r/>
    </w:p>
    <w:tbl>
      <w:tblPr>
        <w:tblW w:w="509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47"/>
        <w:gridCol w:w="2430"/>
        <w:gridCol w:w="6455"/>
      </w:tblGrid>
      <w:tr>
        <w:trP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名称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内               容</w:t>
            </w:r>
            <w:r>
              <w:rPr>
                <w:rFonts w:hint="eastAsia" w:ascii="宋体" w:hAnsi="宋体" w:cs="宋体"/>
                <w:szCs w:val="21"/>
                <w:highlight w:val="none"/>
              </w:rPr>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lang w:eastAsia="zh-CN"/>
              </w:rPr>
              <w:t xml:space="preserve">JSZC-320507-SZGZ-C2026-0042</w:t>
            </w:r>
            <w:r>
              <w:rPr>
                <w:rFonts w:ascii="宋体" w:hAnsi="宋体" w:cs="宋体"/>
                <w:szCs w:val="21"/>
                <w:highlight w:val="none"/>
              </w:rPr>
              <w:t xml:space="preserve">   </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spacing w:line="312"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春申湖路隔音设施安装建设一期</w:t>
            </w:r>
            <w:r>
              <w:rPr>
                <w:rFonts w:hint="eastAsia" w:ascii="宋体" w:hAnsi="宋体" w:eastAsia="宋体" w:cs="宋体"/>
                <w:szCs w:val="21"/>
                <w:highlight w:val="none"/>
                <w:lang w:eastAsia="zh-CN"/>
              </w:rPr>
            </w:r>
            <w:r/>
          </w:p>
        </w:tc>
      </w:tr>
      <w:tr>
        <w:trP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tabs>
                <w:tab w:val="left" w:pos="252"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采购代理机构</w:t>
            </w:r>
            <w:r>
              <w:rPr>
                <w:rFonts w:hint="eastAsia" w:ascii="宋体" w:hAnsi="宋体" w:cs="宋体"/>
                <w:szCs w:val="21"/>
                <w:highlight w:val="none"/>
              </w:rPr>
            </w:r>
            <w:r/>
          </w:p>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名称及地址</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名称：苏州公正建设咨询房地产评估有限公司</w:t>
            </w:r>
            <w:r>
              <w:rPr>
                <w:rFonts w:hint="eastAsia" w:ascii="宋体" w:hAnsi="宋体" w:cs="宋体"/>
                <w:szCs w:val="21"/>
                <w:highlight w:val="none"/>
              </w:rPr>
            </w:r>
            <w:r/>
          </w:p>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联系地址：苏州市相城区华元路1902号2幢东楼2楼</w:t>
            </w:r>
            <w:r>
              <w:rPr>
                <w:rFonts w:hint="eastAsia" w:ascii="宋体" w:hAnsi="宋体" w:cs="宋体"/>
                <w:szCs w:val="21"/>
                <w:highlight w:val="none"/>
              </w:rPr>
            </w:r>
            <w:r/>
          </w:p>
          <w:p>
            <w:pPr>
              <w:pStyle w:val="1035"/>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沈燕、王琪</w:t>
            </w:r>
            <w:r>
              <w:rPr>
                <w:rFonts w:hint="eastAsia" w:ascii="宋体" w:hAnsi="宋体" w:eastAsia="宋体" w:cs="宋体"/>
                <w:szCs w:val="21"/>
                <w:highlight w:val="none"/>
                <w:lang w:eastAsia="zh-CN"/>
              </w:rPr>
            </w:r>
            <w:r/>
          </w:p>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联系电话：0512-67913588-6001</w:t>
            </w:r>
            <w:r>
              <w:rPr>
                <w:rFonts w:hint="eastAsia" w:ascii="宋体" w:hAnsi="宋体" w:cs="宋体"/>
                <w:szCs w:val="21"/>
                <w:highlight w:val="none"/>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采购单位</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名称：</w:t>
            </w:r>
            <w:r>
              <w:rPr>
                <w:rFonts w:hint="eastAsia" w:ascii="宋体" w:hAnsi="宋体" w:cs="宋体"/>
                <w:szCs w:val="21"/>
                <w:highlight w:val="none"/>
                <w:lang w:eastAsia="zh-CN"/>
              </w:rPr>
              <w:t xml:space="preserve">苏州相城经济技术开发区管理委员会</w:t>
            </w:r>
            <w:r>
              <w:rPr>
                <w:rFonts w:hint="eastAsia" w:ascii="宋体" w:hAnsi="宋体" w:eastAsia="宋体" w:cs="宋体"/>
                <w:szCs w:val="21"/>
                <w:highlight w:val="none"/>
                <w:lang w:eastAsia="zh-CN"/>
              </w:rPr>
            </w:r>
            <w:r/>
          </w:p>
          <w:p>
            <w:pPr>
              <w:pStyle w:val="1035"/>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苏州市相城区康元路799号</w:t>
            </w:r>
            <w:r>
              <w:rPr>
                <w:rFonts w:hint="eastAsia" w:ascii="宋体" w:hAnsi="宋体" w:eastAsia="宋体" w:cs="宋体"/>
                <w:szCs w:val="21"/>
                <w:highlight w:val="none"/>
                <w:lang w:eastAsia="zh-CN"/>
              </w:rPr>
            </w:r>
            <w:r/>
          </w:p>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焦钰</w:t>
            </w:r>
            <w:r>
              <w:rPr>
                <w:rFonts w:hint="eastAsia" w:ascii="宋体" w:hAnsi="宋体" w:cs="宋体"/>
                <w:szCs w:val="21"/>
                <w:highlight w:val="none"/>
              </w:rPr>
              <w:t xml:space="preserve"> </w:t>
            </w:r>
            <w:r>
              <w:rPr>
                <w:rFonts w:hint="eastAsia" w:ascii="宋体" w:hAnsi="宋体" w:cs="宋体"/>
                <w:szCs w:val="21"/>
                <w:highlight w:val="none"/>
              </w:rPr>
            </w:r>
            <w:r/>
          </w:p>
          <w:p>
            <w:pPr>
              <w:pStyle w:val="1035"/>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联系电话：</w:t>
            </w:r>
            <w:r>
              <w:rPr>
                <w:rFonts w:hint="eastAsia" w:ascii="宋体" w:hAnsi="宋体" w:cs="宋体"/>
                <w:szCs w:val="21"/>
                <w:highlight w:val="none"/>
                <w:lang w:eastAsia="zh-CN"/>
              </w:rPr>
              <w:t xml:space="preserve">0512-66180139</w:t>
            </w:r>
            <w:r>
              <w:rPr>
                <w:rFonts w:hint="eastAsia" w:ascii="宋体" w:hAnsi="宋体" w:eastAsia="宋体" w:cs="宋体"/>
                <w:szCs w:val="21"/>
                <w:highlight w:val="none"/>
                <w:lang w:eastAsia="zh-CN"/>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响应文件组成</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详见采购文件第三章</w:t>
            </w:r>
            <w:r>
              <w:rPr>
                <w:rFonts w:hint="eastAsia" w:ascii="宋体" w:hAnsi="宋体" w:cs="宋体"/>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磋商保证金</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本项目不收取磋商保证金</w:t>
            </w:r>
            <w:r>
              <w:rPr>
                <w:rFonts w:hint="eastAsia" w:ascii="宋体" w:hAnsi="宋体" w:cs="宋体"/>
                <w:szCs w:val="21"/>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响应文件有效期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响应文件提交截止之日起四十五天（日历日）</w:t>
            </w:r>
            <w:r>
              <w:rPr>
                <w:rFonts w:hint="eastAsia" w:ascii="宋体" w:hAnsi="宋体" w:cs="宋体"/>
                <w:szCs w:val="21"/>
                <w:highlight w:val="none"/>
              </w:rPr>
            </w:r>
            <w:r/>
          </w:p>
        </w:tc>
      </w:tr>
      <w:tr>
        <w:trP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w:t>
            </w:r>
            <w:r>
              <w:rPr>
                <w:rFonts w:hint="eastAsia" w:ascii="宋体" w:hAnsi="宋体" w:cs="宋体"/>
                <w:szCs w:val="21"/>
                <w:highlight w:val="none"/>
              </w:rPr>
            </w:r>
            <w:r/>
          </w:p>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接收截止时间</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lang w:eastAsia="zh-CN"/>
              </w:rPr>
              <w:t xml:space="preserve">2026年</w:t>
            </w:r>
            <w:r>
              <w:rPr>
                <w:rFonts w:hint="eastAsia" w:ascii="宋体" w:hAnsi="宋体" w:cs="宋体"/>
                <w:szCs w:val="21"/>
                <w:highlight w:val="none"/>
                <w:lang w:val="en-US" w:eastAsia="zh-CN"/>
              </w:rPr>
              <w:t xml:space="preserve">07</w:t>
            </w:r>
            <w:r>
              <w:rPr>
                <w:rFonts w:hint="eastAsia" w:ascii="宋体" w:hAnsi="宋体" w:cs="宋体"/>
                <w:szCs w:val="21"/>
                <w:highlight w:val="none"/>
                <w:lang w:eastAsia="zh-CN"/>
              </w:rPr>
              <w:t xml:space="preserve">月</w:t>
            </w:r>
            <w:r>
              <w:rPr>
                <w:rFonts w:hint="eastAsia" w:ascii="宋体" w:hAnsi="宋体" w:cs="宋体"/>
                <w:szCs w:val="21"/>
                <w:highlight w:val="none"/>
                <w:lang w:val="en-US" w:eastAsia="zh-CN"/>
              </w:rPr>
              <w:t xml:space="preserve">27</w:t>
            </w:r>
            <w:r>
              <w:rPr>
                <w:rFonts w:hint="eastAsia" w:ascii="宋体" w:hAnsi="宋体" w:cs="宋体"/>
                <w:szCs w:val="21"/>
                <w:highlight w:val="none"/>
                <w:lang w:eastAsia="zh-CN"/>
              </w:rPr>
              <w:t xml:space="preserve">日</w:t>
            </w:r>
            <w:r>
              <w:rPr>
                <w:rFonts w:hint="eastAsia" w:ascii="宋体" w:hAnsi="宋体" w:cs="宋体"/>
                <w:szCs w:val="21"/>
                <w:highlight w:val="none"/>
                <w:lang w:val="en-US" w:eastAsia="zh-CN"/>
              </w:rPr>
              <w:t xml:space="preserve">09</w:t>
            </w:r>
            <w:r>
              <w:rPr>
                <w:rFonts w:hint="eastAsia" w:ascii="宋体" w:hAnsi="宋体" w:cs="宋体"/>
                <w:szCs w:val="21"/>
                <w:highlight w:val="none"/>
              </w:rPr>
              <w:t xml:space="preserve">点30分（北京时间） </w:t>
            </w:r>
            <w:r>
              <w:rPr>
                <w:rFonts w:hint="eastAsia" w:ascii="宋体" w:hAnsi="宋体" w:cs="宋体"/>
                <w:szCs w:val="21"/>
                <w:highlight w:val="none"/>
              </w:rPr>
            </w:r>
            <w:r/>
          </w:p>
          <w:p>
            <w:pPr>
              <w:pStyle w:val="1074"/>
              <w:ind w:firstLine="0"/>
              <w:rPr>
                <w:rFonts w:hint="eastAsia"/>
                <w:highlight w:val="none"/>
                <w:lang w:val="en-US" w:eastAsia="zh-CN"/>
              </w:rPr>
            </w:pPr>
            <w:r>
              <w:rPr>
                <w:rFonts w:hint="eastAsia" w:ascii="宋体" w:hAnsi="宋体"/>
                <w:szCs w:val="21"/>
                <w:highlight w:val="none"/>
                <w:lang w:val="en-US" w:eastAsia="zh-CN"/>
              </w:rPr>
              <w:t xml:space="preserve">投标文件必须在截止时间前完成提交（上传），逾期提交（上传）的投标文件恕不接受。</w:t>
            </w:r>
            <w:r>
              <w:rPr>
                <w:rFonts w:hint="eastAsia"/>
                <w:highlight w:val="none"/>
                <w:lang w:val="en-US" w:eastAsia="zh-CN"/>
              </w:rPr>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磋商时间和地点</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lang w:eastAsia="zh-CN"/>
              </w:rPr>
              <w:t xml:space="preserve">2026年</w:t>
            </w:r>
            <w:r>
              <w:rPr>
                <w:rFonts w:hint="eastAsia" w:ascii="宋体" w:hAnsi="宋体" w:cs="宋体"/>
                <w:szCs w:val="21"/>
                <w:highlight w:val="none"/>
                <w:lang w:val="en-US" w:eastAsia="zh-CN"/>
              </w:rPr>
              <w:t xml:space="preserve">07</w:t>
            </w:r>
            <w:r>
              <w:rPr>
                <w:rFonts w:hint="eastAsia" w:ascii="宋体" w:hAnsi="宋体" w:cs="宋体"/>
                <w:szCs w:val="21"/>
                <w:highlight w:val="none"/>
                <w:lang w:eastAsia="zh-CN"/>
              </w:rPr>
              <w:t xml:space="preserve">月</w:t>
            </w:r>
            <w:r>
              <w:rPr>
                <w:rFonts w:hint="eastAsia" w:ascii="宋体" w:hAnsi="宋体" w:cs="宋体"/>
                <w:szCs w:val="21"/>
                <w:highlight w:val="none"/>
                <w:lang w:val="en-US" w:eastAsia="zh-CN"/>
              </w:rPr>
              <w:t xml:space="preserve">27</w:t>
            </w:r>
            <w:r>
              <w:rPr>
                <w:rFonts w:hint="eastAsia" w:ascii="宋体" w:hAnsi="宋体" w:cs="宋体"/>
                <w:szCs w:val="21"/>
                <w:highlight w:val="none"/>
                <w:lang w:eastAsia="zh-CN"/>
              </w:rPr>
              <w:t xml:space="preserve">日</w:t>
            </w:r>
            <w:r>
              <w:rPr>
                <w:rFonts w:hint="eastAsia" w:ascii="宋体" w:hAnsi="宋体" w:cs="宋体"/>
                <w:szCs w:val="21"/>
                <w:highlight w:val="none"/>
                <w:lang w:val="en-US" w:eastAsia="zh-CN"/>
              </w:rPr>
              <w:t xml:space="preserve">09</w:t>
            </w:r>
            <w:r>
              <w:rPr>
                <w:rFonts w:hint="eastAsia" w:ascii="宋体" w:hAnsi="宋体" w:cs="宋体"/>
                <w:szCs w:val="21"/>
                <w:highlight w:val="none"/>
              </w:rPr>
              <w:t xml:space="preserve">点30分（北京时间）</w:t>
            </w:r>
            <w:r>
              <w:rPr>
                <w:rFonts w:hint="eastAsia" w:ascii="宋体" w:hAnsi="宋体" w:cs="宋体"/>
                <w:szCs w:val="21"/>
                <w:highlight w:val="none"/>
              </w:rPr>
            </w:r>
            <w:r/>
          </w:p>
          <w:p>
            <w:pPr>
              <w:pStyle w:val="1035"/>
              <w:jc w:val="left"/>
              <w:spacing w:line="440" w:lineRule="exact"/>
              <w:widowControl/>
              <w:rPr>
                <w:rFonts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rPr>
                <w:rFonts w:ascii="宋体" w:hAnsi="宋体"/>
                <w:szCs w:val="21"/>
                <w:highlight w:val="none"/>
              </w:rPr>
            </w:r>
            <w:r/>
          </w:p>
          <w:p>
            <w:pPr>
              <w:pStyle w:val="1035"/>
              <w:jc w:val="left"/>
              <w:spacing w:line="312" w:lineRule="auto"/>
              <w:rPr>
                <w:rFonts w:hint="eastAsia" w:ascii="宋体" w:hAnsi="宋体" w:cs="宋体"/>
                <w:szCs w:val="21"/>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rPr>
                <w:rFonts w:hint="eastAsia" w:ascii="宋体" w:hAnsi="宋体" w:cs="宋体"/>
                <w:szCs w:val="21"/>
                <w:highlight w:val="none"/>
              </w:rPr>
            </w:r>
            <w:r/>
          </w:p>
        </w:tc>
      </w:tr>
      <w:tr>
        <w:trP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磋商响应</w:t>
            </w:r>
            <w:r>
              <w:rPr>
                <w:rFonts w:hint="eastAsia" w:ascii="宋体" w:hAnsi="宋体" w:cs="宋体"/>
                <w:szCs w:val="21"/>
                <w:highlight w:val="none"/>
              </w:rPr>
            </w:r>
            <w:r/>
          </w:p>
          <w:p>
            <w:pPr>
              <w:pStyle w:val="1035"/>
              <w:jc w:val="center"/>
              <w:spacing w:line="312" w:lineRule="auto"/>
              <w:rPr>
                <w:rFonts w:hint="eastAsia" w:ascii="宋体" w:hAnsi="宋体" w:cs="宋体"/>
                <w:szCs w:val="21"/>
                <w:highlight w:val="none"/>
              </w:rPr>
            </w:pPr>
            <w:r>
              <w:rPr>
                <w:rFonts w:hint="eastAsia" w:ascii="宋体" w:hAnsi="宋体" w:cs="宋体"/>
                <w:szCs w:val="21"/>
                <w:highlight w:val="none"/>
              </w:rPr>
              <w:t xml:space="preserve">文件份数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本项目采用电子响应文件，供应商按照采购文件要求制作上传电子响应文件</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12" w:lineRule="auto"/>
              <w:rPr>
                <w:rFonts w:hint="eastAsia" w:ascii="宋体" w:hAnsi="宋体" w:cs="宋体"/>
                <w:szCs w:val="21"/>
                <w:highlight w:val="none"/>
              </w:rPr>
            </w:pPr>
            <w:r>
              <w:rPr>
                <w:rFonts w:hint="eastAsia" w:ascii="宋体" w:hAnsi="宋体" w:cs="宋体"/>
                <w:szCs w:val="21"/>
                <w:highlight w:val="none"/>
                <w:lang w:val="zh-CN"/>
              </w:rPr>
              <w:t xml:space="preserve">履约保证金</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12" w:lineRule="auto"/>
              <w:rPr>
                <w:rFonts w:hint="eastAsia" w:ascii="宋体" w:hAnsi="宋体" w:cs="宋体"/>
                <w:szCs w:val="21"/>
                <w:highlight w:val="none"/>
              </w:rPr>
            </w:pPr>
            <w:r>
              <w:rPr>
                <w:rFonts w:hint="eastAsia" w:ascii="宋体" w:hAnsi="宋体" w:cs="宋体"/>
                <w:szCs w:val="21"/>
                <w:highlight w:val="none"/>
              </w:rPr>
              <w:t xml:space="preserve">无</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评审办法</w:t>
            </w:r>
            <w:r>
              <w:rPr>
                <w:rFonts w:hint="eastAsia" w:ascii="宋体" w:hAnsi="宋体" w:cs="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jc w:val="left"/>
              <w:spacing w:line="360" w:lineRule="auto"/>
              <w:rPr>
                <w:rFonts w:hint="eastAsia" w:ascii="宋体" w:hAnsi="宋体" w:cs="宋体"/>
                <w:szCs w:val="21"/>
                <w:highlight w:val="none"/>
              </w:rPr>
            </w:pPr>
            <w:r>
              <w:rPr>
                <w:rFonts w:hint="eastAsia" w:ascii="宋体" w:hAnsi="宋体" w:cs="宋体"/>
                <w:szCs w:val="21"/>
                <w:highlight w:val="none"/>
              </w:rPr>
              <w:t xml:space="preserve">详见“四、评审方法及评分标准”</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13</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导致废标</w:t>
            </w:r>
            <w:r>
              <w:rPr>
                <w:rFonts w:ascii="宋体" w:hAnsi="宋体" w:cs="宋体"/>
                <w:szCs w:val="21"/>
                <w:highlight w:val="none"/>
              </w:rPr>
            </w:r>
            <w:r/>
          </w:p>
          <w:p>
            <w:pPr>
              <w:pStyle w:val="1035"/>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因素</w:t>
            </w:r>
            <w:r>
              <w:rPr>
                <w:rFonts w:hint="eastAsia" w:ascii="宋体" w:hAnsi="宋体" w:cs="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出现下列情形之一的，为废标： </w:t>
            </w:r>
            <w:r>
              <w:rPr>
                <w:rFonts w:ascii="宋体" w:hAnsi="宋体" w:cs="宋体"/>
                <w:szCs w:val="21"/>
                <w:highlight w:val="none"/>
              </w:rPr>
            </w:r>
            <w:r/>
          </w:p>
          <w:p>
            <w:pPr>
              <w:pStyle w:val="1035"/>
              <w:numPr>
                <w:ilvl w:val="0"/>
                <w:numId w:val="18"/>
              </w:numPr>
              <w:spacing w:line="360" w:lineRule="auto"/>
              <w:rPr>
                <w:rFonts w:ascii="宋体" w:hAnsi="宋体" w:cs="宋体"/>
                <w:szCs w:val="21"/>
                <w:highlight w:val="none"/>
              </w:rPr>
              <w:outlineLvl w:val="2"/>
            </w:pPr>
            <w:r>
              <w:rPr>
                <w:rFonts w:hint="eastAsia" w:ascii="宋体" w:hAnsi="宋体" w:cs="宋体"/>
                <w:szCs w:val="21"/>
                <w:highlight w:val="none"/>
              </w:rPr>
              <w:t xml:space="preserve">符合专业条件的投标人或者对采购文件作实质响应的投标人不足三家的； </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（二）出现影响采购公正的违法、违规行为的； </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（三）投标人的报价均超过了采购预算，采购人不能支付的； </w:t>
            </w:r>
            <w:r>
              <w:rPr>
                <w:rFonts w:ascii="宋体" w:hAnsi="宋体" w:cs="宋体"/>
                <w:szCs w:val="21"/>
                <w:highlight w:val="none"/>
              </w:rPr>
            </w:r>
            <w:r/>
          </w:p>
          <w:p>
            <w:pPr>
              <w:pStyle w:val="1035"/>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（四）因重大变故，采购任务取消的。</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1035"/>
              <w:jc w:val="center"/>
              <w:spacing w:line="312" w:lineRule="auto"/>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1035"/>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投标无效因素</w:t>
            </w:r>
            <w:r>
              <w:rPr>
                <w:rFonts w:hint="eastAsia" w:ascii="宋体" w:hAnsi="宋体" w:cs="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（一）有下列情形之一的，视为投标人串通投标，其投标无效：</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1、不同投标人的响应文件由同一单位或者个人编制；</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2、不同投标人委托同一单位或者个人办理投标事宜；</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3、不同投标人的响应文件载明的项目管理成员或者联系人员为同一人；</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4、不同投标人的响应文件异常一致或者投标报价呈规律性差异；</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（二）投标人存在下列情况之一的，投标无效:</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1、未按照采购文件的规定提交投标保证承诺书的；</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2、未按照采购文件规定要求签署、盖章；</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rPr>
                <w:rFonts w:ascii="宋体" w:hAnsi="宋体" w:cs="宋体"/>
                <w:szCs w:val="21"/>
                <w:highlight w:val="none"/>
              </w:rPr>
            </w:r>
            <w:r/>
          </w:p>
          <w:p>
            <w:pPr>
              <w:pStyle w:val="1035"/>
              <w:spacing w:line="360" w:lineRule="auto"/>
              <w:rPr>
                <w:rFonts w:ascii="宋体" w:hAnsi="宋体" w:cs="宋体"/>
                <w:szCs w:val="21"/>
                <w:highlight w:val="none"/>
              </w:rPr>
              <w:outlineLvl w:val="2"/>
            </w:pPr>
            <w:r>
              <w:rPr>
                <w:rFonts w:hint="eastAsia" w:ascii="宋体" w:hAnsi="宋体" w:cs="宋体"/>
                <w:szCs w:val="21"/>
                <w:highlight w:val="none"/>
              </w:rPr>
              <w:t xml:space="preserve">4、响应文件含有采购人不能接受的附加条件的；</w:t>
            </w:r>
            <w:r>
              <w:rPr>
                <w:rFonts w:ascii="宋体" w:hAnsi="宋体" w:cs="宋体"/>
                <w:szCs w:val="21"/>
                <w:highlight w:val="none"/>
              </w:rPr>
            </w:r>
            <w:r/>
          </w:p>
          <w:p>
            <w:pPr>
              <w:pStyle w:val="1035"/>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5、法律、法规和采购文件规定的其他无效情形。</w:t>
            </w:r>
            <w:r>
              <w:rPr>
                <w:rFonts w:hint="eastAsia" w:ascii="宋体" w:hAnsi="宋体" w:cs="宋体"/>
                <w:szCs w:val="21"/>
                <w:highlight w:val="none"/>
              </w:rPr>
            </w:r>
            <w:r/>
          </w:p>
        </w:tc>
      </w:tr>
    </w:tbl>
    <w:p>
      <w:pPr>
        <w:pStyle w:val="1035"/>
        <w:rPr>
          <w:highlight w:val="none"/>
        </w:rPr>
      </w:pPr>
      <w:r>
        <w:rPr>
          <w:highlight w:val="none"/>
        </w:rPr>
      </w:r>
      <w:r/>
    </w:p>
    <w:p>
      <w:pPr>
        <w:pStyle w:val="1035"/>
        <w:jc w:val="center"/>
        <w:rPr>
          <w:rFonts w:ascii="宋体" w:hAnsi="宋体"/>
          <w:b/>
          <w:sz w:val="32"/>
          <w:szCs w:val="20"/>
          <w:highlight w:val="none"/>
        </w:rPr>
      </w:pPr>
      <w:r>
        <w:rPr>
          <w:highlight w:val="none"/>
        </w:rPr>
        <w:br w:type="page" w:clear="all"/>
      </w:r>
      <w:r>
        <w:rPr>
          <w:rFonts w:hint="eastAsia" w:ascii="宋体" w:hAnsi="宋体"/>
          <w:b/>
          <w:sz w:val="32"/>
          <w:szCs w:val="20"/>
          <w:highlight w:val="none"/>
        </w:rPr>
        <w:t xml:space="preserve">一、竞争性磋商公告</w:t>
      </w:r>
      <w:r>
        <w:rPr>
          <w:rFonts w:ascii="宋体" w:hAnsi="宋体"/>
          <w:b/>
          <w:sz w:val="32"/>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val="false"/>
          </w:tcPr>
          <w:p>
            <w:pPr>
              <w:pStyle w:val="1035"/>
              <w:ind w:firstLine="420"/>
              <w:spacing w:line="360" w:lineRule="auto"/>
              <w:tabs>
                <w:tab w:val="left" w:pos="709" w:leader="none"/>
              </w:tabs>
              <w:rPr>
                <w:rFonts w:hint="eastAsia" w:ascii="宋体" w:hAnsi="宋体"/>
                <w:szCs w:val="21"/>
                <w:highlight w:val="none"/>
              </w:rPr>
            </w:pPr>
            <w:r>
              <w:rPr>
                <w:rFonts w:hint="eastAsia" w:ascii="宋体" w:hAnsi="宋体"/>
                <w:szCs w:val="21"/>
                <w:highlight w:val="none"/>
              </w:rPr>
              <w:t xml:space="preserve">项目概况：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u w:val="single"/>
                <w:lang w:eastAsia="zh-CN"/>
              </w:rPr>
              <w:t xml:space="preserve">春申湖路隔音设施安装建设一期</w:t>
            </w:r>
            <w:r>
              <w:rPr>
                <w:rFonts w:hint="eastAsia" w:ascii="宋体" w:hAnsi="宋体"/>
                <w:szCs w:val="21"/>
                <w:highlight w:val="none"/>
              </w:rPr>
              <w:t xml:space="preserve">的潜在响应单位应在</w:t>
            </w:r>
            <w:r>
              <w:rPr>
                <w:rFonts w:ascii="Times New Roman" w:hAnsi="Times New Roman"/>
                <w:highlight w:val="none"/>
                <w:u w:val="single"/>
                <w:shd w:val="clear" w:color="auto" w:fill="ffffff"/>
              </w:rPr>
              <w:t xml:space="preserve">“</w:t>
            </w:r>
            <w:r>
              <w:rPr>
                <w:rFonts w:hint="eastAsia"/>
                <w:highlight w:val="none"/>
                <w:u w:val="single"/>
                <w:shd w:val="clear" w:color="auto" w:fill="ffffff"/>
              </w:rPr>
              <w:t xml:space="preserve">苏</w:t>
            </w:r>
            <w:r>
              <w:rPr>
                <w:rStyle w:val="1203"/>
                <w:rFonts w:hint="eastAsia"/>
                <w:highlight w:val="none"/>
                <w:u w:val="single"/>
                <w:shd w:val="clear" w:color="auto" w:fill="ffffff"/>
              </w:rPr>
              <w:t xml:space="preserve">采云</w:t>
            </w:r>
            <w:r>
              <w:rPr>
                <w:rFonts w:ascii="Times New Roman" w:hAnsi="Times New Roman"/>
                <w:highlight w:val="none"/>
                <w:u w:val="single"/>
                <w:shd w:val="clear" w:color="auto" w:fill="ffffff"/>
              </w:rPr>
              <w:t xml:space="preserve">”</w:t>
            </w:r>
            <w:r>
              <w:rPr>
                <w:rFonts w:hint="eastAsia"/>
                <w:highlight w:val="none"/>
                <w:u w:val="single"/>
                <w:shd w:val="clear" w:color="auto" w:fill="ffffff"/>
              </w:rPr>
              <w:t xml:space="preserve">系统中</w:t>
            </w:r>
            <w:r>
              <w:rPr>
                <w:rFonts w:hint="eastAsia" w:ascii="宋体" w:hAnsi="宋体"/>
                <w:szCs w:val="21"/>
                <w:highlight w:val="none"/>
              </w:rPr>
              <w:t xml:space="preserve">获取采购文件，并于</w:t>
            </w:r>
            <w:r>
              <w:rPr>
                <w:rFonts w:hint="eastAsia" w:ascii="宋体" w:hAnsi="宋体"/>
                <w:szCs w:val="21"/>
                <w:highlight w:val="none"/>
                <w:u w:val="single"/>
                <w:lang w:eastAsia="zh-CN"/>
              </w:rPr>
              <w:t xml:space="preserve">2026年</w:t>
            </w:r>
            <w:r>
              <w:rPr>
                <w:rFonts w:hint="eastAsia" w:ascii="宋体" w:hAnsi="宋体"/>
                <w:szCs w:val="21"/>
                <w:highlight w:val="none"/>
                <w:u w:val="single"/>
                <w:lang w:val="en-US" w:eastAsia="zh-CN"/>
              </w:rPr>
              <w:t xml:space="preserve">07</w:t>
            </w:r>
            <w:r>
              <w:rPr>
                <w:rFonts w:hint="eastAsia" w:ascii="宋体" w:hAnsi="宋体"/>
                <w:szCs w:val="21"/>
                <w:highlight w:val="none"/>
                <w:u w:val="single"/>
                <w:lang w:eastAsia="zh-CN"/>
              </w:rPr>
              <w:t xml:space="preserve">月</w:t>
            </w:r>
            <w:r>
              <w:rPr>
                <w:rFonts w:hint="eastAsia" w:ascii="宋体" w:hAnsi="宋体"/>
                <w:szCs w:val="21"/>
                <w:highlight w:val="none"/>
                <w:u w:val="single"/>
                <w:lang w:val="en-US" w:eastAsia="zh-CN"/>
              </w:rPr>
              <w:t xml:space="preserve">27</w:t>
            </w:r>
            <w:r>
              <w:rPr>
                <w:rFonts w:hint="eastAsia" w:ascii="宋体" w:hAnsi="宋体"/>
                <w:szCs w:val="21"/>
                <w:highlight w:val="none"/>
                <w:u w:val="single"/>
                <w:lang w:eastAsia="zh-CN"/>
              </w:rPr>
              <w:t xml:space="preserve">日</w:t>
            </w:r>
            <w:r>
              <w:rPr>
                <w:rFonts w:hint="eastAsia" w:ascii="宋体" w:hAnsi="宋体"/>
                <w:szCs w:val="21"/>
                <w:highlight w:val="none"/>
                <w:u w:val="single"/>
                <w:lang w:val="en-US" w:eastAsia="zh-CN"/>
              </w:rPr>
              <w:t xml:space="preserve">09</w:t>
            </w:r>
            <w:r>
              <w:rPr>
                <w:rFonts w:hint="eastAsia" w:ascii="宋体" w:hAnsi="宋体"/>
                <w:szCs w:val="21"/>
                <w:highlight w:val="none"/>
                <w:u w:val="single"/>
              </w:rPr>
              <w:t xml:space="preserve">点30分</w:t>
            </w:r>
            <w:r>
              <w:rPr>
                <w:rFonts w:hint="eastAsia" w:ascii="宋体" w:hAnsi="宋体"/>
                <w:szCs w:val="21"/>
                <w:highlight w:val="none"/>
              </w:rPr>
              <w:t xml:space="preserve">（北京时间）前递交响应文件。</w:t>
            </w:r>
            <w:r>
              <w:rPr>
                <w:rFonts w:hint="eastAsia" w:ascii="宋体" w:hAnsi="宋体"/>
                <w:szCs w:val="21"/>
                <w:highlight w:val="none"/>
              </w:rPr>
            </w:r>
            <w:r/>
          </w:p>
        </w:tc>
      </w:tr>
    </w:tbl>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一、项目基本情况</w:t>
      </w:r>
      <w:r>
        <w:rPr>
          <w:rFonts w:hint="eastAsia" w:ascii="宋体" w:hAnsi="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1、项目编号：</w:t>
      </w:r>
      <w:r>
        <w:rPr>
          <w:rFonts w:hint="eastAsia" w:ascii="宋体" w:hAnsi="宋体"/>
          <w:szCs w:val="21"/>
          <w:highlight w:val="none"/>
          <w:lang w:eastAsia="zh-CN"/>
        </w:rPr>
        <w:t xml:space="preserve">JSZC-320507-SZGZ-C2026-0042</w:t>
      </w:r>
      <w:r>
        <w:rPr>
          <w:rFonts w:hint="eastAsia" w:ascii="宋体" w:hAnsi="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r>
      <w:r/>
    </w:p>
    <w:p>
      <w:pPr>
        <w:pStyle w:val="1035"/>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szCs w:val="21"/>
          <w:highlight w:val="none"/>
          <w:lang w:eastAsia="zh-CN"/>
        </w:rPr>
        <w:t xml:space="preserve">春申湖路隔音设施安装建设一期</w:t>
      </w:r>
      <w:r>
        <w:rPr>
          <w:rFonts w:hint="eastAsia" w:ascii="宋体" w:hAnsi="宋体" w:eastAsia="宋体" w:cs="宋体"/>
          <w:szCs w:val="21"/>
          <w:highlight w:val="none"/>
          <w:lang w:eastAsia="zh-CN"/>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3、采购方式：竞争性磋商 </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4、采购预算：</w:t>
      </w:r>
      <w:r>
        <w:rPr>
          <w:rFonts w:hint="eastAsia" w:ascii="宋体" w:hAnsi="宋体" w:cs="宋体"/>
          <w:szCs w:val="21"/>
          <w:highlight w:val="none"/>
          <w:lang w:eastAsia="zh-CN"/>
        </w:rPr>
        <w:t xml:space="preserve">壹佰伍拾万零柒仟叁佰叁拾壹元陆角贰分（ 1507331.62元）</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最高限价：</w:t>
      </w:r>
      <w:r>
        <w:rPr>
          <w:rFonts w:hint="eastAsia" w:ascii="宋体" w:hAnsi="宋体" w:cs="宋体"/>
          <w:szCs w:val="21"/>
          <w:highlight w:val="none"/>
          <w:lang w:eastAsia="zh-CN"/>
        </w:rPr>
        <w:t xml:space="preserve">壹佰伍拾万零柒仟叁佰叁拾壹元陆角贰分（ 1507331.62元）</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5、采购需求：</w:t>
      </w:r>
      <w:r>
        <w:rPr>
          <w:rFonts w:hint="eastAsia" w:ascii="宋体" w:hAnsi="宋体" w:eastAsia="宋体" w:cs="宋体"/>
          <w:szCs w:val="21"/>
          <w:highlight w:val="none"/>
          <w:lang w:eastAsia="zh-CN"/>
        </w:rPr>
        <w:t xml:space="preserve">春申湖路隔音设施安装建设一期</w:t>
      </w:r>
      <w:r>
        <w:rPr>
          <w:rFonts w:hint="eastAsia" w:ascii="宋体" w:hAnsi="宋体" w:eastAsia="宋体" w:cs="宋体"/>
          <w:szCs w:val="21"/>
          <w:highlight w:val="none"/>
        </w:rPr>
        <w:t xml:space="preserve">（具体以工程量清单为准）</w:t>
      </w:r>
      <w:r>
        <w:rPr>
          <w:rFonts w:hint="eastAsia" w:ascii="宋体" w:hAnsi="宋体" w:cs="宋体"/>
          <w:szCs w:val="21"/>
          <w:highlight w:val="none"/>
        </w:rPr>
        <w:t xml:space="preserve">。具体内容详见</w:t>
      </w:r>
      <w:r>
        <w:rPr>
          <w:rFonts w:hint="eastAsia" w:ascii="宋体" w:hAnsi="宋体" w:cs="宋体"/>
          <w:szCs w:val="21"/>
          <w:highlight w:val="none"/>
          <w:lang w:val="en-US" w:eastAsia="zh-CN"/>
        </w:rPr>
        <w:t xml:space="preserve">采购文件</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承包方式：包工包料</w:t>
      </w:r>
      <w:r>
        <w:rPr>
          <w:rFonts w:hint="eastAsia" w:ascii="宋体" w:hAnsi="宋体" w:cs="宋体"/>
          <w:szCs w:val="21"/>
          <w:highlight w:val="none"/>
          <w:lang w:val="en-US" w:eastAsia="zh-CN"/>
        </w:rPr>
      </w:r>
      <w:r/>
    </w:p>
    <w:p>
      <w:pPr>
        <w:pStyle w:val="1035"/>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质量要求：合格</w:t>
      </w:r>
      <w:r>
        <w:rPr>
          <w:rFonts w:hint="eastAsia" w:ascii="宋体" w:hAnsi="宋体" w:cs="宋体"/>
          <w:szCs w:val="21"/>
          <w:highlight w:val="none"/>
          <w:lang w:val="en-US" w:eastAsia="zh-CN"/>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lang w:val="en-US" w:eastAsia="zh-CN"/>
        </w:rPr>
        <w:t xml:space="preserve">6、工期</w:t>
      </w:r>
      <w:r>
        <w:rPr>
          <w:rFonts w:hint="eastAsia" w:ascii="宋体" w:hAnsi="宋体" w:cs="宋体"/>
          <w:szCs w:val="21"/>
          <w:highlight w:val="none"/>
        </w:rPr>
        <w:t xml:space="preserve">：</w:t>
      </w:r>
      <w:r>
        <w:rPr>
          <w:rFonts w:hint="eastAsia" w:ascii="宋体" w:hAnsi="宋体" w:eastAsia="宋体" w:cs="宋体"/>
          <w:szCs w:val="21"/>
          <w:highlight w:val="none"/>
          <w:lang w:val="en-US" w:eastAsia="zh-CN"/>
        </w:rPr>
        <w:t xml:space="preserve">93</w:t>
      </w:r>
      <w:r>
        <w:rPr>
          <w:rFonts w:hint="eastAsia" w:ascii="宋体" w:hAnsi="宋体" w:eastAsia="宋体" w:cs="宋体"/>
          <w:szCs w:val="21"/>
          <w:highlight w:val="none"/>
        </w:rPr>
        <w:t xml:space="preserve">日历天。</w:t>
      </w:r>
      <w:r>
        <w:rPr>
          <w:rFonts w:ascii="宋体" w:hAnsi="宋体" w:cs="宋体"/>
          <w:szCs w:val="21"/>
          <w:highlight w:val="none"/>
        </w:rPr>
      </w:r>
      <w:r/>
    </w:p>
    <w:p>
      <w:pPr>
        <w:pStyle w:val="1035"/>
        <w:ind w:firstLine="420"/>
        <w:spacing w:line="360" w:lineRule="auto"/>
        <w:rPr>
          <w:rFonts w:hint="eastAsia" w:ascii="宋体" w:hAnsi="宋体" w:cs="宋体"/>
          <w:szCs w:val="21"/>
          <w:highlight w:val="none"/>
        </w:rPr>
      </w:pPr>
      <w:r>
        <w:rPr>
          <w:rFonts w:hint="eastAsia" w:ascii="宋体" w:hAnsi="宋体"/>
          <w:szCs w:val="21"/>
          <w:highlight w:val="none"/>
        </w:rPr>
        <w:t xml:space="preserve">二、申请人的资格要求：</w:t>
      </w:r>
      <w:r>
        <w:rPr>
          <w:rFonts w:hint="eastAsia" w:ascii="宋体" w:hAnsi="宋体" w:cs="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1、满足《中华人民共和国政府采购法》第二十二条规定：</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（1）具有独立承担民事责任的能力；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（3）具有履行合同所必</w:t>
      </w:r>
      <w:r>
        <w:rPr>
          <w:rFonts w:hint="eastAsia" w:ascii="宋体" w:hAnsi="宋体"/>
          <w:szCs w:val="21"/>
          <w:highlight w:val="none"/>
        </w:rPr>
        <w:t xml:space="preserve">需</w:t>
      </w:r>
      <w:r>
        <w:rPr>
          <w:rFonts w:hint="eastAsia" w:ascii="宋体" w:hAnsi="宋体"/>
          <w:szCs w:val="21"/>
          <w:highlight w:val="none"/>
        </w:rPr>
        <w:t xml:space="preserve">的设备和专业技术能力；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（4）有依法缴纳税收和社会保障资金的良好记录；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（5）参加政府采购活动前三年内，在经营活动中没有重大违法记录；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（6）法律、行政法规规定的其他条件。 </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2、落实政府采购政策需满足的资格要求：根据《政府采购促进中小企业发展管理办法》的相关规定，本项目专门面向中小企业，所属行业为建筑业，供应商应为中小微企业或监狱企业或残疾人福利性单位。</w:t>
      </w:r>
      <w:r>
        <w:rPr>
          <w:rFonts w:hint="eastAsia" w:ascii="宋体" w:hAnsi="宋体"/>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3、本项目的特定资格要求： </w:t>
      </w:r>
      <w:r>
        <w:rPr>
          <w:rFonts w:hint="eastAsia" w:ascii="宋体" w:hAnsi="宋体"/>
          <w:szCs w:val="21"/>
          <w:highlight w:val="none"/>
        </w:rPr>
      </w:r>
      <w:r/>
    </w:p>
    <w:p>
      <w:pPr>
        <w:pStyle w:val="1035"/>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（1）磋商供应商具备在有效期内的</w:t>
      </w:r>
      <w:r>
        <w:rPr>
          <w:rFonts w:hint="eastAsia" w:ascii="宋体" w:hAnsi="宋体" w:cs="宋体"/>
          <w:szCs w:val="21"/>
          <w:highlight w:val="none"/>
          <w:lang w:eastAsia="zh-CN"/>
        </w:rPr>
        <w:t xml:space="preserve">市政公用工程施工总承包叁级及以上资质</w:t>
      </w:r>
      <w:r>
        <w:rPr>
          <w:rFonts w:hint="eastAsia" w:ascii="宋体" w:hAnsi="宋体" w:cs="宋体"/>
          <w:szCs w:val="21"/>
          <w:highlight w:val="none"/>
        </w:rPr>
        <w:t xml:space="preserve">；同时具备有效的《安全生产许可证》。</w:t>
      </w:r>
      <w:r>
        <w:rPr>
          <w:rFonts w:hint="eastAsia" w:ascii="宋体" w:hAnsi="宋体" w:cs="宋体"/>
          <w:szCs w:val="21"/>
          <w:highlight w:val="none"/>
        </w:rPr>
      </w:r>
      <w:r/>
    </w:p>
    <w:p>
      <w:pPr>
        <w:pStyle w:val="1035"/>
        <w:ind w:firstLine="420"/>
        <w:spacing w:line="360" w:lineRule="auto"/>
        <w:rPr>
          <w:rFonts w:hint="eastAsia" w:ascii="宋体" w:hAnsi="宋体" w:cs="Arial"/>
          <w:szCs w:val="21"/>
          <w:highlight w:val="none"/>
        </w:rPr>
      </w:pPr>
      <w:r>
        <w:rPr>
          <w:rFonts w:hint="eastAsia" w:ascii="宋体" w:hAnsi="宋体" w:cs="宋体"/>
          <w:szCs w:val="21"/>
          <w:highlight w:val="none"/>
        </w:rPr>
        <w:t xml:space="preserve">（2）磋商供应商拟投入本项目的项目经理须具备</w:t>
      </w:r>
      <w:r>
        <w:rPr>
          <w:rFonts w:hint="eastAsia" w:ascii="宋体" w:hAnsi="宋体" w:cs="宋体"/>
          <w:szCs w:val="21"/>
          <w:highlight w:val="none"/>
          <w:lang w:eastAsia="zh-CN"/>
        </w:rPr>
        <w:t xml:space="preserve">市政公用工程专业</w:t>
      </w:r>
      <w:r>
        <w:rPr>
          <w:rFonts w:hint="eastAsia" w:ascii="宋体" w:hAnsi="宋体" w:cs="宋体"/>
          <w:szCs w:val="21"/>
          <w:highlight w:val="none"/>
        </w:rPr>
        <w:t xml:space="preserve">注册二级建造师及以上和《建筑施工企业项目负责人安全生产考核合格证书》（B证）。</w:t>
      </w:r>
      <w:r>
        <w:rPr>
          <w:rFonts w:hint="eastAsia" w:ascii="宋体" w:hAnsi="宋体" w:cs="Arial"/>
          <w:szCs w:val="21"/>
          <w:highlight w:val="none"/>
        </w:rPr>
      </w:r>
      <w:r/>
    </w:p>
    <w:p>
      <w:pPr>
        <w:pStyle w:val="1035"/>
        <w:ind w:firstLine="420"/>
        <w:spacing w:line="360" w:lineRule="auto"/>
        <w:rPr>
          <w:rFonts w:hint="eastAsia" w:ascii="宋体" w:hAnsi="宋体" w:cs="Arial"/>
          <w:szCs w:val="21"/>
          <w:highlight w:val="none"/>
        </w:rPr>
      </w:pPr>
      <w:r>
        <w:rPr>
          <w:rFonts w:hint="eastAsia" w:ascii="宋体" w:hAnsi="宋体" w:cs="Arial"/>
          <w:szCs w:val="21"/>
          <w:highlight w:val="none"/>
        </w:rPr>
        <w:t xml:space="preserve">注：项目负责人需同时满足下列条件：</w:t>
      </w:r>
      <w:r>
        <w:rPr>
          <w:rFonts w:hint="eastAsia" w:ascii="宋体" w:hAnsi="宋体" w:cs="Arial"/>
          <w:szCs w:val="21"/>
          <w:highlight w:val="none"/>
        </w:rPr>
      </w:r>
      <w:r/>
    </w:p>
    <w:p>
      <w:pPr>
        <w:pStyle w:val="1035"/>
        <w:ind w:firstLine="420"/>
        <w:spacing w:line="360" w:lineRule="auto"/>
        <w:rPr>
          <w:rFonts w:hint="eastAsia" w:ascii="宋体" w:hAnsi="宋体" w:cs="Arial"/>
          <w:szCs w:val="21"/>
          <w:highlight w:val="none"/>
        </w:rPr>
      </w:pPr>
      <w:r>
        <w:rPr>
          <w:rFonts w:hint="eastAsia" w:ascii="宋体" w:hAnsi="宋体" w:cs="Arial"/>
          <w:szCs w:val="21"/>
          <w:highlight w:val="none"/>
        </w:rPr>
        <w:t xml:space="preserve">1）项目负责人不得同时在两个或者两个以上单位受聘或者执业。（同时在两个及以上单位签订劳动合同或交纳社会保险或将本人执（职）业资格证书同时注册在两个及以上单位）</w:t>
      </w:r>
      <w:r>
        <w:rPr>
          <w:rFonts w:hint="eastAsia" w:ascii="宋体" w:hAnsi="宋体" w:cs="Arial"/>
          <w:szCs w:val="21"/>
          <w:highlight w:val="none"/>
        </w:rPr>
      </w:r>
      <w:r/>
    </w:p>
    <w:p>
      <w:pPr>
        <w:pStyle w:val="1035"/>
        <w:ind w:firstLine="420"/>
        <w:spacing w:line="360" w:lineRule="auto"/>
        <w:rPr>
          <w:rFonts w:ascii="宋体" w:hAnsi="宋体" w:cs="Arial"/>
          <w:szCs w:val="21"/>
          <w:highlight w:val="none"/>
        </w:rPr>
      </w:pPr>
      <w:r>
        <w:rPr>
          <w:rFonts w:hint="eastAsia" w:ascii="宋体" w:hAnsi="宋体" w:cs="Arial"/>
          <w:szCs w:val="21"/>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宋体" w:hAnsi="宋体" w:cs="Arial"/>
          <w:szCs w:val="21"/>
          <w:highlight w:val="none"/>
        </w:rPr>
      </w:r>
      <w:r/>
    </w:p>
    <w:p>
      <w:pPr>
        <w:pStyle w:val="1035"/>
        <w:ind w:firstLine="420"/>
        <w:spacing w:line="360" w:lineRule="auto"/>
        <w:rPr>
          <w:rFonts w:hint="eastAsia" w:ascii="宋体" w:hAnsi="宋体"/>
          <w:szCs w:val="21"/>
          <w:highlight w:val="none"/>
        </w:rPr>
      </w:pPr>
      <w:r>
        <w:rPr>
          <w:rFonts w:hint="eastAsia" w:ascii="宋体" w:hAnsi="宋体"/>
          <w:szCs w:val="21"/>
          <w:highlight w:val="none"/>
        </w:rPr>
        <w:t xml:space="preserve">（3）本项目不接受联合体投标。</w:t>
      </w:r>
      <w:r>
        <w:rPr>
          <w:rFonts w:hint="eastAsia"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注：（1）</w:t>
      </w:r>
      <w:r>
        <w:rPr>
          <w:rFonts w:hint="eastAsia" w:ascii="宋体" w:hAnsi="宋体" w:cs="宋体"/>
          <w:szCs w:val="21"/>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（2）为采购项目提供整体设计、规范编制或者项目管理、监理、监测等服务的供应商，不得再参加该采购项目的其他采购活动。</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ascii="宋体" w:hAnsi="宋体"/>
          <w:szCs w:val="21"/>
          <w:highlight w:val="none"/>
        </w:rPr>
        <w:t xml:space="preserve">三、</w:t>
      </w:r>
      <w:r>
        <w:rPr>
          <w:rFonts w:hint="eastAsia" w:ascii="宋体" w:hAnsi="宋体"/>
          <w:szCs w:val="21"/>
          <w:highlight w:val="none"/>
        </w:rPr>
        <w:t xml:space="preserve">获取采购文件</w:t>
      </w:r>
      <w:r>
        <w:rPr>
          <w:rFonts w:ascii="宋体" w:hAnsi="宋体"/>
          <w:szCs w:val="21"/>
          <w:highlight w:val="none"/>
        </w:rPr>
      </w:r>
      <w:r/>
    </w:p>
    <w:p>
      <w:pPr>
        <w:pStyle w:val="1035"/>
        <w:ind w:right="-159" w:firstLine="480"/>
        <w:spacing w:line="360" w:lineRule="auto"/>
        <w:rPr>
          <w:rFonts w:ascii="宋体" w:hAnsi="宋体" w:eastAsia="宋体"/>
          <w:szCs w:val="21"/>
          <w:highlight w:val="none"/>
          <w:lang w:val="en-US" w:eastAsia="zh-CN"/>
        </w:rPr>
      </w:pPr>
      <w:r>
        <w:rPr>
          <w:rFonts w:hint="eastAsia" w:ascii="宋体" w:hAnsi="宋体"/>
          <w:szCs w:val="21"/>
          <w:highlight w:val="none"/>
        </w:rPr>
        <w:t xml:space="preserve">时间：</w:t>
      </w:r>
      <w:r>
        <w:rPr>
          <w:rFonts w:hint="eastAsia" w:ascii="宋体" w:hAnsi="宋体"/>
          <w:szCs w:val="21"/>
          <w:highlight w:val="none"/>
          <w:lang w:val="zh-CN"/>
        </w:rPr>
        <w:t xml:space="preserve">2026年</w:t>
      </w:r>
      <w:r>
        <w:rPr>
          <w:rFonts w:hint="eastAsia" w:ascii="宋体" w:hAnsi="宋体"/>
          <w:szCs w:val="21"/>
          <w:highlight w:val="none"/>
          <w:lang w:val="en-US" w:eastAsia="zh-CN"/>
        </w:rPr>
        <w:t xml:space="preserve">07</w:t>
      </w:r>
      <w:r>
        <w:rPr>
          <w:rFonts w:hint="eastAsia" w:ascii="宋体" w:hAnsi="宋体"/>
          <w:szCs w:val="21"/>
          <w:highlight w:val="none"/>
          <w:lang w:val="zh-CN"/>
        </w:rPr>
        <w:t xml:space="preserve">月</w:t>
      </w:r>
      <w:r>
        <w:rPr>
          <w:rFonts w:hint="eastAsia" w:ascii="宋体" w:hAnsi="宋体"/>
          <w:szCs w:val="21"/>
          <w:highlight w:val="none"/>
          <w:lang w:val="en-US" w:eastAsia="zh-CN"/>
        </w:rPr>
        <w:t xml:space="preserve">15</w:t>
      </w:r>
      <w:r>
        <w:rPr>
          <w:rFonts w:hint="eastAsia" w:ascii="宋体" w:hAnsi="宋体"/>
          <w:szCs w:val="21"/>
          <w:highlight w:val="none"/>
          <w:lang w:val="zh-CN"/>
        </w:rPr>
        <w:t xml:space="preserve">日</w:t>
      </w:r>
      <w:r>
        <w:rPr>
          <w:rFonts w:hint="eastAsia" w:ascii="宋体" w:hAnsi="宋体"/>
          <w:szCs w:val="21"/>
          <w:highlight w:val="none"/>
          <w:lang w:val="en-US" w:eastAsia="zh-CN"/>
        </w:rPr>
        <w:t xml:space="preserve">-2026年07月21日</w:t>
      </w:r>
      <w:r>
        <w:rPr>
          <w:rFonts w:ascii="宋体" w:hAnsi="宋体" w:eastAsia="宋体"/>
          <w:szCs w:val="21"/>
          <w:highlight w:val="none"/>
          <w:lang w:val="en-US" w:eastAsia="zh-CN"/>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地点：苏采云系统</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方式：网上报名</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售价：0.00元</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四、响应文件提交</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lang w:val="zh-CN"/>
        </w:rPr>
        <w:t xml:space="preserve">时间：2026年</w:t>
      </w:r>
      <w:r>
        <w:rPr>
          <w:rFonts w:hint="eastAsia" w:ascii="宋体" w:hAnsi="宋体"/>
          <w:szCs w:val="21"/>
          <w:highlight w:val="none"/>
          <w:lang w:val="en-US" w:eastAsia="zh-CN"/>
        </w:rPr>
        <w:t xml:space="preserve">07</w:t>
      </w:r>
      <w:r>
        <w:rPr>
          <w:rFonts w:hint="eastAsia" w:ascii="宋体" w:hAnsi="宋体"/>
          <w:szCs w:val="21"/>
          <w:highlight w:val="none"/>
          <w:lang w:val="zh-CN"/>
        </w:rPr>
        <w:t xml:space="preserve">月</w:t>
      </w:r>
      <w:r>
        <w:rPr>
          <w:rFonts w:hint="eastAsia" w:ascii="宋体" w:hAnsi="宋体"/>
          <w:szCs w:val="21"/>
          <w:highlight w:val="none"/>
          <w:lang w:val="en-US" w:eastAsia="zh-CN"/>
        </w:rPr>
        <w:t xml:space="preserve">27</w:t>
      </w:r>
      <w:r>
        <w:rPr>
          <w:rFonts w:hint="eastAsia" w:ascii="宋体" w:hAnsi="宋体"/>
          <w:szCs w:val="21"/>
          <w:highlight w:val="none"/>
          <w:lang w:val="zh-CN"/>
        </w:rPr>
        <w:t xml:space="preserve">日</w:t>
      </w:r>
      <w:r>
        <w:rPr>
          <w:rFonts w:hint="eastAsia" w:ascii="宋体" w:hAnsi="宋体"/>
          <w:szCs w:val="21"/>
          <w:highlight w:val="none"/>
          <w:lang w:val="en-US" w:eastAsia="zh-CN"/>
        </w:rPr>
        <w:t xml:space="preserve">09</w:t>
      </w:r>
      <w:r>
        <w:rPr>
          <w:rFonts w:hint="eastAsia" w:ascii="宋体" w:hAnsi="宋体"/>
          <w:szCs w:val="21"/>
          <w:highlight w:val="none"/>
          <w:lang w:val="zh-CN"/>
        </w:rPr>
        <w:t xml:space="preserve">：30</w:t>
      </w:r>
      <w:r>
        <w:rPr>
          <w:rFonts w:ascii="宋体" w:hAnsi="宋体"/>
          <w:szCs w:val="21"/>
          <w:highlight w:val="none"/>
          <w:lang w:val="zh-CN"/>
        </w:rPr>
        <w:t xml:space="preserve">（北京时间）</w:t>
      </w:r>
      <w:r>
        <w:rPr>
          <w:rFonts w:ascii="宋体" w:hAnsi="宋体"/>
          <w:szCs w:val="21"/>
          <w:highlight w:val="none"/>
        </w:rPr>
      </w:r>
      <w:r/>
    </w:p>
    <w:p>
      <w:pPr>
        <w:pStyle w:val="1035"/>
        <w:ind w:right="-159" w:firstLine="480"/>
        <w:spacing w:line="360" w:lineRule="auto"/>
        <w:rPr>
          <w:rFonts w:hint="eastAsia" w:ascii="宋体" w:hAnsi="宋体"/>
          <w:szCs w:val="21"/>
          <w:highlight w:val="none"/>
        </w:rPr>
      </w:pPr>
      <w:r>
        <w:rPr>
          <w:rFonts w:hint="eastAsia" w:ascii="宋体" w:hAnsi="宋体"/>
          <w:szCs w:val="21"/>
          <w:highlight w:val="none"/>
        </w:rPr>
        <w:t xml:space="preserve">地点：苏采云政府采购一体化平台开标大厅（网上不见面开标）</w:t>
      </w:r>
      <w:r>
        <w:rPr>
          <w:rFonts w:hint="eastAsia" w:ascii="宋体" w:hAnsi="宋体"/>
          <w:szCs w:val="21"/>
          <w:highlight w:val="none"/>
        </w:rPr>
      </w:r>
      <w:r/>
    </w:p>
    <w:p>
      <w:pPr>
        <w:pStyle w:val="1035"/>
        <w:ind w:right="-159" w:firstLine="480"/>
        <w:spacing w:line="360" w:lineRule="auto"/>
        <w:rPr>
          <w:rFonts w:ascii="宋体" w:hAnsi="宋体"/>
          <w:szCs w:val="21"/>
          <w:highlight w:val="none"/>
        </w:rPr>
      </w:pPr>
      <w:r>
        <w:rPr>
          <w:rFonts w:ascii="宋体" w:hAnsi="宋体"/>
          <w:szCs w:val="21"/>
          <w:highlight w:val="none"/>
        </w:rPr>
        <w:t xml:space="preserve">五、开启</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时间：202</w:t>
      </w:r>
      <w:r>
        <w:rPr>
          <w:rFonts w:hint="eastAsia" w:ascii="宋体" w:hAnsi="宋体"/>
          <w:szCs w:val="21"/>
          <w:highlight w:val="none"/>
          <w:lang w:val="en-US" w:eastAsia="zh-CN"/>
        </w:rPr>
        <w:t xml:space="preserve">6</w:t>
      </w:r>
      <w:r>
        <w:rPr>
          <w:rFonts w:hint="eastAsia" w:ascii="宋体" w:hAnsi="宋体"/>
          <w:szCs w:val="21"/>
          <w:highlight w:val="none"/>
        </w:rPr>
        <w:t xml:space="preserve">-</w:t>
      </w:r>
      <w:r>
        <w:rPr>
          <w:rFonts w:hint="eastAsia" w:ascii="宋体" w:hAnsi="宋体"/>
          <w:szCs w:val="21"/>
          <w:highlight w:val="none"/>
          <w:lang w:val="en-US" w:eastAsia="zh-CN"/>
        </w:rPr>
        <w:t xml:space="preserve">07</w:t>
      </w:r>
      <w:r>
        <w:rPr>
          <w:rFonts w:hint="eastAsia" w:ascii="宋体" w:hAnsi="宋体"/>
          <w:szCs w:val="21"/>
          <w:highlight w:val="none"/>
        </w:rPr>
        <w:t xml:space="preserve">-</w:t>
      </w:r>
      <w:r>
        <w:rPr>
          <w:rFonts w:hint="eastAsia" w:ascii="宋体" w:hAnsi="宋体"/>
          <w:szCs w:val="21"/>
          <w:highlight w:val="none"/>
          <w:lang w:val="en-US" w:eastAsia="zh-CN"/>
        </w:rPr>
        <w:t xml:space="preserve">27 09</w:t>
      </w:r>
      <w:r>
        <w:rPr>
          <w:rFonts w:hint="eastAsia" w:ascii="宋体" w:hAnsi="宋体"/>
          <w:szCs w:val="21"/>
          <w:highlight w:val="none"/>
        </w:rPr>
        <w:t xml:space="preserve">:30 （北京时间）</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地点：http://jszfcg.jsczt.cn/jszc/login苏采云系统</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六、公告期限</w:t>
      </w:r>
      <w:r>
        <w:rPr>
          <w:rFonts w:ascii="宋体" w:hAnsi="宋体"/>
          <w:szCs w:val="21"/>
          <w:highlight w:val="none"/>
        </w:rPr>
      </w:r>
      <w:r/>
    </w:p>
    <w:p>
      <w:pPr>
        <w:pStyle w:val="1035"/>
        <w:ind w:right="-159" w:firstLine="480"/>
        <w:spacing w:line="360" w:lineRule="auto"/>
        <w:rPr>
          <w:rFonts w:ascii="宋体" w:hAnsi="宋体"/>
          <w:szCs w:val="21"/>
          <w:highlight w:val="none"/>
        </w:rPr>
      </w:pPr>
      <w:r>
        <w:rPr>
          <w:rFonts w:hint="eastAsia" w:ascii="宋体" w:hAnsi="宋体"/>
          <w:szCs w:val="21"/>
          <w:highlight w:val="none"/>
        </w:rPr>
        <w:t xml:space="preserve">自本公告发布之日起</w:t>
      </w:r>
      <w:r>
        <w:rPr>
          <w:rFonts w:ascii="宋体" w:hAnsi="宋体"/>
          <w:szCs w:val="21"/>
          <w:highlight w:val="none"/>
        </w:rPr>
        <w:t xml:space="preserve">3</w:t>
      </w:r>
      <w:r>
        <w:rPr>
          <w:rFonts w:hint="eastAsia" w:ascii="宋体" w:hAnsi="宋体"/>
          <w:szCs w:val="21"/>
          <w:highlight w:val="none"/>
        </w:rPr>
        <w:t xml:space="preserve">个工作日。</w:t>
      </w:r>
      <w:r>
        <w:rPr>
          <w:rFonts w:ascii="宋体" w:hAnsi="宋体"/>
          <w:szCs w:val="21"/>
          <w:highlight w:val="none"/>
        </w:rPr>
      </w:r>
      <w:r/>
    </w:p>
    <w:p>
      <w:pPr>
        <w:pStyle w:val="1035"/>
        <w:ind w:firstLine="420"/>
        <w:spacing w:line="360" w:lineRule="auto"/>
        <w:widowControl/>
        <w:rPr>
          <w:rFonts w:ascii="宋体" w:hAnsi="宋体"/>
          <w:szCs w:val="21"/>
          <w:highlight w:val="none"/>
        </w:rPr>
      </w:pPr>
      <w:r>
        <w:rPr>
          <w:rFonts w:ascii="宋体" w:hAnsi="宋体"/>
          <w:szCs w:val="21"/>
          <w:highlight w:val="none"/>
        </w:rPr>
        <w:t xml:space="preserve">七、其他补充事宜</w:t>
      </w:r>
      <w:r>
        <w:rPr>
          <w:rFonts w:ascii="宋体" w:hAnsi="宋体"/>
          <w:szCs w:val="21"/>
          <w:highlight w:val="none"/>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1、本次采购的有关信息同时刊登在苏州市政府采购网、江苏政府采购网，敬请留意。</w:t>
      </w:r>
      <w:r>
        <w:rPr>
          <w:rFonts w:hint="eastAsia" w:ascii="宋体" w:hAnsi="宋体"/>
          <w:szCs w:val="21"/>
          <w:highlight w:val="none"/>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szCs w:val="21"/>
          <w:highlight w:val="none"/>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3、相城区</w:t>
      </w:r>
      <w:r>
        <w:rPr>
          <w:rFonts w:ascii="宋体" w:hAnsi="宋体"/>
          <w:szCs w:val="21"/>
          <w:highlight w:val="none"/>
        </w:rPr>
        <w:t xml:space="preserve">政府采购监督管理部门监督电话：</w:t>
      </w:r>
      <w:r>
        <w:rPr>
          <w:rFonts w:hint="eastAsia" w:ascii="宋体" w:hAnsi="宋体" w:cs="宋体"/>
          <w:szCs w:val="21"/>
          <w:highlight w:val="none"/>
          <w:lang w:bidi="ar"/>
        </w:rPr>
        <w:t xml:space="preserve">0512-</w:t>
      </w:r>
      <w:r>
        <w:rPr>
          <w:rFonts w:ascii="宋体" w:hAnsi="宋体" w:cs="宋体"/>
          <w:szCs w:val="21"/>
          <w:highlight w:val="none"/>
          <w:lang w:bidi="ar"/>
        </w:rPr>
        <w:t xml:space="preserve">67591005</w:t>
      </w:r>
      <w:r>
        <w:rPr>
          <w:rFonts w:hint="eastAsia" w:ascii="宋体" w:hAnsi="宋体" w:cs="宋体"/>
          <w:szCs w:val="21"/>
          <w:highlight w:val="none"/>
          <w:lang w:bidi="ar"/>
        </w:rPr>
        <w:t xml:space="preserve">、6</w:t>
      </w:r>
      <w:r>
        <w:rPr>
          <w:rFonts w:ascii="宋体" w:hAnsi="宋体" w:cs="宋体"/>
          <w:szCs w:val="21"/>
          <w:highlight w:val="none"/>
          <w:lang w:bidi="ar"/>
        </w:rPr>
        <w:t xml:space="preserve">7591006</w:t>
      </w:r>
      <w:r>
        <w:rPr>
          <w:rFonts w:hint="eastAsia" w:ascii="宋体" w:hAnsi="宋体" w:cs="宋体"/>
          <w:szCs w:val="21"/>
          <w:highlight w:val="none"/>
          <w:lang w:bidi="ar"/>
        </w:rPr>
        <w:t xml:space="preserve">。</w:t>
      </w:r>
      <w:r>
        <w:rPr>
          <w:rFonts w:hint="eastAsia" w:ascii="宋体" w:hAnsi="宋体"/>
          <w:szCs w:val="21"/>
          <w:highlight w:val="none"/>
        </w:rPr>
      </w:r>
      <w:r/>
    </w:p>
    <w:p>
      <w:pPr>
        <w:pStyle w:val="1035"/>
        <w:ind w:firstLine="420"/>
        <w:spacing w:line="360" w:lineRule="auto"/>
        <w:widowControl/>
        <w:rPr>
          <w:rFonts w:ascii="宋体" w:hAnsi="宋体"/>
          <w:szCs w:val="21"/>
          <w:highlight w:val="none"/>
        </w:rPr>
      </w:pPr>
      <w:r>
        <w:rPr>
          <w:rFonts w:hint="eastAsia" w:ascii="宋体" w:hAnsi="宋体"/>
          <w:szCs w:val="21"/>
          <w:highlight w:val="none"/>
        </w:rPr>
        <w:t xml:space="preserve">4、政府采购履约资金扶持政策：中标供应商可凭政府采购合同办理融资贷款，详情请见江苏政府采购网‘政采贷’专栏。</w:t>
      </w:r>
      <w:r>
        <w:rPr>
          <w:rFonts w:ascii="宋体" w:hAnsi="宋体"/>
          <w:szCs w:val="21"/>
          <w:highlight w:val="none"/>
        </w:rPr>
      </w:r>
      <w:r/>
    </w:p>
    <w:p>
      <w:pPr>
        <w:pStyle w:val="1035"/>
        <w:ind w:firstLine="420"/>
        <w:spacing w:line="360" w:lineRule="auto"/>
        <w:widowControl/>
        <w:rPr>
          <w:rFonts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、联系方式</w:t>
      </w:r>
      <w:r>
        <w:rPr>
          <w:rFonts w:ascii="宋体" w:hAnsi="宋体"/>
          <w:szCs w:val="21"/>
          <w:highlight w:val="none"/>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1、采购人信息</w:t>
      </w:r>
      <w:r>
        <w:rPr>
          <w:rFonts w:hint="eastAsia" w:ascii="宋体" w:hAnsi="宋体"/>
          <w:szCs w:val="21"/>
          <w:highlight w:val="none"/>
        </w:rPr>
      </w:r>
      <w:r/>
    </w:p>
    <w:p>
      <w:pPr>
        <w:pStyle w:val="1035"/>
        <w:ind w:firstLine="420"/>
        <w:spacing w:line="360" w:lineRule="auto"/>
        <w:widowControl/>
        <w:rPr>
          <w:rFonts w:hint="eastAsia" w:ascii="宋体" w:hAnsi="宋体" w:eastAsia="宋体"/>
          <w:szCs w:val="21"/>
          <w:highlight w:val="none"/>
          <w:lang w:eastAsia="zh-CN"/>
        </w:rPr>
      </w:pPr>
      <w:r>
        <w:rPr>
          <w:rFonts w:ascii="宋体" w:hAnsi="宋体"/>
          <w:szCs w:val="21"/>
          <w:highlight w:val="none"/>
        </w:rPr>
        <w:t xml:space="preserve">名称：</w:t>
      </w:r>
      <w:r>
        <w:rPr>
          <w:rFonts w:hint="eastAsia" w:ascii="宋体" w:hAnsi="宋体"/>
          <w:szCs w:val="21"/>
          <w:highlight w:val="none"/>
          <w:lang w:eastAsia="zh-CN"/>
        </w:rPr>
        <w:t xml:space="preserve">苏州相城经济技术开发区管理委员会</w:t>
      </w:r>
      <w:r>
        <w:rPr>
          <w:rFonts w:hint="eastAsia" w:ascii="宋体" w:hAnsi="宋体" w:eastAsia="宋体"/>
          <w:szCs w:val="21"/>
          <w:highlight w:val="none"/>
          <w:lang w:eastAsia="zh-CN"/>
        </w:rPr>
      </w:r>
      <w:r/>
    </w:p>
    <w:p>
      <w:pPr>
        <w:pStyle w:val="1035"/>
        <w:ind w:firstLine="420"/>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地址：</w:t>
      </w:r>
      <w:r>
        <w:rPr>
          <w:rFonts w:hint="eastAsia" w:ascii="宋体" w:hAnsi="宋体" w:cs="宋体"/>
          <w:szCs w:val="21"/>
          <w:highlight w:val="none"/>
          <w:lang w:eastAsia="zh-CN"/>
        </w:rPr>
        <w:t xml:space="preserve">苏州市相城区康元路799号</w:t>
      </w:r>
      <w:r>
        <w:rPr>
          <w:rFonts w:hint="eastAsia" w:ascii="宋体" w:hAnsi="宋体" w:eastAsia="宋体" w:cs="宋体"/>
          <w:szCs w:val="21"/>
          <w:highlight w:val="none"/>
          <w:lang w:eastAsia="zh-CN"/>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焦钰</w:t>
      </w:r>
      <w:r>
        <w:rPr>
          <w:rFonts w:hint="eastAsia" w:ascii="宋体" w:hAnsi="宋体" w:cs="宋体"/>
          <w:szCs w:val="21"/>
          <w:highlight w:val="none"/>
        </w:rPr>
        <w:t xml:space="preserve"> </w:t>
      </w:r>
      <w:r>
        <w:rPr>
          <w:rFonts w:hint="eastAsia" w:ascii="宋体" w:hAnsi="宋体" w:cs="宋体"/>
          <w:szCs w:val="21"/>
          <w:highlight w:val="none"/>
        </w:rPr>
      </w:r>
      <w:r/>
    </w:p>
    <w:p>
      <w:pPr>
        <w:pStyle w:val="1035"/>
        <w:ind w:firstLine="420"/>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联系电话：</w:t>
      </w:r>
      <w:r>
        <w:rPr>
          <w:rFonts w:hint="eastAsia" w:ascii="宋体" w:hAnsi="宋体" w:cs="宋体"/>
          <w:szCs w:val="21"/>
          <w:highlight w:val="none"/>
          <w:lang w:eastAsia="zh-CN"/>
        </w:rPr>
        <w:t xml:space="preserve">0512-66180139</w:t>
      </w:r>
      <w:r>
        <w:rPr>
          <w:rFonts w:hint="eastAsia" w:ascii="宋体" w:hAnsi="宋体" w:eastAsia="宋体" w:cs="宋体"/>
          <w:szCs w:val="21"/>
          <w:highlight w:val="none"/>
          <w:lang w:eastAsia="zh-CN"/>
        </w:rPr>
      </w:r>
      <w:r/>
    </w:p>
    <w:p>
      <w:pPr>
        <w:pStyle w:val="1035"/>
        <w:ind w:firstLine="420"/>
        <w:spacing w:line="360" w:lineRule="auto"/>
        <w:widowControl/>
        <w:rPr>
          <w:rFonts w:hint="eastAsia" w:ascii="宋体" w:hAnsi="宋体"/>
          <w:szCs w:val="21"/>
          <w:highlight w:val="none"/>
        </w:rPr>
      </w:pPr>
      <w:r>
        <w:rPr>
          <w:rFonts w:hint="eastAsia" w:ascii="宋体" w:hAnsi="宋体"/>
          <w:szCs w:val="21"/>
          <w:highlight w:val="none"/>
        </w:rPr>
        <w:t xml:space="preserve">2、采购代理机构信息</w:t>
      </w:r>
      <w:r>
        <w:rPr>
          <w:rFonts w:hint="eastAsia" w:ascii="宋体" w:hAnsi="宋体"/>
          <w:szCs w:val="21"/>
          <w:highlight w:val="none"/>
        </w:rPr>
      </w:r>
      <w:r/>
    </w:p>
    <w:p>
      <w:pPr>
        <w:pStyle w:val="1035"/>
        <w:ind w:firstLine="420"/>
        <w:spacing w:line="360" w:lineRule="auto"/>
        <w:widowControl/>
        <w:rPr>
          <w:rFonts w:hint="eastAsia" w:ascii="宋体" w:hAnsi="宋体"/>
          <w:szCs w:val="21"/>
          <w:highlight w:val="none"/>
        </w:rPr>
      </w:pPr>
      <w:r>
        <w:rPr>
          <w:rFonts w:ascii="宋体" w:hAnsi="宋体"/>
          <w:szCs w:val="21"/>
          <w:highlight w:val="none"/>
        </w:rPr>
        <w:t xml:space="preserve">名称：</w:t>
      </w:r>
      <w:r>
        <w:rPr>
          <w:rFonts w:hint="eastAsia" w:ascii="宋体" w:hAnsi="宋体"/>
          <w:szCs w:val="21"/>
          <w:highlight w:val="none"/>
        </w:rPr>
        <w:t xml:space="preserve">苏州公正建设咨询房地产评估有限公司</w:t>
      </w:r>
      <w:r>
        <w:rPr>
          <w:rFonts w:hint="eastAsia" w:ascii="宋体" w:hAnsi="宋体"/>
          <w:szCs w:val="21"/>
          <w:highlight w:val="none"/>
        </w:rPr>
      </w:r>
      <w:r/>
    </w:p>
    <w:p>
      <w:pPr>
        <w:pStyle w:val="1035"/>
        <w:ind w:firstLine="420"/>
        <w:spacing w:line="360" w:lineRule="auto"/>
        <w:rPr>
          <w:rFonts w:hint="eastAsia" w:ascii="宋体" w:hAnsi="宋体" w:cs="宋体"/>
          <w:szCs w:val="21"/>
          <w:highlight w:val="none"/>
        </w:rPr>
      </w:pPr>
      <w:r>
        <w:rPr>
          <w:rFonts w:hint="eastAsia" w:ascii="宋体" w:hAnsi="宋体"/>
          <w:szCs w:val="21"/>
          <w:highlight w:val="none"/>
        </w:rPr>
        <w:t xml:space="preserve">地址：</w:t>
      </w:r>
      <w:r>
        <w:rPr>
          <w:rFonts w:hint="eastAsia" w:ascii="宋体" w:hAnsi="宋体" w:cs="宋体"/>
          <w:bCs/>
          <w:szCs w:val="21"/>
          <w:highlight w:val="none"/>
        </w:rPr>
        <w:t xml:space="preserve">苏州市相城区华元路1902号2幢东楼2楼</w:t>
      </w:r>
      <w:r>
        <w:rPr>
          <w:rFonts w:hint="eastAsia" w:ascii="宋体" w:hAnsi="宋体" w:cs="宋体"/>
          <w:szCs w:val="21"/>
          <w:highlight w:val="none"/>
        </w:rPr>
      </w:r>
      <w:r/>
    </w:p>
    <w:p>
      <w:pPr>
        <w:pStyle w:val="1035"/>
        <w:ind w:firstLine="420"/>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沈燕、王琪</w:t>
      </w:r>
      <w:r>
        <w:rPr>
          <w:rFonts w:hint="eastAsia" w:ascii="宋体" w:hAnsi="宋体" w:eastAsia="宋体" w:cs="宋体"/>
          <w:szCs w:val="21"/>
          <w:highlight w:val="none"/>
          <w:lang w:eastAsia="zh-CN"/>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联系电话：</w:t>
      </w:r>
      <w:r>
        <w:rPr>
          <w:rFonts w:ascii="宋体" w:hAnsi="宋体" w:cs="宋体"/>
          <w:szCs w:val="21"/>
          <w:highlight w:val="none"/>
        </w:rPr>
        <w:t xml:space="preserve">0512-67913588-6001</w:t>
      </w:r>
      <w:r>
        <w:rPr>
          <w:rFonts w:hint="eastAsia" w:ascii="宋体" w:hAnsi="宋体" w:cs="宋体"/>
          <w:szCs w:val="21"/>
          <w:highlight w:val="none"/>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3、项目联系方式</w:t>
      </w:r>
      <w:r>
        <w:rPr>
          <w:rFonts w:hint="eastAsia" w:ascii="宋体" w:hAnsi="宋体" w:cs="宋体"/>
          <w:szCs w:val="21"/>
          <w:highlight w:val="none"/>
        </w:rPr>
      </w:r>
      <w:r/>
    </w:p>
    <w:p>
      <w:pPr>
        <w:pStyle w:val="1035"/>
        <w:ind w:firstLine="420"/>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项目联系人：</w:t>
      </w:r>
      <w:r>
        <w:rPr>
          <w:rFonts w:hint="eastAsia" w:ascii="宋体" w:hAnsi="宋体" w:cs="宋体"/>
          <w:szCs w:val="21"/>
          <w:highlight w:val="none"/>
          <w:lang w:eastAsia="zh-CN"/>
        </w:rPr>
        <w:t xml:space="preserve">沈燕、王琪</w:t>
      </w:r>
      <w:r>
        <w:rPr>
          <w:rFonts w:hint="eastAsia" w:ascii="宋体" w:hAnsi="宋体" w:eastAsia="宋体" w:cs="宋体"/>
          <w:szCs w:val="21"/>
          <w:highlight w:val="none"/>
          <w:lang w:eastAsia="zh-CN"/>
        </w:rPr>
      </w:r>
      <w:r/>
    </w:p>
    <w:p>
      <w:pPr>
        <w:pStyle w:val="1035"/>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电话：</w:t>
      </w:r>
      <w:r>
        <w:rPr>
          <w:rFonts w:ascii="宋体" w:hAnsi="宋体" w:cs="宋体"/>
          <w:szCs w:val="21"/>
          <w:highlight w:val="none"/>
        </w:rPr>
        <w:t xml:space="preserve">0512-67913588-6001</w:t>
      </w:r>
      <w:r>
        <w:rPr>
          <w:rFonts w:hint="eastAsia" w:ascii="宋体" w:hAnsi="宋体" w:cs="宋体"/>
          <w:szCs w:val="21"/>
          <w:highlight w:val="none"/>
        </w:rPr>
      </w:r>
      <w:r/>
    </w:p>
    <w:p>
      <w:pPr>
        <w:pStyle w:val="1035"/>
        <w:jc w:val="center"/>
        <w:rPr>
          <w:rFonts w:ascii="宋体" w:hAnsi="宋体"/>
          <w:b/>
          <w:sz w:val="32"/>
          <w:szCs w:val="32"/>
          <w:highlight w:val="none"/>
        </w:rPr>
      </w:pPr>
      <w:r>
        <w:rPr>
          <w:highlight w:val="none"/>
        </w:rPr>
        <w:br w:type="page" w:clear="all"/>
      </w:r>
      <w:r>
        <w:rPr>
          <w:rFonts w:hint="eastAsia" w:ascii="宋体" w:hAnsi="宋体"/>
          <w:b/>
          <w:sz w:val="32"/>
          <w:szCs w:val="32"/>
          <w:highlight w:val="none"/>
        </w:rPr>
        <w:t xml:space="preserve">二、供应商须知</w:t>
      </w:r>
      <w:r>
        <w:rPr>
          <w:rFonts w:ascii="宋体" w:hAnsi="宋体"/>
          <w:b/>
          <w:sz w:val="32"/>
          <w:szCs w:val="32"/>
          <w:highlight w:val="none"/>
        </w:rPr>
      </w:r>
      <w:r/>
    </w:p>
    <w:p>
      <w:pPr>
        <w:pStyle w:val="1035"/>
        <w:jc w:val="center"/>
        <w:spacing w:line="360" w:lineRule="auto"/>
        <w:rPr>
          <w:rFonts w:ascii="宋体" w:hAnsi="宋体"/>
          <w:b/>
          <w:sz w:val="30"/>
          <w:szCs w:val="30"/>
          <w:highlight w:val="none"/>
        </w:rPr>
      </w:pPr>
      <w:r>
        <w:rPr>
          <w:rFonts w:hint="eastAsia" w:ascii="宋体" w:hAnsi="宋体"/>
          <w:b/>
          <w:sz w:val="30"/>
          <w:szCs w:val="30"/>
          <w:highlight w:val="none"/>
        </w:rPr>
        <w:t xml:space="preserve">（一）总  则</w:t>
      </w:r>
      <w:r>
        <w:rPr>
          <w:rFonts w:ascii="宋体" w:hAnsi="宋体"/>
          <w:b/>
          <w:sz w:val="30"/>
          <w:szCs w:val="30"/>
          <w:highlight w:val="none"/>
        </w:rPr>
      </w:r>
      <w:r/>
    </w:p>
    <w:p>
      <w:pPr>
        <w:pStyle w:val="1035"/>
        <w:ind w:firstLine="422"/>
        <w:spacing w:line="360" w:lineRule="auto"/>
        <w:rPr>
          <w:rFonts w:ascii="宋体" w:hAnsi="宋体"/>
          <w:b/>
          <w:bCs/>
          <w:szCs w:val="21"/>
          <w:highlight w:val="none"/>
        </w:rPr>
      </w:pPr>
      <w:r>
        <w:rPr>
          <w:rFonts w:hint="eastAsia" w:ascii="宋体" w:hAnsi="宋体"/>
          <w:b/>
          <w:bCs/>
          <w:szCs w:val="21"/>
          <w:highlight w:val="none"/>
        </w:rPr>
        <w:t xml:space="preserve">1、本工程项目根据《招标投标法》、《中华人民共和国政府采购法》、《政府采购非招标采购方式管理办法》等有关规定，按照现行法律、法规和部门规章，通过竞争性磋商方式，选定承包人。</w:t>
      </w:r>
      <w:r>
        <w:rPr>
          <w:rFonts w:ascii="宋体" w:hAnsi="宋体"/>
          <w:b/>
          <w:bCs/>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2、现场条件：</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2.1施工现场平整情况：</w:t>
      </w:r>
      <w:r>
        <w:rPr>
          <w:rFonts w:hint="eastAsia" w:ascii="宋体" w:hAnsi="宋体"/>
          <w:szCs w:val="21"/>
          <w:highlight w:val="none"/>
          <w:u w:val="single"/>
        </w:rPr>
        <w:t xml:space="preserve">场地已平整</w:t>
      </w: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2.2场内外道路：</w:t>
      </w:r>
      <w:r>
        <w:rPr>
          <w:rFonts w:hint="eastAsia" w:ascii="宋体" w:hAnsi="宋体"/>
          <w:szCs w:val="21"/>
          <w:highlight w:val="none"/>
          <w:u w:val="single"/>
        </w:rPr>
        <w:t xml:space="preserve">原有现状</w:t>
      </w: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2.3施工用水电：</w:t>
      </w:r>
      <w:r>
        <w:rPr>
          <w:rFonts w:hint="eastAsia" w:ascii="宋体" w:hAnsi="宋体" w:cs="宋体"/>
          <w:szCs w:val="21"/>
          <w:highlight w:val="none"/>
          <w:u w:val="single"/>
        </w:rPr>
        <w:t xml:space="preserve">自行解决，费用由承包商承担，考虑在报价中</w:t>
      </w:r>
      <w:r>
        <w:rPr>
          <w:rFonts w:hint="eastAsia" w:ascii="宋体" w:hAnsi="宋体"/>
          <w:szCs w:val="21"/>
          <w:highlight w:val="none"/>
        </w:rPr>
        <w:t xml:space="preserve">。</w:t>
      </w:r>
      <w:r>
        <w:rPr>
          <w:rFonts w:ascii="宋体" w:hAnsi="宋体"/>
          <w:szCs w:val="21"/>
          <w:highlight w:val="none"/>
        </w:rPr>
      </w:r>
      <w:r/>
    </w:p>
    <w:p>
      <w:pPr>
        <w:pStyle w:val="1035"/>
        <w:ind w:firstLine="415"/>
        <w:jc w:val="left"/>
        <w:spacing w:line="360" w:lineRule="auto"/>
        <w:rPr>
          <w:rFonts w:ascii="宋体" w:hAnsi="宋体"/>
          <w:b/>
          <w:bCs/>
          <w:szCs w:val="21"/>
          <w:highlight w:val="none"/>
        </w:rPr>
      </w:pPr>
      <w:r>
        <w:rPr>
          <w:rFonts w:hint="eastAsia" w:ascii="宋体" w:hAnsi="宋体"/>
          <w:b/>
          <w:bCs/>
          <w:szCs w:val="21"/>
          <w:highlight w:val="none"/>
        </w:rPr>
        <w:t xml:space="preserve">3、发包范围:</w:t>
      </w:r>
      <w:r>
        <w:rPr>
          <w:rFonts w:ascii="宋体" w:hAnsi="宋体"/>
          <w:b/>
          <w:bCs/>
          <w:szCs w:val="21"/>
          <w:highlight w:val="none"/>
        </w:rPr>
      </w:r>
      <w:r/>
    </w:p>
    <w:p>
      <w:pPr>
        <w:pStyle w:val="1035"/>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春申湖路隔音设施安装建设一期，</w:t>
      </w:r>
      <w:r>
        <w:rPr>
          <w:rFonts w:hint="eastAsia" w:ascii="宋体" w:hAnsi="宋体" w:cs="宋体"/>
          <w:szCs w:val="21"/>
          <w:highlight w:val="none"/>
        </w:rPr>
        <w:t xml:space="preserve">具体内容详见工程量清单</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ascii="宋体" w:hAnsi="宋体"/>
          <w:b/>
          <w:bCs/>
          <w:szCs w:val="21"/>
          <w:highlight w:val="none"/>
        </w:rPr>
      </w:pPr>
      <w:r>
        <w:rPr>
          <w:rFonts w:hint="eastAsia" w:ascii="宋体" w:hAnsi="宋体"/>
          <w:b/>
          <w:bCs/>
          <w:szCs w:val="21"/>
          <w:highlight w:val="none"/>
        </w:rPr>
        <w:t xml:space="preserve">4、工期要求</w:t>
      </w:r>
      <w:r>
        <w:rPr>
          <w:rFonts w:hint="eastAsia" w:ascii="宋体" w:hAnsi="宋体" w:eastAsia="宋体" w:cs="Times New Roman"/>
          <w:b/>
          <w:bCs/>
          <w:szCs w:val="21"/>
          <w:highlight w:val="none"/>
        </w:rPr>
        <w:t xml:space="preserve">：</w:t>
      </w:r>
      <w:r>
        <w:rPr>
          <w:rFonts w:hint="eastAsia" w:ascii="宋体" w:hAnsi="宋体" w:eastAsia="宋体" w:cs="Times New Roman"/>
          <w:b/>
          <w:bCs/>
          <w:szCs w:val="21"/>
          <w:highlight w:val="none"/>
          <w:lang w:val="en-US" w:eastAsia="zh-CN"/>
        </w:rPr>
        <w:t xml:space="preserve">93</w:t>
      </w:r>
      <w:r>
        <w:rPr>
          <w:rFonts w:hint="eastAsia" w:ascii="宋体" w:hAnsi="宋体" w:eastAsia="宋体" w:cs="Times New Roman"/>
          <w:b/>
          <w:bCs/>
          <w:szCs w:val="21"/>
          <w:highlight w:val="none"/>
        </w:rPr>
        <w:t xml:space="preserve">日历天。</w:t>
      </w:r>
      <w:r>
        <w:rPr>
          <w:rFonts w:ascii="宋体" w:hAnsi="宋体"/>
          <w:b/>
          <w:bCs/>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5、质量要求：</w:t>
      </w:r>
      <w:r>
        <w:rPr>
          <w:rFonts w:hint="eastAsia" w:ascii="宋体" w:hAnsi="宋体"/>
          <w:bCs/>
          <w:szCs w:val="21"/>
          <w:highlight w:val="none"/>
          <w:u w:val="single"/>
        </w:rPr>
        <w:t xml:space="preserve">合格</w:t>
      </w:r>
      <w:r>
        <w:rPr>
          <w:rFonts w:hint="eastAsia" w:ascii="宋体" w:hAnsi="宋体"/>
          <w:bCs/>
          <w:szCs w:val="21"/>
          <w:highlight w:val="none"/>
        </w:rPr>
        <w:t xml:space="preserve">。</w:t>
      </w:r>
      <w:r>
        <w:rPr>
          <w:rFonts w:ascii="宋体" w:hAnsi="宋体"/>
          <w:b/>
          <w:bCs/>
          <w:szCs w:val="21"/>
          <w:highlight w:val="none"/>
        </w:rPr>
      </w:r>
      <w:r/>
    </w:p>
    <w:p>
      <w:pPr>
        <w:pStyle w:val="1035"/>
        <w:ind w:firstLine="422"/>
        <w:jc w:val="left"/>
        <w:spacing w:line="360" w:lineRule="auto"/>
        <w:rPr>
          <w:rFonts w:ascii="宋体" w:hAnsi="宋体"/>
          <w:szCs w:val="21"/>
          <w:highlight w:val="none"/>
        </w:rPr>
      </w:pPr>
      <w:r>
        <w:rPr>
          <w:rFonts w:hint="eastAsia" w:ascii="宋体" w:hAnsi="宋体"/>
          <w:b/>
          <w:bCs/>
          <w:szCs w:val="21"/>
          <w:highlight w:val="none"/>
        </w:rPr>
        <w:t xml:space="preserve">6、磋商响应单位资格要求</w:t>
      </w:r>
      <w:r>
        <w:rPr>
          <w:rFonts w:ascii="宋体" w:hAnsi="宋体"/>
          <w:szCs w:val="21"/>
          <w:highlight w:val="none"/>
        </w:rPr>
      </w:r>
      <w:r/>
    </w:p>
    <w:p>
      <w:pPr>
        <w:pStyle w:val="1035"/>
        <w:ind w:firstLine="422"/>
        <w:spacing w:line="360" w:lineRule="auto"/>
        <w:rPr>
          <w:rFonts w:ascii="宋体" w:hAnsi="宋体"/>
          <w:b/>
          <w:szCs w:val="21"/>
          <w:highlight w:val="none"/>
        </w:rPr>
      </w:pPr>
      <w:r>
        <w:rPr>
          <w:rFonts w:hint="eastAsia" w:ascii="宋体" w:hAnsi="宋体"/>
          <w:b/>
          <w:szCs w:val="21"/>
          <w:highlight w:val="none"/>
        </w:rPr>
        <w:t xml:space="preserve">6.1供应商应当具备下列一般条件：</w:t>
      </w:r>
      <w:r>
        <w:rPr>
          <w:rFonts w:ascii="宋体" w:hAnsi="宋体"/>
          <w:b/>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6.1.1具有独立承担民事责任的能力；</w:t>
      </w:r>
      <w:r>
        <w:rPr>
          <w:rFonts w:ascii="宋体" w:hAnsi="宋体"/>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6.1.2具有良好的商业信誉和健全的财务会计制度；</w:t>
      </w:r>
      <w:r>
        <w:rPr>
          <w:rFonts w:ascii="宋体" w:hAnsi="宋体"/>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6.1.3具有履行合同所必需的设备和专业技术能力；</w:t>
      </w:r>
      <w:r>
        <w:rPr>
          <w:rFonts w:ascii="宋体" w:hAnsi="宋体"/>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6.1.4有依法缴纳税收和社会保障资金的良好记录；</w:t>
      </w:r>
      <w:r>
        <w:rPr>
          <w:rFonts w:ascii="宋体" w:hAnsi="宋体"/>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6.1.5参加政府采购活动近三年内，在经营活动中没有重大违法记录；</w:t>
      </w:r>
      <w:r>
        <w:rPr>
          <w:rFonts w:ascii="宋体" w:hAnsi="宋体"/>
          <w:bCs/>
          <w:szCs w:val="21"/>
          <w:highlight w:val="none"/>
        </w:rPr>
      </w:r>
      <w:r/>
    </w:p>
    <w:p>
      <w:pPr>
        <w:pStyle w:val="1035"/>
        <w:ind w:firstLine="420"/>
        <w:jc w:val="left"/>
        <w:spacing w:line="360" w:lineRule="auto"/>
        <w:rPr>
          <w:rFonts w:ascii="宋体" w:hAnsi="宋体"/>
          <w:b/>
          <w:bCs/>
          <w:szCs w:val="21"/>
          <w:highlight w:val="none"/>
        </w:rPr>
      </w:pPr>
      <w:r>
        <w:rPr>
          <w:rFonts w:hint="eastAsia" w:ascii="宋体" w:hAnsi="宋体"/>
          <w:bCs/>
          <w:szCs w:val="21"/>
          <w:highlight w:val="none"/>
        </w:rPr>
        <w:t xml:space="preserve">6.1.6法律、行政法规规定的其他条件。</w:t>
      </w:r>
      <w:r>
        <w:rPr>
          <w:rFonts w:ascii="宋体" w:hAnsi="宋体"/>
          <w:b/>
          <w:bCs/>
          <w:szCs w:val="21"/>
          <w:highlight w:val="none"/>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6.2、落实政府采购政策需满足的资格要求：</w:t>
      </w:r>
      <w:r>
        <w:rPr>
          <w:rFonts w:ascii="宋体" w:hAnsi="宋体"/>
          <w:bCs/>
          <w:szCs w:val="21"/>
          <w:highlight w:val="none"/>
        </w:rPr>
      </w:r>
      <w:r/>
    </w:p>
    <w:p>
      <w:pPr>
        <w:pStyle w:val="1035"/>
        <w:ind w:firstLine="420"/>
        <w:spacing w:line="360" w:lineRule="auto"/>
        <w:rPr>
          <w:rFonts w:ascii="宋体" w:hAnsi="宋体"/>
          <w:b/>
          <w:szCs w:val="21"/>
          <w:highlight w:val="none"/>
        </w:rPr>
      </w:pPr>
      <w:r>
        <w:rPr>
          <w:rFonts w:hint="eastAsia" w:ascii="宋体" w:hAnsi="宋体"/>
          <w:bCs/>
          <w:szCs w:val="21"/>
          <w:highlight w:val="none"/>
        </w:rPr>
        <w:t xml:space="preserve">根据《政府采购促进中小企业发展管理办法》的相关规定，本项目专门面向中小微企业，所属行业为</w:t>
      </w:r>
      <w:r>
        <w:rPr>
          <w:rFonts w:hint="eastAsia" w:ascii="宋体" w:hAnsi="宋体"/>
          <w:bCs/>
          <w:szCs w:val="21"/>
          <w:highlight w:val="none"/>
          <w:u w:val="single"/>
        </w:rPr>
        <w:t xml:space="preserve">建筑业</w:t>
      </w:r>
      <w:r>
        <w:rPr>
          <w:rFonts w:hint="eastAsia" w:ascii="宋体" w:hAnsi="宋体"/>
          <w:bCs/>
          <w:szCs w:val="21"/>
          <w:highlight w:val="none"/>
        </w:rPr>
        <w:t xml:space="preserve">，承接服务的供应商应为中小微企业或监狱企业或残疾人福利性单位。</w:t>
      </w:r>
      <w:r>
        <w:rPr>
          <w:rFonts w:ascii="宋体" w:hAnsi="宋体"/>
          <w:b/>
          <w:szCs w:val="21"/>
          <w:highlight w:val="none"/>
        </w:rPr>
      </w:r>
      <w:r/>
    </w:p>
    <w:p>
      <w:pPr>
        <w:pStyle w:val="1035"/>
        <w:ind w:firstLine="422"/>
        <w:spacing w:line="360" w:lineRule="auto"/>
        <w:rPr>
          <w:rFonts w:ascii="宋体" w:hAnsi="宋体"/>
          <w:bCs/>
          <w:szCs w:val="21"/>
          <w:highlight w:val="none"/>
        </w:rPr>
      </w:pPr>
      <w:r>
        <w:rPr>
          <w:rFonts w:hint="eastAsia" w:ascii="宋体" w:hAnsi="宋体"/>
          <w:b/>
          <w:szCs w:val="21"/>
          <w:highlight w:val="none"/>
        </w:rPr>
        <w:t xml:space="preserve">6.3供应商应当具备下列特殊条件：</w:t>
      </w:r>
      <w:r>
        <w:rPr>
          <w:rFonts w:ascii="宋体" w:hAnsi="宋体"/>
          <w:bCs/>
          <w:szCs w:val="21"/>
          <w:highlight w:val="none"/>
        </w:rPr>
      </w:r>
      <w:r/>
    </w:p>
    <w:p>
      <w:pPr>
        <w:pStyle w:val="1035"/>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6.3.1申请人资质类别和等级：</w:t>
      </w:r>
      <w:r>
        <w:rPr>
          <w:rFonts w:ascii="宋体" w:hAnsi="宋体" w:cs="宋体"/>
          <w:szCs w:val="21"/>
          <w:highlight w:val="none"/>
        </w:rPr>
      </w:r>
      <w:r/>
    </w:p>
    <w:p>
      <w:pPr>
        <w:pStyle w:val="1035"/>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（1）申请人资质类别和等级：</w:t>
      </w:r>
      <w:r>
        <w:rPr>
          <w:rFonts w:hint="eastAsia" w:ascii="宋体" w:hAnsi="宋体" w:cs="宋体"/>
          <w:b/>
          <w:szCs w:val="21"/>
          <w:highlight w:val="none"/>
        </w:rPr>
        <w:t xml:space="preserve">具备在有效期内的</w:t>
      </w:r>
      <w:r>
        <w:rPr>
          <w:rFonts w:hint="eastAsia" w:ascii="宋体" w:hAnsi="宋体" w:cs="宋体"/>
          <w:b/>
          <w:szCs w:val="21"/>
          <w:highlight w:val="none"/>
          <w:lang w:eastAsia="zh-CN"/>
        </w:rPr>
        <w:t xml:space="preserve">市政公用工程施工总承包叁级及以上资质</w:t>
      </w:r>
      <w:r>
        <w:rPr>
          <w:rFonts w:hint="eastAsia" w:ascii="宋体" w:hAnsi="宋体" w:cs="宋体"/>
          <w:b/>
          <w:szCs w:val="21"/>
          <w:highlight w:val="none"/>
        </w:rPr>
        <w:t xml:space="preserve">；同时具备有效的《安全生产许可证》</w:t>
      </w:r>
      <w:r>
        <w:rPr>
          <w:rFonts w:hint="eastAsia" w:ascii="宋体" w:hAnsi="宋体" w:cs="宋体"/>
          <w:b/>
          <w:szCs w:val="21"/>
          <w:highlight w:val="none"/>
          <w:lang w:eastAsia="zh-CN"/>
        </w:rPr>
        <w:t xml:space="preserve">；</w:t>
      </w:r>
      <w:r>
        <w:rPr>
          <w:rFonts w:hint="eastAsia" w:ascii="宋体" w:hAnsi="宋体" w:eastAsia="宋体" w:cs="宋体"/>
          <w:szCs w:val="21"/>
          <w:highlight w:val="none"/>
          <w:lang w:eastAsia="zh-CN"/>
        </w:rPr>
      </w:r>
      <w:r/>
    </w:p>
    <w:p>
      <w:pPr>
        <w:pStyle w:val="1035"/>
        <w:ind w:firstLine="420"/>
        <w:spacing w:line="360" w:lineRule="auto"/>
        <w:rPr>
          <w:rFonts w:hint="eastAsia" w:ascii="宋体" w:hAnsi="宋体" w:cs="Arial"/>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2</w:t>
      </w:r>
      <w:r>
        <w:rPr>
          <w:rFonts w:hint="eastAsia" w:ascii="宋体" w:hAnsi="宋体" w:cs="宋体"/>
          <w:szCs w:val="21"/>
          <w:highlight w:val="none"/>
        </w:rPr>
        <w:t xml:space="preserve">）拟选派项目经理资质等级：</w:t>
      </w:r>
      <w:r>
        <w:rPr>
          <w:rFonts w:hint="eastAsia" w:ascii="宋体" w:hAnsi="宋体" w:cs="宋体"/>
          <w:b/>
          <w:szCs w:val="21"/>
          <w:highlight w:val="none"/>
        </w:rPr>
        <w:t xml:space="preserve">具备</w:t>
      </w:r>
      <w:r>
        <w:rPr>
          <w:rFonts w:hint="eastAsia" w:ascii="宋体" w:hAnsi="宋体" w:cs="宋体"/>
          <w:b/>
          <w:szCs w:val="21"/>
          <w:highlight w:val="none"/>
          <w:lang w:eastAsia="zh-CN"/>
        </w:rPr>
        <w:t xml:space="preserve">市政公用工程专业</w:t>
      </w:r>
      <w:r>
        <w:rPr>
          <w:rFonts w:hint="eastAsia" w:ascii="宋体" w:hAnsi="宋体" w:cs="宋体"/>
          <w:b/>
          <w:szCs w:val="21"/>
          <w:highlight w:val="none"/>
        </w:rPr>
        <w:t xml:space="preserve">注册二级建造师及以上和《建筑施工企业项目负责人安全生产考核合格证书》（B证）。</w:t>
      </w:r>
      <w:r>
        <w:rPr>
          <w:rFonts w:hint="eastAsia" w:ascii="宋体" w:hAnsi="宋体" w:cs="Arial"/>
          <w:szCs w:val="21"/>
          <w:highlight w:val="none"/>
        </w:rPr>
      </w:r>
      <w:r/>
    </w:p>
    <w:p>
      <w:pPr>
        <w:pStyle w:val="1035"/>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6.3.</w:t>
      </w:r>
      <w:r>
        <w:rPr>
          <w:rFonts w:ascii="宋体" w:hAnsi="宋体" w:cs="宋体"/>
          <w:szCs w:val="21"/>
          <w:highlight w:val="none"/>
        </w:rPr>
        <w:t xml:space="preserve">2</w:t>
      </w:r>
      <w:r>
        <w:rPr>
          <w:rFonts w:hint="eastAsia" w:ascii="宋体" w:hAnsi="宋体" w:cs="宋体"/>
          <w:szCs w:val="21"/>
          <w:highlight w:val="none"/>
        </w:rPr>
        <w:t xml:space="preserve">根据政府采购法及相关法规，采购代理人将对供应商进行信用查询。对列入失信被执行人、重大税收违法案件当事人名单、政府采购严重违法失信行为记录名单的供应商，拒绝其参与政府采购活动。</w:t>
      </w:r>
      <w:r>
        <w:rPr>
          <w:rFonts w:ascii="宋体" w:hAnsi="宋体" w:cs="宋体"/>
          <w:szCs w:val="21"/>
          <w:highlight w:val="none"/>
        </w:rPr>
      </w:r>
      <w:r/>
    </w:p>
    <w:p>
      <w:pPr>
        <w:pStyle w:val="1105"/>
        <w:ind w:firstLine="420"/>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6.3.</w:t>
      </w:r>
      <w:r>
        <w:rPr>
          <w:rFonts w:ascii="宋体" w:hAnsi="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本项目不接受联合体。</w:t>
      </w:r>
      <w:r>
        <w:rPr>
          <w:rFonts w:ascii="宋体" w:hAnsi="宋体" w:cs="宋体"/>
          <w:sz w:val="21"/>
          <w:szCs w:val="21"/>
          <w:highlight w:val="none"/>
          <w:lang w:val="en-US" w:eastAsia="zh-CN"/>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7、磋商费用：</w:t>
      </w:r>
      <w:r>
        <w:rPr>
          <w:rFonts w:ascii="宋体" w:hAnsi="宋体"/>
          <w:b/>
          <w:bCs/>
          <w:szCs w:val="21"/>
          <w:highlight w:val="none"/>
        </w:rPr>
      </w:r>
      <w:r/>
    </w:p>
    <w:p>
      <w:pPr>
        <w:pStyle w:val="1035"/>
        <w:spacing w:line="360" w:lineRule="auto"/>
        <w:rPr>
          <w:rFonts w:ascii="宋体" w:hAnsi="宋体" w:cs="Arial"/>
          <w:szCs w:val="21"/>
          <w:highlight w:val="none"/>
        </w:rPr>
      </w:pPr>
      <w:r>
        <w:rPr>
          <w:rFonts w:hint="eastAsia" w:ascii="Times New Roman" w:hAnsi="Times New Roman"/>
          <w:szCs w:val="21"/>
          <w:highlight w:val="none"/>
        </w:rPr>
        <w:t xml:space="preserve">磋商供应商</w:t>
      </w:r>
      <w:r>
        <w:rPr>
          <w:rFonts w:ascii="Times New Roman" w:hAnsi="Times New Roman"/>
          <w:szCs w:val="21"/>
          <w:highlight w:val="none"/>
        </w:rPr>
        <w:t xml:space="preserve">承担其编制</w:t>
      </w:r>
      <w:r>
        <w:rPr>
          <w:rFonts w:hint="eastAsia" w:ascii="Times New Roman" w:hAnsi="Times New Roman"/>
          <w:szCs w:val="21"/>
          <w:highlight w:val="none"/>
        </w:rPr>
        <w:t xml:space="preserve">及递交磋商响应</w:t>
      </w:r>
      <w:r>
        <w:rPr>
          <w:rFonts w:ascii="Times New Roman" w:hAnsi="Times New Roman"/>
          <w:szCs w:val="21"/>
          <w:highlight w:val="none"/>
        </w:rPr>
        <w:t xml:space="preserve">文件的一切费用，无论结果如何，发包人对上述费用不负任何责任。</w:t>
      </w:r>
      <w:r>
        <w:rPr>
          <w:rFonts w:ascii="宋体" w:hAnsi="宋体" w:cs="Arial"/>
          <w:szCs w:val="21"/>
          <w:highlight w:val="none"/>
        </w:rPr>
      </w:r>
      <w:r/>
    </w:p>
    <w:p>
      <w:pPr>
        <w:pStyle w:val="1035"/>
        <w:jc w:val="center"/>
        <w:spacing w:line="276" w:lineRule="auto"/>
        <w:rPr>
          <w:rFonts w:ascii="宋体" w:hAnsi="宋体"/>
          <w:b/>
          <w:sz w:val="30"/>
          <w:szCs w:val="30"/>
          <w:highlight w:val="none"/>
        </w:rPr>
      </w:pPr>
      <w:r>
        <w:rPr>
          <w:rFonts w:ascii="宋体" w:hAnsi="宋体"/>
          <w:b/>
          <w:sz w:val="30"/>
          <w:szCs w:val="30"/>
          <w:highlight w:val="none"/>
        </w:rPr>
      </w:r>
      <w:r/>
    </w:p>
    <w:p>
      <w:pPr>
        <w:pStyle w:val="1035"/>
        <w:jc w:val="center"/>
        <w:spacing w:line="276" w:lineRule="auto"/>
        <w:rPr>
          <w:rFonts w:ascii="宋体" w:hAnsi="宋体"/>
          <w:b/>
          <w:szCs w:val="21"/>
          <w:highlight w:val="none"/>
        </w:rPr>
      </w:pPr>
      <w:r>
        <w:rPr>
          <w:rFonts w:hint="eastAsia" w:ascii="宋体" w:hAnsi="宋体"/>
          <w:b/>
          <w:sz w:val="30"/>
          <w:szCs w:val="30"/>
          <w:highlight w:val="none"/>
        </w:rPr>
        <w:t xml:space="preserve">（二）磋商采购文件</w:t>
      </w:r>
      <w:r>
        <w:rPr>
          <w:rFonts w:ascii="宋体" w:hAnsi="宋体"/>
          <w:b/>
          <w:szCs w:val="21"/>
          <w:highlight w:val="none"/>
        </w:rPr>
      </w:r>
      <w:r/>
    </w:p>
    <w:p>
      <w:pPr>
        <w:pStyle w:val="1035"/>
        <w:ind w:firstLine="422"/>
        <w:spacing w:line="360" w:lineRule="auto"/>
        <w:rPr>
          <w:rFonts w:ascii="宋体" w:hAnsi="宋体"/>
          <w:b/>
          <w:bCs/>
          <w:szCs w:val="21"/>
          <w:highlight w:val="none"/>
        </w:rPr>
      </w:pPr>
      <w:r>
        <w:rPr>
          <w:rFonts w:hint="eastAsia" w:ascii="宋体" w:hAnsi="宋体"/>
          <w:b/>
          <w:bCs/>
          <w:szCs w:val="21"/>
          <w:highlight w:val="none"/>
        </w:rPr>
        <w:t xml:space="preserve">8、</w:t>
      </w:r>
      <w:r>
        <w:rPr>
          <w:rFonts w:hint="eastAsia" w:ascii="宋体" w:hAnsi="宋体"/>
          <w:b/>
          <w:szCs w:val="21"/>
          <w:highlight w:val="none"/>
        </w:rPr>
        <w:t xml:space="preserve">磋商</w:t>
      </w:r>
      <w:r>
        <w:rPr>
          <w:rFonts w:hint="eastAsia" w:ascii="宋体" w:hAnsi="宋体"/>
          <w:b/>
          <w:bCs/>
          <w:szCs w:val="21"/>
          <w:highlight w:val="none"/>
        </w:rPr>
        <w:t xml:space="preserve">采购文件的组成</w:t>
      </w:r>
      <w:r>
        <w:rPr>
          <w:rFonts w:ascii="宋体" w:hAnsi="宋体"/>
          <w:b/>
          <w:bCs/>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8.1磋商采购文件包括下列内容：</w:t>
      </w:r>
      <w:r>
        <w:rPr>
          <w:rFonts w:ascii="宋体" w:hAnsi="宋体"/>
          <w:bCs/>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8.1.1竞争性磋商公告</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8.1.2磋商须知前附表</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8.1.3供应商须知</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8.1.4响应文件格式</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8.1.5磋商采购文件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8.1.6合同主要条款</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8.1.7技术要求、图纸（如有）</w:t>
      </w:r>
      <w:r>
        <w:rPr>
          <w:rFonts w:ascii="宋体" w:hAnsi="宋体"/>
          <w:szCs w:val="21"/>
          <w:highlight w:val="none"/>
        </w:rPr>
      </w:r>
      <w:r/>
    </w:p>
    <w:p>
      <w:pPr>
        <w:pStyle w:val="1035"/>
        <w:ind w:firstLine="420"/>
        <w:spacing w:line="360" w:lineRule="auto"/>
        <w:rPr>
          <w:rFonts w:ascii="Times New Roman" w:hAnsi="Times New Roman"/>
          <w:b/>
          <w:bCs/>
          <w:szCs w:val="24"/>
          <w:highlight w:val="none"/>
        </w:rPr>
      </w:pPr>
      <w:r>
        <w:rPr>
          <w:rFonts w:hint="eastAsia" w:ascii="宋体" w:hAnsi="宋体"/>
          <w:szCs w:val="21"/>
          <w:highlight w:val="none"/>
        </w:rPr>
        <w:t xml:space="preserve">8.1.8评审方法与评审标准</w:t>
      </w:r>
      <w:r>
        <w:rPr>
          <w:rFonts w:ascii="Times New Roman" w:hAnsi="Times New Roman"/>
          <w:b/>
          <w:bCs/>
          <w:szCs w:val="24"/>
          <w:highlight w:val="none"/>
        </w:rPr>
      </w:r>
      <w:r/>
    </w:p>
    <w:p>
      <w:pPr>
        <w:pStyle w:val="1035"/>
        <w:ind w:firstLine="422"/>
        <w:spacing w:line="360" w:lineRule="auto"/>
        <w:rPr>
          <w:rFonts w:ascii="宋体" w:hAnsi="宋体"/>
          <w:b/>
          <w:bCs/>
          <w:szCs w:val="21"/>
          <w:highlight w:val="none"/>
        </w:rPr>
      </w:pPr>
      <w:r>
        <w:rPr>
          <w:rFonts w:hint="eastAsia" w:ascii="宋体" w:hAnsi="宋体"/>
          <w:b/>
          <w:szCs w:val="21"/>
          <w:highlight w:val="none"/>
        </w:rPr>
        <w:t xml:space="preserve">9、磋商</w:t>
      </w:r>
      <w:r>
        <w:rPr>
          <w:rFonts w:hint="eastAsia" w:ascii="宋体" w:hAnsi="宋体"/>
          <w:b/>
          <w:bCs/>
          <w:szCs w:val="21"/>
          <w:highlight w:val="none"/>
        </w:rPr>
        <w:t xml:space="preserve">文件的澄清</w:t>
      </w:r>
      <w:r>
        <w:rPr>
          <w:rFonts w:ascii="宋体" w:hAnsi="宋体"/>
          <w:b/>
          <w:bCs/>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磋商小组要求供应商澄清、说明或者更正响应文件应当以书面形式做出。供应商的澄清、说明或者更正应当由其单位加盖电子公章。</w:t>
      </w:r>
      <w:r>
        <w:rPr>
          <w:rFonts w:ascii="宋体" w:hAnsi="宋体" w:cs="宋体"/>
          <w:szCs w:val="21"/>
          <w:highlight w:val="none"/>
        </w:rPr>
      </w:r>
      <w:r/>
    </w:p>
    <w:p>
      <w:pPr>
        <w:pStyle w:val="1035"/>
        <w:ind w:firstLine="422"/>
        <w:spacing w:line="360" w:lineRule="auto"/>
        <w:rPr>
          <w:rFonts w:ascii="宋体" w:hAnsi="宋体"/>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ascii="宋体" w:hAnsi="宋体"/>
          <w:szCs w:val="21"/>
          <w:highlight w:val="none"/>
        </w:rPr>
      </w:r>
      <w:r/>
    </w:p>
    <w:p>
      <w:pPr>
        <w:pStyle w:val="1035"/>
        <w:jc w:val="center"/>
        <w:spacing w:line="276" w:lineRule="auto"/>
        <w:rPr>
          <w:rFonts w:ascii="宋体" w:hAnsi="宋体"/>
          <w:b/>
          <w:sz w:val="32"/>
          <w:szCs w:val="32"/>
          <w:highlight w:val="none"/>
        </w:rPr>
      </w:pPr>
      <w:r>
        <w:rPr>
          <w:rFonts w:hint="eastAsia" w:ascii="宋体" w:hAnsi="宋体"/>
          <w:b/>
          <w:sz w:val="30"/>
          <w:szCs w:val="30"/>
          <w:highlight w:val="none"/>
        </w:rPr>
        <w:t xml:space="preserve">（三）磋商报价说明</w:t>
      </w:r>
      <w:r>
        <w:rPr>
          <w:rFonts w:ascii="宋体" w:hAnsi="宋体"/>
          <w:b/>
          <w:sz w:val="32"/>
          <w:szCs w:val="32"/>
          <w:highlight w:val="none"/>
        </w:rPr>
      </w:r>
      <w:r/>
    </w:p>
    <w:p>
      <w:pPr>
        <w:pStyle w:val="1035"/>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10、报价说明</w:t>
      </w:r>
      <w:r>
        <w:rPr>
          <w:rFonts w:ascii="宋体" w:hAnsi="宋体" w:cs="宋体"/>
          <w:b/>
          <w:bCs/>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投标报价应根据采购文件中的有关计价要求，并按照下列依据自主报价，但不得低于成本。</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(1)本磋商采购文件；</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(2)工程量清单编制依据（如有最新标准则以新标准为依据执行）：</w:t>
      </w:r>
      <w:r>
        <w:rPr>
          <w:rFonts w:ascii="宋体" w:hAnsi="宋体" w:cs="宋体"/>
          <w:szCs w:val="21"/>
          <w:highlight w:val="none"/>
        </w:rPr>
      </w:r>
      <w:r/>
    </w:p>
    <w:p>
      <w:pPr>
        <w:pStyle w:val="1035"/>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《建设工程工程量清单计价标准》（GB/T50500-2024）及其9本工程量计算</w:t>
      </w:r>
      <w:r>
        <w:rPr>
          <w:rFonts w:hint="eastAsia" w:ascii="宋体" w:hAnsi="宋体" w:eastAsia="宋体" w:cs="宋体"/>
          <w:szCs w:val="21"/>
          <w:highlight w:val="none"/>
          <w:lang w:val="en-US" w:eastAsia="zh-CN"/>
        </w:rPr>
        <w:t xml:space="preserve">标准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《江苏省市政工程消耗量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（2026年版）</w:t>
      </w:r>
      <w:r>
        <w:rPr>
          <w:rFonts w:hint="eastAsia" w:ascii="宋体" w:hAnsi="宋体" w:eastAsia="宋体" w:cs="宋体"/>
          <w:szCs w:val="21"/>
          <w:highlight w:val="none"/>
          <w:lang w:eastAsia="zh-CN"/>
        </w:rPr>
        <w:t xml:space="preserve">、《江苏省建筑与装饰工程消耗量》（2026年版）、</w:t>
      </w:r>
      <w:r>
        <w:rPr>
          <w:rFonts w:hint="eastAsia" w:ascii="宋体" w:hAnsi="宋体" w:eastAsia="宋体" w:cs="宋体"/>
          <w:szCs w:val="21"/>
          <w:highlight w:val="none"/>
        </w:rPr>
        <w:t xml:space="preserve">《江苏省建设工程费用参考》（2026年版）</w:t>
      </w:r>
      <w:r>
        <w:rPr>
          <w:rFonts w:hint="eastAsia" w:ascii="宋体" w:hAnsi="宋体" w:eastAsia="宋体" w:cs="宋体"/>
          <w:szCs w:val="21"/>
          <w:highlight w:val="none"/>
          <w:lang w:val="en-US" w:eastAsia="zh-CN"/>
        </w:rPr>
        <w:t xml:space="preserve">等以及</w:t>
      </w:r>
      <w:r>
        <w:rPr>
          <w:rFonts w:hint="eastAsia" w:ascii="宋体" w:hAnsi="宋体" w:eastAsia="宋体" w:cs="宋体"/>
          <w:szCs w:val="21"/>
          <w:highlight w:val="none"/>
        </w:rPr>
        <w:t xml:space="preserve">江苏省及苏州市建设行政主管部门发</w:t>
      </w:r>
      <w:r>
        <w:rPr>
          <w:rFonts w:hint="eastAsia" w:ascii="宋体" w:hAnsi="宋体" w:eastAsia="宋体" w:cs="宋体"/>
          <w:szCs w:val="21"/>
          <w:highlight w:val="none"/>
        </w:rPr>
        <w:t xml:space="preserve">布的最新相关文件规定。</w:t>
      </w:r>
      <w:r>
        <w:rPr>
          <w:rFonts w:hint="eastAsia" w:ascii="宋体" w:hAnsi="宋体" w:eastAsia="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(3)国家或省级、行业建设主管部门颁发的计价办法；</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(4)企业定额，国家或省级、行业建设主管部门颁发的计价定额；</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(5)磋商采购文件、招标采购工程量清单及其补充通知、答疑纪要；</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(6)建设工程设计文件及相关资料；</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(7)施工现场情况、工程特点及拟定的投标施工组织设计或施工方案；</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(8)与建设项目相关的标准、规范等技术资料；</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(9)市场价格信息或工程造价管理机构发布的工程造价信息；</w:t>
      </w:r>
      <w:r>
        <w:rPr>
          <w:rFonts w:ascii="宋体" w:hAnsi="宋体" w:cs="宋体"/>
          <w:szCs w:val="21"/>
          <w:highlight w:val="none"/>
        </w:rPr>
      </w:r>
      <w:r/>
    </w:p>
    <w:p>
      <w:pPr>
        <w:pStyle w:val="1035"/>
        <w:ind w:firstLine="420"/>
        <w:jc w:val="left"/>
        <w:spacing w:line="360" w:lineRule="auto"/>
        <w:rPr>
          <w:rFonts w:ascii="宋体" w:hAnsi="宋体" w:cs="宋体"/>
          <w:b/>
          <w:bCs/>
          <w:szCs w:val="21"/>
          <w:highlight w:val="none"/>
        </w:rPr>
      </w:pPr>
      <w:r>
        <w:rPr>
          <w:rFonts w:hint="eastAsia" w:ascii="宋体" w:hAnsi="宋体" w:cs="宋体"/>
          <w:szCs w:val="21"/>
          <w:highlight w:val="none"/>
        </w:rPr>
        <w:t xml:space="preserve">其他的相关资料。</w:t>
      </w:r>
      <w:r>
        <w:rPr>
          <w:rFonts w:ascii="宋体" w:hAnsi="宋体" w:cs="宋体"/>
          <w:b/>
          <w:bCs/>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11、计价方式：本工程项目采用下列第1种计价方式。</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11.1工程量清单计价方式</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11.2计价表计价方式</w:t>
      </w:r>
      <w:r>
        <w:rPr>
          <w:rFonts w:ascii="宋体" w:hAnsi="宋体"/>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12、报价方式：本工程项目采用下列第2种报价方式。</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（1）固定总价报价。竞争报价人应充分考虑施工期间各类建材市场价格变化，政策性调整的风险，一旦经评审确定承包人，报价不作调整。</w:t>
      </w:r>
      <w:r>
        <w:rPr>
          <w:rFonts w:ascii="宋体" w:hAnsi="宋体"/>
          <w:szCs w:val="21"/>
          <w:highlight w:val="none"/>
        </w:rPr>
      </w:r>
      <w:r/>
    </w:p>
    <w:p>
      <w:pPr>
        <w:pStyle w:val="1035"/>
        <w:ind w:firstLine="420"/>
        <w:jc w:val="left"/>
        <w:spacing w:line="360" w:lineRule="auto"/>
        <w:rPr>
          <w:rFonts w:ascii="宋体" w:hAnsi="宋体"/>
          <w:b/>
          <w:szCs w:val="21"/>
          <w:highlight w:val="none"/>
        </w:rPr>
      </w:pPr>
      <w:r>
        <w:rPr>
          <w:rFonts w:hint="eastAsia" w:ascii="宋体" w:hAnsi="宋体"/>
          <w:szCs w:val="21"/>
          <w:highlight w:val="none"/>
        </w:rPr>
        <w:t xml:space="preserve">（2）</w:t>
      </w:r>
      <w:r>
        <w:rPr>
          <w:rFonts w:hint="eastAsia" w:ascii="宋体" w:hAnsi="宋体"/>
          <w:b/>
          <w:szCs w:val="21"/>
          <w:highlight w:val="none"/>
        </w:rPr>
        <w:t xml:space="preserve">固定单价报价。具体调整办法可如下：</w:t>
      </w:r>
      <w:r>
        <w:rPr>
          <w:rFonts w:ascii="宋体" w:hAnsi="宋体"/>
          <w:b/>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①供应商报价时，必须按采购人提供的统一的工程量清单报价。成交后，本工程工程量清单各子目综合单价的确定方式为:以供应商一次报价清单各子目综合单价为基准，按其成交价与一次报价相比的下(上)浮系数同比例下(上)浮，下(上)浮系数=成交价/一次报价。</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②在政府采购合同履行中，采购人需追加与合同标的相同的货物、工程或者服务的，在不改变合同其他条款的前提下，可以与供应商协商签订补充合同，但所有补充合同仅限于追加与合同标的相同的工程量且变更采购金额不得超过原合同采购金额的百分之十。在对于招标中未明确的事项费用不予增加。</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rPr>
          <w:rFonts w:ascii="宋体" w:hAnsi="宋体"/>
          <w:szCs w:val="21"/>
          <w:highlight w:val="none"/>
        </w:rPr>
      </w:r>
      <w:r/>
    </w:p>
    <w:p>
      <w:pPr>
        <w:pStyle w:val="1124"/>
        <w:rPr>
          <w:rFonts w:hint="eastAsia"/>
          <w:highlight w:val="none"/>
          <w:lang w:val="en-US" w:eastAsia="zh-CN"/>
        </w:rPr>
      </w:pPr>
      <w:r>
        <w:rPr>
          <w:rFonts w:hint="eastAsia"/>
          <w:highlight w:val="none"/>
          <w:lang w:val="en-US" w:eastAsia="zh-CN"/>
        </w:rPr>
        <w:t xml:space="preserve">注：本项目报价包括完成该项目所需的全部人工费、材料费、机械费、检测、检验、管理费、利润、工程风险、税金，以及所需的施工准备、施工过程、缺陷责任期等所需的供货、运输、运杂保险、装卸、备品、备件、损耗、安装、调试、人员培训、售后服务、专利技术、履约验收等一切费用。</w:t>
      </w:r>
      <w:r>
        <w:rPr>
          <w:rFonts w:hint="eastAsia"/>
          <w:highlight w:val="none"/>
          <w:lang w:val="en-US" w:eastAsia="zh-CN"/>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3</w:t>
      </w:r>
      <w:r>
        <w:rPr>
          <w:rFonts w:hint="eastAsia" w:ascii="宋体" w:hAnsi="宋体"/>
          <w:bCs/>
          <w:szCs w:val="21"/>
          <w:highlight w:val="none"/>
        </w:rPr>
        <w:t xml:space="preserve">、计价格式中列明的所有需要填报的单价和合价，磋商响应单位均需填报，未填报的单价和合价，视为此项费用已包含在工程量清单的其他单价和合价中。</w:t>
      </w:r>
      <w:r>
        <w:rPr>
          <w:rFonts w:ascii="宋体" w:hAnsi="宋体"/>
          <w:bCs/>
          <w:szCs w:val="21"/>
          <w:highlight w:val="none"/>
        </w:rPr>
      </w:r>
      <w:r/>
    </w:p>
    <w:p>
      <w:pPr>
        <w:pStyle w:val="1035"/>
        <w:ind w:firstLine="480"/>
        <w:spacing w:line="351"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4</w:t>
      </w:r>
      <w:r>
        <w:rPr>
          <w:rFonts w:hint="eastAsia" w:ascii="宋体" w:hAnsi="宋体"/>
          <w:bCs/>
          <w:szCs w:val="21"/>
          <w:highlight w:val="none"/>
        </w:rPr>
        <w:t xml:space="preserve">、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rPr>
          <w:rFonts w:ascii="宋体" w:hAnsi="宋体"/>
          <w:bCs/>
          <w:szCs w:val="21"/>
          <w:highlight w:val="none"/>
        </w:rPr>
      </w:r>
      <w:r/>
    </w:p>
    <w:p>
      <w:pPr>
        <w:pStyle w:val="1035"/>
        <w:ind w:firstLine="420"/>
        <w:jc w:val="left"/>
        <w:spacing w:line="360" w:lineRule="auto"/>
        <w:rPr>
          <w:rFonts w:ascii="宋体" w:hAnsi="宋体"/>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5</w:t>
      </w:r>
      <w:r>
        <w:rPr>
          <w:rFonts w:hint="eastAsia" w:ascii="宋体" w:hAnsi="宋体"/>
          <w:bCs/>
          <w:szCs w:val="21"/>
          <w:highlight w:val="none"/>
        </w:rPr>
        <w:t xml:space="preserve">、服务费：</w:t>
      </w:r>
      <w:r>
        <w:rPr>
          <w:rFonts w:hint="eastAsia" w:ascii="宋体" w:hAnsi="宋体"/>
          <w:highlight w:val="none"/>
        </w:rPr>
        <w:t xml:space="preserve">本次招标项目中标服务费由</w:t>
      </w:r>
      <w:r>
        <w:rPr>
          <w:rFonts w:hint="eastAsia" w:ascii="宋体" w:hAnsi="宋体"/>
          <w:highlight w:val="none"/>
          <w:lang w:val="en-US" w:eastAsia="zh-CN"/>
        </w:rPr>
        <w:t xml:space="preserve">采购人</w:t>
      </w:r>
      <w:r>
        <w:rPr>
          <w:rFonts w:hint="eastAsia" w:ascii="宋体" w:hAnsi="宋体"/>
          <w:highlight w:val="none"/>
        </w:rPr>
        <w:t xml:space="preserve">支付</w:t>
      </w:r>
      <w:r>
        <w:rPr>
          <w:rFonts w:hint="eastAsia" w:ascii="宋体" w:hAnsi="宋体"/>
          <w:highlight w:val="none"/>
        </w:rPr>
        <w:t xml:space="preserve">。具体收费以如下比例按差额定率累进法进行计算：</w:t>
      </w:r>
      <w:r>
        <w:rPr>
          <w:rFonts w:ascii="宋体" w:hAnsi="宋体"/>
          <w:highlight w:val="none"/>
        </w:rPr>
      </w:r>
      <w:r/>
    </w:p>
    <w:p>
      <w:pPr>
        <w:pStyle w:val="1035"/>
        <w:ind w:firstLine="420"/>
        <w:spacing w:line="360" w:lineRule="auto"/>
        <w:rPr>
          <w:rFonts w:hint="eastAsia" w:ascii="宋体" w:hAnsi="宋体" w:eastAsia="宋体" w:cs="Arial"/>
          <w:szCs w:val="21"/>
          <w:highlight w:val="none"/>
        </w:rPr>
      </w:pPr>
      <w:r>
        <w:rPr>
          <w:rFonts w:hint="eastAsia" w:ascii="宋体" w:hAnsi="宋体" w:eastAsia="宋体" w:cs="Arial"/>
          <w:szCs w:val="21"/>
          <w:highlight w:val="none"/>
        </w:rPr>
        <w:t xml:space="preserve">收费标准：</w:t>
      </w:r>
      <w:r>
        <w:rPr>
          <w:rFonts w:ascii="宋体" w:hAnsi="宋体" w:eastAsia="宋体" w:cs="Times New Roman"/>
          <w:szCs w:val="21"/>
          <w:highlight w:val="none"/>
          <w:u w:val="single"/>
        </w:rPr>
        <w:t xml:space="preserve">按</w:t>
      </w:r>
      <w:r>
        <w:rPr>
          <w:rFonts w:hint="eastAsia" w:ascii="宋体" w:hAnsi="宋体" w:eastAsia="宋体" w:cs="Times New Roman"/>
          <w:szCs w:val="21"/>
          <w:highlight w:val="none"/>
          <w:u w:val="single"/>
          <w:lang w:val="en-US" w:eastAsia="zh-CN"/>
        </w:rPr>
        <w:t xml:space="preserve">成交</w:t>
      </w:r>
      <w:r>
        <w:rPr>
          <w:rFonts w:ascii="宋体" w:hAnsi="宋体" w:eastAsia="宋体" w:cs="Times New Roman"/>
          <w:szCs w:val="21"/>
          <w:highlight w:val="none"/>
          <w:u w:val="single"/>
        </w:rPr>
        <w:t xml:space="preserve">金额的如下比例支付，即100万元以内1</w:t>
      </w:r>
      <w:r>
        <w:rPr>
          <w:rFonts w:hint="eastAsia" w:ascii="宋体" w:hAnsi="宋体" w:eastAsia="宋体" w:cs="Times New Roman"/>
          <w:szCs w:val="21"/>
          <w:highlight w:val="none"/>
          <w:u w:val="single"/>
        </w:rPr>
        <w:t xml:space="preserve">.5</w:t>
      </w:r>
      <w:r>
        <w:rPr>
          <w:rFonts w:ascii="宋体" w:hAnsi="宋体" w:eastAsia="宋体" w:cs="Times New Roman"/>
          <w:szCs w:val="21"/>
          <w:highlight w:val="none"/>
          <w:u w:val="single"/>
        </w:rPr>
        <w:t xml:space="preserve">%、100～500万元</w:t>
      </w:r>
      <w:r>
        <w:rPr>
          <w:rFonts w:hint="eastAsia" w:ascii="宋体" w:hAnsi="宋体" w:eastAsia="宋体" w:cs="Times New Roman"/>
          <w:szCs w:val="21"/>
          <w:highlight w:val="none"/>
          <w:u w:val="single"/>
        </w:rPr>
        <w:t xml:space="preserve">1.1</w:t>
      </w:r>
      <w:r>
        <w:rPr>
          <w:rFonts w:ascii="宋体" w:hAnsi="宋体" w:eastAsia="宋体" w:cs="Times New Roman"/>
          <w:szCs w:val="21"/>
          <w:highlight w:val="none"/>
          <w:u w:val="single"/>
        </w:rPr>
        <w:t xml:space="preserve">%</w:t>
      </w:r>
      <w:r>
        <w:rPr>
          <w:rFonts w:hint="eastAsia" w:ascii="宋体" w:hAnsi="宋体" w:eastAsia="宋体" w:cs="Times New Roman"/>
          <w:szCs w:val="21"/>
          <w:highlight w:val="none"/>
          <w:u w:val="single"/>
        </w:rPr>
        <w:t xml:space="preserve">、5</w:t>
      </w:r>
      <w:r>
        <w:rPr>
          <w:rFonts w:ascii="宋体" w:hAnsi="宋体" w:eastAsia="宋体" w:cs="Times New Roman"/>
          <w:szCs w:val="21"/>
          <w:highlight w:val="none"/>
          <w:u w:val="single"/>
        </w:rPr>
        <w:t xml:space="preserve">00～</w:t>
      </w:r>
      <w:r>
        <w:rPr>
          <w:rFonts w:hint="eastAsia" w:ascii="宋体" w:hAnsi="宋体" w:eastAsia="宋体" w:cs="Times New Roman"/>
          <w:szCs w:val="21"/>
          <w:highlight w:val="none"/>
          <w:u w:val="single"/>
        </w:rPr>
        <w:t xml:space="preserve">10</w:t>
      </w:r>
      <w:r>
        <w:rPr>
          <w:rFonts w:ascii="宋体" w:hAnsi="宋体" w:eastAsia="宋体" w:cs="Times New Roman"/>
          <w:szCs w:val="21"/>
          <w:highlight w:val="none"/>
          <w:u w:val="single"/>
        </w:rPr>
        <w:t xml:space="preserve">00万元0.</w:t>
      </w:r>
      <w:r>
        <w:rPr>
          <w:rFonts w:hint="eastAsia" w:ascii="宋体" w:hAnsi="宋体" w:eastAsia="宋体" w:cs="Times New Roman"/>
          <w:szCs w:val="21"/>
          <w:highlight w:val="none"/>
          <w:u w:val="single"/>
        </w:rPr>
        <w:t xml:space="preserve">8</w:t>
      </w:r>
      <w:r>
        <w:rPr>
          <w:rFonts w:ascii="宋体" w:hAnsi="宋体" w:eastAsia="宋体" w:cs="Times New Roman"/>
          <w:szCs w:val="21"/>
          <w:highlight w:val="none"/>
          <w:u w:val="single"/>
        </w:rPr>
        <w:t xml:space="preserve">%</w:t>
      </w:r>
      <w:r>
        <w:rPr>
          <w:rFonts w:hint="eastAsia" w:ascii="宋体" w:hAnsi="宋体" w:eastAsia="宋体" w:cs="Times New Roman"/>
          <w:szCs w:val="21"/>
          <w:highlight w:val="none"/>
          <w:u w:val="single"/>
        </w:rPr>
        <w:t xml:space="preserve">，按</w:t>
      </w:r>
      <w:r>
        <w:rPr>
          <w:rFonts w:ascii="宋体" w:hAnsi="宋体" w:eastAsia="宋体" w:cs="Times New Roman"/>
          <w:szCs w:val="21"/>
          <w:highlight w:val="none"/>
          <w:u w:val="single"/>
        </w:rPr>
        <w:t xml:space="preserve">差额定率累进法</w:t>
      </w:r>
      <w:r>
        <w:rPr>
          <w:rFonts w:hint="eastAsia" w:ascii="宋体" w:hAnsi="宋体" w:eastAsia="宋体" w:cs="Times New Roman"/>
          <w:szCs w:val="21"/>
          <w:highlight w:val="none"/>
          <w:u w:val="single"/>
          <w:lang w:eastAsia="zh-CN"/>
        </w:rPr>
        <w:t xml:space="preserve">的</w:t>
      </w:r>
      <w:r>
        <w:rPr>
          <w:rFonts w:hint="eastAsia" w:ascii="宋体" w:hAnsi="宋体" w:eastAsia="宋体" w:cs="Times New Roman"/>
          <w:szCs w:val="21"/>
          <w:highlight w:val="none"/>
          <w:u w:val="single"/>
          <w:lang w:val="en-US" w:eastAsia="zh-CN"/>
        </w:rPr>
        <w:t xml:space="preserve">70%</w:t>
      </w:r>
      <w:r>
        <w:rPr>
          <w:rFonts w:ascii="宋体" w:hAnsi="宋体" w:eastAsia="宋体" w:cs="Times New Roman"/>
          <w:szCs w:val="21"/>
          <w:highlight w:val="none"/>
          <w:u w:val="single"/>
        </w:rPr>
        <w:t xml:space="preserve">计算并支付中标服务费</w:t>
      </w:r>
      <w:r>
        <w:rPr>
          <w:rFonts w:hint="eastAsia" w:ascii="宋体" w:hAnsi="宋体" w:eastAsia="宋体" w:cs="Arial"/>
          <w:szCs w:val="21"/>
          <w:highlight w:val="none"/>
          <w:u w:val="single"/>
        </w:rPr>
        <w:t xml:space="preserve">，中标服务费低于</w:t>
      </w:r>
      <w:r>
        <w:rPr>
          <w:rFonts w:hint="eastAsia" w:ascii="宋体" w:hAnsi="宋体" w:eastAsia="宋体" w:cs="Arial"/>
          <w:szCs w:val="21"/>
          <w:highlight w:val="none"/>
          <w:u w:val="single"/>
          <w:lang w:val="en-US" w:eastAsia="zh-CN"/>
        </w:rPr>
        <w:t xml:space="preserve">3</w:t>
      </w:r>
      <w:r>
        <w:rPr>
          <w:rFonts w:ascii="宋体" w:hAnsi="宋体" w:eastAsia="宋体" w:cs="Arial"/>
          <w:szCs w:val="21"/>
          <w:highlight w:val="none"/>
          <w:u w:val="single"/>
        </w:rPr>
        <w:t xml:space="preserve">0</w:t>
      </w:r>
      <w:r>
        <w:rPr>
          <w:rFonts w:hint="eastAsia" w:ascii="宋体" w:hAnsi="宋体" w:eastAsia="宋体" w:cs="Arial"/>
          <w:szCs w:val="21"/>
          <w:highlight w:val="none"/>
          <w:u w:val="single"/>
        </w:rPr>
        <w:t xml:space="preserve">00元的按</w:t>
      </w:r>
      <w:r>
        <w:rPr>
          <w:rFonts w:hint="eastAsia" w:ascii="宋体" w:hAnsi="宋体" w:eastAsia="宋体" w:cs="Arial"/>
          <w:szCs w:val="21"/>
          <w:highlight w:val="none"/>
          <w:u w:val="single"/>
          <w:lang w:val="en-US" w:eastAsia="zh-CN"/>
        </w:rPr>
        <w:t xml:space="preserve">3</w:t>
      </w:r>
      <w:r>
        <w:rPr>
          <w:rFonts w:ascii="宋体" w:hAnsi="宋体" w:eastAsia="宋体" w:cs="Arial"/>
          <w:szCs w:val="21"/>
          <w:highlight w:val="none"/>
          <w:u w:val="single"/>
        </w:rPr>
        <w:t xml:space="preserve">0</w:t>
      </w:r>
      <w:r>
        <w:rPr>
          <w:rFonts w:hint="eastAsia" w:ascii="宋体" w:hAnsi="宋体" w:eastAsia="宋体" w:cs="Arial"/>
          <w:szCs w:val="21"/>
          <w:highlight w:val="none"/>
          <w:u w:val="single"/>
        </w:rPr>
        <w:t xml:space="preserve">00计。</w:t>
      </w:r>
      <w:r>
        <w:rPr>
          <w:rFonts w:hint="eastAsia" w:ascii="宋体" w:hAnsi="宋体" w:eastAsia="宋体" w:cs="Arial"/>
          <w:szCs w:val="21"/>
          <w:highlight w:val="none"/>
        </w:rPr>
      </w:r>
      <w:r/>
    </w:p>
    <w:p>
      <w:pPr>
        <w:pStyle w:val="1035"/>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账 户 名：苏州公正建设咨询房地产评估有限公司新城分公司</w:t>
      </w:r>
      <w:r>
        <w:rPr>
          <w:rFonts w:hint="eastAsia" w:ascii="宋体" w:hAnsi="宋体" w:cs="宋体"/>
          <w:b/>
          <w:szCs w:val="21"/>
          <w:highlight w:val="none"/>
        </w:rPr>
      </w:r>
      <w:r/>
    </w:p>
    <w:p>
      <w:pPr>
        <w:pStyle w:val="1035"/>
        <w:ind w:firstLine="422"/>
        <w:spacing w:line="360" w:lineRule="auto"/>
        <w:tabs>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开户银行：平安银行苏州分行营业部      </w:t>
      </w:r>
      <w:r>
        <w:rPr>
          <w:rFonts w:ascii="宋体" w:hAnsi="宋体" w:cs="宋体"/>
          <w:b/>
          <w:szCs w:val="21"/>
          <w:highlight w:val="none"/>
        </w:rPr>
      </w:r>
      <w:r/>
    </w:p>
    <w:p>
      <w:pPr>
        <w:pStyle w:val="1035"/>
        <w:ind w:firstLine="422"/>
        <w:spacing w:line="360" w:lineRule="auto"/>
        <w:tabs>
          <w:tab w:val="left" w:pos="360" w:leader="none"/>
          <w:tab w:val="left" w:pos="540" w:leader="none"/>
        </w:tabs>
        <w:rPr>
          <w:rFonts w:ascii="宋体" w:hAnsi="宋体" w:cs="宋体"/>
          <w:b/>
          <w:szCs w:val="21"/>
          <w:highlight w:val="none"/>
        </w:rPr>
      </w:pPr>
      <w:r>
        <w:rPr>
          <w:rFonts w:hint="eastAsia" w:ascii="宋体" w:hAnsi="宋体" w:cs="宋体"/>
          <w:b/>
          <w:szCs w:val="21"/>
          <w:highlight w:val="none"/>
        </w:rPr>
        <w:t xml:space="preserve">账    号：15946344870016</w:t>
      </w:r>
      <w:r>
        <w:rPr>
          <w:rFonts w:ascii="宋体" w:hAnsi="宋体" w:cs="宋体"/>
          <w:b/>
          <w:szCs w:val="21"/>
          <w:highlight w:val="none"/>
        </w:rPr>
        <w:t xml:space="preserve"> </w:t>
      </w:r>
      <w:r>
        <w:rPr>
          <w:rFonts w:ascii="宋体" w:hAnsi="宋体" w:cs="宋体"/>
          <w:b/>
          <w:szCs w:val="21"/>
          <w:highlight w:val="none"/>
        </w:rPr>
      </w:r>
      <w:r/>
    </w:p>
    <w:p>
      <w:pPr>
        <w:pStyle w:val="1035"/>
        <w:ind w:firstLine="420"/>
        <w:jc w:val="left"/>
        <w:spacing w:line="360" w:lineRule="auto"/>
        <w:rPr>
          <w:rFonts w:ascii="宋体" w:hAnsi="宋体"/>
          <w:bCs/>
          <w:szCs w:val="21"/>
          <w:highlight w:val="none"/>
        </w:rPr>
      </w:pPr>
      <w:r>
        <w:rPr>
          <w:rFonts w:ascii="宋体" w:hAnsi="宋体"/>
          <w:bCs/>
          <w:szCs w:val="21"/>
          <w:highlight w:val="none"/>
        </w:rPr>
      </w:r>
      <w:r/>
    </w:p>
    <w:p>
      <w:pPr>
        <w:pStyle w:val="1035"/>
        <w:jc w:val="center"/>
        <w:spacing w:line="276" w:lineRule="auto"/>
        <w:rPr>
          <w:rFonts w:ascii="宋体" w:hAnsi="宋体"/>
          <w:b/>
          <w:sz w:val="30"/>
          <w:szCs w:val="30"/>
          <w:highlight w:val="none"/>
        </w:rPr>
      </w:pPr>
      <w:r>
        <w:rPr>
          <w:rFonts w:hint="eastAsia" w:ascii="宋体" w:hAnsi="宋体"/>
          <w:b/>
          <w:sz w:val="30"/>
          <w:szCs w:val="30"/>
          <w:highlight w:val="none"/>
        </w:rPr>
        <w:t xml:space="preserve">（四）磋商响应文件</w:t>
      </w:r>
      <w:r>
        <w:rPr>
          <w:rFonts w:ascii="宋体" w:hAnsi="宋体"/>
          <w:b/>
          <w:sz w:val="30"/>
          <w:szCs w:val="30"/>
          <w:highlight w:val="none"/>
        </w:rPr>
      </w:r>
      <w:r/>
    </w:p>
    <w:p>
      <w:pPr>
        <w:pStyle w:val="1035"/>
        <w:ind w:firstLine="422"/>
        <w:spacing w:line="360" w:lineRule="auto"/>
        <w:rPr>
          <w:rFonts w:ascii="宋体" w:hAnsi="宋体"/>
          <w:b/>
          <w:bCs/>
          <w:szCs w:val="21"/>
          <w:highlight w:val="none"/>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6</w:t>
      </w:r>
      <w:r>
        <w:rPr>
          <w:rFonts w:hint="eastAsia" w:ascii="宋体" w:hAnsi="宋体"/>
          <w:b/>
          <w:bCs/>
          <w:szCs w:val="21"/>
          <w:highlight w:val="none"/>
        </w:rPr>
        <w:t xml:space="preserve">、磋商响应文件组成：（采购文件内格式与系统内格式不一致的，以系统内格式要求为准）</w:t>
      </w:r>
      <w:r>
        <w:rPr>
          <w:rFonts w:ascii="宋体" w:hAnsi="宋体"/>
          <w:b/>
          <w:bCs/>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（1）封面；</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（2）开标一览表；</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（3）资格审查响应文件：</w:t>
      </w:r>
      <w:r>
        <w:rPr>
          <w:rFonts w:ascii="宋体" w:hAnsi="宋体"/>
          <w:szCs w:val="21"/>
          <w:highlight w:val="none"/>
        </w:rPr>
      </w:r>
      <w:r/>
    </w:p>
    <w:p>
      <w:pPr>
        <w:pStyle w:val="1035"/>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3.1供应商有效的营业执照、资质证书、安全生产许可证原件扫描件；</w:t>
      </w:r>
      <w:r>
        <w:rPr>
          <w:rFonts w:ascii="宋体" w:hAnsi="宋体" w:cs="宋体"/>
          <w:bCs/>
          <w:szCs w:val="21"/>
          <w:highlight w:val="none"/>
          <w:lang w:val="zh-CN"/>
        </w:rPr>
      </w:r>
      <w:r/>
    </w:p>
    <w:p>
      <w:pPr>
        <w:pStyle w:val="1035"/>
        <w:ind w:firstLine="420"/>
        <w:spacing w:line="360" w:lineRule="auto"/>
        <w:rPr>
          <w:rFonts w:ascii="宋体" w:hAnsi="宋体" w:cs="宋体"/>
          <w:bCs/>
          <w:szCs w:val="21"/>
          <w:highlight w:val="none"/>
        </w:rPr>
      </w:pPr>
      <w:r>
        <w:rPr>
          <w:rFonts w:hint="eastAsia" w:ascii="宋体" w:hAnsi="宋体" w:cs="宋体"/>
          <w:bCs/>
          <w:szCs w:val="21"/>
          <w:highlight w:val="none"/>
        </w:rPr>
        <w:t xml:space="preserve">3.2项目经理身份证、注册证书、《安全生产考核合格证》（B类证）等相关资料原件扫描件；</w:t>
      </w:r>
      <w:r>
        <w:rPr>
          <w:rFonts w:ascii="宋体" w:hAnsi="宋体" w:cs="宋体"/>
          <w:bCs/>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bCs/>
          <w:szCs w:val="21"/>
          <w:highlight w:val="none"/>
        </w:rPr>
        <w:t xml:space="preserve">3.3项目经理无在建工程承诺书</w:t>
      </w:r>
      <w:r>
        <w:rPr>
          <w:rFonts w:hint="eastAsia" w:ascii="宋体" w:hAnsi="宋体" w:cs="宋体"/>
          <w:bCs/>
          <w:szCs w:val="21"/>
          <w:highlight w:val="none"/>
          <w:lang w:val="zh-CN"/>
        </w:rPr>
        <w:t xml:space="preserve">（格式见附件）；</w:t>
      </w:r>
      <w:r>
        <w:rPr>
          <w:rFonts w:ascii="宋体" w:hAnsi="宋体" w:cs="宋体"/>
          <w:szCs w:val="21"/>
          <w:highlight w:val="none"/>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3.4供应商</w:t>
      </w:r>
      <w:r>
        <w:rPr>
          <w:rFonts w:hint="eastAsia" w:ascii="宋体" w:hAnsi="宋体" w:cs="宋体"/>
          <w:szCs w:val="21"/>
          <w:highlight w:val="none"/>
          <w:lang w:val="zh-CN"/>
        </w:rPr>
        <w:t xml:space="preserve">满足条件的资格证明文件：</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①具有独立承担民事责任的能力证明；（包括法人或者其他组织的营业执照等证明文件，自然人的身份证明）</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②良好的商业信誉和健全的财务会计制度；（包括但不限于最近一期经审计的财务报告，其他组织、自然人及成立未满一年的法人应提供银行出具的资信证明）</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③具备履行合同所必需的设备和专业技术能力的证明材料；（具备履行合同的相关设备、人员等证明材料）</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ascii="宋体" w:hAnsi="宋体" w:cs="宋体"/>
          <w:szCs w:val="21"/>
          <w:highlight w:val="none"/>
          <w:lang w:val="zh-CN"/>
        </w:rPr>
      </w:r>
      <w:r/>
    </w:p>
    <w:p>
      <w:pPr>
        <w:pStyle w:val="1035"/>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⑤</w:t>
      </w:r>
      <w:r>
        <w:rPr>
          <w:rFonts w:hint="eastAsia" w:ascii="宋体" w:hAnsi="宋体" w:cs="宋体"/>
          <w:sz w:val="21"/>
          <w:szCs w:val="21"/>
          <w:highlight w:val="none"/>
          <w:lang w:val="zh-CN"/>
        </w:rPr>
        <w:t xml:space="preserve">近三年内未被“信用中国”网站（www.creditchina.gov.cn）或“国家企业信用信息公示系统”网站（http://www.gsxt.gov.cn）或中国政府采购网（www.ccgp.gov.cn）列入失信被执行人、重大税收违法失信主体名单、政府采购严重违法失信行为记录名单、经营(活动)异常名录、严重失信主体名单等体现不良信用的记录（提供以上相关网站网页截图并加盖公章）。</w:t>
      </w:r>
      <w:r>
        <w:rPr>
          <w:rFonts w:ascii="宋体" w:hAnsi="宋体" w:cs="宋体"/>
          <w:szCs w:val="21"/>
          <w:highlight w:val="none"/>
          <w:lang w:val="zh-CN"/>
        </w:rPr>
      </w:r>
      <w:r/>
    </w:p>
    <w:p>
      <w:pPr>
        <w:pStyle w:val="1035"/>
        <w:ind w:firstLine="422"/>
        <w:spacing w:line="360" w:lineRule="auto"/>
        <w:rPr>
          <w:rFonts w:ascii="宋体" w:hAnsi="宋体"/>
          <w:szCs w:val="21"/>
          <w:highlight w:val="none"/>
        </w:rPr>
      </w:pPr>
      <w:r>
        <w:rPr>
          <w:rFonts w:hint="eastAsia" w:ascii="宋体" w:hAnsi="宋体" w:cs="宋体"/>
          <w:b/>
          <w:szCs w:val="21"/>
          <w:highlight w:val="none"/>
          <w:lang w:val="zh-CN"/>
        </w:rPr>
        <w:t xml:space="preserve">3.</w:t>
      </w:r>
      <w:r>
        <w:rPr>
          <w:rFonts w:hint="eastAsia" w:ascii="宋体" w:hAnsi="宋体" w:cs="宋体"/>
          <w:b/>
          <w:szCs w:val="21"/>
          <w:highlight w:val="none"/>
        </w:rPr>
        <w:t xml:space="preserve">5</w:t>
      </w:r>
      <w:r>
        <w:rPr>
          <w:rFonts w:hint="eastAsia" w:ascii="宋体" w:hAnsi="宋体" w:cs="宋体"/>
          <w:b/>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highlight w:val="none"/>
        </w:rPr>
        <w:t xml:space="preserve">相关证明材料扫描件</w:t>
      </w:r>
      <w:r>
        <w:rPr>
          <w:rFonts w:hint="eastAsia" w:ascii="宋体" w:hAnsi="宋体" w:cs="宋体"/>
          <w:b/>
          <w:szCs w:val="21"/>
          <w:highlight w:val="none"/>
          <w:lang w:val="zh-CN"/>
        </w:rPr>
        <w:t xml:space="preserve">（</w:t>
      </w:r>
      <w:r>
        <w:rPr>
          <w:rFonts w:hint="eastAsia" w:ascii="宋体" w:hAnsi="宋体" w:cs="宋体"/>
          <w:b/>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highlight w:val="none"/>
          <w:lang w:val="zh-CN"/>
        </w:rPr>
        <w:t xml:space="preserve">）；</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3.6预算清单内产品在《节能产品政府采购清单》和《环境标志产品政府采购清单》中的产品须提供清单汇总（格式自拟）及对响应产品的</w:t>
      </w:r>
      <w:r>
        <w:rPr>
          <w:rFonts w:hint="eastAsia" w:ascii="宋体" w:hAnsi="宋体" w:cs="宋体"/>
          <w:szCs w:val="21"/>
          <w:highlight w:val="none"/>
        </w:rPr>
        <w:t xml:space="preserve">认证证书</w:t>
      </w:r>
      <w:r>
        <w:rPr>
          <w:rFonts w:hint="eastAsia" w:ascii="宋体" w:hAnsi="宋体"/>
          <w:szCs w:val="21"/>
          <w:highlight w:val="none"/>
        </w:rPr>
        <w:t xml:space="preserve">（如有）；</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（4）符合性审查响应文件：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4.1磋商响应单位法定代表人身份证扫描件（双面，须在有效期内）；</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4.2法定代表人授权委托书（如有授权）；</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4.3授权委托代理人身份证扫描件</w:t>
      </w:r>
      <w:r>
        <w:rPr>
          <w:rFonts w:hint="eastAsia" w:ascii="宋体" w:hAnsi="宋体"/>
          <w:szCs w:val="21"/>
          <w:highlight w:val="none"/>
          <w:lang w:val="en-US" w:eastAsia="zh-CN"/>
        </w:rPr>
        <w:t xml:space="preserve">及最近一期社保证明扫描件</w:t>
      </w:r>
      <w:r>
        <w:rPr>
          <w:rFonts w:hint="eastAsia" w:ascii="宋体" w:hAnsi="宋体"/>
          <w:szCs w:val="21"/>
          <w:highlight w:val="none"/>
        </w:rPr>
        <w:t xml:space="preserve">（如有授权）（双面，须在有效期内）；</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4.4磋商响应函（格式见附件）；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4.5工程量清单报价表（详见工程量清单格式，其附件请联系代理公司通过邮件发送）；</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6</w:t>
      </w:r>
      <w:r>
        <w:rPr>
          <w:rFonts w:hint="eastAsia" w:ascii="宋体" w:hAnsi="宋体"/>
          <w:szCs w:val="21"/>
          <w:highlight w:val="none"/>
        </w:rPr>
        <w:t xml:space="preserve">响应保证承诺书（格式见附件）；</w:t>
      </w:r>
      <w:r>
        <w:rPr>
          <w:rFonts w:ascii="宋体" w:hAnsi="宋体"/>
          <w:szCs w:val="21"/>
          <w:highlight w:val="none"/>
        </w:rPr>
      </w:r>
      <w:r/>
    </w:p>
    <w:p>
      <w:pPr>
        <w:pStyle w:val="1124"/>
        <w:rPr>
          <w:rFonts w:hint="eastAsia"/>
          <w:highlight w:val="none"/>
          <w:lang w:val="en-US" w:eastAsia="zh-CN"/>
        </w:rPr>
      </w:pPr>
      <w:r>
        <w:rPr>
          <w:rFonts w:hint="eastAsia"/>
          <w:highlight w:val="none"/>
          <w:lang w:val="en-US" w:eastAsia="zh-CN"/>
        </w:rPr>
        <w:t xml:space="preserve">4</w:t>
      </w:r>
      <w:r>
        <w:rPr>
          <w:highlight w:val="none"/>
          <w:lang w:val="en-US" w:eastAsia="zh-CN"/>
        </w:rPr>
        <w:t xml:space="preserve">.7</w:t>
      </w:r>
      <w:r>
        <w:rPr>
          <w:rFonts w:hint="eastAsia"/>
          <w:highlight w:val="none"/>
          <w:lang w:val="en-US" w:eastAsia="zh-CN"/>
        </w:rPr>
        <w:t xml:space="preserve">商务要求偏离表、服务（技术）要求偏离表；</w:t>
      </w:r>
      <w:r>
        <w:rPr>
          <w:rFonts w:hint="eastAsia"/>
          <w:highlight w:val="none"/>
          <w:lang w:val="en-US" w:eastAsia="zh-CN"/>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8</w:t>
      </w:r>
      <w:r>
        <w:rPr>
          <w:rFonts w:hint="eastAsia" w:ascii="宋体" w:hAnsi="宋体"/>
          <w:szCs w:val="21"/>
          <w:highlight w:val="none"/>
        </w:rPr>
        <w:t xml:space="preserve">项目组人员一览表、投入专用设施设备清单（格式自拟）；</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9</w:t>
      </w:r>
      <w:r>
        <w:rPr>
          <w:rFonts w:hint="eastAsia" w:ascii="宋体" w:hAnsi="宋体"/>
          <w:szCs w:val="21"/>
          <w:highlight w:val="none"/>
        </w:rPr>
        <w:t xml:space="preserve">采购文件中所涉及到的其他材料。</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）综合评审响应文件：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5.1《企业类似业绩一览表》（格式见附件）；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5.2施工方案（自拟）；</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5.3采购文件中采购需求、附件格式及评分标准中所涉及到的其他材料如人员证书、获奖文件、荣誉证书等与本项目有关的其它资料。</w:t>
      </w:r>
      <w:r>
        <w:rPr>
          <w:rFonts w:ascii="宋体" w:hAnsi="宋体"/>
          <w:szCs w:val="21"/>
          <w:highlight w:val="none"/>
        </w:rPr>
      </w:r>
      <w:r/>
    </w:p>
    <w:p>
      <w:pPr>
        <w:pStyle w:val="1035"/>
        <w:ind w:firstLine="422"/>
        <w:spacing w:line="360" w:lineRule="auto"/>
        <w:rPr>
          <w:rFonts w:ascii="宋体" w:hAnsi="宋体" w:cs="宋体"/>
          <w:b/>
          <w:bCs/>
          <w:szCs w:val="21"/>
          <w:highlight w:val="none"/>
          <w:lang w:val="zh-CN"/>
        </w:rPr>
      </w:pPr>
      <w:r>
        <w:rPr>
          <w:rFonts w:hint="eastAsia" w:ascii="宋体" w:hAnsi="宋体" w:cs="宋体"/>
          <w:b/>
          <w:szCs w:val="21"/>
          <w:highlight w:val="none"/>
        </w:rPr>
        <w:t xml:space="preserve">注：</w:t>
      </w:r>
      <w:r>
        <w:rPr>
          <w:rFonts w:hint="eastAsia" w:ascii="宋体" w:hAnsi="宋体" w:cs="宋体"/>
          <w:b/>
          <w:bCs/>
          <w:szCs w:val="21"/>
          <w:highlight w:val="none"/>
          <w:lang w:val="zh-CN"/>
        </w:rPr>
        <w:t xml:space="preserve">（1）以上3.1-3.</w:t>
      </w:r>
      <w:r>
        <w:rPr>
          <w:rFonts w:hint="eastAsia" w:ascii="宋体" w:hAnsi="宋体" w:cs="宋体"/>
          <w:b/>
          <w:bCs/>
          <w:szCs w:val="21"/>
          <w:highlight w:val="none"/>
        </w:rPr>
        <w:t xml:space="preserve">5</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ascii="宋体" w:hAnsi="宋体" w:cs="宋体"/>
          <w:b/>
          <w:bCs/>
          <w:szCs w:val="21"/>
          <w:highlight w:val="none"/>
          <w:lang w:val="zh-CN"/>
        </w:rPr>
      </w:r>
      <w:r/>
    </w:p>
    <w:p>
      <w:pPr>
        <w:pStyle w:val="1035"/>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（2）以上4.1-4.</w:t>
      </w:r>
      <w:r>
        <w:rPr>
          <w:rFonts w:ascii="宋体" w:hAnsi="宋体" w:cs="宋体"/>
          <w:b/>
          <w:bCs/>
          <w:szCs w:val="21"/>
          <w:highlight w:val="none"/>
        </w:rPr>
        <w:t xml:space="preserve">7</w:t>
      </w:r>
      <w:r>
        <w:rPr>
          <w:rFonts w:hint="eastAsia" w:ascii="宋体" w:hAnsi="宋体" w:cs="宋体"/>
          <w:b/>
          <w:bCs/>
          <w:szCs w:val="21"/>
          <w:highlight w:val="none"/>
          <w:lang w:val="zh-CN"/>
        </w:rPr>
        <w:t xml:space="preserve">为符合性审查须提供的资料，响应供应商必须提供并加盖电子公章。否则，磋商响应文件将被认定为未实质性响应。</w:t>
      </w:r>
      <w:r>
        <w:rPr>
          <w:rFonts w:ascii="宋体" w:hAnsi="宋体" w:cs="宋体"/>
          <w:b/>
          <w:bCs/>
          <w:szCs w:val="21"/>
          <w:highlight w:val="none"/>
          <w:lang w:val="zh-CN"/>
        </w:rPr>
      </w:r>
      <w:r/>
    </w:p>
    <w:p>
      <w:pPr>
        <w:pStyle w:val="1035"/>
        <w:ind w:right="-161" w:firstLine="422"/>
        <w:spacing w:line="360" w:lineRule="auto"/>
        <w:rPr>
          <w:rFonts w:ascii="宋体" w:hAnsi="宋体"/>
          <w:szCs w:val="21"/>
          <w:highlight w:val="none"/>
          <w:u w:val="single"/>
        </w:rPr>
      </w:pPr>
      <w:r>
        <w:rPr>
          <w:rFonts w:hint="eastAsia" w:ascii="宋体" w:hAnsi="宋体" w:cs="宋体"/>
          <w:b/>
          <w:szCs w:val="21"/>
          <w:highlight w:val="none"/>
        </w:rPr>
        <w:t xml:space="preserve">（3）</w:t>
      </w:r>
      <w:r>
        <w:rPr>
          <w:rFonts w:hint="eastAsia" w:ascii="宋体" w:hAnsi="宋体" w:cs="宋体"/>
          <w:b/>
          <w:bCs/>
          <w:szCs w:val="21"/>
          <w:highlight w:val="none"/>
          <w:lang w:val="zh-CN"/>
        </w:rPr>
        <w:t xml:space="preserve">响应单位所提交的其它资料文件的完整与否，将直接影响磋商供应商的评分。</w:t>
      </w:r>
      <w:r>
        <w:rPr>
          <w:rFonts w:ascii="宋体" w:hAnsi="宋体"/>
          <w:szCs w:val="21"/>
          <w:highlight w:val="none"/>
          <w:u w:val="single"/>
        </w:rPr>
      </w:r>
      <w:r/>
    </w:p>
    <w:p>
      <w:pPr>
        <w:pStyle w:val="1035"/>
        <w:ind w:firstLine="420"/>
        <w:spacing w:line="360" w:lineRule="auto"/>
        <w:rPr>
          <w:rFonts w:ascii="宋体" w:hAnsi="宋体"/>
          <w:b/>
          <w:bCs/>
          <w:szCs w:val="21"/>
          <w:highlight w:val="none"/>
          <w:u w:val="none"/>
        </w:rPr>
      </w:pPr>
      <w:r>
        <w:rPr>
          <w:rFonts w:hint="eastAsia" w:ascii="宋体" w:hAnsi="宋体"/>
          <w:b/>
          <w:bCs/>
          <w:szCs w:val="21"/>
          <w:highlight w:val="none"/>
          <w:u w:val="none"/>
        </w:rPr>
        <w:t xml:space="preserve">1</w:t>
      </w:r>
      <w:r>
        <w:rPr>
          <w:rFonts w:hint="eastAsia" w:ascii="宋体" w:hAnsi="宋体"/>
          <w:b/>
          <w:bCs/>
          <w:szCs w:val="21"/>
          <w:highlight w:val="none"/>
          <w:u w:val="none"/>
          <w:lang w:val="en-US" w:eastAsia="zh-CN"/>
        </w:rPr>
        <w:t xml:space="preserve">7</w:t>
      </w:r>
      <w:r>
        <w:rPr>
          <w:rFonts w:hint="eastAsia" w:ascii="宋体" w:hAnsi="宋体"/>
          <w:b/>
          <w:bCs/>
          <w:szCs w:val="21"/>
          <w:highlight w:val="none"/>
          <w:u w:val="none"/>
        </w:rPr>
        <w:t xml:space="preserve">、电子化要求：</w:t>
      </w:r>
      <w:r>
        <w:rPr>
          <w:rFonts w:ascii="宋体" w:hAnsi="宋体"/>
          <w:b/>
          <w:bCs/>
          <w:szCs w:val="21"/>
          <w:highlight w:val="none"/>
          <w:u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.1电子投标准备：</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.2磋商响应文件编制要求：</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.3响应文件提交：</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.4开启：</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（1）地点：“苏采云”系统（网址：http://jszfcg.jsczt.cn/）。</w:t>
      </w:r>
      <w:r>
        <w:rPr>
          <w:rFonts w:ascii="宋体" w:hAnsi="宋体" w:cs="宋体"/>
          <w:szCs w:val="21"/>
          <w:highlight w:val="none"/>
        </w:rPr>
      </w:r>
      <w:r/>
    </w:p>
    <w:p>
      <w:pPr>
        <w:pStyle w:val="1035"/>
        <w:ind w:firstLine="420"/>
        <w:spacing w:line="360" w:lineRule="auto"/>
        <w:rPr>
          <w:rFonts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highlight w:val="none"/>
        </w:rPr>
      </w:r>
      <w:r/>
    </w:p>
    <w:p>
      <w:pPr>
        <w:pStyle w:val="1035"/>
        <w:ind w:firstLine="420"/>
        <w:spacing w:line="360" w:lineRule="auto"/>
        <w:rPr>
          <w:rFonts w:ascii="宋体" w:hAnsi="宋体"/>
          <w:b/>
          <w:szCs w:val="21"/>
          <w:highlight w:val="none"/>
          <w:u w:val="singl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ascii="宋体" w:hAnsi="宋体"/>
          <w:b/>
          <w:szCs w:val="21"/>
          <w:highlight w:val="none"/>
          <w:u w:val="singl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7</w:t>
      </w:r>
      <w:r>
        <w:rPr>
          <w:rFonts w:hint="eastAsia" w:ascii="宋体" w:hAnsi="宋体"/>
          <w:bCs/>
          <w:szCs w:val="21"/>
          <w:highlight w:val="none"/>
        </w:rPr>
        <w:t xml:space="preserve">.5本项目采用线上二次报价：</w:t>
      </w:r>
      <w:r>
        <w:rPr>
          <w:rFonts w:ascii="宋体" w:hAnsi="宋体"/>
          <w:bCs/>
          <w:szCs w:val="21"/>
          <w:highlight w:val="none"/>
        </w:rPr>
      </w:r>
      <w:r/>
    </w:p>
    <w:p>
      <w:pPr>
        <w:pStyle w:val="1035"/>
        <w:ind w:firstLine="422"/>
        <w:jc w:val="left"/>
        <w:spacing w:line="360" w:lineRule="auto"/>
        <w:rPr>
          <w:rFonts w:ascii="宋体" w:hAnsi="宋体"/>
          <w:szCs w:val="21"/>
          <w:highlight w:val="none"/>
        </w:rPr>
      </w:pPr>
      <w:r>
        <w:rPr>
          <w:rFonts w:hint="eastAsia" w:ascii="宋体" w:hAnsi="宋体"/>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szCs w:val="21"/>
          <w:highlight w:val="none"/>
        </w:rPr>
      </w:r>
      <w:r/>
    </w:p>
    <w:p>
      <w:pPr>
        <w:pStyle w:val="1035"/>
        <w:ind w:firstLine="422"/>
        <w:jc w:val="left"/>
        <w:spacing w:line="360" w:lineRule="auto"/>
        <w:rPr>
          <w:rFonts w:ascii="宋体" w:hAnsi="宋体"/>
          <w:szCs w:val="21"/>
          <w:highlight w:val="none"/>
        </w:rPr>
      </w:pPr>
      <w:r>
        <w:rPr>
          <w:rFonts w:hint="eastAsia" w:ascii="宋体" w:hAnsi="宋体"/>
          <w:szCs w:val="21"/>
          <w:highlight w:val="none"/>
        </w:rPr>
        <w:t xml:space="preserve">已提交响应文件的供应商，在提交最后报价之前，可以根据磋商情况退出磋商，并在“苏采云”系统中提交“退出磋商函”并加盖CA电子公章。</w:t>
      </w:r>
      <w:r>
        <w:rPr>
          <w:rFonts w:ascii="宋体" w:hAnsi="宋体"/>
          <w:szCs w:val="21"/>
          <w:highlight w:val="none"/>
        </w:rPr>
      </w:r>
      <w:r/>
    </w:p>
    <w:p>
      <w:pPr>
        <w:pStyle w:val="1035"/>
        <w:spacing w:line="360" w:lineRule="auto"/>
        <w:rPr>
          <w:rFonts w:ascii="楷体_GB2312" w:hAnsi="Times New Roman"/>
          <w:szCs w:val="21"/>
          <w:highlight w:val="none"/>
        </w:rPr>
      </w:pPr>
      <w:r>
        <w:rPr>
          <w:rFonts w:hint="eastAsia" w:ascii="宋体" w:hAnsi="宋体"/>
          <w:szCs w:val="21"/>
          <w:highlight w:val="none"/>
        </w:rPr>
        <w:t xml:space="preserve">进入项目评审流程后，建议各供应商法定代表人或授权委托人始终保持通讯顺畅，时刻关注不见面开标大厅，不离开不见面开标大厅。</w:t>
      </w:r>
      <w:r>
        <w:rPr>
          <w:rFonts w:ascii="楷体_GB2312" w:hAnsi="Times New Roman"/>
          <w:szCs w:val="21"/>
          <w:highlight w:val="none"/>
        </w:rPr>
      </w:r>
      <w:r/>
    </w:p>
    <w:p>
      <w:pPr>
        <w:pStyle w:val="1035"/>
        <w:ind w:firstLine="422"/>
        <w:spacing w:line="360" w:lineRule="auto"/>
        <w:rPr>
          <w:rFonts w:ascii="宋体" w:hAnsi="宋体"/>
          <w:b/>
          <w:szCs w:val="21"/>
          <w:highlight w:val="none"/>
        </w:rPr>
      </w:pPr>
      <w:r>
        <w:rPr>
          <w:rFonts w:hint="eastAsia" w:ascii="宋体" w:hAnsi="宋体"/>
          <w:b/>
          <w:szCs w:val="21"/>
          <w:highlight w:val="none"/>
        </w:rPr>
        <w:t xml:space="preserve">1</w:t>
      </w:r>
      <w:r>
        <w:rPr>
          <w:rFonts w:hint="eastAsia" w:ascii="宋体" w:hAnsi="宋体"/>
          <w:b/>
          <w:szCs w:val="21"/>
          <w:highlight w:val="none"/>
          <w:lang w:val="en-US" w:eastAsia="zh-CN"/>
        </w:rPr>
        <w:t xml:space="preserve">8</w:t>
      </w:r>
      <w:r>
        <w:rPr>
          <w:rFonts w:hint="eastAsia" w:ascii="宋体" w:hAnsi="宋体"/>
          <w:b/>
          <w:szCs w:val="21"/>
          <w:highlight w:val="none"/>
        </w:rPr>
        <w:t xml:space="preserve">、节能产品和环境标志产品</w:t>
      </w:r>
      <w:r>
        <w:rPr>
          <w:rFonts w:ascii="宋体" w:hAnsi="宋体"/>
          <w:b/>
          <w:szCs w:val="21"/>
          <w:highlight w:val="none"/>
        </w:rPr>
      </w:r>
      <w:r/>
    </w:p>
    <w:p>
      <w:pPr>
        <w:pStyle w:val="1035"/>
        <w:ind w:firstLine="422"/>
        <w:spacing w:line="360" w:lineRule="auto"/>
        <w:rPr>
          <w:rFonts w:ascii="宋体" w:hAnsi="宋体" w:cs="宋体"/>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highlight w:val="none"/>
          <w:u w:val="single"/>
        </w:rPr>
        <w:t xml:space="preserve">节能产品政府采购品目清单中政府强制采购产品，需提供节能产品认证证书，作为响应文件的组成部分</w:t>
      </w:r>
      <w:r>
        <w:rPr>
          <w:rFonts w:hint="eastAsia" w:ascii="宋体" w:hAnsi="宋体" w:cs="宋体"/>
          <w:b/>
          <w:bCs/>
          <w:szCs w:val="21"/>
          <w:highlight w:val="none"/>
        </w:rPr>
        <w:t xml:space="preserve">，未提供或提供不全的将视为未实质性响应采购要求。</w:t>
      </w:r>
      <w:r>
        <w:rPr>
          <w:rFonts w:ascii="宋体" w:hAnsi="宋体" w:cs="宋体"/>
          <w:szCs w:val="21"/>
          <w:highlight w:val="none"/>
        </w:rPr>
      </w:r>
      <w:r/>
    </w:p>
    <w:p>
      <w:pPr>
        <w:pStyle w:val="1035"/>
        <w:ind w:firstLine="420"/>
        <w:spacing w:line="360" w:lineRule="auto"/>
        <w:rPr>
          <w:rFonts w:ascii="宋体" w:hAnsi="宋体"/>
          <w:bCs/>
          <w:szCs w:val="21"/>
          <w:highlight w:val="none"/>
        </w:rPr>
      </w:pPr>
      <w:r>
        <w:rPr>
          <w:rFonts w:hint="eastAsia" w:ascii="宋体" w:hAnsi="宋体"/>
          <w:bCs/>
          <w:szCs w:val="21"/>
          <w:highlight w:val="none"/>
        </w:rPr>
        <w:t xml:space="preserve">1</w:t>
      </w:r>
      <w:r>
        <w:rPr>
          <w:rFonts w:hint="eastAsia" w:ascii="宋体" w:hAnsi="宋体"/>
          <w:bCs/>
          <w:szCs w:val="21"/>
          <w:highlight w:val="none"/>
          <w:lang w:val="en-US" w:eastAsia="zh-CN"/>
        </w:rPr>
        <w:t xml:space="preserve">8</w:t>
      </w:r>
      <w:r>
        <w:rPr>
          <w:rFonts w:hint="eastAsia" w:ascii="宋体" w:hAnsi="宋体"/>
          <w:bCs/>
          <w:szCs w:val="21"/>
          <w:highlight w:val="none"/>
        </w:rPr>
        <w:t xml:space="preserve">.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rPr>
          <w:rFonts w:ascii="宋体" w:hAnsi="宋体"/>
          <w:bCs/>
          <w:szCs w:val="21"/>
          <w:highlight w:val="none"/>
        </w:rPr>
      </w:r>
      <w:r/>
    </w:p>
    <w:p>
      <w:pPr>
        <w:pStyle w:val="1035"/>
        <w:ind w:firstLine="422"/>
        <w:spacing w:line="360" w:lineRule="auto"/>
        <w:rPr>
          <w:rFonts w:ascii="宋体" w:hAnsi="宋体"/>
          <w:b/>
          <w:szCs w:val="21"/>
          <w:highlight w:val="none"/>
        </w:rPr>
      </w:pPr>
      <w:r>
        <w:rPr>
          <w:rFonts w:hint="eastAsia" w:ascii="宋体" w:hAnsi="宋体"/>
          <w:b/>
          <w:szCs w:val="21"/>
          <w:highlight w:val="none"/>
          <w:lang w:val="en-US" w:eastAsia="zh-CN"/>
        </w:rPr>
        <w:t xml:space="preserve">1</w:t>
      </w:r>
      <w:r>
        <w:rPr>
          <w:rFonts w:hint="eastAsia" w:ascii="宋体" w:hAnsi="宋体"/>
          <w:b/>
          <w:szCs w:val="21"/>
          <w:highlight w:val="none"/>
          <w:lang w:val="en-US" w:eastAsia="zh-CN"/>
        </w:rPr>
        <w:t xml:space="preserve">9</w:t>
      </w:r>
      <w:r>
        <w:rPr>
          <w:rFonts w:hint="eastAsia" w:ascii="宋体" w:hAnsi="宋体"/>
          <w:b/>
          <w:szCs w:val="21"/>
          <w:highlight w:val="none"/>
        </w:rPr>
        <w:t xml:space="preserve">、信用记录评审</w:t>
      </w:r>
      <w:r>
        <w:rPr>
          <w:rFonts w:ascii="宋体" w:hAnsi="宋体"/>
          <w:b/>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（2.1）政府采购严重违法记录，即供应商被全国各级财政部门列入“政府采购严重违法失信行为记录名单”，且在处罚有效期内的。</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（2.2）财政部门与法院、工商、税务等部门联合惩戒的失信信息。</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第2.1条的失信信息应通过“中国政府采购网”网（www.ccgp.gov.cn）的“政府采购严重违法失信行为记录名单”，以及“信用中国”网（www.creditchina.gov.cn）的“政府采购严重违法失信名单”栏目予以查询。</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（3）查询渠道：</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（4）查询截止时点：在响应文件递交截止时间之前，供应商完成报名解密后，“供应商信用查询”系统将自动完成对供应商信用记录的查询。</w:t>
      </w:r>
      <w:r>
        <w:rPr>
          <w:rFonts w:ascii="宋体" w:hAnsi="宋体" w:cs="宋体"/>
          <w:szCs w:val="21"/>
          <w:highlight w:val="none"/>
        </w:rPr>
      </w:r>
      <w:r/>
    </w:p>
    <w:p>
      <w:pPr>
        <w:pStyle w:val="1035"/>
        <w:ind w:firstLine="409"/>
        <w:spacing w:line="360" w:lineRule="auto"/>
        <w:widowControl/>
        <w:rPr>
          <w:rFonts w:ascii="宋体" w:hAnsi="宋体"/>
          <w:szCs w:val="21"/>
          <w:highlight w:val="none"/>
        </w:rPr>
      </w:pPr>
      <w:r>
        <w:rPr>
          <w:rFonts w:hint="eastAsia" w:ascii="宋体" w:hAnsi="宋体" w:cs="宋体"/>
          <w:szCs w:val="21"/>
          <w:highlight w:val="none"/>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Cs w:val="21"/>
          <w:highlight w:val="none"/>
        </w:rPr>
        <w:t xml:space="preserve"> </w:t>
      </w:r>
      <w:r>
        <w:rPr>
          <w:rFonts w:ascii="宋体" w:hAnsi="宋体"/>
          <w:szCs w:val="21"/>
          <w:highlight w:val="none"/>
        </w:rPr>
      </w:r>
      <w:r/>
    </w:p>
    <w:p>
      <w:pPr>
        <w:pStyle w:val="1035"/>
        <w:ind w:firstLine="422"/>
        <w:jc w:val="left"/>
        <w:spacing w:line="360" w:lineRule="auto"/>
        <w:rPr>
          <w:rFonts w:ascii="宋体" w:hAnsi="宋体"/>
          <w:b/>
          <w:szCs w:val="21"/>
          <w:highlight w:val="none"/>
        </w:rPr>
      </w:pPr>
      <w:r>
        <w:rPr>
          <w:rFonts w:hint="eastAsia" w:ascii="宋体" w:hAnsi="宋体"/>
          <w:b/>
          <w:szCs w:val="21"/>
          <w:highlight w:val="none"/>
        </w:rPr>
        <w:t xml:space="preserve">2</w:t>
      </w:r>
      <w:r>
        <w:rPr>
          <w:rFonts w:hint="eastAsia" w:ascii="宋体" w:hAnsi="宋体"/>
          <w:b/>
          <w:szCs w:val="21"/>
          <w:highlight w:val="none"/>
          <w:lang w:val="en-US" w:eastAsia="zh-CN"/>
        </w:rPr>
        <w:t xml:space="preserve">0</w:t>
      </w:r>
      <w:r>
        <w:rPr>
          <w:rFonts w:hint="eastAsia" w:ascii="宋体" w:hAnsi="宋体"/>
          <w:b/>
          <w:szCs w:val="21"/>
          <w:highlight w:val="none"/>
        </w:rPr>
        <w:t xml:space="preserve">、相关政策</w:t>
      </w:r>
      <w:r>
        <w:rPr>
          <w:rFonts w:ascii="宋体" w:hAnsi="宋体"/>
          <w:b/>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0</w:t>
      </w:r>
      <w:r>
        <w:rPr>
          <w:rFonts w:hint="eastAsia" w:ascii="宋体" w:hAnsi="宋体"/>
          <w:szCs w:val="21"/>
          <w:highlight w:val="none"/>
        </w:rPr>
        <w:t xml:space="preserve">.1中小微企业相关政策</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（1）本项目属于专门面向中小微企业采购的项目。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（2）依据《政府采购促进中小企业发展管理办法》及本项目采购文件规定获得政府采购合同的中小微企业不得将合同分包给大型企业。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（3）本项目采购标的对应的中小企业划分标准所属行业为：</w:t>
      </w:r>
      <w:r>
        <w:rPr>
          <w:rFonts w:hint="eastAsia" w:ascii="宋体" w:hAnsi="宋体"/>
          <w:szCs w:val="21"/>
          <w:highlight w:val="none"/>
          <w:u w:val="single"/>
        </w:rPr>
        <w:t xml:space="preserve">建筑业</w:t>
      </w:r>
      <w:r>
        <w:rPr>
          <w:rFonts w:hint="eastAsia" w:ascii="宋体" w:hAnsi="宋体"/>
          <w:szCs w:val="21"/>
          <w:highlight w:val="none"/>
        </w:rPr>
        <w:t xml:space="preserve">。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（5）本项目中供应商提供的服务由中小微企业承接，即提供服务的人员为中小微企业依照《中华人民共和国劳动合同法》订立劳动合同的从业人员。 </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（6）若供应商提供的《中小企业声明函》为虚假声明则视同提供虚假材料，按政府采购相关规定处理并报由政府监管部门给予行政处罚。</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0</w:t>
      </w:r>
      <w:r>
        <w:rPr>
          <w:rFonts w:hint="eastAsia" w:ascii="宋体" w:hAnsi="宋体"/>
          <w:szCs w:val="21"/>
          <w:highlight w:val="none"/>
        </w:rPr>
        <w:t xml:space="preserve">.2残疾人福利性单位相关政策</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根据《关于贯彻执行绿色采购、促进残疾人就业和支持监狱企业发展有关政</w:t>
      </w:r>
      <w:r>
        <w:rPr>
          <w:rFonts w:hint="eastAsia" w:ascii="宋体" w:hAnsi="宋体"/>
          <w:szCs w:val="21"/>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0</w:t>
      </w:r>
      <w:r>
        <w:rPr>
          <w:rFonts w:hint="eastAsia" w:ascii="宋体" w:hAnsi="宋体"/>
          <w:szCs w:val="21"/>
          <w:highlight w:val="none"/>
        </w:rPr>
        <w:t xml:space="preserve">.3监狱企业相关政策</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ascii="宋体" w:hAnsi="宋体"/>
          <w:szCs w:val="21"/>
          <w:highlight w:val="none"/>
        </w:rPr>
      </w:r>
      <w:r/>
    </w:p>
    <w:p>
      <w:pPr>
        <w:pStyle w:val="1035"/>
        <w:ind w:firstLine="422"/>
        <w:spacing w:after="160" w:line="400" w:lineRule="exact"/>
        <w:rPr>
          <w:rFonts w:hint="eastAsia" w:ascii="Times New Roman" w:hAnsi="Times New Roman" w:eastAsia="宋体" w:cs="Times New Roman"/>
          <w:b/>
          <w:bCs/>
          <w:highlight w:val="none"/>
        </w:rPr>
        <w:outlineLvl w:val="0"/>
      </w:pPr>
      <w:r>
        <w:rPr>
          <w:rFonts w:hint="eastAsia" w:ascii="Times New Roman" w:hAnsi="Times New Roman" w:eastAsia="宋体" w:cs="Times New Roman"/>
          <w:b/>
          <w:bCs/>
          <w:highlight w:val="none"/>
          <w:lang w:val="en-US" w:eastAsia="zh-CN"/>
        </w:rPr>
        <w:t xml:space="preserve">20.4</w:t>
      </w:r>
      <w:r>
        <w:rPr>
          <w:rFonts w:hint="eastAsia" w:ascii="Times New Roman" w:hAnsi="Times New Roman" w:eastAsia="宋体" w:cs="Times New Roman"/>
          <w:b/>
          <w:bCs/>
          <w:highlight w:val="none"/>
        </w:rPr>
        <w:t xml:space="preserve">关于推动解决政府采购异常低价问题相关工作的通知（财库〔2026〕2号）。</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lang w:val="en-US" w:eastAsia="zh-CN"/>
        </w:rPr>
        <w:t xml:space="preserve">20.4.</w:t>
      </w:r>
      <w:r>
        <w:rPr>
          <w:rFonts w:hint="eastAsia" w:ascii="Times New Roman" w:hAnsi="Times New Roman" w:eastAsia="宋体" w:cs="Times New Roman"/>
          <w:b/>
          <w:bCs/>
          <w:highlight w:val="none"/>
        </w:rPr>
        <w:t xml:space="preserve">1评审过程中出现下列情形之一的，评审委员会应当启动异常低价投标（响应）审查程序：</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（一）采购人应当在采购文件中明确，政府采购评审中出现下列情形之一的，评审委员会应当启动异常低价投标（响应）审查程序：</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3.投标（响应）报价低于采购项目最高限价45%的，即投标（响应）报价&lt;采购项目最高限价×45%；</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4.评审委员会基于专业判断，认为供应商报价过低，有可能影响产品质量或者不能诚信履约的其他情形。</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采购人可以结合具体项目实际情况，提高上述第1项至第3项中启动异常低价投标（响应）审查的数值标准，但是最高不得超过65%。</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相关法律法规对供应商报价有规定的，从其规定。</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lang w:val="en-US" w:eastAsia="zh-CN"/>
        </w:rPr>
        <w:t xml:space="preserve">20.4.</w:t>
      </w:r>
      <w:r>
        <w:rPr>
          <w:rFonts w:hint="eastAsia" w:ascii="Times New Roman" w:hAnsi="Times New Roman" w:eastAsia="宋体" w:cs="Times New Roman"/>
          <w:b/>
          <w:bCs/>
          <w:highlight w:val="none"/>
        </w:rPr>
        <w:t xml:space="preserve">2异常低价审查有关要求，均以财政部发布的《关于推动解决政府采购异常低价问题的通知》（ 财库〔2026〕2号）为准。</w:t>
      </w:r>
      <w:r>
        <w:rPr>
          <w:rFonts w:hint="eastAsia" w:ascii="Times New Roman" w:hAnsi="Times New Roman" w:eastAsia="宋体" w:cs="Times New Roman"/>
          <w:b/>
          <w:bCs/>
          <w:highlight w:val="none"/>
        </w:rPr>
      </w:r>
      <w:r/>
    </w:p>
    <w:p>
      <w:pPr>
        <w:pStyle w:val="1035"/>
        <w:ind w:firstLine="422"/>
        <w:jc w:val="left"/>
        <w:spacing w:line="360" w:lineRule="auto"/>
        <w:rPr>
          <w:rFonts w:hint="eastAsia" w:ascii="Times New Roman" w:hAnsi="Times New Roman" w:eastAsia="宋体" w:cs="Times New Roman"/>
          <w:b/>
          <w:bCs/>
          <w:highlight w:val="none"/>
        </w:rPr>
      </w:pPr>
      <w:r>
        <w:rPr>
          <w:rFonts w:hint="eastAsia" w:ascii="Times New Roman" w:hAnsi="Times New Roman" w:eastAsia="宋体" w:cs="Times New Roman"/>
          <w:b/>
          <w:bCs/>
          <w:sz w:val="21"/>
          <w:szCs w:val="21"/>
          <w:highlight w:val="none"/>
          <w:lang w:val="en-US" w:eastAsia="zh-CN"/>
        </w:rPr>
        <w:t xml:space="preserve">20.5</w:t>
      </w:r>
      <w:r>
        <w:rPr>
          <w:rFonts w:hint="eastAsia" w:ascii="Times New Roman" w:hAnsi="Times New Roman" w:eastAsia="宋体" w:cs="Times New Roman"/>
          <w:b/>
          <w:bCs/>
          <w:sz w:val="21"/>
          <w:szCs w:val="21"/>
          <w:highlight w:val="none"/>
        </w:rPr>
        <w:t xml:space="preserve">响应单位需执行《国务院办公厅关于在政府采购中实施本国产品标准及相关政策的通知》国办发〔2025〕34号发文。</w:t>
      </w:r>
      <w:r>
        <w:rPr>
          <w:rFonts w:hint="eastAsia" w:ascii="Times New Roman" w:hAnsi="Times New Roman" w:eastAsia="宋体" w:cs="Times New Roman"/>
          <w:b/>
          <w:bCs/>
          <w:highlight w:val="none"/>
        </w:rPr>
      </w:r>
      <w:r/>
    </w:p>
    <w:p>
      <w:pPr>
        <w:pStyle w:val="1035"/>
        <w:ind w:firstLine="422"/>
        <w:jc w:val="left"/>
        <w:spacing w:line="360" w:lineRule="auto"/>
        <w:rPr>
          <w:rFonts w:ascii="宋体" w:hAnsi="宋体"/>
          <w:b/>
          <w:szCs w:val="21"/>
          <w:highlight w:val="none"/>
        </w:rPr>
      </w:pPr>
      <w:r>
        <w:rPr>
          <w:rFonts w:hint="eastAsia" w:ascii="宋体" w:hAnsi="宋体"/>
          <w:b/>
          <w:szCs w:val="21"/>
          <w:highlight w:val="none"/>
        </w:rPr>
        <w:t xml:space="preserve">2</w:t>
      </w:r>
      <w:r>
        <w:rPr>
          <w:rFonts w:hint="eastAsia" w:ascii="宋体" w:hAnsi="宋体"/>
          <w:b/>
          <w:szCs w:val="21"/>
          <w:highlight w:val="none"/>
          <w:lang w:val="en-US" w:eastAsia="zh-CN"/>
        </w:rPr>
        <w:t xml:space="preserve">1</w:t>
      </w:r>
      <w:r>
        <w:rPr>
          <w:rFonts w:hint="eastAsia" w:ascii="宋体" w:hAnsi="宋体"/>
          <w:b/>
          <w:szCs w:val="21"/>
          <w:highlight w:val="none"/>
        </w:rPr>
        <w:t xml:space="preserve">、报价（编制）要求的说明</w:t>
      </w:r>
      <w:r>
        <w:rPr>
          <w:rFonts w:ascii="宋体" w:hAnsi="宋体"/>
          <w:b/>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.1根据提供的磋商文件、工程量清单及有关资料单独编制相关项目实施的磋商报价并汇总填入《已标价</w:t>
      </w:r>
      <w:r>
        <w:rPr>
          <w:rFonts w:ascii="宋体" w:hAnsi="宋体"/>
          <w:szCs w:val="21"/>
          <w:highlight w:val="none"/>
        </w:rPr>
        <w:t xml:space="preserve">工程量清单</w:t>
      </w: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.2磋商报价明细中标的物顺序和数量均应按本磋商文件提供的采购清单顺序和数量。如发现响应报价中有错算现象，一旦成交，磋商供应商自行承担错算这部分的经济损失。</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.4一项响应内容只允许一个报价，采购人不接受任何有选择性的响应报价。</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1</w:t>
      </w:r>
      <w:r>
        <w:rPr>
          <w:rFonts w:hint="eastAsia" w:ascii="宋体" w:hAnsi="宋体"/>
          <w:szCs w:val="21"/>
          <w:highlight w:val="none"/>
        </w:rPr>
        <w:t xml:space="preserve">.5响应文件中报价全部采用人民币表示，除非合同的特殊条款另有规定。</w:t>
      </w:r>
      <w:r>
        <w:rPr>
          <w:rFonts w:ascii="宋体" w:hAnsi="宋体"/>
          <w:szCs w:val="21"/>
          <w:highlight w:val="none"/>
        </w:rPr>
      </w:r>
      <w:r/>
    </w:p>
    <w:p>
      <w:pPr>
        <w:pStyle w:val="1035"/>
        <w:jc w:val="center"/>
        <w:spacing w:line="276" w:lineRule="auto"/>
        <w:rPr>
          <w:rFonts w:ascii="宋体" w:hAnsi="宋体"/>
          <w:b/>
          <w:sz w:val="30"/>
          <w:szCs w:val="30"/>
          <w:highlight w:val="none"/>
        </w:rPr>
      </w:pPr>
      <w:r>
        <w:rPr>
          <w:rFonts w:hint="eastAsia" w:ascii="宋体" w:hAnsi="宋体"/>
          <w:b/>
          <w:sz w:val="30"/>
          <w:szCs w:val="30"/>
          <w:highlight w:val="none"/>
        </w:rPr>
        <w:t xml:space="preserve">（五）磋商评审</w:t>
      </w:r>
      <w:r>
        <w:rPr>
          <w:rFonts w:ascii="宋体" w:hAnsi="宋体"/>
          <w:b/>
          <w:sz w:val="30"/>
          <w:szCs w:val="30"/>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、磋商程序</w:t>
      </w:r>
      <w:r>
        <w:rPr>
          <w:rFonts w:ascii="宋体" w:hAnsi="宋体"/>
          <w:b/>
          <w:bCs/>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（1）采购代理机构按本须知规定的时间、地点主持磋商采购活动。</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（3）由磋商小组审查供应商解密的响应文件。</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szCs w:val="21"/>
          <w:highlight w:val="none"/>
        </w:rPr>
      </w:r>
      <w:r/>
    </w:p>
    <w:p>
      <w:pPr>
        <w:pStyle w:val="1035"/>
        <w:ind w:firstLine="422"/>
        <w:spacing w:line="360" w:lineRule="auto"/>
        <w:tabs>
          <w:tab w:val="left" w:pos="753" w:leader="none"/>
        </w:tabs>
        <w:rPr>
          <w:rFonts w:ascii="宋体" w:hAnsi="宋体" w:cs="宋体"/>
          <w:szCs w:val="21"/>
          <w:highlight w:val="none"/>
        </w:rPr>
      </w:pPr>
      <w:r>
        <w:rPr>
          <w:rFonts w:hint="eastAsia" w:ascii="宋体" w:hAnsi="宋体"/>
          <w:szCs w:val="21"/>
          <w:highlight w:val="none"/>
        </w:rPr>
        <w:t xml:space="preserve">（5）</w:t>
      </w:r>
      <w:r>
        <w:rPr>
          <w:rFonts w:hint="eastAsia" w:ascii="宋体" w:hAnsi="宋体" w:cs="宋体"/>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s="宋体"/>
          <w:szCs w:val="21"/>
          <w:highlight w:val="none"/>
        </w:rPr>
      </w:r>
      <w:r/>
    </w:p>
    <w:p>
      <w:pPr>
        <w:pStyle w:val="1035"/>
        <w:ind w:firstLine="420"/>
        <w:spacing w:line="360" w:lineRule="auto"/>
        <w:tabs>
          <w:tab w:val="left" w:pos="753" w:leader="none"/>
        </w:tabs>
        <w:rPr>
          <w:rFonts w:ascii="宋体" w:hAnsi="宋体"/>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highlight w:val="none"/>
        </w:rPr>
        <w:t xml:space="preserve">(</w:t>
      </w:r>
      <w:r>
        <w:rPr>
          <w:rFonts w:hint="eastAsia" w:ascii="宋体" w:hAnsi="宋体" w:cs="宋体"/>
          <w:b/>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（6）</w:t>
      </w:r>
      <w:r>
        <w:rPr>
          <w:rFonts w:hint="eastAsia" w:ascii="宋体" w:hAnsi="宋体" w:cs="宋体"/>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highlight w:val="none"/>
        </w:rPr>
        <w:t xml:space="preserve">磋商小组通过“苏采云”系统向供应商发布“磋商函”，供应商应当按照要求在“苏采云”系统提交“磋商响应函”并加盖CA电子公章。</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（8）供应商应当按照采购文件的变动情况和磋商小组的要求，各供应商应及时关注【评审】环节等待询标澄清进行回复。</w:t>
      </w:r>
      <w:r>
        <w:rPr>
          <w:rFonts w:ascii="宋体" w:hAnsi="宋体"/>
          <w:szCs w:val="21"/>
          <w:highlight w:val="none"/>
        </w:rPr>
      </w:r>
      <w:r/>
    </w:p>
    <w:p>
      <w:pPr>
        <w:pStyle w:val="1035"/>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（9）</w:t>
      </w:r>
      <w:r>
        <w:rPr>
          <w:rFonts w:hint="eastAsia" w:ascii="宋体" w:hAnsi="宋体" w:cs="宋体"/>
          <w:szCs w:val="21"/>
          <w:highlight w:val="none"/>
        </w:rPr>
        <w:t xml:space="preserve">磋商结束后，</w:t>
      </w:r>
      <w:r>
        <w:rPr>
          <w:rFonts w:hint="eastAsia" w:ascii="宋体" w:hAnsi="宋体" w:cs="宋体"/>
          <w:b/>
          <w:bCs/>
          <w:szCs w:val="21"/>
          <w:highlight w:val="none"/>
        </w:rPr>
        <w:t xml:space="preserve">磋商小组将在“苏采云”系统向所有实质性响应的供应商发布“最后报价要求函”及最后报价格式表，要求所有实质性响应的供应商在规定时间内提交最后报价。</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（10）经磋商确定最终采购需求和提交最后报价的供应商后，由磋商小组采用综合评分法对提交最后报价的供应商的响应文件和最后报价进行综合评分。</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（11）磋商小组根据磋商成交原则确定成交供应商，并将结果通知所有参加磋商的供应商。</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（12）如磋商过程中出现本采购文件未尽事宜，由磋商小组根据政府采购有关法律、法规讨论决定。</w:t>
      </w:r>
      <w:r>
        <w:rPr>
          <w:rFonts w:ascii="宋体" w:hAnsi="宋体"/>
          <w:szCs w:val="21"/>
          <w:highlight w:val="none"/>
        </w:rPr>
      </w:r>
      <w:r/>
    </w:p>
    <w:p>
      <w:pPr>
        <w:pStyle w:val="1035"/>
        <w:ind w:firstLine="369"/>
        <w:spacing w:line="360" w:lineRule="auto"/>
        <w:rPr>
          <w:rFonts w:ascii="宋体" w:hAnsi="宋体"/>
          <w:b/>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3</w:t>
      </w:r>
      <w:r>
        <w:rPr>
          <w:rFonts w:hint="eastAsia" w:ascii="宋体" w:hAnsi="宋体"/>
          <w:szCs w:val="21"/>
          <w:highlight w:val="none"/>
        </w:rPr>
        <w:t xml:space="preserve">、</w:t>
      </w:r>
      <w:r>
        <w:rPr>
          <w:rFonts w:hint="eastAsia" w:ascii="宋体" w:hAnsi="宋体"/>
          <w:b/>
          <w:szCs w:val="21"/>
          <w:highlight w:val="none"/>
        </w:rPr>
        <w:t xml:space="preserve">出现下列情况之一的应为无效报价文件，将不予评审；</w:t>
      </w:r>
      <w:r>
        <w:rPr>
          <w:rFonts w:ascii="宋体" w:hAnsi="宋体"/>
          <w:b/>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（1）磋商响应文件未加盖磋商供应商公章、法定代表人或其授权委托人的印鉴或签字的；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（2）供应商资格不符合磋商公告要求的；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（3）报价高于采购预算或采购最高限价；</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（4）未满足发包人要求工期和质量等级要求的；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（5）擅自变更项目经理的；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（6）改变随同磋商文件提供的工程量清单中的项目编码、项目名称、项目特征、计量单位、工程量及不可竞争费用等的；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（7）未提供磋商文件中要求的原件及相关证明的；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（8）未满足磋商文件中其他要求的。</w:t>
      </w:r>
      <w:r>
        <w:rPr>
          <w:rFonts w:ascii="宋体" w:hAnsi="宋体"/>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4</w:t>
      </w:r>
      <w:r>
        <w:rPr>
          <w:rFonts w:hint="eastAsia" w:ascii="宋体" w:hAnsi="宋体"/>
          <w:b/>
          <w:bCs/>
          <w:szCs w:val="21"/>
          <w:highlight w:val="none"/>
        </w:rPr>
        <w:t xml:space="preserve">、磋商小组</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.1磋商小组由磋商采购单位依法组建，由采购单位代表、专家评委组成。</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.2磋商小组负责具体的磋商事务，并独立履行以下职责：</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.3审查磋商响应文件是否符合磋商采购文件的要求，并作出评价；</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.4可以要求磋商供应商对磋商响应文件有关事项作出解释或澄清；</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.5推荐成交候选供应商名单；</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.6向磋商采购单位或者有关部门报告非法干预磋商工作的行为。</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.7磋商小组成员应当履行下列义务：</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.7.1遵纪守法，客观、公正、廉洁地履行职责；</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.7.2按照磋商采购文件规定的评审办法和评分标准进行评审，对评审意见承担个人责任；</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.7.3对磋商过程和结果，以及磋商供应商的商业秘密保密；</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.7.4参与评审报告的起草；</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.7.5配合相关部门的投诉处理工作；</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4</w:t>
      </w:r>
      <w:r>
        <w:rPr>
          <w:rFonts w:hint="eastAsia" w:ascii="宋体" w:hAnsi="宋体"/>
          <w:szCs w:val="21"/>
          <w:highlight w:val="none"/>
        </w:rPr>
        <w:t xml:space="preserve">.7.6配合磋商采购单位答复磋商供应商提出的质疑。</w:t>
      </w:r>
      <w:r>
        <w:rPr>
          <w:rFonts w:ascii="宋体" w:hAnsi="宋体"/>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5</w:t>
      </w:r>
      <w:r>
        <w:rPr>
          <w:rFonts w:hint="eastAsia" w:ascii="宋体" w:hAnsi="宋体"/>
          <w:b/>
          <w:bCs/>
          <w:szCs w:val="21"/>
          <w:highlight w:val="none"/>
        </w:rPr>
        <w:t xml:space="preserve">、出现下列情况之一的应为无效报价文件，将不予评审：</w:t>
      </w:r>
      <w:r>
        <w:rPr>
          <w:rFonts w:ascii="宋体" w:hAnsi="宋体"/>
          <w:b/>
          <w:bCs/>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（1）磋商响应文件未加盖磋商供应商公章、法定代表人或其授权委托人的印鉴或签字的；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（2）供应商资格不符合磋商公告要求的；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（3）报价高于采购预算或采购最高限价；</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（4）未满足发包人要求工期和质量等级要求的；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（5）擅自变更项目经理的；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（6）改变随同磋商文件提供的工程量清单中的项目编码、项目名称、项目特征、计量单位、工程量及不可竞争费用等的；</w:t>
      </w:r>
      <w:r>
        <w:rPr>
          <w:rFonts w:ascii="宋体" w:hAnsi="宋体"/>
          <w:szCs w:val="21"/>
          <w:highlight w:val="none"/>
        </w:rPr>
      </w:r>
      <w:r/>
    </w:p>
    <w:p>
      <w:pPr>
        <w:pStyle w:val="1035"/>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（7）未提供磋商文件中要求的原件及相关证明的；</w:t>
      </w:r>
      <w:r>
        <w:rPr>
          <w:rFonts w:ascii="宋体" w:hAnsi="宋体"/>
          <w:szCs w:val="21"/>
          <w:highlight w:val="none"/>
        </w:rPr>
      </w:r>
      <w:r/>
    </w:p>
    <w:p>
      <w:pPr>
        <w:pStyle w:val="1035"/>
        <w:ind w:firstLine="315"/>
        <w:spacing w:line="360" w:lineRule="auto"/>
        <w:tabs>
          <w:tab w:val="left" w:pos="540" w:leader="none"/>
        </w:tabs>
        <w:rPr>
          <w:rFonts w:ascii="Times New Roman" w:hAnsi="Times New Roman"/>
          <w:szCs w:val="24"/>
          <w:highlight w:val="none"/>
        </w:rPr>
      </w:pPr>
      <w:r>
        <w:rPr>
          <w:rFonts w:hint="eastAsia" w:ascii="宋体" w:hAnsi="宋体"/>
          <w:szCs w:val="21"/>
          <w:highlight w:val="none"/>
        </w:rPr>
        <w:t xml:space="preserve">（8）未满足磋商文件中其他要求</w:t>
      </w:r>
      <w:r>
        <w:rPr>
          <w:rFonts w:hint="eastAsia" w:ascii="Times New Roman" w:hAnsi="Times New Roman"/>
          <w:szCs w:val="24"/>
          <w:highlight w:val="none"/>
        </w:rPr>
        <w:t xml:space="preserve">的。</w:t>
      </w:r>
      <w:r>
        <w:rPr>
          <w:rFonts w:ascii="Times New Roman" w:hAnsi="Times New Roman"/>
          <w:szCs w:val="24"/>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6</w:t>
      </w:r>
      <w:r>
        <w:rPr>
          <w:rFonts w:hint="eastAsia" w:ascii="宋体" w:hAnsi="宋体"/>
          <w:b/>
          <w:bCs/>
          <w:szCs w:val="21"/>
          <w:highlight w:val="none"/>
        </w:rPr>
        <w:t xml:space="preserve">、项目的终止</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ascii="宋体" w:hAnsi="宋体"/>
          <w:szCs w:val="21"/>
          <w:highlight w:val="none"/>
        </w:rPr>
        <w:t xml:space="preserve">出现下列情形之一的，</w:t>
      </w:r>
      <w:r>
        <w:rPr>
          <w:rFonts w:hint="eastAsia" w:ascii="宋体" w:hAnsi="宋体"/>
          <w:szCs w:val="21"/>
          <w:highlight w:val="none"/>
        </w:rPr>
        <w:t xml:space="preserve">将</w:t>
      </w:r>
      <w:r>
        <w:rPr>
          <w:rFonts w:ascii="宋体" w:hAnsi="宋体"/>
          <w:szCs w:val="21"/>
          <w:highlight w:val="none"/>
        </w:rPr>
        <w:t xml:space="preserve">终止</w:t>
      </w:r>
      <w:r>
        <w:rPr>
          <w:rFonts w:hint="eastAsia" w:ascii="宋体" w:hAnsi="宋体"/>
          <w:szCs w:val="21"/>
          <w:highlight w:val="none"/>
        </w:rPr>
        <w:t xml:space="preserve">磋商性磋商</w:t>
      </w:r>
      <w:r>
        <w:rPr>
          <w:rFonts w:ascii="宋体" w:hAnsi="宋体"/>
          <w:szCs w:val="21"/>
          <w:highlight w:val="none"/>
        </w:rPr>
        <w:t xml:space="preserve">采购活动：</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6</w:t>
      </w:r>
      <w:r>
        <w:rPr>
          <w:rFonts w:hint="eastAsia" w:ascii="宋体" w:hAnsi="宋体"/>
          <w:szCs w:val="21"/>
          <w:highlight w:val="none"/>
        </w:rPr>
        <w:t xml:space="preserve">.1</w:t>
      </w:r>
      <w:r>
        <w:rPr>
          <w:rFonts w:ascii="宋体" w:hAnsi="宋体"/>
          <w:szCs w:val="21"/>
          <w:highlight w:val="none"/>
        </w:rPr>
        <w:t xml:space="preserve">因情况变化，不再符合规定的</w:t>
      </w:r>
      <w:r>
        <w:rPr>
          <w:rFonts w:hint="eastAsia" w:ascii="宋体" w:hAnsi="宋体"/>
          <w:szCs w:val="21"/>
          <w:highlight w:val="none"/>
        </w:rPr>
        <w:t xml:space="preserve">竞争性磋商</w:t>
      </w:r>
      <w:r>
        <w:rPr>
          <w:rFonts w:ascii="宋体" w:hAnsi="宋体"/>
          <w:szCs w:val="21"/>
          <w:highlight w:val="none"/>
        </w:rPr>
        <w:t xml:space="preserve">采购方式适用情形的；</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6</w:t>
      </w:r>
      <w:r>
        <w:rPr>
          <w:rFonts w:hint="eastAsia" w:ascii="宋体" w:hAnsi="宋体"/>
          <w:szCs w:val="21"/>
          <w:highlight w:val="none"/>
        </w:rPr>
        <w:t xml:space="preserve">.2</w:t>
      </w:r>
      <w:r>
        <w:rPr>
          <w:rFonts w:ascii="宋体" w:hAnsi="宋体"/>
          <w:szCs w:val="21"/>
          <w:highlight w:val="none"/>
        </w:rPr>
        <w:t xml:space="preserve">出现影响采购公正的违法、违规行为的；</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6</w:t>
      </w:r>
      <w:r>
        <w:rPr>
          <w:rFonts w:hint="eastAsia" w:ascii="宋体" w:hAnsi="宋体"/>
          <w:szCs w:val="21"/>
          <w:highlight w:val="none"/>
        </w:rPr>
        <w:t xml:space="preserve">.3</w:t>
      </w:r>
      <w:r>
        <w:rPr>
          <w:rFonts w:ascii="宋体" w:hAnsi="宋体"/>
          <w:szCs w:val="21"/>
          <w:highlight w:val="none"/>
        </w:rPr>
        <w:t xml:space="preserve">在采购过程中符合磋商要求的供应商或者报价未超过采购预算的供应商不足3家的</w:t>
      </w:r>
      <w:r>
        <w:rPr>
          <w:rFonts w:hint="eastAsia" w:ascii="宋体" w:hAnsi="宋体"/>
          <w:szCs w:val="21"/>
          <w:highlight w:val="none"/>
        </w:rPr>
        <w:t xml:space="preserve">。</w:t>
      </w:r>
      <w:r>
        <w:rPr>
          <w:rFonts w:ascii="宋体" w:hAnsi="宋体"/>
          <w:szCs w:val="21"/>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2</w:t>
      </w:r>
      <w:r>
        <w:rPr>
          <w:rFonts w:hint="eastAsia" w:ascii="宋体" w:hAnsi="宋体"/>
          <w:b/>
          <w:bCs/>
          <w:szCs w:val="21"/>
          <w:highlight w:val="none"/>
          <w:lang w:val="en-US" w:eastAsia="zh-CN"/>
        </w:rPr>
        <w:t xml:space="preserve">7</w:t>
      </w:r>
      <w:r>
        <w:rPr>
          <w:rFonts w:hint="eastAsia" w:ascii="宋体" w:hAnsi="宋体"/>
          <w:b/>
          <w:bCs/>
          <w:szCs w:val="21"/>
          <w:highlight w:val="none"/>
        </w:rPr>
        <w:t xml:space="preserve">、关于磋商的有关说明</w:t>
      </w:r>
      <w:r>
        <w:rPr>
          <w:rFonts w:ascii="宋体" w:hAnsi="宋体"/>
          <w:b/>
          <w:bCs/>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7</w:t>
      </w:r>
      <w:r>
        <w:rPr>
          <w:rFonts w:hint="eastAsia" w:ascii="宋体" w:hAnsi="宋体"/>
          <w:szCs w:val="21"/>
          <w:highlight w:val="none"/>
        </w:rPr>
        <w:t xml:space="preserve">.1二次报价超过预算价的，不能成交；</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7</w:t>
      </w:r>
      <w:r>
        <w:rPr>
          <w:rFonts w:hint="eastAsia" w:ascii="宋体" w:hAnsi="宋体"/>
          <w:szCs w:val="21"/>
          <w:highlight w:val="none"/>
        </w:rPr>
        <w:t xml:space="preserve">.2供应商的二次报价均超过采购最高限价的，磋商采购失败。</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7</w:t>
      </w:r>
      <w:r>
        <w:rPr>
          <w:rFonts w:hint="eastAsia" w:ascii="宋体" w:hAnsi="宋体"/>
          <w:szCs w:val="21"/>
          <w:highlight w:val="none"/>
        </w:rPr>
        <w:t xml:space="preserve">.3评审不合格的不能成交；</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7</w:t>
      </w:r>
      <w:r>
        <w:rPr>
          <w:rFonts w:hint="eastAsia" w:ascii="宋体" w:hAnsi="宋体"/>
          <w:szCs w:val="21"/>
          <w:highlight w:val="none"/>
        </w:rPr>
        <w:t xml:space="preserve">.4评审合格不满三家或进入二次报价的不满三家或二次报价在采购最高限价内不满三家的，磋商采购失败。</w:t>
      </w:r>
      <w:r>
        <w:rPr>
          <w:rFonts w:ascii="宋体" w:hAnsi="宋体"/>
          <w:szCs w:val="21"/>
          <w:highlight w:val="none"/>
        </w:rPr>
      </w:r>
      <w:r/>
    </w:p>
    <w:p>
      <w:pPr>
        <w:pStyle w:val="1035"/>
        <w:ind w:firstLine="420"/>
        <w:jc w:val="left"/>
        <w:spacing w:line="360" w:lineRule="auto"/>
        <w:rPr>
          <w:rFonts w:ascii="黑体" w:hAnsi="黑体" w:eastAsia="黑体" w:cs="黑体"/>
          <w:szCs w:val="24"/>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7</w:t>
      </w:r>
      <w:r>
        <w:rPr>
          <w:rFonts w:hint="eastAsia" w:ascii="宋体" w:hAnsi="宋体"/>
          <w:szCs w:val="21"/>
          <w:highlight w:val="none"/>
        </w:rPr>
        <w:t xml:space="preserve">.5凡涉及磋商采购文件</w:t>
      </w:r>
      <w:r>
        <w:rPr>
          <w:rFonts w:ascii="宋体" w:hAnsi="宋体"/>
          <w:szCs w:val="21"/>
          <w:highlight w:val="none"/>
        </w:rPr>
        <w:t xml:space="preserve">的补充说明和修改，均以</w:t>
      </w:r>
      <w:r>
        <w:rPr>
          <w:rFonts w:hint="eastAsia" w:ascii="宋体" w:hAnsi="宋体"/>
          <w:szCs w:val="21"/>
          <w:highlight w:val="none"/>
        </w:rPr>
        <w:t xml:space="preserve">苏州市政府采购网上发布的</w:t>
      </w:r>
      <w:r>
        <w:rPr>
          <w:rFonts w:ascii="宋体" w:hAnsi="宋体"/>
          <w:szCs w:val="21"/>
          <w:highlight w:val="none"/>
        </w:rPr>
        <w:t xml:space="preserve">为准。</w:t>
      </w:r>
      <w:r>
        <w:rPr>
          <w:rFonts w:ascii="黑体" w:hAnsi="黑体" w:eastAsia="黑体" w:cs="黑体"/>
          <w:szCs w:val="24"/>
          <w:highlight w:val="none"/>
        </w:rPr>
      </w:r>
      <w:r/>
    </w:p>
    <w:p>
      <w:pPr>
        <w:pStyle w:val="1035"/>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p>
      <w:pPr>
        <w:pStyle w:val="1035"/>
        <w:jc w:val="center"/>
        <w:spacing w:line="276"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三、响应文件格式</w:t>
      </w:r>
      <w:r>
        <w:rPr>
          <w:rFonts w:ascii="宋体" w:hAnsi="宋体"/>
          <w:b/>
          <w:sz w:val="32"/>
          <w:szCs w:val="32"/>
          <w:highlight w:val="none"/>
        </w:rPr>
      </w:r>
      <w:r/>
    </w:p>
    <w:p>
      <w:pPr>
        <w:pStyle w:val="1035"/>
        <w:jc w:val="left"/>
        <w:spacing w:line="360" w:lineRule="auto"/>
        <w:rPr>
          <w:rFonts w:ascii="宋体" w:hAnsi="宋体"/>
          <w:b/>
          <w:sz w:val="24"/>
          <w:szCs w:val="20"/>
          <w:highlight w:val="none"/>
        </w:rPr>
      </w:pPr>
      <w:r>
        <w:rPr>
          <w:rFonts w:hint="eastAsia" w:ascii="宋体" w:hAnsi="宋体"/>
          <w:b/>
          <w:sz w:val="24"/>
          <w:szCs w:val="20"/>
          <w:highlight w:val="none"/>
        </w:rPr>
        <w:t xml:space="preserve">说明：</w:t>
      </w:r>
      <w:r>
        <w:rPr>
          <w:rFonts w:ascii="宋体" w:hAnsi="宋体"/>
          <w:b/>
          <w:sz w:val="24"/>
          <w:szCs w:val="20"/>
          <w:highlight w:val="none"/>
        </w:rPr>
      </w:r>
      <w:r/>
    </w:p>
    <w:p>
      <w:pPr>
        <w:pStyle w:val="1035"/>
        <w:ind w:firstLine="422"/>
        <w:spacing w:line="360" w:lineRule="auto"/>
        <w:widowControl/>
        <w:rPr>
          <w:rFonts w:ascii="宋体" w:hAnsi="宋体"/>
          <w:b/>
          <w:sz w:val="32"/>
          <w:szCs w:val="32"/>
          <w:highlight w:val="none"/>
        </w:rPr>
      </w:pPr>
      <w:r>
        <w:rPr>
          <w:rFonts w:hint="eastAsia" w:ascii="宋体" w:hAnsi="宋体"/>
          <w:b/>
          <w:szCs w:val="20"/>
          <w:highlight w:val="none"/>
        </w:rPr>
        <w:t xml:space="preserve">对本章所有的格式 ，供应商可根据自身情况进行补充和修改，但补充和修改不得造成与本格式内容有实质性的违背。</w:t>
      </w: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jc w:val="left"/>
        <w:spacing w:line="360" w:lineRule="auto"/>
        <w:rPr>
          <w:rFonts w:ascii="宋体" w:hAnsi="宋体" w:cs="Arial"/>
          <w:b/>
          <w:bCs/>
          <w:sz w:val="24"/>
          <w:szCs w:val="24"/>
          <w:highlight w:val="none"/>
        </w:rPr>
      </w:pPr>
      <w:r>
        <w:rPr>
          <w:rFonts w:hint="eastAsia" w:ascii="宋体" w:hAnsi="宋体" w:cs="Arial"/>
          <w:b/>
          <w:bCs/>
          <w:sz w:val="24"/>
          <w:szCs w:val="24"/>
          <w:highlight w:val="none"/>
        </w:rPr>
        <w:t xml:space="preserve">1、封面</w:t>
      </w:r>
      <w:r>
        <w:rPr>
          <w:rFonts w:ascii="宋体" w:hAnsi="宋体" w:cs="Arial"/>
          <w:b/>
          <w:bCs/>
          <w:sz w:val="24"/>
          <w:szCs w:val="24"/>
          <w:highlight w:val="none"/>
        </w:rPr>
      </w:r>
      <w:r/>
    </w:p>
    <w:p>
      <w:pPr>
        <w:pStyle w:val="1035"/>
        <w:jc w:val="center"/>
        <w:spacing w:line="360" w:lineRule="auto"/>
        <w:rPr>
          <w:rFonts w:ascii="宋体" w:hAnsi="宋体" w:cs="Arial"/>
          <w:sz w:val="24"/>
          <w:szCs w:val="24"/>
          <w:highlight w:val="none"/>
          <w:u w:val="single"/>
        </w:rPr>
      </w:pPr>
      <w:r>
        <w:rPr>
          <w:rFonts w:ascii="宋体" w:hAnsi="宋体" w:cs="Arial"/>
          <w:sz w:val="24"/>
          <w:szCs w:val="24"/>
          <w:highlight w:val="none"/>
          <w:u w:val="single"/>
        </w:rPr>
      </w:r>
      <w:r/>
    </w:p>
    <w:p>
      <w:pPr>
        <w:pStyle w:val="1035"/>
        <w:jc w:val="center"/>
        <w:spacing w:line="360" w:lineRule="auto"/>
        <w:rPr>
          <w:rFonts w:ascii="宋体" w:hAnsi="宋体" w:cs="Arial"/>
          <w:sz w:val="24"/>
          <w:szCs w:val="24"/>
          <w:highlight w:val="none"/>
          <w:u w:val="single"/>
        </w:rPr>
      </w:pPr>
      <w:r>
        <w:rPr>
          <w:rFonts w:ascii="宋体" w:hAnsi="宋体" w:cs="Arial"/>
          <w:sz w:val="24"/>
          <w:szCs w:val="24"/>
          <w:highlight w:val="none"/>
          <w:u w:val="single"/>
        </w:rPr>
      </w:r>
      <w:r/>
    </w:p>
    <w:p>
      <w:pPr>
        <w:pStyle w:val="1035"/>
        <w:jc w:val="center"/>
        <w:spacing w:line="360" w:lineRule="auto"/>
        <w:rPr>
          <w:rFonts w:ascii="宋体" w:hAnsi="宋体" w:cs="Arial"/>
          <w:szCs w:val="21"/>
          <w:highlight w:val="none"/>
        </w:rPr>
      </w:pPr>
      <w:r>
        <w:rPr>
          <w:rFonts w:ascii="宋体" w:hAnsi="宋体" w:cs="Arial"/>
          <w:szCs w:val="21"/>
          <w:highlight w:val="none"/>
          <w:u w:val="single"/>
        </w:rPr>
        <w:t xml:space="preserve">         （ 封面）         </w:t>
      </w:r>
      <w:r>
        <w:rPr>
          <w:rFonts w:ascii="宋体" w:hAnsi="宋体" w:cs="Arial"/>
          <w:szCs w:val="21"/>
          <w:highlight w:val="none"/>
        </w:rPr>
        <w:t xml:space="preserve">工程</w:t>
      </w:r>
      <w:r>
        <w:rPr>
          <w:rFonts w:ascii="宋体" w:hAnsi="宋体" w:cs="Arial"/>
          <w:szCs w:val="21"/>
          <w:highlight w:val="none"/>
        </w:rPr>
      </w:r>
      <w:r/>
    </w:p>
    <w:p>
      <w:pPr>
        <w:pStyle w:val="1035"/>
        <w:spacing w:line="360" w:lineRule="auto"/>
        <w:rPr>
          <w:rFonts w:ascii="宋体" w:hAnsi="宋体" w:cs="Arial"/>
          <w:iCs/>
          <w:sz w:val="24"/>
          <w:szCs w:val="24"/>
          <w:highlight w:val="none"/>
          <w:u w:val="single"/>
        </w:rPr>
      </w:pPr>
      <w:r>
        <w:rPr>
          <w:rFonts w:ascii="宋体" w:hAnsi="宋体" w:cs="Arial"/>
          <w:iCs/>
          <w:sz w:val="24"/>
          <w:szCs w:val="24"/>
          <w:highlight w:val="none"/>
          <w:u w:val="single"/>
        </w:rPr>
      </w:r>
      <w:r/>
    </w:p>
    <w:p>
      <w:pPr>
        <w:pStyle w:val="1035"/>
        <w:jc w:val="center"/>
        <w:spacing w:line="360" w:lineRule="auto"/>
        <w:rPr>
          <w:rFonts w:ascii="宋体" w:hAnsi="宋体" w:cs="Arial"/>
          <w:sz w:val="24"/>
          <w:szCs w:val="24"/>
          <w:highlight w:val="none"/>
        </w:rPr>
      </w:pPr>
      <w:r>
        <w:rPr>
          <w:rFonts w:ascii="宋体" w:hAnsi="宋体" w:cs="Arial"/>
          <w:sz w:val="24"/>
          <w:szCs w:val="24"/>
          <w:highlight w:val="none"/>
        </w:rPr>
      </w:r>
      <w:r/>
    </w:p>
    <w:p>
      <w:pPr>
        <w:pStyle w:val="1035"/>
        <w:jc w:val="center"/>
        <w:spacing w:line="360" w:lineRule="auto"/>
        <w:rPr>
          <w:rFonts w:ascii="宋体" w:hAnsi="宋体" w:cs="Arial"/>
          <w:sz w:val="24"/>
          <w:szCs w:val="24"/>
          <w:highlight w:val="none"/>
        </w:rPr>
      </w:pPr>
      <w:r>
        <w:rPr>
          <w:rFonts w:ascii="宋体" w:hAnsi="宋体" w:cs="Arial"/>
          <w:sz w:val="24"/>
          <w:szCs w:val="24"/>
          <w:highlight w:val="none"/>
        </w:rPr>
      </w:r>
      <w:r/>
    </w:p>
    <w:p>
      <w:pPr>
        <w:pStyle w:val="1035"/>
        <w:jc w:val="center"/>
        <w:spacing w:line="360" w:lineRule="auto"/>
        <w:rPr>
          <w:rFonts w:ascii="宋体" w:hAnsi="宋体" w:cs="Arial"/>
          <w:sz w:val="24"/>
          <w:szCs w:val="24"/>
          <w:highlight w:val="none"/>
        </w:rPr>
      </w:pPr>
      <w:r>
        <w:rPr>
          <w:rFonts w:ascii="宋体" w:hAnsi="宋体" w:cs="Arial"/>
          <w:sz w:val="24"/>
          <w:szCs w:val="24"/>
          <w:highlight w:val="none"/>
        </w:rPr>
      </w:r>
      <w:r/>
    </w:p>
    <w:p>
      <w:pPr>
        <w:pStyle w:val="1035"/>
        <w:jc w:val="center"/>
        <w:spacing w:line="360" w:lineRule="auto"/>
        <w:rPr>
          <w:rFonts w:ascii="黑体" w:hAnsi="黑体" w:eastAsia="黑体" w:cs="黑体"/>
          <w:b/>
          <w:sz w:val="44"/>
          <w:szCs w:val="44"/>
          <w:highlight w:val="none"/>
        </w:rPr>
      </w:pPr>
      <w:r>
        <w:rPr>
          <w:rFonts w:hint="eastAsia" w:ascii="黑体" w:hAnsi="黑体" w:eastAsia="黑体" w:cs="黑体"/>
          <w:b/>
          <w:sz w:val="44"/>
          <w:szCs w:val="44"/>
          <w:highlight w:val="none"/>
        </w:rPr>
        <w:t xml:space="preserve">竞 争 磋 商 报 价 文 件</w:t>
      </w:r>
      <w:r>
        <w:rPr>
          <w:rFonts w:ascii="黑体" w:hAnsi="黑体" w:eastAsia="黑体" w:cs="黑体"/>
          <w:b/>
          <w:sz w:val="44"/>
          <w:szCs w:val="44"/>
          <w:highlight w:val="none"/>
        </w:rPr>
      </w:r>
      <w:r/>
    </w:p>
    <w:p>
      <w:pPr>
        <w:pStyle w:val="1035"/>
        <w:spacing w:line="360" w:lineRule="auto"/>
        <w:rPr>
          <w:rFonts w:ascii="宋体" w:hAnsi="宋体" w:cs="Arial"/>
          <w:sz w:val="24"/>
          <w:szCs w:val="24"/>
          <w:highlight w:val="none"/>
        </w:rPr>
      </w:pPr>
      <w:r>
        <w:rPr>
          <w:rFonts w:ascii="宋体" w:hAnsi="宋体" w:cs="Arial"/>
          <w:sz w:val="24"/>
          <w:szCs w:val="24"/>
          <w:highlight w:val="none"/>
        </w:rPr>
      </w:r>
      <w:r/>
    </w:p>
    <w:p>
      <w:pPr>
        <w:pStyle w:val="1035"/>
        <w:spacing w:line="360" w:lineRule="auto"/>
        <w:rPr>
          <w:rFonts w:ascii="宋体" w:hAnsi="宋体" w:cs="Arial"/>
          <w:sz w:val="24"/>
          <w:szCs w:val="24"/>
          <w:highlight w:val="none"/>
        </w:rPr>
      </w:pPr>
      <w:r>
        <w:rPr>
          <w:rFonts w:ascii="宋体" w:hAnsi="宋体" w:cs="Arial"/>
          <w:sz w:val="24"/>
          <w:szCs w:val="24"/>
          <w:highlight w:val="non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ind w:firstLine="1260"/>
        <w:spacing w:line="360" w:lineRule="auto"/>
        <w:rPr>
          <w:rFonts w:ascii="宋体" w:hAnsi="宋体" w:cs="Arial"/>
          <w:szCs w:val="21"/>
          <w:highlight w:val="none"/>
          <w:u w:val="single"/>
        </w:rPr>
      </w:pPr>
      <w:r>
        <w:rPr>
          <w:rFonts w:hint="eastAsia" w:ascii="宋体" w:hAnsi="宋体" w:cs="Arial"/>
          <w:szCs w:val="21"/>
          <w:highlight w:val="none"/>
        </w:rPr>
        <w:t xml:space="preserve">响应单位</w:t>
      </w:r>
      <w:r>
        <w:rPr>
          <w:rFonts w:ascii="宋体" w:hAnsi="宋体" w:cs="Arial"/>
          <w:szCs w:val="21"/>
          <w:highlight w:val="none"/>
        </w:rPr>
        <w:t xml:space="preserve">（盖章）：</w:t>
      </w:r>
      <w:r>
        <w:rPr>
          <w:rFonts w:ascii="宋体" w:hAnsi="宋体" w:cs="Arial"/>
          <w:szCs w:val="21"/>
          <w:highlight w:val="none"/>
          <w:u w:val="single"/>
        </w:rPr>
      </w:r>
      <w:r/>
    </w:p>
    <w:p>
      <w:pPr>
        <w:pStyle w:val="1035"/>
        <w:ind w:firstLine="1260"/>
        <w:spacing w:line="360" w:lineRule="auto"/>
        <w:rPr>
          <w:rFonts w:ascii="宋体" w:hAnsi="宋体" w:cs="Arial"/>
          <w:szCs w:val="21"/>
          <w:highlight w:val="none"/>
        </w:rPr>
      </w:pPr>
      <w:r>
        <w:rPr>
          <w:rFonts w:ascii="宋体" w:hAnsi="宋体" w:cs="Arial"/>
          <w:szCs w:val="21"/>
          <w:highlight w:val="none"/>
        </w:rPr>
      </w:r>
      <w:r/>
    </w:p>
    <w:p>
      <w:pPr>
        <w:pStyle w:val="1035"/>
        <w:spacing w:line="360" w:lineRule="auto"/>
        <w:rPr>
          <w:rFonts w:ascii="宋体" w:hAnsi="宋体" w:cs="Arial"/>
          <w:szCs w:val="21"/>
          <w:highlight w:val="none"/>
          <w:u w:val="single"/>
        </w:rPr>
      </w:pPr>
      <w:r>
        <w:rPr>
          <w:rFonts w:ascii="宋体" w:hAnsi="宋体" w:cs="Arial"/>
          <w:szCs w:val="21"/>
          <w:highlight w:val="none"/>
          <w:u w:val="singl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ind w:firstLine="1155"/>
        <w:spacing w:line="360" w:lineRule="auto"/>
        <w:rPr>
          <w:rFonts w:ascii="宋体" w:hAnsi="宋体" w:cs="Arial"/>
          <w:szCs w:val="21"/>
          <w:highlight w:val="none"/>
        </w:rPr>
      </w:pPr>
      <w:r>
        <w:rPr>
          <w:rFonts w:ascii="宋体" w:hAnsi="宋体" w:cs="Arial"/>
          <w:szCs w:val="21"/>
          <w:highlight w:val="none"/>
        </w:rPr>
        <w:t xml:space="preserve">法定代表人或委托代理人（签字或盖章）：</w:t>
      </w:r>
      <w:r>
        <w:rPr>
          <w:rFonts w:ascii="宋体" w:hAnsi="宋体" w:cs="Arial"/>
          <w:szCs w:val="21"/>
          <w:highlight w:val="non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ind w:firstLine="1155"/>
        <w:jc w:val="center"/>
        <w:spacing w:line="360" w:lineRule="auto"/>
        <w:rPr>
          <w:rFonts w:ascii="宋体" w:hAnsi="宋体" w:cs="Arial"/>
          <w:szCs w:val="21"/>
          <w:highlight w:val="none"/>
        </w:rPr>
      </w:pPr>
      <w:r>
        <w:rPr>
          <w:rFonts w:ascii="宋体" w:hAnsi="宋体" w:cs="Arial"/>
          <w:szCs w:val="21"/>
          <w:highlight w:val="none"/>
        </w:rPr>
      </w:r>
      <w:r/>
    </w:p>
    <w:p>
      <w:pPr>
        <w:pStyle w:val="1035"/>
        <w:rPr>
          <w:rFonts w:ascii="Times New Roman" w:hAnsi="Times New Roman" w:cs="Arial"/>
          <w:szCs w:val="21"/>
          <w:highlight w:val="none"/>
        </w:rPr>
      </w:pPr>
      <w:r>
        <w:rPr>
          <w:rFonts w:ascii="Times New Roman" w:hAnsi="Times New Roman" w:cs="Arial"/>
          <w:szCs w:val="21"/>
          <w:highlight w:val="none"/>
        </w:rPr>
      </w:r>
      <w:r/>
    </w:p>
    <w:p>
      <w:pPr>
        <w:pStyle w:val="1035"/>
        <w:spacing w:line="360" w:lineRule="auto"/>
        <w:rPr>
          <w:rFonts w:ascii="宋体" w:hAnsi="宋体" w:cs="Arial"/>
          <w:szCs w:val="21"/>
          <w:highlight w:val="none"/>
        </w:rPr>
      </w:pPr>
      <w:r>
        <w:rPr>
          <w:rFonts w:ascii="宋体" w:hAnsi="宋体" w:cs="Arial"/>
          <w:szCs w:val="21"/>
          <w:highlight w:val="none"/>
        </w:rPr>
      </w:r>
      <w:r/>
    </w:p>
    <w:p>
      <w:pPr>
        <w:pStyle w:val="1035"/>
        <w:rPr>
          <w:rFonts w:ascii="Times New Roman" w:hAnsi="Times New Roman"/>
          <w:szCs w:val="24"/>
          <w:highlight w:val="none"/>
        </w:rPr>
      </w:pPr>
      <w:r>
        <w:rPr>
          <w:rFonts w:ascii="Times New Roman" w:hAnsi="Times New Roman"/>
          <w:szCs w:val="24"/>
          <w:highlight w:val="none"/>
        </w:rPr>
      </w:r>
      <w:r/>
    </w:p>
    <w:p>
      <w:pPr>
        <w:pStyle w:val="1035"/>
        <w:ind w:firstLine="1155"/>
        <w:spacing w:line="360" w:lineRule="auto"/>
        <w:rPr>
          <w:rFonts w:ascii="宋体" w:hAnsi="宋体"/>
          <w:b/>
          <w:szCs w:val="21"/>
          <w:highlight w:val="none"/>
        </w:rPr>
      </w:pPr>
      <w:r>
        <w:rPr>
          <w:rFonts w:ascii="宋体" w:hAnsi="宋体" w:cs="Arial"/>
          <w:szCs w:val="21"/>
          <w:highlight w:val="none"/>
        </w:rPr>
        <w:t xml:space="preserve">日  期：</w:t>
      </w:r>
      <w:r>
        <w:rPr>
          <w:rFonts w:hint="eastAsia" w:ascii="宋体" w:hAnsi="宋体" w:cs="Arial"/>
          <w:szCs w:val="21"/>
          <w:highlight w:val="none"/>
        </w:rPr>
        <w:t xml:space="preserve">202</w:t>
      </w:r>
      <w:r>
        <w:rPr>
          <w:rFonts w:hint="eastAsia" w:ascii="宋体" w:hAnsi="宋体" w:cs="Arial"/>
          <w:szCs w:val="21"/>
          <w:highlight w:val="none"/>
          <w:lang w:val="en-US" w:eastAsia="zh-CN"/>
        </w:rPr>
        <w:t xml:space="preserve">6</w:t>
      </w:r>
      <w:r>
        <w:rPr>
          <w:rFonts w:ascii="宋体" w:hAnsi="宋体" w:cs="Arial"/>
          <w:szCs w:val="21"/>
          <w:highlight w:val="none"/>
        </w:rPr>
        <w:t xml:space="preserve">年</w:t>
      </w:r>
      <w:r>
        <w:rPr>
          <w:rFonts w:hint="eastAsia" w:ascii="宋体" w:hAnsi="宋体" w:cs="Arial"/>
          <w:szCs w:val="21"/>
          <w:highlight w:val="none"/>
        </w:rPr>
        <w:t xml:space="preserve"> </w:t>
      </w:r>
      <w:r>
        <w:rPr>
          <w:rFonts w:hint="eastAsia" w:ascii="宋体" w:hAnsi="宋体" w:cs="Arial"/>
          <w:szCs w:val="21"/>
          <w:highlight w:val="none"/>
          <w:lang w:val="en-US" w:eastAsia="zh-CN"/>
        </w:rPr>
        <w:t xml:space="preserve">  </w:t>
      </w:r>
      <w:r>
        <w:rPr>
          <w:rFonts w:ascii="宋体" w:hAnsi="宋体" w:cs="Arial"/>
          <w:szCs w:val="21"/>
          <w:highlight w:val="none"/>
        </w:rPr>
        <w:t xml:space="preserve">月</w:t>
      </w:r>
      <w:r>
        <w:rPr>
          <w:rFonts w:hint="eastAsia" w:ascii="宋体" w:hAnsi="宋体" w:cs="Arial"/>
          <w:szCs w:val="21"/>
          <w:highlight w:val="none"/>
        </w:rPr>
        <w:t xml:space="preserve"> </w:t>
      </w:r>
      <w:r>
        <w:rPr>
          <w:rFonts w:hint="eastAsia" w:ascii="宋体" w:hAnsi="宋体" w:cs="Arial"/>
          <w:szCs w:val="21"/>
          <w:highlight w:val="none"/>
          <w:lang w:val="en-US" w:eastAsia="zh-CN"/>
        </w:rPr>
        <w:t xml:space="preserve">  </w:t>
      </w:r>
      <w:r>
        <w:rPr>
          <w:rFonts w:ascii="宋体" w:hAnsi="宋体" w:cs="Arial"/>
          <w:szCs w:val="21"/>
          <w:highlight w:val="none"/>
        </w:rPr>
        <w:t xml:space="preserve">日</w:t>
      </w:r>
      <w:r>
        <w:rPr>
          <w:rFonts w:ascii="宋体" w:hAnsi="宋体"/>
          <w:b/>
          <w:szCs w:val="21"/>
          <w:highlight w:val="none"/>
        </w:rPr>
      </w:r>
      <w:r/>
    </w:p>
    <w:p>
      <w:pPr>
        <w:spacing w:line="360" w:lineRule="auto"/>
        <w:rPr>
          <w:rFonts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p>
    <w:p>
      <w:pPr>
        <w:spacing w:line="360" w:lineRule="auto"/>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p>
    <w:p>
      <w:pPr>
        <w:spacing w:line="360" w:lineRule="auto"/>
        <w:rPr>
          <w:rFonts w:hint="eastAsia" w:ascii="宋体" w:hAnsi="宋体"/>
          <w:b/>
          <w:bCs/>
          <w:sz w:val="24"/>
          <w:szCs w:val="24"/>
          <w:highlight w:val="none"/>
        </w:rPr>
      </w:pPr>
      <w:r>
        <w:rPr>
          <w:rFonts w:hint="eastAsia" w:ascii="宋体" w:hAnsi="宋体"/>
          <w:b/>
          <w:sz w:val="24"/>
          <w:szCs w:val="24"/>
          <w:highlight w:val="none"/>
        </w:rPr>
      </w:r>
      <w:r>
        <w:rPr>
          <w:rFonts w:hint="eastAsia" w:ascii="宋体" w:hAnsi="宋体"/>
          <w:b/>
          <w:sz w:val="24"/>
          <w:szCs w:val="24"/>
          <w:highlight w:val="none"/>
        </w:rPr>
      </w:r>
    </w:p>
    <w:p>
      <w:pPr>
        <w:pStyle w:val="1035"/>
        <w:spacing w:line="360" w:lineRule="auto"/>
        <w:rPr>
          <w:rFonts w:hint="eastAsia" w:ascii="宋体" w:hAnsi="宋体"/>
          <w:b/>
          <w:bCs/>
          <w:sz w:val="24"/>
          <w:szCs w:val="24"/>
          <w:highlight w:val="none"/>
        </w:rPr>
      </w:pPr>
      <w:r>
        <w:rPr>
          <w:rFonts w:hint="eastAsia" w:ascii="宋体" w:hAnsi="宋体"/>
          <w:b/>
          <w:sz w:val="24"/>
          <w:szCs w:val="24"/>
          <w:highlight w:val="none"/>
        </w:rPr>
        <w:t xml:space="preserve">2、磋商响应函</w:t>
      </w:r>
      <w:r>
        <w:rPr>
          <w:rFonts w:ascii="宋体" w:hAnsi="宋体"/>
          <w:b/>
          <w:sz w:val="24"/>
          <w:szCs w:val="24"/>
          <w:highlight w:val="none"/>
        </w:rPr>
      </w:r>
      <w:r/>
    </w:p>
    <w:p>
      <w:pPr>
        <w:pStyle w:val="1035"/>
        <w:ind w:firstLine="422"/>
        <w:jc w:val="center"/>
        <w:spacing w:line="360" w:lineRule="auto"/>
        <w:rPr>
          <w:rFonts w:ascii="宋体" w:hAnsi="宋体"/>
          <w:b/>
          <w:szCs w:val="21"/>
          <w:highlight w:val="none"/>
        </w:rPr>
      </w:pPr>
      <w:r>
        <w:rPr>
          <w:rFonts w:hint="eastAsia" w:ascii="宋体" w:hAnsi="宋体"/>
          <w:b/>
          <w:szCs w:val="21"/>
          <w:highlight w:val="none"/>
        </w:rPr>
        <w:t xml:space="preserve">磋商响应函</w:t>
      </w:r>
      <w:r>
        <w:rPr>
          <w:rFonts w:ascii="宋体" w:hAnsi="宋体"/>
          <w:b/>
          <w:szCs w:val="21"/>
          <w:highlight w:val="none"/>
        </w:rPr>
      </w:r>
      <w:r/>
    </w:p>
    <w:p>
      <w:pPr>
        <w:pStyle w:val="1035"/>
        <w:ind w:firstLine="422"/>
        <w:spacing w:line="360" w:lineRule="auto"/>
        <w:rPr>
          <w:rFonts w:ascii="宋体" w:hAnsi="宋体"/>
          <w:iCs/>
          <w:szCs w:val="21"/>
          <w:highlight w:val="none"/>
        </w:rPr>
      </w:pPr>
      <w:r>
        <w:rPr>
          <w:rFonts w:hint="eastAsia" w:ascii="宋体" w:hAnsi="宋体"/>
          <w:b/>
          <w:iCs/>
          <w:szCs w:val="21"/>
          <w:highlight w:val="none"/>
          <w:u w:val="single"/>
        </w:rPr>
        <w:t xml:space="preserve">（采购代理机构）</w:t>
      </w:r>
      <w:r>
        <w:rPr>
          <w:rFonts w:hint="eastAsia" w:ascii="宋体" w:hAnsi="宋体"/>
          <w:iCs/>
          <w:szCs w:val="21"/>
          <w:highlight w:val="none"/>
        </w:rPr>
        <w:t xml:space="preserve">：</w:t>
      </w:r>
      <w:r>
        <w:rPr>
          <w:rFonts w:ascii="宋体" w:hAnsi="宋体"/>
          <w:iCs/>
          <w:szCs w:val="21"/>
          <w:highlight w:val="none"/>
        </w:rPr>
      </w:r>
      <w:r/>
    </w:p>
    <w:p>
      <w:pPr>
        <w:pStyle w:val="1035"/>
        <w:ind w:firstLine="420"/>
        <w:spacing w:line="360" w:lineRule="auto"/>
        <w:rPr>
          <w:rFonts w:ascii="宋体" w:hAnsi="宋体"/>
          <w:iCs/>
          <w:szCs w:val="21"/>
          <w:highlight w:val="none"/>
        </w:rPr>
      </w:pPr>
      <w:r>
        <w:rPr>
          <w:rFonts w:hint="eastAsia" w:ascii="宋体" w:hAnsi="宋体"/>
          <w:iCs/>
          <w:szCs w:val="21"/>
          <w:highlight w:val="none"/>
        </w:rPr>
        <w:t xml:space="preserve">我们收到贵公司</w:t>
      </w:r>
      <w:r>
        <w:rPr>
          <w:rFonts w:hint="eastAsia" w:ascii="宋体" w:hAnsi="宋体"/>
          <w:b/>
          <w:iCs/>
          <w:szCs w:val="21"/>
          <w:highlight w:val="none"/>
          <w:u w:val="single"/>
        </w:rPr>
        <w:t xml:space="preserve">（采购编号）</w:t>
      </w:r>
      <w:r>
        <w:rPr>
          <w:rFonts w:hint="eastAsia" w:ascii="宋体" w:hAnsi="宋体"/>
          <w:iCs/>
          <w:szCs w:val="21"/>
          <w:highlight w:val="none"/>
        </w:rPr>
        <w:t xml:space="preserve">号磋商文件，经仔细阅读和研究，我们决定参加</w:t>
      </w:r>
      <w:r>
        <w:rPr>
          <w:rFonts w:hint="eastAsia" w:ascii="宋体" w:hAnsi="宋体"/>
          <w:bCs/>
          <w:iCs/>
          <w:szCs w:val="21"/>
          <w:highlight w:val="none"/>
        </w:rPr>
        <w:t xml:space="preserve">贵单位组织的本项目</w:t>
      </w:r>
      <w:r>
        <w:rPr>
          <w:rFonts w:hint="eastAsia" w:ascii="宋体" w:hAnsi="宋体"/>
          <w:iCs/>
          <w:szCs w:val="21"/>
          <w:highlight w:val="none"/>
        </w:rPr>
        <w:t xml:space="preserve">磋商活动。</w:t>
      </w:r>
      <w:r>
        <w:rPr>
          <w:rFonts w:ascii="宋体" w:hAnsi="宋体"/>
          <w:iCs/>
          <w:szCs w:val="21"/>
          <w:highlight w:val="none"/>
        </w:rPr>
      </w:r>
      <w:r/>
    </w:p>
    <w:p>
      <w:pPr>
        <w:pStyle w:val="1035"/>
        <w:ind w:firstLine="420"/>
        <w:spacing w:line="360" w:lineRule="auto"/>
        <w:rPr>
          <w:rFonts w:ascii="宋体" w:hAnsi="宋体"/>
          <w:b/>
          <w:szCs w:val="21"/>
          <w:highlight w:val="none"/>
        </w:rPr>
      </w:pPr>
      <w:r>
        <w:rPr>
          <w:rFonts w:ascii="宋体" w:hAnsi="宋体"/>
          <w:szCs w:val="21"/>
          <w:highlight w:val="none"/>
        </w:rPr>
        <w:t xml:space="preserve">1</w:t>
      </w:r>
      <w:r>
        <w:rPr>
          <w:rFonts w:hint="eastAsia" w:ascii="宋体" w:hAnsi="宋体"/>
          <w:szCs w:val="21"/>
          <w:highlight w:val="none"/>
        </w:rPr>
        <w:t xml:space="preserve">、我们愿意按照磋商文件的一切要求，完成该项目的全部内容。</w:t>
      </w:r>
      <w:r>
        <w:rPr>
          <w:rFonts w:ascii="宋体" w:hAnsi="宋体"/>
          <w:b/>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、如果我们的磋商响应文件被接受，我们将严格履行磋商文件中规定的每一项要求，按期、按质、按量履行合同的义务。</w:t>
      </w:r>
      <w:r>
        <w:rPr>
          <w:rFonts w:ascii="宋体" w:hAnsi="宋体"/>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、我们已</w:t>
      </w:r>
      <w:r>
        <w:rPr>
          <w:rFonts w:ascii="宋体" w:hAnsi="宋体"/>
          <w:szCs w:val="21"/>
          <w:highlight w:val="none"/>
        </w:rPr>
        <w:t xml:space="preserve">详细</w:t>
      </w:r>
      <w:r>
        <w:rPr>
          <w:rFonts w:hint="eastAsia" w:ascii="宋体" w:hAnsi="宋体"/>
          <w:szCs w:val="21"/>
          <w:highlight w:val="none"/>
        </w:rPr>
        <w:t xml:space="preserve">阅读</w:t>
      </w:r>
      <w:r>
        <w:rPr>
          <w:rFonts w:ascii="宋体" w:hAnsi="宋体"/>
          <w:szCs w:val="21"/>
          <w:highlight w:val="none"/>
        </w:rPr>
        <w:t xml:space="preserve">全部</w:t>
      </w:r>
      <w:r>
        <w:rPr>
          <w:rFonts w:hint="eastAsia" w:ascii="宋体" w:hAnsi="宋体"/>
          <w:szCs w:val="21"/>
          <w:highlight w:val="none"/>
        </w:rPr>
        <w:t xml:space="preserve">磋商文件</w:t>
      </w:r>
      <w:r>
        <w:rPr>
          <w:rFonts w:ascii="宋体" w:hAnsi="宋体"/>
          <w:szCs w:val="21"/>
          <w:highlight w:val="none"/>
        </w:rPr>
        <w:t xml:space="preserve">，包括</w:t>
      </w:r>
      <w:r>
        <w:rPr>
          <w:rFonts w:hint="eastAsia" w:ascii="宋体" w:hAnsi="宋体"/>
          <w:szCs w:val="21"/>
          <w:highlight w:val="none"/>
        </w:rPr>
        <w:t xml:space="preserve">更正公告</w:t>
      </w:r>
      <w:r>
        <w:rPr>
          <w:rFonts w:ascii="宋体" w:hAnsi="宋体"/>
          <w:szCs w:val="21"/>
          <w:highlight w:val="none"/>
        </w:rPr>
        <w:t xml:space="preserve">(如有)</w:t>
      </w:r>
      <w:r>
        <w:rPr>
          <w:rFonts w:hint="eastAsia" w:ascii="宋体" w:hAnsi="宋体"/>
          <w:szCs w:val="21"/>
          <w:highlight w:val="none"/>
        </w:rPr>
        <w:t xml:space="preserve">，对磋商文件及更正公告</w:t>
      </w:r>
      <w:r>
        <w:rPr>
          <w:rFonts w:ascii="宋体" w:hAnsi="宋体"/>
          <w:szCs w:val="21"/>
          <w:highlight w:val="none"/>
        </w:rPr>
        <w:t xml:space="preserve">(如有)</w:t>
      </w:r>
      <w:r>
        <w:rPr>
          <w:rFonts w:hint="eastAsia" w:ascii="宋体" w:hAnsi="宋体"/>
          <w:szCs w:val="21"/>
          <w:highlight w:val="none"/>
        </w:rPr>
        <w:t xml:space="preserve">无任何异议。</w:t>
      </w:r>
      <w:r>
        <w:rPr>
          <w:rFonts w:ascii="宋体" w:hAnsi="宋体"/>
          <w:szCs w:val="21"/>
          <w:highlight w:val="none"/>
        </w:rPr>
        <w:t xml:space="preserve">我们完全理解并同意放弃对这方面有不明及误解的权力。</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4、我们同意按磋商文件中的规定，本响应文件的有效期限自提交响应文件截止时间之日起</w:t>
      </w:r>
      <w:r>
        <w:rPr>
          <w:rFonts w:ascii="宋体" w:hAnsi="宋体"/>
          <w:szCs w:val="21"/>
          <w:highlight w:val="none"/>
        </w:rPr>
        <w:t xml:space="preserve">45</w:t>
      </w:r>
      <w:r>
        <w:rPr>
          <w:rFonts w:hint="eastAsia" w:ascii="宋体" w:hAnsi="宋体"/>
          <w:szCs w:val="21"/>
          <w:highlight w:val="none"/>
        </w:rPr>
        <w:t xml:space="preserve">天。</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5、我们愿意提供磋商采购单位在磋商文件中要求的所有资料。</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6、我们愿意遵守磋商文件中所列的收费标准。</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7、我们承诺该响应文件在磋商开始后的全过程中保持有效，不作任何更改和变动。</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8、我们承诺我公司符合磋商文件供应商须知中“合格供应商的基本、特定条件”的要求，若与真实情况不符，本公司愿意承担由此而产生的一切后果。</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我们声明：我们在参加本次政府采购活动前3年内在经营活动中没有重大违法记录。</w:t>
      </w:r>
      <w:r>
        <w:rPr>
          <w:rFonts w:ascii="宋体" w:hAnsi="宋体"/>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供应商：（公章）</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法定代表人或委托代理人：（签字或盖章）</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日期：202</w:t>
      </w:r>
      <w:r>
        <w:rPr>
          <w:rFonts w:hint="eastAsia" w:ascii="宋体" w:hAnsi="宋体"/>
          <w:szCs w:val="21"/>
          <w:highlight w:val="none"/>
          <w:lang w:val="en-US" w:eastAsia="zh-CN"/>
        </w:rPr>
        <w:t xml:space="preserve">6</w:t>
      </w:r>
      <w:r>
        <w:rPr>
          <w:rFonts w:hint="eastAsia" w:ascii="宋体" w:hAnsi="宋体"/>
          <w:szCs w:val="21"/>
          <w:highlight w:val="none"/>
        </w:rPr>
        <w:t xml:space="preserve">年  月  日</w:t>
      </w:r>
      <w:r>
        <w:rPr>
          <w:rFonts w:ascii="宋体" w:hAnsi="宋体"/>
          <w:szCs w:val="21"/>
          <w:highlight w:val="none"/>
        </w:rPr>
      </w:r>
      <w:r/>
    </w:p>
    <w:p>
      <w:pPr>
        <w:pStyle w:val="1035"/>
        <w:spacing w:line="360" w:lineRule="auto"/>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shd w:val="nil"/>
        <w:rPr>
          <w:rFonts w:ascii="宋体" w:hAnsi="宋体"/>
          <w:highlight w:val="none"/>
        </w:rPr>
        <w:outlineLvl w:val="1"/>
      </w:pPr>
      <w:r>
        <w:rPr>
          <w:rFonts w:hint="eastAsia" w:ascii="宋体" w:hAnsi="宋体"/>
          <w:b/>
          <w:sz w:val="24"/>
          <w:szCs w:val="24"/>
          <w:highlight w:val="none"/>
        </w:rPr>
        <w:br w:type="page" w:clear="all"/>
      </w:r>
      <w:r>
        <w:rPr>
          <w:rFonts w:hint="eastAsia" w:ascii="宋体" w:hAnsi="宋体"/>
          <w:b/>
          <w:sz w:val="24"/>
          <w:szCs w:val="24"/>
          <w:highlight w:val="none"/>
        </w:rPr>
      </w:r>
    </w:p>
    <w:p>
      <w:pPr>
        <w:pStyle w:val="1035"/>
        <w:jc w:val="left"/>
        <w:spacing w:line="360" w:lineRule="auto"/>
        <w:rPr>
          <w:rFonts w:hint="eastAsia" w:ascii="宋体" w:hAnsi="宋体"/>
          <w:b/>
          <w:bCs/>
          <w:sz w:val="24"/>
          <w:szCs w:val="24"/>
          <w:highlight w:val="none"/>
        </w:rPr>
        <w:outlineLvl w:val="1"/>
      </w:pPr>
      <w:r>
        <w:rPr>
          <w:rFonts w:hint="eastAsia" w:ascii="宋体" w:hAnsi="宋体"/>
          <w:b/>
          <w:sz w:val="24"/>
          <w:szCs w:val="24"/>
          <w:highlight w:val="none"/>
        </w:rPr>
        <w:t xml:space="preserve">3、授权委托书</w:t>
      </w:r>
      <w:r>
        <w:rPr>
          <w:rFonts w:ascii="宋体" w:hAnsi="宋体"/>
          <w:szCs w:val="21"/>
          <w:highlight w:val="none"/>
        </w:rPr>
      </w:r>
      <w:r/>
    </w:p>
    <w:p>
      <w:pPr>
        <w:pStyle w:val="1035"/>
        <w:spacing w:line="360" w:lineRule="auto"/>
        <w:rPr>
          <w:rFonts w:ascii="宋体" w:hAnsi="宋体"/>
          <w:szCs w:val="21"/>
          <w:highlight w:val="none"/>
        </w:rPr>
        <w:outlineLvl w:val="1"/>
      </w:pPr>
      <w:r>
        <w:rPr>
          <w:rFonts w:ascii="宋体" w:hAnsi="宋体"/>
          <w:szCs w:val="21"/>
          <w:highlight w:val="none"/>
        </w:rPr>
      </w:r>
      <w:r/>
    </w:p>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授权委托书</w:t>
      </w:r>
      <w:r>
        <w:rPr>
          <w:rFonts w:ascii="宋体" w:hAnsi="宋体"/>
          <w:szCs w:val="21"/>
          <w:highlight w:val="none"/>
        </w:rPr>
      </w:r>
      <w:r/>
    </w:p>
    <w:p>
      <w:pPr>
        <w:pStyle w:val="1035"/>
        <w:ind w:firstLine="420"/>
        <w:jc w:val="left"/>
        <w:spacing w:line="360" w:lineRule="auto"/>
        <w:rPr>
          <w:rFonts w:ascii="宋体" w:hAnsi="宋体"/>
          <w:szCs w:val="21"/>
          <w:highlight w:val="none"/>
        </w:rPr>
        <w:outlineLvl w:val="1"/>
      </w:pPr>
      <w:r>
        <w:rPr>
          <w:rFonts w:ascii="宋体" w:hAnsi="宋体"/>
          <w:szCs w:val="21"/>
          <w:highlight w:val="none"/>
        </w:rPr>
      </w:r>
      <w:r/>
    </w:p>
    <w:p>
      <w:pPr>
        <w:pStyle w:val="1035"/>
        <w:ind w:firstLine="525"/>
        <w:jc w:val="left"/>
        <w:spacing w:line="360" w:lineRule="auto"/>
        <w:rPr>
          <w:rFonts w:ascii="宋体" w:hAnsi="宋体"/>
          <w:szCs w:val="21"/>
          <w:highlight w:val="none"/>
        </w:rPr>
        <w:outlineLvl w:val="1"/>
      </w:pPr>
      <w:r>
        <w:rPr>
          <w:rFonts w:hint="eastAsia" w:ascii="宋体" w:hAnsi="宋体"/>
          <w:szCs w:val="21"/>
          <w:highlight w:val="none"/>
        </w:rPr>
        <w:t xml:space="preserve">本授权委托书声明：我（姓名）系（磋商供应商名称）的法定代表人，现授权委托（单位名称）的（姓名）为我的委托代理人，以本公司的名义参加</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组织实施的编号</w:t>
      </w:r>
      <w:r>
        <w:rPr>
          <w:rFonts w:ascii="宋体" w:hAnsi="宋体"/>
          <w:szCs w:val="21"/>
          <w:highlight w:val="none"/>
          <w:u w:val="single"/>
        </w:rPr>
        <w:t xml:space="preserve">              </w:t>
      </w:r>
      <w:r>
        <w:rPr>
          <w:rFonts w:hint="eastAsia" w:ascii="宋体" w:hAnsi="宋体"/>
          <w:szCs w:val="21"/>
          <w:highlight w:val="none"/>
        </w:rPr>
        <w:t xml:space="preserve">号的磋商采购活动。代理人在磋商活动过程中所签署的一切文件和处理与这有关的一切事务，我均予以承认。</w:t>
      </w:r>
      <w:r>
        <w:rPr>
          <w:rFonts w:ascii="宋体" w:hAnsi="宋体"/>
          <w:szCs w:val="21"/>
          <w:highlight w:val="none"/>
        </w:rPr>
      </w:r>
      <w:r/>
    </w:p>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委托代理人在授权委托书有效期内签署的所有文件不因授权委托的撤销而失效，除非有撤销授权委托的书面通知，本授权委托书自磋商活动开始至合同履行完毕止。</w:t>
      </w:r>
      <w:r>
        <w:rPr>
          <w:rFonts w:ascii="宋体" w:hAnsi="宋体"/>
          <w:szCs w:val="21"/>
          <w:highlight w:val="none"/>
        </w:rPr>
      </w:r>
      <w:r/>
    </w:p>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委托代理人无转委托权。特此委托。</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响应单位：（单位盖章）</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法定代表人：（签字或盖章）</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委托代理人：（签字或盖章）</w:t>
      </w:r>
      <w:r>
        <w:rPr>
          <w:rFonts w:ascii="宋体" w:hAnsi="宋体"/>
          <w:szCs w:val="21"/>
          <w:highlight w:val="none"/>
        </w:rPr>
      </w:r>
      <w:r/>
    </w:p>
    <w:p>
      <w:pPr>
        <w:pStyle w:val="1035"/>
        <w:spacing w:line="360" w:lineRule="auto"/>
        <w:widowControl/>
        <w:rPr>
          <w:rFonts w:ascii="宋体" w:hAnsi="Times New Roman"/>
          <w:szCs w:val="20"/>
          <w:highlight w:val="none"/>
        </w:rPr>
      </w:pPr>
      <w:r>
        <w:rPr>
          <w:rFonts w:ascii="宋体" w:hAnsi="Times New Roman"/>
          <w:szCs w:val="20"/>
          <w:highlight w:val="none"/>
        </w:rPr>
      </w:r>
      <w:r/>
    </w:p>
    <w:p>
      <w:pPr>
        <w:pStyle w:val="1035"/>
        <w:spacing w:line="360" w:lineRule="auto"/>
        <w:rPr>
          <w:rFonts w:ascii="宋体" w:hAnsi="宋体"/>
          <w:bCs/>
          <w:szCs w:val="21"/>
          <w:highlight w:val="none"/>
        </w:rPr>
      </w:pPr>
      <w:r>
        <w:rPr>
          <w:rFonts w:hint="eastAsia" w:ascii="宋体" w:hAnsi="宋体"/>
          <w:bCs/>
          <w:szCs w:val="21"/>
          <w:highlight w:val="none"/>
        </w:rPr>
        <w:t xml:space="preserve">附：法定代表人身份证复印件（双面）</w:t>
      </w:r>
      <w:r>
        <w:rPr>
          <w:rFonts w:ascii="宋体" w:hAnsi="宋体"/>
          <w:bCs/>
          <w:szCs w:val="21"/>
          <w:highlight w:val="none"/>
        </w:rPr>
      </w:r>
      <w:r/>
    </w:p>
    <w:p>
      <w:pPr>
        <w:pStyle w:val="1035"/>
        <w:ind w:firstLine="200"/>
        <w:spacing w:line="360" w:lineRule="auto"/>
        <w:widowControl/>
        <w:rPr>
          <w:rFonts w:ascii="宋体" w:hAnsi="Times New Roman"/>
          <w:bCs/>
          <w:szCs w:val="21"/>
          <w:highlight w:val="none"/>
        </w:rPr>
      </w:pPr>
      <w:r>
        <w:rPr>
          <w:rFonts w:hint="eastAsia" w:ascii="宋体" w:hAnsi="宋体"/>
          <w:bCs/>
          <w:szCs w:val="21"/>
          <w:highlight w:val="none"/>
        </w:rPr>
        <w:t xml:space="preserve">  委托代理人身份证复印件（双面、如有授权）</w:t>
      </w:r>
      <w:r>
        <w:rPr>
          <w:rFonts w:ascii="宋体" w:hAnsi="Times New Roman"/>
          <w:bCs/>
          <w:szCs w:val="21"/>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Times New Roman"/>
          <w:szCs w:val="20"/>
          <w:highlight w:val="none"/>
        </w:rPr>
      </w:pPr>
      <w:r>
        <w:rPr>
          <w:rFonts w:ascii="宋体" w:hAnsi="Times New Roman"/>
          <w:szCs w:val="20"/>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日期：      年　　月　　日</w:t>
      </w:r>
      <w:r>
        <w:rPr>
          <w:rFonts w:ascii="宋体" w:hAnsi="宋体"/>
          <w:szCs w:val="21"/>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115"/>
        <w:spacing w:line="360" w:lineRule="auto"/>
        <w:rPr>
          <w:rFonts w:ascii="宋体" w:hAnsi="宋体" w:cs="宋体"/>
          <w:szCs w:val="21"/>
          <w:highlight w:val="none"/>
        </w:rPr>
      </w:pPr>
      <w:r>
        <w:rPr>
          <w:rFonts w:ascii="宋体" w:hAnsi="宋体" w:cs="宋体"/>
          <w:szCs w:val="21"/>
          <w:highlight w:val="none"/>
        </w:rPr>
      </w:r>
      <w:r/>
    </w:p>
    <w:p>
      <w:pPr>
        <w:pStyle w:val="1035"/>
        <w:jc w:val="center"/>
        <w:spacing w:line="360" w:lineRule="auto"/>
        <w:rPr>
          <w:rFonts w:ascii="宋体" w:hAnsi="宋体" w:cs="宋体"/>
          <w:b/>
          <w:bCs/>
          <w:sz w:val="24"/>
          <w:szCs w:val="24"/>
          <w:highlight w:val="none"/>
        </w:rPr>
        <w:outlineLvl w:val="1"/>
      </w:pPr>
      <w:r>
        <w:rPr>
          <w:rFonts w:ascii="宋体" w:hAnsi="宋体"/>
          <w:szCs w:val="21"/>
          <w:highlight w:val="none"/>
        </w:rPr>
        <w:br w:type="page" w:clear="all"/>
      </w:r>
      <w:r>
        <w:rPr>
          <w:rFonts w:hint="eastAsia" w:ascii="宋体" w:hAnsi="宋体" w:cs="宋体"/>
          <w:b/>
          <w:bCs/>
          <w:sz w:val="24"/>
          <w:szCs w:val="24"/>
          <w:highlight w:val="none"/>
        </w:rPr>
        <w:t xml:space="preserve">4、报价书</w:t>
      </w:r>
      <w:r>
        <w:rPr>
          <w:rFonts w:ascii="宋体" w:hAnsi="宋体" w:cs="宋体"/>
          <w:b/>
          <w:bCs/>
          <w:sz w:val="24"/>
          <w:szCs w:val="24"/>
          <w:highlight w:val="none"/>
        </w:rPr>
      </w:r>
      <w:r/>
    </w:p>
    <w:p>
      <w:pPr>
        <w:pStyle w:val="1035"/>
        <w:ind w:firstLine="422"/>
        <w:jc w:val="center"/>
        <w:spacing w:line="360" w:lineRule="auto"/>
        <w:rPr>
          <w:rFonts w:ascii="Times New Roman" w:hAnsi="Times New Roman"/>
          <w:szCs w:val="21"/>
          <w:highlight w:val="none"/>
        </w:rPr>
      </w:pPr>
      <w:r>
        <w:rPr>
          <w:rFonts w:hint="eastAsia" w:ascii="宋体" w:hAnsi="宋体" w:cs="宋体"/>
          <w:b/>
          <w:szCs w:val="21"/>
          <w:highlight w:val="none"/>
        </w:rPr>
        <w:t xml:space="preserve">报 价 书（第一次报价）</w:t>
      </w:r>
      <w:r>
        <w:rPr>
          <w:rFonts w:ascii="Times New Roman" w:hAnsi="Times New Roman"/>
          <w:szCs w:val="21"/>
          <w:highlight w:val="none"/>
        </w:rPr>
      </w:r>
      <w:r/>
    </w:p>
    <w:p>
      <w:pPr>
        <w:pStyle w:val="1035"/>
        <w:ind w:firstLine="422"/>
        <w:spacing w:line="360" w:lineRule="auto"/>
        <w:rPr>
          <w:rFonts w:ascii="宋体" w:hAnsi="宋体"/>
          <w:szCs w:val="21"/>
          <w:highlight w:val="none"/>
        </w:rPr>
      </w:pPr>
      <w:r>
        <w:rPr>
          <w:rFonts w:hint="eastAsia" w:ascii="宋体" w:hAnsi="宋体"/>
          <w:b/>
          <w:szCs w:val="21"/>
          <w:highlight w:val="none"/>
          <w:u w:val="single"/>
        </w:rPr>
        <w:t xml:space="preserve">（采购代理机构）</w:t>
      </w:r>
      <w:r>
        <w:rPr>
          <w:rFonts w:hint="eastAsia" w:ascii="宋体" w:hAnsi="宋体"/>
          <w:szCs w:val="21"/>
          <w:highlight w:val="none"/>
        </w:rPr>
        <w:t xml:space="preserve">：</w:t>
      </w:r>
      <w:r>
        <w:rPr>
          <w:rFonts w:ascii="宋体" w:hAnsi="宋体"/>
          <w:szCs w:val="21"/>
          <w:highlight w:val="none"/>
        </w:rPr>
      </w:r>
      <w:r/>
    </w:p>
    <w:p>
      <w:pPr>
        <w:pStyle w:val="1035"/>
        <w:ind w:firstLine="480"/>
        <w:spacing w:line="360" w:lineRule="auto"/>
        <w:rPr>
          <w:rFonts w:ascii="Times New Roman" w:hAnsi="Times New Roman"/>
          <w:szCs w:val="21"/>
          <w:highlight w:val="none"/>
        </w:rPr>
      </w:pPr>
      <w:r>
        <w:rPr>
          <w:rFonts w:hint="eastAsia" w:ascii="Times New Roman" w:hAnsi="Times New Roman"/>
          <w:szCs w:val="21"/>
          <w:highlight w:val="none"/>
        </w:rPr>
        <w:t xml:space="preserve">（一）根据已收到的工程的磋商文件，遵照现行法律法规的有关规定，我单位经考察现场和研究</w:t>
      </w:r>
      <w:r>
        <w:rPr>
          <w:rFonts w:hint="eastAsia" w:ascii="Times New Roman" w:hAnsi="Times New Roman"/>
          <w:bCs/>
          <w:szCs w:val="21"/>
          <w:highlight w:val="none"/>
        </w:rPr>
        <w:t xml:space="preserve">磋商</w:t>
      </w:r>
      <w:r>
        <w:rPr>
          <w:rFonts w:hint="eastAsia" w:ascii="Times New Roman" w:hAnsi="Times New Roman"/>
          <w:szCs w:val="21"/>
          <w:highlight w:val="none"/>
        </w:rPr>
        <w:t xml:space="preserve">文件后，愿以人民币（大写）</w:t>
      </w:r>
      <w:r>
        <w:rPr>
          <w:rFonts w:hint="eastAsia" w:ascii="Times New Roman" w:hAnsi="Times New Roman"/>
          <w:szCs w:val="21"/>
          <w:highlight w:val="none"/>
          <w:u w:val="single"/>
        </w:rPr>
        <w:t xml:space="preserve">（¥         元）</w:t>
      </w:r>
      <w:r>
        <w:rPr>
          <w:rFonts w:hint="eastAsia" w:ascii="Times New Roman" w:hAnsi="Times New Roman"/>
          <w:szCs w:val="21"/>
          <w:highlight w:val="none"/>
        </w:rPr>
        <w:t xml:space="preserve">的总价，按</w:t>
      </w:r>
      <w:r>
        <w:rPr>
          <w:rFonts w:hint="eastAsia" w:ascii="Times New Roman" w:hAnsi="Times New Roman"/>
          <w:bCs/>
          <w:szCs w:val="21"/>
          <w:highlight w:val="none"/>
        </w:rPr>
        <w:t xml:space="preserve">磋商</w:t>
      </w:r>
      <w:r>
        <w:rPr>
          <w:rFonts w:hint="eastAsia" w:ascii="Times New Roman" w:hAnsi="Times New Roman"/>
          <w:szCs w:val="21"/>
          <w:highlight w:val="none"/>
        </w:rPr>
        <w:t xml:space="preserve">文件的要求承包本次发包范围内的全部工程。</w:t>
      </w:r>
      <w:r>
        <w:rPr>
          <w:rFonts w:ascii="Times New Roman" w:hAnsi="Times New Roman"/>
          <w:szCs w:val="21"/>
          <w:highlight w:val="none"/>
        </w:rPr>
      </w:r>
      <w:r/>
    </w:p>
    <w:p>
      <w:pPr>
        <w:pStyle w:val="1035"/>
        <w:ind w:firstLine="480"/>
        <w:spacing w:line="360" w:lineRule="auto"/>
        <w:rPr>
          <w:rFonts w:ascii="Times New Roman" w:hAnsi="Times New Roman"/>
          <w:spacing w:val="16"/>
          <w:szCs w:val="21"/>
          <w:highlight w:val="none"/>
        </w:rPr>
      </w:pPr>
      <w:r>
        <w:rPr>
          <w:rFonts w:hint="eastAsia" w:ascii="Times New Roman" w:hAnsi="Times New Roman"/>
          <w:szCs w:val="21"/>
          <w:highlight w:val="none"/>
        </w:rPr>
        <w:t xml:space="preserve">（二）</w:t>
      </w:r>
      <w:r>
        <w:rPr>
          <w:rFonts w:hint="eastAsia" w:ascii="Times New Roman" w:hAnsi="Times New Roman"/>
          <w:spacing w:val="16"/>
          <w:szCs w:val="21"/>
          <w:highlight w:val="none"/>
        </w:rPr>
        <w:t xml:space="preserve">我单位保证在收到贵单位发出的书面开工令后立即开工，并在</w:t>
      </w:r>
      <w:r>
        <w:rPr>
          <w:rFonts w:hint="eastAsia" w:ascii="Times New Roman" w:hAnsi="Times New Roman"/>
          <w:spacing w:val="16"/>
          <w:szCs w:val="21"/>
          <w:highlight w:val="none"/>
          <w:u w:val="single"/>
        </w:rPr>
        <w:t xml:space="preserve">    天</w:t>
      </w:r>
      <w:r>
        <w:rPr>
          <w:rFonts w:hint="eastAsia" w:ascii="Times New Roman" w:hAnsi="Times New Roman"/>
          <w:spacing w:val="16"/>
          <w:szCs w:val="21"/>
          <w:highlight w:val="none"/>
        </w:rPr>
        <w:t xml:space="preserve">内竣工。</w:t>
      </w:r>
      <w:r>
        <w:rPr>
          <w:rFonts w:ascii="Times New Roman" w:hAnsi="Times New Roman"/>
          <w:spacing w:val="16"/>
          <w:szCs w:val="21"/>
          <w:highlight w:val="none"/>
        </w:rPr>
      </w:r>
      <w:r/>
    </w:p>
    <w:p>
      <w:pPr>
        <w:pStyle w:val="1035"/>
        <w:ind w:firstLine="480"/>
        <w:spacing w:line="360" w:lineRule="auto"/>
        <w:rPr>
          <w:rFonts w:ascii="Times New Roman" w:hAnsi="Times New Roman"/>
          <w:szCs w:val="21"/>
          <w:highlight w:val="none"/>
          <w:u w:val="single"/>
        </w:rPr>
      </w:pPr>
      <w:r>
        <w:rPr>
          <w:rFonts w:hint="eastAsia" w:ascii="Times New Roman" w:hAnsi="Times New Roman"/>
          <w:szCs w:val="21"/>
          <w:highlight w:val="none"/>
        </w:rPr>
        <w:t xml:space="preserve">（三）我单位保证本工程质量达到</w:t>
      </w:r>
      <w:r>
        <w:rPr>
          <w:rFonts w:hint="eastAsia" w:ascii="Times New Roman" w:hAnsi="Times New Roman"/>
          <w:szCs w:val="21"/>
          <w:highlight w:val="none"/>
          <w:u w:val="single"/>
        </w:rPr>
        <w:t xml:space="preserve">        。</w:t>
      </w:r>
      <w:r>
        <w:rPr>
          <w:rFonts w:ascii="Times New Roman" w:hAnsi="Times New Roman"/>
          <w:szCs w:val="21"/>
          <w:highlight w:val="none"/>
          <w:u w:val="single"/>
        </w:rPr>
      </w:r>
      <w:r/>
    </w:p>
    <w:p>
      <w:pPr>
        <w:pStyle w:val="1035"/>
        <w:ind w:firstLine="480"/>
        <w:spacing w:line="360" w:lineRule="auto"/>
        <w:rPr>
          <w:rFonts w:ascii="Times New Roman" w:hAnsi="Times New Roman"/>
          <w:szCs w:val="21"/>
          <w:highlight w:val="none"/>
        </w:rPr>
      </w:pPr>
      <w:r>
        <w:rPr>
          <w:rFonts w:hint="eastAsia" w:ascii="Times New Roman" w:hAnsi="Times New Roman"/>
          <w:szCs w:val="21"/>
          <w:highlight w:val="none"/>
        </w:rPr>
        <w:t xml:space="preserve">（四）贵单位的磋商文件、成交通知书和本磋商文件将构成约束我们双方的合同。</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磋商供应商（盖章）：</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法人代表人或委托代理人（签字或盖章）：</w:t>
      </w:r>
      <w:r>
        <w:rPr>
          <w:rFonts w:ascii="Times New Roman" w:hAnsi="Times New Roman"/>
          <w:szCs w:val="21"/>
          <w:highlight w:val="none"/>
        </w:rPr>
      </w:r>
      <w:r/>
    </w:p>
    <w:p>
      <w:pPr>
        <w:pStyle w:val="1035"/>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1035"/>
        <w:jc w:val="right"/>
        <w:spacing w:line="360" w:lineRule="auto"/>
        <w:rPr>
          <w:rFonts w:ascii="Times New Roman" w:hAnsi="Times New Roman"/>
          <w:sz w:val="24"/>
          <w:szCs w:val="24"/>
          <w:highlight w:val="none"/>
        </w:rPr>
      </w:pPr>
      <w:r>
        <w:rPr>
          <w:rFonts w:hint="eastAsia" w:ascii="宋体" w:hAnsi="宋体" w:cs="宋体"/>
          <w:szCs w:val="21"/>
          <w:highlight w:val="none"/>
        </w:rPr>
        <w:t xml:space="preserve">日期：202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  月 </w:t>
      </w:r>
      <w:r>
        <w:rPr>
          <w:rFonts w:hint="eastAsia" w:ascii="Times New Roman" w:hAnsi="Times New Roman"/>
          <w:szCs w:val="21"/>
          <w:highlight w:val="none"/>
        </w:rPr>
        <w:t xml:space="preserve"> 日</w:t>
      </w:r>
      <w:r>
        <w:rPr>
          <w:rFonts w:ascii="Times New Roman" w:hAnsi="Times New Roman"/>
          <w:sz w:val="24"/>
          <w:szCs w:val="24"/>
          <w:highlight w:val="none"/>
        </w:rPr>
      </w:r>
      <w:r/>
    </w:p>
    <w:p>
      <w:pPr>
        <w:pStyle w:val="1035"/>
        <w:spacing w:line="360" w:lineRule="auto"/>
        <w:rPr>
          <w:rFonts w:ascii="宋体" w:hAnsi="宋体" w:cs="宋体"/>
          <w:b/>
          <w:bCs/>
          <w:sz w:val="24"/>
          <w:szCs w:val="24"/>
          <w:highlight w:val="none"/>
        </w:rPr>
        <w:outlineLvl w:val="1"/>
      </w:pPr>
      <w:r>
        <w:rPr>
          <w:rFonts w:ascii="宋体" w:hAnsi="宋体" w:cs="宋体"/>
          <w:b/>
          <w:bCs/>
          <w:sz w:val="24"/>
          <w:szCs w:val="24"/>
          <w:highlight w:val="none"/>
        </w:rPr>
        <w:br w:type="page" w:clear="all"/>
      </w:r>
      <w:r>
        <w:rPr>
          <w:rFonts w:hint="eastAsia" w:ascii="宋体" w:hAnsi="宋体" w:cs="宋体"/>
          <w:b/>
          <w:bCs/>
          <w:sz w:val="24"/>
          <w:szCs w:val="24"/>
          <w:highlight w:val="none"/>
        </w:rPr>
        <w:t xml:space="preserve">5、工程量清单报价表，自行制作。（根据工程量清单报价）</w:t>
      </w:r>
      <w:r>
        <w:rPr>
          <w:rFonts w:ascii="宋体" w:hAnsi="宋体" w:cs="宋体"/>
          <w:b/>
          <w:bCs/>
          <w:sz w:val="24"/>
          <w:szCs w:val="24"/>
          <w:highlight w:val="none"/>
        </w:rPr>
      </w:r>
      <w:r/>
    </w:p>
    <w:p>
      <w:pPr>
        <w:pStyle w:val="1035"/>
        <w:spacing w:line="360" w:lineRule="auto"/>
        <w:rPr>
          <w:rFonts w:ascii="宋体" w:hAnsi="宋体"/>
          <w:szCs w:val="21"/>
          <w:highlight w:val="none"/>
        </w:rPr>
        <w:outlineLvl w:val="1"/>
      </w:pPr>
      <w:r>
        <w:rPr>
          <w:rFonts w:ascii="宋体" w:hAnsi="宋体"/>
          <w:szCs w:val="21"/>
          <w:highlight w:val="none"/>
        </w:rPr>
      </w:r>
      <w:r/>
    </w:p>
    <w:p>
      <w:pPr>
        <w:pStyle w:val="1035"/>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6、施工组织方案（格式自拟）</w:t>
      </w:r>
      <w:r>
        <w:rPr>
          <w:rFonts w:ascii="宋体" w:hAnsi="宋体" w:cs="宋体"/>
          <w:b/>
          <w:bCs/>
          <w:sz w:val="24"/>
          <w:szCs w:val="24"/>
          <w:highlight w:val="none"/>
        </w:rPr>
      </w:r>
      <w:r/>
    </w:p>
    <w:p>
      <w:pPr>
        <w:pStyle w:val="1035"/>
        <w:spacing w:line="360" w:lineRule="auto"/>
        <w:rPr>
          <w:rFonts w:ascii="宋体" w:hAnsi="宋体"/>
          <w:szCs w:val="21"/>
          <w:highlight w:val="none"/>
        </w:rPr>
        <w:outlineLvl w:val="1"/>
      </w:pPr>
      <w:r>
        <w:rPr>
          <w:rFonts w:ascii="宋体" w:hAnsi="宋体"/>
          <w:szCs w:val="21"/>
          <w:highlight w:val="none"/>
        </w:rPr>
      </w:r>
      <w:r/>
    </w:p>
    <w:p>
      <w:pPr>
        <w:pStyle w:val="1035"/>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7、施工组织机构人员名单</w:t>
      </w:r>
      <w:r>
        <w:rPr>
          <w:rFonts w:ascii="宋体" w:hAnsi="宋体" w:cs="宋体"/>
          <w:b/>
          <w:bCs/>
          <w:sz w:val="24"/>
          <w:szCs w:val="24"/>
          <w:highlight w:val="none"/>
        </w:rPr>
      </w:r>
      <w:r/>
    </w:p>
    <w:p>
      <w:pPr>
        <w:pStyle w:val="1035"/>
        <w:ind w:firstLine="420"/>
        <w:jc w:val="center"/>
        <w:spacing w:line="360" w:lineRule="auto"/>
        <w:rPr>
          <w:rFonts w:ascii="宋体" w:hAnsi="宋体"/>
          <w:szCs w:val="21"/>
          <w:highlight w:val="none"/>
        </w:rPr>
      </w:pPr>
      <w:r>
        <w:rPr>
          <w:rFonts w:ascii="宋体" w:hAnsi="宋体"/>
          <w:szCs w:val="21"/>
          <w:highlight w:val="none"/>
        </w:rPr>
        <w:t xml:space="preserve">施工组织机构人员名单</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姓名</w:t>
            </w: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拟在本项目中</w:t>
            </w:r>
            <w:r>
              <w:rPr>
                <w:rFonts w:ascii="宋体" w:hAnsi="宋体" w:cs="Arial"/>
                <w:szCs w:val="21"/>
                <w:highlight w:val="none"/>
              </w:rPr>
            </w:r>
            <w:r/>
          </w:p>
          <w:p>
            <w:pPr>
              <w:pStyle w:val="1035"/>
              <w:jc w:val="center"/>
              <w:spacing w:line="400" w:lineRule="atLeast"/>
              <w:rPr>
                <w:rFonts w:ascii="宋体" w:hAnsi="宋体" w:cs="Arial"/>
                <w:szCs w:val="21"/>
                <w:highlight w:val="none"/>
              </w:rPr>
            </w:pPr>
            <w:r>
              <w:rPr>
                <w:rFonts w:ascii="宋体" w:hAnsi="宋体" w:cs="Arial"/>
                <w:szCs w:val="21"/>
                <w:highlight w:val="none"/>
              </w:rPr>
              <w:t xml:space="preserve">担任的职务</w:t>
            </w: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职称/资格证书号（岗位证号）</w:t>
            </w: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身份证号码</w:t>
            </w: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主要资历和项目管理经历</w:t>
            </w: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t xml:space="preserve">联系方式</w:t>
            </w:r>
            <w:r>
              <w:rPr>
                <w:rFonts w:ascii="宋体" w:hAnsi="宋体" w:cs="Arial"/>
                <w:szCs w:val="21"/>
                <w:highlight w:val="none"/>
              </w:rPr>
            </w:r>
            <w:r/>
          </w:p>
        </w:tc>
      </w:tr>
      <w:tr>
        <w:trPr>
          <w:trHeight w:val="619"/>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1</w:t>
            </w: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项目经理</w:t>
            </w: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2</w:t>
            </w: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19"/>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3</w:t>
            </w: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4</w:t>
            </w: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19"/>
        </w:trPr>
        <w:tc>
          <w:tcPr>
            <w:tcW w:w="943" w:type="dxa"/>
            <w:vAlign w:val="center"/>
            <w:textDirection w:val="lrTb"/>
            <w:noWrap/>
          </w:tcPr>
          <w:p>
            <w:pPr>
              <w:pStyle w:val="1035"/>
              <w:jc w:val="center"/>
              <w:spacing w:line="400" w:lineRule="atLeast"/>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591"/>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bCs/>
                <w:szCs w:val="21"/>
                <w:highlight w:val="none"/>
              </w:rPr>
              <w:t xml:space="preserve">…</w:t>
            </w: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19"/>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1035"/>
              <w:jc w:val="center"/>
              <w:spacing w:line="400" w:lineRule="atLeast"/>
              <w:rPr>
                <w:rFonts w:ascii="宋体" w:hAnsi="宋体" w:cs="Arial"/>
                <w:szCs w:val="21"/>
                <w:highlight w:val="none"/>
              </w:rPr>
            </w:pPr>
            <w:r>
              <w:rPr>
                <w:rFonts w:ascii="宋体" w:hAnsi="宋体" w:cs="Arial"/>
                <w:szCs w:val="21"/>
                <w:highlight w:val="none"/>
              </w:rPr>
            </w:r>
            <w:r/>
          </w:p>
        </w:tc>
      </w:tr>
    </w:tbl>
    <w:p>
      <w:pPr>
        <w:pStyle w:val="1035"/>
        <w:spacing w:line="360" w:lineRule="auto"/>
        <w:rPr>
          <w:rFonts w:ascii="宋体" w:hAnsi="宋体" w:cs="宋体"/>
          <w:szCs w:val="21"/>
          <w:highlight w:val="none"/>
          <w:lang w:val="zh-CN"/>
        </w:rPr>
        <w:outlineLvl w:val="0"/>
      </w:pPr>
      <w:r>
        <w:rPr>
          <w:rFonts w:ascii="宋体" w:hAnsi="宋体" w:cs="宋体"/>
          <w:szCs w:val="21"/>
          <w:highlight w:val="none"/>
          <w:lang w:val="zh-CN"/>
        </w:rPr>
      </w:r>
      <w:r/>
    </w:p>
    <w:p>
      <w:pPr>
        <w:pStyle w:val="1035"/>
        <w:spacing w:line="360" w:lineRule="auto"/>
        <w:rPr>
          <w:rFonts w:ascii="宋体" w:hAnsi="宋体" w:cs="宋体"/>
          <w:szCs w:val="21"/>
          <w:highlight w:val="none"/>
          <w:lang w:val="zh-CN"/>
        </w:rPr>
        <w:outlineLvl w:val="0"/>
      </w:pPr>
      <w:r>
        <w:rPr>
          <w:rFonts w:ascii="宋体" w:hAnsi="宋体" w:cs="宋体"/>
          <w:szCs w:val="21"/>
          <w:highlight w:val="none"/>
          <w:lang w:val="zh-CN"/>
        </w:rPr>
      </w:r>
      <w:r/>
    </w:p>
    <w:p>
      <w:pPr>
        <w:pStyle w:val="1035"/>
        <w:spacing w:line="360" w:lineRule="auto"/>
        <w:rPr>
          <w:rFonts w:ascii="宋体" w:hAnsi="宋体" w:cs="宋体"/>
          <w:szCs w:val="21"/>
          <w:highlight w:val="none"/>
          <w:lang w:val="zh-CN"/>
        </w:rPr>
        <w:outlineLvl w:val="0"/>
      </w:pPr>
      <w:r>
        <w:rPr>
          <w:rFonts w:hint="eastAsia" w:ascii="宋体" w:hAnsi="宋体" w:cs="宋体"/>
          <w:szCs w:val="21"/>
          <w:highlight w:val="none"/>
          <w:lang w:val="zh-CN"/>
        </w:rPr>
        <w:t xml:space="preserve">供应商：（单位盖章）</w:t>
      </w:r>
      <w:r>
        <w:rPr>
          <w:rFonts w:ascii="宋体" w:hAnsi="宋体" w:cs="宋体"/>
          <w:szCs w:val="21"/>
          <w:highlight w:val="none"/>
          <w:lang w:val="zh-CN"/>
        </w:rPr>
      </w:r>
      <w:r/>
    </w:p>
    <w:p>
      <w:pPr>
        <w:pStyle w:val="1035"/>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法定代表人或委托代理人：（签字或盖章）</w:t>
      </w:r>
      <w:r>
        <w:rPr>
          <w:rFonts w:ascii="宋体" w:hAnsi="宋体" w:cs="宋体"/>
          <w:szCs w:val="21"/>
          <w:highlight w:val="none"/>
          <w:lang w:val="zh-CN"/>
        </w:rPr>
      </w:r>
      <w:r/>
    </w:p>
    <w:p>
      <w:pPr>
        <w:pStyle w:val="1035"/>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 </w:t>
      </w:r>
      <w:r>
        <w:rPr>
          <w:rFonts w:ascii="宋体" w:hAnsi="宋体" w:cs="宋体"/>
          <w:szCs w:val="21"/>
          <w:highlight w:val="none"/>
          <w:lang w:val="zh-CN"/>
        </w:rPr>
        <w:t xml:space="preserve">  </w:t>
      </w:r>
      <w:r>
        <w:rPr>
          <w:rFonts w:hint="eastAsia" w:ascii="宋体" w:hAnsi="宋体" w:cs="宋体"/>
          <w:szCs w:val="21"/>
          <w:highlight w:val="none"/>
          <w:lang w:val="zh-CN"/>
        </w:rPr>
        <w:t xml:space="preserve">年 </w:t>
      </w:r>
      <w:r>
        <w:rPr>
          <w:rFonts w:ascii="宋体" w:hAnsi="宋体" w:cs="宋体"/>
          <w:szCs w:val="21"/>
          <w:highlight w:val="none"/>
          <w:lang w:val="zh-CN"/>
        </w:rPr>
        <w:t xml:space="preserve">  </w:t>
      </w:r>
      <w:r>
        <w:rPr>
          <w:rFonts w:hint="eastAsia" w:ascii="宋体" w:hAnsi="宋体" w:cs="宋体"/>
          <w:szCs w:val="21"/>
          <w:highlight w:val="none"/>
          <w:lang w:val="zh-CN"/>
        </w:rPr>
        <w:t xml:space="preserve">月 </w:t>
      </w:r>
      <w:r>
        <w:rPr>
          <w:rFonts w:ascii="宋体" w:hAnsi="宋体" w:cs="宋体"/>
          <w:szCs w:val="21"/>
          <w:highlight w:val="none"/>
          <w:lang w:val="zh-CN"/>
        </w:rPr>
        <w:t xml:space="preserve">  </w:t>
      </w:r>
      <w:r>
        <w:rPr>
          <w:rFonts w:hint="eastAsia" w:ascii="宋体" w:hAnsi="宋体" w:cs="宋体"/>
          <w:szCs w:val="21"/>
          <w:highlight w:val="none"/>
          <w:lang w:val="zh-CN"/>
        </w:rPr>
        <w:t xml:space="preserve">日</w:t>
      </w:r>
      <w:r>
        <w:rPr>
          <w:rFonts w:ascii="宋体" w:hAnsi="宋体" w:cs="宋体"/>
          <w:szCs w:val="21"/>
          <w:highlight w:val="none"/>
          <w:lang w:val="zh-CN"/>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widowControl/>
        <w:rPr>
          <w:rFonts w:ascii="宋体" w:hAnsi="Times New Roman"/>
          <w:szCs w:val="20"/>
          <w:highlight w:val="none"/>
        </w:rPr>
      </w:pPr>
      <w:r>
        <w:rPr>
          <w:rFonts w:ascii="宋体" w:hAnsi="Times New Roman"/>
          <w:szCs w:val="20"/>
          <w:highlight w:val="none"/>
        </w:rPr>
      </w:r>
      <w:r/>
    </w:p>
    <w:p>
      <w:pPr>
        <w:pStyle w:val="1035"/>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 </w:t>
      </w:r>
      <w:r>
        <w:rPr>
          <w:rFonts w:ascii="Times New Roman" w:hAnsi="Times New Roman"/>
          <w:sz w:val="24"/>
          <w:szCs w:val="24"/>
          <w:highlight w:val="none"/>
        </w:rPr>
      </w:r>
      <w:r/>
    </w:p>
    <w:p>
      <w:pPr>
        <w:pStyle w:val="1035"/>
        <w:spacing w:line="360" w:lineRule="auto"/>
        <w:rPr>
          <w:rFonts w:ascii="宋体" w:hAnsi="宋体" w:cs="宋体"/>
          <w:b/>
          <w:sz w:val="24"/>
          <w:szCs w:val="24"/>
          <w:highlight w:val="none"/>
        </w:rPr>
      </w:pPr>
      <w:r>
        <w:rPr>
          <w:rFonts w:ascii="宋体" w:hAnsi="宋体" w:cs="宋体"/>
          <w:b/>
          <w:sz w:val="24"/>
          <w:szCs w:val="24"/>
          <w:highlight w:val="none"/>
        </w:rPr>
        <w:t xml:space="preserve">8</w:t>
      </w:r>
      <w:r>
        <w:rPr>
          <w:rFonts w:hint="eastAsia" w:ascii="宋体" w:hAnsi="宋体" w:cs="宋体"/>
          <w:b/>
          <w:sz w:val="24"/>
          <w:szCs w:val="24"/>
          <w:highlight w:val="none"/>
        </w:rPr>
        <w:t xml:space="preserve">、</w:t>
      </w:r>
      <w:bookmarkStart w:id="1" w:name="_Toc453492243"/>
      <w:r/>
      <w:bookmarkStart w:id="2" w:name="_Toc373488731"/>
      <w:r>
        <w:rPr>
          <w:rFonts w:hint="eastAsia" w:ascii="Times New Roman" w:hAnsi="Times New Roman"/>
          <w:b/>
          <w:sz w:val="24"/>
          <w:szCs w:val="24"/>
          <w:highlight w:val="none"/>
        </w:rPr>
        <w:t xml:space="preserve">类似业绩一览表</w:t>
      </w:r>
      <w:bookmarkEnd w:id="1"/>
      <w:r/>
      <w:bookmarkEnd w:id="2"/>
      <w:r>
        <w:rPr>
          <w:rFonts w:ascii="宋体" w:hAnsi="宋体" w:cs="宋体"/>
          <w:b/>
          <w:sz w:val="24"/>
          <w:szCs w:val="24"/>
          <w:highlight w:val="none"/>
        </w:rPr>
      </w:r>
      <w:r/>
    </w:p>
    <w:p>
      <w:pPr>
        <w:pStyle w:val="1035"/>
        <w:jc w:val="center"/>
        <w:spacing w:line="360" w:lineRule="auto"/>
        <w:rPr>
          <w:rFonts w:ascii="Arial" w:hAnsi="Arial" w:eastAsia="黑体"/>
          <w:b/>
          <w:szCs w:val="21"/>
          <w:highlight w:val="none"/>
        </w:rPr>
      </w:pPr>
      <w:r>
        <w:rPr>
          <w:rFonts w:hint="eastAsia" w:ascii="Arial" w:hAnsi="Arial" w:eastAsia="黑体"/>
          <w:b/>
          <w:szCs w:val="21"/>
          <w:highlight w:val="none"/>
        </w:rPr>
        <w:t xml:space="preserve">类似业绩一览表</w:t>
      </w:r>
      <w:r>
        <w:rPr>
          <w:rFonts w:ascii="Arial" w:hAnsi="Arial" w:eastAsia="黑体"/>
          <w:b/>
          <w:szCs w:val="21"/>
          <w:highlight w:val="none"/>
        </w:rPr>
      </w:r>
      <w:r/>
    </w:p>
    <w:p>
      <w:pPr>
        <w:pStyle w:val="1035"/>
        <w:spacing w:line="360" w:lineRule="auto"/>
        <w:rPr>
          <w:rFonts w:ascii="宋体" w:hAnsi="宋体" w:cs="宋体"/>
          <w:b/>
          <w:szCs w:val="21"/>
          <w:highlight w:val="none"/>
        </w:rPr>
      </w:pPr>
      <w:r>
        <w:rPr>
          <w:rFonts w:hint="eastAsia" w:ascii="宋体" w:hAnsi="宋体" w:cs="宋体"/>
          <w:szCs w:val="21"/>
          <w:highlight w:val="none"/>
        </w:rPr>
        <w:t xml:space="preserve">采购编号：</w:t>
      </w:r>
      <w:r>
        <w:rPr>
          <w:rFonts w:ascii="宋体" w:hAnsi="宋体" w:cs="宋体"/>
          <w:b/>
          <w:szCs w:val="21"/>
          <w:highlight w:val="none"/>
        </w:rPr>
      </w:r>
      <w:r/>
    </w:p>
    <w:tbl>
      <w:tblPr>
        <w:tblW w:w="9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ascii="宋体" w:hAnsi="宋体" w:cs="宋体"/>
                <w:szCs w:val="21"/>
                <w:highlight w:val="none"/>
              </w:rPr>
            </w:r>
            <w:r/>
          </w:p>
        </w:tc>
        <w:tc>
          <w:tcPr>
            <w:tcW w:w="1134" w:type="dxa"/>
            <w:vAlign w:val="center"/>
            <w:textDirection w:val="lrTb"/>
            <w:noWrap/>
          </w:tcPr>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项目规模</w:t>
            </w:r>
            <w:r>
              <w:rPr>
                <w:rFonts w:ascii="宋体" w:hAnsi="宋体" w:cs="宋体"/>
                <w:szCs w:val="21"/>
                <w:highlight w:val="none"/>
              </w:rPr>
            </w:r>
            <w:r/>
          </w:p>
        </w:tc>
        <w:tc>
          <w:tcPr>
            <w:tcW w:w="1501" w:type="dxa"/>
            <w:vAlign w:val="center"/>
            <w:textDirection w:val="lrTb"/>
            <w:noWrap/>
          </w:tcPr>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合同签订时间</w:t>
            </w:r>
            <w:r>
              <w:rPr>
                <w:rFonts w:ascii="宋体" w:hAnsi="宋体" w:cs="宋体"/>
                <w:szCs w:val="21"/>
                <w:highlight w:val="none"/>
              </w:rPr>
            </w:r>
            <w:r/>
          </w:p>
        </w:tc>
        <w:tc>
          <w:tcPr>
            <w:tcW w:w="1650" w:type="dxa"/>
            <w:vAlign w:val="center"/>
            <w:textDirection w:val="lrTb"/>
            <w:noWrap/>
          </w:tcPr>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开、竣工日期</w:t>
            </w:r>
            <w:r>
              <w:rPr>
                <w:rFonts w:ascii="宋体" w:hAnsi="宋体" w:cs="宋体"/>
                <w:szCs w:val="21"/>
                <w:highlight w:val="none"/>
              </w:rPr>
            </w:r>
            <w:r/>
          </w:p>
        </w:tc>
        <w:tc>
          <w:tcPr>
            <w:tcW w:w="1458" w:type="dxa"/>
            <w:vAlign w:val="center"/>
            <w:textDirection w:val="lrTb"/>
            <w:noWrap/>
          </w:tcPr>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合同金额</w:t>
            </w:r>
            <w:r>
              <w:rPr>
                <w:rFonts w:ascii="宋体" w:hAnsi="宋体" w:cs="宋体"/>
                <w:szCs w:val="21"/>
                <w:highlight w:val="none"/>
              </w:rPr>
            </w:r>
            <w:r/>
          </w:p>
          <w:p>
            <w:pPr>
              <w:pStyle w:val="1035"/>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（人民币）</w:t>
            </w: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trHeight w:val="90"/>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rHeight w:val="90"/>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1035"/>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tc>
        <w:tc>
          <w:tcPr>
            <w:tcW w:w="2016"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1035"/>
              <w:jc w:val="center"/>
              <w:spacing w:line="360" w:lineRule="auto"/>
              <w:rPr>
                <w:rFonts w:ascii="宋体" w:hAnsi="宋体" w:cs="宋体"/>
                <w:szCs w:val="21"/>
                <w:highlight w:val="none"/>
              </w:rPr>
            </w:pPr>
            <w:r>
              <w:rPr>
                <w:rFonts w:ascii="宋体" w:hAnsi="宋体" w:cs="宋体"/>
                <w:szCs w:val="21"/>
                <w:highlight w:val="none"/>
              </w:rPr>
            </w:r>
            <w:r/>
          </w:p>
        </w:tc>
      </w:tr>
    </w:tbl>
    <w:p>
      <w:pPr>
        <w:pStyle w:val="1035"/>
        <w:spacing w:line="360" w:lineRule="auto"/>
        <w:rPr>
          <w:rFonts w:ascii="宋体" w:hAnsi="宋体" w:cs="宋体"/>
          <w:szCs w:val="21"/>
          <w:highlight w:val="none"/>
        </w:rPr>
      </w:pPr>
      <w:r>
        <w:rPr>
          <w:rFonts w:ascii="宋体" w:hAnsi="宋体" w:cs="宋体"/>
          <w:szCs w:val="21"/>
          <w:highlight w:val="none"/>
        </w:rPr>
      </w:r>
      <w:r/>
    </w:p>
    <w:p>
      <w:pPr>
        <w:pStyle w:val="1035"/>
        <w:spacing w:line="360" w:lineRule="auto"/>
        <w:rPr>
          <w:rFonts w:ascii="宋体" w:hAnsi="宋体"/>
          <w:szCs w:val="21"/>
          <w:highlight w:val="none"/>
        </w:rPr>
      </w:pPr>
      <w:r>
        <w:rPr>
          <w:rFonts w:hint="eastAsia" w:ascii="宋体" w:hAnsi="宋体"/>
          <w:szCs w:val="21"/>
          <w:highlight w:val="none"/>
        </w:rPr>
        <w:t xml:space="preserve">附：合同、竣工验收单或相关竣工证明材料复印件。</w:t>
      </w:r>
      <w:r>
        <w:rPr>
          <w:rFonts w:ascii="宋体" w:hAnsi="宋体"/>
          <w:szCs w:val="21"/>
          <w:highlight w:val="none"/>
        </w:rPr>
      </w:r>
      <w:r/>
    </w:p>
    <w:p>
      <w:pPr>
        <w:pStyle w:val="1035"/>
        <w:spacing w:line="360" w:lineRule="auto"/>
        <w:rPr>
          <w:rFonts w:ascii="宋体" w:hAnsi="宋体"/>
          <w:szCs w:val="21"/>
          <w:highlight w:val="none"/>
        </w:rPr>
      </w:pPr>
      <w:r>
        <w:rPr>
          <w:rFonts w:ascii="宋体" w:hAnsi="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lang w:val="zh-CN"/>
        </w:rPr>
        <w:t xml:space="preserve">响应单位：（公章）</w:t>
      </w:r>
      <w:r>
        <w:rPr>
          <w:rFonts w:ascii="宋体" w:hAnsi="宋体" w:cs="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法定代表人或委托代理人：（签字或签章）</w:t>
      </w:r>
      <w:r>
        <w:rPr>
          <w:rFonts w:ascii="宋体" w:hAnsi="宋体" w:cs="宋体"/>
          <w:szCs w:val="21"/>
          <w:highlight w:val="none"/>
        </w:rPr>
      </w:r>
      <w:r/>
    </w:p>
    <w:p>
      <w:pPr>
        <w:pStyle w:val="1035"/>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    年    月    日</w:t>
      </w:r>
      <w:r>
        <w:rPr>
          <w:rFonts w:ascii="宋体" w:hAnsi="宋体" w:cs="宋体"/>
          <w:szCs w:val="21"/>
          <w:highlight w:val="none"/>
          <w:lang w:val="zh-CN"/>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shd w:val="nil"/>
        <w:rPr>
          <w:rFonts w:ascii="宋体" w:hAnsi="宋体" w:cs="宋体"/>
          <w:highlight w:val="none"/>
        </w:rPr>
      </w:pPr>
      <w:r>
        <w:rPr>
          <w:rFonts w:hint="eastAsia" w:ascii="宋体" w:hAnsi="宋体" w:cs="宋体"/>
          <w:b/>
          <w:sz w:val="24"/>
          <w:szCs w:val="24"/>
          <w:highlight w:val="none"/>
        </w:rPr>
        <w:br w:type="page" w:clear="all"/>
      </w:r>
      <w:r>
        <w:rPr>
          <w:rFonts w:hint="eastAsia" w:ascii="宋体" w:hAnsi="宋体" w:cs="宋体"/>
          <w:b/>
          <w:sz w:val="24"/>
          <w:szCs w:val="24"/>
          <w:highlight w:val="none"/>
        </w:rPr>
      </w:r>
    </w:p>
    <w:p>
      <w:pPr>
        <w:pStyle w:val="1035"/>
        <w:jc w:val="left"/>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9、项目经理无在建工程承诺书</w:t>
      </w:r>
      <w:r>
        <w:rPr>
          <w:rFonts w:ascii="宋体" w:hAnsi="宋体" w:cs="宋体"/>
          <w:szCs w:val="21"/>
          <w:highlight w:val="none"/>
        </w:rPr>
      </w:r>
      <w:r/>
    </w:p>
    <w:p>
      <w:pPr>
        <w:pStyle w:val="1035"/>
        <w:jc w:val="center"/>
        <w:spacing w:line="360" w:lineRule="auto"/>
        <w:rPr>
          <w:rFonts w:ascii="宋体" w:hAnsi="宋体" w:cs="宋体"/>
          <w:szCs w:val="21"/>
          <w:highlight w:val="none"/>
        </w:rPr>
      </w:pPr>
      <w:r>
        <w:rPr>
          <w:rFonts w:ascii="宋体" w:hAnsi="宋体" w:cs="宋体"/>
          <w:szCs w:val="21"/>
          <w:highlight w:val="none"/>
        </w:rPr>
      </w:r>
      <w:r/>
    </w:p>
    <w:p>
      <w:pPr>
        <w:pStyle w:val="1035"/>
        <w:jc w:val="center"/>
        <w:rPr>
          <w:rFonts w:ascii="宋体" w:hAnsi="宋体" w:cs="宋体"/>
          <w:szCs w:val="21"/>
          <w:highlight w:val="none"/>
        </w:rPr>
      </w:pPr>
      <w:r>
        <w:rPr>
          <w:rFonts w:hint="eastAsia" w:ascii="宋体" w:hAnsi="宋体" w:cs="宋体"/>
          <w:szCs w:val="21"/>
          <w:highlight w:val="none"/>
        </w:rPr>
        <w:t xml:space="preserve">项目经理无在建工程承诺书</w:t>
      </w:r>
      <w:r>
        <w:rPr>
          <w:rFonts w:ascii="宋体" w:hAnsi="宋体" w:cs="宋体"/>
          <w:szCs w:val="21"/>
          <w:highlight w:val="none"/>
        </w:rPr>
      </w:r>
      <w:r/>
    </w:p>
    <w:p>
      <w:pPr>
        <w:pStyle w:val="1035"/>
        <w:jc w:val="center"/>
        <w:rPr>
          <w:rFonts w:ascii="宋体" w:hAnsi="宋体" w:cs="宋体"/>
          <w:szCs w:val="21"/>
          <w:highlight w:val="none"/>
        </w:rPr>
      </w:pPr>
      <w:r>
        <w:rPr>
          <w:rFonts w:ascii="宋体" w:hAnsi="宋体" w:cs="宋体"/>
          <w:szCs w:val="21"/>
          <w:highlight w:val="none"/>
        </w:rPr>
      </w:r>
      <w:r/>
    </w:p>
    <w:p>
      <w:pPr>
        <w:pStyle w:val="1035"/>
        <w:jc w:val="left"/>
        <w:spacing w:line="360" w:lineRule="auto"/>
        <w:rPr>
          <w:rFonts w:ascii="宋体" w:hAnsi="宋体" w:cs="宋体"/>
          <w:szCs w:val="21"/>
          <w:highlight w:val="none"/>
          <w:u w:val="single"/>
        </w:rPr>
      </w:pPr>
      <w:r>
        <w:rPr>
          <w:rFonts w:hint="eastAsia" w:ascii="宋体" w:hAnsi="宋体" w:cs="宋体"/>
          <w:szCs w:val="21"/>
          <w:highlight w:val="none"/>
        </w:rPr>
        <w:t xml:space="preserve">采购人：</w:t>
      </w:r>
      <w:r>
        <w:rPr>
          <w:rFonts w:ascii="宋体" w:hAnsi="宋体" w:cs="宋体"/>
          <w:szCs w:val="21"/>
          <w:highlight w:val="none"/>
          <w:u w:val="singl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我公司拟派</w:t>
      </w:r>
      <w:r>
        <w:rPr>
          <w:rFonts w:hint="eastAsia" w:ascii="宋体" w:hAnsi="宋体" w:cs="宋体"/>
          <w:szCs w:val="21"/>
          <w:highlight w:val="none"/>
          <w:u w:val="single"/>
        </w:rPr>
        <w:t xml:space="preserve">                        （项目名称）</w:t>
      </w:r>
      <w:r>
        <w:rPr>
          <w:rFonts w:hint="eastAsia" w:ascii="宋体" w:hAnsi="宋体" w:cs="宋体"/>
          <w:szCs w:val="21"/>
          <w:highlight w:val="none"/>
        </w:rPr>
        <w:t xml:space="preserve">项目的项目经理</w:t>
      </w:r>
      <w:r>
        <w:rPr>
          <w:rFonts w:hint="eastAsia" w:ascii="宋体" w:hAnsi="宋体" w:cs="宋体"/>
          <w:szCs w:val="21"/>
          <w:highlight w:val="none"/>
          <w:u w:val="single"/>
        </w:rPr>
        <w:t xml:space="preserve">         （姓名）</w:t>
      </w:r>
      <w:r>
        <w:rPr>
          <w:rFonts w:hint="eastAsia" w:ascii="宋体" w:hAnsi="宋体" w:cs="宋体"/>
          <w:szCs w:val="21"/>
          <w:highlight w:val="none"/>
        </w:rPr>
        <w:t xml:space="preserve">属于下列：</w:t>
      </w:r>
      <w:r>
        <w:rPr>
          <w:rFonts w:ascii="宋体" w:hAnsi="宋体" w:cs="宋体"/>
          <w:szCs w:val="21"/>
          <w:highlight w:val="none"/>
        </w:rPr>
      </w:r>
      <w:r/>
    </w:p>
    <w:p>
      <w:pPr>
        <w:pStyle w:val="1035"/>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非变更后无在建工程</w:t>
      </w:r>
      <w:r>
        <w:rPr>
          <w:rFonts w:ascii="宋体" w:hAnsi="宋体" w:cs="宋体"/>
          <w:szCs w:val="21"/>
          <w:highlight w:val="none"/>
        </w:rPr>
      </w:r>
      <w:r/>
    </w:p>
    <w:p>
      <w:pPr>
        <w:pStyle w:val="1035"/>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变更后无在建工程（必须原合同工期已满且变更备案之日已满6个月）</w:t>
      </w:r>
      <w:r>
        <w:rPr>
          <w:rFonts w:ascii="宋体" w:hAnsi="宋体" w:cs="宋体"/>
          <w:szCs w:val="21"/>
          <w:highlight w:val="none"/>
        </w:rPr>
      </w:r>
      <w:r/>
    </w:p>
    <w:p>
      <w:pPr>
        <w:pStyle w:val="1035"/>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因非承包方原因致使工程项目停工或因故不能按期开工、且已办理了项目经理解锁手续</w:t>
      </w:r>
      <w:r>
        <w:rPr>
          <w:rFonts w:ascii="宋体" w:hAnsi="宋体" w:cs="宋体"/>
          <w:szCs w:val="21"/>
          <w:highlight w:val="none"/>
        </w:rPr>
      </w:r>
      <w:r/>
    </w:p>
    <w:p>
      <w:pPr>
        <w:pStyle w:val="1035"/>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有在建工程，但该在建工程与本次招标（采购）的工程属于同一工程项目、同一项目批文、同一施工地点分段发包或分期施工的情况且总的工程规模在项目经理执业范围之内</w:t>
      </w:r>
      <w:r>
        <w:rPr>
          <w:rFonts w:ascii="宋体" w:hAnsi="宋体" w:cs="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rPr>
        <w:t xml:space="preserve">注：选择以上（2）、（3）、（4）的需提供证明材料扫描件，无证明材料不予认可。</w:t>
      </w:r>
      <w:r>
        <w:rPr>
          <w:rFonts w:ascii="宋体" w:hAnsi="宋体" w:cs="宋体"/>
          <w:szCs w:val="21"/>
          <w:highlight w:val="none"/>
        </w:rPr>
      </w:r>
      <w:r/>
    </w:p>
    <w:p>
      <w:pPr>
        <w:pStyle w:val="1035"/>
        <w:spacing w:line="360" w:lineRule="auto"/>
        <w:rPr>
          <w:rFonts w:ascii="宋体" w:hAnsi="宋体" w:cs="宋体"/>
          <w:szCs w:val="21"/>
          <w:highlight w:val="none"/>
        </w:rPr>
      </w:pPr>
      <w:r>
        <w:rPr>
          <w:rFonts w:ascii="宋体" w:hAnsi="宋体" w:cs="宋体"/>
          <w:szCs w:val="21"/>
          <w:highlight w:val="none"/>
        </w:rPr>
      </w:r>
      <w:r/>
    </w:p>
    <w:p>
      <w:pPr>
        <w:pStyle w:val="1035"/>
        <w:spacing w:line="360" w:lineRule="auto"/>
        <w:rPr>
          <w:rFonts w:ascii="宋体" w:hAnsi="宋体" w:cs="宋体"/>
          <w:szCs w:val="21"/>
          <w:highlight w:val="none"/>
        </w:rPr>
      </w:pPr>
      <w:r>
        <w:rPr>
          <w:rFonts w:ascii="宋体" w:hAnsi="宋体" w:cs="宋体"/>
          <w:szCs w:val="21"/>
          <w:highlight w:val="none"/>
        </w:rPr>
      </w:r>
      <w:r/>
    </w:p>
    <w:p>
      <w:pPr>
        <w:pStyle w:val="1035"/>
        <w:rPr>
          <w:rFonts w:ascii="宋体" w:hAnsi="宋体" w:cs="宋体"/>
          <w:szCs w:val="21"/>
          <w:highlight w:val="none"/>
        </w:rPr>
      </w:pPr>
      <w:r>
        <w:rPr>
          <w:rFonts w:ascii="宋体" w:hAnsi="宋体" w:cs="宋体"/>
          <w:szCs w:val="21"/>
          <w:highlight w:val="none"/>
        </w:rPr>
      </w:r>
      <w:r/>
    </w:p>
    <w:p>
      <w:pPr>
        <w:pStyle w:val="1035"/>
        <w:rPr>
          <w:rFonts w:ascii="宋体" w:hAnsi="宋体" w:cs="宋体"/>
          <w:szCs w:val="21"/>
          <w:highlight w:val="none"/>
          <w:u w:val="single"/>
        </w:rPr>
      </w:pPr>
      <w:r>
        <w:rPr>
          <w:rFonts w:hint="eastAsia" w:ascii="宋体" w:hAnsi="宋体" w:cs="宋体"/>
          <w:szCs w:val="21"/>
          <w:highlight w:val="none"/>
        </w:rPr>
        <w:t xml:space="preserve">响应单位（盖公章）：</w:t>
      </w:r>
      <w:r>
        <w:rPr>
          <w:rFonts w:ascii="宋体" w:hAnsi="宋体" w:cs="宋体"/>
          <w:szCs w:val="21"/>
          <w:highlight w:val="none"/>
          <w:u w:val="single"/>
        </w:rPr>
      </w:r>
      <w:r/>
    </w:p>
    <w:p>
      <w:pPr>
        <w:pStyle w:val="1035"/>
        <w:jc w:val="left"/>
        <w:spacing w:line="360" w:lineRule="auto"/>
        <w:rPr>
          <w:rFonts w:ascii="宋体" w:hAnsi="宋体" w:cs="宋体"/>
          <w:szCs w:val="21"/>
          <w:highlight w:val="none"/>
        </w:rPr>
        <w:outlineLvl w:val="1"/>
      </w:pPr>
      <w:r>
        <w:rPr>
          <w:rFonts w:hint="eastAsia" w:ascii="宋体" w:hAnsi="宋体" w:cs="宋体"/>
          <w:szCs w:val="21"/>
          <w:highlight w:val="none"/>
        </w:rPr>
        <w:t xml:space="preserve">日  期：</w:t>
      </w:r>
      <w:r>
        <w:rPr>
          <w:rFonts w:ascii="宋体" w:hAnsi="宋体" w:cs="宋体"/>
          <w:szCs w:val="21"/>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宋体"/>
          <w:b/>
          <w:sz w:val="32"/>
          <w:szCs w:val="32"/>
          <w:highlight w:val="none"/>
        </w:rPr>
      </w:pPr>
      <w:r>
        <w:rPr>
          <w:rFonts w:ascii="宋体" w:hAnsi="宋体"/>
          <w:b/>
          <w:sz w:val="32"/>
          <w:szCs w:val="32"/>
          <w:highlight w:val="none"/>
        </w:rPr>
      </w:r>
      <w:r/>
    </w:p>
    <w:p>
      <w:pPr>
        <w:pStyle w:val="1035"/>
        <w:rPr>
          <w:rFonts w:ascii="宋体" w:hAnsi="宋体"/>
          <w:b/>
          <w:sz w:val="32"/>
          <w:szCs w:val="32"/>
          <w:highlight w:val="none"/>
        </w:rPr>
      </w:pPr>
      <w:r>
        <w:rPr>
          <w:rFonts w:ascii="宋体" w:hAnsi="宋体"/>
          <w:b/>
          <w:sz w:val="32"/>
          <w:szCs w:val="32"/>
          <w:highlight w:val="none"/>
        </w:rPr>
      </w:r>
      <w:r/>
    </w:p>
    <w:p>
      <w:pPr>
        <w:pStyle w:val="1035"/>
        <w:ind w:firstLine="200"/>
        <w:widowControl/>
        <w:rPr>
          <w:rFonts w:ascii="宋体" w:hAnsi="Times New Roman"/>
          <w:szCs w:val="20"/>
          <w:highlight w:val="none"/>
        </w:rPr>
      </w:pPr>
      <w:r>
        <w:rPr>
          <w:rFonts w:ascii="宋体" w:hAnsi="Times New Roman"/>
          <w:szCs w:val="20"/>
          <w:highlight w:val="none"/>
        </w:rPr>
      </w:r>
      <w:r/>
    </w:p>
    <w:p>
      <w:pPr>
        <w:pStyle w:val="1035"/>
        <w:rPr>
          <w:rFonts w:ascii="Times New Roman" w:hAnsi="Times New Roman"/>
          <w:szCs w:val="24"/>
          <w:highlight w:val="none"/>
        </w:rPr>
      </w:pPr>
      <w:r>
        <w:rPr>
          <w:rFonts w:ascii="Times New Roman" w:hAnsi="Times New Roman"/>
          <w:szCs w:val="24"/>
          <w:highlight w:val="none"/>
        </w:rPr>
      </w:r>
      <w:r/>
    </w:p>
    <w:p>
      <w:pPr>
        <w:pStyle w:val="1035"/>
        <w:jc w:val="left"/>
        <w:spacing w:line="360" w:lineRule="auto"/>
        <w:rPr>
          <w:rFonts w:ascii="宋体" w:hAnsi="宋体" w:cs="宋体"/>
          <w:b/>
          <w:sz w:val="24"/>
          <w:szCs w:val="24"/>
          <w:highlight w:val="none"/>
        </w:rPr>
        <w:outlineLvl w:val="1"/>
      </w:pPr>
      <w:r>
        <w:rPr>
          <w:rFonts w:ascii="宋体" w:hAnsi="宋体" w:cs="宋体"/>
          <w:b/>
          <w:sz w:val="24"/>
          <w:szCs w:val="24"/>
          <w:highlight w:val="none"/>
        </w:rPr>
        <w:br w:type="page" w:clear="all"/>
      </w:r>
      <w:r>
        <w:rPr>
          <w:rFonts w:hint="eastAsia" w:ascii="宋体" w:hAnsi="宋体" w:cs="宋体"/>
          <w:b/>
          <w:sz w:val="24"/>
          <w:szCs w:val="24"/>
          <w:highlight w:val="none"/>
        </w:rPr>
        <w:t xml:space="preserve">10、资格证明文件</w:t>
      </w:r>
      <w:r>
        <w:rPr>
          <w:rFonts w:ascii="宋体" w:hAnsi="宋体" w:cs="宋体"/>
          <w:b/>
          <w:sz w:val="24"/>
          <w:szCs w:val="24"/>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（1）关于资格文件的声明函</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关于资格文件的声明函</w:t>
      </w:r>
      <w:r>
        <w:rPr>
          <w:rFonts w:ascii="宋体" w:hAnsi="宋体"/>
          <w:szCs w:val="21"/>
          <w:highlight w:val="none"/>
        </w:rPr>
      </w:r>
      <w:r/>
    </w:p>
    <w:p>
      <w:pPr>
        <w:pStyle w:val="1035"/>
        <w:ind w:firstLine="1260"/>
        <w:jc w:val="left"/>
        <w:spacing w:line="360" w:lineRule="auto"/>
        <w:rPr>
          <w:rFonts w:ascii="宋体" w:hAnsi="宋体"/>
          <w:szCs w:val="21"/>
          <w:highlight w:val="none"/>
        </w:rPr>
        <w:outlineLvl w:val="1"/>
      </w:pP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本公司愿就由贵公司组织实施的编号为</w:t>
      </w:r>
      <w:r>
        <w:rPr>
          <w:rFonts w:ascii="宋体" w:hAnsi="宋体"/>
          <w:szCs w:val="21"/>
          <w:highlight w:val="none"/>
          <w:u w:val="single"/>
        </w:rPr>
        <w:t xml:space="preserve">                       </w:t>
      </w:r>
      <w:r>
        <w:rPr>
          <w:rFonts w:hint="eastAsia" w:ascii="宋体" w:hAnsi="宋体"/>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供应商：（单位盖章）</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法定代表人或委托代理人：（签字或盖章）</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日期：     年   月  日</w:t>
      </w:r>
      <w:r>
        <w:rPr>
          <w:rFonts w:ascii="宋体" w:hAnsi="宋体"/>
          <w:szCs w:val="21"/>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highlight w:val="none"/>
        </w:rPr>
        <w:outlineLvl w:val="1"/>
      </w:pPr>
      <w:r>
        <w:rPr>
          <w:rFonts w:hint="eastAsia" w:ascii="宋体" w:hAnsi="宋体"/>
          <w:szCs w:val="21"/>
          <w:highlight w:val="none"/>
        </w:rPr>
      </w:r>
      <w:r>
        <w:rPr>
          <w:rFonts w:hint="eastAsia" w:ascii="宋体" w:hAnsi="宋体"/>
          <w:szCs w:val="21"/>
          <w:highlight w:val="none"/>
        </w:rPr>
      </w:r>
    </w:p>
    <w:p>
      <w:pPr>
        <w:jc w:val="left"/>
        <w:spacing w:line="360" w:lineRule="auto"/>
        <w:rPr>
          <w:rFonts w:hint="eastAsia" w:ascii="宋体" w:hAnsi="宋体"/>
          <w:highlight w:val="none"/>
        </w:rPr>
        <w:outlineLvl w:val="1"/>
      </w:pPr>
      <w:r>
        <w:rPr>
          <w:rFonts w:hint="eastAsia" w:ascii="宋体" w:hAnsi="宋体"/>
          <w:szCs w:val="21"/>
          <w:highlight w:val="none"/>
        </w:rPr>
      </w:r>
      <w:r>
        <w:rPr>
          <w:rFonts w:hint="eastAsia" w:ascii="宋体" w:hAnsi="宋体"/>
          <w:szCs w:val="21"/>
          <w:highlight w:val="none"/>
        </w:rPr>
      </w:r>
    </w:p>
    <w:p>
      <w:pPr>
        <w:pStyle w:val="1035"/>
        <w:jc w:val="left"/>
        <w:spacing w:line="360" w:lineRule="auto"/>
        <w:rPr>
          <w:rFonts w:hint="eastAsia" w:ascii="宋体" w:hAnsi="宋体"/>
          <w:highlight w:val="none"/>
        </w:rPr>
        <w:outlineLvl w:val="1"/>
      </w:pPr>
      <w:r>
        <w:rPr>
          <w:rFonts w:hint="eastAsia" w:ascii="宋体" w:hAnsi="宋体"/>
          <w:szCs w:val="21"/>
          <w:highlight w:val="none"/>
        </w:rPr>
        <w:t xml:space="preserve">（2）响应单位情况表</w:t>
      </w:r>
      <w:r>
        <w:rPr>
          <w:rFonts w:ascii="宋体" w:hAnsi="宋体"/>
          <w:szCs w:val="21"/>
          <w:highlight w:val="none"/>
        </w:rPr>
      </w:r>
      <w:r/>
    </w:p>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响应单位情况表</w:t>
      </w:r>
      <w:r>
        <w:rPr>
          <w:rFonts w:ascii="宋体" w:hAnsi="宋体"/>
          <w:szCs w:val="21"/>
          <w:highlight w:val="none"/>
        </w:rPr>
      </w:r>
      <w:r/>
    </w:p>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单位名称（盖章）</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法定代表人</w:t>
            </w:r>
            <w:r>
              <w:rPr>
                <w:rFonts w:ascii="宋体" w:hAnsi="宋体"/>
                <w:szCs w:val="21"/>
                <w:highlight w:val="none"/>
              </w:rPr>
            </w:r>
            <w:r/>
          </w:p>
        </w:tc>
        <w:tc>
          <w:tcPr>
            <w:tcW w:w="180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c>
          <w:tcPr>
            <w:tcW w:w="216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成立日期</w:t>
            </w:r>
            <w:r>
              <w:rPr>
                <w:rFonts w:ascii="宋体" w:hAnsi="宋体"/>
                <w:szCs w:val="21"/>
                <w:highlight w:val="none"/>
              </w:rPr>
            </w:r>
            <w:r/>
          </w:p>
        </w:tc>
        <w:tc>
          <w:tcPr>
            <w:gridSpan w:val="2"/>
            <w:tcW w:w="2560" w:type="dxa"/>
            <w:vAlign w:val="top"/>
            <w:textDirection w:val="lrTb"/>
            <w:noWrap/>
          </w:tcPr>
          <w:p>
            <w:pPr>
              <w:pStyle w:val="1035"/>
              <w:ind w:firstLine="420"/>
              <w:jc w:val="left"/>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企业地址</w:t>
            </w:r>
            <w:r>
              <w:rPr>
                <w:rFonts w:ascii="宋体" w:hAnsi="宋体"/>
                <w:szCs w:val="21"/>
                <w:highlight w:val="none"/>
              </w:rPr>
            </w:r>
            <w:r/>
          </w:p>
        </w:tc>
        <w:tc>
          <w:tcPr>
            <w:tcW w:w="180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c>
          <w:tcPr>
            <w:tcW w:w="216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注册资本</w:t>
            </w:r>
            <w:r>
              <w:rPr>
                <w:rFonts w:ascii="宋体" w:hAnsi="宋体"/>
                <w:szCs w:val="21"/>
                <w:highlight w:val="none"/>
              </w:rPr>
            </w:r>
            <w:r/>
          </w:p>
        </w:tc>
        <w:tc>
          <w:tcPr>
            <w:gridSpan w:val="2"/>
            <w:tcW w:w="2560" w:type="dxa"/>
            <w:vAlign w:val="top"/>
            <w:textDirection w:val="lrTb"/>
            <w:noWrap/>
          </w:tcPr>
          <w:p>
            <w:pPr>
              <w:pStyle w:val="1035"/>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经营范围</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职工人数</w:t>
            </w:r>
            <w:r>
              <w:rPr>
                <w:rFonts w:ascii="宋体" w:hAnsi="宋体"/>
                <w:szCs w:val="21"/>
                <w:highlight w:val="none"/>
              </w:rPr>
            </w:r>
            <w:r/>
          </w:p>
        </w:tc>
        <w:tc>
          <w:tcPr>
            <w:tcW w:w="180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c>
          <w:tcPr>
            <w:gridSpan w:val="2"/>
            <w:tcW w:w="360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其中：有中高级以上职称的人数</w:t>
            </w:r>
            <w:r>
              <w:rPr>
                <w:rFonts w:ascii="宋体" w:hAnsi="宋体"/>
                <w:szCs w:val="21"/>
                <w:highlight w:val="none"/>
              </w:rPr>
            </w:r>
            <w:r/>
          </w:p>
        </w:tc>
        <w:tc>
          <w:tcPr>
            <w:tcW w:w="11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资产总计</w:t>
            </w:r>
            <w:r>
              <w:rPr>
                <w:rFonts w:ascii="宋体" w:hAnsi="宋体"/>
                <w:szCs w:val="21"/>
                <w:highlight w:val="none"/>
              </w:rPr>
            </w:r>
            <w:r/>
          </w:p>
        </w:tc>
        <w:tc>
          <w:tcPr>
            <w:tcW w:w="1800" w:type="dxa"/>
            <w:vAlign w:val="top"/>
            <w:textDirection w:val="lrTb"/>
            <w:noWrap/>
          </w:tcPr>
          <w:p>
            <w:pPr>
              <w:pStyle w:val="1035"/>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c>
          <w:tcPr>
            <w:tcW w:w="216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净资产</w:t>
            </w:r>
            <w:r>
              <w:rPr>
                <w:rFonts w:ascii="宋体" w:hAnsi="宋体"/>
                <w:szCs w:val="21"/>
                <w:highlight w:val="none"/>
              </w:rPr>
            </w:r>
            <w:r/>
          </w:p>
        </w:tc>
        <w:tc>
          <w:tcPr>
            <w:gridSpan w:val="2"/>
            <w:tcW w:w="2560" w:type="dxa"/>
            <w:vAlign w:val="top"/>
            <w:textDirection w:val="lrTb"/>
            <w:noWrap/>
          </w:tcPr>
          <w:p>
            <w:pPr>
              <w:pStyle w:val="1035"/>
              <w:ind w:firstLine="1522"/>
              <w:jc w:val="left"/>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r>
      <w:tr>
        <w:trPr>
          <w:cantSplit/>
        </w:trPr>
        <w:tc>
          <w:tcPr>
            <w:tcW w:w="2953"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股东权益</w:t>
            </w:r>
            <w:r>
              <w:rPr>
                <w:rFonts w:ascii="宋体" w:hAnsi="宋体"/>
                <w:szCs w:val="21"/>
                <w:highlight w:val="none"/>
              </w:rPr>
            </w:r>
            <w:r/>
          </w:p>
        </w:tc>
        <w:tc>
          <w:tcPr>
            <w:tcW w:w="1800" w:type="dxa"/>
            <w:vAlign w:val="center"/>
            <w:textDirection w:val="lrTb"/>
            <w:noWrap/>
          </w:tcPr>
          <w:p>
            <w:pPr>
              <w:pStyle w:val="1035"/>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c>
          <w:tcPr>
            <w:tcW w:w="2160"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销售收入</w:t>
            </w:r>
            <w:r>
              <w:rPr>
                <w:rFonts w:ascii="宋体" w:hAnsi="宋体"/>
                <w:szCs w:val="21"/>
                <w:highlight w:val="none"/>
              </w:rPr>
            </w:r>
            <w:r/>
          </w:p>
        </w:tc>
        <w:tc>
          <w:tcPr>
            <w:gridSpan w:val="2"/>
            <w:tcW w:w="2560" w:type="dxa"/>
            <w:vAlign w:val="top"/>
            <w:textDirection w:val="lrTb"/>
            <w:noWrap/>
          </w:tcPr>
          <w:p>
            <w:pPr>
              <w:pStyle w:val="1035"/>
              <w:jc w:val="left"/>
              <w:spacing w:line="360" w:lineRule="auto"/>
              <w:rPr>
                <w:rFonts w:ascii="宋体" w:hAnsi="宋体"/>
                <w:szCs w:val="21"/>
                <w:highlight w:val="none"/>
              </w:rPr>
              <w:outlineLvl w:val="1"/>
            </w:pPr>
            <w:r>
              <w:rPr>
                <w:rFonts w:hint="eastAsia" w:ascii="宋体" w:hAnsi="宋体"/>
                <w:szCs w:val="21"/>
                <w:highlight w:val="none"/>
              </w:rPr>
              <w:t xml:space="preserve"> 202</w:t>
            </w:r>
            <w:r>
              <w:rPr>
                <w:rFonts w:hint="eastAsia" w:ascii="宋体" w:hAnsi="宋体"/>
                <w:szCs w:val="21"/>
                <w:highlight w:val="none"/>
                <w:lang w:val="en-US" w:eastAsia="zh-CN"/>
              </w:rPr>
              <w:t xml:space="preserve">5</w:t>
            </w:r>
            <w:r>
              <w:rPr>
                <w:rFonts w:hint="eastAsia" w:ascii="宋体" w:hAnsi="宋体"/>
                <w:szCs w:val="21"/>
                <w:highlight w:val="none"/>
              </w:rPr>
              <w:t xml:space="preserve">年       万元</w:t>
            </w: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实现利润</w:t>
            </w:r>
            <w:r>
              <w:rPr>
                <w:rFonts w:ascii="宋体" w:hAnsi="宋体"/>
                <w:szCs w:val="21"/>
                <w:highlight w:val="none"/>
              </w:rPr>
            </w:r>
            <w:r/>
          </w:p>
        </w:tc>
        <w:tc>
          <w:tcPr>
            <w:gridSpan w:val="4"/>
            <w:tcW w:w="6520" w:type="dxa"/>
            <w:vAlign w:val="top"/>
            <w:textDirection w:val="lrTb"/>
            <w:noWrap/>
          </w:tcPr>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    万元</w:t>
            </w:r>
            <w:r>
              <w:rPr>
                <w:rFonts w:ascii="宋体" w:hAnsi="宋体"/>
                <w:szCs w:val="21"/>
                <w:highlight w:val="none"/>
              </w:rPr>
            </w:r>
            <w:r/>
          </w:p>
        </w:tc>
      </w:tr>
      <w:tr>
        <w:trPr>
          <w:cantSplit/>
        </w:trPr>
        <w:tc>
          <w:tcPr>
            <w:tcW w:w="2953"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经营面积</w:t>
            </w:r>
            <w:r>
              <w:rPr>
                <w:rFonts w:ascii="宋体" w:hAnsi="宋体"/>
                <w:szCs w:val="21"/>
                <w:highlight w:val="none"/>
              </w:rPr>
            </w:r>
            <w:r/>
          </w:p>
        </w:tc>
        <w:tc>
          <w:tcPr>
            <w:tcW w:w="1800" w:type="dxa"/>
            <w:vAlign w:val="center"/>
            <w:textDirection w:val="lrTb"/>
            <w:noWrap/>
          </w:tcPr>
          <w:p>
            <w:pPr>
              <w:pStyle w:val="1035"/>
              <w:ind w:firstLine="420"/>
              <w:spacing w:line="360" w:lineRule="auto"/>
              <w:rPr>
                <w:rFonts w:ascii="宋体" w:hAnsi="宋体"/>
                <w:szCs w:val="21"/>
                <w:highlight w:val="none"/>
              </w:rPr>
              <w:outlineLvl w:val="1"/>
            </w:pPr>
            <w:r>
              <w:rPr>
                <w:rFonts w:hint="eastAsia" w:ascii="宋体" w:hAnsi="宋体"/>
                <w:szCs w:val="21"/>
                <w:highlight w:val="none"/>
              </w:rPr>
              <w:t xml:space="preserve">平方米</w:t>
            </w:r>
            <w:r>
              <w:rPr>
                <w:rFonts w:ascii="宋体" w:hAnsi="宋体"/>
                <w:szCs w:val="21"/>
                <w:highlight w:val="none"/>
              </w:rPr>
            </w:r>
            <w:r/>
          </w:p>
        </w:tc>
        <w:tc>
          <w:tcPr>
            <w:tcW w:w="2160" w:type="dxa"/>
            <w:vAlign w:val="center"/>
            <w:textDirection w:val="lrTb"/>
            <w:noWrap/>
          </w:tcPr>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其中：</w:t>
            </w:r>
            <w:r>
              <w:rPr>
                <w:rFonts w:ascii="宋体" w:hAnsi="宋体"/>
                <w:szCs w:val="21"/>
                <w:highlight w:val="none"/>
              </w:rPr>
            </w:r>
            <w:r/>
          </w:p>
        </w:tc>
        <w:tc>
          <w:tcPr>
            <w:gridSpan w:val="2"/>
            <w:tcW w:w="2560"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自有面积     平方米</w:t>
            </w:r>
            <w:r>
              <w:rPr>
                <w:rFonts w:ascii="宋体" w:hAnsi="宋体"/>
                <w:szCs w:val="21"/>
                <w:highlight w:val="none"/>
              </w:rPr>
            </w:r>
            <w:r/>
          </w:p>
          <w:p>
            <w:pPr>
              <w:pStyle w:val="1035"/>
              <w:spacing w:line="360" w:lineRule="auto"/>
              <w:rPr>
                <w:rFonts w:ascii="宋体" w:hAnsi="宋体"/>
                <w:szCs w:val="21"/>
                <w:highlight w:val="none"/>
              </w:rPr>
              <w:outlineLvl w:val="1"/>
            </w:pPr>
            <w:r>
              <w:rPr>
                <w:rFonts w:hint="eastAsia" w:ascii="宋体" w:hAnsi="宋体"/>
                <w:szCs w:val="21"/>
                <w:highlight w:val="none"/>
              </w:rPr>
              <w:t xml:space="preserve">承租面积     平方米</w:t>
            </w:r>
            <w:r>
              <w:rPr>
                <w:rFonts w:ascii="宋体" w:hAnsi="宋体"/>
                <w:szCs w:val="21"/>
                <w:highlight w:val="none"/>
              </w:rPr>
            </w:r>
            <w:r/>
          </w:p>
        </w:tc>
      </w:tr>
      <w:tr>
        <w:trPr>
          <w:cantSplit/>
          <w:trHeight w:val="389"/>
        </w:trPr>
        <w:tc>
          <w:tcPr>
            <w:tcW w:w="2953"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单位简历及内设机构情况</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Height w:val="255"/>
        </w:trPr>
        <w:tc>
          <w:tcPr>
            <w:tcW w:w="2953" w:type="dxa"/>
            <w:vAlign w:val="center"/>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单位优势及特长</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近三年来完成或正在履行的重大合同情况</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最近2年内在经营过程中受到何种奖励或处分</w:t>
            </w:r>
            <w:r>
              <w:rPr>
                <w:rFonts w:ascii="宋体" w:hAnsi="宋体"/>
                <w:szCs w:val="21"/>
                <w:highlight w:val="none"/>
              </w:rPr>
            </w:r>
            <w:r/>
          </w:p>
        </w:tc>
        <w:tc>
          <w:tcPr>
            <w:gridSpan w:val="4"/>
            <w:tcW w:w="6520" w:type="dxa"/>
            <w:vAlign w:val="top"/>
            <w:textDirection w:val="lrTb"/>
            <w:noWrap/>
          </w:tcPr>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（包括财政、工商、税务、物价、技监部门稽查情况和结果）</w:t>
            </w: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最近3年内有无因售假、售劣或是其他原因被消费者投诉或起诉的情况及说明</w:t>
            </w:r>
            <w:r>
              <w:rPr>
                <w:rFonts w:ascii="宋体" w:hAnsi="宋体"/>
                <w:szCs w:val="21"/>
                <w:highlight w:val="none"/>
              </w:rPr>
            </w:r>
            <w:r/>
          </w:p>
        </w:tc>
        <w:tc>
          <w:tcPr>
            <w:gridSpan w:val="4"/>
            <w:tcW w:w="6520" w:type="dxa"/>
            <w:vAlign w:val="top"/>
            <w:textDirection w:val="lrTb"/>
            <w:noWrap/>
          </w:tcPr>
          <w:p>
            <w:pPr>
              <w:pStyle w:val="1035"/>
              <w:ind w:firstLine="420"/>
              <w:jc w:val="left"/>
              <w:spacing w:line="360" w:lineRule="auto"/>
              <w:rPr>
                <w:rFonts w:ascii="宋体" w:hAnsi="宋体"/>
                <w:szCs w:val="21"/>
                <w:highlight w:val="none"/>
              </w:rPr>
              <w:outlineLvl w:val="1"/>
            </w:pPr>
            <w:r>
              <w:rPr>
                <w:rFonts w:hint="eastAsia" w:ascii="宋体" w:hAnsi="宋体"/>
                <w:szCs w:val="21"/>
                <w:highlight w:val="none"/>
              </w:rPr>
              <w:t xml:space="preserve">（包括解决方式和结果）</w:t>
            </w: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最近3年内主要负责人有无经济犯罪被司法机关追究的情意及说明</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获得技术认证的工程师及简介</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1035"/>
              <w:spacing w:line="360" w:lineRule="auto"/>
              <w:rPr>
                <w:rFonts w:ascii="宋体" w:hAnsi="宋体"/>
                <w:szCs w:val="21"/>
                <w:highlight w:val="none"/>
              </w:rPr>
              <w:outlineLvl w:val="1"/>
            </w:pPr>
            <w:r>
              <w:rPr>
                <w:rFonts w:hint="eastAsia" w:ascii="宋体" w:hAnsi="宋体"/>
                <w:szCs w:val="21"/>
                <w:highlight w:val="none"/>
              </w:rPr>
              <w:t xml:space="preserve">其他需要说明的情况</w:t>
            </w:r>
            <w:r>
              <w:rPr>
                <w:rFonts w:ascii="宋体" w:hAnsi="宋体"/>
                <w:szCs w:val="21"/>
                <w:highlight w:val="none"/>
              </w:rPr>
            </w:r>
            <w:r/>
          </w:p>
        </w:tc>
        <w:tc>
          <w:tcPr>
            <w:gridSpan w:val="4"/>
            <w:tcW w:w="6520" w:type="dxa"/>
            <w:vAlign w:val="top"/>
            <w:textDirection w:val="lrTb"/>
            <w:noWrap/>
          </w:tcPr>
          <w:p>
            <w:pPr>
              <w:pStyle w:val="1035"/>
              <w:ind w:firstLine="420"/>
              <w:spacing w:line="360" w:lineRule="auto"/>
              <w:rPr>
                <w:rFonts w:ascii="宋体" w:hAnsi="宋体"/>
                <w:szCs w:val="21"/>
                <w:highlight w:val="none"/>
              </w:rPr>
              <w:outlineLvl w:val="1"/>
            </w:pPr>
            <w:r>
              <w:rPr>
                <w:rFonts w:ascii="宋体" w:hAnsi="宋体"/>
                <w:szCs w:val="21"/>
                <w:highlight w:val="none"/>
              </w:rPr>
            </w:r>
            <w:r/>
          </w:p>
        </w:tc>
      </w:tr>
    </w:tbl>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jc w:val="left"/>
        <w:spacing w:line="360" w:lineRule="auto"/>
        <w:rPr>
          <w:rFonts w:ascii="宋体" w:hAnsi="宋体"/>
          <w:highlight w:val="none"/>
        </w:rPr>
        <w:outlineLvl w:val="1"/>
      </w:pPr>
      <w:r>
        <w:rPr>
          <w:rFonts w:hint="eastAsia" w:ascii="宋体" w:hAnsi="宋体"/>
          <w:szCs w:val="21"/>
          <w:highlight w:val="none"/>
        </w:rPr>
      </w:r>
      <w:r>
        <w:rPr>
          <w:rFonts w:hint="eastAsia" w:ascii="宋体" w:hAnsi="宋体"/>
          <w:szCs w:val="21"/>
          <w:highlight w:val="none"/>
        </w:rPr>
      </w:r>
    </w:p>
    <w:p>
      <w:pPr>
        <w:jc w:val="left"/>
        <w:spacing w:line="360" w:lineRule="auto"/>
        <w:rPr>
          <w:rFonts w:hint="eastAsia" w:ascii="宋体" w:hAnsi="宋体"/>
          <w:highlight w:val="none"/>
        </w:rPr>
        <w:outlineLvl w:val="1"/>
      </w:pPr>
      <w:r>
        <w:rPr>
          <w:rFonts w:hint="eastAsia" w:ascii="宋体" w:hAnsi="宋体"/>
          <w:szCs w:val="21"/>
          <w:highlight w:val="none"/>
        </w:rPr>
      </w:r>
      <w:r>
        <w:rPr>
          <w:rFonts w:hint="eastAsia" w:ascii="宋体" w:hAnsi="宋体"/>
          <w:szCs w:val="21"/>
          <w:highlight w:val="none"/>
        </w:rPr>
      </w:r>
    </w:p>
    <w:p>
      <w:pPr>
        <w:jc w:val="left"/>
        <w:spacing w:line="360" w:lineRule="auto"/>
        <w:rPr>
          <w:rFonts w:hint="eastAsia" w:ascii="宋体" w:hAnsi="宋体"/>
          <w:highlight w:val="none"/>
        </w:rPr>
        <w:outlineLvl w:val="1"/>
      </w:pPr>
      <w:r>
        <w:rPr>
          <w:rFonts w:hint="eastAsia" w:ascii="宋体" w:hAnsi="宋体"/>
          <w:szCs w:val="21"/>
          <w:highlight w:val="none"/>
        </w:rPr>
      </w:r>
      <w:r>
        <w:rPr>
          <w:rFonts w:hint="eastAsia" w:ascii="宋体" w:hAnsi="宋体"/>
          <w:szCs w:val="21"/>
          <w:highlight w:val="none"/>
        </w:rPr>
      </w:r>
    </w:p>
    <w:p>
      <w:pPr>
        <w:jc w:val="left"/>
        <w:spacing w:line="360" w:lineRule="auto"/>
        <w:rPr>
          <w:rFonts w:hint="eastAsia" w:ascii="宋体" w:hAnsi="宋体"/>
          <w:highlight w:val="none"/>
        </w:rPr>
        <w:outlineLvl w:val="1"/>
      </w:pPr>
      <w:r>
        <w:rPr>
          <w:rFonts w:hint="eastAsia" w:ascii="宋体" w:hAnsi="宋体"/>
          <w:szCs w:val="21"/>
          <w:highlight w:val="none"/>
        </w:rPr>
      </w:r>
      <w:r>
        <w:rPr>
          <w:rFonts w:hint="eastAsia" w:ascii="宋体" w:hAnsi="宋体"/>
          <w:szCs w:val="21"/>
          <w:highlight w:val="none"/>
        </w:rPr>
      </w:r>
    </w:p>
    <w:p>
      <w:pPr>
        <w:jc w:val="left"/>
        <w:spacing w:line="360" w:lineRule="auto"/>
        <w:rPr>
          <w:rFonts w:hint="eastAsia" w:ascii="宋体" w:hAnsi="宋体"/>
          <w:highlight w:val="none"/>
        </w:rPr>
        <w:outlineLvl w:val="1"/>
      </w:pPr>
      <w:r>
        <w:rPr>
          <w:rFonts w:hint="eastAsia" w:ascii="宋体" w:hAnsi="宋体"/>
          <w:szCs w:val="21"/>
          <w:highlight w:val="none"/>
        </w:rPr>
      </w:r>
      <w:r>
        <w:rPr>
          <w:rFonts w:hint="eastAsia" w:ascii="宋体" w:hAnsi="宋体"/>
          <w:szCs w:val="21"/>
          <w:highlight w:val="none"/>
        </w:rPr>
      </w:r>
    </w:p>
    <w:p>
      <w:pPr>
        <w:pStyle w:val="1035"/>
        <w:jc w:val="left"/>
        <w:spacing w:line="360" w:lineRule="auto"/>
        <w:rPr>
          <w:rFonts w:hint="eastAsia" w:ascii="宋体" w:hAnsi="宋体"/>
          <w:highlight w:val="none"/>
        </w:rPr>
        <w:outlineLvl w:val="1"/>
      </w:pPr>
      <w:r>
        <w:rPr>
          <w:rFonts w:hint="eastAsia" w:ascii="宋体" w:hAnsi="宋体"/>
          <w:szCs w:val="21"/>
          <w:highlight w:val="none"/>
        </w:rPr>
        <w:t xml:space="preserve">（3）响应单位与其他单位存在控股、管理关系情况表</w:t>
      </w:r>
      <w:r>
        <w:rPr>
          <w:rFonts w:ascii="宋体" w:hAnsi="宋体"/>
          <w:szCs w:val="21"/>
          <w:highlight w:val="none"/>
        </w:rPr>
      </w:r>
      <w:r/>
    </w:p>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响应单位与其他单位存在控股、管理关系情况表</w:t>
      </w:r>
      <w:r>
        <w:rPr>
          <w:rFonts w:ascii="宋体" w:hAnsi="宋体"/>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与响应单位存在控股、管理关系的单位名称</w:t>
            </w:r>
            <w:r>
              <w:rPr>
                <w:rFonts w:ascii="宋体" w:hAnsi="宋体"/>
                <w:szCs w:val="21"/>
                <w:highlight w:val="none"/>
              </w:rPr>
            </w:r>
            <w:r/>
          </w:p>
        </w:tc>
        <w:tc>
          <w:tcPr>
            <w:tcW w:w="4677" w:type="dxa"/>
            <w:vAlign w:val="center"/>
            <w:textDirection w:val="lrTb"/>
            <w:noWrap/>
          </w:tcPr>
          <w:p>
            <w:pPr>
              <w:pStyle w:val="1035"/>
              <w:jc w:val="center"/>
              <w:spacing w:line="360" w:lineRule="auto"/>
              <w:rPr>
                <w:rFonts w:ascii="宋体" w:hAnsi="宋体"/>
                <w:szCs w:val="21"/>
                <w:highlight w:val="none"/>
              </w:rPr>
              <w:outlineLvl w:val="1"/>
            </w:pPr>
            <w:r>
              <w:rPr>
                <w:rFonts w:hint="eastAsia" w:ascii="宋体" w:hAnsi="宋体"/>
                <w:szCs w:val="21"/>
                <w:highlight w:val="none"/>
              </w:rPr>
              <w:t xml:space="preserve">控股、管理关系情况说明</w:t>
            </w:r>
            <w:r>
              <w:rPr>
                <w:rFonts w:ascii="宋体" w:hAnsi="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1035"/>
              <w:jc w:val="center"/>
              <w:rPr>
                <w:rFonts w:ascii="宋体" w:hAnsi="宋体" w:cs="宋体"/>
                <w:szCs w:val="21"/>
                <w:highlight w:val="none"/>
              </w:rPr>
            </w:pPr>
            <w:r>
              <w:rPr>
                <w:rFonts w:ascii="宋体" w:hAnsi="宋体" w:cs="宋体"/>
                <w:szCs w:val="21"/>
                <w:highlight w:val="none"/>
              </w:rPr>
            </w:r>
            <w:r/>
          </w:p>
        </w:tc>
      </w:tr>
    </w:tbl>
    <w:p>
      <w:pPr>
        <w:pStyle w:val="1035"/>
        <w:jc w:val="center"/>
        <w:rPr>
          <w:rFonts w:ascii="宋体" w:hAnsi="宋体" w:cs="宋体"/>
          <w:szCs w:val="21"/>
          <w:highlight w:val="none"/>
        </w:rPr>
      </w:pPr>
      <w:r>
        <w:rPr>
          <w:rFonts w:ascii="宋体" w:hAnsi="宋体" w:cs="宋体"/>
          <w:szCs w:val="21"/>
          <w:highlight w:val="none"/>
        </w:rPr>
      </w:r>
      <w:r/>
    </w:p>
    <w:p>
      <w:pPr>
        <w:pStyle w:val="1035"/>
        <w:rPr>
          <w:rFonts w:ascii="宋体" w:hAnsi="宋体" w:cs="宋体"/>
          <w:szCs w:val="21"/>
          <w:highlight w:val="none"/>
        </w:rPr>
      </w:pPr>
      <w:r>
        <w:rPr>
          <w:rFonts w:hint="eastAsia" w:ascii="宋体" w:hAnsi="宋体" w:cs="宋体"/>
          <w:szCs w:val="21"/>
          <w:highlight w:val="none"/>
        </w:rPr>
        <w:t xml:space="preserve">注：磋商供应商须如实填写所有与之有控股、管理关系的情况。</w:t>
      </w:r>
      <w:r>
        <w:rPr>
          <w:rFonts w:ascii="宋体" w:hAnsi="宋体" w:cs="宋体"/>
          <w:szCs w:val="21"/>
          <w:highlight w:val="none"/>
        </w:rPr>
      </w:r>
      <w:r/>
    </w:p>
    <w:p>
      <w:pPr>
        <w:pStyle w:val="1035"/>
        <w:rPr>
          <w:rFonts w:ascii="宋体" w:hAnsi="宋体" w:cs="宋体"/>
          <w:b/>
          <w:szCs w:val="21"/>
          <w:highlight w:val="none"/>
        </w:rPr>
      </w:pPr>
      <w:r>
        <w:rPr>
          <w:rFonts w:ascii="宋体" w:hAnsi="宋体" w:cs="宋体"/>
          <w:b/>
          <w:szCs w:val="21"/>
          <w:highlight w:val="none"/>
        </w:rPr>
      </w:r>
      <w:r/>
    </w:p>
    <w:p>
      <w:pPr>
        <w:pStyle w:val="1035"/>
        <w:rPr>
          <w:rFonts w:ascii="宋体" w:hAnsi="宋体" w:cs="宋体"/>
          <w:b/>
          <w:szCs w:val="21"/>
          <w:highlight w:val="none"/>
        </w:rPr>
      </w:pPr>
      <w:r>
        <w:rPr>
          <w:rFonts w:ascii="宋体" w:hAnsi="宋体" w:cs="宋体"/>
          <w:b/>
          <w:szCs w:val="21"/>
          <w:highlight w:val="none"/>
        </w:rPr>
      </w:r>
      <w:r/>
    </w:p>
    <w:p>
      <w:pPr>
        <w:pStyle w:val="1035"/>
        <w:rPr>
          <w:rFonts w:ascii="宋体" w:hAnsi="宋体" w:cs="宋体"/>
          <w:b/>
          <w:szCs w:val="21"/>
          <w:highlight w:val="none"/>
        </w:rPr>
      </w:pPr>
      <w:r>
        <w:rPr>
          <w:rFonts w:ascii="宋体" w:hAnsi="宋体" w:cs="宋体"/>
          <w:b/>
          <w:szCs w:val="21"/>
          <w:highlight w:val="none"/>
        </w:rPr>
      </w:r>
      <w:r/>
    </w:p>
    <w:p>
      <w:pPr>
        <w:pStyle w:val="1035"/>
        <w:rPr>
          <w:rFonts w:ascii="宋体" w:hAnsi="宋体" w:cs="宋体"/>
          <w:b/>
          <w:szCs w:val="21"/>
          <w:highlight w:val="none"/>
        </w:rPr>
      </w:pPr>
      <w:r>
        <w:rPr>
          <w:rFonts w:ascii="宋体" w:hAnsi="宋体" w:cs="宋体"/>
          <w:b/>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rPr>
        <w:t xml:space="preserve">磋商供应商：（盖章）</w:t>
      </w:r>
      <w:r>
        <w:rPr>
          <w:rFonts w:ascii="宋体" w:hAnsi="宋体" w:cs="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法定代表人或委托代理人：（签字或盖章）</w:t>
      </w:r>
      <w:r>
        <w:rPr>
          <w:rFonts w:ascii="宋体" w:hAnsi="宋体" w:cs="宋体"/>
          <w:szCs w:val="21"/>
          <w:highlight w:val="none"/>
        </w:rPr>
      </w:r>
      <w:r/>
    </w:p>
    <w:p>
      <w:pPr>
        <w:pStyle w:val="1035"/>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spacing w:line="360" w:lineRule="auto"/>
        <w:tabs>
          <w:tab w:val="left" w:pos="3420" w:leader="none"/>
        </w:tabs>
        <w:rPr>
          <w:rFonts w:ascii="宋体" w:hAnsi="宋体" w:cs="宋体"/>
          <w:highlight w:val="none"/>
        </w:rPr>
      </w:pPr>
      <w:r>
        <w:rPr>
          <w:rFonts w:hint="eastAsia" w:ascii="宋体" w:hAnsi="宋体" w:cs="宋体"/>
          <w:bCs/>
          <w:szCs w:val="21"/>
          <w:highlight w:val="none"/>
        </w:rPr>
      </w:r>
      <w:r>
        <w:rPr>
          <w:rFonts w:hint="eastAsia" w:ascii="宋体" w:hAnsi="宋体" w:cs="宋体"/>
          <w:bCs/>
          <w:szCs w:val="21"/>
          <w:highlight w:val="none"/>
        </w:rPr>
      </w:r>
    </w:p>
    <w:p>
      <w:pPr>
        <w:spacing w:line="360" w:lineRule="auto"/>
        <w:tabs>
          <w:tab w:val="left" w:pos="3420" w:leader="none"/>
        </w:tabs>
        <w:rPr>
          <w:rFonts w:hint="eastAsia" w:ascii="宋体" w:hAnsi="宋体" w:cs="宋体"/>
          <w:highlight w:val="none"/>
        </w:rPr>
      </w:pPr>
      <w:r>
        <w:rPr>
          <w:rFonts w:hint="eastAsia" w:ascii="宋体" w:hAnsi="宋体" w:cs="宋体"/>
          <w:bCs/>
          <w:szCs w:val="21"/>
          <w:highlight w:val="none"/>
        </w:rPr>
      </w:r>
      <w:r>
        <w:rPr>
          <w:rFonts w:hint="eastAsia" w:ascii="宋体" w:hAnsi="宋体" w:cs="宋体"/>
          <w:bCs/>
          <w:szCs w:val="21"/>
          <w:highlight w:val="none"/>
        </w:rPr>
      </w:r>
    </w:p>
    <w:p>
      <w:pPr>
        <w:pStyle w:val="1035"/>
        <w:spacing w:line="360" w:lineRule="auto"/>
        <w:tabs>
          <w:tab w:val="left" w:pos="3420" w:leader="none"/>
        </w:tabs>
        <w:rPr>
          <w:rFonts w:hint="eastAsia" w:ascii="宋体" w:hAnsi="宋体" w:cs="宋体"/>
          <w:highlight w:val="none"/>
        </w:rPr>
      </w:pPr>
      <w:r>
        <w:rPr>
          <w:rFonts w:hint="eastAsia" w:ascii="宋体" w:hAnsi="宋体" w:cs="宋体"/>
          <w:bCs/>
          <w:szCs w:val="21"/>
          <w:highlight w:val="none"/>
        </w:rPr>
        <w:t xml:space="preserve">（4）中小企业声明函</w:t>
      </w:r>
      <w:r>
        <w:rPr>
          <w:rFonts w:ascii="宋体" w:hAnsi="宋体" w:cs="宋体"/>
          <w:bCs/>
          <w:szCs w:val="21"/>
          <w:highlight w:val="none"/>
        </w:rPr>
      </w:r>
      <w:r/>
    </w:p>
    <w:p>
      <w:pPr>
        <w:pStyle w:val="1035"/>
        <w:jc w:val="center"/>
        <w:spacing w:line="360" w:lineRule="auto"/>
        <w:rPr>
          <w:rFonts w:ascii="宋体" w:hAnsi="宋体" w:cs="宋体"/>
          <w:szCs w:val="21"/>
          <w:highlight w:val="none"/>
        </w:rPr>
      </w:pPr>
      <w:r>
        <w:rPr>
          <w:rFonts w:hint="eastAsia" w:ascii="Times New Roman" w:hAnsi="宋体" w:cs="宋体"/>
          <w:b/>
          <w:sz w:val="24"/>
          <w:szCs w:val="24"/>
          <w:highlight w:val="none"/>
        </w:rPr>
        <w:t xml:space="preserve">中小企业声明函（工程、服务）</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春申湖路隔音设施安装建设一期</w:t>
      </w:r>
      <w:r>
        <w:rPr>
          <w:rFonts w:hint="eastAsia" w:ascii="宋体" w:hAnsi="宋体" w:cs="宋体"/>
          <w:szCs w:val="21"/>
          <w:highlight w:val="none"/>
        </w:rPr>
        <w:t xml:space="preserve">，属于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春申湖路隔音设施安装建设一期</w:t>
      </w:r>
      <w:r>
        <w:rPr>
          <w:rFonts w:hint="eastAsia" w:ascii="宋体" w:hAnsi="宋体" w:cs="宋体"/>
          <w:szCs w:val="21"/>
          <w:highlight w:val="none"/>
        </w:rPr>
        <w:t xml:space="preserve">，属于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rPr>
          <w:rFonts w:ascii="宋体" w:hAnsi="宋体" w:cs="宋体"/>
          <w:szCs w:val="21"/>
          <w:highlight w:val="none"/>
        </w:rPr>
      </w:r>
      <w:r/>
    </w:p>
    <w:p>
      <w:pPr>
        <w:pStyle w:val="1035"/>
        <w:ind w:firstLine="420"/>
        <w:jc w:val="right"/>
        <w:spacing w:line="360" w:lineRule="auto"/>
        <w:rPr>
          <w:rFonts w:ascii="宋体" w:hAnsi="宋体" w:cs="宋体"/>
          <w:szCs w:val="21"/>
          <w:highlight w:val="none"/>
        </w:rPr>
      </w:pPr>
      <w:r>
        <w:rPr>
          <w:rFonts w:ascii="宋体" w:hAnsi="宋体" w:cs="宋体"/>
          <w:szCs w:val="21"/>
          <w:highlight w:val="none"/>
        </w:rPr>
      </w:r>
      <w:r/>
    </w:p>
    <w:p>
      <w:pPr>
        <w:pStyle w:val="1035"/>
        <w:ind w:firstLine="420"/>
        <w:jc w:val="center"/>
        <w:spacing w:line="360" w:lineRule="auto"/>
        <w:rPr>
          <w:rFonts w:ascii="宋体" w:hAnsi="宋体" w:cs="宋体"/>
          <w:szCs w:val="21"/>
          <w:highlight w:val="none"/>
        </w:rPr>
      </w:pPr>
      <w:r>
        <w:rPr>
          <w:rFonts w:hint="eastAsia" w:ascii="宋体" w:hAnsi="宋体" w:cs="宋体"/>
          <w:szCs w:val="21"/>
          <w:highlight w:val="none"/>
        </w:rPr>
        <w:t xml:space="preserve">    企业名称（盖章）：</w:t>
      </w:r>
      <w:r>
        <w:rPr>
          <w:rFonts w:ascii="宋体" w:hAnsi="宋体" w:cs="宋体"/>
          <w:szCs w:val="21"/>
          <w:highlight w:val="none"/>
        </w:rPr>
      </w:r>
      <w:r/>
    </w:p>
    <w:p>
      <w:pPr>
        <w:pStyle w:val="1035"/>
        <w:ind w:firstLine="4305"/>
        <w:spacing w:line="360" w:lineRule="auto"/>
        <w:rPr>
          <w:rFonts w:ascii="宋体" w:hAnsi="宋体" w:cs="宋体"/>
          <w:szCs w:val="21"/>
          <w:highlight w:val="none"/>
        </w:rPr>
      </w:pPr>
      <w:r>
        <w:rPr>
          <w:rFonts w:hint="eastAsia" w:ascii="宋体" w:hAnsi="宋体" w:cs="宋体"/>
          <w:szCs w:val="21"/>
          <w:highlight w:val="none"/>
        </w:rPr>
        <w:t xml:space="preserve">日   期：</w:t>
      </w:r>
      <w:r>
        <w:rPr>
          <w:rFonts w:ascii="宋体" w:hAnsi="宋体" w:cs="宋体"/>
          <w:szCs w:val="21"/>
          <w:highlight w:val="none"/>
        </w:rPr>
      </w:r>
      <w:r/>
    </w:p>
    <w:p>
      <w:pPr>
        <w:pStyle w:val="1035"/>
        <w:ind w:left="0" w:firstLine="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b/>
          <w:color w:val="000000"/>
          <w:highlight w:val="none"/>
        </w:rPr>
        <w:t xml:space="preserve">备注：</w:t>
      </w:r>
      <w:r>
        <w:rPr>
          <w:rFonts w:hint="eastAsia" w:ascii="宋体" w:hAnsi="宋体" w:eastAsia="宋体" w:cs="Times New Roman"/>
          <w:color w:val="000000"/>
          <w:highlight w:val="none"/>
        </w:rPr>
        <w:t xml:space="preserve">1</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从业人员、营业收入、资产总额填报上一年度数据，无上一年度数据的新成立企业可不填报。</w:t>
      </w:r>
      <w:r>
        <w:rPr>
          <w:rFonts w:ascii="宋体" w:hAnsi="宋体" w:eastAsia="宋体" w:cs="Times New Roman"/>
          <w:color w:val="000000"/>
          <w:highlight w:val="none"/>
        </w:rPr>
      </w:r>
      <w:r/>
    </w:p>
    <w:p>
      <w:pPr>
        <w:pStyle w:val="1035"/>
        <w:ind w:left="0" w:firstLine="60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color w:val="000000"/>
          <w:highlight w:val="none"/>
        </w:rPr>
        <w:t xml:space="preserve">2</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供应商应对照《工业和信息化部、国家统计局、国家发展和改革委员会、财政部关于印发中小企业划型标准规定的通知》（工信部企业[2011]300号)的规定，</w:t>
      </w:r>
      <w:r>
        <w:rPr>
          <w:rFonts w:hint="eastAsia" w:ascii="宋体" w:hAnsi="宋体" w:eastAsia="宋体" w:cs="Times New Roman"/>
          <w:b/>
          <w:color w:val="000000"/>
          <w:highlight w:val="none"/>
        </w:rPr>
        <w:t xml:space="preserve">对承接企业</w:t>
      </w:r>
      <w:r>
        <w:rPr>
          <w:rFonts w:ascii="宋体" w:hAnsi="宋体" w:eastAsia="宋体" w:cs="Times New Roman"/>
          <w:b/>
          <w:color w:val="000000"/>
          <w:highlight w:val="none"/>
        </w:rPr>
        <w:t xml:space="preserve">的企业</w:t>
      </w:r>
      <w:r>
        <w:rPr>
          <w:rFonts w:hint="eastAsia" w:ascii="宋体" w:hAnsi="宋体" w:eastAsia="宋体" w:cs="Times New Roman"/>
          <w:b/>
          <w:color w:val="000000"/>
          <w:highlight w:val="none"/>
        </w:rPr>
        <w:t xml:space="preserve">规模类型（中型企业、小型企业、微型企业）进行勾选或明确，如供应商未进行勾选或明确的，自行承担《中小企业声明函》可能不被认可的不利后果。</w:t>
      </w:r>
      <w:r>
        <w:rPr>
          <w:rFonts w:ascii="宋体" w:hAnsi="宋体" w:eastAsia="宋体" w:cs="Times New Roman"/>
          <w:color w:val="000000"/>
          <w:highlight w:val="none"/>
        </w:rPr>
      </w:r>
      <w:r/>
    </w:p>
    <w:p>
      <w:pPr>
        <w:pStyle w:val="1035"/>
        <w:ind w:left="0" w:firstLine="60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color w:val="000000"/>
          <w:highlight w:val="none"/>
        </w:rPr>
        <w:t xml:space="preserve">3</w:t>
      </w:r>
      <w:r>
        <w:rPr>
          <w:rFonts w:ascii="宋体" w:hAnsi="宋体" w:eastAsia="宋体" w:cs="Times New Roman"/>
          <w:color w:val="000000"/>
          <w:highlight w:val="none"/>
        </w:rPr>
        <w:t xml:space="preserve">.</w:t>
      </w:r>
      <w:r>
        <w:rPr>
          <w:rFonts w:hint="eastAsia" w:ascii="宋体" w:hAnsi="宋体" w:eastAsia="宋体" w:cs="Times New Roman"/>
          <w:color w:val="000000"/>
          <w:highlight w:val="none"/>
        </w:rPr>
        <w:t xml:space="preserve">《中小企业声明函》中所填的行业应与本采购标的对应的中小企业划分标准所属行业一致，</w:t>
      </w:r>
      <w:r>
        <w:rPr>
          <w:rFonts w:hint="eastAsia" w:ascii="宋体" w:hAnsi="宋体" w:eastAsia="宋体" w:cs="Times New Roman"/>
          <w:b/>
          <w:color w:val="000000"/>
          <w:highlight w:val="none"/>
        </w:rPr>
        <w:t xml:space="preserve">本采购标的对应的中小企业划分标准所属行业，以招标文件为准。</w:t>
      </w:r>
      <w:r>
        <w:rPr>
          <w:rFonts w:ascii="宋体" w:hAnsi="宋体" w:eastAsia="宋体" w:cs="Times New Roman"/>
          <w:color w:val="000000"/>
          <w:highlight w:val="none"/>
        </w:rPr>
        <w:t xml:space="preserve"> </w:t>
      </w:r>
      <w:r>
        <w:rPr>
          <w:rFonts w:ascii="宋体" w:hAnsi="宋体" w:eastAsia="宋体" w:cs="Times New Roman"/>
          <w:color w:val="000000"/>
          <w:highlight w:val="none"/>
        </w:rPr>
      </w:r>
      <w:r/>
    </w:p>
    <w:p>
      <w:pPr>
        <w:pStyle w:val="1035"/>
        <w:ind w:left="0" w:firstLine="600"/>
        <w:jc w:val="both"/>
        <w:spacing w:before="0" w:after="0" w:line="240" w:lineRule="auto"/>
        <w:rPr>
          <w:rFonts w:ascii="宋体" w:hAnsi="宋体" w:eastAsia="宋体" w:cs="Times New Roman"/>
          <w:color w:val="000000"/>
          <w:highlight w:val="none"/>
        </w:rPr>
        <w:outlineLvl w:val="0"/>
      </w:pPr>
      <w:r>
        <w:rPr>
          <w:rFonts w:ascii="宋体" w:hAnsi="宋体" w:eastAsia="宋体" w:cs="Times New Roman"/>
          <w:color w:val="000000"/>
          <w:highlight w:val="none"/>
        </w:rPr>
        <w:t xml:space="preserve">4.</w:t>
      </w:r>
      <w:r>
        <w:rPr>
          <w:rFonts w:hint="eastAsia" w:ascii="宋体" w:hAnsi="宋体" w:eastAsia="宋体" w:cs="Times New Roman"/>
          <w:color w:val="000000"/>
          <w:highlight w: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highlight w:val="none"/>
        </w:rPr>
        <w:t xml:space="preserve">，</w:t>
      </w:r>
      <w:r>
        <w:rPr>
          <w:rFonts w:ascii="Times New Roman" w:hAnsi="Times New Roman" w:eastAsia="宋体" w:cs="Times New Roman"/>
          <w:b/>
          <w:highlight w:val="none"/>
        </w:rPr>
        <w:t xml:space="preserve">才可享受规定的中小企业扶持政策。</w:t>
      </w:r>
      <w:r>
        <w:rPr>
          <w:rFonts w:ascii="宋体" w:hAnsi="宋体" w:eastAsia="宋体" w:cs="Times New Roman"/>
          <w:color w:val="000000"/>
          <w:highlight w:val="none"/>
        </w:rPr>
      </w:r>
      <w:r/>
    </w:p>
    <w:p>
      <w:pPr>
        <w:pStyle w:val="1035"/>
        <w:ind w:left="0" w:firstLine="600"/>
        <w:jc w:val="both"/>
        <w:spacing w:before="0" w:after="0" w:line="240" w:lineRule="auto"/>
        <w:rPr>
          <w:rFonts w:ascii="宋体" w:hAnsi="宋体" w:eastAsia="宋体" w:cs="Times New Roman"/>
          <w:color w:val="000000"/>
          <w:highlight w:val="none"/>
        </w:rPr>
        <w:outlineLvl w:val="0"/>
      </w:pPr>
      <w:r>
        <w:rPr>
          <w:rFonts w:hint="eastAsia" w:ascii="宋体" w:hAnsi="宋体" w:eastAsia="宋体" w:cs="Times New Roman"/>
          <w:highlight w:val="none"/>
        </w:rPr>
        <w:t xml:space="preserve">5</w:t>
      </w:r>
      <w:r>
        <w:rPr>
          <w:rFonts w:ascii="宋体" w:hAnsi="宋体" w:eastAsia="宋体" w:cs="Times New Roman"/>
          <w:highlight w:val="none"/>
        </w:rPr>
        <w:t xml:space="preserve">.</w:t>
      </w:r>
      <w:r>
        <w:rPr>
          <w:rFonts w:hint="eastAsia" w:ascii="宋体" w:hAnsi="宋体" w:eastAsia="宋体" w:cs="Times New Roman"/>
          <w:highlight w:val="none"/>
        </w:rPr>
        <w:t xml:space="preserve">供应商享受中小企业扶持政策的，《中小企业声明函》将随中标结果同时公告。</w:t>
      </w:r>
      <w:r>
        <w:rPr>
          <w:rFonts w:ascii="宋体" w:hAnsi="宋体" w:eastAsia="宋体" w:cs="Times New Roman"/>
          <w:color w:val="00000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hint="eastAsia" w:ascii="宋体" w:hAnsi="宋体" w:eastAsia="宋体" w:cs="宋体"/>
          <w:b/>
          <w:sz w:val="20"/>
          <w:szCs w:val="20"/>
          <w:highlight w:val="none"/>
        </w:rPr>
      </w:pPr>
      <w:r>
        <w:rPr>
          <w:rFonts w:hint="eastAsia" w:ascii="宋体" w:hAnsi="宋体" w:eastAsia="宋体" w:cs="宋体"/>
          <w:b/>
          <w:sz w:val="20"/>
          <w:szCs w:val="20"/>
          <w:highlight w:val="none"/>
        </w:rPr>
      </w:r>
      <w:r/>
    </w:p>
    <w:p>
      <w:pPr>
        <w:pStyle w:val="1035"/>
        <w:ind w:left="0"/>
        <w:spacing w:line="280" w:lineRule="exact"/>
        <w:widowControl/>
        <w:rPr>
          <w:rFonts w:ascii="宋体" w:hAnsi="宋体" w:eastAsia="宋体" w:cs="宋体"/>
          <w:b/>
          <w:sz w:val="20"/>
          <w:szCs w:val="20"/>
          <w:highlight w:val="none"/>
        </w:rPr>
      </w:pPr>
      <w:r>
        <w:rPr>
          <w:rFonts w:hint="eastAsia" w:ascii="宋体" w:hAnsi="宋体" w:eastAsia="宋体" w:cs="宋体"/>
          <w:b/>
          <w:sz w:val="20"/>
          <w:szCs w:val="20"/>
          <w:highlight w:val="none"/>
        </w:rPr>
        <w:t xml:space="preserve">附：中小企业划型标准规定</w:t>
      </w:r>
      <w:r>
        <w:rPr>
          <w:rFonts w:ascii="宋体" w:hAnsi="宋体" w:eastAsia="宋体" w:cs="宋体"/>
          <w:b/>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（一）农、林、牧、渔业。</w:t>
      </w:r>
      <w:r>
        <w:rPr>
          <w:rFonts w:hint="eastAsia" w:ascii="宋体" w:hAnsi="宋体" w:eastAsia="宋体" w:cs="宋体"/>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（二）工业。</w:t>
      </w:r>
      <w:r>
        <w:rPr>
          <w:rFonts w:hint="eastAsia" w:ascii="宋体" w:hAnsi="宋体" w:eastAsia="宋体" w:cs="宋体"/>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（三）建筑业。</w:t>
      </w:r>
      <w:r>
        <w:rPr>
          <w:rFonts w:hint="eastAsia" w:ascii="宋体" w:hAnsi="宋体" w:eastAsia="宋体" w:cs="宋体"/>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（四）批发业。</w:t>
      </w:r>
      <w:r>
        <w:rPr>
          <w:rFonts w:hint="eastAsia" w:ascii="宋体" w:hAnsi="宋体" w:eastAsia="宋体" w:cs="宋体"/>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（五）零售业。</w:t>
      </w:r>
      <w:r>
        <w:rPr>
          <w:rFonts w:hint="eastAsia" w:ascii="宋体" w:hAnsi="宋体" w:eastAsia="宋体" w:cs="宋体"/>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（六）交通运输业。</w:t>
      </w:r>
      <w:r>
        <w:rPr>
          <w:rFonts w:hint="eastAsia" w:ascii="宋体" w:hAnsi="宋体" w:eastAsia="宋体" w:cs="宋体"/>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（七）仓储业。</w:t>
      </w:r>
      <w:r>
        <w:rPr>
          <w:rFonts w:hint="eastAsia" w:ascii="宋体" w:hAnsi="宋体" w:eastAsia="宋体" w:cs="宋体"/>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（八）邮政业。</w:t>
      </w:r>
      <w:r>
        <w:rPr>
          <w:rFonts w:hint="eastAsia" w:ascii="宋体" w:hAnsi="宋体" w:eastAsia="宋体" w:cs="宋体"/>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（九）住宿业。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（十）餐饮业。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（十一）信息传输业。</w:t>
      </w:r>
      <w:r>
        <w:rPr>
          <w:rFonts w:hint="eastAsia" w:ascii="宋体" w:hAnsi="宋体" w:eastAsia="宋体" w:cs="宋体"/>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（十二）软件和信息技术服务业。</w:t>
      </w:r>
      <w:r>
        <w:rPr>
          <w:rFonts w:hint="eastAsia" w:ascii="宋体" w:hAnsi="宋体" w:eastAsia="宋体" w:cs="宋体"/>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（十三）房地产开发经营。</w:t>
      </w:r>
      <w:r>
        <w:rPr>
          <w:rFonts w:hint="eastAsia" w:ascii="宋体" w:hAnsi="宋体" w:eastAsia="宋体" w:cs="宋体"/>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（十四）物业管理。</w:t>
      </w:r>
      <w:r>
        <w:rPr>
          <w:rFonts w:hint="eastAsia" w:ascii="宋体" w:hAnsi="宋体" w:eastAsia="宋体" w:cs="宋体"/>
          <w:sz w:val="20"/>
          <w:szCs w:val="20"/>
          <w:highlight w:val="none"/>
        </w:rPr>
        <w:t xml:space="preserve">从业人员1000人以下或营业收入5000万元以下的为中小微型企业。其中，从业人员</w:t>
      </w:r>
      <w:r>
        <w:rPr>
          <w:rFonts w:ascii="宋体" w:hAnsi="宋体" w:eastAsia="宋体" w:cs="宋体"/>
          <w:sz w:val="20"/>
          <w:szCs w:val="20"/>
          <w:highlight w:val="none"/>
        </w:rPr>
      </w:r>
      <w:r/>
    </w:p>
    <w:p>
      <w:pPr>
        <w:pStyle w:val="1035"/>
        <w:ind w:left="0"/>
        <w:spacing w:line="280" w:lineRule="exact"/>
        <w:widowControl/>
        <w:rPr>
          <w:rFonts w:ascii="宋体" w:hAnsi="宋体" w:eastAsia="宋体" w:cs="宋体"/>
          <w:sz w:val="20"/>
          <w:szCs w:val="20"/>
          <w:highlight w:val="none"/>
        </w:rPr>
      </w:pPr>
      <w:r>
        <w:rPr>
          <w:rFonts w:hint="eastAsia" w:ascii="宋体" w:hAnsi="宋体" w:eastAsia="宋体" w:cs="宋体"/>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（十五）租赁和商务服务业。</w:t>
      </w:r>
      <w:r>
        <w:rPr>
          <w:rFonts w:hint="eastAsia" w:ascii="宋体" w:hAnsi="宋体" w:eastAsia="宋体" w:cs="宋体"/>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sz w:val="20"/>
          <w:szCs w:val="20"/>
          <w:highlight w:val="none"/>
        </w:rPr>
      </w:r>
      <w:r/>
    </w:p>
    <w:p>
      <w:pPr>
        <w:pStyle w:val="1035"/>
        <w:ind w:left="0" w:firstLine="402"/>
        <w:spacing w:line="280" w:lineRule="exact"/>
        <w:widowControl/>
        <w:rPr>
          <w:rFonts w:ascii="宋体" w:hAnsi="宋体" w:eastAsia="宋体" w:cs="宋体"/>
          <w:sz w:val="20"/>
          <w:szCs w:val="20"/>
          <w:highlight w:val="none"/>
        </w:rPr>
      </w:pPr>
      <w:r>
        <w:rPr>
          <w:rFonts w:hint="eastAsia" w:ascii="宋体" w:hAnsi="宋体" w:eastAsia="宋体" w:cs="宋体"/>
          <w:b/>
          <w:sz w:val="20"/>
          <w:szCs w:val="20"/>
          <w:highlight w:val="none"/>
        </w:rPr>
        <w:t xml:space="preserve">（十六）其他未列明行业。</w:t>
      </w:r>
      <w:r>
        <w:rPr>
          <w:rFonts w:hint="eastAsia" w:ascii="宋体" w:hAnsi="宋体" w:eastAsia="宋体" w:cs="宋体"/>
          <w:sz w:val="20"/>
          <w:szCs w:val="20"/>
          <w:highlight w:val="none"/>
        </w:rPr>
        <w:t xml:space="preserve">从业人员300人以下的为中小微型企业。其中，从业人员100人及以上的为中型企业；从业人员10人及以上的为小型企业；从业人员10人以下的为微型企业。</w:t>
      </w:r>
      <w:r>
        <w:rPr>
          <w:rFonts w:ascii="宋体" w:hAnsi="宋体" w:eastAsia="宋体" w:cs="宋体"/>
          <w:sz w:val="20"/>
          <w:szCs w:val="20"/>
          <w:highlight w:val="none"/>
        </w:rPr>
      </w:r>
      <w:r/>
    </w:p>
    <w:p>
      <w:pPr>
        <w:pStyle w:val="1035"/>
        <w:spacing w:line="360" w:lineRule="auto"/>
        <w:rPr>
          <w:rFonts w:ascii="宋体" w:hAnsi="宋体" w:cs="宋体"/>
          <w:szCs w:val="21"/>
          <w:highlight w:val="none"/>
        </w:rPr>
      </w:pPr>
      <w:r>
        <w:rPr>
          <w:rFonts w:ascii="宋体" w:hAnsi="宋体" w:cs="宋体"/>
          <w:szCs w:val="21"/>
          <w:highlight w:val="none"/>
        </w:rPr>
      </w:r>
      <w:r/>
    </w:p>
    <w:p>
      <w:pPr>
        <w:pStyle w:val="1035"/>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（5）残疾人福利性单位声明函</w:t>
      </w:r>
      <w:r>
        <w:rPr>
          <w:rFonts w:ascii="宋体" w:hAnsi="宋体" w:cs="宋体"/>
          <w:bCs/>
          <w:szCs w:val="21"/>
          <w:highlight w:val="none"/>
        </w:rPr>
      </w:r>
      <w:r/>
    </w:p>
    <w:p>
      <w:pPr>
        <w:pStyle w:val="1035"/>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残疾人福利性单位声明函</w:t>
      </w:r>
      <w:r>
        <w:rPr>
          <w:rFonts w:ascii="宋体" w:hAnsi="宋体" w:cs="宋体"/>
          <w:b/>
          <w:bCs/>
          <w:szCs w:val="21"/>
          <w:highlight w:val="none"/>
        </w:rPr>
      </w:r>
      <w:r/>
    </w:p>
    <w:p>
      <w:pPr>
        <w:pStyle w:val="1035"/>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highlight w:val="none"/>
        </w:rPr>
      </w:r>
      <w:r/>
    </w:p>
    <w:p>
      <w:pPr>
        <w:pStyle w:val="1035"/>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ascii="宋体" w:hAnsi="宋体" w:cs="宋体"/>
          <w:szCs w:val="21"/>
          <w:highlight w:val="none"/>
        </w:rPr>
      </w:r>
      <w:r/>
    </w:p>
    <w:p>
      <w:pPr>
        <w:pStyle w:val="1035"/>
        <w:jc w:val="left"/>
        <w:spacing w:line="360" w:lineRule="auto"/>
        <w:widowControl/>
        <w:rPr>
          <w:rFonts w:ascii="宋体" w:hAnsi="宋体" w:cs="宋体"/>
          <w:szCs w:val="21"/>
          <w:highlight w:val="none"/>
        </w:rPr>
      </w:pPr>
      <w:r>
        <w:rPr>
          <w:rFonts w:ascii="宋体" w:hAnsi="宋体" w:cs="宋体"/>
          <w:szCs w:val="21"/>
          <w:highlight w:val="none"/>
        </w:rPr>
      </w:r>
      <w:r/>
    </w:p>
    <w:p>
      <w:pPr>
        <w:pStyle w:val="1035"/>
        <w:jc w:val="left"/>
        <w:spacing w:line="360" w:lineRule="auto"/>
        <w:widowControl/>
        <w:rPr>
          <w:rFonts w:ascii="宋体" w:hAnsi="宋体" w:cs="宋体"/>
          <w:szCs w:val="21"/>
          <w:highlight w:val="none"/>
        </w:rPr>
      </w:pPr>
      <w:r>
        <w:rPr>
          <w:rFonts w:ascii="宋体" w:hAnsi="宋体" w:cs="宋体"/>
          <w:szCs w:val="21"/>
          <w:highlight w:val="none"/>
        </w:rPr>
      </w:r>
      <w:r/>
    </w:p>
    <w:p>
      <w:pPr>
        <w:pStyle w:val="1035"/>
        <w:jc w:val="left"/>
        <w:spacing w:line="360" w:lineRule="auto"/>
        <w:widowControl/>
        <w:rPr>
          <w:rFonts w:ascii="宋体" w:hAnsi="宋体" w:cs="宋体"/>
          <w:szCs w:val="21"/>
          <w:highlight w:val="none"/>
        </w:rPr>
      </w:pPr>
      <w:r>
        <w:rPr>
          <w:rFonts w:hint="eastAsia" w:ascii="宋体" w:hAnsi="宋体" w:cs="宋体"/>
          <w:szCs w:val="21"/>
          <w:highlight w:val="none"/>
        </w:rPr>
        <w:t xml:space="preserve">               单位名称（盖章）：</w:t>
      </w: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hint="eastAsia" w:ascii="宋体" w:hAnsi="宋体" w:cs="宋体"/>
          <w:szCs w:val="21"/>
          <w:highlight w:val="none"/>
        </w:rPr>
        <w:t xml:space="preserve">               日期：</w:t>
      </w: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pStyle w:val="1035"/>
        <w:jc w:val="left"/>
        <w:spacing w:line="360" w:lineRule="auto"/>
        <w:rPr>
          <w:rFonts w:ascii="宋体" w:hAnsi="宋体" w:cs="宋体"/>
          <w:szCs w:val="21"/>
          <w:highlight w:val="none"/>
        </w:rPr>
        <w:outlineLvl w:val="1"/>
      </w:pPr>
      <w:r>
        <w:rPr>
          <w:rFonts w:ascii="宋体" w:hAnsi="宋体" w:cs="宋体"/>
          <w:szCs w:val="21"/>
          <w:highlight w:val="none"/>
        </w:rPr>
      </w:r>
      <w:r/>
    </w:p>
    <w:p>
      <w:pPr>
        <w:jc w:val="left"/>
        <w:spacing w:line="360" w:lineRule="auto"/>
        <w:rPr>
          <w:rFonts w:ascii="宋体" w:hAnsi="宋体" w:cs="宋体"/>
          <w:highlight w:val="none"/>
        </w:rPr>
        <w:outlineLvl w:val="1"/>
      </w:pPr>
      <w:r>
        <w:rPr>
          <w:rFonts w:hint="eastAsia" w:ascii="宋体" w:hAnsi="宋体" w:cs="宋体"/>
          <w:szCs w:val="21"/>
          <w:highlight w:val="none"/>
        </w:rPr>
      </w:r>
      <w:r>
        <w:rPr>
          <w:rFonts w:hint="eastAsia" w:ascii="宋体" w:hAnsi="宋体" w:cs="宋体"/>
          <w:szCs w:val="21"/>
          <w:highlight w:val="none"/>
        </w:rPr>
      </w:r>
    </w:p>
    <w:p>
      <w:pPr>
        <w:jc w:val="left"/>
        <w:spacing w:line="360" w:lineRule="auto"/>
        <w:rPr>
          <w:rFonts w:hint="eastAsia" w:ascii="宋体" w:hAnsi="宋体" w:cs="宋体"/>
          <w:highlight w:val="none"/>
        </w:rPr>
        <w:outlineLvl w:val="1"/>
      </w:pPr>
      <w:r>
        <w:rPr>
          <w:rFonts w:hint="eastAsia" w:ascii="宋体" w:hAnsi="宋体" w:cs="宋体"/>
          <w:szCs w:val="21"/>
          <w:highlight w:val="none"/>
        </w:rPr>
      </w:r>
      <w:r>
        <w:rPr>
          <w:rFonts w:hint="eastAsia" w:ascii="宋体" w:hAnsi="宋体" w:cs="宋体"/>
          <w:szCs w:val="21"/>
          <w:highlight w:val="none"/>
        </w:rPr>
      </w:r>
    </w:p>
    <w:p>
      <w:pPr>
        <w:jc w:val="left"/>
        <w:spacing w:line="360" w:lineRule="auto"/>
        <w:rPr>
          <w:rFonts w:hint="eastAsia" w:ascii="宋体" w:hAnsi="宋体" w:cs="宋体"/>
          <w:highlight w:val="none"/>
        </w:rPr>
        <w:outlineLvl w:val="1"/>
      </w:pPr>
      <w:r>
        <w:rPr>
          <w:rFonts w:hint="eastAsia" w:ascii="宋体" w:hAnsi="宋体" w:cs="宋体"/>
          <w:szCs w:val="21"/>
          <w:highlight w:val="none"/>
        </w:rPr>
      </w:r>
      <w:r>
        <w:rPr>
          <w:rFonts w:hint="eastAsia" w:ascii="宋体" w:hAnsi="宋体" w:cs="宋体"/>
          <w:szCs w:val="21"/>
          <w:highlight w:val="none"/>
        </w:rPr>
      </w:r>
    </w:p>
    <w:p>
      <w:pPr>
        <w:jc w:val="left"/>
        <w:spacing w:line="360" w:lineRule="auto"/>
        <w:rPr>
          <w:rFonts w:hint="eastAsia" w:ascii="宋体" w:hAnsi="宋体" w:cs="宋体"/>
          <w:highlight w:val="none"/>
        </w:rPr>
        <w:outlineLvl w:val="1"/>
      </w:pPr>
      <w:r>
        <w:rPr>
          <w:rFonts w:hint="eastAsia" w:ascii="宋体" w:hAnsi="宋体" w:cs="宋体"/>
          <w:szCs w:val="21"/>
          <w:highlight w:val="none"/>
        </w:rPr>
      </w:r>
      <w:r>
        <w:rPr>
          <w:rFonts w:hint="eastAsia" w:ascii="宋体" w:hAnsi="宋体" w:cs="宋体"/>
          <w:szCs w:val="21"/>
          <w:highlight w:val="none"/>
        </w:rPr>
      </w:r>
    </w:p>
    <w:p>
      <w:pPr>
        <w:jc w:val="left"/>
        <w:spacing w:line="360" w:lineRule="auto"/>
        <w:rPr>
          <w:rFonts w:hint="eastAsia" w:ascii="宋体" w:hAnsi="宋体" w:cs="宋体"/>
          <w:highlight w:val="none"/>
        </w:rPr>
        <w:outlineLvl w:val="1"/>
      </w:pPr>
      <w:r>
        <w:rPr>
          <w:rFonts w:hint="eastAsia" w:ascii="宋体" w:hAnsi="宋体" w:cs="宋体"/>
          <w:szCs w:val="21"/>
          <w:highlight w:val="none"/>
        </w:rPr>
      </w:r>
      <w:r>
        <w:rPr>
          <w:rFonts w:hint="eastAsia" w:ascii="宋体" w:hAnsi="宋体" w:cs="宋体"/>
          <w:szCs w:val="21"/>
          <w:highlight w:val="none"/>
        </w:rPr>
      </w:r>
    </w:p>
    <w:p>
      <w:pPr>
        <w:jc w:val="left"/>
        <w:spacing w:line="360" w:lineRule="auto"/>
        <w:rPr>
          <w:rFonts w:hint="eastAsia" w:ascii="宋体" w:hAnsi="宋体" w:cs="宋体"/>
          <w:highlight w:val="none"/>
        </w:rPr>
        <w:outlineLvl w:val="1"/>
      </w:pPr>
      <w:r>
        <w:rPr>
          <w:rFonts w:hint="eastAsia" w:ascii="宋体" w:hAnsi="宋体" w:cs="宋体"/>
          <w:szCs w:val="21"/>
          <w:highlight w:val="none"/>
        </w:rPr>
      </w:r>
      <w:r>
        <w:rPr>
          <w:rFonts w:hint="eastAsia" w:ascii="宋体" w:hAnsi="宋体" w:cs="宋体"/>
          <w:szCs w:val="21"/>
          <w:highlight w:val="none"/>
        </w:rPr>
      </w:r>
    </w:p>
    <w:p>
      <w:pPr>
        <w:pStyle w:val="1035"/>
        <w:jc w:val="left"/>
        <w:spacing w:line="360" w:lineRule="auto"/>
        <w:rPr>
          <w:rFonts w:hint="eastAsia" w:ascii="宋体" w:hAnsi="宋体" w:cs="宋体"/>
          <w:highlight w:val="none"/>
        </w:rPr>
        <w:outlineLvl w:val="1"/>
      </w:pPr>
      <w:r>
        <w:rPr>
          <w:rFonts w:hint="eastAsia" w:ascii="宋体" w:hAnsi="宋体" w:cs="宋体"/>
          <w:szCs w:val="21"/>
          <w:highlight w:val="none"/>
        </w:rPr>
        <w:t xml:space="preserve">(6)响应保证承诺书</w:t>
      </w:r>
      <w:r>
        <w:rPr>
          <w:rFonts w:ascii="宋体" w:hAnsi="宋体" w:cs="宋体"/>
          <w:szCs w:val="21"/>
          <w:highlight w:val="none"/>
        </w:rPr>
      </w:r>
      <w:r/>
    </w:p>
    <w:p>
      <w:pPr>
        <w:pStyle w:val="1035"/>
        <w:spacing w:line="360" w:lineRule="auto"/>
        <w:rPr>
          <w:rFonts w:ascii="宋体" w:hAnsi="宋体" w:cs="宋体"/>
          <w:sz w:val="24"/>
          <w:szCs w:val="24"/>
          <w:highlight w:val="none"/>
        </w:rPr>
      </w:pPr>
      <w:r>
        <w:rPr>
          <w:rFonts w:ascii="宋体" w:hAnsi="宋体" w:cs="宋体"/>
          <w:sz w:val="24"/>
          <w:szCs w:val="24"/>
          <w:highlight w:val="none"/>
        </w:rPr>
      </w:r>
      <w:r/>
    </w:p>
    <w:p>
      <w:pPr>
        <w:pStyle w:val="1035"/>
        <w:jc w:val="center"/>
        <w:spacing w:line="800" w:lineRule="atLeast"/>
        <w:widowControl/>
        <w:rPr>
          <w:rFonts w:ascii="宋体" w:hAnsi="宋体" w:cs="宋体"/>
          <w:szCs w:val="21"/>
          <w:highlight w:val="none"/>
        </w:rPr>
      </w:pPr>
      <w:r>
        <w:rPr>
          <w:rFonts w:hint="eastAsia" w:ascii="宋体" w:hAnsi="宋体" w:cs="宋体"/>
          <w:szCs w:val="21"/>
          <w:highlight w:val="none"/>
        </w:rPr>
        <w:t xml:space="preserve">响应保证承诺书（格式）</w:t>
      </w:r>
      <w:r>
        <w:rPr>
          <w:rFonts w:ascii="宋体" w:hAnsi="宋体" w:cs="宋体"/>
          <w:szCs w:val="21"/>
          <w:highlight w:val="none"/>
        </w:rPr>
      </w:r>
      <w:r/>
    </w:p>
    <w:p>
      <w:pPr>
        <w:pStyle w:val="1035"/>
        <w:jc w:val="left"/>
        <w:spacing w:line="480" w:lineRule="atLeast"/>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rPr>
          <w:rFonts w:ascii="宋体" w:hAnsi="宋体" w:cs="宋体"/>
          <w:szCs w:val="21"/>
          <w:highlight w:val="none"/>
        </w:rPr>
      </w:r>
      <w:r/>
    </w:p>
    <w:p>
      <w:pPr>
        <w:pStyle w:val="1035"/>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的响应,并做出如下承诺：</w:t>
      </w:r>
      <w:r>
        <w:rPr>
          <w:rFonts w:ascii="宋体" w:hAnsi="宋体" w:cs="宋体"/>
          <w:szCs w:val="21"/>
          <w:highlight w:val="none"/>
        </w:rPr>
      </w:r>
      <w:r/>
    </w:p>
    <w:p>
      <w:pPr>
        <w:pStyle w:val="1035"/>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一、除不可抗力外，我单位如果发生以下行为，将在行为发生的10个工作日内，向贵方支付本采购文件公布的预算金额的2%作为违约赔偿金（数量不确定的单价采购须约定具体金额）。</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2.中标（成交）后不依法与采购人签订合同；</w:t>
      </w:r>
      <w:r>
        <w:rPr>
          <w:rFonts w:ascii="宋体" w:hAnsi="宋体" w:cs="宋体"/>
          <w:szCs w:val="21"/>
          <w:highlight w:val="none"/>
        </w:rPr>
      </w:r>
      <w:r/>
    </w:p>
    <w:p>
      <w:pPr>
        <w:pStyle w:val="1035"/>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二、我单位知晓上述行为的法律后果，承认本承诺书作为贵方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要求我单位履行违约赔偿义务的依据作用。</w:t>
      </w:r>
      <w:r>
        <w:rPr>
          <w:rFonts w:ascii="宋体" w:hAnsi="宋体" w:cs="宋体"/>
          <w:szCs w:val="21"/>
          <w:highlight w:val="none"/>
        </w:rPr>
      </w:r>
      <w:r/>
    </w:p>
    <w:p>
      <w:pPr>
        <w:pStyle w:val="1035"/>
        <w:ind w:left="2080"/>
        <w:jc w:val="left"/>
        <w:spacing w:line="480" w:lineRule="atLeast"/>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响应人：               （盖公章）</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地址：</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电话：</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传真：      </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电子邮件：                                 </w:t>
      </w:r>
      <w:r>
        <w:rPr>
          <w:rFonts w:ascii="宋体" w:hAnsi="宋体" w:cs="宋体"/>
          <w:szCs w:val="21"/>
          <w:highlight w:val="none"/>
        </w:rPr>
      </w:r>
      <w:r/>
    </w:p>
    <w:p>
      <w:pPr>
        <w:pStyle w:val="1035"/>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邮编：                               </w:t>
      </w:r>
      <w:r>
        <w:rPr>
          <w:rFonts w:ascii="宋体" w:hAnsi="宋体" w:cs="宋体"/>
          <w:szCs w:val="21"/>
          <w:highlight w:val="none"/>
        </w:rPr>
      </w:r>
      <w:r/>
    </w:p>
    <w:p>
      <w:pPr>
        <w:pStyle w:val="1035"/>
        <w:ind w:firstLine="630"/>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法定代表人或委托代理人（签章）：</w:t>
      </w:r>
      <w:r>
        <w:rPr>
          <w:rFonts w:ascii="宋体" w:hAnsi="宋体" w:cs="宋体"/>
          <w:szCs w:val="21"/>
          <w:highlight w:val="none"/>
        </w:rPr>
      </w:r>
      <w:r/>
    </w:p>
    <w:p>
      <w:pPr>
        <w:pStyle w:val="1035"/>
        <w:ind w:left="420" w:firstLine="210"/>
        <w:spacing w:after="120"/>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Cs w:val="21"/>
          <w:highlight w:val="none"/>
        </w:rPr>
        <w:outlineLvl w:val="1"/>
      </w:pPr>
      <w:r>
        <w:rPr>
          <w:rFonts w:ascii="宋体" w:hAnsi="宋体"/>
          <w:szCs w:val="21"/>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jc w:val="left"/>
        <w:spacing w:line="360" w:lineRule="auto"/>
        <w:rPr>
          <w:rFonts w:ascii="宋体" w:hAnsi="宋体"/>
          <w:sz w:val="24"/>
          <w:szCs w:val="24"/>
          <w:highlight w:val="none"/>
        </w:rPr>
        <w:outlineLvl w:val="1"/>
      </w:pPr>
      <w:r>
        <w:rPr>
          <w:rFonts w:ascii="宋体" w:hAnsi="宋体"/>
          <w:sz w:val="24"/>
          <w:szCs w:val="24"/>
          <w:highlight w:val="none"/>
        </w:rPr>
      </w:r>
      <w:r/>
    </w:p>
    <w:p>
      <w:pPr>
        <w:pStyle w:val="1035"/>
        <w:rPr>
          <w:rFonts w:ascii="宋体" w:hAnsi="宋体" w:cs="宋体"/>
          <w:b/>
          <w:sz w:val="24"/>
          <w:szCs w:val="24"/>
          <w:highlight w:val="none"/>
        </w:rPr>
      </w:pPr>
      <w:r>
        <w:rPr>
          <w:rFonts w:ascii="宋体" w:hAnsi="宋体" w:cs="宋体"/>
          <w:b/>
          <w:sz w:val="24"/>
          <w:szCs w:val="24"/>
          <w:highlight w:val="none"/>
        </w:rPr>
      </w:r>
      <w:r/>
    </w:p>
    <w:p>
      <w:pPr>
        <w:pStyle w:val="1035"/>
        <w:rPr>
          <w:rFonts w:hint="eastAsia" w:ascii="宋体" w:hAnsi="宋体"/>
          <w:b/>
          <w:highlight w:val="none"/>
        </w:rPr>
      </w:pPr>
      <w:r>
        <w:rPr>
          <w:rFonts w:hint="eastAsia" w:ascii="宋体" w:hAnsi="宋体"/>
          <w:b/>
          <w:highlight w:val="none"/>
        </w:rPr>
      </w:r>
      <w:r/>
    </w:p>
    <w:p>
      <w:pPr>
        <w:rPr>
          <w:rFonts w:ascii="宋体" w:hAnsi="宋体"/>
          <w:b/>
          <w:bCs/>
          <w:sz w:val="28"/>
          <w:szCs w:val="28"/>
          <w:highlight w:val="none"/>
        </w:rPr>
      </w:pPr>
      <w:r>
        <w:rPr>
          <w:rFonts w:hint="eastAsia" w:ascii="宋体" w:hAnsi="宋体"/>
          <w:b/>
          <w:sz w:val="22"/>
          <w:szCs w:val="21"/>
          <w:highlight w:val="none"/>
        </w:rPr>
      </w:r>
      <w:r>
        <w:rPr>
          <w:rFonts w:hint="eastAsia" w:ascii="宋体" w:hAnsi="宋体"/>
          <w:b/>
          <w:sz w:val="22"/>
          <w:szCs w:val="21"/>
          <w:highlight w:val="none"/>
        </w:rPr>
      </w:r>
    </w:p>
    <w:p>
      <w:pPr>
        <w:rPr>
          <w:rFonts w:hint="eastAsia" w:ascii="宋体" w:hAnsi="宋体"/>
          <w:b/>
          <w:bCs/>
          <w:sz w:val="22"/>
          <w:szCs w:val="22"/>
          <w:highlight w:val="none"/>
        </w:rPr>
      </w:pPr>
      <w:r>
        <w:rPr>
          <w:rFonts w:hint="eastAsia" w:ascii="宋体" w:hAnsi="宋体"/>
          <w:b/>
          <w:sz w:val="22"/>
          <w:szCs w:val="21"/>
          <w:highlight w:val="none"/>
        </w:rPr>
      </w:r>
      <w:r>
        <w:rPr>
          <w:rFonts w:hint="eastAsia" w:ascii="宋体" w:hAnsi="宋体"/>
          <w:b/>
          <w:sz w:val="22"/>
          <w:szCs w:val="21"/>
          <w:highlight w:val="none"/>
        </w:rPr>
      </w:r>
    </w:p>
    <w:p>
      <w:pPr>
        <w:pStyle w:val="1035"/>
        <w:rPr>
          <w:rFonts w:hint="eastAsia" w:ascii="宋体" w:hAnsi="宋体"/>
          <w:b/>
          <w:bCs/>
          <w:sz w:val="22"/>
          <w:szCs w:val="22"/>
          <w:highlight w:val="none"/>
        </w:rPr>
      </w:pPr>
      <w:r>
        <w:rPr>
          <w:rFonts w:hint="eastAsia" w:ascii="宋体" w:hAnsi="宋体"/>
          <w:b/>
          <w:highlight w:val="none"/>
        </w:rPr>
        <w:t xml:space="preserve">1</w:t>
      </w:r>
      <w:r>
        <w:rPr>
          <w:rFonts w:hint="eastAsia" w:ascii="宋体" w:hAnsi="宋体"/>
          <w:b/>
          <w:highlight w:val="none"/>
          <w:lang w:val="en-US" w:eastAsia="zh-CN"/>
        </w:rPr>
        <w:t xml:space="preserve">1</w:t>
      </w:r>
      <w:r>
        <w:rPr>
          <w:rFonts w:hint="eastAsia" w:ascii="宋体" w:hAnsi="宋体"/>
          <w:b/>
          <w:highlight w:val="none"/>
        </w:rPr>
        <w:t xml:space="preserve">、</w:t>
      </w:r>
      <w:r>
        <w:rPr>
          <w:rFonts w:hint="eastAsia" w:ascii="宋体" w:hAnsi="宋体"/>
          <w:b/>
          <w:sz w:val="22"/>
          <w:szCs w:val="21"/>
          <w:highlight w:val="none"/>
        </w:rPr>
        <w:t xml:space="preserve">商务条款偏离表、服务要求偏离表</w:t>
      </w:r>
      <w:r>
        <w:rPr>
          <w:rFonts w:ascii="宋体" w:hAnsi="宋体"/>
          <w:b/>
          <w:bCs/>
          <w:sz w:val="28"/>
          <w:szCs w:val="21"/>
          <w:highlight w:val="none"/>
        </w:rPr>
      </w:r>
      <w:r/>
    </w:p>
    <w:p>
      <w:pPr>
        <w:pStyle w:val="1035"/>
        <w:jc w:val="center"/>
        <w:rPr>
          <w:rFonts w:ascii="宋体" w:hAnsi="宋体"/>
          <w:b/>
          <w:bCs/>
          <w:sz w:val="32"/>
          <w:szCs w:val="32"/>
          <w:highlight w:val="none"/>
        </w:rPr>
      </w:pPr>
      <w:r>
        <w:rPr>
          <w:rFonts w:hint="eastAsia" w:ascii="宋体" w:hAnsi="宋体"/>
          <w:b/>
          <w:bCs/>
          <w:sz w:val="32"/>
          <w:szCs w:val="32"/>
          <w:highlight w:val="none"/>
        </w:rPr>
        <w:t xml:space="preserve">商务条款偏离表</w:t>
      </w:r>
      <w:r>
        <w:rPr>
          <w:rFonts w:ascii="宋体" w:hAnsi="宋体"/>
          <w:b/>
          <w:bCs/>
          <w:sz w:val="32"/>
          <w:szCs w:val="32"/>
          <w:highlight w:val="none"/>
        </w:rPr>
      </w:r>
      <w:r/>
    </w:p>
    <w:p>
      <w:pPr>
        <w:pStyle w:val="1035"/>
        <w:jc w:val="center"/>
        <w:rPr>
          <w:rFonts w:ascii="宋体" w:hAnsi="宋体"/>
          <w:b/>
          <w:bCs/>
          <w:sz w:val="24"/>
          <w:highlight w:val="none"/>
        </w:rPr>
      </w:pPr>
      <w:r>
        <w:rPr>
          <w:rFonts w:ascii="宋体" w:hAnsi="宋体"/>
          <w:b/>
          <w:bCs/>
          <w:sz w:val="24"/>
          <w:highlight w:val="none"/>
        </w:rPr>
      </w:r>
      <w:r/>
    </w:p>
    <w:p>
      <w:pPr>
        <w:pStyle w:val="1035"/>
        <w:ind w:firstLine="630"/>
        <w:spacing w:line="360" w:lineRule="auto"/>
        <w:rPr>
          <w:rFonts w:ascii="宋体" w:hAnsi="宋体"/>
          <w:b/>
          <w:spacing w:val="20"/>
          <w:szCs w:val="21"/>
          <w:highlight w:val="none"/>
        </w:rPr>
      </w:pPr>
      <w:r>
        <w:rPr>
          <w:rFonts w:hint="eastAsia" w:ascii="宋体" w:hAnsi="宋体"/>
          <w:szCs w:val="21"/>
          <w:highlight w:val="none"/>
          <w:lang w:val="zh-CN"/>
        </w:rPr>
        <w:t xml:space="preserve">供应商：                                      采购编号∶</w:t>
      </w:r>
      <w:r>
        <w:rPr>
          <w:rFonts w:hint="eastAsia" w:ascii="宋体" w:hAnsi="宋体"/>
          <w:szCs w:val="21"/>
          <w:highlight w:val="none"/>
        </w:rPr>
        <w:t xml:space="preserve">         </w:t>
      </w:r>
      <w:r>
        <w:rPr>
          <w:rFonts w:ascii="宋体" w:hAnsi="宋体"/>
          <w:b/>
          <w:spacing w:val="20"/>
          <w:szCs w:val="21"/>
          <w:highlight w:val="none"/>
        </w:rPr>
      </w:r>
      <w:r/>
    </w:p>
    <w:tbl>
      <w:tblPr>
        <w:tblW w:w="8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trHeight w:val="680" w:hRule="exact"/>
        </w:trPr>
        <w:tc>
          <w:tcPr>
            <w:tcW w:w="850" w:type="dxa"/>
            <w:vAlign w:val="center"/>
            <w:textDirection w:val="lrTb"/>
            <w:noWrap w:val="false"/>
          </w:tcPr>
          <w:p>
            <w:pPr>
              <w:pStyle w:val="1035"/>
              <w:jc w:val="center"/>
              <w:spacing w:before="312" w:after="312"/>
              <w:rPr>
                <w:rFonts w:ascii="宋体" w:hAnsi="宋体"/>
                <w:b/>
                <w:bCs/>
                <w:szCs w:val="21"/>
                <w:highlight w:val="none"/>
              </w:rPr>
            </w:pPr>
            <w:r>
              <w:rPr>
                <w:rFonts w:hint="eastAsia" w:ascii="宋体" w:hAnsi="宋体"/>
                <w:b/>
                <w:bCs/>
                <w:szCs w:val="21"/>
                <w:highlight w:val="none"/>
              </w:rPr>
              <w:t xml:space="preserve">序号</w:t>
            </w:r>
            <w:r>
              <w:rPr>
                <w:rFonts w:ascii="宋体" w:hAnsi="宋体"/>
                <w:b/>
                <w:bCs/>
                <w:szCs w:val="21"/>
                <w:highlight w:val="none"/>
              </w:rPr>
            </w:r>
            <w:r/>
          </w:p>
        </w:tc>
        <w:tc>
          <w:tcPr>
            <w:tcW w:w="4290" w:type="dxa"/>
            <w:vAlign w:val="center"/>
            <w:textDirection w:val="lrTb"/>
            <w:noWrap w:val="false"/>
          </w:tcPr>
          <w:p>
            <w:pPr>
              <w:pStyle w:val="1035"/>
              <w:jc w:val="center"/>
              <w:spacing w:before="312" w:after="312"/>
              <w:rPr>
                <w:rFonts w:ascii="宋体" w:hAnsi="宋体"/>
                <w:b/>
                <w:bCs/>
                <w:szCs w:val="21"/>
                <w:highlight w:val="none"/>
              </w:rPr>
            </w:pPr>
            <w:r>
              <w:rPr>
                <w:rFonts w:hint="eastAsia" w:ascii="宋体" w:hAnsi="宋体"/>
                <w:b/>
                <w:bCs/>
                <w:szCs w:val="21"/>
                <w:highlight w:val="none"/>
              </w:rPr>
              <w:t xml:space="preserve">招标文件的商务条款</w:t>
            </w:r>
            <w:r>
              <w:rPr>
                <w:rFonts w:ascii="宋体" w:hAnsi="宋体"/>
                <w:b/>
                <w:bCs/>
                <w:szCs w:val="21"/>
                <w:highlight w:val="none"/>
              </w:rPr>
            </w:r>
            <w:r/>
          </w:p>
        </w:tc>
        <w:tc>
          <w:tcPr>
            <w:tcW w:w="2387" w:type="dxa"/>
            <w:vAlign w:val="center"/>
            <w:textDirection w:val="lrTb"/>
            <w:noWrap w:val="false"/>
          </w:tcPr>
          <w:p>
            <w:pPr>
              <w:pStyle w:val="1035"/>
              <w:jc w:val="center"/>
              <w:spacing w:before="312" w:after="312"/>
              <w:rPr>
                <w:rFonts w:ascii="宋体" w:hAnsi="宋体"/>
                <w:b/>
                <w:bCs/>
                <w:szCs w:val="21"/>
                <w:highlight w:val="none"/>
              </w:rPr>
            </w:pPr>
            <w:r>
              <w:rPr>
                <w:rFonts w:hint="eastAsia" w:ascii="宋体" w:hAnsi="宋体"/>
                <w:b/>
                <w:bCs/>
                <w:szCs w:val="21"/>
                <w:highlight w:val="none"/>
              </w:rPr>
              <w:t xml:space="preserve">投标文件的商务条款</w:t>
            </w:r>
            <w:r>
              <w:rPr>
                <w:rFonts w:ascii="宋体" w:hAnsi="宋体"/>
                <w:b/>
                <w:bCs/>
                <w:szCs w:val="21"/>
                <w:highlight w:val="none"/>
              </w:rPr>
            </w:r>
            <w:r/>
          </w:p>
        </w:tc>
        <w:tc>
          <w:tcPr>
            <w:tcW w:w="1344" w:type="dxa"/>
            <w:vAlign w:val="center"/>
            <w:textDirection w:val="lrTb"/>
            <w:noWrap w:val="false"/>
          </w:tcPr>
          <w:p>
            <w:pPr>
              <w:pStyle w:val="1035"/>
              <w:jc w:val="center"/>
              <w:spacing w:before="312" w:after="312"/>
              <w:rPr>
                <w:rFonts w:ascii="宋体" w:hAnsi="宋体"/>
                <w:b/>
                <w:bCs/>
                <w:szCs w:val="21"/>
                <w:highlight w:val="none"/>
              </w:rPr>
            </w:pPr>
            <w:r>
              <w:rPr>
                <w:rFonts w:hint="eastAsia" w:ascii="宋体" w:hAnsi="宋体"/>
                <w:b/>
                <w:bCs/>
                <w:szCs w:val="21"/>
                <w:highlight w:val="none"/>
              </w:rPr>
              <w:t xml:space="preserve">偏离说明</w:t>
            </w:r>
            <w:r>
              <w:rPr>
                <w:rFonts w:ascii="宋体" w:hAnsi="宋体"/>
                <w:b/>
                <w:bCs/>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bl>
    <w:p>
      <w:pPr>
        <w:pStyle w:val="1035"/>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rPr>
          <w:rFonts w:ascii="宋体" w:hAnsi="宋体"/>
          <w:szCs w:val="21"/>
          <w:highlight w:val="none"/>
        </w:rPr>
      </w:r>
      <w:r/>
    </w:p>
    <w:p>
      <w:pPr>
        <w:pStyle w:val="1035"/>
        <w:ind w:firstLine="630"/>
        <w:jc w:val="left"/>
        <w:spacing w:line="400" w:lineRule="exact"/>
        <w:rPr>
          <w:rFonts w:ascii="宋体" w:hAnsi="宋体"/>
          <w:bCs/>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rPr>
          <w:rFonts w:ascii="宋体" w:hAnsi="宋体"/>
          <w:bCs/>
          <w:szCs w:val="21"/>
          <w:highlight w:val="none"/>
        </w:rPr>
      </w:r>
      <w:r/>
    </w:p>
    <w:p>
      <w:pPr>
        <w:pStyle w:val="1035"/>
        <w:ind w:firstLine="630"/>
        <w:jc w:val="left"/>
        <w:spacing w:line="400" w:lineRule="exact"/>
        <w:rPr>
          <w:rFonts w:ascii="宋体" w:hAnsi="宋体"/>
          <w:bCs/>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rPr>
          <w:rFonts w:ascii="宋体" w:hAnsi="宋体"/>
          <w:bCs/>
          <w:szCs w:val="21"/>
          <w:highlight w:val="none"/>
        </w:rPr>
      </w:r>
      <w:r/>
    </w:p>
    <w:p>
      <w:pPr>
        <w:pStyle w:val="1035"/>
        <w:jc w:val="center"/>
        <w:spacing w:line="360" w:lineRule="auto"/>
        <w:rPr>
          <w:rFonts w:ascii="宋体" w:hAnsi="宋体"/>
          <w:bCs/>
          <w:szCs w:val="21"/>
          <w:highlight w:val="none"/>
        </w:rPr>
      </w:pPr>
      <w:r>
        <w:rPr>
          <w:rFonts w:ascii="宋体" w:hAnsi="宋体"/>
          <w:bCs/>
          <w:szCs w:val="21"/>
          <w:highlight w:val="none"/>
        </w:rPr>
      </w:r>
      <w:r/>
    </w:p>
    <w:p>
      <w:pPr>
        <w:pStyle w:val="1035"/>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服务（技术）要求偏离表</w:t>
      </w:r>
      <w:r>
        <w:rPr>
          <w:rFonts w:ascii="宋体" w:hAnsi="宋体"/>
          <w:b/>
          <w:sz w:val="32"/>
          <w:szCs w:val="32"/>
          <w:highlight w:val="none"/>
        </w:rPr>
      </w:r>
      <w:r/>
    </w:p>
    <w:p>
      <w:pPr>
        <w:pStyle w:val="1035"/>
        <w:ind w:firstLine="630"/>
        <w:spacing w:line="380" w:lineRule="exact"/>
        <w:rPr>
          <w:rFonts w:ascii="宋体" w:hAnsi="宋体"/>
          <w:b/>
          <w:spacing w:val="20"/>
          <w:szCs w:val="21"/>
          <w:highlight w:val="none"/>
        </w:rPr>
      </w:pPr>
      <w:r>
        <w:rPr>
          <w:rFonts w:hint="eastAsia" w:ascii="宋体" w:hAnsi="宋体"/>
          <w:szCs w:val="21"/>
          <w:highlight w:val="none"/>
        </w:rPr>
        <w:t xml:space="preserve">供应商</w:t>
      </w:r>
      <w:r>
        <w:rPr>
          <w:rFonts w:hint="eastAsia" w:ascii="宋体" w:hAnsi="宋体"/>
          <w:szCs w:val="21"/>
          <w:highlight w:val="none"/>
          <w:lang w:val="zh-CN"/>
        </w:rPr>
        <w:t xml:space="preserve">：               </w:t>
      </w:r>
      <w:r>
        <w:rPr>
          <w:rFonts w:hint="eastAsia" w:ascii="宋体" w:hAnsi="宋体"/>
          <w:szCs w:val="21"/>
          <w:highlight w:val="none"/>
        </w:rPr>
        <w:t xml:space="preserve">                       </w:t>
      </w:r>
      <w:r>
        <w:rPr>
          <w:rFonts w:hint="eastAsia" w:ascii="宋体" w:hAnsi="宋体"/>
          <w:szCs w:val="21"/>
          <w:highlight w:val="none"/>
          <w:lang w:val="zh-CN"/>
        </w:rPr>
        <w:t xml:space="preserve">采购编号</w:t>
      </w:r>
      <w:r>
        <w:rPr>
          <w:rFonts w:hint="eastAsia" w:ascii="宋体" w:hAnsi="宋体" w:cs="宋体"/>
          <w:szCs w:val="21"/>
          <w:highlight w:val="none"/>
          <w:lang w:val="zh-CN"/>
        </w:rPr>
        <w:t xml:space="preserve">∶</w:t>
      </w:r>
      <w:r>
        <w:rPr>
          <w:rFonts w:hint="eastAsia" w:ascii="宋体" w:hAnsi="宋体" w:cs="宋体"/>
          <w:szCs w:val="21"/>
          <w:highlight w:val="none"/>
        </w:rPr>
        <w:t xml:space="preserve">       </w:t>
      </w:r>
      <w:r>
        <w:rPr>
          <w:rFonts w:ascii="宋体" w:hAnsi="宋体"/>
          <w:b/>
          <w:spacing w:val="20"/>
          <w:szCs w:val="21"/>
          <w:highlight w:val="none"/>
        </w:rPr>
      </w:r>
      <w:r/>
    </w:p>
    <w:tbl>
      <w:tblPr>
        <w:tblW w:w="99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797"/>
        <w:gridCol w:w="1797"/>
        <w:gridCol w:w="1841"/>
        <w:gridCol w:w="1903"/>
        <w:gridCol w:w="1279"/>
      </w:tblGrid>
      <w:tr>
        <w:trPr>
          <w:trHeight w:val="680" w:hRule="exact"/>
        </w:trPr>
        <w:tc>
          <w:tcPr>
            <w:tcW w:w="1356"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序号</w:t>
            </w:r>
            <w:r>
              <w:rPr>
                <w:rFonts w:ascii="宋体" w:hAnsi="宋体"/>
                <w:b/>
                <w:szCs w:val="21"/>
                <w:highlight w:val="none"/>
              </w:rPr>
            </w:r>
            <w:r/>
          </w:p>
        </w:tc>
        <w:tc>
          <w:tcPr>
            <w:tcW w:w="1796"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采购内容</w:t>
            </w:r>
            <w:r>
              <w:rPr>
                <w:rFonts w:ascii="宋体" w:hAnsi="宋体"/>
                <w:b/>
                <w:szCs w:val="21"/>
                <w:highlight w:val="none"/>
              </w:rPr>
            </w:r>
            <w:r/>
          </w:p>
        </w:tc>
        <w:tc>
          <w:tcPr>
            <w:tcW w:w="1796"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招标要求</w:t>
            </w:r>
            <w:r>
              <w:rPr>
                <w:rFonts w:ascii="宋体" w:hAnsi="宋体"/>
                <w:b/>
                <w:szCs w:val="21"/>
                <w:highlight w:val="none"/>
              </w:rPr>
            </w:r>
            <w:r/>
          </w:p>
        </w:tc>
        <w:tc>
          <w:tcPr>
            <w:tcW w:w="1840"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投标要求</w:t>
            </w:r>
            <w:r>
              <w:rPr>
                <w:rFonts w:ascii="宋体" w:hAnsi="宋体"/>
                <w:b/>
                <w:szCs w:val="21"/>
                <w:highlight w:val="none"/>
              </w:rPr>
            </w:r>
            <w:r/>
          </w:p>
        </w:tc>
        <w:tc>
          <w:tcPr>
            <w:tcW w:w="1902"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偏离/响应</w:t>
            </w:r>
            <w:r>
              <w:rPr>
                <w:rFonts w:ascii="宋体" w:hAnsi="宋体"/>
                <w:b/>
                <w:szCs w:val="21"/>
                <w:highlight w:val="none"/>
              </w:rPr>
            </w:r>
            <w:r/>
          </w:p>
        </w:tc>
        <w:tc>
          <w:tcPr>
            <w:tcW w:w="1278" w:type="dxa"/>
            <w:vAlign w:val="center"/>
            <w:textDirection w:val="lrTb"/>
            <w:noWrap w:val="false"/>
          </w:tcPr>
          <w:p>
            <w:pPr>
              <w:pStyle w:val="1035"/>
              <w:jc w:val="center"/>
              <w:spacing w:before="312" w:after="312"/>
              <w:rPr>
                <w:rFonts w:ascii="宋体" w:hAnsi="宋体"/>
                <w:b/>
                <w:szCs w:val="21"/>
                <w:highlight w:val="none"/>
              </w:rPr>
            </w:pPr>
            <w:r>
              <w:rPr>
                <w:rFonts w:hint="eastAsia" w:ascii="宋体" w:hAnsi="宋体"/>
                <w:b/>
                <w:szCs w:val="21"/>
                <w:highlight w:val="none"/>
              </w:rPr>
              <w:t xml:space="preserve">说明</w:t>
            </w:r>
            <w:r>
              <w:rPr>
                <w:rFonts w:ascii="宋体" w:hAnsi="宋体"/>
                <w:b/>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1035"/>
              <w:spacing w:before="312" w:after="312"/>
              <w:rPr>
                <w:rFonts w:ascii="宋体" w:hAnsi="宋体"/>
                <w:szCs w:val="21"/>
                <w:highlight w:val="none"/>
              </w:rPr>
            </w:pPr>
            <w:r>
              <w:rPr>
                <w:rFonts w:ascii="宋体" w:hAnsi="宋体"/>
                <w:szCs w:val="21"/>
                <w:highlight w:val="none"/>
              </w:rPr>
            </w:r>
            <w:r/>
          </w:p>
        </w:tc>
      </w:tr>
    </w:tbl>
    <w:p>
      <w:pPr>
        <w:pStyle w:val="1035"/>
        <w:ind w:firstLine="630"/>
        <w:jc w:val="left"/>
        <w:spacing w:line="400" w:lineRule="exact"/>
        <w:rPr>
          <w:rFonts w:ascii="宋体" w:hAnsi="宋体"/>
          <w:szCs w:val="21"/>
          <w:highlight w:val="none"/>
        </w:rPr>
      </w:pPr>
      <w:r>
        <w:rPr>
          <w:rFonts w:ascii="宋体" w:hAnsi="宋体"/>
          <w:szCs w:val="21"/>
          <w:highlight w:val="none"/>
        </w:rPr>
      </w:r>
      <w:r/>
    </w:p>
    <w:p>
      <w:pPr>
        <w:pStyle w:val="1035"/>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rPr>
          <w:rFonts w:ascii="宋体" w:hAnsi="宋体"/>
          <w:szCs w:val="21"/>
          <w:highlight w:val="none"/>
        </w:rPr>
      </w:r>
      <w:r/>
    </w:p>
    <w:p>
      <w:pPr>
        <w:pStyle w:val="1035"/>
        <w:ind w:firstLine="630"/>
        <w:jc w:val="left"/>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rPr>
          <w:rFonts w:ascii="宋体" w:hAnsi="宋体"/>
          <w:szCs w:val="21"/>
          <w:highlight w:val="none"/>
        </w:rPr>
      </w:r>
      <w:r/>
    </w:p>
    <w:p>
      <w:pPr>
        <w:pStyle w:val="1035"/>
        <w:ind w:firstLine="630"/>
        <w:spacing w:line="400" w:lineRule="exact"/>
        <w:rPr>
          <w:rFonts w:ascii="宋体" w:hAnsi="宋体"/>
          <w:b/>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rPr>
          <w:rFonts w:ascii="宋体" w:hAnsi="宋体"/>
          <w:b/>
          <w:szCs w:val="21"/>
          <w:highlight w:val="none"/>
        </w:rPr>
      </w:r>
      <w:r/>
    </w:p>
    <w:p>
      <w:pPr>
        <w:pStyle w:val="1035"/>
        <w:spacing w:line="360" w:lineRule="auto"/>
        <w:rPr>
          <w:rFonts w:ascii="宋体" w:hAnsi="宋体"/>
          <w:b/>
          <w:szCs w:val="21"/>
          <w:highlight w:val="none"/>
        </w:rPr>
      </w:pPr>
      <w:r>
        <w:rPr>
          <w:rFonts w:ascii="宋体" w:hAnsi="宋体"/>
          <w:b/>
          <w:szCs w:val="21"/>
          <w:highlight w:val="none"/>
        </w:rPr>
        <w:t xml:space="preserve">注：1、供应商应对照采购文件中服务要求等，所投标的物与采购文件的规定有偏离的，应在此表中申明与技术要求条文的偏差和例外。</w:t>
      </w:r>
      <w:r>
        <w:rPr>
          <w:rFonts w:ascii="宋体" w:hAnsi="宋体"/>
          <w:b/>
          <w:szCs w:val="21"/>
          <w:highlight w:val="none"/>
        </w:rPr>
      </w:r>
      <w:r/>
    </w:p>
    <w:p>
      <w:pPr>
        <w:pStyle w:val="1035"/>
        <w:ind w:firstLine="422"/>
        <w:spacing w:line="360" w:lineRule="auto"/>
        <w:rPr>
          <w:rFonts w:ascii="宋体" w:hAnsi="宋体"/>
          <w:b/>
          <w:szCs w:val="21"/>
          <w:highlight w:val="none"/>
        </w:rPr>
      </w:pPr>
      <w:r>
        <w:rPr>
          <w:rFonts w:ascii="宋体" w:hAnsi="宋体"/>
          <w:b/>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宋体" w:hAnsi="宋体"/>
          <w:b/>
          <w:szCs w:val="21"/>
          <w:highlight w:val="none"/>
        </w:rPr>
      </w:r>
      <w:r/>
    </w:p>
    <w:p>
      <w:pPr>
        <w:pStyle w:val="1035"/>
        <w:jc w:val="left"/>
        <w:spacing w:line="360" w:lineRule="auto"/>
        <w:rPr>
          <w:rFonts w:ascii="宋体" w:hAnsi="宋体"/>
          <w:b/>
          <w:szCs w:val="21"/>
          <w:highlight w:val="none"/>
        </w:rPr>
      </w:pPr>
      <w:r>
        <w:rPr>
          <w:rFonts w:ascii="宋体" w:hAnsi="宋体"/>
          <w:b/>
          <w:szCs w:val="21"/>
          <w:highlight w:val="none"/>
        </w:rPr>
        <w:br w:type="page" w:clear="all"/>
      </w:r>
      <w:r>
        <w:rPr>
          <w:rFonts w:hint="eastAsia" w:ascii="宋体" w:hAnsi="宋体"/>
          <w:b/>
          <w:szCs w:val="21"/>
          <w:highlight w:val="none"/>
          <w:lang w:val="en-US" w:eastAsia="zh-CN"/>
        </w:rPr>
        <w:t xml:space="preserve">12.</w:t>
      </w:r>
      <w:r>
        <w:rPr>
          <w:rFonts w:ascii="宋体" w:hAnsi="宋体" w:eastAsia="宋体" w:cs="Times New Roman"/>
          <w:b/>
          <w:szCs w:val="21"/>
          <w:highlight w:val="none"/>
        </w:rPr>
        <w:t xml:space="preserve">关于符合本国产品标准的声明函</w:t>
      </w:r>
      <w:r>
        <w:rPr>
          <w:rFonts w:ascii="宋体" w:hAnsi="宋体"/>
          <w:b/>
          <w:szCs w:val="21"/>
          <w:highlight w:val="none"/>
        </w:rPr>
      </w:r>
      <w:r/>
    </w:p>
    <w:p>
      <w:pPr>
        <w:pStyle w:val="1035"/>
        <w:jc w:val="center"/>
        <w:spacing w:line="360" w:lineRule="auto"/>
        <w:rPr>
          <w:rFonts w:ascii="Calibri" w:hAnsi="Calibri" w:eastAsia="宋体" w:cs="Times New Roman"/>
          <w:highlight w:val="none"/>
        </w:rPr>
      </w:pPr>
      <w:r>
        <w:rPr>
          <w:rFonts w:ascii="宋体" w:hAnsi="宋体" w:eastAsia="宋体" w:cs="Times New Roman"/>
          <w:b/>
          <w:szCs w:val="21"/>
          <w:highlight w:val="none"/>
        </w:rPr>
        <w:t xml:space="preserve">关于符合本国产品标准的声明函</w:t>
      </w:r>
      <w:r>
        <w:rPr>
          <w:rFonts w:ascii="Calibri" w:hAnsi="Calibri" w:eastAsia="宋体" w:cs="Times New Roman"/>
          <w:highlight w:val="none"/>
        </w:rPr>
      </w:r>
      <w:r/>
    </w:p>
    <w:p>
      <w:pPr>
        <w:pStyle w:val="1035"/>
        <w:ind w:firstLine="420"/>
        <w:spacing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pStyle w:val="1035"/>
        <w:ind w:firstLine="420"/>
        <w:spacing w:line="85" w:lineRule="atLeast"/>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Calibri" w:hAnsi="Calibri" w:eastAsia="宋体" w:cs="Times New Roman"/>
          <w:highlight w:val="none"/>
        </w:rPr>
      </w:r>
      <w:r/>
    </w:p>
    <w:p>
      <w:pPr>
        <w:pStyle w:val="1035"/>
        <w:ind w:firstLine="420"/>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（产品名称1）</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vertAlign w:val="superscript"/>
        </w:rPr>
        <w:t xml:space="preserve">2</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3</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4</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vertAlign w:val="superscript"/>
        </w:rPr>
        <w:t xml:space="preserve">5</w:t>
      </w:r>
      <w:r>
        <w:rPr>
          <w:rFonts w:ascii="宋体" w:hAnsi="宋体" w:eastAsia="宋体" w:cs="宋体"/>
          <w:color w:val="000000"/>
          <w:sz w:val="24"/>
          <w:highlight w:val="none"/>
        </w:rPr>
        <w:t xml:space="preserve">在中国境内完成。</w:t>
      </w:r>
      <w:r>
        <w:rPr>
          <w:rFonts w:ascii="Calibri" w:hAnsi="Calibri" w:eastAsia="宋体" w:cs="Times New Roman"/>
          <w:highlight w:val="none"/>
        </w:rPr>
      </w:r>
      <w:r/>
    </w:p>
    <w:p>
      <w:pPr>
        <w:pStyle w:val="1035"/>
        <w:ind w:firstLine="420"/>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（产品名称2）</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的中国境内生产的组件成本占比≥</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在中国境内生产。</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在中国境内完成。</w:t>
      </w:r>
      <w:r>
        <w:rPr>
          <w:rFonts w:ascii="Calibri" w:hAnsi="Calibri" w:eastAsia="宋体" w:cs="Times New Roman"/>
          <w:highlight w:val="none"/>
        </w:rPr>
      </w:r>
      <w:r/>
    </w:p>
    <w:p>
      <w:pPr>
        <w:pStyle w:val="1035"/>
        <w:ind w:firstLine="420"/>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rPr>
          <w:rFonts w:ascii="Calibri" w:hAnsi="Calibri" w:eastAsia="宋体" w:cs="Times New Roman"/>
          <w:highlight w:val="none"/>
        </w:rPr>
      </w:r>
      <w:r/>
    </w:p>
    <w:p>
      <w:pPr>
        <w:pStyle w:val="1035"/>
        <w:ind w:firstLine="420"/>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rPr>
          <w:rFonts w:ascii="Calibri" w:hAnsi="Calibri" w:eastAsia="宋体" w:cs="Times New Roman"/>
          <w:highlight w:val="none"/>
        </w:rPr>
      </w:r>
      <w:r/>
    </w:p>
    <w:p>
      <w:pPr>
        <w:pStyle w:val="1035"/>
        <w:spacing w:before="30" w:after="30"/>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Calibri" w:hAnsi="Calibri" w:eastAsia="宋体" w:cs="Times New Roman"/>
          <w:highlight w:val="none"/>
        </w:rPr>
      </w:r>
      <w:r/>
    </w:p>
    <w:p>
      <w:pPr>
        <w:pStyle w:val="1035"/>
        <w:jc w:val="right"/>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公司（单位）名称（盖章）：         </w:t>
      </w:r>
      <w:r>
        <w:rPr>
          <w:rFonts w:ascii="Calibri" w:hAnsi="Calibri" w:eastAsia="宋体" w:cs="Times New Roman"/>
          <w:highlight w:val="none"/>
        </w:rPr>
      </w:r>
      <w:r/>
    </w:p>
    <w:p>
      <w:pPr>
        <w:pStyle w:val="1035"/>
        <w:jc w:val="center"/>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      年   月   日         </w:t>
      </w:r>
      <w:r>
        <w:rPr>
          <w:rFonts w:ascii="Calibri" w:hAnsi="Calibri" w:eastAsia="宋体" w:cs="Times New Roman"/>
          <w:highlight w:val="none"/>
        </w:rPr>
      </w:r>
      <w:r/>
    </w:p>
    <w:p>
      <w:pPr>
        <w:pStyle w:val="1035"/>
        <w:spacing w:before="30" w:after="30"/>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Calibri" w:hAnsi="Calibri" w:eastAsia="宋体" w:cs="Times New Roman"/>
          <w:highlight w:val="none"/>
        </w:rPr>
      </w:r>
      <w:r/>
    </w:p>
    <w:p>
      <w:pPr>
        <w:pStyle w:val="1035"/>
        <w:spacing w:before="30" w:after="30"/>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highlight w:val="none"/>
        </w:rPr>
        <w:t xml:space="preserve"> </w:t>
      </w:r>
      <w:r>
        <w:rPr>
          <w:rFonts w:ascii="Calibri" w:hAnsi="Calibri" w:eastAsia="宋体" w:cs="Times New Roman"/>
          <w:highlight w:val="none"/>
        </w:rPr>
      </w:r>
      <w:r/>
    </w:p>
    <w:p>
      <w:pPr>
        <w:pStyle w:val="1035"/>
        <w:spacing w:before="30" w:after="30"/>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_________________</w:t>
      </w:r>
      <w:r>
        <w:rPr>
          <w:rFonts w:ascii="Calibri" w:hAnsi="Calibri" w:eastAsia="宋体" w:cs="Times New Roman"/>
          <w:highlight w:val="none"/>
        </w:rPr>
      </w:r>
      <w:r/>
    </w:p>
    <w:p>
      <w:pPr>
        <w:pStyle w:val="1035"/>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rPr>
          <w:rFonts w:ascii="Calibri" w:hAnsi="Calibri" w:eastAsia="宋体" w:cs="Times New Roman"/>
          <w:highlight w:val="none"/>
        </w:rPr>
      </w:r>
      <w:r/>
    </w:p>
    <w:p>
      <w:pPr>
        <w:pStyle w:val="1035"/>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rPr>
          <w:rFonts w:ascii="Calibri" w:hAnsi="Calibri" w:eastAsia="宋体" w:cs="Times New Roman"/>
          <w:highlight w:val="none"/>
        </w:rPr>
      </w:r>
      <w:r/>
    </w:p>
    <w:p>
      <w:pPr>
        <w:pStyle w:val="1035"/>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rPr>
          <w:rFonts w:ascii="Calibri" w:hAnsi="Calibri" w:eastAsia="宋体" w:cs="Times New Roman"/>
          <w:highlight w:val="none"/>
        </w:rPr>
      </w:r>
      <w:r/>
    </w:p>
    <w:p>
      <w:pPr>
        <w:pStyle w:val="1035"/>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rPr>
          <w:rFonts w:ascii="Calibri" w:hAnsi="Calibri" w:eastAsia="宋体" w:cs="Times New Roman"/>
          <w:highlight w:val="none"/>
        </w:rPr>
      </w:r>
      <w:r/>
    </w:p>
    <w:p>
      <w:pPr>
        <w:pStyle w:val="1035"/>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rPr>
          <w:rFonts w:ascii="Calibri" w:hAnsi="Calibri" w:eastAsia="宋体" w:cs="Times New Roman"/>
          <w:highlight w:val="none"/>
        </w:rPr>
      </w:r>
      <w:r/>
    </w:p>
    <w:p>
      <w:pPr>
        <w:pStyle w:val="1035"/>
        <w:spacing w:before="30" w:after="30" w:line="85" w:lineRule="atLeast"/>
        <w:shd w:val="clear" w:color="ffffff" w:fill="ffffff"/>
        <w:rPr>
          <w:rFonts w:ascii="Calibri" w:hAnsi="Calibri" w:eastAsia="宋体"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6.《声明函》中标注“</w:t>
      </w:r>
      <w:r>
        <w:rPr>
          <w:rFonts w:ascii="宋体" w:hAnsi="宋体" w:eastAsia="宋体" w:cs="宋体"/>
          <w:color w:val="000000"/>
          <w:sz w:val="24"/>
          <w:highlight w:val="none"/>
          <w:u w:val="single"/>
        </w:rPr>
        <w:t xml:space="preserve">  /  </w:t>
      </w:r>
      <w:r>
        <w:rPr>
          <w:rFonts w:ascii="宋体" w:hAnsi="宋体" w:eastAsia="宋体" w:cs="宋体"/>
          <w:color w:val="000000"/>
          <w:sz w:val="24"/>
          <w:highlight w:val="none"/>
        </w:rPr>
        <w:t xml:space="preserve">”的地方无需填写。</w:t>
      </w:r>
      <w:r>
        <w:rPr>
          <w:rFonts w:ascii="Calibri" w:hAnsi="Calibri" w:eastAsia="宋体" w:cs="Times New Roman"/>
          <w:highlight w:val="none"/>
        </w:rPr>
      </w:r>
      <w:r/>
    </w:p>
    <w:p>
      <w:pPr>
        <w:pStyle w:val="1035"/>
        <w:ind w:firstLine="422"/>
        <w:spacing w:line="360" w:lineRule="auto"/>
        <w:rPr>
          <w:rFonts w:ascii="宋体" w:hAnsi="宋体"/>
          <w:b/>
          <w:szCs w:val="21"/>
          <w:highlight w:val="none"/>
        </w:rPr>
      </w:pPr>
      <w:r>
        <w:rPr>
          <w:rFonts w:ascii="宋体" w:hAnsi="宋体"/>
          <w:b/>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r>
      <w:r/>
    </w:p>
    <w:p>
      <w:pPr>
        <w:pStyle w:val="1035"/>
        <w:ind w:firstLine="420"/>
        <w:spacing w:line="360" w:lineRule="auto"/>
        <w:rPr>
          <w:rFonts w:ascii="宋体" w:hAnsi="宋体"/>
          <w:szCs w:val="21"/>
          <w:highlight w:val="none"/>
        </w:rPr>
      </w:pPr>
      <w:r>
        <w:rPr>
          <w:rFonts w:ascii="宋体" w:hAnsi="宋体"/>
          <w:szCs w:val="21"/>
          <w:highlight w:val="none"/>
        </w:rPr>
      </w:r>
      <w:r/>
    </w:p>
    <w:p>
      <w:pPr>
        <w:pStyle w:val="1124"/>
        <w:rPr>
          <w:highlight w:val="none"/>
        </w:rPr>
      </w:pPr>
      <w:r>
        <w:rPr>
          <w:highlight w:val="none"/>
        </w:rPr>
      </w:r>
      <w:r/>
    </w:p>
    <w:p>
      <w:pPr>
        <w:pStyle w:val="1035"/>
        <w:rPr>
          <w:rFonts w:ascii="Times New Roman" w:hAnsi="宋体"/>
          <w:b/>
          <w:sz w:val="32"/>
          <w:szCs w:val="32"/>
          <w:highlight w:val="none"/>
        </w:rPr>
      </w:pPr>
      <w:r>
        <w:rPr>
          <w:rFonts w:ascii="Times New Roman" w:hAnsi="宋体"/>
          <w:b/>
          <w:sz w:val="32"/>
          <w:szCs w:val="32"/>
          <w:highlight w:val="none"/>
        </w:rPr>
      </w:r>
      <w:r/>
    </w:p>
    <w:p>
      <w:pPr>
        <w:pStyle w:val="1035"/>
        <w:jc w:val="center"/>
        <w:keepLines/>
        <w:keepNext/>
        <w:spacing w:before="260" w:after="260" w:line="416" w:lineRule="auto"/>
        <w:rPr>
          <w:rFonts w:hint="eastAsia" w:ascii="宋体" w:hAnsi="宋体"/>
          <w:b/>
          <w:sz w:val="32"/>
          <w:szCs w:val="20"/>
          <w:highlight w:val="none"/>
        </w:rPr>
        <w:outlineLvl w:val="1"/>
      </w:pPr>
      <w:r>
        <w:rPr>
          <w:rFonts w:ascii="宋体" w:hAnsi="宋体" w:eastAsia="宋体" w:cs="Times New Roman"/>
          <w:b/>
          <w:color w:val="000000"/>
          <w:highlight w:val="none"/>
        </w:rPr>
        <w:br w:type="page" w:clear="all"/>
      </w:r>
      <w:r>
        <w:rPr>
          <w:rFonts w:hint="eastAsia" w:ascii="宋体" w:hAnsi="宋体"/>
          <w:b/>
          <w:sz w:val="32"/>
          <w:szCs w:val="20"/>
          <w:highlight w:val="none"/>
        </w:rPr>
        <w:t xml:space="preserve">四、竞争性磋商文件</w:t>
      </w:r>
      <w:r>
        <w:rPr>
          <w:rFonts w:hint="eastAsia" w:ascii="宋体" w:hAnsi="宋体"/>
          <w:b/>
          <w:sz w:val="32"/>
          <w:szCs w:val="20"/>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受</w:t>
      </w:r>
      <w:r>
        <w:rPr>
          <w:rFonts w:hint="eastAsia" w:ascii="宋体" w:hAnsi="宋体"/>
          <w:szCs w:val="21"/>
          <w:highlight w:val="none"/>
          <w:lang w:eastAsia="zh-CN"/>
        </w:rPr>
        <w:t xml:space="preserve">苏州相城经济技术开发区管理委员会</w:t>
      </w:r>
      <w:r>
        <w:rPr>
          <w:rFonts w:hint="eastAsia" w:ascii="宋体" w:hAnsi="宋体"/>
          <w:szCs w:val="21"/>
          <w:highlight w:val="none"/>
        </w:rPr>
        <w:t xml:space="preserve">委托，苏州公正建设咨询房地产评估有限公司对其需采购的</w:t>
      </w:r>
      <w:r>
        <w:rPr>
          <w:rFonts w:hint="eastAsia" w:ascii="宋体" w:hAnsi="宋体"/>
          <w:szCs w:val="21"/>
          <w:highlight w:val="none"/>
          <w:lang w:eastAsia="zh-CN"/>
        </w:rPr>
        <w:t xml:space="preserve">春申湖路隔音设施安装建设一期</w:t>
      </w:r>
      <w:r>
        <w:rPr>
          <w:rFonts w:hint="eastAsia" w:ascii="宋体" w:hAnsi="宋体"/>
          <w:szCs w:val="21"/>
          <w:highlight w:val="none"/>
        </w:rPr>
        <w:t xml:space="preserve">在国内组织竞争性磋商采购。欢迎符合资格条件的响应单位前来报名参加。</w:t>
      </w:r>
      <w:r>
        <w:rPr>
          <w:rFonts w:ascii="宋体" w:hAnsi="宋体"/>
          <w:szCs w:val="21"/>
          <w:highlight w:val="none"/>
        </w:rPr>
      </w:r>
      <w:r/>
    </w:p>
    <w:p>
      <w:pPr>
        <w:pStyle w:val="1035"/>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一、采购编号：</w:t>
      </w:r>
      <w:r>
        <w:rPr>
          <w:rFonts w:hint="eastAsia" w:ascii="宋体" w:hAnsi="宋体"/>
          <w:b/>
          <w:szCs w:val="21"/>
          <w:highlight w:val="none"/>
          <w:lang w:eastAsia="zh-CN"/>
        </w:rPr>
        <w:t xml:space="preserve">JSZC-320507-SZGZ-C2026-0042</w:t>
      </w:r>
      <w:r>
        <w:rPr>
          <w:rFonts w:hint="eastAsia" w:ascii="宋体" w:hAnsi="宋体"/>
          <w:b/>
          <w:szCs w:val="21"/>
          <w:highlight w:val="none"/>
        </w:rPr>
        <w:t xml:space="preserve">   </w:t>
      </w:r>
      <w:r>
        <w:rPr>
          <w:rFonts w:hint="eastAsia" w:ascii="宋体" w:hAnsi="宋体"/>
          <w:b/>
          <w:szCs w:val="21"/>
          <w:highlight w:val="none"/>
        </w:rPr>
      </w:r>
      <w:r/>
    </w:p>
    <w:p>
      <w:pPr>
        <w:pStyle w:val="1035"/>
        <w:ind w:firstLine="422"/>
        <w:jc w:val="left"/>
        <w:spacing w:line="360" w:lineRule="auto"/>
        <w:rPr>
          <w:rFonts w:hint="eastAsia" w:ascii="宋体" w:hAnsi="宋体" w:eastAsia="宋体"/>
          <w:b/>
          <w:szCs w:val="21"/>
          <w:highlight w:val="none"/>
          <w:lang w:eastAsia="zh-CN"/>
        </w:rPr>
      </w:pPr>
      <w:r>
        <w:rPr>
          <w:rFonts w:hint="eastAsia" w:ascii="宋体" w:hAnsi="宋体"/>
          <w:b/>
          <w:szCs w:val="21"/>
          <w:highlight w:val="none"/>
        </w:rPr>
        <w:t xml:space="preserve">二、项目名称：</w:t>
      </w:r>
      <w:r>
        <w:rPr>
          <w:rFonts w:hint="eastAsia" w:ascii="宋体" w:hAnsi="宋体"/>
          <w:b/>
          <w:szCs w:val="21"/>
          <w:highlight w:val="none"/>
          <w:lang w:eastAsia="zh-CN"/>
        </w:rPr>
        <w:t xml:space="preserve">春申湖路隔音设施安装建设一期</w:t>
      </w:r>
      <w:r>
        <w:rPr>
          <w:rFonts w:hint="eastAsia" w:ascii="宋体" w:hAnsi="宋体" w:eastAsia="宋体"/>
          <w:b/>
          <w:szCs w:val="21"/>
          <w:highlight w:val="none"/>
          <w:lang w:eastAsia="zh-CN"/>
        </w:rPr>
      </w:r>
      <w:r/>
    </w:p>
    <w:p>
      <w:pPr>
        <w:pStyle w:val="1035"/>
        <w:ind w:firstLine="422"/>
        <w:jc w:val="left"/>
        <w:spacing w:line="360" w:lineRule="auto"/>
        <w:rPr>
          <w:rFonts w:ascii="宋体" w:hAnsi="宋体"/>
          <w:b/>
          <w:szCs w:val="21"/>
          <w:highlight w:val="none"/>
        </w:rPr>
      </w:pPr>
      <w:r>
        <w:rPr>
          <w:rFonts w:hint="eastAsia" w:ascii="宋体" w:hAnsi="宋体" w:cs="宋体"/>
          <w:b/>
          <w:szCs w:val="21"/>
          <w:highlight w:val="none"/>
        </w:rPr>
        <w:t xml:space="preserve">三、采购预算：</w:t>
      </w:r>
      <w:bookmarkStart w:id="3" w:name="_Toc204052981"/>
      <w:r>
        <w:rPr>
          <w:rFonts w:hint="eastAsia" w:ascii="宋体" w:hAnsi="宋体"/>
          <w:b/>
          <w:szCs w:val="21"/>
          <w:highlight w:val="none"/>
          <w:lang w:eastAsia="zh-CN"/>
        </w:rPr>
        <w:t xml:space="preserve">壹佰伍拾万零柒仟叁佰叁拾壹元陆角贰分（ 1507331.62元）</w:t>
      </w:r>
      <w:r>
        <w:rPr>
          <w:rFonts w:ascii="宋体" w:hAnsi="宋体"/>
          <w:b/>
          <w:szCs w:val="21"/>
          <w:highlight w:val="none"/>
        </w:rPr>
      </w:r>
      <w:r/>
    </w:p>
    <w:p>
      <w:pPr>
        <w:pStyle w:val="1035"/>
        <w:ind w:firstLine="843"/>
        <w:spacing w:line="360" w:lineRule="auto"/>
        <w:rPr>
          <w:rFonts w:ascii="宋体" w:hAnsi="宋体"/>
          <w:b/>
          <w:szCs w:val="21"/>
          <w:highlight w:val="none"/>
        </w:rPr>
      </w:pPr>
      <w:r>
        <w:rPr>
          <w:rFonts w:hint="eastAsia" w:ascii="宋体" w:hAnsi="宋体"/>
          <w:b/>
          <w:szCs w:val="21"/>
          <w:highlight w:val="none"/>
        </w:rPr>
        <w:t xml:space="preserve">最高限价：</w:t>
      </w:r>
      <w:bookmarkEnd w:id="3"/>
      <w:r>
        <w:rPr>
          <w:rFonts w:hint="eastAsia" w:ascii="宋体" w:hAnsi="宋体"/>
          <w:b/>
          <w:szCs w:val="21"/>
          <w:highlight w:val="none"/>
          <w:lang w:eastAsia="zh-CN"/>
        </w:rPr>
        <w:t xml:space="preserve">壹佰伍拾万零柒仟叁佰叁拾壹元陆角贰分（ 1507331.62元）</w:t>
      </w:r>
      <w:r>
        <w:rPr>
          <w:rFonts w:ascii="宋体" w:hAnsi="宋体"/>
          <w:b/>
          <w:szCs w:val="21"/>
          <w:highlight w:val="none"/>
        </w:rPr>
      </w:r>
      <w:r/>
    </w:p>
    <w:p>
      <w:pPr>
        <w:pStyle w:val="1035"/>
        <w:ind w:firstLine="422"/>
        <w:spacing w:line="360" w:lineRule="auto"/>
        <w:rPr>
          <w:rFonts w:ascii="宋体" w:hAnsi="宋体"/>
          <w:b/>
          <w:bCs/>
          <w:szCs w:val="21"/>
          <w:highlight w:val="none"/>
        </w:rPr>
      </w:pPr>
      <w:r>
        <w:rPr>
          <w:rFonts w:hint="eastAsia" w:ascii="宋体" w:hAnsi="宋体"/>
          <w:b/>
          <w:bCs/>
          <w:szCs w:val="21"/>
          <w:highlight w:val="none"/>
        </w:rPr>
        <w:t xml:space="preserve">四、</w:t>
      </w:r>
      <w:r>
        <w:rPr>
          <w:rFonts w:hint="eastAsia" w:ascii="宋体" w:hAnsi="宋体" w:cs="宋体"/>
          <w:b/>
          <w:bCs/>
          <w:szCs w:val="21"/>
          <w:highlight w:val="none"/>
        </w:rPr>
        <w:t xml:space="preserve">采购内容：</w:t>
      </w:r>
      <w:r>
        <w:rPr>
          <w:rFonts w:ascii="宋体" w:hAnsi="宋体"/>
          <w:b/>
          <w:bCs/>
          <w:szCs w:val="21"/>
          <w:highlight w:val="none"/>
        </w:rPr>
      </w:r>
      <w:r/>
    </w:p>
    <w:p>
      <w:pPr>
        <w:pStyle w:val="1035"/>
        <w:ind w:firstLine="420"/>
        <w:spacing w:line="360" w:lineRule="auto"/>
        <w:rPr>
          <w:rFonts w:ascii="宋体" w:hAnsi="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、采购方式：竞争性磋商 </w:t>
      </w:r>
      <w:r>
        <w:rPr>
          <w:rFonts w:ascii="宋体" w:hAnsi="宋体"/>
          <w:szCs w:val="21"/>
          <w:highlight w:val="none"/>
        </w:rPr>
      </w:r>
      <w:r/>
    </w:p>
    <w:p>
      <w:pPr>
        <w:pStyle w:val="1035"/>
        <w:ind w:firstLine="420"/>
        <w:spacing w:line="360" w:lineRule="auto"/>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、工期要求：</w:t>
      </w:r>
      <w:r>
        <w:rPr>
          <w:rFonts w:hint="eastAsia" w:ascii="宋体" w:hAnsi="宋体" w:cs="宋体"/>
          <w:szCs w:val="21"/>
          <w:highlight w:val="none"/>
          <w:lang w:val="en-US" w:eastAsia="zh-CN"/>
        </w:rPr>
        <w:t xml:space="preserve">93</w:t>
      </w:r>
      <w:r>
        <w:rPr>
          <w:rFonts w:hint="eastAsia" w:ascii="宋体" w:hAnsi="宋体" w:cs="宋体"/>
          <w:szCs w:val="21"/>
          <w:highlight w:val="none"/>
        </w:rPr>
        <w:t xml:space="preserve">日历天（具体按采购人通知为准）</w:t>
      </w:r>
      <w:r>
        <w:rPr>
          <w:rFonts w:ascii="宋体" w:hAnsi="宋体" w:cs="宋体"/>
          <w:szCs w:val="21"/>
          <w:highlight w:val="none"/>
        </w:rPr>
      </w:r>
      <w:r/>
    </w:p>
    <w:p>
      <w:pPr>
        <w:pStyle w:val="1035"/>
        <w:ind w:firstLine="420"/>
        <w:spacing w:line="360" w:lineRule="auto"/>
        <w:rPr>
          <w:rFonts w:hint="eastAsia" w:ascii="宋体" w:hAnsi="宋体" w:eastAsia="宋体" w:cs="宋体"/>
          <w:szCs w:val="21"/>
          <w:highlight w:val="none"/>
          <w:lang w:eastAsia="zh-CN"/>
        </w:rPr>
      </w:pPr>
      <w:r>
        <w:rPr>
          <w:rFonts w:ascii="宋体" w:hAnsi="宋体" w:cs="宋体"/>
          <w:szCs w:val="21"/>
          <w:highlight w:val="none"/>
        </w:rPr>
        <w:t xml:space="preserve">3</w:t>
      </w:r>
      <w:r>
        <w:rPr>
          <w:rFonts w:hint="eastAsia" w:ascii="宋体" w:hAnsi="宋体" w:cs="宋体"/>
          <w:szCs w:val="21"/>
          <w:highlight w:val="none"/>
        </w:rPr>
        <w:t xml:space="preserve">、工程地点：</w:t>
      </w:r>
      <w:r>
        <w:rPr>
          <w:rFonts w:hint="eastAsia" w:ascii="仿宋_GB2312" w:hAnsi="宋体" w:eastAsia="仿宋_GB2312"/>
          <w:sz w:val="24"/>
          <w:szCs w:val="24"/>
          <w:highlight w:val="none"/>
          <w:lang w:val="en-US" w:eastAsia="zh-CN"/>
        </w:rPr>
        <w:t xml:space="preserve">澄阳路东侧、春申湖路沿线高架</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4、项目承包方式：包工包料。</w:t>
      </w:r>
      <w:r>
        <w:rPr>
          <w:rFonts w:ascii="宋体" w:hAnsi="宋体"/>
          <w:szCs w:val="21"/>
          <w:highlight w:val="none"/>
        </w:rPr>
      </w:r>
      <w:r/>
    </w:p>
    <w:p>
      <w:pPr>
        <w:pStyle w:val="1035"/>
        <w:ind w:firstLine="420"/>
        <w:spacing w:line="360" w:lineRule="auto"/>
        <w:rPr>
          <w:rFonts w:ascii="宋体" w:hAnsi="宋体"/>
          <w:szCs w:val="21"/>
          <w:highlight w:val="none"/>
        </w:rPr>
      </w:pPr>
      <w:r>
        <w:rPr>
          <w:rFonts w:hint="eastAsia" w:ascii="宋体" w:hAnsi="宋体"/>
          <w:szCs w:val="21"/>
          <w:highlight w:val="none"/>
        </w:rPr>
        <w:t xml:space="preserve">5、项目质量要求：合格。</w:t>
      </w:r>
      <w:r>
        <w:rPr>
          <w:rFonts w:ascii="宋体" w:hAnsi="宋体"/>
          <w:szCs w:val="21"/>
          <w:highlight w:val="none"/>
        </w:rPr>
      </w:r>
      <w:r/>
    </w:p>
    <w:p>
      <w:pPr>
        <w:pStyle w:val="1035"/>
        <w:ind w:firstLine="420"/>
        <w:jc w:val="left"/>
        <w:spacing w:line="360" w:lineRule="auto"/>
        <w:widowControl/>
        <w:rPr>
          <w:rFonts w:ascii="宋体" w:hAnsi="宋体"/>
          <w:szCs w:val="21"/>
          <w:highlight w:val="none"/>
        </w:rPr>
      </w:pPr>
      <w:r>
        <w:rPr>
          <w:rFonts w:hint="eastAsia" w:ascii="宋体" w:hAnsi="宋体"/>
          <w:szCs w:val="21"/>
          <w:highlight w:val="none"/>
        </w:rPr>
        <w:t xml:space="preserve">6、需说明的其他问题：</w:t>
      </w:r>
      <w:r>
        <w:rPr>
          <w:rFonts w:ascii="宋体" w:hAnsi="宋体"/>
          <w:szCs w:val="21"/>
          <w:highlight w:val="none"/>
        </w:rPr>
      </w:r>
      <w:r/>
    </w:p>
    <w:p>
      <w:pPr>
        <w:pStyle w:val="1035"/>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（1）本工程赶工措施费不考虑，投标单位自行考虑报价。</w:t>
      </w:r>
      <w:r>
        <w:rPr>
          <w:rFonts w:hint="eastAsia" w:ascii="宋体" w:hAnsi="宋体"/>
          <w:szCs w:val="21"/>
          <w:highlight w:val="none"/>
          <w:lang w:val="en-US" w:eastAsia="zh-CN"/>
        </w:rPr>
      </w:r>
      <w:r/>
    </w:p>
    <w:p>
      <w:pPr>
        <w:pStyle w:val="1035"/>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（2）本工程根据招标文件和技术要求已考虑需施工单位承担的费用，投标单位自行考虑报价，该费用包干使用、结算不调整。</w:t>
      </w:r>
      <w:r>
        <w:rPr>
          <w:rFonts w:hint="eastAsia" w:ascii="宋体" w:hAnsi="宋体"/>
          <w:szCs w:val="21"/>
          <w:highlight w:val="none"/>
          <w:lang w:val="en-US" w:eastAsia="zh-CN"/>
        </w:rPr>
      </w:r>
      <w:r/>
    </w:p>
    <w:p>
      <w:pPr>
        <w:pStyle w:val="1035"/>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（3）其他未详尽之处，详见图纸、提疑回复及招标文件为准等。</w:t>
      </w:r>
      <w:r>
        <w:rPr>
          <w:rFonts w:hint="eastAsia" w:ascii="宋体" w:hAnsi="宋体"/>
          <w:szCs w:val="21"/>
          <w:highlight w:val="none"/>
          <w:lang w:val="en-US" w:eastAsia="zh-CN"/>
        </w:rPr>
      </w:r>
      <w:r/>
    </w:p>
    <w:p>
      <w:pPr>
        <w:pStyle w:val="1035"/>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五、项目条件：</w:t>
      </w:r>
      <w:r>
        <w:rPr>
          <w:rFonts w:ascii="宋体" w:hAnsi="宋体" w:cs="宋体"/>
          <w:b/>
          <w:bCs/>
          <w:szCs w:val="21"/>
          <w:highlight w:val="none"/>
        </w:rPr>
      </w:r>
      <w:r/>
    </w:p>
    <w:p>
      <w:pPr>
        <w:pStyle w:val="1035"/>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1、本工程项目根据《中华人民共和国政府采购法》及其实施条例等有关规定，按照现行法律、法规和部门规章，通过竞争性磋商方式，选定承包人。</w:t>
      </w:r>
      <w:r>
        <w:rPr>
          <w:rFonts w:ascii="宋体" w:hAnsi="宋体" w:cs="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2、现场条件：</w:t>
      </w:r>
      <w:r>
        <w:rPr>
          <w:rFonts w:ascii="宋体" w:hAnsi="宋体" w:cs="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2.1施工现场平整情况：</w:t>
      </w:r>
      <w:r>
        <w:rPr>
          <w:rFonts w:hint="eastAsia" w:ascii="宋体" w:hAnsi="宋体"/>
          <w:szCs w:val="21"/>
          <w:highlight w:val="none"/>
          <w:u w:val="single"/>
        </w:rPr>
        <w:t xml:space="preserve">场地已平整</w:t>
      </w:r>
      <w:r>
        <w:rPr>
          <w:rFonts w:hint="eastAsia" w:ascii="宋体" w:hAnsi="宋体"/>
          <w:szCs w:val="21"/>
          <w:highlight w:val="none"/>
        </w:rPr>
        <w:t xml:space="preserve">。</w:t>
      </w:r>
      <w:r>
        <w:rPr>
          <w:rFonts w:ascii="宋体" w:hAnsi="宋体"/>
          <w:szCs w:val="21"/>
          <w:highlight w:val="none"/>
        </w:rPr>
      </w:r>
      <w:r/>
    </w:p>
    <w:p>
      <w:pPr>
        <w:pStyle w:val="1035"/>
        <w:ind w:firstLine="420"/>
        <w:jc w:val="left"/>
        <w:spacing w:line="360" w:lineRule="auto"/>
        <w:rPr>
          <w:rFonts w:ascii="宋体" w:hAnsi="宋体"/>
          <w:szCs w:val="21"/>
          <w:highlight w:val="none"/>
        </w:rPr>
      </w:pPr>
      <w:r>
        <w:rPr>
          <w:rFonts w:hint="eastAsia" w:ascii="宋体" w:hAnsi="宋体"/>
          <w:szCs w:val="21"/>
          <w:highlight w:val="none"/>
        </w:rPr>
        <w:t xml:space="preserve">2.2场内外道路：</w:t>
      </w:r>
      <w:r>
        <w:rPr>
          <w:rFonts w:hint="eastAsia" w:ascii="宋体" w:hAnsi="宋体"/>
          <w:szCs w:val="21"/>
          <w:highlight w:val="none"/>
          <w:u w:val="single"/>
        </w:rPr>
        <w:t xml:space="preserve">原有现状</w:t>
      </w:r>
      <w:r>
        <w:rPr>
          <w:rFonts w:hint="eastAsia" w:ascii="宋体" w:hAnsi="宋体"/>
          <w:szCs w:val="21"/>
          <w:highlight w:val="none"/>
        </w:rPr>
        <w:t xml:space="preserve">。</w:t>
      </w:r>
      <w:r>
        <w:rPr>
          <w:rFonts w:ascii="宋体" w:hAnsi="宋体"/>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2.3施工用水电：</w:t>
      </w:r>
      <w:r>
        <w:rPr>
          <w:rFonts w:hint="eastAsia" w:ascii="宋体" w:hAnsi="宋体" w:cs="宋体"/>
          <w:szCs w:val="21"/>
          <w:highlight w:val="none"/>
          <w:u w:val="single"/>
        </w:rPr>
        <w:t xml:space="preserve">自行解决，费用由承包商承担，考虑在报价中。</w:t>
      </w:r>
      <w:r>
        <w:rPr>
          <w:rFonts w:ascii="宋体" w:hAnsi="宋体" w:cs="宋体"/>
          <w:szCs w:val="21"/>
          <w:highlight w:val="none"/>
        </w:rPr>
      </w:r>
      <w:r/>
    </w:p>
    <w:p>
      <w:pPr>
        <w:pStyle w:val="1035"/>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3、发包范围：</w:t>
      </w:r>
      <w:r>
        <w:rPr>
          <w:rFonts w:hint="eastAsia" w:ascii="宋体" w:hAnsi="宋体" w:cs="宋体"/>
          <w:szCs w:val="21"/>
          <w:highlight w:val="none"/>
          <w:u w:val="single"/>
        </w:rPr>
        <w:t xml:space="preserve">施工主要内容是对</w:t>
      </w:r>
      <w:r>
        <w:rPr>
          <w:rFonts w:hint="eastAsia" w:ascii="宋体" w:hAnsi="宋体" w:cs="宋体"/>
          <w:szCs w:val="21"/>
          <w:highlight w:val="none"/>
          <w:u w:val="single"/>
          <w:lang w:eastAsia="zh-CN"/>
        </w:rPr>
        <w:t xml:space="preserve">春申湖路隔音设施安装建设一期</w:t>
      </w:r>
      <w:r>
        <w:rPr>
          <w:rFonts w:hint="eastAsia" w:ascii="宋体" w:hAnsi="宋体" w:cs="宋体"/>
          <w:szCs w:val="21"/>
          <w:highlight w:val="none"/>
          <w:u w:val="single"/>
        </w:rPr>
        <w:t xml:space="preserve">等，具体以图纸、工程量清单说明为准。</w:t>
      </w:r>
      <w:r>
        <w:rPr>
          <w:rFonts w:ascii="宋体" w:hAnsi="宋体" w:cs="宋体"/>
          <w:szCs w:val="21"/>
          <w:highlight w:val="none"/>
          <w:u w:val="single"/>
        </w:rPr>
      </w:r>
      <w:r/>
    </w:p>
    <w:p>
      <w:pPr>
        <w:pStyle w:val="1035"/>
        <w:ind w:firstLine="420"/>
        <w:spacing w:line="360" w:lineRule="auto"/>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、磋商费用：磋商供应商</w:t>
      </w:r>
      <w:r>
        <w:rPr>
          <w:rFonts w:ascii="宋体" w:hAnsi="宋体" w:cs="宋体"/>
          <w:szCs w:val="21"/>
          <w:highlight w:val="none"/>
        </w:rPr>
        <w:t xml:space="preserve">承担其编制</w:t>
      </w:r>
      <w:r>
        <w:rPr>
          <w:rFonts w:hint="eastAsia" w:ascii="宋体" w:hAnsi="宋体" w:cs="宋体"/>
          <w:szCs w:val="21"/>
          <w:highlight w:val="none"/>
        </w:rPr>
        <w:t xml:space="preserve">及递交响应</w:t>
      </w:r>
      <w:r>
        <w:rPr>
          <w:rFonts w:ascii="宋体" w:hAnsi="宋体" w:cs="宋体"/>
          <w:szCs w:val="21"/>
          <w:highlight w:val="none"/>
        </w:rPr>
        <w:t xml:space="preserve">文件的一切费用，无论结果如何，发包人对上述费用不负任何责任。</w:t>
      </w:r>
      <w:r>
        <w:rPr>
          <w:rFonts w:ascii="宋体" w:hAnsi="宋体" w:cs="宋体"/>
          <w:szCs w:val="21"/>
          <w:highlight w:val="none"/>
        </w:rPr>
      </w:r>
      <w:r/>
    </w:p>
    <w:p>
      <w:pPr>
        <w:pStyle w:val="1035"/>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六</w:t>
      </w:r>
      <w:r>
        <w:rPr>
          <w:rFonts w:hint="eastAsia" w:ascii="宋体" w:hAnsi="宋体"/>
          <w:b/>
          <w:bCs/>
          <w:szCs w:val="21"/>
          <w:highlight w:val="none"/>
        </w:rPr>
        <w:t xml:space="preserve">、采购需求：</w:t>
      </w:r>
      <w:r>
        <w:rPr>
          <w:rFonts w:ascii="宋体" w:hAnsi="宋体" w:cs="宋体"/>
          <w:b/>
          <w:bCs/>
          <w:szCs w:val="21"/>
          <w:highlight w:val="none"/>
        </w:rPr>
      </w:r>
      <w:r/>
    </w:p>
    <w:p>
      <w:pPr>
        <w:pStyle w:val="1035"/>
        <w:ind w:firstLine="420"/>
        <w:spacing w:line="360" w:lineRule="auto"/>
        <w:rPr>
          <w:rFonts w:ascii="宋体" w:hAnsi="宋体" w:cs="宋体"/>
          <w:szCs w:val="21"/>
          <w:highlight w:val="none"/>
        </w:rPr>
      </w:pPr>
      <w:r>
        <w:rPr>
          <w:rFonts w:hint="eastAsia" w:ascii="宋体" w:hAnsi="宋体" w:cs="宋体"/>
          <w:szCs w:val="21"/>
          <w:highlight w:val="none"/>
        </w:rPr>
        <w:t xml:space="preserve">1、工程量清单计价编制依据：</w:t>
      </w:r>
      <w:r>
        <w:rPr>
          <w:rFonts w:ascii="宋体" w:hAnsi="宋体" w:cs="宋体"/>
          <w:szCs w:val="21"/>
          <w:highlight w:val="none"/>
        </w:rPr>
      </w:r>
      <w:r/>
    </w:p>
    <w:p>
      <w:pPr>
        <w:pStyle w:val="1035"/>
        <w:ind w:firstLine="420"/>
        <w:spacing w:line="360" w:lineRule="auto"/>
        <w:rPr>
          <w:rFonts w:hint="eastAsia" w:ascii="宋体" w:hAnsi="宋体" w:cs="宋体"/>
          <w:szCs w:val="21"/>
          <w:highlight w:val="none"/>
        </w:rPr>
        <w:outlineLvl w:val="1"/>
      </w:pPr>
      <w:r>
        <w:rPr>
          <w:rFonts w:hint="eastAsia" w:ascii="宋体" w:hAnsi="宋体" w:cs="宋体"/>
          <w:szCs w:val="21"/>
          <w:highlight w:val="none"/>
        </w:rPr>
        <w:t xml:space="preserve">（1）建设单位提供的相关资料；</w:t>
      </w:r>
      <w:r>
        <w:rPr>
          <w:rFonts w:hint="eastAsia" w:ascii="宋体" w:hAnsi="宋体" w:cs="宋体"/>
          <w:szCs w:val="21"/>
          <w:highlight w:val="none"/>
        </w:rPr>
      </w:r>
      <w:r/>
    </w:p>
    <w:p>
      <w:pPr>
        <w:pStyle w:val="1035"/>
        <w:ind w:firstLine="420"/>
        <w:spacing w:line="360" w:lineRule="auto"/>
        <w:rPr>
          <w:rFonts w:ascii="宋体" w:hAnsi="宋体" w:cs="宋体"/>
          <w:szCs w:val="21"/>
          <w:highlight w:val="none"/>
        </w:rPr>
        <w:outlineLvl w:val="1"/>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工程量清单编制依据（如有最新标准则以新标准为依据执行）：</w:t>
      </w:r>
      <w:r>
        <w:rPr>
          <w:rFonts w:ascii="宋体" w:hAnsi="宋体" w:cs="宋体"/>
          <w:szCs w:val="21"/>
          <w:highlight w:val="none"/>
        </w:rPr>
      </w:r>
      <w:r/>
    </w:p>
    <w:p>
      <w:pPr>
        <w:pStyle w:val="1035"/>
        <w:ind w:firstLine="420"/>
        <w:spacing w:line="360" w:lineRule="auto"/>
        <w:rPr>
          <w:rFonts w:hint="eastAsia" w:ascii="宋体" w:hAnsi="宋体" w:eastAsia="宋体" w:cs="宋体"/>
          <w:szCs w:val="21"/>
          <w:highlight w:val="none"/>
        </w:rPr>
        <w:outlineLvl w:val="1"/>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《建设工程工程量清单计价标准》（GB/T50500-2024）及其9本工程量计算</w:t>
      </w:r>
      <w:r>
        <w:rPr>
          <w:rFonts w:hint="eastAsia" w:ascii="宋体" w:hAnsi="宋体" w:eastAsia="宋体" w:cs="宋体"/>
          <w:szCs w:val="21"/>
          <w:highlight w:val="none"/>
          <w:lang w:val="en-US" w:eastAsia="zh-CN"/>
        </w:rPr>
        <w:t xml:space="preserve">标准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《江苏省市政工程消耗量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（2026年版）</w:t>
      </w:r>
      <w:r>
        <w:rPr>
          <w:rFonts w:hint="eastAsia" w:ascii="宋体" w:hAnsi="宋体" w:eastAsia="宋体" w:cs="宋体"/>
          <w:szCs w:val="21"/>
          <w:highlight w:val="none"/>
          <w:lang w:eastAsia="zh-CN"/>
        </w:rPr>
        <w:t xml:space="preserve">、《江苏省建筑与装饰工程消耗量》（2026年版）、</w:t>
      </w:r>
      <w:r>
        <w:rPr>
          <w:rFonts w:hint="eastAsia" w:ascii="宋体" w:hAnsi="宋体" w:eastAsia="宋体" w:cs="宋体"/>
          <w:szCs w:val="21"/>
          <w:highlight w:val="none"/>
        </w:rPr>
        <w:t xml:space="preserve">《江苏省建设工程费用参考》（2026年版）及现行有关文件执行。</w:t>
      </w:r>
      <w:r>
        <w:rPr>
          <w:rFonts w:hint="eastAsia" w:ascii="宋体" w:hAnsi="宋体" w:eastAsia="宋体" w:cs="宋体"/>
          <w:szCs w:val="21"/>
          <w:highlight w:val="none"/>
        </w:rPr>
      </w:r>
      <w:r/>
    </w:p>
    <w:p>
      <w:pPr>
        <w:pStyle w:val="1035"/>
        <w:ind w:firstLine="420"/>
        <w:spacing w:line="360" w:lineRule="auto"/>
        <w:rPr>
          <w:rFonts w:hint="eastAsia" w:ascii="宋体" w:hAnsi="宋体" w:eastAsia="宋体" w:cs="Times New Roman"/>
          <w:sz w:val="21"/>
          <w:szCs w:val="21"/>
          <w:highlight w:val="none"/>
          <w:lang w:eastAsia="zh-CN"/>
        </w:rPr>
        <w:outlineLvl w:val="1"/>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建设工程主要材料指导价格按苏州</w:t>
      </w:r>
      <w:r>
        <w:rPr>
          <w:rFonts w:hint="eastAsia" w:ascii="宋体" w:hAnsi="宋体" w:eastAsia="宋体" w:cs="宋体"/>
          <w:szCs w:val="21"/>
          <w:highlight w:val="none"/>
          <w:lang w:val="en-US" w:eastAsia="zh-CN"/>
        </w:rPr>
        <w:t xml:space="preserve">市</w:t>
      </w:r>
      <w:r>
        <w:rPr>
          <w:rFonts w:hint="eastAsia" w:ascii="宋体" w:hAnsi="宋体" w:eastAsia="宋体" w:cs="宋体"/>
          <w:szCs w:val="21"/>
          <w:highlight w:val="none"/>
        </w:rPr>
        <w:t xml:space="preserve">202</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月份</w:t>
      </w:r>
      <w:r>
        <w:rPr>
          <w:rFonts w:hint="eastAsia" w:ascii="宋体" w:hAnsi="宋体" w:eastAsia="宋体" w:cs="宋体"/>
          <w:szCs w:val="21"/>
          <w:highlight w:val="none"/>
          <w:lang w:val="en-US" w:eastAsia="zh-CN"/>
        </w:rPr>
        <w:t xml:space="preserve">市场</w:t>
      </w:r>
      <w:r>
        <w:rPr>
          <w:rFonts w:hint="eastAsia" w:ascii="宋体" w:hAnsi="宋体" w:eastAsia="宋体" w:cs="宋体"/>
          <w:szCs w:val="21"/>
          <w:highlight w:val="none"/>
        </w:rPr>
        <w:t xml:space="preserve">价执行。</w:t>
      </w:r>
      <w:r>
        <w:rPr>
          <w:rFonts w:hint="eastAsia" w:ascii="宋体" w:hAnsi="宋体" w:eastAsia="宋体" w:cs="Times New Roman"/>
          <w:sz w:val="21"/>
          <w:szCs w:val="21"/>
          <w:highlight w:val="none"/>
          <w:lang w:eastAsia="zh-CN"/>
        </w:rPr>
      </w:r>
      <w:r/>
    </w:p>
    <w:p>
      <w:pPr>
        <w:pStyle w:val="1035"/>
        <w:ind w:firstLine="422"/>
        <w:spacing w:line="360" w:lineRule="auto"/>
        <w:rPr>
          <w:rFonts w:ascii="宋体" w:hAnsi="宋体"/>
          <w:b/>
          <w:bCs/>
          <w:szCs w:val="21"/>
          <w:highlight w:val="none"/>
        </w:rPr>
        <w:outlineLvl w:val="1"/>
      </w:pPr>
      <w:r>
        <w:rPr>
          <w:rFonts w:hint="eastAsia" w:ascii="宋体" w:hAnsi="宋体"/>
          <w:b/>
          <w:bCs/>
          <w:szCs w:val="21"/>
          <w:highlight w:val="none"/>
        </w:rPr>
        <w:t xml:space="preserve">七、综合说明及其它要求</w:t>
      </w:r>
      <w:r>
        <w:rPr>
          <w:rFonts w:ascii="宋体" w:hAnsi="宋体"/>
          <w:b/>
          <w:bCs/>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rPr>
        <w:t xml:space="preserve">1、投标单位必须承诺磋商文件中提出的全部技术规格与要求，如果以其中某些条款不响应时，应在文件中逐条列出，未列出的视同响应。</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rPr>
        <w:t xml:space="preserve">2、本项目需要配置项目负责人1名</w:t>
      </w:r>
      <w:r>
        <w:rPr>
          <w:rFonts w:hint="eastAsia" w:ascii="宋体" w:hAnsi="宋体" w:cs="宋体"/>
          <w:szCs w:val="21"/>
          <w:highlight w:val="none"/>
          <w:lang w:val="en-US" w:eastAsia="zh-CN"/>
        </w:rPr>
        <w:t xml:space="preserve">，相关</w:t>
      </w:r>
      <w:r>
        <w:rPr>
          <w:rFonts w:hint="eastAsia" w:ascii="宋体" w:hAnsi="宋体" w:cs="宋体"/>
          <w:szCs w:val="21"/>
          <w:highlight w:val="none"/>
        </w:rPr>
        <w:t xml:space="preserve">技术</w:t>
      </w:r>
      <w:r>
        <w:rPr>
          <w:rFonts w:hint="eastAsia" w:ascii="宋体" w:hAnsi="宋体" w:cs="宋体"/>
          <w:szCs w:val="21"/>
          <w:highlight w:val="none"/>
          <w:lang w:val="en-US" w:eastAsia="zh-CN"/>
        </w:rPr>
        <w:t xml:space="preserve">人员数名</w:t>
      </w:r>
      <w:r>
        <w:rPr>
          <w:rFonts w:hint="eastAsia" w:ascii="宋体" w:hAnsi="宋体" w:cs="宋体"/>
          <w:szCs w:val="21"/>
          <w:highlight w:val="none"/>
        </w:rPr>
        <w:t xml:space="preserve">。</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供应商应建立健全环境保护管理体系，污染物处理及排放符合国家及地方环境保护标准，技术及管理措施到位，施工区须经常撒水，减少粉尘污染，施工机械油污处理得当。建设、城管或其它行政管理部门批评或开具处罚通知单，每发生一次，供应商除立即整改外，供应商向采购人还应支付5000元/次的违约金，采购人有权在应支付的工程款中直接予以扣除。</w:t>
      </w:r>
      <w:r>
        <w:rPr>
          <w:rFonts w:ascii="宋体" w:hAnsi="宋体" w:cs="宋体"/>
          <w:szCs w:val="21"/>
          <w:highlight w:val="none"/>
        </w:rPr>
      </w:r>
      <w:r/>
    </w:p>
    <w:p>
      <w:pPr>
        <w:pStyle w:val="1124"/>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供应商施工过程中的建筑垃圾和生活垃圾不得在施工场地内任意弃置，应进行及时清运并合理处置，应按指定的渣场弃渣，统一运至法定处置地点。对施工中难以避免滑入河道的渣土、因施工造成的场地塌滑与泥沙漫流等问题，应根据监理人指示和地方城管、环境保护部门要求，采取合理措施进行处理。如因供应商清运处置不当引起投诉、</w:t>
      </w:r>
      <w:r>
        <w:rPr>
          <w:rFonts w:hint="eastAsia" w:ascii="宋体" w:hAnsi="宋体" w:cs="宋体"/>
          <w:szCs w:val="21"/>
          <w:highlight w:val="none"/>
          <w:lang w:val="en-US"/>
        </w:rPr>
        <w:t xml:space="preserve">处罚</w:t>
      </w:r>
      <w:r>
        <w:rPr>
          <w:rFonts w:hint="eastAsia" w:ascii="宋体" w:hAnsi="宋体" w:cs="宋体"/>
          <w:szCs w:val="21"/>
          <w:highlight w:val="none"/>
          <w:lang w:val="en-US" w:eastAsia="zh-CN"/>
        </w:rPr>
        <w:t xml:space="preserve">等视为违约，每发生一次处合同金额10%的违约金，采购人</w:t>
      </w:r>
      <w:r>
        <w:rPr>
          <w:rFonts w:hint="eastAsia" w:ascii="宋体" w:hAnsi="宋体" w:cs="宋体"/>
          <w:szCs w:val="21"/>
          <w:highlight w:val="none"/>
        </w:rPr>
        <w:t xml:space="preserve">有权在应支付的工程款中直接予以扣除</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同时由此产生的一切后果由供应商承担。</w:t>
      </w:r>
      <w:r>
        <w:rPr>
          <w:rFonts w:hint="eastAsia" w:ascii="宋体" w:hAnsi="宋体" w:cs="宋体"/>
          <w:szCs w:val="21"/>
          <w:highlight w:val="none"/>
          <w:lang w:val="en-US" w:eastAsia="zh-CN"/>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对实施后无法进行复核的变更签证（如拆除、垃圾清运等）,供应商必须留下可证明相应工作量的影像资料，结算时如无影像资料或提供资料无法反映相应的工作量，结算审计时有权按照有利于采购人权利进行处理。</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、本工程追加费用不得超过原合同金额的10%；原合同金额10%以内的追加费用，限于原合同内工程清单数量调整增加的工程费用，原合同外工程内容不得计入。</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、因成交单位自身原因而导致的工程变更，成交单位无权要求追加合同价款及工期延长。</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、工程竣工验收结束后，成交单位应该做到工完场清，如果施工便道等没有清理，则采购人有权委托其他单位拆除清理，具体费用从成交单位工程款中扣除，若采购人要求保留，则不予扣除成交单位费用。</w:t>
      </w:r>
      <w:r>
        <w:rPr>
          <w:rFonts w:ascii="宋体" w:hAnsi="宋体" w:cs="宋体"/>
          <w:szCs w:val="21"/>
          <w:highlight w:val="none"/>
        </w:rPr>
      </w:r>
      <w:r/>
    </w:p>
    <w:p>
      <w:pPr>
        <w:pStyle w:val="1035"/>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w:t>
      </w:r>
      <w:r>
        <w:rPr>
          <w:rFonts w:ascii="宋体" w:hAnsi="宋体" w:cs="宋体"/>
          <w:szCs w:val="21"/>
          <w:highlight w:val="none"/>
        </w:rPr>
        <w:t xml:space="preserve">凡涉及</w:t>
      </w:r>
      <w:r>
        <w:rPr>
          <w:rFonts w:hint="eastAsia" w:ascii="宋体" w:hAnsi="宋体" w:cs="宋体"/>
          <w:szCs w:val="21"/>
          <w:highlight w:val="none"/>
        </w:rPr>
        <w:t xml:space="preserve">磋商采购文件</w:t>
      </w:r>
      <w:r>
        <w:rPr>
          <w:rFonts w:ascii="宋体" w:hAnsi="宋体" w:cs="宋体"/>
          <w:szCs w:val="21"/>
          <w:highlight w:val="none"/>
        </w:rPr>
        <w:t xml:space="preserve">的补充说明和修改，均以</w:t>
      </w:r>
      <w:r>
        <w:rPr>
          <w:rFonts w:hint="eastAsia" w:ascii="宋体" w:hAnsi="宋体" w:cs="宋体"/>
          <w:szCs w:val="21"/>
          <w:highlight w:val="none"/>
        </w:rPr>
        <w:t xml:space="preserve">苏州市政府采购网、江苏政府采购网上发布的</w:t>
      </w:r>
      <w:r>
        <w:rPr>
          <w:rFonts w:ascii="宋体" w:hAnsi="宋体" w:cs="宋体"/>
          <w:szCs w:val="21"/>
          <w:highlight w:val="none"/>
        </w:rPr>
        <w:t xml:space="preserve">通知为准。</w:t>
      </w:r>
      <w:r>
        <w:rPr>
          <w:rFonts w:ascii="宋体" w:hAnsi="宋体" w:cs="宋体"/>
          <w:szCs w:val="21"/>
          <w:highlight w:val="none"/>
        </w:rPr>
      </w:r>
      <w:r/>
    </w:p>
    <w:p>
      <w:pPr>
        <w:pStyle w:val="1035"/>
        <w:rPr>
          <w:rFonts w:hint="eastAsia" w:ascii="宋体" w:hAnsi="宋体" w:cs="宋体"/>
          <w:szCs w:val="21"/>
          <w:highlight w:val="none"/>
        </w:rPr>
      </w:pPr>
      <w:r>
        <w:rPr>
          <w:rFonts w:hint="eastAsia" w:ascii="宋体" w:hAnsi="宋体" w:cs="宋体"/>
          <w:szCs w:val="21"/>
          <w:highlight w:val="none"/>
        </w:rPr>
      </w:r>
      <w:r/>
    </w:p>
    <w:p>
      <w:pPr>
        <w:pStyle w:val="1035"/>
        <w:ind w:firstLine="420"/>
        <w:spacing w:line="360" w:lineRule="auto"/>
        <w:rPr>
          <w:rFonts w:ascii="宋体" w:hAnsi="宋体"/>
          <w:szCs w:val="24"/>
          <w:highlight w:val="none"/>
        </w:rPr>
        <w:sectPr>
          <w:headerReference w:type="default" r:id="rId9"/>
          <w:footerReference w:type="default" r:id="rId16"/>
          <w:footerReference w:type="first" r:id="rId17"/>
          <w:footnotePr/>
          <w:endnotePr/>
          <w:type w:val="nextPage"/>
          <w:pgSz w:w="11906" w:h="16838" w:orient="portrait"/>
          <w:pgMar w:top="1440" w:right="1080" w:bottom="1440" w:left="1080" w:header="624" w:footer="510" w:gutter="113"/>
          <w:cols w:num="1" w:sep="0" w:space="1701" w:equalWidth="1"/>
          <w:docGrid w:linePitch="360"/>
          <w:titlePg/>
        </w:sectPr>
      </w:pPr>
      <w:r>
        <w:rPr>
          <w:rFonts w:ascii="宋体" w:hAnsi="宋体"/>
          <w:szCs w:val="24"/>
          <w:highlight w:val="none"/>
        </w:rPr>
      </w:r>
      <w:r/>
    </w:p>
    <w:p>
      <w:pPr>
        <w:pStyle w:val="1035"/>
        <w:jc w:val="center"/>
        <w:rPr>
          <w:rFonts w:hint="eastAsia" w:ascii="宋体" w:hAnsi="宋体"/>
          <w:b/>
          <w:sz w:val="32"/>
          <w:szCs w:val="32"/>
          <w:highlight w:val="none"/>
        </w:rPr>
      </w:pPr>
      <w:r>
        <w:rPr>
          <w:rFonts w:hint="eastAsia" w:ascii="宋体" w:hAnsi="宋体"/>
          <w:b/>
          <w:sz w:val="32"/>
          <w:szCs w:val="32"/>
          <w:highlight w:val="none"/>
        </w:rPr>
        <w:t xml:space="preserve">五、合同主要条款</w:t>
      </w:r>
      <w:r>
        <w:rPr>
          <w:rFonts w:hint="eastAsia" w:ascii="宋体" w:hAnsi="宋体"/>
          <w:b/>
          <w:sz w:val="32"/>
          <w:szCs w:val="32"/>
          <w:highlight w:val="none"/>
        </w:rPr>
      </w:r>
      <w:r/>
    </w:p>
    <w:p>
      <w:pPr>
        <w:pStyle w:val="1035"/>
        <w:spacing w:line="360" w:lineRule="auto"/>
        <w:widowControl/>
        <w:rPr>
          <w:rFonts w:hint="eastAsia" w:ascii="宋体" w:hAnsi="宋体" w:eastAsia="宋体" w:cs="Times New Roman"/>
          <w:b/>
          <w:szCs w:val="21"/>
          <w:highlight w:val="none"/>
          <w:lang w:eastAsia="zh-CN"/>
        </w:rPr>
      </w:pPr>
      <w:r>
        <w:rPr>
          <w:rFonts w:ascii="宋体" w:hAnsi="宋体" w:eastAsia="宋体" w:cs="Times New Roman"/>
          <w:b/>
          <w:szCs w:val="21"/>
          <w:highlight w:val="none"/>
        </w:rPr>
        <w:t xml:space="preserve">发包人（全称）：</w:t>
      </w:r>
      <w:r>
        <w:rPr>
          <w:rFonts w:hint="eastAsia" w:ascii="宋体" w:hAnsi="宋体" w:eastAsia="宋体" w:cs="Times New Roman"/>
          <w:b/>
          <w:szCs w:val="21"/>
          <w:highlight w:val="none"/>
          <w:lang w:eastAsia="zh-CN"/>
        </w:rPr>
        <w:t xml:space="preserve">苏州相城经济技术开发区管理委员会 </w:t>
      </w:r>
      <w:r>
        <w:rPr>
          <w:rFonts w:hint="eastAsia" w:ascii="宋体" w:hAnsi="宋体" w:eastAsia="宋体" w:cs="Times New Roman"/>
          <w:b/>
          <w:szCs w:val="21"/>
          <w:highlight w:val="none"/>
          <w:lang w:eastAsia="zh-CN"/>
        </w:rPr>
      </w:r>
      <w:r/>
    </w:p>
    <w:p>
      <w:pPr>
        <w:pStyle w:val="1035"/>
        <w:spacing w:line="360" w:lineRule="auto"/>
        <w:widowControl/>
        <w:rPr>
          <w:rFonts w:ascii="宋体" w:hAnsi="宋体" w:eastAsia="宋体" w:cs="Times New Roman"/>
          <w:b/>
          <w:szCs w:val="21"/>
          <w:highlight w:val="none"/>
          <w:u w:val="single"/>
        </w:rPr>
      </w:pPr>
      <w:r>
        <w:rPr>
          <w:rFonts w:ascii="宋体" w:hAnsi="宋体" w:eastAsia="宋体" w:cs="Times New Roman"/>
          <w:b/>
          <w:szCs w:val="21"/>
          <w:highlight w:val="none"/>
        </w:rPr>
        <w:t xml:space="preserve">承包人（全称）：</w:t>
      </w:r>
      <w:r>
        <w:rPr>
          <w:rFonts w:ascii="宋体" w:hAnsi="宋体" w:eastAsia="宋体" w:cs="Times New Roman"/>
          <w:b/>
          <w:szCs w:val="21"/>
          <w:highlight w:val="none"/>
          <w:u w:val="single"/>
        </w:rPr>
        <w:t xml:space="preserve"> </w:t>
      </w:r>
      <w:r>
        <w:rPr>
          <w:rFonts w:ascii="宋体" w:hAnsi="宋体" w:eastAsia="宋体" w:cs="Times New Roman"/>
          <w:b/>
          <w:szCs w:val="21"/>
          <w:highlight w:val="none"/>
          <w:u w:val="singl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据《中华人民共和国</w:t>
      </w:r>
      <w:r>
        <w:rPr>
          <w:rFonts w:hint="eastAsia" w:ascii="宋体" w:hAnsi="宋体" w:eastAsia="宋体" w:cs="Times New Roman"/>
          <w:szCs w:val="21"/>
          <w:highlight w:val="none"/>
        </w:rPr>
        <w:t xml:space="preserve">民法典</w:t>
      </w:r>
      <w:r>
        <w:rPr>
          <w:rFonts w:ascii="宋体" w:hAnsi="宋体" w:eastAsia="宋体" w:cs="Times New Roman"/>
          <w:szCs w:val="21"/>
          <w:highlight w:val="none"/>
        </w:rPr>
        <w:t xml:space="preserve">》、《中华人民共和国建筑法》及有关法律规定，遵循平等、自愿、公平和诚实信用的原则，双方就施工及有关事项协商一致，共同达成如下协议：</w:t>
      </w:r>
      <w:r>
        <w:rPr>
          <w:rFonts w:ascii="宋体" w:hAnsi="宋体" w:eastAsia="宋体" w:cs="Times New Roman"/>
          <w:szCs w:val="21"/>
          <w:highlight w:val="none"/>
        </w:rPr>
      </w:r>
      <w:r/>
    </w:p>
    <w:p>
      <w:pPr>
        <w:pStyle w:val="1035"/>
        <w:spacing w:line="360" w:lineRule="auto"/>
        <w:widowControl/>
        <w:rPr>
          <w:rFonts w:ascii="宋体" w:hAnsi="宋体" w:eastAsia="宋体" w:cs="宋体"/>
          <w:bCs/>
          <w:szCs w:val="21"/>
          <w:highlight w:val="none"/>
        </w:rPr>
      </w:pPr>
      <w:r>
        <w:rPr>
          <w:rFonts w:ascii="宋体" w:hAnsi="宋体" w:eastAsia="宋体" w:cs="Times New Roman"/>
          <w:szCs w:val="21"/>
          <w:highlight w:val="none"/>
        </w:rPr>
        <w:t xml:space="preserve">一、工程概况</w:t>
      </w:r>
      <w:r>
        <w:rPr>
          <w:rFonts w:ascii="宋体" w:hAnsi="宋体" w:eastAsia="宋体" w:cs="宋体"/>
          <w:bCs/>
          <w:szCs w:val="21"/>
          <w:highlight w:val="none"/>
        </w:rPr>
      </w:r>
      <w:r/>
    </w:p>
    <w:p>
      <w:pPr>
        <w:pStyle w:val="1035"/>
        <w:ind w:firstLine="420"/>
        <w:spacing w:line="360" w:lineRule="auto"/>
        <w:widowControl/>
        <w:rPr>
          <w:rFonts w:ascii="宋体" w:hAnsi="宋体" w:eastAsia="宋体" w:cs="Times New Roman"/>
          <w:szCs w:val="21"/>
          <w:highlight w:val="none"/>
          <w:u w:val="single"/>
        </w:rPr>
      </w:pPr>
      <w:r>
        <w:rPr>
          <w:rFonts w:ascii="宋体" w:hAnsi="宋体" w:eastAsia="宋体" w:cs="宋体"/>
          <w:bCs/>
          <w:szCs w:val="21"/>
          <w:highlight w:val="none"/>
        </w:rPr>
        <w:t xml:space="preserve">1.工程名称</w:t>
      </w:r>
      <w:r>
        <w:rPr>
          <w:rFonts w:ascii="宋体" w:hAnsi="宋体" w:eastAsia="宋体" w:cs="Times New Roman"/>
          <w:szCs w:val="21"/>
          <w:highlight w:val="none"/>
        </w:rPr>
        <w:t xml:space="preserve">：</w:t>
      </w:r>
      <w:r>
        <w:rPr>
          <w:rFonts w:hint="eastAsia" w:ascii="宋体" w:hAnsi="宋体" w:eastAsia="宋体" w:cs="Times New Roman"/>
          <w:szCs w:val="21"/>
          <w:highlight w:val="none"/>
          <w:u w:val="single"/>
          <w:lang w:eastAsia="zh-CN"/>
        </w:rPr>
        <w:t xml:space="preserve">春申湖路隔音设施安装建设一期</w:t>
      </w:r>
      <w:r>
        <w:rPr>
          <w:rFonts w:ascii="宋体" w:hAnsi="宋体" w:eastAsia="宋体" w:cs="Times New Roman"/>
          <w:szCs w:val="21"/>
          <w:highlight w:val="none"/>
          <w:u w:val="single"/>
        </w:rPr>
        <w:t xml:space="preserve">  </w:t>
      </w:r>
      <w:r>
        <w:rPr>
          <w:rFonts w:ascii="宋体" w:hAnsi="宋体" w:eastAsia="宋体" w:cs="Times New Roman"/>
          <w:szCs w:val="21"/>
          <w:highlight w:val="none"/>
          <w:u w:val="single"/>
        </w:rPr>
      </w:r>
      <w:r/>
    </w:p>
    <w:p>
      <w:pPr>
        <w:pStyle w:val="1035"/>
        <w:ind w:firstLine="420"/>
        <w:spacing w:line="360" w:lineRule="auto"/>
        <w:widowControl/>
        <w:rPr>
          <w:rFonts w:ascii="宋体" w:hAnsi="宋体" w:eastAsia="宋体" w:cs="宋体"/>
          <w:bCs/>
          <w:szCs w:val="21"/>
          <w:highlight w:val="none"/>
          <w:u w:val="single"/>
        </w:rPr>
      </w:pPr>
      <w:r>
        <w:rPr>
          <w:rFonts w:ascii="宋体" w:hAnsi="宋体" w:eastAsia="宋体" w:cs="宋体"/>
          <w:bCs/>
          <w:szCs w:val="21"/>
          <w:highlight w:val="none"/>
        </w:rPr>
        <w:t xml:space="preserve">2.工程地点：</w:t>
      </w:r>
      <w:r>
        <w:rPr>
          <w:rFonts w:hint="eastAsia" w:ascii="宋体" w:hAnsi="宋体" w:eastAsia="宋体" w:cs="Times New Roman"/>
          <w:szCs w:val="21"/>
          <w:highlight w:val="none"/>
          <w:u w:val="single"/>
          <w:lang w:val="en-US" w:eastAsia="zh-CN"/>
        </w:rPr>
        <w:t xml:space="preserve">澄阳路东侧、春申湖路沿线高架</w:t>
      </w:r>
      <w:r>
        <w:rPr>
          <w:rFonts w:ascii="宋体" w:hAnsi="宋体" w:eastAsia="宋体" w:cs="宋体"/>
          <w:bCs/>
          <w:szCs w:val="21"/>
          <w:highlight w:val="none"/>
          <w:u w:val="singl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bCs/>
          <w:szCs w:val="21"/>
          <w:highlight w:val="none"/>
        </w:rPr>
        <w:t xml:space="preserve">3</w:t>
      </w:r>
      <w:r>
        <w:rPr>
          <w:rFonts w:ascii="宋体" w:hAnsi="宋体" w:eastAsia="宋体" w:cs="宋体"/>
          <w:bCs/>
          <w:szCs w:val="21"/>
          <w:highlight w:val="none"/>
        </w:rPr>
        <w:t xml:space="preserve">.资金来源：</w:t>
      </w:r>
      <w:r>
        <w:rPr>
          <w:rFonts w:ascii="宋体" w:hAnsi="宋体" w:eastAsia="宋体" w:cs="Times New Roman"/>
          <w:szCs w:val="21"/>
          <w:highlight w:val="none"/>
          <w:u w:val="single"/>
        </w:rPr>
        <w:t xml:space="preserve">财政</w:t>
      </w:r>
      <w:r>
        <w:rPr>
          <w:rFonts w:ascii="宋体" w:hAnsi="宋体" w:eastAsia="宋体" w:cs="宋体"/>
          <w:bCs/>
          <w:szCs w:val="21"/>
          <w:highlight w:val="none"/>
        </w:rPr>
      </w:r>
      <w:r/>
    </w:p>
    <w:p>
      <w:pPr>
        <w:pStyle w:val="1035"/>
        <w:ind w:firstLine="420"/>
        <w:spacing w:line="360" w:lineRule="auto"/>
        <w:widowControl/>
        <w:rPr>
          <w:rFonts w:ascii="宋体" w:hAnsi="宋体" w:eastAsia="宋体" w:cs="Times New Roman"/>
          <w:bCs/>
          <w:szCs w:val="21"/>
          <w:highlight w:val="none"/>
        </w:rPr>
      </w:pPr>
      <w:r>
        <w:rPr>
          <w:rFonts w:hint="eastAsia" w:ascii="宋体" w:hAnsi="宋体" w:eastAsia="宋体" w:cs="宋体"/>
          <w:bCs/>
          <w:szCs w:val="21"/>
          <w:highlight w:val="none"/>
        </w:rPr>
        <w:t xml:space="preserve">4</w:t>
      </w:r>
      <w:r>
        <w:rPr>
          <w:rFonts w:ascii="宋体" w:hAnsi="宋体" w:eastAsia="宋体" w:cs="宋体"/>
          <w:bCs/>
          <w:szCs w:val="21"/>
          <w:highlight w:val="none"/>
        </w:rPr>
        <w:t xml:space="preserve">.工程内容：</w:t>
      </w:r>
      <w:r>
        <w:rPr>
          <w:rFonts w:ascii="宋体" w:hAnsi="宋体" w:eastAsia="宋体" w:cs="Times New Roman"/>
          <w:b/>
          <w:szCs w:val="21"/>
          <w:highlight w:val="none"/>
          <w:u w:val="single"/>
        </w:rPr>
        <w:t xml:space="preserve">具体详见工程量清单</w:t>
      </w:r>
      <w:r>
        <w:rPr>
          <w:rFonts w:ascii="宋体" w:hAnsi="宋体" w:eastAsia="宋体" w:cs="Times New Roman"/>
          <w:bCs/>
          <w:szCs w:val="21"/>
          <w:highlight w:val="none"/>
        </w:rPr>
        <w:t xml:space="preserve">。</w:t>
      </w:r>
      <w:r>
        <w:rPr>
          <w:rFonts w:ascii="宋体" w:hAnsi="宋体" w:eastAsia="宋体" w:cs="Times New Roman"/>
          <w:bCs/>
          <w:szCs w:val="21"/>
          <w:highlight w:val="none"/>
        </w:rPr>
      </w:r>
      <w:r/>
    </w:p>
    <w:p>
      <w:pPr>
        <w:pStyle w:val="1035"/>
        <w:ind w:firstLine="420"/>
        <w:spacing w:line="360" w:lineRule="auto"/>
        <w:widowControl/>
        <w:rPr>
          <w:rFonts w:ascii="宋体" w:hAnsi="宋体" w:eastAsia="宋体" w:cs="宋体"/>
          <w:bCs/>
          <w:szCs w:val="21"/>
          <w:highlight w:val="none"/>
        </w:rPr>
      </w:pPr>
      <w:r>
        <w:rPr>
          <w:rFonts w:ascii="宋体" w:hAnsi="宋体" w:eastAsia="宋体" w:cs="Times New Roman"/>
          <w:szCs w:val="21"/>
          <w:highlight w:val="none"/>
        </w:rPr>
        <w:t xml:space="preserve">群体工程应附《承包人承揽工程项目一览表》（附件1）。</w:t>
      </w:r>
      <w:r>
        <w:rPr>
          <w:rFonts w:ascii="宋体" w:hAnsi="宋体" w:eastAsia="宋体" w:cs="宋体"/>
          <w:bCs/>
          <w:szCs w:val="21"/>
          <w:highlight w:val="non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bCs/>
          <w:szCs w:val="21"/>
          <w:highlight w:val="none"/>
        </w:rPr>
        <w:t xml:space="preserve">5</w:t>
      </w:r>
      <w:r>
        <w:rPr>
          <w:rFonts w:ascii="宋体" w:hAnsi="宋体" w:eastAsia="宋体" w:cs="宋体"/>
          <w:bCs/>
          <w:szCs w:val="21"/>
          <w:highlight w:val="none"/>
        </w:rPr>
        <w:t xml:space="preserve">.工程承包范围：</w:t>
      </w:r>
      <w:r>
        <w:rPr>
          <w:rFonts w:ascii="宋体" w:hAnsi="宋体" w:eastAsia="宋体" w:cs="Times New Roman"/>
          <w:szCs w:val="21"/>
          <w:highlight w:val="none"/>
          <w:u w:val="single"/>
        </w:rPr>
        <w:t xml:space="preserve">具体详见工程量清单及设计图纸。</w:t>
      </w:r>
      <w:r>
        <w:rPr>
          <w:rFonts w:ascii="宋体" w:hAnsi="宋体" w:eastAsia="宋体" w:cs="宋体"/>
          <w:bCs/>
          <w:szCs w:val="21"/>
          <w:highlight w:val="none"/>
        </w:rPr>
      </w:r>
      <w:r/>
    </w:p>
    <w:p>
      <w:pPr>
        <w:pStyle w:val="1035"/>
        <w:spacing w:line="360" w:lineRule="auto"/>
        <w:widowControl/>
        <w:rPr>
          <w:rFonts w:ascii="宋体" w:hAnsi="宋体" w:eastAsia="宋体" w:cs="宋体"/>
          <w:bCs/>
          <w:szCs w:val="21"/>
          <w:highlight w:val="none"/>
        </w:rPr>
      </w:pPr>
      <w:r>
        <w:rPr>
          <w:rFonts w:ascii="宋体" w:hAnsi="宋体" w:eastAsia="宋体" w:cs="Times New Roman"/>
          <w:szCs w:val="21"/>
          <w:highlight w:val="none"/>
        </w:rPr>
        <w:t xml:space="preserve">二、合同工期</w:t>
      </w:r>
      <w:r>
        <w:rPr>
          <w:rFonts w:ascii="宋体" w:hAnsi="宋体" w:eastAsia="宋体" w:cs="宋体"/>
          <w:bCs/>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计划开工日期：</w:t>
      </w:r>
      <w:r>
        <w:rPr>
          <w:rFonts w:ascii="宋体" w:hAnsi="宋体" w:eastAsia="宋体" w:cs="Times New Roman"/>
          <w:szCs w:val="21"/>
          <w:highlight w:val="none"/>
          <w:u w:val="single"/>
        </w:rPr>
        <w:t xml:space="preserve">202</w:t>
      </w:r>
      <w:r>
        <w:rPr>
          <w:rFonts w:hint="eastAsia" w:ascii="宋体" w:hAnsi="宋体" w:eastAsia="宋体" w:cs="Times New Roman"/>
          <w:szCs w:val="21"/>
          <w:highlight w:val="none"/>
          <w:u w:val="single"/>
          <w:lang w:val="en-US" w:eastAsia="zh-CN"/>
        </w:rPr>
        <w:t xml:space="preserve">6</w:t>
      </w:r>
      <w:r>
        <w:rPr>
          <w:rFonts w:ascii="宋体" w:hAnsi="宋体" w:eastAsia="宋体" w:cs="Times New Roman"/>
          <w:szCs w:val="21"/>
          <w:highlight w:val="none"/>
          <w:u w:val="single"/>
        </w:rPr>
        <w:t xml:space="preserve">年   月  </w:t>
      </w:r>
      <w:r>
        <w:rPr>
          <w:rFonts w:ascii="宋体" w:hAnsi="宋体" w:eastAsia="宋体" w:cs="Times New Roman"/>
          <w:szCs w:val="21"/>
          <w:highlight w:val="none"/>
        </w:rPr>
        <w:t xml:space="preserve">日。（具体以发包人及监理批复的正式开工报告为准）</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计划竣工日期：</w:t>
      </w:r>
      <w:r>
        <w:rPr>
          <w:rFonts w:ascii="宋体" w:hAnsi="宋体" w:eastAsia="宋体" w:cs="Times New Roman"/>
          <w:szCs w:val="21"/>
          <w:highlight w:val="none"/>
          <w:u w:val="single"/>
        </w:rPr>
        <w:t xml:space="preserve">2026</w:t>
      </w:r>
      <w:r>
        <w:rPr>
          <w:rFonts w:ascii="宋体" w:hAnsi="宋体" w:eastAsia="宋体" w:cs="Times New Roman"/>
          <w:szCs w:val="21"/>
          <w:highlight w:val="none"/>
        </w:rPr>
        <w:t xml:space="preserve">年</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月</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日。</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工期：</w:t>
      </w:r>
      <w:r>
        <w:rPr>
          <w:rFonts w:hint="eastAsia" w:ascii="宋体" w:hAnsi="宋体" w:eastAsia="宋体" w:cs="宋体"/>
          <w:szCs w:val="21"/>
          <w:highlight w:val="none"/>
          <w:lang w:val="en-US" w:eastAsia="zh-CN"/>
        </w:rPr>
        <w:t xml:space="preserve">93</w:t>
      </w:r>
      <w:r>
        <w:rPr>
          <w:rFonts w:hint="eastAsia" w:ascii="宋体" w:hAnsi="宋体" w:eastAsia="宋体" w:cs="宋体"/>
          <w:szCs w:val="21"/>
          <w:highlight w:val="none"/>
        </w:rPr>
        <w:t xml:space="preserve">日历天。</w:t>
      </w:r>
      <w:r>
        <w:rPr>
          <w:rFonts w:ascii="宋体" w:hAnsi="宋体" w:eastAsia="宋体" w:cs="Times New Roman"/>
          <w:szCs w:val="21"/>
          <w:highlight w:val="none"/>
        </w:rPr>
        <w:t xml:space="preserve">自监理人发出的开工通知中载明的开工日期起算。具体进场施工时间以发包人的通知为准，承包人在接到发包人的书面通知后三日内必须进场施工。发包人有权根据工程实施情况适时调整开、竣工日期及节点工期，承包人应无条件满足发包人的要求，费用不予调整。工期总日历天数与根据前述计划开竣工日期计算的工期天数不一致的，以工期总日历天数为准。</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三、质量标准</w:t>
      </w:r>
      <w:r>
        <w:rPr>
          <w:rFonts w:ascii="宋体" w:hAnsi="宋体" w:eastAsia="宋体" w:cs="Times New Roman"/>
          <w:szCs w:val="21"/>
          <w:highlight w:val="none"/>
        </w:rPr>
      </w:r>
      <w:r/>
    </w:p>
    <w:p>
      <w:pPr>
        <w:pStyle w:val="1035"/>
        <w:ind w:firstLine="459"/>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工程质量符合</w:t>
      </w:r>
      <w:r>
        <w:rPr>
          <w:rFonts w:ascii="宋体" w:hAnsi="宋体" w:eastAsia="宋体" w:cs="Times New Roman"/>
          <w:szCs w:val="21"/>
          <w:highlight w:val="none"/>
          <w:u w:val="single"/>
        </w:rPr>
        <w:t xml:space="preserve">  合格   </w:t>
      </w:r>
      <w:r>
        <w:rPr>
          <w:rFonts w:ascii="宋体" w:hAnsi="宋体" w:eastAsia="宋体" w:cs="Times New Roman"/>
          <w:szCs w:val="21"/>
          <w:highlight w:val="none"/>
        </w:rPr>
        <w:t xml:space="preserve">标准。</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四、签约合同价与合同价格形式</w:t>
      </w:r>
      <w:r>
        <w:rPr>
          <w:rFonts w:ascii="宋体" w:hAnsi="宋体" w:eastAsia="宋体" w:cs="Times New Roman"/>
          <w:szCs w:val="24"/>
          <w:highlight w:val="none"/>
        </w:rPr>
        <w:tab/>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1.签约合同价为：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人民币（大写）</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元)；合同价包括但不限于分部分项费、措施项目费、其他项目费、规费、税金等各项费用。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2.合同价格形式：</w:t>
      </w:r>
      <w:r>
        <w:rPr>
          <w:rFonts w:ascii="宋体" w:hAnsi="宋体" w:eastAsia="宋体" w:cs="Times New Roman"/>
          <w:szCs w:val="21"/>
          <w:highlight w:val="none"/>
          <w:u w:val="single"/>
        </w:rPr>
        <w:t xml:space="preserve"> 固定单价合同</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2"/>
        <w:spacing w:line="360" w:lineRule="auto"/>
        <w:widowControl/>
        <w:rPr>
          <w:rFonts w:ascii="宋体" w:hAnsi="宋体" w:eastAsia="宋体" w:cs="宋体"/>
          <w:b/>
          <w:bCs/>
          <w:szCs w:val="21"/>
          <w:highlight w:val="none"/>
        </w:rPr>
      </w:pPr>
      <w:r>
        <w:rPr>
          <w:rFonts w:ascii="宋体" w:hAnsi="宋体" w:eastAsia="宋体" w:cs="宋体"/>
          <w:b/>
          <w:bCs/>
          <w:szCs w:val="21"/>
          <w:highlight w:val="none"/>
        </w:rPr>
        <w:t xml:space="preserve">注：</w:t>
      </w:r>
      <w:r>
        <w:rPr>
          <w:rFonts w:ascii="宋体" w:hAnsi="宋体" w:eastAsia="宋体" w:cs="宋体"/>
          <w:b/>
          <w:bCs/>
          <w:szCs w:val="21"/>
          <w:highlight w:val="none"/>
        </w:rPr>
      </w:r>
      <w:r/>
    </w:p>
    <w:p>
      <w:pPr>
        <w:pStyle w:val="1035"/>
        <w:numPr>
          <w:ilvl w:val="0"/>
          <w:numId w:val="20"/>
        </w:numPr>
        <w:ind w:firstLine="422"/>
        <w:spacing w:line="360" w:lineRule="auto"/>
        <w:widowControl/>
        <w:rPr>
          <w:rFonts w:ascii="宋体" w:hAnsi="宋体" w:eastAsia="宋体" w:cs="宋体"/>
          <w:b/>
          <w:bCs/>
          <w:szCs w:val="21"/>
          <w:highlight w:val="none"/>
        </w:rPr>
      </w:pPr>
      <w:r>
        <w:rPr>
          <w:rFonts w:ascii="宋体" w:hAnsi="宋体" w:eastAsia="宋体" w:cs="宋体"/>
          <w:b/>
          <w:bCs/>
          <w:szCs w:val="21"/>
          <w:highlight w:val="none"/>
        </w:rPr>
        <w:t xml:space="preserve">变更</w:t>
      </w:r>
      <w:r>
        <w:rPr>
          <w:rFonts w:hint="eastAsia" w:ascii="宋体" w:hAnsi="宋体" w:eastAsia="宋体" w:cs="宋体"/>
          <w:b/>
          <w:bCs/>
          <w:szCs w:val="21"/>
          <w:highlight w:val="none"/>
        </w:rPr>
        <w:t xml:space="preserve">按</w:t>
      </w:r>
      <w:r>
        <w:rPr>
          <w:rFonts w:ascii="宋体" w:hAnsi="宋体" w:eastAsia="宋体" w:cs="宋体"/>
          <w:b/>
          <w:bCs/>
          <w:szCs w:val="21"/>
          <w:highlight w:val="none"/>
        </w:rPr>
        <w:t xml:space="preserve">《苏州市相城区区级政府投资建设工程变更备案管理实施细则》（相政发（2019）8号）</w:t>
      </w:r>
      <w:r>
        <w:rPr>
          <w:rFonts w:hint="eastAsia" w:ascii="宋体" w:hAnsi="宋体" w:eastAsia="宋体" w:cs="宋体"/>
          <w:b/>
          <w:bCs/>
          <w:szCs w:val="21"/>
          <w:highlight w:val="none"/>
        </w:rPr>
        <w:t xml:space="preserve">及苏州相城经济开发区相关文件执行</w:t>
      </w:r>
      <w:r>
        <w:rPr>
          <w:rFonts w:ascii="宋体" w:hAnsi="宋体" w:eastAsia="宋体" w:cs="宋体"/>
          <w:b/>
          <w:bCs/>
          <w:szCs w:val="21"/>
          <w:highlight w:val="none"/>
        </w:rPr>
        <w:t xml:space="preserve">。</w:t>
      </w:r>
      <w:r>
        <w:rPr>
          <w:rFonts w:ascii="宋体" w:hAnsi="宋体" w:eastAsia="宋体" w:cs="宋体"/>
          <w:b/>
          <w:bCs/>
          <w:szCs w:val="21"/>
          <w:highlight w:val="none"/>
        </w:rPr>
      </w:r>
      <w:r/>
    </w:p>
    <w:p>
      <w:pPr>
        <w:pStyle w:val="1035"/>
        <w:numPr>
          <w:ilvl w:val="0"/>
          <w:numId w:val="21"/>
        </w:numPr>
        <w:ind w:firstLine="422"/>
        <w:spacing w:line="360" w:lineRule="auto"/>
        <w:widowControl/>
        <w:rPr>
          <w:rFonts w:ascii="宋体" w:hAnsi="宋体" w:eastAsia="宋体" w:cs="宋体"/>
          <w:b/>
          <w:bCs/>
          <w:szCs w:val="21"/>
          <w:highlight w:val="none"/>
        </w:rPr>
      </w:pPr>
      <w:r>
        <w:rPr>
          <w:rFonts w:ascii="宋体" w:hAnsi="宋体" w:eastAsia="宋体" w:cs="宋体"/>
          <w:b/>
          <w:bCs/>
          <w:szCs w:val="21"/>
          <w:highlight w:val="none"/>
        </w:rPr>
        <w:t xml:space="preserve">变更后的追加费用不得超过原合同金额的10%，超过部分财政部门不再安排</w:t>
      </w:r>
      <w:r>
        <w:rPr>
          <w:rFonts w:ascii="宋体" w:hAnsi="宋体" w:eastAsia="宋体" w:cs="Times New Roman"/>
          <w:b/>
          <w:szCs w:val="21"/>
          <w:highlight w:val="none"/>
        </w:rPr>
        <w:t xml:space="preserve">资金。</w:t>
      </w:r>
      <w:r>
        <w:rPr>
          <w:rFonts w:ascii="宋体" w:hAnsi="宋体" w:eastAsia="宋体" w:cs="宋体"/>
          <w:b/>
          <w:bCs/>
          <w:szCs w:val="21"/>
          <w:highlight w:val="none"/>
        </w:rPr>
      </w:r>
      <w:r/>
    </w:p>
    <w:p>
      <w:pPr>
        <w:pStyle w:val="1035"/>
        <w:numPr>
          <w:ilvl w:val="0"/>
          <w:numId w:val="0"/>
        </w:numPr>
        <w:contextualSpacing/>
        <w:ind w:firstLine="422"/>
        <w:jc w:val="both"/>
        <w:spacing w:line="480" w:lineRule="exact"/>
        <w:widowControl w:val="off"/>
        <w:rPr>
          <w:rFonts w:ascii="Calibri" w:hAnsi="Calibri" w:eastAsia="宋体" w:cs="Times New Roman"/>
          <w:highlight w:val="none"/>
        </w:rPr>
      </w:pPr>
      <w:r>
        <w:rPr>
          <w:rFonts w:hint="eastAsia" w:ascii="宋体" w:hAnsi="宋体" w:eastAsia="宋体" w:cs="宋体"/>
          <w:b/>
          <w:bCs/>
          <w:sz w:val="21"/>
          <w:szCs w:val="21"/>
          <w:highlight w:val="none"/>
          <w:lang w:val="en-US" w:eastAsia="zh-CN" w:bidi="ar-SA"/>
        </w:rPr>
        <w:t xml:space="preserve">（3）本工程追加费用不得超过原合同金额的10%；原合同金额10%以内的追加费用，限于原合同内工程清单数量调整增加的工程费用，原合同外工程内容不得计入。</w:t>
      </w:r>
      <w:r>
        <w:rPr>
          <w:rFonts w:ascii="Calibri" w:hAnsi="Calibri" w:eastAsia="宋体" w:cs="Times New Roman"/>
          <w:highlight w:val="none"/>
        </w:rPr>
      </w:r>
      <w:r/>
    </w:p>
    <w:p>
      <w:pPr>
        <w:pStyle w:val="1035"/>
        <w:ind w:firstLine="420"/>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付款方式：</w:t>
      </w:r>
      <w:r>
        <w:rPr>
          <w:rFonts w:ascii="宋体" w:hAnsi="宋体" w:eastAsia="宋体" w:cs="宋体"/>
          <w:bCs/>
          <w:szCs w:val="21"/>
          <w:highlight w:val="none"/>
        </w:rPr>
      </w:r>
      <w:r/>
    </w:p>
    <w:p>
      <w:pPr>
        <w:pStyle w:val="1035"/>
        <w:ind w:firstLine="420"/>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甲方向乙方支付合同金额的10%作为预付款（如乙方明确说明不需预付款的，甲方不予支付）。</w:t>
      </w:r>
      <w:r>
        <w:rPr>
          <w:rFonts w:hint="eastAsia" w:ascii="宋体" w:hAnsi="宋体" w:eastAsia="宋体" w:cs="宋体"/>
          <w:bCs/>
          <w:szCs w:val="21"/>
          <w:highlight w:val="non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bCs/>
          <w:szCs w:val="21"/>
          <w:highlight w:val="none"/>
        </w:rPr>
        <w:t xml:space="preserve">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w:t>
      </w:r>
      <w:r>
        <w:rPr>
          <w:rFonts w:ascii="宋体" w:hAnsi="宋体" w:eastAsia="宋体" w:cs="宋体"/>
          <w:bCs/>
          <w:szCs w:val="21"/>
          <w:highlight w:val="none"/>
        </w:rPr>
      </w:r>
      <w:r/>
    </w:p>
    <w:p>
      <w:pPr>
        <w:pStyle w:val="1035"/>
        <w:ind w:firstLine="420"/>
        <w:spacing w:line="360" w:lineRule="auto"/>
        <w:widowControl/>
        <w:rPr>
          <w:rFonts w:ascii="宋体" w:hAnsi="宋体" w:eastAsia="宋体" w:cs="宋体"/>
          <w:bCs/>
          <w:szCs w:val="21"/>
          <w:highlight w:val="none"/>
        </w:rPr>
      </w:pPr>
      <w:r>
        <w:rPr>
          <w:rFonts w:ascii="宋体" w:hAnsi="宋体" w:eastAsia="宋体" w:cs="Times New Roman"/>
          <w:szCs w:val="21"/>
          <w:highlight w:val="none"/>
        </w:rPr>
        <w:t xml:space="preserve">五、项目经理</w:t>
      </w:r>
      <w:r>
        <w:rPr>
          <w:rFonts w:ascii="宋体" w:hAnsi="宋体" w:eastAsia="宋体" w:cs="宋体"/>
          <w:bCs/>
          <w:szCs w:val="21"/>
          <w:highlight w:val="none"/>
        </w:rPr>
      </w:r>
      <w:r/>
    </w:p>
    <w:p>
      <w:pPr>
        <w:pStyle w:val="1035"/>
        <w:ind w:left="420"/>
        <w:spacing w:after="120"/>
        <w:widowControl/>
        <w:rPr>
          <w:rFonts w:ascii="Times New Roman" w:hAnsi="Times New Roman" w:eastAsia="宋体" w:cs="Times New Roman"/>
          <w:szCs w:val="24"/>
          <w:highlight w:val="none"/>
        </w:rPr>
      </w:pPr>
      <w:r>
        <w:rPr>
          <w:rFonts w:ascii="宋体" w:hAnsi="宋体" w:eastAsia="宋体" w:cs="Times New Roman"/>
          <w:szCs w:val="21"/>
          <w:highlight w:val="none"/>
        </w:rPr>
        <w:t xml:space="preserve">承包人项目经理：</w:t>
      </w:r>
      <w:r>
        <w:rPr>
          <w:rFonts w:ascii="Times New Roman" w:hAnsi="Times New Roman" w:eastAsia="宋体" w:cs="Times New Roman"/>
          <w:szCs w:val="24"/>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六、合同文件构成</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本协议书与下列文件一起构成合同文件：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（1）中标通知书（如果有）；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（2）投标函及其附录（如果有）；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（3）专用合同条款及其附件；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（4）通用合同条款；</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（5）技术标准和要求；</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（6）图纸；</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（7）已标价工程量清单；</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（8）其他合同文件。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在合同订立及履行过程中形成的与合同有关的文件均构成合同文件组成部分。</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上述各项合同文件包括合同当事人就该项合同文件所作出的补充和修改，属于同一类内容的文件，应以最新签署的为准。 </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七、承诺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1.发包人承诺按照法律规定履行项目审批手续、筹集工程建设资金并按照合同约定的期限和方式支付合同价款。</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3.发包人和承包人通过招投标形式签订合同的，双方理解并承诺不再就同一工程另行签订与合同实质性内容相背离的协议。</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八、词语含义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本协议书中词语含义与第二部分通用合同条款中赋予的含义相同。</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九、签订时间</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本合同于   年   月   日签订。</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十、签订地点</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本合同在 苏州市相城区 签订。</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十一、补充协议</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合同未尽事宜，合同当事人另行签订补充协议，补充协议是合同的组成部分。</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十二、合同生效</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本合同自合同双方签字盖章之日起生效。</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十三、合同份数</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本合同一式8份，均具有同等法律效力，发包人执4份，承包人执2份，代理机构执2份。</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发包人：  (公章)                 承包人：  (公章)</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法定代表人或其委托代理人：      法定代表人或其委托代理人：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（签字）                       （签字）</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组织机构代码：                   组织机构代码：</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地  址：                         地  址：</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邮政编码：                       邮政编码：</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法定代表人：                     法定代表人：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委托代理人：                     委托代理人：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电  话：                     </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电  话：</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传  真：                     </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传  真：</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电子信箱：                       电子信箱：</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开户银行：                   </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开户银行：</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账  号：                    </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   账 号：</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jc w:val="center"/>
        <w:keepLines/>
        <w:spacing w:before="60" w:after="60" w:line="360" w:lineRule="auto"/>
        <w:widowControl/>
        <w:rPr>
          <w:rFonts w:ascii="Arial" w:hAnsi="Arial" w:eastAsia="黑体" w:cs="Times New Roman"/>
          <w:b/>
          <w:bCs/>
          <w:sz w:val="28"/>
          <w:szCs w:val="28"/>
          <w:highlight w:val="none"/>
        </w:rPr>
      </w:pPr>
      <w:r>
        <w:rPr>
          <w:rFonts w:ascii="Arial" w:hAnsi="Arial" w:eastAsia="黑体" w:cs="Times New Roman"/>
          <w:b/>
          <w:bCs/>
          <w:sz w:val="28"/>
          <w:szCs w:val="28"/>
          <w:highlight w:val="none"/>
        </w:rPr>
        <w:br w:type="page" w:clear="all"/>
      </w:r>
      <w:r>
        <w:rPr>
          <w:rFonts w:ascii="Arial" w:hAnsi="Arial" w:eastAsia="黑体" w:cs="Times New Roman"/>
          <w:b/>
          <w:bCs/>
          <w:sz w:val="28"/>
          <w:szCs w:val="28"/>
          <w:highlight w:val="none"/>
        </w:rPr>
        <w:t xml:space="preserve">第二部分  通用条款</w:t>
      </w:r>
      <w:r>
        <w:rPr>
          <w:rFonts w:ascii="Arial" w:hAnsi="Arial" w:eastAsia="黑体" w:cs="Times New Roman"/>
          <w:b/>
          <w:bCs/>
          <w:sz w:val="28"/>
          <w:szCs w:val="28"/>
          <w:highlight w:val="none"/>
        </w:rPr>
      </w:r>
      <w:r/>
    </w:p>
    <w:p>
      <w:pPr>
        <w:pStyle w:val="1035"/>
        <w:ind w:firstLine="480"/>
        <w:jc w:val="left"/>
        <w:spacing w:line="360" w:lineRule="auto"/>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参照住建部、国家工商行政管理局《建设工程施工合同（示范文本）》（GF-2017-0201）第二部分。</w:t>
      </w:r>
      <w:r>
        <w:rPr>
          <w:rFonts w:ascii="宋体" w:hAnsi="宋体" w:eastAsia="宋体" w:cs="Times New Roman"/>
          <w:sz w:val="24"/>
          <w:szCs w:val="24"/>
          <w:highlight w:val="none"/>
        </w:rPr>
      </w:r>
      <w:r/>
    </w:p>
    <w:p>
      <w:pPr>
        <w:pStyle w:val="1035"/>
        <w:jc w:val="center"/>
        <w:keepLines/>
        <w:spacing w:before="60" w:after="60" w:line="360" w:lineRule="auto"/>
        <w:widowControl/>
        <w:rPr>
          <w:rFonts w:ascii="Arial" w:hAnsi="Arial" w:eastAsia="黑体" w:cs="Times New Roman"/>
          <w:b/>
          <w:bCs/>
          <w:sz w:val="28"/>
          <w:szCs w:val="28"/>
          <w:highlight w:val="none"/>
        </w:rPr>
      </w:pPr>
      <w:r>
        <w:rPr>
          <w:rFonts w:ascii="Arial" w:hAnsi="Arial" w:eastAsia="黑体" w:cs="Times New Roman"/>
          <w:b/>
          <w:bCs/>
          <w:sz w:val="28"/>
          <w:szCs w:val="28"/>
          <w:highlight w:val="none"/>
        </w:rPr>
        <w:t xml:space="preserve">第三部分  专用合同条款</w:t>
      </w:r>
      <w:r>
        <w:rPr>
          <w:rFonts w:ascii="Arial" w:hAnsi="Arial" w:eastAsia="黑体" w:cs="Times New Roman"/>
          <w:b/>
          <w:bCs/>
          <w:sz w:val="28"/>
          <w:szCs w:val="28"/>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 一般约定</w:t>
      </w:r>
      <w:r>
        <w:rPr>
          <w:rFonts w:ascii="宋体" w:hAnsi="宋体" w:eastAsia="宋体" w:cs="宋体"/>
          <w:b/>
          <w:color w:val="000000"/>
          <w:sz w:val="24"/>
          <w:szCs w:val="24"/>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1.1 词语定义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1.1.1合同</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1.1.1.10其他合同文件包括：</w:t>
      </w:r>
      <w:r>
        <w:rPr>
          <w:rFonts w:hint="eastAsia" w:ascii="宋体" w:hAnsi="宋体" w:eastAsia="宋体" w:cs="Times New Roman"/>
          <w:szCs w:val="21"/>
          <w:highlight w:val="none"/>
          <w:u w:val="single"/>
        </w:rPr>
        <w:t xml:space="preserve">成交通知书、  招标控制价、工程量清单、磋商文件、磋商响应文件，以及在履行合同过程中，双方具有相应权限的管理人员书面确认的对合同内容有实质性影响的会议纪要、签证、设计变更等资料  </w:t>
      </w:r>
      <w:r>
        <w:rPr>
          <w:rFonts w:ascii="宋体" w:hAnsi="宋体" w:eastAsia="宋体" w:cs="Times New Roman"/>
          <w:szCs w:val="21"/>
          <w:highlight w:val="none"/>
          <w:u w:val="single"/>
        </w:rPr>
        <w:t xml:space="preserve"> 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1.1.2 合同当事人及其他相关方</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1.1.2.4监理人：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名    称：</w:t>
      </w:r>
      <w:r>
        <w:rPr>
          <w:rFonts w:hint="eastAsia" w:ascii="宋体" w:hAnsi="宋体" w:eastAsia="宋体" w:cs="Times New Roman"/>
          <w:szCs w:val="21"/>
          <w:highlight w:val="none"/>
          <w:u w:val="single"/>
        </w:rPr>
        <w:t xml:space="preserve"> 与监理一致</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资质类别和等级：</w:t>
      </w:r>
      <w:r>
        <w:rPr>
          <w:rFonts w:hint="eastAsia" w:ascii="宋体" w:hAnsi="宋体" w:eastAsia="宋体" w:cs="Times New Roman"/>
          <w:szCs w:val="21"/>
          <w:highlight w:val="none"/>
          <w:u w:val="single"/>
        </w:rPr>
        <w:t xml:space="preserve">                                     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联系电话：</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电子信箱：</w:t>
      </w:r>
      <w:r>
        <w:rPr>
          <w:rFonts w:hint="eastAsia" w:ascii="宋体" w:hAnsi="宋体" w:eastAsia="宋体" w:cs="Times New Roman"/>
          <w:szCs w:val="21"/>
          <w:highlight w:val="none"/>
          <w:u w:val="single"/>
        </w:rPr>
        <w:t xml:space="preserve">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通信地址：                            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1.1.2.5 设计人：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名    称：</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资质类别和等级：</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联系电话：</w:t>
      </w:r>
      <w:r>
        <w:rPr>
          <w:rFonts w:hint="eastAsia" w:ascii="宋体" w:hAnsi="宋体" w:eastAsia="宋体" w:cs="Times New Roman"/>
          <w:szCs w:val="21"/>
          <w:highlight w:val="none"/>
          <w:u w:val="single"/>
        </w:rPr>
        <w:t xml:space="preserve">                            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电子信箱：</w:t>
      </w:r>
      <w:r>
        <w:rPr>
          <w:rFonts w:hint="eastAsia" w:ascii="宋体" w:hAnsi="宋体" w:eastAsia="宋体" w:cs="Times New Roman"/>
          <w:szCs w:val="21"/>
          <w:highlight w:val="none"/>
          <w:u w:val="single"/>
        </w:rPr>
        <w:t xml:space="preserve">                                                 </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通信地址：</w:t>
      </w:r>
      <w:r>
        <w:rPr>
          <w:rFonts w:hint="eastAsia" w:ascii="宋体" w:hAnsi="宋体" w:eastAsia="宋体" w:cs="Times New Roman"/>
          <w:szCs w:val="21"/>
          <w:highlight w:val="none"/>
          <w:u w:val="single"/>
        </w:rPr>
        <w:t xml:space="preserve">                                                   </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1.1.3 工程和设备</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1.1.3.7 作为施工现场组成部分的其他场所包括：</w:t>
      </w:r>
      <w:r>
        <w:rPr>
          <w:rFonts w:hint="eastAsia" w:ascii="宋体" w:hAnsi="宋体" w:eastAsia="宋体" w:cs="Times New Roman"/>
          <w:szCs w:val="21"/>
          <w:highlight w:val="none"/>
          <w:u w:val="single"/>
        </w:rPr>
        <w:t xml:space="preserve">按工程实际所需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1.1.3.9 永久占地包括： </w:t>
      </w:r>
      <w:r>
        <w:rPr>
          <w:rFonts w:hint="eastAsia" w:ascii="宋体" w:hAnsi="宋体" w:eastAsia="宋体" w:cs="Times New Roman"/>
          <w:szCs w:val="21"/>
          <w:highlight w:val="none"/>
          <w:u w:val="single"/>
        </w:rPr>
        <w:t xml:space="preserve">  按工程实际所需 </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1.1.3.10 临时占地包括： </w:t>
      </w:r>
      <w:r>
        <w:rPr>
          <w:rFonts w:hint="eastAsia" w:ascii="宋体" w:hAnsi="宋体" w:eastAsia="宋体" w:cs="Times New Roman"/>
          <w:szCs w:val="21"/>
          <w:highlight w:val="none"/>
          <w:u w:val="single"/>
        </w:rPr>
        <w:t xml:space="preserve">  按工程实际所需</w:t>
      </w:r>
      <w:r>
        <w:rPr>
          <w:rFonts w:hint="eastAsia" w:ascii="宋体" w:hAnsi="宋体" w:eastAsia="宋体" w:cs="Times New Roman"/>
          <w:szCs w:val="21"/>
          <w:highlight w:val="non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1.2法律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适用于合同的其他规范性文件：</w:t>
      </w:r>
      <w:r>
        <w:rPr>
          <w:rFonts w:hint="eastAsia" w:ascii="宋体" w:hAnsi="宋体" w:eastAsia="宋体" w:cs="Times New Roman"/>
          <w:szCs w:val="21"/>
          <w:highlight w:val="none"/>
          <w:u w:val="single"/>
        </w:rPr>
        <w:t xml:space="preserve">《中华人民共和国民法典》、《中华人民共和国建筑法》、《建设工程质量管理条例》、《中华人民共和国招标投标法》、 《工程建设项目施工招标投标办法》（七部委30号令）、《江苏省工程建设管理条例》、《建设工程施工发包与承包价格管理暂行规定》、现行《工程量清单计价规范》、其他法律法规以及江苏省和苏州市行业主管部门颁布的相关文件规定，如地方法规与国家法规相抵触，按国家法规执行</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1.3 合同文件的优先顺序</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合同文件组成及优先顺序为：（1）合同协议书；（2）成交通知书、（3）专用合同条款及其附件；（4）通用合同条款；（5）技术标准和要求；（6）图纸（如有）；（7）磋商文件（8）磋商响应文件及已标价工程量清单；（9）其他合同文件。</w:t>
      </w:r>
      <w:r>
        <w:rPr>
          <w:rFonts w:ascii="宋体" w:hAnsi="宋体" w:eastAsia="宋体" w:cs="Times New Roman"/>
          <w:szCs w:val="21"/>
          <w:highlight w:val="none"/>
        </w:rPr>
      </w:r>
      <w:r/>
    </w:p>
    <w:p>
      <w:pPr>
        <w:pStyle w:val="1035"/>
        <w:ind w:firstLine="420"/>
        <w:spacing w:after="120" w:line="360" w:lineRule="auto"/>
        <w:rPr>
          <w:rFonts w:ascii="Times New Roman" w:hAnsi="Times New Roman" w:eastAsia="宋体" w:cs="Times New Roman"/>
          <w:szCs w:val="24"/>
          <w:highlight w:val="none"/>
        </w:rPr>
      </w:pPr>
      <w:r>
        <w:rPr>
          <w:rFonts w:hint="eastAsia" w:ascii="Times New Roman" w:hAnsi="Times New Roman" w:eastAsia="宋体" w:cs="Times New Roman"/>
          <w:szCs w:val="24"/>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rPr>
          <w:rFonts w:ascii="Times New Roman" w:hAnsi="Times New Roman" w:eastAsia="宋体" w:cs="Times New Roman"/>
          <w:szCs w:val="24"/>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1.4图纸和承包人文件</w:t>
      </w:r>
      <w:r>
        <w:rPr>
          <w:rFonts w:ascii="宋体" w:hAnsi="宋体" w:eastAsia="宋体" w:cs="Times New Roman"/>
          <w:szCs w:val="24"/>
          <w:highlight w:val="none"/>
        </w:rPr>
        <w:tab/>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1.4.1 承包人文件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需要由承包人提供的文件，包括：</w:t>
      </w:r>
      <w:r>
        <w:rPr>
          <w:rFonts w:ascii="宋体" w:hAnsi="宋体" w:eastAsia="宋体" w:cs="Times New Roman"/>
          <w:szCs w:val="21"/>
          <w:highlight w:val="none"/>
          <w:u w:val="single"/>
        </w:rPr>
        <w:t xml:space="preserve">与工程实施相关的开工报审表、施工组织设计、进度计划、质量安全措施等各类资料，并符合档案管理要求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u w:val="single"/>
        </w:rPr>
      </w:pPr>
      <w:r>
        <w:rPr>
          <w:rFonts w:ascii="宋体" w:hAnsi="宋体" w:eastAsia="宋体" w:cs="Times New Roman"/>
          <w:szCs w:val="21"/>
          <w:highlight w:val="none"/>
        </w:rPr>
        <w:t xml:space="preserve">承包人提供的文件的期限为：</w:t>
      </w:r>
      <w:r>
        <w:rPr>
          <w:rFonts w:ascii="宋体" w:hAnsi="宋体" w:eastAsia="宋体" w:cs="Times New Roman"/>
          <w:szCs w:val="21"/>
          <w:highlight w:val="none"/>
          <w:u w:val="single"/>
        </w:rPr>
        <w:t xml:space="preserve">开工报审表及相关附件为合同签订二日内；</w:t>
      </w:r>
      <w:r>
        <w:rPr>
          <w:rFonts w:ascii="宋体" w:hAnsi="宋体" w:eastAsia="宋体" w:cs="Times New Roman"/>
          <w:szCs w:val="21"/>
          <w:highlight w:val="none"/>
          <w:u w:val="singl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工程量清单错误的修正</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u w:val="single"/>
        </w:rPr>
      </w:pPr>
      <w:r>
        <w:rPr>
          <w:rFonts w:ascii="宋体" w:hAnsi="宋体" w:eastAsia="宋体" w:cs="Times New Roman"/>
          <w:szCs w:val="21"/>
          <w:highlight w:val="none"/>
        </w:rPr>
        <w:t xml:space="preserve">出现工程量清单错误时，是否调整合同价格：</w:t>
      </w:r>
      <w:r>
        <w:rPr>
          <w:rFonts w:ascii="宋体" w:hAnsi="宋体" w:eastAsia="宋体" w:cs="Times New Roman"/>
          <w:szCs w:val="21"/>
          <w:highlight w:val="none"/>
          <w:u w:val="single"/>
        </w:rPr>
        <w:t xml:space="preserve">     是       </w:t>
      </w:r>
      <w:r>
        <w:rPr>
          <w:rFonts w:ascii="宋体" w:hAnsi="宋体" w:eastAsia="宋体" w:cs="Times New Roman"/>
          <w:szCs w:val="21"/>
          <w:highlight w:val="none"/>
        </w:rPr>
        <w:t xml:space="preserve">。</w:t>
      </w:r>
      <w:r>
        <w:rPr>
          <w:rFonts w:ascii="宋体" w:hAnsi="宋体" w:eastAsia="宋体" w:cs="Times New Roman"/>
          <w:szCs w:val="21"/>
          <w:highlight w:val="none"/>
          <w:u w:val="singl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1.5 施工现场、施工条件和基础资料的提供</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1.5.1 提供施工现场</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关于发包人移交施工现场的期限要求：</w:t>
      </w:r>
      <w:r>
        <w:rPr>
          <w:rFonts w:ascii="宋体" w:hAnsi="宋体" w:eastAsia="宋体" w:cs="Times New Roman"/>
          <w:szCs w:val="21"/>
          <w:highlight w:val="none"/>
          <w:u w:val="single"/>
        </w:rPr>
        <w:t xml:space="preserve">已具备施工条件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1.5.2 提供施工条件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关于发包人应负责提供施工所需要的条件，包括：</w:t>
      </w:r>
      <w:r>
        <w:rPr>
          <w:rFonts w:ascii="宋体" w:hAnsi="宋体" w:eastAsia="宋体" w:cs="Times New Roman"/>
          <w:szCs w:val="21"/>
          <w:highlight w:val="none"/>
          <w:u w:val="single"/>
        </w:rPr>
        <w:t xml:space="preserve">施工所需的水、电、电讯线路、道路均已提供，相关费用由承包人承担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keepNex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 发包人</w:t>
      </w:r>
      <w:r>
        <w:rPr>
          <w:rFonts w:ascii="宋体" w:hAnsi="宋体" w:eastAsia="宋体" w:cs="宋体"/>
          <w:b/>
          <w:sz w:val="24"/>
          <w:szCs w:val="24"/>
          <w:highlight w:val="none"/>
        </w:rPr>
      </w:r>
      <w:r/>
    </w:p>
    <w:p>
      <w:pPr>
        <w:pStyle w:val="1035"/>
        <w:ind w:firstLine="420"/>
        <w:keepNext/>
        <w:spacing w:line="360" w:lineRule="auto"/>
        <w:rPr>
          <w:rFonts w:ascii="宋体" w:hAnsi="宋体" w:eastAsia="宋体" w:cs="宋体"/>
          <w:bCs/>
          <w:szCs w:val="21"/>
          <w:highlight w:val="none"/>
        </w:rPr>
      </w:pPr>
      <w:r/>
      <w:bookmarkStart w:id="4" w:name="_Toc6753"/>
      <w:r/>
      <w:bookmarkStart w:id="5" w:name="_Toc27077"/>
      <w:r/>
      <w:bookmarkStart w:id="6" w:name="_Toc9773"/>
      <w:r/>
      <w:bookmarkStart w:id="7" w:name="_Toc2018"/>
      <w:r>
        <w:rPr>
          <w:rFonts w:hint="eastAsia" w:ascii="宋体" w:hAnsi="宋体" w:eastAsia="宋体" w:cs="宋体"/>
          <w:bCs/>
          <w:szCs w:val="21"/>
          <w:highlight w:val="none"/>
        </w:rPr>
        <w:t xml:space="preserve">2.2 发包人代表</w:t>
      </w:r>
      <w:bookmarkEnd w:id="4"/>
      <w:r/>
      <w:bookmarkEnd w:id="5"/>
      <w:r/>
      <w:bookmarkEnd w:id="6"/>
      <w:r/>
      <w:bookmarkEnd w:id="7"/>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发包人代表：</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姓    名：</w:t>
      </w:r>
      <w:r>
        <w:rPr>
          <w:rFonts w:hint="eastAsia" w:ascii="宋体" w:hAnsi="宋体" w:eastAsia="宋体" w:cs="宋体"/>
          <w:bCs/>
          <w:szCs w:val="21"/>
          <w:highlight w:val="none"/>
          <w:u w:val="single"/>
        </w:rPr>
        <w:t xml:space="preserve"> 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身份证号：</w:t>
      </w:r>
      <w:r>
        <w:rPr>
          <w:rFonts w:hint="eastAsia" w:ascii="宋体" w:hAnsi="宋体" w:eastAsia="宋体" w:cs="宋体"/>
          <w:bCs/>
          <w:szCs w:val="21"/>
          <w:highlight w:val="none"/>
          <w:u w:val="single"/>
        </w:rPr>
        <w:t xml:space="preserve"> 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职    务：</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联系电话：</w:t>
      </w:r>
      <w:r>
        <w:rPr>
          <w:rFonts w:hint="eastAsia" w:ascii="宋体" w:hAnsi="宋体" w:eastAsia="宋体" w:cs="宋体"/>
          <w:bCs/>
          <w:szCs w:val="21"/>
          <w:highlight w:val="none"/>
          <w:u w:val="single"/>
        </w:rPr>
        <w:t xml:space="preserve">   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电子信箱：</w:t>
      </w:r>
      <w:r>
        <w:rPr>
          <w:rFonts w:hint="eastAsia" w:ascii="宋体" w:hAnsi="宋体" w:eastAsia="宋体" w:cs="宋体"/>
          <w:bCs/>
          <w:szCs w:val="21"/>
          <w:highlight w:val="none"/>
          <w:u w:val="single"/>
        </w:rPr>
        <w:t xml:space="preserve">   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通信地址：</w:t>
      </w:r>
      <w:r>
        <w:rPr>
          <w:rFonts w:hint="eastAsia" w:ascii="宋体" w:hAnsi="宋体" w:eastAsia="宋体" w:cs="宋体"/>
          <w:bCs/>
          <w:szCs w:val="21"/>
          <w:highlight w:val="none"/>
          <w:u w:val="single"/>
        </w:rPr>
        <w:t xml:space="preserve">    </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发包人对发包人代表的授权范围如下：</w:t>
      </w:r>
      <w:r>
        <w:rPr>
          <w:rFonts w:hint="eastAsia" w:ascii="宋体" w:hAnsi="宋体" w:eastAsia="宋体" w:cs="宋体"/>
          <w:bCs/>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bookmarkStart w:id="8" w:name="_Toc16584"/>
      <w:r/>
      <w:bookmarkStart w:id="9" w:name="_Toc16568"/>
      <w:r/>
      <w:bookmarkStart w:id="10" w:name="_Toc30011"/>
      <w:r/>
      <w:bookmarkStart w:id="11" w:name="_Toc28428"/>
      <w:r>
        <w:rPr>
          <w:rFonts w:hint="eastAsia" w:ascii="宋体" w:hAnsi="宋体" w:eastAsia="宋体" w:cs="宋体"/>
          <w:bCs/>
          <w:szCs w:val="21"/>
          <w:highlight w:val="none"/>
        </w:rPr>
        <w:t xml:space="preserve">2.4 施工现场、施工条件和基础资料的提供</w:t>
      </w:r>
      <w:bookmarkEnd w:id="8"/>
      <w:r/>
      <w:bookmarkEnd w:id="9"/>
      <w:r/>
      <w:bookmarkEnd w:id="10"/>
      <w:r/>
      <w:bookmarkEnd w:id="11"/>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2.4.1 提供施工现场</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关于发包人移交施工现场的期限要求：</w:t>
      </w:r>
      <w:r>
        <w:rPr>
          <w:rFonts w:hint="eastAsia" w:ascii="宋体" w:hAnsi="宋体" w:eastAsia="宋体" w:cs="宋体"/>
          <w:bCs/>
          <w:szCs w:val="21"/>
          <w:highlight w:val="none"/>
          <w:u w:val="single"/>
        </w:rPr>
        <w:t xml:space="preserve">发包人应最迟于开工日期之前向承包人移交施工现场</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2.4.2 提供施工条件</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关于发包人应负责提供施工所需要的条件，包括：</w:t>
      </w:r>
      <w:r>
        <w:rPr>
          <w:rFonts w:hint="eastAsia" w:ascii="宋体" w:hAnsi="宋体" w:eastAsia="宋体" w:cs="宋体"/>
          <w:bCs/>
          <w:szCs w:val="21"/>
          <w:highlight w:val="none"/>
          <w:u w:val="single"/>
        </w:rPr>
        <w:t xml:space="preserve">在开工前提供施工用水水源和用电电源，场内铺设电路、水路由施工单位自理，施工用电用水费用由施工单位含在合同价中</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bookmarkStart w:id="12" w:name="_Toc22001"/>
      <w:r/>
      <w:bookmarkStart w:id="13" w:name="_Toc8736"/>
      <w:r/>
      <w:bookmarkStart w:id="14" w:name="_Toc19966"/>
      <w:r/>
      <w:bookmarkStart w:id="15" w:name="_Toc15699"/>
      <w:r>
        <w:rPr>
          <w:rFonts w:hint="eastAsia" w:ascii="宋体" w:hAnsi="宋体" w:eastAsia="宋体" w:cs="宋体"/>
          <w:bCs/>
          <w:szCs w:val="21"/>
          <w:highlight w:val="none"/>
        </w:rPr>
        <w:t xml:space="preserve">2.5 资金来源证明及支付担保</w:t>
      </w:r>
      <w:bookmarkEnd w:id="12"/>
      <w:r/>
      <w:bookmarkEnd w:id="13"/>
      <w:r/>
      <w:bookmarkEnd w:id="14"/>
      <w:r/>
      <w:bookmarkEnd w:id="15"/>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发包人提供资金来源证明的期限要求：</w:t>
      </w:r>
      <w:r>
        <w:rPr>
          <w:rFonts w:hint="eastAsia" w:ascii="宋体" w:hAnsi="宋体" w:eastAsia="宋体" w:cs="宋体"/>
          <w:bCs/>
          <w:szCs w:val="21"/>
          <w:highlight w:val="none"/>
          <w:u w:val="single"/>
        </w:rPr>
        <w:t xml:space="preserve">无</w:t>
      </w:r>
      <w:r>
        <w:rPr>
          <w:rFonts w:hint="eastAsia" w:ascii="宋体" w:hAnsi="宋体" w:eastAsia="宋体" w:cs="宋体"/>
          <w:bCs/>
          <w:szCs w:val="21"/>
          <w:highlight w:val="none"/>
        </w:rPr>
        <w:t xml:space="preserve">  。</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发包人是否提供支付担保：</w:t>
      </w:r>
      <w:r>
        <w:rPr>
          <w:rFonts w:hint="eastAsia" w:ascii="宋体" w:hAnsi="宋体" w:eastAsia="宋体" w:cs="宋体"/>
          <w:bCs/>
          <w:szCs w:val="21"/>
          <w:highlight w:val="none"/>
          <w:u w:val="single"/>
        </w:rPr>
        <w:t xml:space="preserve">否 </w:t>
      </w:r>
      <w:r>
        <w:rPr>
          <w:rFonts w:hint="eastAsia" w:ascii="宋体" w:hAnsi="宋体" w:eastAsia="宋体" w:cs="宋体"/>
          <w:bCs/>
          <w:szCs w:val="21"/>
          <w:highlight w:val="none"/>
        </w:rPr>
        <w:t xml:space="preserve"> 。</w:t>
      </w:r>
      <w:r>
        <w:rPr>
          <w:rFonts w:ascii="宋体" w:hAnsi="宋体" w:eastAsia="宋体" w:cs="宋体"/>
          <w:bCs/>
          <w:szCs w:val="21"/>
          <w:highlight w:val="none"/>
        </w:rPr>
      </w:r>
      <w:r/>
    </w:p>
    <w:p>
      <w:pPr>
        <w:pStyle w:val="1035"/>
        <w:ind w:firstLine="420"/>
        <w:keepNext/>
        <w:spacing w:line="360" w:lineRule="auto"/>
        <w:rPr>
          <w:rFonts w:ascii="宋体" w:hAnsi="宋体" w:eastAsia="宋体" w:cs="宋体"/>
          <w:bCs/>
          <w:szCs w:val="21"/>
          <w:highlight w:val="none"/>
        </w:rPr>
      </w:pPr>
      <w:r>
        <w:rPr>
          <w:rFonts w:hint="eastAsia" w:ascii="宋体" w:hAnsi="宋体" w:eastAsia="宋体" w:cs="宋体"/>
          <w:bCs/>
          <w:szCs w:val="21"/>
          <w:highlight w:val="none"/>
        </w:rPr>
        <w:t xml:space="preserve">发包人提供支付担保的形式：</w:t>
      </w:r>
      <w:r>
        <w:rPr>
          <w:rFonts w:hint="eastAsia" w:ascii="宋体" w:hAnsi="宋体" w:eastAsia="宋体" w:cs="宋体"/>
          <w:bCs/>
          <w:szCs w:val="21"/>
          <w:highlight w:val="none"/>
          <w:u w:val="single"/>
        </w:rPr>
        <w:t xml:space="preserve">否</w:t>
      </w:r>
      <w:r>
        <w:rPr>
          <w:rFonts w:hint="eastAsia" w:ascii="宋体" w:hAnsi="宋体" w:eastAsia="宋体" w:cs="宋体"/>
          <w:bCs/>
          <w:szCs w:val="21"/>
          <w:highlight w:val="none"/>
        </w:rPr>
        <w:t xml:space="preserve">。</w:t>
      </w:r>
      <w:r>
        <w:rPr>
          <w:rFonts w:ascii="宋体" w:hAnsi="宋体" w:eastAsia="宋体" w:cs="宋体"/>
          <w:bCs/>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3.承包人</w:t>
      </w:r>
      <w:r>
        <w:rPr>
          <w:rFonts w:ascii="宋体" w:hAnsi="宋体" w:eastAsia="宋体" w:cs="宋体"/>
          <w:b/>
          <w:color w:val="000000"/>
          <w:sz w:val="24"/>
          <w:szCs w:val="24"/>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1 承包人的一般义务</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承包人提交的竣工资料的内容：</w:t>
      </w:r>
      <w:r>
        <w:rPr>
          <w:rFonts w:hint="eastAsia" w:ascii="宋体" w:hAnsi="宋体" w:eastAsia="宋体" w:cs="Times New Roman"/>
          <w:szCs w:val="21"/>
          <w:highlight w:val="none"/>
          <w:u w:val="single"/>
        </w:rPr>
        <w:t xml:space="preserve">竣工验收合格后 </w:t>
      </w:r>
      <w:r>
        <w:rPr>
          <w:rFonts w:hint="eastAsia" w:ascii="宋体" w:hAnsi="宋体" w:eastAsia="宋体" w:cs="Times New Roman"/>
          <w:szCs w:val="21"/>
          <w:highlight w:val="none"/>
          <w:u w:val="single"/>
          <w:lang w:val="en-US" w:eastAsia="zh-CN"/>
        </w:rPr>
        <w:t xml:space="preserve">60</w:t>
      </w:r>
      <w:r>
        <w:rPr>
          <w:rFonts w:hint="eastAsia" w:ascii="宋体" w:hAnsi="宋体" w:eastAsia="宋体" w:cs="Times New Roman"/>
          <w:szCs w:val="21"/>
          <w:highlight w:val="none"/>
          <w:u w:val="single"/>
        </w:rPr>
        <w:t xml:space="preserve"> 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承包人需要提交的竣工资料套数：</w:t>
      </w:r>
      <w:r>
        <w:rPr>
          <w:rFonts w:hint="eastAsia" w:ascii="宋体" w:hAnsi="宋体" w:eastAsia="宋体" w:cs="Times New Roman"/>
          <w:szCs w:val="21"/>
          <w:highlight w:val="none"/>
          <w:u w:val="single"/>
        </w:rPr>
        <w:t xml:space="preserve">肆套</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承包人提交的竣工资料的费用承担：</w:t>
      </w:r>
      <w:r>
        <w:rPr>
          <w:rFonts w:hint="eastAsia" w:ascii="宋体" w:hAnsi="宋体" w:eastAsia="宋体" w:cs="Times New Roman"/>
          <w:szCs w:val="21"/>
          <w:highlight w:val="none"/>
          <w:u w:val="single"/>
        </w:rPr>
        <w:t xml:space="preserve">承包人自行承担</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承包人提交的竣工资料移交时间：</w:t>
      </w:r>
      <w:r>
        <w:rPr>
          <w:rFonts w:hint="eastAsia" w:ascii="宋体" w:hAnsi="宋体" w:eastAsia="宋体" w:cs="Times New Roman"/>
          <w:szCs w:val="21"/>
          <w:highlight w:val="none"/>
          <w:u w:val="single"/>
        </w:rPr>
        <w:t xml:space="preserve">竣工验收合格后30天内</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承包人提交的竣工资料形式要求：</w:t>
      </w:r>
      <w:r>
        <w:rPr>
          <w:rFonts w:hint="eastAsia" w:ascii="宋体" w:hAnsi="宋体" w:eastAsia="宋体" w:cs="Times New Roman"/>
          <w:szCs w:val="21"/>
          <w:highlight w:val="none"/>
          <w:u w:val="single"/>
        </w:rPr>
        <w:t xml:space="preserve">书面及电子均需要</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承包人应履行的其他义务：双方协商。</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3.2 项目经理</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3.2.1 项目经理：</w:t>
      </w:r>
      <w:r>
        <w:rPr>
          <w:rFonts w:ascii="宋体" w:hAnsi="宋体" w:eastAsia="宋体" w:cs="Times New Roman"/>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建造师执业资格等级：</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建造师注册证书号：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建造师执业印章号：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安全生产考核合格证书号：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承包人对项目经理的授权范围如下：</w:t>
      </w:r>
      <w:r>
        <w:rPr>
          <w:rFonts w:hint="eastAsia" w:ascii="宋体" w:hAnsi="宋体" w:eastAsia="宋体" w:cs="宋体"/>
          <w:color w:val="000000"/>
          <w:szCs w:val="21"/>
          <w:highlight w:val="none"/>
          <w:u w:val="single"/>
        </w:rPr>
        <w:t xml:space="preserve">负责对项目施工过程中安全管理、成本控制、进度控制、质量控制，信息管理及与项目现场相关的组织协调工作</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宋体"/>
          <w:color w:val="000000"/>
          <w:szCs w:val="21"/>
          <w:highlight w:val="none"/>
        </w:rPr>
        <w:t xml:space="preserve">关于项目经理每月在施工现场的时间要求：</w:t>
      </w:r>
      <w:r>
        <w:rPr>
          <w:rFonts w:hint="eastAsia" w:ascii="宋体" w:hAnsi="宋体" w:eastAsia="宋体" w:cs="宋体"/>
          <w:color w:val="000000"/>
          <w:szCs w:val="21"/>
          <w:highlight w:val="none"/>
          <w:u w:val="single"/>
        </w:rPr>
        <w:t xml:space="preserve">不少于22天</w:t>
      </w:r>
      <w:r>
        <w:rPr>
          <w:rFonts w:hint="eastAsia"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3.2.2承包人未提交劳动合同，以及没有为项目经理缴纳社会保险证明的违约责任：</w:t>
      </w:r>
      <w:r>
        <w:rPr>
          <w:rFonts w:hint="eastAsia" w:ascii="宋体" w:hAnsi="宋体" w:eastAsia="宋体" w:cs="宋体"/>
          <w:color w:val="000000"/>
          <w:szCs w:val="21"/>
          <w:highlight w:val="none"/>
          <w:u w:val="single"/>
        </w:rPr>
        <w:t xml:space="preserve">承包人自行承担</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项目经理未经批准，擅自离开施工现场的违约责任：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3.2.3 承包人擅自更换项目经理的违约责任：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    3.2.4 承包人无正当理由拒绝更换项目经理的违约责任：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 承包人人员</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3.3.1 承包人提交项目管理机构及施工现场管理人员安排报告的期限：</w:t>
      </w:r>
      <w:r>
        <w:rPr>
          <w:rFonts w:hint="eastAsia" w:ascii="宋体" w:hAnsi="宋体" w:eastAsia="宋体" w:cs="宋体"/>
          <w:color w:val="000000"/>
          <w:szCs w:val="21"/>
          <w:highlight w:val="none"/>
          <w:u w:val="single"/>
        </w:rPr>
        <w:t xml:space="preserve">满足相关要求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3.3.3 承包人无正当理由拒绝撤换主要施工管理人员的违约责任：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3.3.4 承包人主要施工管理人员离开施工现场的批准要求：承包人书面申请报监理工程师及发包人现场代表批准。</w:t>
      </w:r>
      <w:r>
        <w:rPr>
          <w:rFonts w:ascii="宋体" w:hAnsi="宋体" w:eastAsia="宋体" w:cs="宋体"/>
          <w:color w:val="000000"/>
          <w:szCs w:val="21"/>
          <w:highlight w:val="none"/>
          <w:u w:val="singl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3.3.5承包人擅自更换主要施工管理人员的违约责任：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3.3.6承包人主要施工管理人员擅自离开施工现场的违约责任：</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3.5 分包</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3.5.1 分包的一般约定</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color w:val="000000"/>
          <w:szCs w:val="21"/>
          <w:highlight w:val="none"/>
          <w:u w:val="single"/>
        </w:rPr>
        <w:t xml:space="preserve">按施工图及规范要求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    3.5.2分包的确定</w:t>
      </w:r>
      <w:r>
        <w:rPr>
          <w:rFonts w:ascii="宋体" w:hAnsi="宋体" w:eastAsia="宋体" w:cs="宋体"/>
          <w:szCs w:val="21"/>
          <w:highlight w:val="none"/>
        </w:rPr>
      </w:r>
      <w:r/>
    </w:p>
    <w:p>
      <w:pPr>
        <w:pStyle w:val="1035"/>
        <w:ind w:firstLine="420"/>
        <w:spacing w:line="360" w:lineRule="auto"/>
        <w:widowControl/>
        <w:rPr>
          <w:rFonts w:ascii="宋体" w:hAnsi="宋体" w:eastAsia="宋体" w:cs="宋体"/>
          <w:color w:val="000000"/>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color w:val="000000"/>
          <w:szCs w:val="21"/>
          <w:highlight w:val="none"/>
        </w:rPr>
        <w:t xml:space="preserve">需书面申请经发包人书面确认。</w:t>
      </w:r>
      <w:r>
        <w:rPr>
          <w:rFonts w:ascii="宋体" w:hAnsi="宋体" w:eastAsia="宋体" w:cs="宋体"/>
          <w:color w:val="000000"/>
          <w:szCs w:val="21"/>
          <w:highlight w:val="none"/>
          <w:u w:val="single"/>
        </w:rPr>
      </w:r>
      <w:r/>
    </w:p>
    <w:p>
      <w:pPr>
        <w:pStyle w:val="1035"/>
        <w:ind w:firstLine="420"/>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其他关于分包的约定：</w:t>
      </w:r>
      <w:r>
        <w:rPr>
          <w:rFonts w:hint="eastAsia" w:ascii="宋体" w:hAnsi="宋体" w:eastAsia="宋体" w:cs="宋体"/>
          <w:color w:val="000000"/>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3.5.4 分包合同价款</w:t>
      </w:r>
      <w:r>
        <w:rPr>
          <w:rFonts w:ascii="宋体" w:hAnsi="宋体" w:eastAsia="宋体" w:cs="宋体"/>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color w:val="000000"/>
          <w:szCs w:val="21"/>
          <w:highlight w:val="none"/>
          <w:u w:val="single"/>
        </w:rPr>
        <w:t xml:space="preserve">无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Calibri" w:hAnsi="Calibri" w:eastAsia="宋体" w:cs="Times New Roman"/>
          <w:highlight w:val="none"/>
        </w:rPr>
      </w:pPr>
      <w:r>
        <w:rPr>
          <w:rFonts w:hint="eastAsia" w:ascii="宋体" w:hAnsi="宋体" w:eastAsia="宋体" w:cs="宋体"/>
          <w:color w:val="000000"/>
          <w:szCs w:val="21"/>
          <w:highlight w:val="none"/>
        </w:rPr>
        <w:t xml:space="preserve">3.6 工程照管与成品、半成品保护</w:t>
      </w:r>
      <w:r>
        <w:rPr>
          <w:rFonts w:ascii="Calibri" w:hAnsi="Calibri" w:eastAsia="宋体" w:cs="Times New Roman"/>
          <w:highlight w:val="none"/>
        </w:rPr>
      </w:r>
      <w:r/>
    </w:p>
    <w:p>
      <w:pPr>
        <w:pStyle w:val="1035"/>
        <w:ind w:firstLine="420"/>
        <w:spacing w:before="120" w:after="120"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承包人负责照管工程及工程相关的材料、工程设备的起始时间：</w:t>
      </w:r>
      <w:r>
        <w:rPr>
          <w:rFonts w:hint="eastAsia" w:ascii="宋体" w:hAnsi="宋体" w:eastAsia="宋体" w:cs="宋体"/>
          <w:color w:val="000000"/>
          <w:szCs w:val="21"/>
          <w:highlight w:val="none"/>
          <w:u w:val="single"/>
        </w:rPr>
        <w:t xml:space="preserve">开工之日起至工程竣工验收之日止</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3.7 履约担保</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承包人是否提供履约担保：</w:t>
      </w:r>
      <w:r>
        <w:rPr>
          <w:rFonts w:hint="eastAsia" w:ascii="宋体" w:hAnsi="宋体" w:eastAsia="宋体" w:cs="宋体"/>
          <w:color w:val="000000"/>
          <w:szCs w:val="21"/>
          <w:highlight w:val="none"/>
          <w:u w:val="single"/>
        </w:rPr>
        <w:t xml:space="preserve">  否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承包人提供履约担保的形式、金额及期限的：</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16" w:name="_Toc2320"/>
      <w:r/>
      <w:bookmarkStart w:id="17" w:name="_Toc21748"/>
      <w:r/>
      <w:bookmarkStart w:id="18" w:name="_Toc351203636"/>
      <w:r/>
      <w:bookmarkStart w:id="19" w:name="_Toc3141"/>
      <w:r/>
      <w:bookmarkStart w:id="20" w:name="_Toc14093"/>
      <w:r>
        <w:rPr>
          <w:rFonts w:hint="eastAsia" w:ascii="宋体" w:hAnsi="宋体" w:eastAsia="宋体" w:cs="宋体"/>
          <w:b/>
          <w:color w:val="000000"/>
          <w:sz w:val="24"/>
          <w:szCs w:val="24"/>
          <w:highlight w:val="none"/>
        </w:rPr>
        <w:t xml:space="preserve">4</w:t>
      </w:r>
      <w:bookmarkStart w:id="21" w:name="_Toc296347161"/>
      <w:r/>
      <w:bookmarkStart w:id="22" w:name="_Toc296503162"/>
      <w:r/>
      <w:bookmarkStart w:id="23" w:name="_Toc296944501"/>
      <w:r/>
      <w:bookmarkStart w:id="24" w:name="_Toc296346663"/>
      <w:r/>
      <w:bookmarkStart w:id="25" w:name="_Toc297120462"/>
      <w:r/>
      <w:bookmarkStart w:id="26" w:name="_Toc296891202"/>
      <w:r/>
      <w:bookmarkStart w:id="27" w:name="_Toc297048348"/>
      <w:r/>
      <w:bookmarkStart w:id="28" w:name="_Toc292559366"/>
      <w:r/>
      <w:bookmarkStart w:id="29" w:name="_Toc267251413"/>
      <w:r/>
      <w:bookmarkStart w:id="30" w:name="_Toc296890990"/>
      <w:r/>
      <w:bookmarkStart w:id="31" w:name="_Toc292559871"/>
      <w:r>
        <w:rPr>
          <w:rFonts w:hint="eastAsia" w:ascii="宋体" w:hAnsi="宋体" w:eastAsia="宋体" w:cs="宋体"/>
          <w:b/>
          <w:color w:val="000000"/>
          <w:sz w:val="24"/>
          <w:szCs w:val="24"/>
          <w:highlight w:val="none"/>
        </w:rPr>
        <w:t xml:space="preserve">. 监</w:t>
      </w:r>
      <w:bookmarkEnd w:id="21"/>
      <w:r/>
      <w:bookmarkEnd w:id="22"/>
      <w:r/>
      <w:bookmarkEnd w:id="23"/>
      <w:r/>
      <w:bookmarkEnd w:id="24"/>
      <w:r/>
      <w:bookmarkEnd w:id="25"/>
      <w:r/>
      <w:bookmarkEnd w:id="26"/>
      <w:r/>
      <w:bookmarkEnd w:id="27"/>
      <w:r/>
      <w:bookmarkEnd w:id="28"/>
      <w:r/>
      <w:bookmarkEnd w:id="29"/>
      <w:r/>
      <w:bookmarkEnd w:id="30"/>
      <w:r/>
      <w:bookmarkEnd w:id="31"/>
      <w:r>
        <w:rPr>
          <w:rFonts w:hint="eastAsia" w:ascii="宋体" w:hAnsi="宋体" w:eastAsia="宋体" w:cs="宋体"/>
          <w:b/>
          <w:color w:val="000000"/>
          <w:sz w:val="24"/>
          <w:szCs w:val="24"/>
          <w:highlight w:val="none"/>
        </w:rPr>
        <w:t xml:space="preserve">理人</w:t>
      </w:r>
      <w:bookmarkEnd w:id="16"/>
      <w:r/>
      <w:bookmarkEnd w:id="17"/>
      <w:r/>
      <w:bookmarkEnd w:id="18"/>
      <w:r/>
      <w:bookmarkEnd w:id="19"/>
      <w:r/>
      <w:bookmarkEnd w:id="20"/>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4.1监理人的一般规定</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关于监理人的监理内容：详见本项目监理合同，并符合相关规范规程等要求。</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关于监理人的监理权限：详见本项目监理合同，并符合相关规范规程等要求。 </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关于监理人在施工现场的办公场所、生活场所的提供和费用承担的约定：承包人提供办公场所并承担费用(合同价包含此费用)。</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4.2 监理人员</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总监理工程师：</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职    务：</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监理工程师执业资格证书号：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电子信箱：</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通信地址：</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关于监理人的其他约定：详见本项目监理合同，并符合相关规范规程等要求。</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4.4 商定或确定</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bookmarkStart w:id="32" w:name="_Toc267251418"/>
      <w:r>
        <w:rPr>
          <w:rFonts w:hint="eastAsia" w:ascii="宋体" w:hAnsi="宋体" w:eastAsia="宋体" w:cs="宋体"/>
          <w:color w:val="000000"/>
          <w:szCs w:val="21"/>
          <w:highlight w:val="none"/>
        </w:rPr>
        <w:t xml:space="preserve">在发包人和承包人不能通过协商达成一致意见时，发包人授权监理人对以下事项进行确定：</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33" w:name="_Toc351203637"/>
      <w:r/>
      <w:bookmarkStart w:id="34" w:name="_Toc27541"/>
      <w:r/>
      <w:bookmarkStart w:id="35" w:name="_Toc4274"/>
      <w:r/>
      <w:bookmarkStart w:id="36" w:name="_Toc13395"/>
      <w:r/>
      <w:bookmarkStart w:id="37" w:name="_Toc11600"/>
      <w:r>
        <w:rPr>
          <w:rFonts w:hint="eastAsia" w:ascii="宋体" w:hAnsi="宋体" w:eastAsia="宋体" w:cs="宋体"/>
          <w:b/>
          <w:color w:val="000000"/>
          <w:sz w:val="24"/>
          <w:szCs w:val="24"/>
          <w:highlight w:val="none"/>
        </w:rPr>
        <w:t xml:space="preserve">5</w:t>
      </w:r>
      <w:bookmarkEnd w:id="32"/>
      <w:r>
        <w:rPr>
          <w:rFonts w:hint="eastAsia" w:ascii="宋体" w:hAnsi="宋体" w:eastAsia="宋体" w:cs="宋体"/>
          <w:b/>
          <w:color w:val="000000"/>
          <w:sz w:val="24"/>
          <w:szCs w:val="24"/>
          <w:highlight w:val="none"/>
        </w:rPr>
        <w:t xml:space="preserve">. 工程质量</w:t>
      </w:r>
      <w:bookmarkEnd w:id="33"/>
      <w:r/>
      <w:bookmarkEnd w:id="34"/>
      <w:r/>
      <w:bookmarkEnd w:id="35"/>
      <w:r/>
      <w:bookmarkEnd w:id="36"/>
      <w:r/>
      <w:bookmarkEnd w:id="37"/>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38" w:name="_Toc32660"/>
      <w:r/>
      <w:bookmarkStart w:id="39" w:name="_Toc23613"/>
      <w:r/>
      <w:bookmarkStart w:id="40" w:name="_Toc27579"/>
      <w:r/>
      <w:bookmarkStart w:id="41" w:name="_Toc24951"/>
      <w:r>
        <w:rPr>
          <w:rFonts w:hint="eastAsia" w:ascii="宋体" w:hAnsi="宋体" w:eastAsia="宋体" w:cs="宋体"/>
          <w:color w:val="000000"/>
          <w:szCs w:val="21"/>
          <w:highlight w:val="none"/>
        </w:rPr>
        <w:t xml:space="preserve">5.1 质量要求</w:t>
      </w:r>
      <w:bookmarkEnd w:id="38"/>
      <w:r/>
      <w:bookmarkEnd w:id="39"/>
      <w:r/>
      <w:bookmarkEnd w:id="40"/>
      <w:r/>
      <w:bookmarkEnd w:id="41"/>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5.1.1 特殊质量标准和要求：</w:t>
      </w:r>
      <w:r>
        <w:rPr>
          <w:rFonts w:hint="eastAsia" w:ascii="宋体" w:hAnsi="宋体" w:eastAsia="宋体" w:cs="宋体"/>
          <w:szCs w:val="21"/>
          <w:highlight w:val="none"/>
          <w:u w:val="single"/>
        </w:rPr>
        <w:t xml:space="preserve">合格</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color w:val="000000"/>
          <w:szCs w:val="21"/>
          <w:highlight w:val="none"/>
        </w:rPr>
        <w:t xml:space="preserve">实际施工质量比投标质量等级提高或评比相关优质工程均不计任何奖励及相关费用，降低按有关文件执行</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2" w:name="_Toc15359"/>
      <w:r/>
      <w:bookmarkStart w:id="43" w:name="_Toc17153"/>
      <w:r/>
      <w:bookmarkStart w:id="44" w:name="_Toc9544"/>
      <w:r/>
      <w:bookmarkStart w:id="45" w:name="_Toc6194"/>
      <w:r>
        <w:rPr>
          <w:rFonts w:hint="eastAsia" w:ascii="宋体" w:hAnsi="宋体" w:eastAsia="宋体" w:cs="宋体"/>
          <w:color w:val="000000"/>
          <w:szCs w:val="21"/>
          <w:highlight w:val="none"/>
        </w:rPr>
        <w:t xml:space="preserve">5.3 隐蔽工程检查</w:t>
      </w:r>
      <w:bookmarkEnd w:id="42"/>
      <w:r/>
      <w:bookmarkEnd w:id="43"/>
      <w:r/>
      <w:bookmarkEnd w:id="44"/>
      <w:r/>
      <w:bookmarkEnd w:id="45"/>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5.3.2承包人提前通知监理人隐蔽工程检查的期限的约定：</w:t>
      </w:r>
      <w:r>
        <w:rPr>
          <w:rFonts w:hint="eastAsia" w:ascii="宋体" w:hAnsi="宋体" w:eastAsia="宋体" w:cs="宋体"/>
          <w:color w:val="000000"/>
          <w:szCs w:val="21"/>
          <w:highlight w:val="none"/>
        </w:rPr>
        <w:t xml:space="preserve">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24</w:t>
      </w:r>
      <w:r>
        <w:rPr>
          <w:rFonts w:hint="eastAsia" w:ascii="宋体" w:hAnsi="宋体" w:eastAsia="宋体" w:cs="宋体"/>
          <w:szCs w:val="21"/>
          <w:highlight w:val="none"/>
        </w:rPr>
        <w:t xml:space="preserve">小时提交书面延期要求。</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48</w:t>
      </w:r>
      <w:r>
        <w:rPr>
          <w:rFonts w:hint="eastAsia" w:ascii="宋体" w:hAnsi="宋体" w:eastAsia="宋体" w:cs="宋体"/>
          <w:szCs w:val="21"/>
          <w:highlight w:val="none"/>
        </w:rPr>
        <w:t xml:space="preserve">小时。</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46" w:name="_Toc351203638"/>
      <w:r/>
      <w:bookmarkStart w:id="47" w:name="_Toc31586"/>
      <w:r/>
      <w:bookmarkStart w:id="48" w:name="_Toc19815"/>
      <w:r/>
      <w:bookmarkStart w:id="49" w:name="_Toc30552"/>
      <w:r/>
      <w:bookmarkStart w:id="50" w:name="_Toc32237"/>
      <w:r>
        <w:rPr>
          <w:rFonts w:hint="eastAsia" w:ascii="宋体" w:hAnsi="宋体" w:eastAsia="宋体" w:cs="宋体"/>
          <w:b/>
          <w:color w:val="000000"/>
          <w:sz w:val="24"/>
          <w:szCs w:val="24"/>
          <w:highlight w:val="none"/>
        </w:rPr>
        <w:t xml:space="preserve">6. 安全文明施工与环境保护</w:t>
      </w:r>
      <w:bookmarkEnd w:id="46"/>
      <w:r/>
      <w:bookmarkEnd w:id="47"/>
      <w:r/>
      <w:bookmarkEnd w:id="48"/>
      <w:r/>
      <w:bookmarkEnd w:id="49"/>
      <w:r/>
      <w:bookmarkEnd w:id="50"/>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6.1安全文明施工</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6.1.1</w:t>
      </w:r>
      <w:r>
        <w:rPr>
          <w:rFonts w:hint="eastAsia" w:ascii="宋体" w:hAnsi="宋体" w:eastAsia="宋体" w:cs="宋体"/>
          <w:color w:val="000000"/>
          <w:szCs w:val="21"/>
          <w:highlight w:val="none"/>
        </w:rPr>
        <w:t xml:space="preserve"> 项目安全生产的达标目标及相应事项的约定：</w:t>
      </w:r>
      <w:r>
        <w:rPr>
          <w:rFonts w:hint="eastAsia" w:ascii="宋体" w:hAnsi="宋体" w:eastAsia="宋体" w:cs="宋体"/>
          <w:szCs w:val="21"/>
          <w:highlight w:val="none"/>
          <w:u w:val="single"/>
        </w:rPr>
        <w:t xml:space="preserve">按住建部现行的《建设工程安全生产管理条例》的有关规定、《苏州市建筑施工安全监督管理办法》的有关条款以及招标文件中技术标准和要求规定执行，由承包人负责管理，监理和发包人监督执行，如果因承包人原因发生安全事故，造成发包人直接或间接经济损失，除自行承担处理事故的罚款、费用和损失外，还应承担违约责任（违约金具体标准详见附件四），造成的工期延误不予延长。行政机关给予的处罚另计。环境保护按苏建招﹝2010﹞10号文：关于在建设工程招标文件和施工合同中增加防止扬尘等要求的通知</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乙方应按规定做好安全防范措施，</w:t>
      </w:r>
      <w:r>
        <w:rPr>
          <w:rFonts w:ascii="宋体" w:hAnsi="宋体" w:eastAsia="宋体" w:cs="Times New Roman"/>
          <w:szCs w:val="21"/>
          <w:highlight w:val="none"/>
          <w:u w:val="single"/>
        </w:rPr>
        <w:t xml:space="preserve">注意高压电线、电缆、管线、设备、灯具等可能带来施工安全隐患的问题，</w:t>
      </w:r>
      <w:r>
        <w:rPr>
          <w:rFonts w:ascii="宋体" w:hAnsi="宋体" w:eastAsia="宋体" w:cs="Times New Roman"/>
          <w:szCs w:val="21"/>
          <w:highlight w:val="none"/>
        </w:rPr>
        <w:t xml:space="preserve">如因安全措施不到位而导致安全责任事故的，由乙方承担全部责任。</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6.1.4 关于治安保卫的特别约定：</w:t>
      </w:r>
      <w:r>
        <w:rPr>
          <w:rFonts w:hint="eastAsia" w:ascii="宋体" w:hAnsi="宋体" w:eastAsia="宋体" w:cs="宋体"/>
          <w:szCs w:val="21"/>
          <w:highlight w:val="none"/>
          <w:u w:val="single"/>
        </w:rPr>
        <w:t xml:space="preserve">按项目所在地相关规定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6.1.5 文明施工</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按苏州市、相城区、相城经济开发区相关规定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rPr>
          <w:rFonts w:ascii="Times New Roman" w:hAnsi="Times New Roman" w:eastAsia="宋体" w:cs="Times New Roman"/>
          <w:szCs w:val="21"/>
          <w:highlight w:val="none"/>
        </w:rPr>
      </w:pPr>
      <w:r>
        <w:rPr>
          <w:rFonts w:hint="eastAsia" w:ascii="宋体" w:hAnsi="宋体" w:eastAsia="宋体" w:cs="宋体"/>
          <w:szCs w:val="21"/>
          <w:highlight w:val="none"/>
        </w:rPr>
        <w:t xml:space="preserve">6.1.6 关于安全文明施工费支付比例和支付期限的约定：</w:t>
      </w:r>
      <w:r>
        <w:rPr>
          <w:rFonts w:hint="eastAsia" w:ascii="宋体" w:hAnsi="宋体" w:eastAsia="宋体" w:cs="宋体"/>
          <w:szCs w:val="21"/>
          <w:highlight w:val="none"/>
          <w:u w:val="single"/>
        </w:rPr>
        <w:t xml:space="preserve">同进度款支付。</w:t>
      </w:r>
      <w:r>
        <w:rPr>
          <w:rFonts w:ascii="Times New Roman" w:hAnsi="Times New Roman" w:eastAsia="宋体" w:cs="Times New Roman"/>
          <w:szCs w:val="21"/>
          <w:highlight w:val="none"/>
        </w:rPr>
      </w:r>
      <w:r/>
    </w:p>
    <w:p>
      <w:pPr>
        <w:pStyle w:val="1035"/>
        <w:keepNext/>
        <w:spacing w:before="120" w:after="120" w:line="360" w:lineRule="auto"/>
        <w:rPr>
          <w:rFonts w:ascii="宋体" w:hAnsi="宋体" w:eastAsia="宋体" w:cs="宋体"/>
          <w:bCs/>
          <w:color w:val="000000"/>
          <w:szCs w:val="21"/>
          <w:highlight w:val="none"/>
        </w:rPr>
        <w:outlineLvl w:val="3"/>
      </w:pPr>
      <w:r/>
      <w:bookmarkStart w:id="51" w:name="_Toc351203639"/>
      <w:r/>
      <w:bookmarkStart w:id="52" w:name="_Toc29815"/>
      <w:r/>
      <w:bookmarkStart w:id="53" w:name="_Toc29507"/>
      <w:r/>
      <w:bookmarkStart w:id="54" w:name="_Toc9718"/>
      <w:r/>
      <w:bookmarkStart w:id="55" w:name="_Toc28930"/>
      <w:r>
        <w:rPr>
          <w:rFonts w:hint="eastAsia" w:ascii="宋体" w:hAnsi="宋体" w:eastAsia="宋体" w:cs="宋体"/>
          <w:b/>
          <w:color w:val="000000"/>
          <w:sz w:val="24"/>
          <w:szCs w:val="24"/>
          <w:highlight w:val="none"/>
        </w:rPr>
        <w:t xml:space="preserve">7. 工期和进度</w:t>
      </w:r>
      <w:bookmarkEnd w:id="51"/>
      <w:r/>
      <w:bookmarkEnd w:id="52"/>
      <w:r/>
      <w:bookmarkEnd w:id="53"/>
      <w:r/>
      <w:bookmarkEnd w:id="54"/>
      <w:r/>
      <w:bookmarkEnd w:id="55"/>
      <w:r>
        <w:rPr>
          <w:rFonts w:ascii="宋体" w:hAnsi="宋体" w:eastAsia="宋体" w:cs="宋体"/>
          <w:bCs/>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7.1 施工组织设计</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7.1.1 </w:t>
      </w:r>
      <w:r>
        <w:rPr>
          <w:rFonts w:hint="eastAsia" w:ascii="宋体" w:hAnsi="宋体" w:eastAsia="宋体" w:cs="宋体"/>
          <w:color w:val="000000"/>
          <w:szCs w:val="21"/>
          <w:highlight w:val="none"/>
        </w:rPr>
        <w:t xml:space="preserve">合同当事人约定的施工组织设计应包括的其他内容：</w:t>
      </w:r>
      <w:r>
        <w:rPr>
          <w:rFonts w:hint="eastAsia" w:ascii="宋体" w:hAnsi="宋体" w:eastAsia="宋体" w:cs="宋体"/>
          <w:szCs w:val="21"/>
          <w:highlight w:val="none"/>
          <w:u w:val="single"/>
        </w:rPr>
        <w:t xml:space="preserve">根据工程进度提供相应的进度计划书，单项工程必须分别编制详细施工计划，承包人应确保工程同时完成、同时验收、同时交付，并满足相关规范规程等要求</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7.1.2</w:t>
      </w:r>
      <w:r>
        <w:rPr>
          <w:rFonts w:hint="eastAsia" w:ascii="宋体" w:hAnsi="宋体" w:eastAsia="宋体" w:cs="宋体"/>
          <w:color w:val="000000"/>
          <w:szCs w:val="21"/>
          <w:highlight w:val="none"/>
        </w:rPr>
        <w:t xml:space="preserve"> 施工组织设计的提交和修改</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承包人提交详细施工组织设计的期限的约定：</w:t>
      </w:r>
      <w:r>
        <w:rPr>
          <w:rFonts w:hint="eastAsia" w:ascii="宋体" w:hAnsi="宋体" w:eastAsia="宋体" w:cs="宋体"/>
          <w:szCs w:val="21"/>
          <w:highlight w:val="none"/>
          <w:u w:val="single"/>
        </w:rPr>
        <w:t xml:space="preserve">正式开工之前一周内，完善细化投标的施工组织设计，提供实施性的施工组织设计，材料、设备、人员进场计划及当月工程进度计划。工程进度计划要充分考虑邻近工程的进度情况。工程开工后每周五向监理及发包人提供周进度计划和统计报表各两份，每月二十日提供经监理审核的验工月报、下月进度计划两份及工程进度款支付申请</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发包人和监理人应在监理人收到施工组织设计后7天内确认或提出修改意见</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56" w:name="_Toc303539123"/>
      <w:r/>
      <w:bookmarkStart w:id="57" w:name="_Toc297123514"/>
      <w:r/>
      <w:bookmarkStart w:id="58" w:name="_Toc300934966"/>
      <w:r/>
      <w:bookmarkStart w:id="59" w:name="_Toc304295541"/>
      <w:r/>
      <w:bookmarkStart w:id="60" w:name="_Toc297216173"/>
      <w:r/>
      <w:bookmarkStart w:id="61" w:name="_Toc312678005"/>
      <w:r/>
      <w:bookmarkStart w:id="62" w:name="_Toc312677479"/>
      <w:r>
        <w:rPr>
          <w:rFonts w:hint="eastAsia" w:ascii="宋体" w:hAnsi="宋体" w:eastAsia="宋体" w:cs="宋体"/>
          <w:color w:val="000000"/>
          <w:szCs w:val="21"/>
          <w:highlight w:val="none"/>
        </w:rPr>
        <w:t xml:space="preserve">.2 施工进度计划</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7.2.2 施工进度计划的修订</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发包人和监理人应在收到修订的施工进度计划后7天内完成审核和批准或提出修改意见</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7.3 开工</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7.3.1 开工准备</w:t>
      </w:r>
      <w:r>
        <w:rPr>
          <w:rFonts w:ascii="宋体" w:hAnsi="宋体" w:eastAsia="宋体" w:cs="宋体"/>
          <w:color w:val="000000"/>
          <w:szCs w:val="21"/>
          <w:highlight w:val="none"/>
        </w:rPr>
      </w:r>
      <w:r/>
    </w:p>
    <w:p>
      <w:pPr>
        <w:pStyle w:val="1035"/>
        <w:ind w:firstLine="645"/>
        <w:jc w:val="left"/>
        <w:spacing w:line="360" w:lineRule="auto"/>
        <w:widowControl/>
        <w:rPr>
          <w:rFonts w:ascii="宋体" w:hAnsi="宋体" w:eastAsia="宋体" w:cs="宋体"/>
          <w:szCs w:val="21"/>
          <w:highlight w:val="none"/>
          <w:u w:val="single"/>
        </w:rPr>
      </w:pPr>
      <w:r>
        <w:rPr>
          <w:rFonts w:hint="eastAsia" w:ascii="宋体" w:hAnsi="宋体" w:eastAsia="宋体" w:cs="宋体"/>
          <w:color w:val="000000"/>
          <w:szCs w:val="21"/>
          <w:highlight w:val="none"/>
        </w:rPr>
        <w:t xml:space="preserve">关于承包人提交工程开工报审表的期限：</w:t>
      </w:r>
      <w:r>
        <w:rPr>
          <w:rFonts w:hint="eastAsia" w:ascii="宋体" w:hAnsi="宋体" w:eastAsia="宋体" w:cs="宋体"/>
          <w:szCs w:val="21"/>
          <w:highlight w:val="none"/>
          <w:u w:val="single"/>
        </w:rPr>
        <w:t xml:space="preserve">符合发包人进度要求</w:t>
      </w:r>
      <w:r>
        <w:rPr>
          <w:rFonts w:hint="eastAsia" w:ascii="宋体" w:hAnsi="宋体" w:eastAsia="宋体" w:cs="宋体"/>
          <w:szCs w:val="21"/>
          <w:highlight w:val="none"/>
        </w:rPr>
        <w:t xml:space="preserve">。</w:t>
      </w:r>
      <w:r>
        <w:rPr>
          <w:rFonts w:ascii="宋体" w:hAnsi="宋体" w:eastAsia="宋体" w:cs="宋体"/>
          <w:szCs w:val="21"/>
          <w:highlight w:val="none"/>
          <w:u w:val="single"/>
        </w:rPr>
      </w:r>
      <w:r/>
    </w:p>
    <w:p>
      <w:pPr>
        <w:pStyle w:val="1035"/>
        <w:ind w:firstLine="645"/>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关于发包人应完成的其他开工准备工作及期限：</w:t>
      </w:r>
      <w:r>
        <w:rPr>
          <w:rFonts w:hint="eastAsia" w:ascii="宋体" w:hAnsi="宋体" w:eastAsia="宋体" w:cs="宋体"/>
          <w:szCs w:val="21"/>
          <w:highlight w:val="none"/>
          <w:u w:val="single"/>
        </w:rPr>
        <w:t xml:space="preserve">不影响进场施工</w:t>
      </w:r>
      <w:r>
        <w:rPr>
          <w:rFonts w:hint="eastAsia" w:ascii="宋体" w:hAnsi="宋体" w:eastAsia="宋体" w:cs="宋体"/>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关于承包人应完成的其他开工准备工作及期限：</w:t>
      </w:r>
      <w:r>
        <w:rPr>
          <w:rFonts w:hint="eastAsia" w:ascii="宋体" w:hAnsi="宋体" w:eastAsia="宋体" w:cs="宋体"/>
          <w:szCs w:val="21"/>
          <w:highlight w:val="none"/>
          <w:u w:val="single"/>
        </w:rPr>
        <w:t xml:space="preserve">符合发包人进度要求</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7.3.2开工通知</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90 </w:t>
      </w:r>
      <w:r>
        <w:rPr>
          <w:rFonts w:hint="eastAsia" w:ascii="宋体" w:hAnsi="宋体" w:eastAsia="宋体" w:cs="宋体"/>
          <w:color w:val="000000"/>
          <w:szCs w:val="21"/>
          <w:highlight w:val="none"/>
        </w:rPr>
        <w:t xml:space="preserve">天内发出开工通知的，承包人有权提出价格调整要求，或者解除合同。</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56"/>
      <w:r/>
      <w:bookmarkEnd w:id="57"/>
      <w:r/>
      <w:bookmarkEnd w:id="58"/>
      <w:r/>
      <w:bookmarkEnd w:id="59"/>
      <w:r/>
      <w:bookmarkEnd w:id="60"/>
      <w:r/>
      <w:bookmarkEnd w:id="61"/>
      <w:r/>
      <w:bookmarkEnd w:id="62"/>
      <w:r>
        <w:rPr>
          <w:rFonts w:hint="eastAsia" w:ascii="宋体" w:hAnsi="宋体" w:eastAsia="宋体" w:cs="宋体"/>
          <w:color w:val="000000"/>
          <w:szCs w:val="21"/>
          <w:highlight w:val="none"/>
        </w:rPr>
        <w:t xml:space="preserve">7.4 测量放线</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u w:val="single"/>
        </w:rPr>
      </w:pPr>
      <w:r>
        <w:rPr>
          <w:rFonts w:hint="eastAsia" w:ascii="宋体" w:hAnsi="宋体" w:eastAsia="宋体" w:cs="宋体"/>
          <w:szCs w:val="21"/>
          <w:highlight w:val="none"/>
        </w:rPr>
        <w:t xml:space="preserve">7.4.1发包人通过监理人向承包人提供测量基准点、基准线和水准点及其书面资料的期限：</w:t>
      </w:r>
      <w:r>
        <w:rPr>
          <w:rFonts w:hint="eastAsia" w:ascii="宋体" w:hAnsi="宋体" w:eastAsia="宋体" w:cs="宋体"/>
          <w:szCs w:val="21"/>
          <w:highlight w:val="none"/>
          <w:u w:val="single"/>
        </w:rPr>
        <w:t xml:space="preserve">开工前提供</w:t>
      </w:r>
      <w:r>
        <w:rPr>
          <w:rFonts w:hint="eastAsia" w:ascii="宋体" w:hAnsi="宋体" w:eastAsia="宋体" w:cs="宋体"/>
          <w:szCs w:val="21"/>
          <w:highlight w:val="none"/>
        </w:rPr>
        <w:t xml:space="preserve">。</w:t>
      </w:r>
      <w:r>
        <w:rPr>
          <w:rFonts w:ascii="宋体" w:hAnsi="宋体" w:eastAsia="宋体" w:cs="宋体"/>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bookmarkStart w:id="63" w:name="_Toc297216175"/>
      <w:r/>
      <w:bookmarkStart w:id="64" w:name="_Toc300934968"/>
      <w:r/>
      <w:bookmarkStart w:id="65" w:name="_Toc297123516"/>
      <w:r/>
      <w:bookmarkStart w:id="66" w:name="_Toc312678010"/>
      <w:r/>
      <w:bookmarkStart w:id="67" w:name="_Toc312677484"/>
      <w:r/>
      <w:bookmarkStart w:id="68" w:name="_Toc303539125"/>
      <w:r/>
      <w:bookmarkStart w:id="69" w:name="_Toc304295546"/>
      <w:r>
        <w:rPr>
          <w:rFonts w:hint="eastAsia" w:ascii="宋体" w:hAnsi="宋体" w:eastAsia="宋体" w:cs="宋体"/>
          <w:color w:val="000000"/>
          <w:szCs w:val="21"/>
          <w:highlight w:val="none"/>
        </w:rPr>
        <w:t xml:space="preserve">.5 工期延误</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63"/>
      <w:r/>
      <w:bookmarkEnd w:id="64"/>
      <w:r/>
      <w:bookmarkEnd w:id="65"/>
      <w:r/>
      <w:bookmarkEnd w:id="66"/>
      <w:r/>
      <w:bookmarkEnd w:id="67"/>
      <w:r/>
      <w:bookmarkEnd w:id="68"/>
      <w:r/>
      <w:bookmarkEnd w:id="69"/>
      <w:r>
        <w:rPr>
          <w:rFonts w:hint="eastAsia" w:ascii="宋体" w:hAnsi="宋体" w:eastAsia="宋体" w:cs="宋体"/>
          <w:szCs w:val="21"/>
          <w:highlight w:val="none"/>
        </w:rPr>
        <w:t xml:space="preserve">7.5.1 因发包人原因导致工期延误</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（7）因发包人原因导致工期延误的其他情形：</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7</w:t>
      </w:r>
      <w:bookmarkStart w:id="70" w:name="_Toc318581169"/>
      <w:r/>
      <w:bookmarkStart w:id="71" w:name="_Toc312678012"/>
      <w:r/>
      <w:bookmarkStart w:id="72" w:name="_Toc312677486"/>
      <w:r/>
      <w:bookmarkStart w:id="73" w:name="_Toc297123518"/>
      <w:r/>
      <w:bookmarkStart w:id="74" w:name="_Toc297216177"/>
      <w:r/>
      <w:bookmarkStart w:id="75" w:name="_Toc304295548"/>
      <w:r/>
      <w:bookmarkStart w:id="76" w:name="_Toc303539127"/>
      <w:r/>
      <w:bookmarkStart w:id="77" w:name="_Toc300934970"/>
      <w:r>
        <w:rPr>
          <w:rFonts w:hint="eastAsia" w:ascii="宋体" w:hAnsi="宋体" w:eastAsia="宋体" w:cs="宋体"/>
          <w:szCs w:val="21"/>
          <w:highlight w:val="none"/>
        </w:rPr>
        <w:t xml:space="preserve">.5.2 因承包人原因导致工期延误</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bookmarkEnd w:id="70"/>
      <w:r/>
      <w:bookmarkEnd w:id="71"/>
      <w:r/>
      <w:bookmarkEnd w:id="72"/>
      <w:r>
        <w:rPr>
          <w:rFonts w:hint="eastAsia" w:ascii="宋体" w:hAnsi="宋体" w:eastAsia="宋体" w:cs="宋体"/>
          <w:szCs w:val="21"/>
          <w:highlight w:val="none"/>
        </w:rPr>
        <w:t xml:space="preserve">因</w:t>
      </w:r>
      <w:bookmarkStart w:id="78" w:name="_Toc312677487"/>
      <w:r/>
      <w:bookmarkStart w:id="79" w:name="_Toc312678013"/>
      <w:r/>
      <w:bookmarkStart w:id="80"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zCs w:val="21"/>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2000元/天的违约金，违约金将在工程款金中扣除</w:t>
      </w:r>
      <w:r>
        <w:rPr>
          <w:rFonts w:hint="eastAsia" w:ascii="宋体" w:hAnsi="宋体" w:eastAsia="宋体" w:cs="宋体"/>
          <w:szCs w:val="21"/>
          <w:highlight w:val="none"/>
        </w:rPr>
        <w:t xml:space="preserve">。</w:t>
      </w:r>
      <w:bookmarkEnd w:id="73"/>
      <w:r/>
      <w:bookmarkEnd w:id="74"/>
      <w:r/>
      <w:bookmarkEnd w:id="75"/>
      <w:r/>
      <w:bookmarkEnd w:id="76"/>
      <w:r/>
      <w:bookmarkEnd w:id="77"/>
      <w:r/>
      <w:bookmarkEnd w:id="78"/>
      <w:r/>
      <w:bookmarkEnd w:id="79"/>
      <w:r>
        <w:rPr>
          <w:rFonts w:ascii="宋体" w:hAnsi="宋体" w:eastAsia="宋体" w:cs="宋体"/>
          <w:szCs w:val="21"/>
          <w:highlight w:val="none"/>
        </w:rPr>
      </w:r>
      <w:r/>
    </w:p>
    <w:p>
      <w:pPr>
        <w:pStyle w:val="1035"/>
        <w:jc w:val="left"/>
        <w:spacing w:line="360" w:lineRule="auto"/>
        <w:widowControl/>
        <w:rPr>
          <w:rFonts w:ascii="宋体" w:hAnsi="宋体" w:eastAsia="宋体" w:cs="宋体"/>
          <w:szCs w:val="21"/>
          <w:highlight w:val="none"/>
        </w:rPr>
      </w:pPr>
      <w:r/>
      <w:bookmarkEnd w:id="80"/>
      <w:r>
        <w:rPr>
          <w:rFonts w:hint="eastAsia" w:ascii="宋体" w:hAnsi="宋体" w:eastAsia="宋体" w:cs="宋体"/>
          <w:szCs w:val="21"/>
          <w:highlight w:val="none"/>
        </w:rPr>
        <w:t xml:space="preserve">因承包人原因造成工期延误，逾</w:t>
      </w:r>
      <w:bookmarkStart w:id="81" w:name="_Toc318581171"/>
      <w:r/>
      <w:bookmarkStart w:id="82" w:name="_Toc312678014"/>
      <w:r>
        <w:rPr>
          <w:rFonts w:hint="eastAsia" w:ascii="宋体" w:hAnsi="宋体" w:eastAsia="宋体" w:cs="宋体"/>
          <w:szCs w:val="21"/>
          <w:highlight w:val="none"/>
        </w:rPr>
        <w:t xml:space="preserve">期竣工违约金的上限：</w:t>
      </w:r>
      <w:r>
        <w:rPr>
          <w:rFonts w:hint="eastAsia" w:ascii="宋体" w:hAnsi="宋体" w:eastAsia="宋体" w:cs="宋体"/>
          <w:szCs w:val="21"/>
          <w:highlight w:val="none"/>
          <w:u w:val="single"/>
        </w:rPr>
        <w:t xml:space="preserve">所有的工期违约金累计最高不超过合同价的5%</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81"/>
      <w:r/>
      <w:bookmarkEnd w:id="82"/>
      <w:r>
        <w:rPr>
          <w:rFonts w:hint="eastAsia" w:ascii="宋体" w:hAnsi="宋体" w:eastAsia="宋体" w:cs="宋体"/>
          <w:color w:val="000000"/>
          <w:szCs w:val="21"/>
          <w:highlight w:val="none"/>
        </w:rPr>
        <w:t xml:space="preserve">7</w:t>
      </w:r>
      <w:bookmarkStart w:id="83" w:name="_Toc304295549"/>
      <w:r/>
      <w:bookmarkStart w:id="84" w:name="_Toc297123519"/>
      <w:r/>
      <w:bookmarkStart w:id="85" w:name="_Toc312678015"/>
      <w:r/>
      <w:bookmarkStart w:id="86" w:name="_Toc300934971"/>
      <w:r/>
      <w:bookmarkStart w:id="87" w:name="_Toc303539128"/>
      <w:r/>
      <w:bookmarkStart w:id="88" w:name="_Toc297216178"/>
      <w:r>
        <w:rPr>
          <w:rFonts w:hint="eastAsia" w:ascii="宋体" w:hAnsi="宋体" w:eastAsia="宋体" w:cs="宋体"/>
          <w:color w:val="000000"/>
          <w:szCs w:val="21"/>
          <w:highlight w:val="none"/>
        </w:rPr>
        <w:t xml:space="preserve">.6 不</w:t>
      </w:r>
      <w:bookmarkEnd w:id="83"/>
      <w:r/>
      <w:bookmarkEnd w:id="84"/>
      <w:r/>
      <w:bookmarkEnd w:id="85"/>
      <w:r/>
      <w:bookmarkEnd w:id="86"/>
      <w:r/>
      <w:bookmarkEnd w:id="87"/>
      <w:r/>
      <w:bookmarkEnd w:id="88"/>
      <w:r>
        <w:rPr>
          <w:rFonts w:hint="eastAsia" w:ascii="宋体" w:hAnsi="宋体" w:eastAsia="宋体" w:cs="宋体"/>
          <w:color w:val="000000"/>
          <w:szCs w:val="21"/>
          <w:highlight w:val="none"/>
        </w:rPr>
        <w:t xml:space="preserve">利物质条件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Start w:id="89" w:name="_Toc297216179"/>
      <w:r/>
      <w:bookmarkStart w:id="90" w:name="_Toc297123520"/>
      <w:r/>
      <w:bookmarkStart w:id="91" w:name="_Toc304295550"/>
      <w:r/>
      <w:bookmarkStart w:id="92" w:name="_Toc312678016"/>
      <w:r/>
      <w:bookmarkStart w:id="93" w:name="_Toc318581172"/>
      <w:r/>
      <w:bookmarkStart w:id="94" w:name="_Toc303539129"/>
      <w:r/>
      <w:bookmarkStart w:id="95" w:name="_Toc300934972"/>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双方协商</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89"/>
      <w:r/>
      <w:bookmarkEnd w:id="90"/>
      <w:r/>
      <w:bookmarkEnd w:id="91"/>
      <w:r/>
      <w:bookmarkEnd w:id="92"/>
      <w:r/>
      <w:bookmarkEnd w:id="93"/>
      <w:r/>
      <w:bookmarkEnd w:id="94"/>
      <w:r/>
      <w:bookmarkEnd w:id="95"/>
      <w:r>
        <w:rPr>
          <w:rFonts w:hint="eastAsia" w:ascii="宋体" w:hAnsi="宋体" w:eastAsia="宋体" w:cs="宋体"/>
          <w:color w:val="000000"/>
          <w:szCs w:val="21"/>
          <w:highlight w:val="none"/>
        </w:rPr>
        <w:t xml:space="preserve">7</w:t>
      </w:r>
      <w:bookmarkStart w:id="96" w:name="_Toc304295551"/>
      <w:r/>
      <w:bookmarkStart w:id="97" w:name="_Toc312678017"/>
      <w:r/>
      <w:bookmarkStart w:id="98" w:name="_Toc297216180"/>
      <w:r/>
      <w:bookmarkStart w:id="99" w:name="_Toc303539130"/>
      <w:r/>
      <w:bookmarkStart w:id="100" w:name="_Toc300934973"/>
      <w:r/>
      <w:bookmarkStart w:id="101" w:name="_Toc297123521"/>
      <w:r>
        <w:rPr>
          <w:rFonts w:hint="eastAsia" w:ascii="宋体" w:hAnsi="宋体" w:eastAsia="宋体" w:cs="宋体"/>
          <w:color w:val="000000"/>
          <w:szCs w:val="21"/>
          <w:highlight w:val="none"/>
        </w:rPr>
        <w:t xml:space="preserve">.7异常恶劣的气候条件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96"/>
      <w:r/>
      <w:bookmarkEnd w:id="97"/>
      <w:r/>
      <w:bookmarkEnd w:id="98"/>
      <w:r/>
      <w:bookmarkEnd w:id="99"/>
      <w:r/>
      <w:bookmarkEnd w:id="100"/>
      <w:r/>
      <w:bookmarkEnd w:id="101"/>
      <w:r>
        <w:rPr>
          <w:rFonts w:hint="eastAsia" w:ascii="宋体" w:hAnsi="宋体" w:eastAsia="宋体" w:cs="宋体"/>
          <w:szCs w:val="21"/>
          <w:highlight w:val="none"/>
        </w:rPr>
        <w:t xml:space="preserve">发包人和承包人同意以下情形视为异常恶劣的气候条件：</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建设主管部门出具的书面确认函</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按国家相关规定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102" w:name="_Toc16353"/>
      <w:r/>
      <w:bookmarkStart w:id="103" w:name="_Toc22897"/>
      <w:r/>
      <w:bookmarkStart w:id="104" w:name="_Toc14062"/>
      <w:r/>
      <w:bookmarkStart w:id="105" w:name="_Toc17836"/>
      <w:r>
        <w:rPr>
          <w:rFonts w:hint="eastAsia" w:ascii="宋体" w:hAnsi="宋体" w:eastAsia="宋体" w:cs="宋体"/>
          <w:color w:val="000000"/>
          <w:szCs w:val="21"/>
          <w:highlight w:val="none"/>
        </w:rPr>
        <w:t xml:space="preserve">7.9 提前竣工的奖励</w:t>
      </w:r>
      <w:bookmarkEnd w:id="102"/>
      <w:r/>
      <w:bookmarkEnd w:id="103"/>
      <w:r/>
      <w:bookmarkEnd w:id="104"/>
      <w:r/>
      <w:bookmarkEnd w:id="105"/>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7.9.2提前竣工的奖励：</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106" w:name="_Toc351203640"/>
      <w:r/>
      <w:bookmarkStart w:id="107" w:name="_Toc11287"/>
      <w:r/>
      <w:bookmarkStart w:id="108" w:name="_Toc14009"/>
      <w:r/>
      <w:bookmarkStart w:id="109" w:name="_Toc22140"/>
      <w:r/>
      <w:bookmarkStart w:id="110" w:name="_Toc14169"/>
      <w:r>
        <w:rPr>
          <w:rFonts w:hint="eastAsia" w:ascii="宋体" w:hAnsi="宋体" w:eastAsia="宋体" w:cs="宋体"/>
          <w:b/>
          <w:color w:val="000000"/>
          <w:sz w:val="24"/>
          <w:szCs w:val="24"/>
          <w:highlight w:val="none"/>
        </w:rPr>
        <w:t xml:space="preserve">8. 材料与设备</w:t>
      </w:r>
      <w:bookmarkEnd w:id="106"/>
      <w:r/>
      <w:bookmarkEnd w:id="107"/>
      <w:r/>
      <w:bookmarkEnd w:id="108"/>
      <w:r/>
      <w:bookmarkEnd w:id="109"/>
      <w:r/>
      <w:bookmarkEnd w:id="110"/>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bookmarkStart w:id="111" w:name="_Toc297120467"/>
      <w:r/>
      <w:bookmarkStart w:id="112" w:name="_Toc297123527"/>
      <w:r/>
      <w:bookmarkStart w:id="113" w:name="_Toc296944506"/>
      <w:r/>
      <w:bookmarkStart w:id="114" w:name="_Toc296346668"/>
      <w:r/>
      <w:bookmarkStart w:id="115" w:name="_Toc296503167"/>
      <w:r/>
      <w:bookmarkStart w:id="116" w:name="_Toc296891207"/>
      <w:r/>
      <w:bookmarkStart w:id="117" w:name="_Toc292559877"/>
      <w:r/>
      <w:bookmarkStart w:id="118" w:name="_Toc303539136"/>
      <w:r/>
      <w:bookmarkStart w:id="119" w:name="_Toc312677493"/>
      <w:r/>
      <w:bookmarkStart w:id="120" w:name="_Toc280868654"/>
      <w:r/>
      <w:bookmarkStart w:id="121" w:name="_Toc297216186"/>
      <w:r/>
      <w:bookmarkStart w:id="122" w:name="_Toc304295556"/>
      <w:r/>
      <w:bookmarkStart w:id="123" w:name="_Toc296347166"/>
      <w:r/>
      <w:bookmarkStart w:id="124" w:name="_Toc312678019"/>
      <w:r/>
      <w:bookmarkStart w:id="125" w:name="_Toc296890995"/>
      <w:r/>
      <w:bookmarkStart w:id="126" w:name="_Toc300934979"/>
      <w:r/>
      <w:bookmarkStart w:id="127" w:name="_Toc297048353"/>
      <w:r/>
      <w:bookmarkStart w:id="128" w:name="_Toc292559372"/>
      <w:r/>
      <w:bookmarkStart w:id="129" w:name="_Toc267251424"/>
      <w:r/>
      <w:bookmarkStart w:id="130" w:name="_Toc280868656"/>
      <w:r/>
      <w:bookmarkStart w:id="131" w:name="_Toc280868655"/>
      <w:r>
        <w:rPr>
          <w:rFonts w:hint="eastAsia" w:ascii="宋体" w:hAnsi="宋体" w:eastAsia="宋体" w:cs="宋体"/>
          <w:color w:val="000000"/>
          <w:szCs w:val="21"/>
          <w:highlight w:val="none"/>
        </w:rPr>
        <w:t xml:space="preserve">.4材料与工程设备的保管与使用</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szCs w:val="21"/>
          <w:highlight w:val="none"/>
        </w:rPr>
        <w:t xml:space="preserve">8</w:t>
      </w:r>
      <w:bookmarkStart w:id="132" w:name="_Toc292559878"/>
      <w:r/>
      <w:bookmarkStart w:id="133" w:name="_Toc312678020"/>
      <w:r/>
      <w:bookmarkStart w:id="134" w:name="_Toc296503168"/>
      <w:r/>
      <w:bookmarkStart w:id="135" w:name="_Toc303539137"/>
      <w:r/>
      <w:bookmarkStart w:id="136" w:name="_Toc297120468"/>
      <w:r/>
      <w:bookmarkStart w:id="137" w:name="_Toc296890996"/>
      <w:r/>
      <w:bookmarkStart w:id="138" w:name="_Toc296346669"/>
      <w:r/>
      <w:bookmarkStart w:id="139" w:name="_Toc318581173"/>
      <w:r/>
      <w:bookmarkStart w:id="140" w:name="_Toc297123528"/>
      <w:r/>
      <w:bookmarkStart w:id="141" w:name="_Toc297216187"/>
      <w:r/>
      <w:bookmarkStart w:id="142" w:name="_Toc296944507"/>
      <w:r/>
      <w:bookmarkStart w:id="143" w:name="_Toc297048354"/>
      <w:r/>
      <w:bookmarkStart w:id="144" w:name="_Toc300934980"/>
      <w:r/>
      <w:bookmarkStart w:id="145" w:name="_Toc312677494"/>
      <w:r/>
      <w:bookmarkStart w:id="146" w:name="_Toc296347167"/>
      <w:r/>
      <w:bookmarkStart w:id="147" w:name="_Toc296891208"/>
      <w:r/>
      <w:bookmarkStart w:id="148" w:name="_Toc304295557"/>
      <w:r/>
      <w:bookmarkStart w:id="149" w:name="_Toc292559373"/>
      <w:r>
        <w:rPr>
          <w:rFonts w:hint="eastAsia" w:ascii="宋体" w:hAnsi="宋体" w:eastAsia="宋体" w:cs="宋体"/>
          <w:szCs w:val="21"/>
          <w:highlight w:val="none"/>
        </w:rPr>
        <w:t xml:space="preserve">.4.1发包人供应的材料设备的保管费用的承担：</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bookmarkEnd w:id="132"/>
      <w:r/>
      <w:bookmarkEnd w:id="149"/>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150" w:name="_Toc30049"/>
      <w:r/>
      <w:bookmarkStart w:id="151" w:name="_Toc20327"/>
      <w:r/>
      <w:bookmarkStart w:id="152" w:name="_Toc27674"/>
      <w:r/>
      <w:bookmarkStart w:id="153" w:name="_Toc1504"/>
      <w:r>
        <w:rPr>
          <w:rFonts w:hint="eastAsia" w:ascii="宋体" w:hAnsi="宋体" w:eastAsia="宋体" w:cs="宋体"/>
          <w:color w:val="000000"/>
          <w:szCs w:val="21"/>
          <w:highlight w:val="none"/>
        </w:rPr>
        <w:t xml:space="preserve">8.6 样品</w:t>
      </w:r>
      <w:bookmarkEnd w:id="150"/>
      <w:r/>
      <w:bookmarkEnd w:id="151"/>
      <w:r/>
      <w:bookmarkEnd w:id="152"/>
      <w:r/>
      <w:bookmarkEnd w:id="153"/>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8.6.1</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t xml:space="preserve">样品的报送与封存</w:t>
      </w:r>
      <w:r>
        <w:rPr>
          <w:rFonts w:ascii="宋体" w:hAnsi="宋体" w:eastAsia="宋体" w:cs="宋体"/>
          <w:color w:val="000000"/>
          <w:szCs w:val="21"/>
          <w:highlight w:val="none"/>
        </w:rPr>
      </w:r>
      <w:r/>
    </w:p>
    <w:p>
      <w:pPr>
        <w:pStyle w:val="1035"/>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154" w:name="_Toc19316"/>
      <w:r/>
      <w:bookmarkStart w:id="155" w:name="_Toc2183"/>
      <w:r/>
      <w:bookmarkStart w:id="156" w:name="_Toc16362"/>
      <w:r/>
      <w:bookmarkStart w:id="157" w:name="_Toc10029"/>
      <w:r>
        <w:rPr>
          <w:rFonts w:hint="eastAsia" w:ascii="宋体" w:hAnsi="宋体" w:eastAsia="宋体" w:cs="宋体"/>
          <w:color w:val="000000"/>
          <w:szCs w:val="21"/>
          <w:highlight w:val="none"/>
        </w:rPr>
        <w:t xml:space="preserve">8.8 施工设备和临时设施</w:t>
      </w:r>
      <w:bookmarkEnd w:id="154"/>
      <w:r/>
      <w:bookmarkEnd w:id="155"/>
      <w:r/>
      <w:bookmarkEnd w:id="156"/>
      <w:r/>
      <w:bookmarkEnd w:id="157"/>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8.8.1 承包人提供的施工设备和临时设施</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关于修建临时设施费用承担的约定：</w:t>
      </w:r>
      <w:r>
        <w:rPr>
          <w:rFonts w:hint="eastAsia" w:ascii="宋体" w:hAnsi="宋体" w:eastAsia="宋体" w:cs="宋体"/>
          <w:szCs w:val="21"/>
          <w:highlight w:val="none"/>
          <w:u w:val="single"/>
        </w:rPr>
        <w:t xml:space="preserve">承包人提供并承担费用（合同价包含此费用）</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8" w:name="_Toc7919"/>
      <w:r/>
      <w:bookmarkStart w:id="159" w:name="_Toc351203641"/>
      <w:r/>
      <w:bookmarkStart w:id="160" w:name="_Toc8711"/>
      <w:r/>
      <w:bookmarkStart w:id="161" w:name="_Toc14715"/>
      <w:r/>
      <w:bookmarkStart w:id="162" w:name="_Toc9018"/>
      <w:r>
        <w:rPr>
          <w:rFonts w:hint="eastAsia" w:ascii="宋体" w:hAnsi="宋体" w:eastAsia="宋体" w:cs="宋体"/>
          <w:b/>
          <w:color w:val="000000"/>
          <w:sz w:val="24"/>
          <w:szCs w:val="24"/>
          <w:highlight w:val="none"/>
        </w:rPr>
        <w:t xml:space="preserve">9</w:t>
      </w:r>
      <w:bookmarkEnd w:id="129"/>
      <w:r/>
      <w:bookmarkEnd w:id="130"/>
      <w:r/>
      <w:bookmarkEnd w:id="131"/>
      <w:r/>
      <w:bookmarkStart w:id="163" w:name="_Toc300934982"/>
      <w:r/>
      <w:bookmarkStart w:id="164" w:name="_Toc297123533"/>
      <w:r/>
      <w:bookmarkStart w:id="165" w:name="_Toc303539139"/>
      <w:r/>
      <w:bookmarkStart w:id="166" w:name="_Toc297216192"/>
      <w:r/>
      <w:bookmarkStart w:id="167" w:name="_Toc312677495"/>
      <w:r/>
      <w:bookmarkStart w:id="168" w:name="_Toc304295559"/>
      <w:r/>
      <w:bookmarkStart w:id="169" w:name="_Toc312678021"/>
      <w:r>
        <w:rPr>
          <w:rFonts w:hint="eastAsia" w:ascii="宋体" w:hAnsi="宋体" w:eastAsia="宋体" w:cs="宋体"/>
          <w:b/>
          <w:color w:val="000000"/>
          <w:sz w:val="24"/>
          <w:szCs w:val="24"/>
          <w:highlight w:val="none"/>
        </w:rPr>
        <w:t xml:space="preserve">. 试验与检验</w:t>
      </w:r>
      <w:bookmarkEnd w:id="158"/>
      <w:r/>
      <w:bookmarkEnd w:id="159"/>
      <w:r/>
      <w:bookmarkEnd w:id="160"/>
      <w:r/>
      <w:bookmarkEnd w:id="161"/>
      <w:r/>
      <w:bookmarkEnd w:id="162"/>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163"/>
      <w:r/>
      <w:bookmarkEnd w:id="164"/>
      <w:r/>
      <w:bookmarkEnd w:id="165"/>
      <w:r/>
      <w:bookmarkEnd w:id="166"/>
      <w:r/>
      <w:bookmarkEnd w:id="167"/>
      <w:r/>
      <w:bookmarkEnd w:id="168"/>
      <w:r/>
      <w:bookmarkEnd w:id="169"/>
      <w:r>
        <w:rPr>
          <w:rFonts w:hint="eastAsia" w:ascii="宋体" w:hAnsi="宋体" w:eastAsia="宋体" w:cs="宋体"/>
          <w:color w:val="000000"/>
          <w:szCs w:val="21"/>
          <w:highlight w:val="none"/>
        </w:rPr>
        <w:t xml:space="preserve">9</w:t>
      </w:r>
      <w:bookmarkStart w:id="170" w:name="_Toc312677496"/>
      <w:r/>
      <w:bookmarkStart w:id="171" w:name="_Toc300934983"/>
      <w:r/>
      <w:bookmarkStart w:id="172" w:name="_Toc312678022"/>
      <w:r/>
      <w:bookmarkStart w:id="173" w:name="_Toc297216193"/>
      <w:r/>
      <w:bookmarkStart w:id="174" w:name="_Toc297123534"/>
      <w:r/>
      <w:bookmarkStart w:id="175" w:name="_Toc304295560"/>
      <w:r/>
      <w:bookmarkStart w:id="176" w:name="_Toc303539140"/>
      <w:r>
        <w:rPr>
          <w:rFonts w:hint="eastAsia" w:ascii="宋体" w:hAnsi="宋体" w:eastAsia="宋体" w:cs="宋体"/>
          <w:color w:val="000000"/>
          <w:szCs w:val="21"/>
          <w:highlight w:val="none"/>
        </w:rPr>
        <w:t xml:space="preserve">.1试验设备与试验人员</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170"/>
      <w:r/>
      <w:bookmarkEnd w:id="171"/>
      <w:r/>
      <w:bookmarkEnd w:id="172"/>
      <w:r/>
      <w:bookmarkEnd w:id="173"/>
      <w:r/>
      <w:bookmarkEnd w:id="174"/>
      <w:r/>
      <w:bookmarkEnd w:id="175"/>
      <w:r/>
      <w:bookmarkEnd w:id="176"/>
      <w:r>
        <w:rPr>
          <w:rFonts w:hint="eastAsia" w:ascii="宋体" w:hAnsi="宋体" w:eastAsia="宋体" w:cs="宋体"/>
          <w:szCs w:val="21"/>
          <w:highlight w:val="none"/>
        </w:rPr>
        <w:t xml:space="preserve">9</w:t>
      </w:r>
      <w:bookmarkStart w:id="177" w:name="_Toc297123535"/>
      <w:r/>
      <w:bookmarkStart w:id="178" w:name="_Toc304295561"/>
      <w:r/>
      <w:bookmarkStart w:id="179" w:name="_Toc300934984"/>
      <w:r/>
      <w:bookmarkStart w:id="180" w:name="_Toc297216194"/>
      <w:r/>
      <w:bookmarkStart w:id="181" w:name="_Toc303539141"/>
      <w:r/>
      <w:bookmarkStart w:id="182" w:name="_Toc312678023"/>
      <w:r/>
      <w:bookmarkStart w:id="183" w:name="_Toc312677497"/>
      <w:r/>
      <w:bookmarkStart w:id="184" w:name="_Toc318581174"/>
      <w:r>
        <w:rPr>
          <w:rFonts w:hint="eastAsia" w:ascii="宋体" w:hAnsi="宋体" w:eastAsia="宋体" w:cs="宋体"/>
          <w:szCs w:val="21"/>
          <w:highlight w:val="none"/>
        </w:rPr>
        <w:t xml:space="preserve">.1.2 试验设备</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177"/>
      <w:r/>
      <w:bookmarkEnd w:id="178"/>
      <w:r/>
      <w:bookmarkEnd w:id="179"/>
      <w:r/>
      <w:bookmarkEnd w:id="180"/>
      <w:r/>
      <w:bookmarkEnd w:id="181"/>
      <w:r/>
      <w:bookmarkEnd w:id="182"/>
      <w:r/>
      <w:bookmarkEnd w:id="183"/>
      <w:r/>
      <w:bookmarkStart w:id="185" w:name="_Toc300934985"/>
      <w:r/>
      <w:bookmarkStart w:id="186" w:name="_Toc297123536"/>
      <w:r/>
      <w:bookmarkStart w:id="187" w:name="_Toc312677498"/>
      <w:r/>
      <w:bookmarkStart w:id="188" w:name="_Toc312678024"/>
      <w:r/>
      <w:bookmarkStart w:id="189" w:name="_Toc297216195"/>
      <w:r/>
      <w:bookmarkStart w:id="190" w:name="_Toc303539142"/>
      <w:r/>
      <w:bookmarkStart w:id="191" w:name="_Toc304295562"/>
      <w:r>
        <w:rPr>
          <w:rFonts w:hint="eastAsia" w:ascii="宋体" w:hAnsi="宋体" w:eastAsia="宋体" w:cs="宋体"/>
          <w:szCs w:val="21"/>
          <w:highlight w:val="none"/>
          <w:u w:val="single"/>
        </w:rPr>
        <w:t xml:space="preserve">满足施工现场实际需求并符合相关规定</w:t>
      </w:r>
      <w:r>
        <w:rPr>
          <w:rFonts w:hint="eastAsia" w:ascii="宋体" w:hAnsi="宋体" w:eastAsia="宋体" w:cs="宋体"/>
          <w:szCs w:val="21"/>
          <w:highlight w:val="none"/>
        </w:rPr>
        <w:t xml:space="preserve">。 </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满足施工现场实际需求并符合相关规定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满足施工现场实际需求并符合相关规定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192" w:name="_Toc17684"/>
      <w:r/>
      <w:bookmarkStart w:id="193" w:name="_Toc25369"/>
      <w:r/>
      <w:bookmarkStart w:id="194" w:name="_Toc22446"/>
      <w:r/>
      <w:bookmarkStart w:id="195" w:name="_Toc19683"/>
      <w:r>
        <w:rPr>
          <w:rFonts w:hint="eastAsia" w:ascii="宋体" w:hAnsi="宋体" w:eastAsia="宋体" w:cs="宋体"/>
          <w:color w:val="000000"/>
          <w:szCs w:val="21"/>
          <w:highlight w:val="none"/>
        </w:rPr>
        <w:t xml:space="preserve">9.4 现场工艺试验</w:t>
      </w:r>
      <w:bookmarkEnd w:id="192"/>
      <w:r/>
      <w:bookmarkEnd w:id="193"/>
      <w:r/>
      <w:bookmarkEnd w:id="194"/>
      <w:r/>
      <w:bookmarkEnd w:id="195"/>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满足施工现场实际需求并符合相关规定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184"/>
      <w:r/>
      <w:bookmarkEnd w:id="185"/>
      <w:r/>
      <w:bookmarkEnd w:id="186"/>
      <w:r/>
      <w:bookmarkEnd w:id="187"/>
      <w:r/>
      <w:bookmarkEnd w:id="188"/>
      <w:r/>
      <w:bookmarkEnd w:id="189"/>
      <w:r/>
      <w:bookmarkEnd w:id="190"/>
      <w:r/>
      <w:bookmarkEnd w:id="191"/>
      <w:r>
        <w:rPr>
          <w:rFonts w:hint="eastAsia" w:ascii="宋体" w:hAnsi="宋体" w:eastAsia="宋体" w:cs="宋体"/>
          <w:b/>
          <w:color w:val="000000"/>
          <w:sz w:val="24"/>
          <w:szCs w:val="24"/>
          <w:highlight w:val="none"/>
        </w:rPr>
        <w:t xml:space="preserve">10. 变更</w:t>
      </w:r>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10.1变更的范围</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Times New Roman"/>
          <w:szCs w:val="21"/>
          <w:highlight w:val="none"/>
          <w:u w:val="single"/>
        </w:rPr>
        <w:outlineLvl w:val="0"/>
      </w:pPr>
      <w:r>
        <w:rPr>
          <w:rFonts w:hint="eastAsia" w:ascii="宋体" w:hAnsi="宋体" w:eastAsia="宋体" w:cs="宋体"/>
          <w:color w:val="000000"/>
          <w:szCs w:val="21"/>
          <w:highlight w:val="none"/>
        </w:rPr>
        <w:t xml:space="preserve">关于变更的范围的约定：</w:t>
      </w:r>
      <w:r>
        <w:rPr>
          <w:rFonts w:hint="eastAsia" w:ascii="宋体" w:hAnsi="宋体" w:eastAsia="宋体" w:cs="宋体"/>
          <w:color w:val="000000"/>
          <w:szCs w:val="21"/>
          <w:highlight w:val="none"/>
          <w:u w:val="single"/>
        </w:rPr>
        <w:t xml:space="preserve">有关变更的处理办法按照相城经开区规定执行。承包人应及时对招标工程量清单数量与所施工实际工程数量进行校核，如两者的误差额达到以上文件要求的备案起点时，必须在分部分项工程实施前向发包方提出变更费用申请，否则工程结算时对因此造成的造价增加将不予认可</w:t>
      </w:r>
      <w:r>
        <w:rPr>
          <w:rFonts w:ascii="宋体" w:hAnsi="宋体" w:eastAsia="宋体" w:cs="Times New Roman"/>
          <w:szCs w:val="21"/>
          <w:highlight w:val="none"/>
          <w:u w:val="single"/>
        </w:rPr>
        <w:t xml:space="preserve">。</w:t>
      </w:r>
      <w:bookmarkStart w:id="196" w:name="_Toc28148"/>
      <w:r/>
      <w:bookmarkStart w:id="197" w:name="_Toc15978"/>
      <w:r/>
      <w:bookmarkStart w:id="198" w:name="_Toc18003"/>
      <w:r/>
      <w:bookmarkStart w:id="199" w:name="_Toc3960"/>
      <w:r>
        <w:rPr>
          <w:rFonts w:ascii="宋体" w:hAnsi="宋体" w:eastAsia="宋体" w:cs="Times New Roman"/>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10.4 变更估价</w:t>
      </w:r>
      <w:bookmarkEnd w:id="196"/>
      <w:r/>
      <w:bookmarkEnd w:id="197"/>
      <w:r/>
      <w:bookmarkEnd w:id="198"/>
      <w:r/>
      <w:bookmarkEnd w:id="199"/>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10.4.1 变更估价原则</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关于变更估价的约定: 发生变更、施工条件变化等，要由监理工程师、发包人同时确认方为有效；由于设计变更、现场签证、技术核定单等引起的新的工程量清单项目或清单项目工程数量的增减，其综合单价由承包人提出，经发包人及跟踪审计确认后，作为竣工结算依据；上述变更工程量与支付进度款同步。</w:t>
      </w:r>
      <w:r>
        <w:rPr>
          <w:rFonts w:ascii="宋体" w:hAnsi="宋体" w:eastAsia="宋体" w:cs="宋体"/>
          <w:color w:val="000000"/>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bookmarkStart w:id="200" w:name="_Toc292559907"/>
      <w:r/>
      <w:bookmarkStart w:id="201" w:name="_Toc297048383"/>
      <w:r/>
      <w:bookmarkStart w:id="202" w:name="_Toc296891025"/>
      <w:r/>
      <w:bookmarkStart w:id="203" w:name="_Toc296503197"/>
      <w:r/>
      <w:bookmarkStart w:id="204" w:name="_Toc296944536"/>
      <w:r/>
      <w:bookmarkStart w:id="205" w:name="_Toc296891237"/>
      <w:r/>
      <w:bookmarkStart w:id="206" w:name="_Toc300934993"/>
      <w:r/>
      <w:bookmarkStart w:id="207" w:name="_Toc296347196"/>
      <w:r/>
      <w:bookmarkStart w:id="208" w:name="_Toc303539150"/>
      <w:r/>
      <w:bookmarkStart w:id="209" w:name="_Toc296346698"/>
      <w:r/>
      <w:bookmarkStart w:id="210" w:name="_Toc297120497"/>
      <w:r/>
      <w:bookmarkStart w:id="211" w:name="_Toc292559402"/>
      <w:r/>
      <w:bookmarkStart w:id="212" w:name="_Toc297123544"/>
      <w:r/>
      <w:bookmarkStart w:id="213" w:name="_Toc297216203"/>
      <w:r/>
      <w:bookmarkStart w:id="214" w:name="_Toc304295570"/>
      <w:r/>
      <w:bookmarkStart w:id="215" w:name="_Toc312678029"/>
      <w:r/>
      <w:bookmarkStart w:id="216" w:name="_Toc312677503"/>
      <w:r>
        <w:rPr>
          <w:rFonts w:hint="eastAsia" w:ascii="宋体" w:hAnsi="宋体" w:eastAsia="宋体" w:cs="宋体"/>
          <w:color w:val="000000"/>
          <w:szCs w:val="21"/>
          <w:highlight w:val="none"/>
        </w:rPr>
        <w:t xml:space="preserve">0.5承</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Start w:id="217" w:name="_Toc297120503"/>
      <w:r/>
      <w:bookmarkStart w:id="218" w:name="_Toc292559408"/>
      <w:r/>
      <w:bookmarkStart w:id="219" w:name="_Toc303539151"/>
      <w:r/>
      <w:bookmarkStart w:id="220" w:name="_Toc297123545"/>
      <w:r/>
      <w:bookmarkStart w:id="221" w:name="_Toc296944542"/>
      <w:r/>
      <w:bookmarkStart w:id="222" w:name="_Toc297048389"/>
      <w:r/>
      <w:bookmarkStart w:id="223" w:name="_Toc297216204"/>
      <w:r/>
      <w:bookmarkStart w:id="224" w:name="_Toc296346704"/>
      <w:r/>
      <w:bookmarkStart w:id="225" w:name="_Toc296891031"/>
      <w:r/>
      <w:bookmarkStart w:id="226" w:name="_Toc296347202"/>
      <w:r/>
      <w:bookmarkStart w:id="227" w:name="_Toc296503203"/>
      <w:r/>
      <w:bookmarkStart w:id="228" w:name="_Toc296891243"/>
      <w:r/>
      <w:bookmarkStart w:id="229" w:name="_Toc292559913"/>
      <w:r/>
      <w:bookmarkStart w:id="230" w:name="_Toc300934994"/>
      <w:r>
        <w:rPr>
          <w:rFonts w:hint="eastAsia" w:ascii="宋体" w:hAnsi="宋体" w:eastAsia="宋体" w:cs="宋体"/>
          <w:color w:val="000000"/>
          <w:szCs w:val="21"/>
          <w:highlight w:val="none"/>
        </w:rPr>
        <w:t xml:space="preserve">包人的合理化建议</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u w:val="single"/>
        </w:rPr>
      </w:pPr>
      <w:r>
        <w:rPr>
          <w:rFonts w:hint="eastAsia" w:ascii="宋体" w:hAnsi="宋体" w:eastAsia="宋体" w:cs="宋体"/>
          <w:szCs w:val="21"/>
          <w:highlight w:val="none"/>
        </w:rPr>
        <w:t xml:space="preserve">承</w:t>
      </w:r>
      <w:bookmarkStart w:id="231" w:name="_Toc292559914"/>
      <w:r/>
      <w:bookmarkStart w:id="232" w:name="_Toc296503204"/>
      <w:r/>
      <w:bookmarkStart w:id="233" w:name="_Toc303539152"/>
      <w:r/>
      <w:bookmarkStart w:id="234" w:name="_Toc292559409"/>
      <w:r/>
      <w:bookmarkStart w:id="235" w:name="_Toc312677504"/>
      <w:r/>
      <w:bookmarkStart w:id="236" w:name="_Toc297120504"/>
      <w:r/>
      <w:bookmarkStart w:id="237" w:name="_Toc296891244"/>
      <w:r/>
      <w:bookmarkStart w:id="238" w:name="_Toc297216205"/>
      <w:r/>
      <w:bookmarkStart w:id="239" w:name="_Toc297123546"/>
      <w:r/>
      <w:bookmarkStart w:id="240" w:name="_Toc312678030"/>
      <w:r/>
      <w:bookmarkStart w:id="241" w:name="_Toc296347203"/>
      <w:r/>
      <w:bookmarkStart w:id="242" w:name="_Toc300934995"/>
      <w:r/>
      <w:bookmarkStart w:id="243" w:name="_Toc304295571"/>
      <w:r/>
      <w:bookmarkStart w:id="244" w:name="_Toc296891032"/>
      <w:r/>
      <w:bookmarkStart w:id="245" w:name="_Toc296346705"/>
      <w:r/>
      <w:bookmarkStart w:id="246" w:name="_Toc318581175"/>
      <w:r/>
      <w:bookmarkStart w:id="247" w:name="_Toc297048390"/>
      <w:r/>
      <w:bookmarkStart w:id="248" w:name="_Toc296944543"/>
      <w:r>
        <w:rPr>
          <w:rFonts w:hint="eastAsia" w:ascii="宋体" w:hAnsi="宋体" w:eastAsia="宋体" w:cs="宋体"/>
          <w:szCs w:val="21"/>
          <w:highlight w:val="none"/>
        </w:rPr>
        <w:t xml:space="preserve">包人提出的合理化建议降低了合同价格或者提高了工程经济效益的奖励的方法和金额为：</w:t>
      </w:r>
      <w:r>
        <w:rPr>
          <w:rFonts w:hint="eastAsia" w:ascii="宋体" w:hAnsi="宋体" w:eastAsia="宋体" w:cs="宋体"/>
          <w:szCs w:val="21"/>
          <w:highlight w:val="none"/>
          <w:u w:val="single"/>
        </w:rPr>
        <w:t xml:space="preserve">按相关规定</w:t>
      </w:r>
      <w:r>
        <w:rPr>
          <w:rFonts w:hint="eastAsia" w:ascii="宋体" w:hAnsi="宋体" w:eastAsia="宋体" w:cs="宋体"/>
          <w:szCs w:val="21"/>
          <w:highlight w:val="none"/>
        </w:rPr>
        <w:t xml:space="preserve">。</w:t>
      </w:r>
      <w:r>
        <w:rPr>
          <w:rFonts w:ascii="宋体" w:hAnsi="宋体" w:eastAsia="宋体" w:cs="宋体"/>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outlineLvl w:val="0"/>
      </w:pPr>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Start w:id="249" w:name="_Toc16143"/>
      <w:r/>
      <w:bookmarkStart w:id="250" w:name="_Toc8889"/>
      <w:r/>
      <w:bookmarkStart w:id="251" w:name="_Toc6188"/>
      <w:r/>
      <w:bookmarkStart w:id="252" w:name="_Toc23072"/>
      <w:r>
        <w:rPr>
          <w:rFonts w:hint="eastAsia" w:ascii="宋体" w:hAnsi="宋体" w:eastAsia="宋体" w:cs="宋体"/>
          <w:color w:val="000000"/>
          <w:szCs w:val="21"/>
          <w:highlight w:val="none"/>
        </w:rPr>
        <w:t xml:space="preserve">1</w:t>
      </w:r>
      <w:bookmarkStart w:id="253" w:name="_Toc296891239"/>
      <w:r/>
      <w:bookmarkStart w:id="254" w:name="_Toc296891027"/>
      <w:r/>
      <w:bookmarkStart w:id="255" w:name="_Toc303539154"/>
      <w:r/>
      <w:bookmarkStart w:id="256" w:name="_Toc296346700"/>
      <w:r/>
      <w:bookmarkStart w:id="257" w:name="_Toc292559909"/>
      <w:r/>
      <w:bookmarkStart w:id="258" w:name="_Toc296944538"/>
      <w:r/>
      <w:bookmarkStart w:id="259" w:name="_Toc296503199"/>
      <w:r/>
      <w:bookmarkStart w:id="260" w:name="_Toc300934997"/>
      <w:r/>
      <w:bookmarkStart w:id="261" w:name="_Toc297216207"/>
      <w:r/>
      <w:bookmarkStart w:id="262" w:name="_Toc297048385"/>
      <w:r/>
      <w:bookmarkStart w:id="263" w:name="_Toc304295574"/>
      <w:r/>
      <w:bookmarkStart w:id="264" w:name="_Toc296347198"/>
      <w:r/>
      <w:bookmarkStart w:id="265" w:name="_Toc297120499"/>
      <w:r/>
      <w:bookmarkStart w:id="266" w:name="_Toc292559404"/>
      <w:r/>
      <w:bookmarkStart w:id="267" w:name="_Toc312677507"/>
      <w:r/>
      <w:bookmarkStart w:id="268" w:name="_Toc297123548"/>
      <w:r/>
      <w:bookmarkStart w:id="269" w:name="_Toc312678033"/>
      <w:r>
        <w:rPr>
          <w:rFonts w:hint="eastAsia" w:ascii="宋体" w:hAnsi="宋体" w:eastAsia="宋体" w:cs="宋体"/>
          <w:color w:val="000000"/>
          <w:szCs w:val="21"/>
          <w:highlight w:val="none"/>
        </w:rPr>
        <w:t xml:space="preserve">0.7 暂估价</w:t>
      </w:r>
      <w:bookmarkEnd w:id="249"/>
      <w:r/>
      <w:bookmarkEnd w:id="250"/>
      <w:r/>
      <w:bookmarkEnd w:id="251"/>
      <w:r/>
      <w:bookmarkEnd w:id="252"/>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eastAsia="宋体" w:cs="宋体"/>
          <w:szCs w:val="21"/>
          <w:highlight w:val="none"/>
        </w:rPr>
        <w:t xml:space="preserve">暂</w:t>
      </w:r>
      <w:bookmarkStart w:id="270" w:name="_Toc318581176"/>
      <w:r/>
      <w:bookmarkStart w:id="271" w:name="_Toc312677508"/>
      <w:r/>
      <w:bookmarkStart w:id="272" w:name="_Toc312678034"/>
      <w:r>
        <w:rPr>
          <w:rFonts w:hint="eastAsia" w:ascii="宋体" w:hAnsi="宋体" w:eastAsia="宋体" w:cs="宋体"/>
          <w:szCs w:val="21"/>
          <w:highlight w:val="none"/>
        </w:rPr>
        <w:t xml:space="preserve">估价材料和工程设备的明细详见附件11：《</w:t>
      </w:r>
      <w:r>
        <w:rPr>
          <w:rFonts w:hint="eastAsia" w:ascii="宋体" w:hAnsi="宋体" w:eastAsia="宋体" w:cs="宋体"/>
          <w:color w:val="000000"/>
          <w:szCs w:val="21"/>
          <w:highlight w:val="none"/>
        </w:rPr>
        <w:t xml:space="preserve">暂估价一览表》</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bookmarkEnd w:id="270"/>
      <w:r/>
      <w:bookmarkEnd w:id="271"/>
      <w:r/>
      <w:bookmarkEnd w:id="272"/>
      <w:r>
        <w:rPr>
          <w:rFonts w:hint="eastAsia" w:ascii="宋体" w:hAnsi="宋体" w:eastAsia="宋体" w:cs="宋体"/>
          <w:szCs w:val="21"/>
          <w:highlight w:val="none"/>
        </w:rPr>
        <w:t xml:space="preserve">1</w:t>
      </w:r>
      <w:bookmarkStart w:id="273" w:name="_Toc318581177"/>
      <w:r/>
      <w:bookmarkStart w:id="274" w:name="_Toc312678035"/>
      <w:r/>
      <w:bookmarkStart w:id="275" w:name="_Toc312677509"/>
      <w:r>
        <w:rPr>
          <w:rFonts w:hint="eastAsia" w:ascii="宋体" w:hAnsi="宋体" w:eastAsia="宋体" w:cs="宋体"/>
          <w:szCs w:val="21"/>
          <w:highlight w:val="none"/>
        </w:rPr>
        <w:t xml:space="preserve">0.7.1 依法必须招标的暂估价项目</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bookmarkEnd w:id="273"/>
      <w:r/>
      <w:bookmarkEnd w:id="274"/>
      <w:r/>
      <w:bookmarkEnd w:id="275"/>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10.7.2 不属于依法必须招标的暂估价项目</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种方式确定。</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第3种方式：承包人直接实施的暂估价项目</w:t>
      </w:r>
      <w:r>
        <w:rPr>
          <w:rFonts w:ascii="宋体" w:hAnsi="宋体" w:eastAsia="宋体" w:cs="宋体"/>
          <w:color w:val="000000"/>
          <w:szCs w:val="21"/>
          <w:highlight w:val="none"/>
        </w:rPr>
      </w:r>
      <w:r/>
    </w:p>
    <w:p>
      <w:pPr>
        <w:pStyle w:val="1035"/>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按苏州市相关规定</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10.8 暂列金额</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合同当事人关于暂列金额使用的约定：</w:t>
      </w:r>
      <w:r>
        <w:rPr>
          <w:rFonts w:hint="eastAsia" w:ascii="宋体" w:hAnsi="宋体" w:eastAsia="宋体" w:cs="宋体"/>
          <w:szCs w:val="21"/>
          <w:highlight w:val="none"/>
          <w:u w:val="single"/>
        </w:rPr>
        <w:t xml:space="preserve">按发包人要求并符合相关规定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11. 价格调整</w:t>
      </w:r>
      <w:r>
        <w:rPr>
          <w:rFonts w:ascii="宋体" w:hAnsi="宋体" w:eastAsia="宋体" w:cs="宋体"/>
          <w:b/>
          <w:color w:val="000000"/>
          <w:sz w:val="24"/>
          <w:szCs w:val="24"/>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t xml:space="preserve">.1 市场价格波动引起的调整</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市场价格波动是否调整合同价格的约定：</w:t>
      </w:r>
      <w:r>
        <w:rPr>
          <w:rFonts w:ascii="宋体" w:hAnsi="宋体" w:eastAsia="宋体" w:cs="Times New Roman"/>
          <w:szCs w:val="21"/>
          <w:highlight w:val="none"/>
          <w:u w:val="single"/>
        </w:rPr>
        <w:t xml:space="preserve">    不调整       </w:t>
      </w:r>
      <w:r>
        <w:rPr>
          <w:rFonts w:ascii="宋体" w:hAnsi="宋体" w:eastAsia="宋体" w:cs="Times New Roman"/>
          <w:szCs w:val="21"/>
          <w:highlight w:val="none"/>
        </w:rPr>
        <w:t xml:space="preserve">。</w:t>
      </w:r>
      <w:r>
        <w:rPr>
          <w:rFonts w:ascii="宋体" w:hAnsi="宋体" w:eastAsia="宋体" w:cs="Times New Roman"/>
          <w:szCs w:val="21"/>
          <w:highlight w:val="none"/>
        </w:rPr>
      </w:r>
      <w:r/>
    </w:p>
    <w:p>
      <w:pPr>
        <w:pStyle w:val="1035"/>
        <w:ind w:left="399"/>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w:t>
      </w:r>
      <w:r>
        <w:rPr>
          <w:rFonts w:ascii="宋体" w:hAnsi="宋体" w:eastAsia="宋体" w:cs="Times New Roman"/>
          <w:szCs w:val="21"/>
          <w:highlight w:val="none"/>
        </w:rPr>
        <w:t xml:space="preserve">.2采购合同履行中，甲方需追加与合同标的相同的货物、工程或者服务的，在不改变合同其他条款的前提下，可以与供应商协商签订补充合同，但所有补充合同的采购金额不得超过原合同采购金额的百分之十。</w:t>
      </w:r>
      <w:r>
        <w:rPr>
          <w:rFonts w:ascii="宋体" w:hAnsi="宋体" w:eastAsia="宋体" w:cs="Times New Roman"/>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276" w:name="_Toc296503205"/>
      <w:r/>
      <w:bookmarkStart w:id="277" w:name="_Toc296891245"/>
      <w:r/>
      <w:bookmarkStart w:id="278" w:name="_Toc296944544"/>
      <w:r/>
      <w:bookmarkStart w:id="279" w:name="_Toc297120505"/>
      <w:r/>
      <w:bookmarkStart w:id="280" w:name="_Toc292559410"/>
      <w:r/>
      <w:bookmarkStart w:id="281" w:name="_Toc297048391"/>
      <w:r/>
      <w:bookmarkStart w:id="282" w:name="_Toc292559915"/>
      <w:r/>
      <w:bookmarkStart w:id="283" w:name="_Toc296346706"/>
      <w:r/>
      <w:bookmarkStart w:id="284" w:name="_Toc296347204"/>
      <w:r/>
      <w:bookmarkStart w:id="285" w:name="_Toc296891033"/>
      <w:r/>
      <w:bookmarkStart w:id="286" w:name="_Toc16928"/>
      <w:r/>
      <w:bookmarkStart w:id="287" w:name="_Toc21312"/>
      <w:r/>
      <w:bookmarkStart w:id="288" w:name="_Toc17128"/>
      <w:r/>
      <w:bookmarkStart w:id="289" w:name="_Toc351203644"/>
      <w:r/>
      <w:bookmarkStart w:id="290" w:name="_Toc5075"/>
      <w:r/>
      <w:bookmarkStart w:id="291" w:name="_Toc300935002"/>
      <w:r/>
      <w:bookmarkStart w:id="292" w:name="_Toc304295579"/>
      <w:r/>
      <w:bookmarkStart w:id="293" w:name="_Toc297123552"/>
      <w:r/>
      <w:bookmarkStart w:id="294" w:name="_Toc312678040"/>
      <w:r/>
      <w:bookmarkStart w:id="295" w:name="_Toc297216211"/>
      <w:r/>
      <w:bookmarkStart w:id="296" w:name="_Toc303539159"/>
      <w:r>
        <w:rPr>
          <w:rFonts w:hint="eastAsia" w:ascii="宋体" w:hAnsi="宋体" w:eastAsia="宋体" w:cs="宋体"/>
          <w:b/>
          <w:color w:val="000000"/>
          <w:sz w:val="24"/>
          <w:szCs w:val="24"/>
          <w:highlight w:val="none"/>
        </w:rPr>
        <w:t xml:space="preserve">12. </w:t>
      </w:r>
      <w:bookmarkEnd w:id="276"/>
      <w:r/>
      <w:bookmarkEnd w:id="277"/>
      <w:r/>
      <w:bookmarkEnd w:id="278"/>
      <w:r/>
      <w:bookmarkEnd w:id="279"/>
      <w:r/>
      <w:bookmarkEnd w:id="280"/>
      <w:r/>
      <w:bookmarkEnd w:id="281"/>
      <w:r/>
      <w:bookmarkEnd w:id="282"/>
      <w:r/>
      <w:bookmarkEnd w:id="283"/>
      <w:r/>
      <w:bookmarkEnd w:id="284"/>
      <w:r/>
      <w:bookmarkEnd w:id="285"/>
      <w:r>
        <w:rPr>
          <w:rFonts w:hint="eastAsia" w:ascii="宋体" w:hAnsi="宋体" w:eastAsia="宋体" w:cs="宋体"/>
          <w:b/>
          <w:color w:val="000000"/>
          <w:sz w:val="24"/>
          <w:szCs w:val="24"/>
          <w:highlight w:val="none"/>
        </w:rPr>
        <w:t xml:space="preserve">合同价格、计量与支付</w:t>
      </w:r>
      <w:bookmarkEnd w:id="286"/>
      <w:r/>
      <w:bookmarkEnd w:id="287"/>
      <w:r/>
      <w:bookmarkEnd w:id="288"/>
      <w:r/>
      <w:bookmarkEnd w:id="289"/>
      <w:r/>
      <w:bookmarkEnd w:id="290"/>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291"/>
      <w:r/>
      <w:bookmarkEnd w:id="292"/>
      <w:r/>
      <w:bookmarkEnd w:id="293"/>
      <w:r/>
      <w:bookmarkEnd w:id="294"/>
      <w:r/>
      <w:bookmarkEnd w:id="295"/>
      <w:r/>
      <w:bookmarkEnd w:id="296"/>
      <w:r/>
      <w:bookmarkStart w:id="297" w:name="_Toc292559916"/>
      <w:r/>
      <w:bookmarkStart w:id="298" w:name="_Toc292559411"/>
      <w:r/>
      <w:bookmarkStart w:id="299" w:name="_Toc267251461"/>
      <w:r/>
      <w:bookmarkStart w:id="300" w:name="_Toc296503206"/>
      <w:r/>
      <w:bookmarkStart w:id="301" w:name="_Toc296346707"/>
      <w:r/>
      <w:bookmarkStart w:id="302" w:name="_Toc297120506"/>
      <w:r/>
      <w:bookmarkStart w:id="303" w:name="_Toc296944545"/>
      <w:r/>
      <w:bookmarkStart w:id="304" w:name="_Toc296891246"/>
      <w:r/>
      <w:bookmarkStart w:id="305" w:name="_Toc296891034"/>
      <w:r/>
      <w:bookmarkStart w:id="306" w:name="_Toc296347205"/>
      <w:r/>
      <w:bookmarkStart w:id="307" w:name="_Toc297048392"/>
      <w:r/>
      <w:bookmarkStart w:id="308" w:name="_Toc300935003"/>
      <w:r/>
      <w:bookmarkStart w:id="309" w:name="_Toc303539160"/>
      <w:r/>
      <w:bookmarkStart w:id="310" w:name="_Toc297123553"/>
      <w:r/>
      <w:bookmarkStart w:id="311" w:name="_Toc312678041"/>
      <w:r/>
      <w:bookmarkStart w:id="312" w:name="_Toc297216212"/>
      <w:r/>
      <w:bookmarkStart w:id="313" w:name="_Toc304295580"/>
      <w:r>
        <w:rPr>
          <w:rFonts w:hint="eastAsia" w:ascii="宋体" w:hAnsi="宋体" w:eastAsia="宋体" w:cs="宋体"/>
          <w:color w:val="000000"/>
          <w:szCs w:val="21"/>
          <w:highlight w:val="none"/>
        </w:rPr>
        <w:t xml:space="preserve">12.1 合</w:t>
      </w:r>
      <w:bookmarkEnd w:id="297"/>
      <w:r/>
      <w:bookmarkEnd w:id="298"/>
      <w:r/>
      <w:bookmarkEnd w:id="299"/>
      <w:r>
        <w:rPr>
          <w:rFonts w:hint="eastAsia" w:ascii="宋体" w:hAnsi="宋体" w:eastAsia="宋体" w:cs="宋体"/>
          <w:color w:val="000000"/>
          <w:szCs w:val="21"/>
          <w:highlight w:val="none"/>
        </w:rPr>
        <w:t xml:space="preserve">同价</w:t>
      </w:r>
      <w:bookmarkEnd w:id="300"/>
      <w:r/>
      <w:bookmarkEnd w:id="301"/>
      <w:r/>
      <w:bookmarkEnd w:id="302"/>
      <w:r/>
      <w:bookmarkEnd w:id="303"/>
      <w:r/>
      <w:bookmarkEnd w:id="304"/>
      <w:r/>
      <w:bookmarkEnd w:id="305"/>
      <w:r/>
      <w:bookmarkEnd w:id="306"/>
      <w:r/>
      <w:bookmarkEnd w:id="307"/>
      <w:r>
        <w:rPr>
          <w:rFonts w:hint="eastAsia" w:ascii="宋体" w:hAnsi="宋体" w:eastAsia="宋体" w:cs="宋体"/>
          <w:color w:val="000000"/>
          <w:szCs w:val="21"/>
          <w:highlight w:val="none"/>
        </w:rPr>
        <w:t xml:space="preserve">格形式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08"/>
      <w:r/>
      <w:bookmarkEnd w:id="309"/>
      <w:r/>
      <w:bookmarkEnd w:id="310"/>
      <w:r/>
      <w:bookmarkEnd w:id="311"/>
      <w:r/>
      <w:bookmarkEnd w:id="312"/>
      <w:r/>
      <w:bookmarkEnd w:id="313"/>
      <w:r>
        <w:rPr>
          <w:rFonts w:hint="eastAsia" w:ascii="宋体" w:hAnsi="宋体" w:eastAsia="宋体" w:cs="宋体"/>
          <w:color w:val="000000"/>
          <w:szCs w:val="21"/>
          <w:highlight w:val="none"/>
        </w:rPr>
        <w:t xml:space="preserve">1、单价合同。</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综合单价包含的风险范围：</w:t>
      </w:r>
      <w:r>
        <w:rPr>
          <w:rFonts w:hint="eastAsia" w:ascii="宋体" w:hAnsi="宋体" w:eastAsia="宋体" w:cs="宋体"/>
          <w:color w:val="000000"/>
          <w:szCs w:val="21"/>
          <w:highlight w:val="none"/>
          <w:u w:val="single"/>
        </w:rPr>
        <w:t xml:space="preserve">除专用条款11.1条约定的合同价款的调整因素外，综合单价不调整</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风险费用的计算方法：</w:t>
      </w:r>
      <w:r>
        <w:rPr>
          <w:rFonts w:hint="eastAsia" w:ascii="宋体" w:hAnsi="宋体" w:eastAsia="宋体" w:cs="宋体"/>
          <w:color w:val="000000"/>
          <w:szCs w:val="21"/>
          <w:highlight w:val="none"/>
          <w:u w:val="single"/>
        </w:rPr>
        <w:t xml:space="preserve">本工程不计取风险费用</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风险范围以外合同价格的调整方法：</w:t>
      </w:r>
      <w:r>
        <w:rPr>
          <w:rFonts w:hint="eastAsia" w:ascii="宋体" w:hAnsi="宋体" w:eastAsia="宋体" w:cs="宋体"/>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2、总价合同。</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总价包含的风险范围：</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风险费用的计算方法：</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风险范围以外合同价格的调整方法：</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3、其他价格方式：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Start w:id="314" w:name="_Toc297123554"/>
      <w:r/>
      <w:bookmarkStart w:id="315" w:name="_Toc312678042"/>
      <w:r/>
      <w:bookmarkStart w:id="316" w:name="_Toc303539161"/>
      <w:r/>
      <w:bookmarkStart w:id="317" w:name="_Toc304295581"/>
      <w:r/>
      <w:bookmarkStart w:id="318" w:name="_Toc297216213"/>
      <w:r/>
      <w:bookmarkStart w:id="319" w:name="_Toc300935004"/>
      <w:r/>
      <w:bookmarkStart w:id="320" w:name="_Toc296944546"/>
      <w:r/>
      <w:bookmarkStart w:id="321" w:name="_Toc296346708"/>
      <w:r/>
      <w:bookmarkStart w:id="322" w:name="_Toc297048393"/>
      <w:r/>
      <w:bookmarkStart w:id="323" w:name="_Toc296891247"/>
      <w:r/>
      <w:bookmarkStart w:id="324" w:name="_Toc292559917"/>
      <w:r/>
      <w:bookmarkStart w:id="325" w:name="_Toc296891035"/>
      <w:r/>
      <w:bookmarkStart w:id="326" w:name="_Toc297120507"/>
      <w:r/>
      <w:bookmarkStart w:id="327" w:name="_Toc296347206"/>
      <w:r/>
      <w:bookmarkStart w:id="328" w:name="_Toc296503207"/>
      <w:r/>
      <w:bookmarkStart w:id="329" w:name="_Toc292559412"/>
      <w:r>
        <w:rPr>
          <w:rFonts w:hint="eastAsia" w:ascii="宋体" w:hAnsi="宋体" w:eastAsia="宋体" w:cs="宋体"/>
          <w:color w:val="000000"/>
          <w:szCs w:val="21"/>
          <w:highlight w:val="none"/>
        </w:rPr>
        <w:t xml:space="preserve">12.2 预付款</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14"/>
      <w:r/>
      <w:bookmarkEnd w:id="315"/>
      <w:r/>
      <w:bookmarkEnd w:id="316"/>
      <w:r/>
      <w:bookmarkEnd w:id="317"/>
      <w:r/>
      <w:bookmarkEnd w:id="318"/>
      <w:r/>
      <w:bookmarkEnd w:id="319"/>
      <w:r>
        <w:rPr>
          <w:rFonts w:hint="eastAsia" w:ascii="宋体" w:hAnsi="宋体" w:eastAsia="宋体" w:cs="宋体"/>
          <w:color w:val="000000"/>
          <w:szCs w:val="21"/>
          <w:highlight w:val="none"/>
        </w:rPr>
        <w:t xml:space="preserve">12.2.1 预付款的支付</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预付款支付比例或金额：</w:t>
      </w:r>
      <w:r>
        <w:rPr>
          <w:rFonts w:hint="eastAsia" w:ascii="宋体" w:hAnsi="宋体" w:eastAsia="宋体" w:cs="宋体"/>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预付款支付期限：</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预付款扣回的方式：</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12.2.2 预付款担保</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承包人提交预付款担保的期限：</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预付款担保的形式为：</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320"/>
      <w:r/>
      <w:bookmarkEnd w:id="321"/>
      <w:r/>
      <w:bookmarkEnd w:id="322"/>
      <w:r/>
      <w:bookmarkEnd w:id="323"/>
      <w:r/>
      <w:bookmarkEnd w:id="324"/>
      <w:r/>
      <w:bookmarkEnd w:id="325"/>
      <w:r/>
      <w:bookmarkEnd w:id="326"/>
      <w:r/>
      <w:bookmarkEnd w:id="327"/>
      <w:r/>
      <w:bookmarkEnd w:id="328"/>
      <w:r/>
      <w:bookmarkEnd w:id="329"/>
      <w:r>
        <w:rPr>
          <w:rFonts w:hint="eastAsia" w:ascii="宋体" w:hAnsi="宋体" w:eastAsia="宋体" w:cs="宋体"/>
          <w:color w:val="000000"/>
          <w:szCs w:val="21"/>
          <w:highlight w:val="none"/>
        </w:rPr>
        <w:t xml:space="preserve">12.3 计量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12.3.1 计量原则</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工程量计算规则：</w:t>
      </w:r>
      <w:r>
        <w:rPr>
          <w:rFonts w:hint="eastAsia" w:ascii="宋体" w:hAnsi="宋体" w:eastAsia="宋体" w:cs="宋体"/>
          <w:szCs w:val="21"/>
          <w:highlight w:val="none"/>
          <w:u w:val="single"/>
        </w:rPr>
        <w:t xml:space="preserve">按现行工程量计算规范</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12.3.2 计量周期</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关于计量周期的约定：</w:t>
      </w:r>
      <w:r>
        <w:rPr>
          <w:rFonts w:hint="eastAsia" w:ascii="宋体" w:hAnsi="宋体" w:eastAsia="宋体" w:cs="宋体"/>
          <w:szCs w:val="21"/>
          <w:highlight w:val="none"/>
          <w:u w:val="single"/>
        </w:rPr>
        <w:t xml:space="preserve">按月计量</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12.3.3 单价合同的计量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关于单价合同计量的约定：</w:t>
      </w:r>
      <w:r>
        <w:rPr>
          <w:rFonts w:hint="eastAsia" w:ascii="宋体" w:hAnsi="宋体" w:eastAsia="宋体" w:cs="宋体"/>
          <w:szCs w:val="21"/>
          <w:highlight w:val="none"/>
          <w:u w:val="single"/>
        </w:rPr>
        <w:t xml:space="preserve">（1）承包人应于每月25日向监理人报送上月20日至当月19日已完成的工程量报告，并附具进度付款申请单</w:t>
      </w:r>
      <w:r>
        <w:rPr>
          <w:rFonts w:hint="eastAsia" w:ascii="宋体" w:hAnsi="宋体" w:eastAsia="宋体" w:cs="宋体"/>
          <w:szCs w:val="21"/>
          <w:highlight w:val="none"/>
          <w:u w:val="single"/>
        </w:rPr>
        <w:t xml:space="preserve">、已完成工程量报表和有关资料。（2）监理人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12.3.4 总价合同的计量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关于总价合同计量的约定：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12.3.5总价合同采用支付分解表计量支付的，是否适用第12.3.4 项〔总价合同的计量〕约定进行计量：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12.3.6 其他价格形式合同的计量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其他价格形式的计量方式和程序：</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 工程进度款支付</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12.4.1 付款周期</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color w:val="000000"/>
          <w:szCs w:val="21"/>
          <w:highlight w:val="none"/>
        </w:rPr>
        <w:t xml:space="preserve">关于付款周期的约定：</w:t>
      </w:r>
      <w:r>
        <w:rPr>
          <w:rFonts w:hint="eastAsia" w:ascii="宋体" w:hAnsi="宋体" w:eastAsia="宋体" w:cs="宋体"/>
          <w:bCs/>
          <w:szCs w:val="21"/>
          <w:highlight w:val="none"/>
        </w:rPr>
        <w:t xml:space="preserve">甲方向乙方支付合同金额的10%作为预付款（如乙方明确说明不需预付款的，甲方不予支付）。</w:t>
      </w:r>
      <w:r>
        <w:rPr>
          <w:rFonts w:ascii="宋体" w:hAnsi="宋体" w:eastAsia="宋体" w:cs="宋体"/>
          <w:bCs/>
          <w:szCs w:val="21"/>
          <w:highlight w:val="none"/>
        </w:rPr>
      </w:r>
      <w:r/>
    </w:p>
    <w:p>
      <w:pPr>
        <w:pStyle w:val="1035"/>
        <w:ind w:firstLine="420"/>
        <w:spacing w:line="360" w:lineRule="auto"/>
        <w:widowControl/>
        <w:rPr>
          <w:rFonts w:ascii="宋体" w:hAnsi="宋体" w:eastAsia="宋体" w:cs="宋体"/>
          <w:bCs/>
          <w:szCs w:val="21"/>
          <w:highlight w:val="none"/>
        </w:rPr>
      </w:pPr>
      <w:r>
        <w:rPr>
          <w:rFonts w:hint="eastAsia" w:ascii="宋体" w:hAnsi="宋体" w:eastAsia="宋体" w:cs="宋体"/>
          <w:bCs/>
          <w:szCs w:val="21"/>
          <w:highlight w:val="none"/>
        </w:rPr>
        <w:t xml:space="preserve">项目开工后进度款按实际完成工程量的50%定期支付；工程竣工备案完成后最高付至合同总价（实际完成工程量）的60%；工程审计结束（以审计报告为准）付至审计价的70%；余款审计后2年内定期支付。因工程变更增加的价款在工程审计结束前（以审计报告为准）最多付至实际完成工程量的50%。</w:t>
      </w:r>
      <w:r>
        <w:rPr>
          <w:rFonts w:ascii="宋体" w:hAnsi="宋体" w:eastAsia="宋体" w:cs="宋体"/>
          <w:bCs/>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12.4.2 进度付款申请单的编制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关于进度付款申请单编制的约定：</w:t>
      </w:r>
      <w:r>
        <w:rPr>
          <w:rFonts w:hint="eastAsia" w:ascii="宋体" w:hAnsi="宋体" w:eastAsia="宋体" w:cs="宋体"/>
          <w:szCs w:val="21"/>
          <w:highlight w:val="none"/>
          <w:u w:val="single"/>
        </w:rPr>
        <w:t xml:space="preserve">按监理要求，并符合相关资料要求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12.4.3 进度付款申请单的提交</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（1）单价合同进度付款申请单提交的约定：</w:t>
      </w:r>
      <w:r>
        <w:rPr>
          <w:rFonts w:hint="eastAsia" w:ascii="宋体" w:hAnsi="宋体" w:eastAsia="宋体" w:cs="宋体"/>
          <w:szCs w:val="21"/>
          <w:highlight w:val="none"/>
          <w:u w:val="single"/>
        </w:rPr>
        <w:t xml:space="preserve">按监理及发包人要求，并符合相关资料要求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（2）总价合同进度付款申请单提交的约定：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（3）其他价格形式合同进度付款申请单提交的约定：</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12.4.4 进度款审核和支付</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（1）监理人审查并报送发包人的期限：</w:t>
      </w:r>
      <w:r>
        <w:rPr>
          <w:rFonts w:hint="eastAsia" w:ascii="宋体" w:hAnsi="宋体" w:eastAsia="宋体" w:cs="宋体"/>
          <w:szCs w:val="21"/>
          <w:highlight w:val="none"/>
          <w:u w:val="single"/>
        </w:rPr>
        <w:t xml:space="preserve">每月的25日之前</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发包人完成审批并签发进度款支付证书的期限：</w:t>
      </w:r>
      <w:r>
        <w:rPr>
          <w:rFonts w:hint="eastAsia" w:ascii="宋体" w:hAnsi="宋体" w:eastAsia="宋体" w:cs="宋体"/>
          <w:color w:val="000000"/>
          <w:szCs w:val="21"/>
          <w:highlight w:val="none"/>
          <w:u w:val="single"/>
        </w:rPr>
        <w:t xml:space="preserve">自监理单位批准之日起二日内</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（2）发包人支付进度款的期限：</w:t>
      </w:r>
      <w:r>
        <w:rPr>
          <w:rFonts w:hint="eastAsia" w:ascii="宋体" w:hAnsi="宋体" w:eastAsia="宋体" w:cs="宋体"/>
          <w:szCs w:val="21"/>
          <w:highlight w:val="none"/>
          <w:u w:val="single"/>
        </w:rPr>
        <w:t xml:space="preserve">按建设单位相关程序</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525"/>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发包人逾期支付进度款的违约金的计算方式：</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12.4.6 支付分解表的编制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2、总价合同支付分解表的编制与审批：</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3、单价合同的总价项目支付分解表的编制与审批：</w:t>
      </w:r>
      <w:r>
        <w:rPr>
          <w:rFonts w:hint="eastAsia" w:ascii="宋体" w:hAnsi="宋体" w:eastAsia="宋体" w:cs="宋体"/>
          <w:szCs w:val="21"/>
          <w:highlight w:val="none"/>
          <w:u w:val="single"/>
        </w:rPr>
        <w:t xml:space="preserve">按项目实际进度</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330" w:name="_Toc959"/>
      <w:r/>
      <w:bookmarkStart w:id="331" w:name="_Toc351203645"/>
      <w:r/>
      <w:bookmarkStart w:id="332" w:name="_Toc32323"/>
      <w:r/>
      <w:bookmarkStart w:id="333" w:name="_Toc9435"/>
      <w:r/>
      <w:bookmarkStart w:id="334" w:name="_Toc2380"/>
      <w:r/>
      <w:bookmarkStart w:id="335" w:name="_Toc297048405"/>
      <w:r/>
      <w:bookmarkStart w:id="336" w:name="_Toc297216223"/>
      <w:r/>
      <w:bookmarkStart w:id="337" w:name="_Toc296944558"/>
      <w:r/>
      <w:bookmarkStart w:id="338" w:name="_Toc304295593"/>
      <w:r/>
      <w:bookmarkStart w:id="339" w:name="_Toc296891259"/>
      <w:r/>
      <w:bookmarkStart w:id="340" w:name="_Toc303539172"/>
      <w:r/>
      <w:bookmarkStart w:id="341" w:name="_Toc296503219"/>
      <w:r/>
      <w:bookmarkStart w:id="342" w:name="_Toc296347218"/>
      <w:r/>
      <w:bookmarkStart w:id="343" w:name="_Toc297120519"/>
      <w:r/>
      <w:bookmarkStart w:id="344" w:name="_Toc292559424"/>
      <w:r/>
      <w:bookmarkStart w:id="345" w:name="_Toc312678053"/>
      <w:r/>
      <w:bookmarkStart w:id="346" w:name="_Toc292559929"/>
      <w:r/>
      <w:bookmarkStart w:id="347" w:name="_Toc297123564"/>
      <w:r/>
      <w:bookmarkStart w:id="348" w:name="_Toc296346720"/>
      <w:r/>
      <w:bookmarkStart w:id="349" w:name="_Toc296891047"/>
      <w:r/>
      <w:bookmarkStart w:id="350" w:name="_Toc300935015"/>
      <w:r>
        <w:rPr>
          <w:rFonts w:hint="eastAsia" w:ascii="宋体" w:hAnsi="宋体" w:eastAsia="宋体" w:cs="宋体"/>
          <w:b/>
          <w:color w:val="000000"/>
          <w:sz w:val="24"/>
          <w:szCs w:val="24"/>
          <w:highlight w:val="none"/>
        </w:rPr>
        <w:t xml:space="preserve">13. 验收和工程试车</w:t>
      </w:r>
      <w:bookmarkEnd w:id="330"/>
      <w:r/>
      <w:bookmarkEnd w:id="331"/>
      <w:r/>
      <w:bookmarkEnd w:id="332"/>
      <w:r/>
      <w:bookmarkEnd w:id="333"/>
      <w:r/>
      <w:bookmarkEnd w:id="334"/>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Pr>
          <w:rFonts w:hint="eastAsia" w:ascii="宋体" w:hAnsi="宋体" w:eastAsia="宋体" w:cs="宋体"/>
          <w:color w:val="000000"/>
          <w:szCs w:val="21"/>
          <w:highlight w:val="none"/>
        </w:rPr>
        <w:t xml:space="preserve">13.1 分部分项工程验收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13.1.2监理人不能按时进行验收时，应提前</w:t>
      </w:r>
      <w:r>
        <w:rPr>
          <w:rFonts w:hint="eastAsia" w:ascii="宋体" w:hAnsi="宋体" w:eastAsia="宋体" w:cs="宋体"/>
          <w:szCs w:val="21"/>
          <w:highlight w:val="none"/>
          <w:u w:val="single"/>
        </w:rPr>
        <w:t xml:space="preserve">24</w:t>
      </w:r>
      <w:r>
        <w:rPr>
          <w:rFonts w:hint="eastAsia" w:ascii="宋体" w:hAnsi="宋体" w:eastAsia="宋体" w:cs="宋体"/>
          <w:szCs w:val="21"/>
          <w:highlight w:val="none"/>
        </w:rPr>
        <w:t xml:space="preserve">小时提交书面延期要求。</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b/>
          <w:color w:val="000000"/>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48</w:t>
      </w:r>
      <w:r>
        <w:rPr>
          <w:rFonts w:hint="eastAsia" w:ascii="宋体" w:hAnsi="宋体" w:eastAsia="宋体" w:cs="宋体"/>
          <w:szCs w:val="21"/>
          <w:highlight w:val="none"/>
        </w:rPr>
        <w:t xml:space="preserve">小时。</w:t>
      </w:r>
      <w:r>
        <w:rPr>
          <w:rFonts w:ascii="宋体" w:hAnsi="宋体" w:eastAsia="宋体" w:cs="宋体"/>
          <w:b/>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Start w:id="351" w:name="_Toc297216224"/>
      <w:r/>
      <w:bookmarkStart w:id="352" w:name="_Toc292559933"/>
      <w:r/>
      <w:bookmarkStart w:id="353" w:name="_Toc312678056"/>
      <w:r/>
      <w:bookmarkStart w:id="354" w:name="_Toc297120523"/>
      <w:r/>
      <w:bookmarkStart w:id="355" w:name="_Toc304295596"/>
      <w:r/>
      <w:bookmarkStart w:id="356" w:name="_Toc296346724"/>
      <w:r/>
      <w:bookmarkStart w:id="357" w:name="_Toc296503223"/>
      <w:r/>
      <w:bookmarkStart w:id="358" w:name="_Toc296891051"/>
      <w:r/>
      <w:bookmarkStart w:id="359" w:name="_Toc296944562"/>
      <w:r/>
      <w:bookmarkStart w:id="360" w:name="_Toc296347222"/>
      <w:r/>
      <w:bookmarkStart w:id="361" w:name="_Toc292559428"/>
      <w:r/>
      <w:bookmarkStart w:id="362" w:name="_Toc303539173"/>
      <w:r/>
      <w:bookmarkStart w:id="363" w:name="_Toc297048409"/>
      <w:r/>
      <w:bookmarkStart w:id="364" w:name="_Toc296891263"/>
      <w:r/>
      <w:bookmarkStart w:id="365" w:name="_Toc297123565"/>
      <w:r/>
      <w:bookmarkStart w:id="366" w:name="_Toc300935016"/>
      <w:r/>
      <w:bookmarkStart w:id="367" w:name="_Toc267251476"/>
      <w:r/>
      <w:bookmarkStart w:id="368" w:name="_Toc267251473"/>
      <w:r/>
      <w:bookmarkStart w:id="369" w:name="_Toc267251470"/>
      <w:r/>
      <w:bookmarkStart w:id="370" w:name="_Toc267251471"/>
      <w:r/>
      <w:bookmarkStart w:id="371" w:name="_Toc267251472"/>
      <w:r/>
      <w:bookmarkStart w:id="372" w:name="_Toc267251475"/>
      <w:r/>
      <w:bookmarkStart w:id="373" w:name="_Toc267251474"/>
      <w:r>
        <w:rPr>
          <w:rFonts w:hint="eastAsia" w:ascii="宋体" w:hAnsi="宋体" w:eastAsia="宋体" w:cs="宋体"/>
          <w:color w:val="000000"/>
          <w:szCs w:val="21"/>
          <w:highlight w:val="none"/>
        </w:rPr>
        <w:t xml:space="preserve">13.2 竣工验收</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Start w:id="374" w:name="_Toc280868704"/>
      <w:r/>
      <w:bookmarkStart w:id="375" w:name="_Toc280868705"/>
      <w:r/>
      <w:bookmarkStart w:id="376" w:name="_Toc280868706"/>
      <w:r/>
      <w:bookmarkStart w:id="377" w:name="_Toc280868707"/>
      <w:r/>
      <w:bookmarkStart w:id="378" w:name="_Toc280868708"/>
      <w:r/>
      <w:bookmarkStart w:id="379" w:name="_Toc280868709"/>
      <w:r>
        <w:rPr>
          <w:rFonts w:hint="eastAsia" w:ascii="宋体" w:hAnsi="宋体" w:eastAsia="宋体" w:cs="宋体"/>
          <w:color w:val="000000"/>
          <w:szCs w:val="21"/>
          <w:highlight w:val="none"/>
        </w:rPr>
        <w:t xml:space="preserve">13.2.2竣工验收程序</w:t>
      </w:r>
      <w:r>
        <w:rPr>
          <w:rFonts w:ascii="宋体" w:hAnsi="宋体" w:eastAsia="宋体" w:cs="宋体"/>
          <w:color w:val="000000"/>
          <w:szCs w:val="21"/>
          <w:highlight w:val="none"/>
        </w:rPr>
      </w:r>
      <w:r/>
    </w:p>
    <w:p>
      <w:pPr>
        <w:pStyle w:val="1035"/>
        <w:ind w:left="1" w:firstLine="441"/>
        <w:jc w:val="left"/>
        <w:spacing w:line="360" w:lineRule="auto"/>
        <w:widowControl/>
        <w:rPr>
          <w:rFonts w:ascii="宋体" w:hAnsi="宋体" w:eastAsia="宋体" w:cs="宋体"/>
          <w:color w:val="000000"/>
          <w:szCs w:val="21"/>
          <w:highlight w:val="none"/>
        </w:rPr>
      </w:pPr>
      <w:r/>
      <w:bookmarkEnd w:id="374"/>
      <w:r>
        <w:rPr>
          <w:rFonts w:hint="eastAsia" w:ascii="宋体" w:hAnsi="宋体" w:eastAsia="宋体" w:cs="宋体"/>
          <w:color w:val="000000"/>
          <w:szCs w:val="21"/>
          <w:highlight w:val="none"/>
        </w:rPr>
        <w:t xml:space="preserve">关于竣工验收程序的约定：</w:t>
      </w:r>
      <w:r>
        <w:rPr>
          <w:rFonts w:hint="eastAsia" w:ascii="宋体" w:hAnsi="宋体" w:eastAsia="宋体" w:cs="宋体"/>
          <w:szCs w:val="21"/>
          <w:highlight w:val="none"/>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发包人不按照本项约定组织竣工验收、颁发工程接收证书的违约金的计算方法：</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75"/>
      <w:r>
        <w:rPr>
          <w:rFonts w:hint="eastAsia" w:ascii="宋体" w:hAnsi="宋体" w:eastAsia="宋体" w:cs="宋体"/>
          <w:color w:val="000000"/>
          <w:szCs w:val="21"/>
          <w:highlight w:val="none"/>
        </w:rPr>
        <w:t xml:space="preserve">13.2.5移交、接收全部与部分工程</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76"/>
      <w:r>
        <w:rPr>
          <w:rFonts w:hint="eastAsia" w:ascii="宋体" w:hAnsi="宋体" w:eastAsia="宋体" w:cs="宋体"/>
          <w:color w:val="000000"/>
          <w:szCs w:val="21"/>
          <w:highlight w:val="none"/>
        </w:rPr>
        <w:t xml:space="preserve">承包人向发包人移交工程的期限：</w:t>
      </w:r>
      <w:r>
        <w:rPr>
          <w:rFonts w:hint="eastAsia" w:ascii="宋体" w:hAnsi="宋体" w:eastAsia="宋体" w:cs="宋体"/>
          <w:szCs w:val="21"/>
          <w:highlight w:val="none"/>
          <w:u w:val="single"/>
        </w:rPr>
        <w:t xml:space="preserve">合同当事人应当在颁发工程接收证书后7天内完成工程的移交</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发包人未按本合同约定接收全部或部分工程的，违约金的计算方法为：</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bookmarkEnd w:id="377"/>
      <w:r>
        <w:rPr>
          <w:rFonts w:hint="eastAsia" w:ascii="宋体" w:hAnsi="宋体" w:eastAsia="宋体" w:cs="宋体"/>
          <w:color w:val="000000"/>
          <w:szCs w:val="21"/>
          <w:highlight w:val="none"/>
        </w:rPr>
        <w:t xml:space="preserve">承包人未按时移交工程的，违约金的计算方法为：</w:t>
      </w:r>
      <w:r>
        <w:rPr>
          <w:rFonts w:hint="eastAsia" w:ascii="宋体" w:hAnsi="宋体" w:eastAsia="宋体" w:cs="宋体"/>
          <w:color w:val="000000"/>
          <w:szCs w:val="21"/>
          <w:highlight w:val="none"/>
          <w:u w:val="single"/>
        </w:rPr>
        <w:t xml:space="preserve">如承包人延误总工期，每延期一天按合同金额0.5%/天支付违约金，以延误天数累计，所有的工期违约金累计最高不超过合同价的5%</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13.3 工程试车</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bookmarkEnd w:id="378"/>
      <w:r>
        <w:rPr>
          <w:rFonts w:hint="eastAsia" w:ascii="宋体" w:hAnsi="宋体" w:eastAsia="宋体" w:cs="宋体"/>
          <w:color w:val="000000"/>
          <w:szCs w:val="21"/>
          <w:highlight w:val="none"/>
        </w:rPr>
        <w:t xml:space="preserve">13.3.1 试车程序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工程试车内容：</w:t>
      </w:r>
      <w:r>
        <w:rPr>
          <w:rFonts w:hint="eastAsia" w:ascii="宋体" w:hAnsi="宋体" w:eastAsia="宋体" w:cs="宋体"/>
          <w:color w:val="000000"/>
          <w:szCs w:val="21"/>
          <w:highlight w:val="none"/>
          <w:u w:val="single"/>
        </w:rPr>
        <w:t xml:space="preserve">按项目实际情况</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（1）单机无负荷试车费用由</w:t>
      </w:r>
      <w:r>
        <w:rPr>
          <w:rFonts w:hint="eastAsia" w:ascii="宋体" w:hAnsi="宋体" w:eastAsia="宋体" w:cs="宋体"/>
          <w:color w:val="000000"/>
          <w:szCs w:val="21"/>
          <w:highlight w:val="none"/>
          <w:u w:val="single"/>
        </w:rPr>
        <w:t xml:space="preserve">发包人</w:t>
      </w:r>
      <w:r>
        <w:rPr>
          <w:rFonts w:hint="eastAsia" w:ascii="宋体" w:hAnsi="宋体" w:eastAsia="宋体" w:cs="宋体"/>
          <w:color w:val="000000"/>
          <w:szCs w:val="21"/>
          <w:highlight w:val="none"/>
        </w:rPr>
        <w:t xml:space="preserve">承担；</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（2）无负荷联动试车费用由</w:t>
      </w:r>
      <w:r>
        <w:rPr>
          <w:rFonts w:hint="eastAsia" w:ascii="宋体" w:hAnsi="宋体" w:eastAsia="宋体" w:cs="宋体"/>
          <w:color w:val="000000"/>
          <w:szCs w:val="21"/>
          <w:highlight w:val="none"/>
          <w:u w:val="single"/>
        </w:rPr>
        <w:t xml:space="preserve">发包人</w:t>
      </w:r>
      <w:r>
        <w:rPr>
          <w:rFonts w:hint="eastAsia" w:ascii="宋体" w:hAnsi="宋体" w:eastAsia="宋体" w:cs="宋体"/>
          <w:color w:val="000000"/>
          <w:szCs w:val="21"/>
          <w:highlight w:val="none"/>
        </w:rPr>
        <w:t xml:space="preserve">承担。</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13.3.3 投料试车</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关于投料试车相关事项的约定：</w:t>
      </w:r>
      <w:r>
        <w:rPr>
          <w:rFonts w:hint="eastAsia" w:ascii="宋体" w:hAnsi="宋体" w:eastAsia="宋体" w:cs="宋体"/>
          <w:color w:val="000000"/>
          <w:szCs w:val="21"/>
          <w:highlight w:val="none"/>
          <w:u w:val="single"/>
        </w:rPr>
        <w:t xml:space="preserve">  无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380" w:name="_Toc14184"/>
      <w:r/>
      <w:bookmarkStart w:id="381" w:name="_Toc26176"/>
      <w:r/>
      <w:bookmarkStart w:id="382" w:name="_Toc9549"/>
      <w:r/>
      <w:bookmarkStart w:id="383" w:name="_Toc17"/>
      <w:r>
        <w:rPr>
          <w:rFonts w:hint="eastAsia" w:ascii="宋体" w:hAnsi="宋体" w:eastAsia="宋体" w:cs="宋体"/>
          <w:color w:val="000000"/>
          <w:szCs w:val="21"/>
          <w:highlight w:val="none"/>
        </w:rPr>
        <w:t xml:space="preserve">13.6 竣工退场</w:t>
      </w:r>
      <w:bookmarkEnd w:id="380"/>
      <w:r/>
      <w:bookmarkEnd w:id="381"/>
      <w:r/>
      <w:bookmarkEnd w:id="382"/>
      <w:r/>
      <w:bookmarkEnd w:id="383"/>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13.6.1 竣工退场</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承包人完成竣工退场的期限：</w:t>
      </w:r>
      <w:r>
        <w:rPr>
          <w:rFonts w:hint="eastAsia" w:ascii="宋体" w:hAnsi="宋体" w:eastAsia="宋体" w:cs="宋体"/>
          <w:color w:val="000000"/>
          <w:szCs w:val="21"/>
          <w:highlight w:val="none"/>
          <w:u w:val="single"/>
        </w:rPr>
        <w:t xml:space="preserve">竣工验收合格后且不得影响发包人工作需求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384" w:name="_Toc351203646"/>
      <w:r/>
      <w:bookmarkStart w:id="385" w:name="_Toc19667"/>
      <w:r/>
      <w:bookmarkStart w:id="386" w:name="_Toc8558"/>
      <w:r/>
      <w:bookmarkStart w:id="387" w:name="_Toc23687"/>
      <w:r/>
      <w:bookmarkStart w:id="388" w:name="_Toc14354"/>
      <w:r>
        <w:rPr>
          <w:rFonts w:hint="eastAsia" w:ascii="宋体" w:hAnsi="宋体" w:eastAsia="宋体" w:cs="宋体"/>
          <w:b/>
          <w:color w:val="000000"/>
          <w:sz w:val="24"/>
          <w:szCs w:val="24"/>
          <w:highlight w:val="none"/>
        </w:rPr>
        <w:t xml:space="preserve">14. 竣工结算</w:t>
      </w:r>
      <w:bookmarkEnd w:id="384"/>
      <w:r/>
      <w:bookmarkEnd w:id="385"/>
      <w:r/>
      <w:bookmarkEnd w:id="386"/>
      <w:r/>
      <w:bookmarkEnd w:id="387"/>
      <w:r/>
      <w:bookmarkEnd w:id="388"/>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14.1 竣工结算申请</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承包人提交竣工结算申请单的期限：</w:t>
      </w:r>
      <w:r>
        <w:rPr>
          <w:rFonts w:hint="eastAsia" w:ascii="宋体" w:hAnsi="宋体" w:eastAsia="宋体" w:cs="宋体"/>
          <w:szCs w:val="21"/>
          <w:highlight w:val="none"/>
          <w:u w:val="single"/>
        </w:rPr>
        <w:t xml:space="preserve">承包人应在工程竣工验收合格后</w:t>
      </w:r>
      <w:r>
        <w:rPr>
          <w:rFonts w:hint="eastAsia" w:ascii="宋体" w:hAnsi="宋体" w:eastAsia="宋体" w:cs="宋体"/>
          <w:szCs w:val="21"/>
          <w:highlight w:val="none"/>
          <w:u w:val="single"/>
          <w:lang w:val="en-US" w:eastAsia="zh-CN"/>
        </w:rPr>
        <w:t xml:space="preserve">45</w:t>
      </w:r>
      <w:r>
        <w:rPr>
          <w:rFonts w:hint="eastAsia" w:ascii="宋体" w:hAnsi="宋体" w:eastAsia="宋体" w:cs="宋体"/>
          <w:szCs w:val="21"/>
          <w:highlight w:val="none"/>
          <w:u w:val="single"/>
        </w:rPr>
        <w:t xml:space="preserve">日内向发包人和监理人提交竣工结算申请资料</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竣工结算申请单应包括的内容：</w:t>
      </w:r>
      <w:r>
        <w:rPr>
          <w:rFonts w:hint="eastAsia" w:ascii="宋体" w:hAnsi="宋体" w:eastAsia="宋体" w:cs="宋体"/>
          <w:szCs w:val="21"/>
          <w:highlight w:val="none"/>
          <w:u w:val="single"/>
        </w:rPr>
        <w:t xml:space="preserve">竣工验收合格后</w:t>
      </w:r>
      <w:r>
        <w:rPr>
          <w:rFonts w:hint="eastAsia" w:ascii="宋体" w:hAnsi="宋体" w:eastAsia="宋体" w:cs="宋体"/>
          <w:szCs w:val="21"/>
          <w:highlight w:val="none"/>
          <w:u w:val="single"/>
          <w:lang w:val="en-US" w:eastAsia="zh-CN"/>
        </w:rPr>
        <w:t xml:space="preserve">45</w:t>
      </w:r>
      <w:r>
        <w:rPr>
          <w:rFonts w:hint="eastAsia" w:ascii="宋体" w:hAnsi="宋体" w:eastAsia="宋体" w:cs="宋体"/>
          <w:szCs w:val="21"/>
          <w:highlight w:val="none"/>
          <w:u w:val="single"/>
        </w:rPr>
        <w:t xml:space="preserve">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389" w:name="_Toc14785"/>
      <w:r/>
      <w:bookmarkStart w:id="390" w:name="_Toc26235"/>
      <w:r/>
      <w:bookmarkStart w:id="391" w:name="_Toc8187"/>
      <w:r/>
      <w:bookmarkStart w:id="392" w:name="_Toc22886"/>
      <w:r>
        <w:rPr>
          <w:rFonts w:hint="eastAsia" w:ascii="宋体" w:hAnsi="宋体" w:eastAsia="宋体" w:cs="宋体"/>
          <w:color w:val="000000"/>
          <w:szCs w:val="21"/>
          <w:highlight w:val="none"/>
        </w:rPr>
        <w:t xml:space="preserve">14.2 竣工结算审核</w:t>
      </w:r>
      <w:bookmarkEnd w:id="389"/>
      <w:r/>
      <w:bookmarkEnd w:id="390"/>
      <w:r/>
      <w:bookmarkEnd w:id="391"/>
      <w:r/>
      <w:bookmarkEnd w:id="392"/>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发包人审批竣工付款申请单的期限：</w:t>
      </w:r>
      <w:r>
        <w:rPr>
          <w:rFonts w:hint="eastAsia" w:ascii="宋体" w:hAnsi="宋体" w:eastAsia="宋体" w:cs="宋体"/>
          <w:szCs w:val="21"/>
          <w:highlight w:val="none"/>
          <w:u w:val="single"/>
        </w:rPr>
        <w:t xml:space="preserve">发包人应在收到监理人提交的经审核的完整竣工结算申请资料后按相关文件规定完成审批</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关于竣工付款证书异议部分复核的方式和程序：</w:t>
      </w:r>
      <w:r>
        <w:rPr>
          <w:rFonts w:hint="eastAsia" w:ascii="宋体" w:hAnsi="宋体" w:eastAsia="宋体" w:cs="宋体"/>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14.4 最终结清</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14.4.1 最终结清申请单</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承包人提交最终结清申请单的份数：</w:t>
      </w:r>
      <w:r>
        <w:rPr>
          <w:rFonts w:hint="eastAsia" w:ascii="宋体" w:hAnsi="宋体" w:eastAsia="宋体" w:cs="宋体"/>
          <w:szCs w:val="21"/>
          <w:highlight w:val="none"/>
          <w:u w:val="single"/>
        </w:rPr>
        <w:t xml:space="preserve">按建设单位相关要求</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color w:val="000000"/>
          <w:szCs w:val="21"/>
          <w:highlight w:val="none"/>
        </w:rPr>
        <w:t xml:space="preserve">承包人提交最终结算申请单的期限：</w:t>
      </w:r>
      <w:r>
        <w:rPr>
          <w:rFonts w:hint="eastAsia" w:ascii="宋体" w:hAnsi="宋体" w:eastAsia="宋体" w:cs="宋体"/>
          <w:szCs w:val="21"/>
          <w:highlight w:val="none"/>
          <w:u w:val="single"/>
        </w:rPr>
        <w:t xml:space="preserve">缺陷责任期终止后按建设单位相关程序</w:t>
      </w:r>
      <w:r>
        <w:rPr>
          <w:rFonts w:hint="eastAsia" w:ascii="宋体" w:hAnsi="宋体" w:eastAsia="宋体" w:cs="宋体"/>
          <w:color w:val="000000"/>
          <w:szCs w:val="21"/>
          <w:highlight w:val="none"/>
        </w:rPr>
        <w:t xml:space="preserve">。</w:t>
      </w:r>
      <w:r>
        <w:rPr>
          <w:rFonts w:hint="eastAsia" w:ascii="宋体" w:hAnsi="宋体" w:eastAsia="宋体" w:cs="宋体"/>
          <w:szCs w:val="21"/>
          <w:highlight w:val="none"/>
        </w:rPr>
        <w:t xml:space="preserve"> </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14.4.2 最终结清证书和支付</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发包人应在收到承包人提交的最终结清申请单后按建设单位相关程序完成审批并向承包人颁发最终结清证书</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发包人应在颁发最终结清证书后按建设单位相关程序完成支付</w:t>
      </w:r>
      <w:r>
        <w:rPr>
          <w:rFonts w:hint="eastAsia" w:ascii="宋体" w:hAnsi="宋体" w:eastAsia="宋体" w:cs="宋体"/>
          <w:color w:val="000000"/>
          <w:szCs w:val="21"/>
          <w:highlight w:val="none"/>
        </w:rPr>
        <w:t xml:space="preserve">。</w:t>
      </w:r>
      <w:r>
        <w:rPr>
          <w:rFonts w:ascii="宋体" w:hAnsi="宋体" w:eastAsia="宋体" w:cs="宋体"/>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367"/>
      <w:r/>
      <w:bookmarkEnd w:id="368"/>
      <w:r/>
      <w:bookmarkEnd w:id="369"/>
      <w:r/>
      <w:bookmarkEnd w:id="370"/>
      <w:r/>
      <w:bookmarkEnd w:id="371"/>
      <w:r/>
      <w:bookmarkEnd w:id="372"/>
      <w:r/>
      <w:bookmarkEnd w:id="373"/>
      <w:r/>
      <w:bookmarkEnd w:id="379"/>
      <w:r/>
      <w:bookmarkStart w:id="393" w:name="_Toc10856"/>
      <w:r/>
      <w:bookmarkStart w:id="394" w:name="_Toc11617"/>
      <w:r/>
      <w:bookmarkStart w:id="395" w:name="_Toc26802"/>
      <w:r/>
      <w:bookmarkStart w:id="396" w:name="_Toc21393"/>
      <w:r/>
      <w:bookmarkStart w:id="397" w:name="_Toc351203647"/>
      <w:r/>
      <w:bookmarkStart w:id="398" w:name="_Toc267251483"/>
      <w:r/>
      <w:bookmarkStart w:id="399" w:name="_Toc267251498"/>
      <w:r/>
      <w:bookmarkStart w:id="400" w:name="_Toc267251507"/>
      <w:r/>
      <w:bookmarkStart w:id="401" w:name="_Toc267251508"/>
      <w:r/>
      <w:bookmarkStart w:id="402" w:name="_Toc267251514"/>
      <w:r/>
      <w:bookmarkStart w:id="403" w:name="_Toc267251509"/>
      <w:r/>
      <w:bookmarkStart w:id="404" w:name="_Toc267251511"/>
      <w:r/>
      <w:bookmarkStart w:id="405" w:name="_Toc267251510"/>
      <w:r/>
      <w:bookmarkStart w:id="406" w:name="_Toc267251515"/>
      <w:r/>
      <w:bookmarkStart w:id="407" w:name="_Toc267251488"/>
      <w:r/>
      <w:bookmarkStart w:id="408" w:name="_Toc267251482"/>
      <w:r/>
      <w:bookmarkStart w:id="409" w:name="_Toc267251484"/>
      <w:r/>
      <w:bookmarkStart w:id="410" w:name="_Toc267251485"/>
      <w:r/>
      <w:bookmarkStart w:id="411" w:name="_Toc267251486"/>
      <w:r/>
      <w:bookmarkStart w:id="412" w:name="_Toc267251490"/>
      <w:r/>
      <w:bookmarkStart w:id="413" w:name="_Toc267251489"/>
      <w:r/>
      <w:bookmarkStart w:id="414" w:name="_Toc267251497"/>
      <w:r/>
      <w:bookmarkStart w:id="415" w:name="_Toc267251513"/>
      <w:r/>
      <w:bookmarkStart w:id="416" w:name="_Toc267251502"/>
      <w:r/>
      <w:bookmarkStart w:id="417" w:name="_Toc267251491"/>
      <w:r/>
      <w:bookmarkStart w:id="418" w:name="_Toc267251492"/>
      <w:r/>
      <w:bookmarkStart w:id="419" w:name="_Toc267251499"/>
      <w:r/>
      <w:bookmarkStart w:id="420" w:name="_Toc267251501"/>
      <w:r/>
      <w:bookmarkStart w:id="421" w:name="_Toc267251496"/>
      <w:r/>
      <w:bookmarkStart w:id="422" w:name="_Toc267251495"/>
      <w:r/>
      <w:bookmarkStart w:id="423" w:name="_Toc267251493"/>
      <w:r/>
      <w:bookmarkStart w:id="424" w:name="_Toc267251503"/>
      <w:r/>
      <w:bookmarkStart w:id="425" w:name="_Toc267251494"/>
      <w:r/>
      <w:bookmarkStart w:id="426" w:name="_Toc267251504"/>
      <w:r/>
      <w:bookmarkStart w:id="427" w:name="_Toc267251506"/>
      <w:r>
        <w:rPr>
          <w:rFonts w:hint="eastAsia" w:ascii="宋体" w:hAnsi="宋体" w:eastAsia="宋体" w:cs="宋体"/>
          <w:b/>
          <w:color w:val="000000"/>
          <w:sz w:val="24"/>
          <w:szCs w:val="24"/>
          <w:highlight w:val="none"/>
        </w:rPr>
        <w:t xml:space="preserve">15. 缺陷责任期与保修</w:t>
      </w:r>
      <w:bookmarkEnd w:id="393"/>
      <w:r/>
      <w:bookmarkEnd w:id="394"/>
      <w:r/>
      <w:bookmarkEnd w:id="395"/>
      <w:r/>
      <w:bookmarkEnd w:id="396"/>
      <w:r/>
      <w:bookmarkEnd w:id="397"/>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15.2缺陷责任期</w:t>
      </w:r>
      <w:bookmarkEnd w:id="398"/>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缺陷责任期的具体期限：</w:t>
      </w:r>
      <w:r>
        <w:rPr>
          <w:rFonts w:hint="eastAsia" w:ascii="宋体" w:hAnsi="宋体" w:eastAsia="宋体" w:cs="宋体"/>
          <w:szCs w:val="21"/>
          <w:highlight w:val="none"/>
          <w:u w:val="single"/>
        </w:rPr>
        <w:t xml:space="preserve">按国家相关规定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28" w:name="_Toc23703"/>
      <w:r/>
      <w:bookmarkStart w:id="429" w:name="_Toc12002"/>
      <w:r/>
      <w:bookmarkStart w:id="430" w:name="_Toc30777"/>
      <w:r/>
      <w:bookmarkStart w:id="431" w:name="_Toc8293"/>
      <w:r>
        <w:rPr>
          <w:rFonts w:hint="eastAsia" w:ascii="宋体" w:hAnsi="宋体" w:eastAsia="宋体" w:cs="宋体"/>
          <w:color w:val="000000"/>
          <w:szCs w:val="21"/>
          <w:highlight w:val="none"/>
        </w:rPr>
        <w:t xml:space="preserve">15.3 质量保证金</w:t>
      </w:r>
      <w:bookmarkEnd w:id="428"/>
      <w:r/>
      <w:bookmarkEnd w:id="429"/>
      <w:r/>
      <w:bookmarkEnd w:id="430"/>
      <w:r/>
      <w:bookmarkEnd w:id="431"/>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关于是否扣留质量保证金的约定：</w:t>
      </w:r>
      <w:r>
        <w:rPr>
          <w:rFonts w:hint="eastAsia" w:ascii="宋体" w:hAnsi="宋体" w:eastAsia="宋体" w:cs="宋体"/>
          <w:color w:val="000000"/>
          <w:szCs w:val="21"/>
          <w:highlight w:val="none"/>
          <w:u w:val="single"/>
        </w:rPr>
        <w:t xml:space="preserve">是</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在工程项目竣工前，承包人按专用合同条款第3.7条提供履约担保的，发包人不得同时预留工程质量保证金。</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32" w:name="_Toc19005"/>
      <w:r/>
      <w:bookmarkStart w:id="433" w:name="_Toc15700"/>
      <w:r/>
      <w:bookmarkStart w:id="434" w:name="_Toc21507"/>
      <w:r/>
      <w:bookmarkStart w:id="435" w:name="_Toc26593"/>
      <w:r>
        <w:rPr>
          <w:rFonts w:hint="eastAsia" w:ascii="宋体" w:hAnsi="宋体" w:eastAsia="宋体" w:cs="宋体"/>
          <w:color w:val="000000"/>
          <w:szCs w:val="21"/>
          <w:highlight w:val="none"/>
        </w:rPr>
        <w:t xml:space="preserve">15.3.1 承包人提供质量保证金的方式</w:t>
      </w:r>
      <w:bookmarkEnd w:id="432"/>
      <w:r/>
      <w:bookmarkEnd w:id="433"/>
      <w:r/>
      <w:bookmarkEnd w:id="434"/>
      <w:r/>
      <w:bookmarkEnd w:id="435"/>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质量保证金采用以下第</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种方式：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（1）质量保证金保函，保证金额为：</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szCs w:val="21"/>
          <w:highlight w:val="none"/>
          <w:u w:val="single"/>
        </w:rPr>
        <w:t xml:space="preserve">结算审定金额的3</w:t>
      </w:r>
      <w:r>
        <w:rPr>
          <w:rFonts w:hint="eastAsia" w:ascii="宋体" w:hAnsi="宋体" w:eastAsia="宋体" w:cs="宋体"/>
          <w:color w:val="000000"/>
          <w:szCs w:val="21"/>
          <w:highlight w:val="none"/>
        </w:rPr>
        <w:t xml:space="preserve">%的工程款；</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（3）其他方式: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36" w:name="_Toc27170"/>
      <w:r/>
      <w:bookmarkStart w:id="437" w:name="_Toc5259"/>
      <w:r/>
      <w:bookmarkStart w:id="438" w:name="_Toc31455"/>
      <w:r/>
      <w:bookmarkStart w:id="439" w:name="_Toc5326"/>
      <w:r>
        <w:rPr>
          <w:rFonts w:hint="eastAsia" w:ascii="宋体" w:hAnsi="宋体" w:eastAsia="宋体" w:cs="宋体"/>
          <w:color w:val="000000"/>
          <w:szCs w:val="21"/>
          <w:highlight w:val="none"/>
        </w:rPr>
        <w:t xml:space="preserve">15.3.2 质量保证金的扣留</w:t>
      </w:r>
      <w:bookmarkEnd w:id="436"/>
      <w:r/>
      <w:bookmarkEnd w:id="437"/>
      <w:r/>
      <w:bookmarkEnd w:id="438"/>
      <w:r/>
      <w:bookmarkEnd w:id="439"/>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质量保证金的扣留采取以下第</w:t>
      </w:r>
      <w:r>
        <w:rPr>
          <w:rFonts w:hint="eastAsia" w:ascii="宋体" w:hAnsi="宋体" w:eastAsia="宋体" w:cs="宋体"/>
          <w:color w:val="000000"/>
          <w:szCs w:val="21"/>
          <w:highlight w:val="none"/>
          <w:u w:val="single"/>
        </w:rPr>
        <w:t xml:space="preserve">（2）</w:t>
      </w:r>
      <w:r>
        <w:rPr>
          <w:rFonts w:hint="eastAsia" w:ascii="宋体" w:hAnsi="宋体" w:eastAsia="宋体" w:cs="宋体"/>
          <w:color w:val="000000"/>
          <w:szCs w:val="21"/>
          <w:highlight w:val="none"/>
        </w:rPr>
        <w:t xml:space="preserve">种方式：</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（1）在支付工程进度款时逐次扣留，在此情形下，质量保证金的计算基数不包括预付款的支付、扣回以及价格调整的金额；</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40" w:name="_Toc27644"/>
      <w:r/>
      <w:bookmarkStart w:id="441" w:name="_Toc28500"/>
      <w:r/>
      <w:bookmarkStart w:id="442" w:name="_Toc18959"/>
      <w:r/>
      <w:bookmarkStart w:id="443" w:name="_Toc18123"/>
      <w:r>
        <w:rPr>
          <w:rFonts w:hint="eastAsia" w:ascii="宋体" w:hAnsi="宋体" w:eastAsia="宋体" w:cs="宋体"/>
          <w:color w:val="000000"/>
          <w:szCs w:val="21"/>
          <w:highlight w:val="none"/>
        </w:rPr>
        <w:t xml:space="preserve">（2）工程竣工结算时一次性扣留质量保证金；</w:t>
      </w:r>
      <w:bookmarkEnd w:id="440"/>
      <w:r/>
      <w:bookmarkEnd w:id="441"/>
      <w:r/>
      <w:bookmarkEnd w:id="442"/>
      <w:r/>
      <w:bookmarkEnd w:id="443"/>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（3）其他扣留方式:</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关于质量保证金的补充约定：</w:t>
      </w:r>
      <w:r>
        <w:rPr>
          <w:rFonts w:hint="eastAsia" w:ascii="宋体" w:hAnsi="宋体" w:eastAsia="宋体" w:cs="宋体"/>
          <w:color w:val="000000"/>
          <w:szCs w:val="21"/>
          <w:highlight w:val="none"/>
          <w:u w:val="single"/>
        </w:rPr>
        <w:t xml:space="preserve">详见质量保修书</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408"/>
      <w:r/>
      <w:bookmarkEnd w:id="409"/>
      <w:r>
        <w:rPr>
          <w:rFonts w:hint="eastAsia" w:ascii="宋体" w:hAnsi="宋体" w:eastAsia="宋体" w:cs="宋体"/>
          <w:color w:val="000000"/>
          <w:szCs w:val="21"/>
          <w:highlight w:val="none"/>
        </w:rPr>
        <w:t xml:space="preserve">15.4保修</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rPr>
      </w:pPr>
      <w:r/>
      <w:bookmarkEnd w:id="410"/>
      <w:r>
        <w:rPr>
          <w:rFonts w:hint="eastAsia" w:ascii="宋体" w:hAnsi="宋体" w:eastAsia="宋体" w:cs="宋体"/>
          <w:color w:val="000000"/>
          <w:szCs w:val="21"/>
          <w:highlight w:val="none"/>
        </w:rPr>
        <w:t xml:space="preserve">15.4.1 保修责任</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工程保修期为：</w:t>
      </w:r>
      <w:r>
        <w:rPr>
          <w:rFonts w:hint="eastAsia" w:ascii="宋体" w:hAnsi="宋体" w:eastAsia="宋体" w:cs="宋体"/>
          <w:color w:val="000000"/>
          <w:szCs w:val="21"/>
          <w:highlight w:val="none"/>
          <w:u w:val="single"/>
        </w:rPr>
        <w:t xml:space="preserve">按国家相关规定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15.4.3 修复通知</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承包人收到保修通知并到达工程现场的合理时间： </w:t>
      </w:r>
      <w:r>
        <w:rPr>
          <w:rFonts w:ascii="宋体" w:hAnsi="宋体" w:eastAsia="宋体" w:cs="宋体"/>
          <w:color w:val="000000"/>
          <w:szCs w:val="21"/>
          <w:highlight w:val="non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1）建筑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a)承包人未能按期到场核查或维修的；</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b)承包人自接到保修通知之日起三日仍未给予回复的；</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c)连续两次维修仍未能解决问题，修补缺陷的；</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d)双方约定的其它情形。</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u w:val="single"/>
        </w:rPr>
        <w:t xml:space="preserve">3)因承包人负责的设计、施工或提供的材料不符合合同要求，或由于承包人未能遵守合同约定而造成的工程缺陷，该部分工程的保修期重新计算。</w:t>
      </w:r>
      <w:r>
        <w:rPr>
          <w:rFonts w:ascii="宋体" w:hAnsi="宋体" w:eastAsia="宋体" w:cs="宋体"/>
          <w:color w:val="000000"/>
          <w:szCs w:val="21"/>
          <w:highlight w:val="none"/>
          <w:u w:val="single"/>
        </w:rPr>
      </w:r>
      <w:r/>
    </w:p>
    <w:p>
      <w:pPr>
        <w:pStyle w:val="1035"/>
        <w:ind w:firstLine="409"/>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407"/>
      <w:r/>
      <w:bookmarkEnd w:id="411"/>
      <w:r/>
      <w:bookmarkEnd w:id="412"/>
      <w:r/>
      <w:bookmarkEnd w:id="413"/>
      <w:r/>
      <w:bookmarkStart w:id="444" w:name="_Toc4825"/>
      <w:r/>
      <w:bookmarkStart w:id="445" w:name="_Toc280868718"/>
      <w:r/>
      <w:bookmarkStart w:id="446" w:name="_Toc351203648"/>
      <w:r/>
      <w:bookmarkStart w:id="447" w:name="_Toc21564"/>
      <w:r/>
      <w:bookmarkStart w:id="448" w:name="_Toc31207"/>
      <w:r/>
      <w:bookmarkStart w:id="449" w:name="_Toc2497"/>
      <w:r/>
      <w:bookmarkStart w:id="450" w:name="_Toc280868717"/>
      <w:r>
        <w:rPr>
          <w:rFonts w:hint="eastAsia" w:ascii="宋体" w:hAnsi="宋体" w:eastAsia="宋体" w:cs="宋体"/>
          <w:b/>
          <w:color w:val="000000"/>
          <w:sz w:val="24"/>
          <w:szCs w:val="24"/>
          <w:highlight w:val="none"/>
        </w:rPr>
        <w:t xml:space="preserve">16. 违约</w:t>
      </w:r>
      <w:bookmarkEnd w:id="444"/>
      <w:r/>
      <w:bookmarkEnd w:id="446"/>
      <w:r/>
      <w:bookmarkEnd w:id="447"/>
      <w:r/>
      <w:bookmarkEnd w:id="448"/>
      <w:r/>
      <w:bookmarkEnd w:id="449"/>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51" w:name="_Toc19756"/>
      <w:r/>
      <w:bookmarkStart w:id="452" w:name="_Toc6166"/>
      <w:r/>
      <w:bookmarkStart w:id="453" w:name="_Toc23246"/>
      <w:r/>
      <w:bookmarkStart w:id="454" w:name="_Toc27757"/>
      <w:r>
        <w:rPr>
          <w:rFonts w:hint="eastAsia" w:ascii="宋体" w:hAnsi="宋体" w:eastAsia="宋体" w:cs="宋体"/>
          <w:color w:val="000000"/>
          <w:szCs w:val="21"/>
          <w:highlight w:val="none"/>
        </w:rPr>
        <w:t xml:space="preserve">16.1 发包人违约</w:t>
      </w:r>
      <w:bookmarkEnd w:id="451"/>
      <w:r/>
      <w:bookmarkEnd w:id="452"/>
      <w:r/>
      <w:bookmarkEnd w:id="453"/>
      <w:r/>
      <w:bookmarkEnd w:id="454"/>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16.1.1发包人违约的情形</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发包人违约的其他情形：</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left="1050" w:hanging="105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    16.1.2 发包人违约的责任</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发包人违约责任的承担方式和计算方法：</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（1）因发包人原因未能在计划开工日期前7天内下达开工通知的违约责任：</w:t>
      </w:r>
      <w:bookmarkStart w:id="455" w:name="EBf46971a580dd417e9773e82ed1892ff3"/>
      <w:r>
        <w:rPr>
          <w:rFonts w:hint="eastAsia" w:ascii="宋体" w:hAnsi="宋体" w:eastAsia="宋体" w:cs="宋体"/>
          <w:szCs w:val="21"/>
          <w:highlight w:val="none"/>
          <w:u w:val="single"/>
        </w:rPr>
        <w:t xml:space="preserve">工期不顺延</w:t>
      </w:r>
      <w:bookmarkEnd w:id="455"/>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（2）因发包人原因未能按合同约定支付合同价款的违约责任：</w:t>
      </w:r>
      <w:r>
        <w:rPr>
          <w:rFonts w:hint="eastAsia" w:ascii="宋体" w:hAnsi="宋体" w:eastAsia="宋体" w:cs="宋体"/>
          <w:color w:val="000000"/>
          <w:szCs w:val="21"/>
          <w:highlight w:val="none"/>
          <w:u w:val="single"/>
        </w:rPr>
        <w:t xml:space="preserve">不支付违约金</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Cs w:val="21"/>
          <w:highlight w:val="none"/>
          <w:u w:val="single"/>
        </w:rPr>
        <w:t xml:space="preserve">不支付违约金</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（5）因发包人违反合同约定造成暂停施工的违约责任：</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（6）发包人无正当理由没有在约定期限内发出复工指示，导致承包人无法复工的违约责任：</w:t>
      </w:r>
      <w:r>
        <w:rPr>
          <w:rFonts w:hint="eastAsia" w:ascii="宋体" w:hAnsi="宋体" w:eastAsia="宋体" w:cs="宋体"/>
          <w:color w:val="000000"/>
          <w:szCs w:val="21"/>
          <w:highlight w:val="none"/>
          <w:u w:val="single"/>
        </w:rPr>
        <w:t xml:space="preserve">工期不顺延</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（7）其他：</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16.1.3 因发包人违约解除合同</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承包人按16.1.1项〔发包人违约的情形〕约定暂停施工满</w:t>
      </w:r>
      <w:r>
        <w:rPr>
          <w:rFonts w:hint="eastAsia" w:ascii="宋体" w:hAnsi="宋体" w:eastAsia="宋体" w:cs="宋体"/>
          <w:color w:val="000000"/>
          <w:szCs w:val="21"/>
          <w:highlight w:val="none"/>
          <w:u w:val="single"/>
        </w:rPr>
        <w:t xml:space="preserve">60</w:t>
      </w:r>
      <w:r>
        <w:rPr>
          <w:rFonts w:hint="eastAsia" w:ascii="宋体" w:hAnsi="宋体" w:eastAsia="宋体" w:cs="宋体"/>
          <w:color w:val="000000"/>
          <w:szCs w:val="21"/>
          <w:highlight w:val="none"/>
        </w:rPr>
        <w:t xml:space="preserve">天后发包人仍不纠正其违约行为并致使合同目的不能实现的，承包人有权解除合同。</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56" w:name="_Toc12055"/>
      <w:r/>
      <w:bookmarkStart w:id="457" w:name="_Toc13564"/>
      <w:r/>
      <w:bookmarkStart w:id="458" w:name="_Toc25239"/>
      <w:r/>
      <w:bookmarkStart w:id="459" w:name="_Toc22451"/>
      <w:r>
        <w:rPr>
          <w:rFonts w:hint="eastAsia" w:ascii="宋体" w:hAnsi="宋体" w:eastAsia="宋体" w:cs="宋体"/>
          <w:color w:val="000000"/>
          <w:szCs w:val="21"/>
          <w:highlight w:val="none"/>
        </w:rPr>
        <w:t xml:space="preserve">16.2 承包人违约</w:t>
      </w:r>
      <w:bookmarkEnd w:id="456"/>
      <w:r/>
      <w:bookmarkEnd w:id="457"/>
      <w:r/>
      <w:bookmarkEnd w:id="458"/>
      <w:r/>
      <w:bookmarkEnd w:id="459"/>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16.2.1 承包人违约的情形</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承包人违约的其他情形：</w:t>
      </w:r>
      <w:r>
        <w:rPr>
          <w:rFonts w:hint="eastAsia" w:ascii="宋体" w:hAnsi="宋体" w:eastAsia="宋体" w:cs="宋体"/>
          <w:szCs w:val="21"/>
          <w:highlight w:val="none"/>
          <w:u w:val="single"/>
        </w:rPr>
        <w:t xml:space="preserve">按通用条款有关规定执行及专用条款相关约定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16.2.2承包人违约的责任</w:t>
      </w:r>
      <w:r>
        <w:rPr>
          <w:rFonts w:ascii="宋体" w:hAnsi="宋体" w:eastAsia="宋体" w:cs="宋体"/>
          <w:color w:val="000000"/>
          <w:szCs w:val="21"/>
          <w:highlight w:val="none"/>
        </w:rPr>
      </w:r>
      <w:r/>
    </w:p>
    <w:p>
      <w:pPr>
        <w:pStyle w:val="1035"/>
        <w:ind w:left="1"/>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承包人违约责任的承担方式和计算方法：</w:t>
      </w:r>
      <w:r>
        <w:rPr>
          <w:rFonts w:hint="eastAsia" w:ascii="宋体" w:hAnsi="宋体" w:eastAsia="宋体" w:cs="宋体"/>
          <w:szCs w:val="21"/>
          <w:highlight w:val="none"/>
          <w:u w:val="single"/>
        </w:rPr>
        <w:t xml:space="preserve">（1）按通用条款有关规定执行及专用条款相关约定；（2）如承包人延误总工期，每延期一天按</w:t>
      </w:r>
      <w:r>
        <w:rPr>
          <w:rFonts w:hint="eastAsia" w:ascii="宋体" w:hAnsi="宋体" w:eastAsia="宋体" w:cs="宋体"/>
          <w:color w:val="000000"/>
          <w:szCs w:val="21"/>
          <w:highlight w:val="none"/>
          <w:u w:val="single"/>
        </w:rPr>
        <w:t xml:space="preserve">合同金额1%</w:t>
      </w:r>
      <w:r>
        <w:rPr>
          <w:rFonts w:hint="eastAsia" w:ascii="宋体" w:hAnsi="宋体" w:eastAsia="宋体" w:cs="宋体"/>
          <w:szCs w:val="21"/>
          <w:highlight w:val="none"/>
          <w:u w:val="single"/>
        </w:rPr>
        <w:t xml:space="preserve">每天支付违约金，以延误天数累计，</w:t>
      </w:r>
      <w:r>
        <w:rPr>
          <w:rFonts w:hint="eastAsia" w:ascii="宋体" w:hAnsi="宋体" w:eastAsia="宋体" w:cs="宋体"/>
          <w:color w:val="000000"/>
          <w:szCs w:val="21"/>
          <w:highlight w:val="none"/>
          <w:u w:val="single"/>
        </w:rPr>
        <w:t xml:space="preserve">所有的工期违约金累计最高不超过合同价的5%</w:t>
      </w:r>
      <w:r>
        <w:rPr>
          <w:rFonts w:hint="eastAsia" w:ascii="宋体" w:hAnsi="宋体" w:eastAsia="宋体" w:cs="宋体"/>
          <w:szCs w:val="21"/>
          <w:highlight w:val="none"/>
          <w:u w:val="single"/>
        </w:rPr>
        <w:t xml:space="preserve">。（3）由承包人负责对不合格工程进行整改或返工，直至验收合格，并承担一切费用</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16.2.3 因承包人违约解除合同</w:t>
      </w:r>
      <w:r>
        <w:rPr>
          <w:rFonts w:ascii="宋体" w:hAnsi="宋体" w:eastAsia="宋体" w:cs="宋体"/>
          <w:color w:val="000000"/>
          <w:szCs w:val="21"/>
          <w:highlight w:val="none"/>
        </w:rPr>
      </w:r>
      <w:r/>
    </w:p>
    <w:p>
      <w:pPr>
        <w:pStyle w:val="1035"/>
        <w:ind w:firstLine="420"/>
        <w:spacing w:before="120"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关于承包人违约解除合同的特别约定：</w:t>
      </w:r>
      <w:r>
        <w:rPr>
          <w:rFonts w:hint="eastAsia" w:ascii="宋体" w:hAnsi="宋体" w:eastAsia="宋体" w:cs="宋体"/>
          <w:szCs w:val="21"/>
          <w:highlight w:val="none"/>
          <w:u w:val="single"/>
        </w:rPr>
        <w:t xml:space="preserve">按通用条款执行，再由双方协商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before="120"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双方协商</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460" w:name="_Toc26852"/>
      <w:r/>
      <w:bookmarkStart w:id="461" w:name="_Toc23091"/>
      <w:r/>
      <w:bookmarkStart w:id="462" w:name="_Toc18777"/>
      <w:r/>
      <w:bookmarkStart w:id="463" w:name="_Toc18545"/>
      <w:r/>
      <w:bookmarkStart w:id="464" w:name="_Toc351203649"/>
      <w:r>
        <w:rPr>
          <w:rFonts w:hint="eastAsia" w:ascii="宋体" w:hAnsi="宋体" w:eastAsia="宋体" w:cs="宋体"/>
          <w:b/>
          <w:color w:val="000000"/>
          <w:sz w:val="24"/>
          <w:szCs w:val="24"/>
          <w:highlight w:val="none"/>
        </w:rPr>
        <w:t xml:space="preserve">17. 不可抗力</w:t>
      </w:r>
      <w:bookmarkEnd w:id="460"/>
      <w:r/>
      <w:bookmarkEnd w:id="461"/>
      <w:r/>
      <w:bookmarkEnd w:id="462"/>
      <w:r/>
      <w:bookmarkEnd w:id="463"/>
      <w:r/>
      <w:bookmarkEnd w:id="464"/>
      <w:r>
        <w:rPr>
          <w:rFonts w:hint="eastAsia" w:ascii="宋体" w:hAnsi="宋体" w:eastAsia="宋体" w:cs="宋体"/>
          <w:b/>
          <w:color w:val="000000"/>
          <w:sz w:val="24"/>
          <w:szCs w:val="24"/>
          <w:highlight w:val="none"/>
        </w:rPr>
        <w:t xml:space="preserve"> </w:t>
      </w:r>
      <w:bookmarkEnd w:id="450"/>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17.1 不可抗力的确认</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除通用合同条款约定的不可抗力事件之外，视为不可抗力的其他情形： </w:t>
      </w:r>
      <w:r>
        <w:rPr>
          <w:rFonts w:hint="eastAsia" w:ascii="宋体" w:hAnsi="宋体" w:eastAsia="宋体" w:cs="宋体"/>
          <w:szCs w:val="21"/>
          <w:highlight w:val="none"/>
          <w:u w:val="single"/>
        </w:rPr>
        <w:t xml:space="preserve">按保险合同解释</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65" w:name="_Toc3887"/>
      <w:r/>
      <w:bookmarkStart w:id="466" w:name="_Toc19244"/>
      <w:r/>
      <w:bookmarkStart w:id="467" w:name="_Toc15380"/>
      <w:r/>
      <w:bookmarkStart w:id="468" w:name="_Toc25077"/>
      <w:r>
        <w:rPr>
          <w:rFonts w:hint="eastAsia" w:ascii="宋体" w:hAnsi="宋体" w:eastAsia="宋体" w:cs="宋体"/>
          <w:color w:val="000000"/>
          <w:szCs w:val="21"/>
          <w:highlight w:val="none"/>
        </w:rPr>
        <w:t xml:space="preserve">17.4 因不可抗力解除合同</w:t>
      </w:r>
      <w:bookmarkEnd w:id="465"/>
      <w:r/>
      <w:bookmarkEnd w:id="466"/>
      <w:r/>
      <w:bookmarkEnd w:id="467"/>
      <w:r/>
      <w:bookmarkEnd w:id="468"/>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按通用条款说明</w:t>
      </w:r>
      <w:r>
        <w:rPr>
          <w:rFonts w:hint="eastAsia" w:ascii="宋体" w:hAnsi="宋体" w:eastAsia="宋体" w:cs="宋体"/>
          <w:color w:val="000000"/>
          <w:szCs w:val="21"/>
          <w:highlight w:val="none"/>
        </w:rPr>
        <w:t xml:space="preserve">天内完成款项的支付。</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Start w:id="469" w:name="_Toc4711"/>
      <w:r/>
      <w:bookmarkStart w:id="470" w:name="_Toc351203650"/>
      <w:r/>
      <w:bookmarkStart w:id="471" w:name="_Toc32391"/>
      <w:r/>
      <w:bookmarkStart w:id="472" w:name="_Toc16961"/>
      <w:r/>
      <w:bookmarkStart w:id="473" w:name="_Toc8953"/>
      <w:r>
        <w:rPr>
          <w:rFonts w:hint="eastAsia" w:ascii="宋体" w:hAnsi="宋体" w:eastAsia="宋体" w:cs="宋体"/>
          <w:b/>
          <w:color w:val="000000"/>
          <w:sz w:val="24"/>
          <w:szCs w:val="24"/>
          <w:highlight w:val="none"/>
        </w:rPr>
        <w:t xml:space="preserve">18. 保险</w:t>
      </w:r>
      <w:bookmarkEnd w:id="469"/>
      <w:r/>
      <w:bookmarkEnd w:id="470"/>
      <w:r/>
      <w:bookmarkEnd w:id="471"/>
      <w:r/>
      <w:bookmarkEnd w:id="472"/>
      <w:r/>
      <w:bookmarkEnd w:id="473"/>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pPr>
      <w:r/>
      <w:bookmarkEnd w:id="445"/>
      <w:r>
        <w:rPr>
          <w:rFonts w:hint="eastAsia" w:ascii="宋体" w:hAnsi="宋体" w:eastAsia="宋体" w:cs="宋体"/>
          <w:color w:val="000000"/>
          <w:szCs w:val="21"/>
          <w:highlight w:val="none"/>
        </w:rPr>
        <w:t xml:space="preserve">18.1 工程保险</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关于工程保险的特别约定：</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74" w:name="_Toc12144"/>
      <w:r/>
      <w:bookmarkStart w:id="475" w:name="_Toc1376"/>
      <w:r/>
      <w:bookmarkStart w:id="476" w:name="_Toc17040"/>
      <w:r/>
      <w:bookmarkStart w:id="477" w:name="_Toc5146"/>
      <w:r>
        <w:rPr>
          <w:rFonts w:hint="eastAsia" w:ascii="宋体" w:hAnsi="宋体" w:eastAsia="宋体" w:cs="宋体"/>
          <w:color w:val="000000"/>
          <w:szCs w:val="21"/>
          <w:highlight w:val="none"/>
        </w:rPr>
        <w:t xml:space="preserve">18.3 其他保险</w:t>
      </w:r>
      <w:bookmarkEnd w:id="474"/>
      <w:r/>
      <w:bookmarkEnd w:id="475"/>
      <w:r/>
      <w:bookmarkEnd w:id="476"/>
      <w:r/>
      <w:bookmarkEnd w:id="477"/>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关于其他保险的约定：</w:t>
      </w:r>
      <w:r>
        <w:rPr>
          <w:rFonts w:hint="eastAsia" w:ascii="宋体" w:hAnsi="宋体" w:eastAsia="宋体" w:cs="宋体"/>
          <w:szCs w:val="21"/>
          <w:highlight w:val="none"/>
          <w:u w:val="single"/>
        </w:rPr>
        <w:t xml:space="preserve">承包人投保内容：按苏州市相城区有关工程保险规定，工程一切险和第三方责任险，由承包人办理，费用由承包人承担</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承包人是否应为其施工设备等办理财产保险：</w:t>
      </w:r>
      <w:r>
        <w:rPr>
          <w:rFonts w:hint="eastAsia" w:ascii="宋体" w:hAnsi="宋体" w:eastAsia="宋体" w:cs="宋体"/>
          <w:szCs w:val="21"/>
          <w:highlight w:val="none"/>
          <w:u w:val="single"/>
        </w:rPr>
        <w:t xml:space="preserve">承包人自行办理，并符合苏州相城区有关规定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18.7 通知义务</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关于变更保险合同时的通知义务的约定：</w:t>
      </w:r>
      <w:r>
        <w:rPr>
          <w:rFonts w:hint="eastAsia" w:ascii="宋体" w:hAnsi="宋体" w:eastAsia="宋体" w:cs="宋体"/>
          <w:szCs w:val="21"/>
          <w:highlight w:val="none"/>
          <w:u w:val="single"/>
        </w:rPr>
        <w:t xml:space="preserve">按相关规定</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
          <w:color w:val="000000"/>
          <w:sz w:val="24"/>
          <w:szCs w:val="24"/>
          <w:highlight w:val="none"/>
        </w:rPr>
        <w:outlineLvl w:val="3"/>
      </w:pPr>
      <w:r/>
      <w:bookmarkEnd w:id="399"/>
      <w:r/>
      <w:bookmarkEnd w:id="414"/>
      <w:r/>
      <w:bookmarkEnd w:id="416"/>
      <w:r/>
      <w:bookmarkEnd w:id="417"/>
      <w:r/>
      <w:bookmarkEnd w:id="418"/>
      <w:r/>
      <w:bookmarkEnd w:id="419"/>
      <w:r/>
      <w:bookmarkEnd w:id="420"/>
      <w:r/>
      <w:bookmarkEnd w:id="421"/>
      <w:r/>
      <w:bookmarkEnd w:id="422"/>
      <w:r/>
      <w:bookmarkEnd w:id="423"/>
      <w:r/>
      <w:bookmarkEnd w:id="424"/>
      <w:r/>
      <w:bookmarkEnd w:id="425"/>
      <w:r/>
      <w:bookmarkStart w:id="478" w:name="_Toc351203651"/>
      <w:r/>
      <w:bookmarkStart w:id="479" w:name="_Toc6806"/>
      <w:r/>
      <w:bookmarkStart w:id="480" w:name="_Toc12186"/>
      <w:r/>
      <w:bookmarkStart w:id="481" w:name="_Toc18776"/>
      <w:r/>
      <w:bookmarkStart w:id="482" w:name="_Toc13734"/>
      <w:r>
        <w:rPr>
          <w:rFonts w:hint="eastAsia" w:ascii="宋体" w:hAnsi="宋体" w:eastAsia="宋体" w:cs="宋体"/>
          <w:b/>
          <w:color w:val="000000"/>
          <w:sz w:val="24"/>
          <w:szCs w:val="24"/>
          <w:highlight w:val="none"/>
        </w:rPr>
        <w:t xml:space="preserve">20. 争议解决</w:t>
      </w:r>
      <w:bookmarkEnd w:id="478"/>
      <w:r/>
      <w:bookmarkEnd w:id="479"/>
      <w:r/>
      <w:bookmarkEnd w:id="480"/>
      <w:r/>
      <w:bookmarkEnd w:id="481"/>
      <w:r/>
      <w:bookmarkEnd w:id="482"/>
      <w:r>
        <w:rPr>
          <w:rFonts w:ascii="宋体" w:hAnsi="宋体" w:eastAsia="宋体" w:cs="宋体"/>
          <w:b/>
          <w:color w:val="000000"/>
          <w:sz w:val="24"/>
          <w:szCs w:val="24"/>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End w:id="426"/>
      <w:r/>
      <w:bookmarkEnd w:id="427"/>
      <w:r/>
      <w:bookmarkStart w:id="483" w:name="_Toc14480"/>
      <w:r/>
      <w:bookmarkStart w:id="484" w:name="_Toc13511"/>
      <w:r/>
      <w:bookmarkStart w:id="485" w:name="_Toc7037"/>
      <w:r/>
      <w:bookmarkStart w:id="486" w:name="_Toc4544"/>
      <w:r>
        <w:rPr>
          <w:rFonts w:hint="eastAsia" w:ascii="宋体" w:hAnsi="宋体" w:eastAsia="宋体" w:cs="宋体"/>
          <w:color w:val="000000"/>
          <w:szCs w:val="21"/>
          <w:highlight w:val="none"/>
        </w:rPr>
        <w:t xml:space="preserve">20.3 争</w:t>
      </w:r>
      <w:bookmarkEnd w:id="400"/>
      <w:r>
        <w:rPr>
          <w:rFonts w:hint="eastAsia" w:ascii="宋体" w:hAnsi="宋体" w:eastAsia="宋体" w:cs="宋体"/>
          <w:color w:val="000000"/>
          <w:szCs w:val="21"/>
          <w:highlight w:val="none"/>
        </w:rPr>
        <w:t xml:space="preserve">议评审</w:t>
      </w:r>
      <w:bookmarkEnd w:id="483"/>
      <w:r/>
      <w:bookmarkEnd w:id="484"/>
      <w:r/>
      <w:bookmarkEnd w:id="485"/>
      <w:r/>
      <w:bookmarkEnd w:id="486"/>
      <w:r>
        <w:rPr>
          <w:rFonts w:ascii="宋体" w:hAnsi="宋体" w:eastAsia="宋体" w:cs="宋体"/>
          <w:color w:val="000000"/>
          <w:szCs w:val="21"/>
          <w:highlight w:val="none"/>
        </w:rPr>
      </w:r>
      <w:r/>
    </w:p>
    <w:p>
      <w:pPr>
        <w:pStyle w:val="1035"/>
        <w:ind w:left="149" w:firstLine="315"/>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合同当事人是否同意将工程争议提交争议评审小组决定：</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87" w:name="_Toc617"/>
      <w:r/>
      <w:bookmarkStart w:id="488" w:name="_Toc18903"/>
      <w:r/>
      <w:bookmarkStart w:id="489" w:name="_Toc21228"/>
      <w:r/>
      <w:bookmarkStart w:id="490" w:name="_Toc23860"/>
      <w:r>
        <w:rPr>
          <w:rFonts w:hint="eastAsia" w:ascii="宋体" w:hAnsi="宋体" w:eastAsia="宋体" w:cs="宋体"/>
          <w:color w:val="000000"/>
          <w:szCs w:val="21"/>
          <w:highlight w:val="none"/>
        </w:rPr>
        <w:t xml:space="preserve">20.3.1 争议评审小组的确定</w:t>
      </w:r>
      <w:bookmarkEnd w:id="487"/>
      <w:r/>
      <w:bookmarkEnd w:id="488"/>
      <w:r/>
      <w:bookmarkEnd w:id="489"/>
      <w:r/>
      <w:bookmarkEnd w:id="490"/>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争议评审小组成员的确定：</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u w:val="singl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选定争议评审员的期限：</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争议评审小组成员的报酬承担方式：</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其他事项的约定：</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outlineLvl w:val="0"/>
      </w:pPr>
      <w:r/>
      <w:bookmarkStart w:id="491" w:name="_Toc23725"/>
      <w:r/>
      <w:bookmarkStart w:id="492" w:name="_Toc16264"/>
      <w:r/>
      <w:bookmarkStart w:id="493" w:name="_Toc6082"/>
      <w:r/>
      <w:bookmarkStart w:id="494" w:name="_Toc16508"/>
      <w:r>
        <w:rPr>
          <w:rFonts w:hint="eastAsia" w:ascii="宋体" w:hAnsi="宋体" w:eastAsia="宋体" w:cs="宋体"/>
          <w:color w:val="000000"/>
          <w:szCs w:val="21"/>
          <w:highlight w:val="none"/>
        </w:rPr>
        <w:t xml:space="preserve">20.3.2 争议评审小组的决定</w:t>
      </w:r>
      <w:bookmarkEnd w:id="491"/>
      <w:r/>
      <w:bookmarkEnd w:id="492"/>
      <w:r/>
      <w:bookmarkEnd w:id="493"/>
      <w:r/>
      <w:bookmarkEnd w:id="494"/>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合同当事人关于本项的约定：</w:t>
      </w:r>
      <w:r>
        <w:rPr>
          <w:rFonts w:hint="eastAsia" w:ascii="宋体" w:hAnsi="宋体" w:eastAsia="宋体" w:cs="宋体"/>
          <w:color w:val="000000"/>
          <w:szCs w:val="21"/>
          <w:highlight w:val="none"/>
          <w:u w:val="single"/>
        </w:rPr>
        <w:t xml:space="preserve">按通用条款执行</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495" w:name="_Toc7364"/>
      <w:r/>
      <w:bookmarkStart w:id="496" w:name="_Toc18237"/>
      <w:r/>
      <w:bookmarkStart w:id="497" w:name="_Toc31991"/>
      <w:r/>
      <w:bookmarkStart w:id="498" w:name="_Toc29782"/>
      <w:r>
        <w:rPr>
          <w:rFonts w:hint="eastAsia" w:ascii="宋体" w:hAnsi="宋体" w:eastAsia="宋体" w:cs="宋体"/>
          <w:color w:val="000000"/>
          <w:szCs w:val="21"/>
          <w:highlight w:val="none"/>
        </w:rPr>
        <w:t xml:space="preserve">20.4仲裁或诉讼</w:t>
      </w:r>
      <w:bookmarkEnd w:id="401"/>
      <w:r/>
      <w:bookmarkEnd w:id="495"/>
      <w:r/>
      <w:bookmarkEnd w:id="496"/>
      <w:r/>
      <w:bookmarkEnd w:id="497"/>
      <w:r/>
      <w:bookmarkEnd w:id="498"/>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因合同及合同有关事项发生的争议，按下列第</w:t>
      </w:r>
      <w:r>
        <w:rPr>
          <w:rFonts w:hint="eastAsia" w:ascii="宋体" w:hAnsi="宋体" w:eastAsia="宋体" w:cs="宋体"/>
          <w:color w:val="000000"/>
          <w:szCs w:val="21"/>
          <w:highlight w:val="none"/>
          <w:u w:val="single"/>
        </w:rPr>
        <w:t xml:space="preserve"> 2</w:t>
      </w:r>
      <w:r>
        <w:rPr>
          <w:rFonts w:hint="eastAsia" w:ascii="宋体" w:hAnsi="宋体" w:eastAsia="宋体" w:cs="宋体"/>
          <w:color w:val="000000"/>
          <w:szCs w:val="21"/>
          <w:highlight w:val="none"/>
        </w:rPr>
        <w:t xml:space="preserve">种方式解决：</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（1）向</w:t>
      </w: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t xml:space="preserve">仲裁委员会申请仲裁；</w:t>
      </w:r>
      <w:r>
        <w:rPr>
          <w:rFonts w:ascii="宋体" w:hAnsi="宋体" w:eastAsia="宋体" w:cs="宋体"/>
          <w:color w:val="000000"/>
          <w:szCs w:val="21"/>
          <w:highlight w:val="none"/>
        </w:rPr>
      </w:r>
      <w:r/>
    </w:p>
    <w:p>
      <w:pPr>
        <w:pStyle w:val="1035"/>
        <w:ind w:firstLine="420"/>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（2）向</w:t>
      </w:r>
      <w:r>
        <w:rPr>
          <w:rFonts w:hint="eastAsia" w:ascii="宋体" w:hAnsi="宋体" w:eastAsia="宋体" w:cs="宋体"/>
          <w:color w:val="000000"/>
          <w:szCs w:val="21"/>
          <w:highlight w:val="none"/>
          <w:u w:val="single"/>
        </w:rPr>
        <w:t xml:space="preserve">工程所在地</w:t>
      </w:r>
      <w:r>
        <w:rPr>
          <w:rFonts w:hint="eastAsia" w:ascii="宋体" w:hAnsi="宋体" w:eastAsia="宋体" w:cs="宋体"/>
          <w:color w:val="000000"/>
          <w:szCs w:val="21"/>
          <w:highlight w:val="none"/>
        </w:rPr>
        <w:t xml:space="preserve">人民法院起诉。</w:t>
      </w:r>
      <w:bookmarkEnd w:id="402"/>
      <w:r/>
      <w:bookmarkEnd w:id="403"/>
      <w:r/>
      <w:bookmarkEnd w:id="404"/>
      <w:r/>
      <w:bookmarkEnd w:id="405"/>
      <w:r/>
      <w:bookmarkEnd w:id="406"/>
      <w:r/>
      <w:bookmarkEnd w:id="415"/>
      <w:r>
        <w:rPr>
          <w:rFonts w:ascii="宋体" w:hAnsi="宋体" w:eastAsia="宋体" w:cs="宋体"/>
          <w:color w:val="000000"/>
          <w:szCs w:val="21"/>
          <w:highlight w:val="none"/>
        </w:rPr>
      </w:r>
      <w:r/>
    </w:p>
    <w:p>
      <w:pPr>
        <w:pStyle w:val="1035"/>
        <w:keepNext/>
        <w:spacing w:before="120" w:after="120" w:line="360" w:lineRule="auto"/>
        <w:rPr>
          <w:rFonts w:ascii="宋体" w:hAnsi="宋体" w:eastAsia="宋体" w:cs="宋体"/>
          <w:bCs/>
          <w:color w:val="000000"/>
          <w:szCs w:val="21"/>
          <w:highlight w:val="none"/>
        </w:rPr>
        <w:outlineLvl w:val="3"/>
      </w:pPr>
      <w:r/>
      <w:bookmarkStart w:id="499" w:name="_Toc3676"/>
      <w:r/>
      <w:bookmarkStart w:id="500" w:name="_Toc3436"/>
      <w:r/>
      <w:bookmarkStart w:id="501" w:name="_Toc7419"/>
      <w:r/>
      <w:bookmarkStart w:id="502" w:name="_Toc14923"/>
      <w:r>
        <w:rPr>
          <w:rFonts w:hint="eastAsia" w:ascii="宋体" w:hAnsi="宋体" w:eastAsia="宋体" w:cs="宋体"/>
          <w:b/>
          <w:color w:val="000000"/>
          <w:sz w:val="24"/>
          <w:szCs w:val="24"/>
          <w:highlight w:val="none"/>
        </w:rPr>
        <w:t xml:space="preserve">21.补充条款</w:t>
      </w:r>
      <w:bookmarkEnd w:id="499"/>
      <w:r/>
      <w:bookmarkEnd w:id="500"/>
      <w:r/>
      <w:bookmarkEnd w:id="501"/>
      <w:r/>
      <w:bookmarkEnd w:id="502"/>
      <w:r>
        <w:rPr>
          <w:rFonts w:hint="eastAsia" w:ascii="宋体" w:hAnsi="宋体" w:eastAsia="宋体" w:cs="宋体"/>
          <w:bCs/>
          <w:color w:val="000000"/>
          <w:szCs w:val="21"/>
          <w:highlight w:val="none"/>
        </w:rPr>
        <w:t xml:space="preserve"> </w:t>
      </w:r>
      <w:r>
        <w:rPr>
          <w:rFonts w:ascii="宋体" w:hAnsi="宋体" w:eastAsia="宋体" w:cs="宋体"/>
          <w:bCs/>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03" w:name="_Toc25957"/>
      <w:r/>
      <w:bookmarkStart w:id="504" w:name="_Toc9053"/>
      <w:r/>
      <w:bookmarkStart w:id="505" w:name="_Toc5263"/>
      <w:r/>
      <w:bookmarkStart w:id="506" w:name="_Toc26901"/>
      <w:r>
        <w:rPr>
          <w:rFonts w:hint="eastAsia" w:ascii="宋体" w:hAnsi="宋体" w:eastAsia="宋体" w:cs="宋体"/>
          <w:color w:val="000000"/>
          <w:szCs w:val="21"/>
          <w:highlight w:val="none"/>
        </w:rPr>
        <w:t xml:space="preserve">21.1本工程首席建造师 （仅适用于苏住建规【2014】5号文规定的政府投资的重大(重点)工程项目）：</w:t>
      </w:r>
      <w:bookmarkEnd w:id="503"/>
      <w:r/>
      <w:bookmarkEnd w:id="504"/>
      <w:r/>
      <w:bookmarkEnd w:id="505"/>
      <w:r/>
      <w:bookmarkEnd w:id="506"/>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07" w:name="_Toc8475"/>
      <w:r/>
      <w:bookmarkStart w:id="508" w:name="_Toc26163"/>
      <w:r/>
      <w:bookmarkStart w:id="509" w:name="_Toc16838"/>
      <w:r/>
      <w:bookmarkStart w:id="510" w:name="_Toc13566"/>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bookmarkEnd w:id="507"/>
      <w:r/>
      <w:bookmarkEnd w:id="508"/>
      <w:r/>
      <w:bookmarkEnd w:id="509"/>
      <w:r/>
      <w:bookmarkEnd w:id="510"/>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11" w:name="_Toc16065"/>
      <w:r/>
      <w:bookmarkStart w:id="512" w:name="_Toc8127"/>
      <w:r/>
      <w:bookmarkStart w:id="513" w:name="_Toc6328"/>
      <w:r/>
      <w:bookmarkStart w:id="514" w:name="_Toc9260"/>
      <w:r>
        <w:rPr>
          <w:rFonts w:hint="eastAsia" w:ascii="宋体" w:hAnsi="宋体" w:eastAsia="宋体" w:cs="宋体"/>
          <w:color w:val="000000"/>
          <w:szCs w:val="21"/>
          <w:highlight w:val="none"/>
        </w:rPr>
        <w:t xml:space="preserve">职 称：</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bookmarkEnd w:id="511"/>
      <w:r/>
      <w:bookmarkEnd w:id="512"/>
      <w:r/>
      <w:bookmarkEnd w:id="513"/>
      <w:r/>
      <w:bookmarkEnd w:id="514"/>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15" w:name="_Toc20254"/>
      <w:r/>
      <w:bookmarkStart w:id="516" w:name="_Toc5664"/>
      <w:r/>
      <w:bookmarkStart w:id="517" w:name="_Toc13506"/>
      <w:r/>
      <w:bookmarkStart w:id="518" w:name="_Toc20459"/>
      <w:r>
        <w:rPr>
          <w:rFonts w:hint="eastAsia" w:ascii="宋体" w:hAnsi="宋体" w:eastAsia="宋体" w:cs="宋体"/>
          <w:color w:val="000000"/>
          <w:szCs w:val="21"/>
          <w:highlight w:val="none"/>
        </w:rPr>
        <w:t xml:space="preserve">身份证号：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bookmarkEnd w:id="515"/>
      <w:r/>
      <w:bookmarkEnd w:id="516"/>
      <w:r/>
      <w:bookmarkEnd w:id="517"/>
      <w:r/>
      <w:bookmarkEnd w:id="518"/>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19" w:name="_Toc32414"/>
      <w:r/>
      <w:bookmarkStart w:id="520" w:name="_Toc30406"/>
      <w:r/>
      <w:bookmarkStart w:id="521" w:name="_Toc29233"/>
      <w:r/>
      <w:bookmarkStart w:id="522" w:name="_Toc2257"/>
      <w:r>
        <w:rPr>
          <w:rFonts w:hint="eastAsia" w:ascii="宋体" w:hAnsi="宋体" w:eastAsia="宋体" w:cs="宋体"/>
          <w:color w:val="000000"/>
          <w:szCs w:val="21"/>
          <w:highlight w:val="none"/>
        </w:rPr>
        <w:t xml:space="preserve">建造师执业资格证书号：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w:t>
      </w:r>
      <w:bookmarkEnd w:id="519"/>
      <w:r/>
      <w:bookmarkEnd w:id="520"/>
      <w:r/>
      <w:bookmarkEnd w:id="521"/>
      <w:r/>
      <w:bookmarkEnd w:id="522"/>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23" w:name="_Toc1077"/>
      <w:r/>
      <w:bookmarkStart w:id="524" w:name="_Toc30381"/>
      <w:r/>
      <w:bookmarkStart w:id="525" w:name="_Toc4231"/>
      <w:r/>
      <w:bookmarkStart w:id="526" w:name="_Toc19172"/>
      <w:r>
        <w:rPr>
          <w:rFonts w:hint="eastAsia" w:ascii="宋体" w:hAnsi="宋体" w:eastAsia="宋体" w:cs="宋体"/>
          <w:color w:val="000000"/>
          <w:szCs w:val="21"/>
          <w:highlight w:val="none"/>
        </w:rPr>
        <w:t xml:space="preserve">建造师注册证书号：</w:t>
      </w:r>
      <w:bookmarkEnd w:id="523"/>
      <w:r/>
      <w:bookmarkEnd w:id="524"/>
      <w:r/>
      <w:bookmarkEnd w:id="525"/>
      <w:r/>
      <w:bookmarkEnd w:id="526"/>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27" w:name="_Toc12936"/>
      <w:r/>
      <w:bookmarkStart w:id="528" w:name="_Toc7827"/>
      <w:r/>
      <w:bookmarkStart w:id="529" w:name="_Toc4206"/>
      <w:r/>
      <w:bookmarkStart w:id="530" w:name="_Toc26764"/>
      <w:r>
        <w:rPr>
          <w:rFonts w:hint="eastAsia" w:ascii="宋体" w:hAnsi="宋体" w:eastAsia="宋体" w:cs="宋体"/>
          <w:color w:val="000000"/>
          <w:szCs w:val="21"/>
          <w:highlight w:val="none"/>
        </w:rPr>
        <w:t xml:space="preserve">建造师执业印章号：</w:t>
      </w:r>
      <w:bookmarkEnd w:id="527"/>
      <w:r/>
      <w:bookmarkEnd w:id="528"/>
      <w:r/>
      <w:bookmarkEnd w:id="529"/>
      <w:r/>
      <w:bookmarkEnd w:id="530"/>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31" w:name="_Toc17976"/>
      <w:r/>
      <w:bookmarkStart w:id="532" w:name="_Toc23147"/>
      <w:r/>
      <w:bookmarkStart w:id="533" w:name="_Toc962"/>
      <w:r/>
      <w:bookmarkStart w:id="534" w:name="_Toc9565"/>
      <w:r>
        <w:rPr>
          <w:rFonts w:hint="eastAsia" w:ascii="宋体" w:hAnsi="宋体" w:eastAsia="宋体" w:cs="宋体"/>
          <w:color w:val="000000"/>
          <w:szCs w:val="21"/>
          <w:highlight w:val="none"/>
        </w:rPr>
        <w:t xml:space="preserve">安全生产考核合格证书号：</w:t>
      </w:r>
      <w:bookmarkEnd w:id="531"/>
      <w:r/>
      <w:bookmarkEnd w:id="532"/>
      <w:r/>
      <w:bookmarkEnd w:id="533"/>
      <w:r/>
      <w:bookmarkEnd w:id="534"/>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1035"/>
        <w:ind w:firstLine="420"/>
        <w:spacing w:after="120" w:line="360" w:lineRule="auto"/>
        <w:widowControl/>
        <w:rPr>
          <w:rFonts w:ascii="宋体" w:hAnsi="宋体" w:eastAsia="宋体" w:cs="宋体"/>
          <w:color w:val="000000"/>
          <w:szCs w:val="21"/>
          <w:highlight w:val="none"/>
        </w:rPr>
        <w:outlineLvl w:val="0"/>
      </w:pPr>
      <w:r/>
      <w:bookmarkStart w:id="535" w:name="_Toc16679"/>
      <w:r/>
      <w:bookmarkStart w:id="536" w:name="_Toc10553"/>
      <w:r/>
      <w:bookmarkStart w:id="537" w:name="_Toc1731"/>
      <w:r/>
      <w:bookmarkStart w:id="538" w:name="_Toc26109"/>
      <w:r>
        <w:rPr>
          <w:rFonts w:hint="eastAsia" w:ascii="宋体" w:hAnsi="宋体" w:eastAsia="宋体" w:cs="宋体"/>
          <w:color w:val="000000"/>
          <w:szCs w:val="21"/>
          <w:highlight w:val="none"/>
        </w:rPr>
        <w:t xml:space="preserve">首席建造师受施工单位委托，为项目施工总负责人，对工程项目的施工全工程实施管理。</w:t>
      </w:r>
      <w:bookmarkEnd w:id="535"/>
      <w:r/>
      <w:bookmarkEnd w:id="536"/>
      <w:r/>
      <w:bookmarkEnd w:id="537"/>
      <w:r/>
      <w:bookmarkEnd w:id="538"/>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Times New Roman"/>
          <w:b/>
          <w:szCs w:val="21"/>
          <w:highlight w:val="none"/>
        </w:rPr>
      </w:pPr>
      <w:r/>
      <w:bookmarkStart w:id="539" w:name="_Toc9117"/>
      <w:r/>
      <w:bookmarkStart w:id="540" w:name="_Toc29379"/>
      <w:r/>
      <w:bookmarkStart w:id="541" w:name="_Toc15274"/>
      <w:r/>
      <w:bookmarkStart w:id="542" w:name="_Toc19077"/>
      <w:r>
        <w:rPr>
          <w:rFonts w:hint="eastAsia" w:ascii="宋体" w:hAnsi="宋体" w:eastAsia="宋体" w:cs="宋体"/>
          <w:color w:val="000000"/>
          <w:szCs w:val="21"/>
          <w:highlight w:val="none"/>
        </w:rPr>
        <w:t xml:space="preserve">其职责是：负责组建项目管理部，落实项目施工主体责任，确保按图施工及施工质量、生产 安全；做好施工组织和施工进度管理；配合做好工程各阶段的验收及竣工验收工作等。</w:t>
      </w:r>
      <w:bookmarkEnd w:id="539"/>
      <w:r/>
      <w:bookmarkEnd w:id="540"/>
      <w:r/>
      <w:bookmarkEnd w:id="541"/>
      <w:r/>
      <w:bookmarkEnd w:id="542"/>
      <w:r>
        <w:rPr>
          <w:rFonts w:hint="eastAsia" w:ascii="宋体" w:hAnsi="宋体" w:eastAsia="宋体" w:cs="宋体"/>
          <w:color w:val="000000"/>
          <w:sz w:val="24"/>
          <w:szCs w:val="24"/>
          <w:highlight w:val="none"/>
        </w:rPr>
        <w:t xml:space="preserve"> </w:t>
      </w:r>
      <w:r>
        <w:rPr>
          <w:rFonts w:ascii="宋体" w:hAnsi="宋体" w:eastAsia="宋体" w:cs="Times New Roman"/>
          <w:b/>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合同补充条款</w:t>
      </w:r>
      <w:r>
        <w:rPr>
          <w:rFonts w:ascii="宋体" w:hAnsi="宋体" w:eastAsia="宋体" w:cs="Times New Roman"/>
          <w:b/>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小额工程（预算在年度政府采购目录起点金额以上、公开招标数额以下的政府采购项目及国有企业参照采购规定的项目）：</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b/>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本工程追加费用不得超过原合同金额的10%；原合同金额10%以内的追加费用，限于原合同内工程清单数量调整增加的工程费用，原合同外工程内容不得计入。 </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b/>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对实施后无法进行复核的施工内容，承包人必须留下可证明相应工程量的影像资料，结算时如无影像资料或提供资料无法反映相应的工作量，结算审核时有权按照有利于发包人的原则进行处理。 </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本工程采购文件的所有内容，是本合同必须遵守之条款，若其他书面文件产生与采购文件相悖的内容，采购文件的有关条款将得到优先执行。 </w:t>
      </w:r>
      <w:r>
        <w:rPr>
          <w:rFonts w:ascii="宋体" w:hAnsi="宋体" w:eastAsia="宋体" w:cs="Times New Roman"/>
          <w:szCs w:val="21"/>
          <w:highlight w:val="none"/>
        </w:rPr>
      </w:r>
      <w:r/>
    </w:p>
    <w:p>
      <w:pPr>
        <w:pStyle w:val="1035"/>
        <w:ind w:firstLine="600"/>
        <w:jc w:val="left"/>
        <w:spacing w:after="120" w:line="360" w:lineRule="auto"/>
        <w:widowControl/>
        <w:rPr>
          <w:rFonts w:ascii="宋体" w:hAnsi="宋体" w:cs="宋体"/>
          <w:b/>
          <w:color w:val="000000"/>
          <w:sz w:val="24"/>
          <w:szCs w:val="24"/>
          <w:highlight w:val="none"/>
        </w:rPr>
        <w:sectPr>
          <w:headerReference w:type="default" r:id="rId10"/>
          <w:headerReference w:type="even" r:id="rId11"/>
          <w:headerReference w:type="first" r:id="rId12"/>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1701" w:equalWidth="1"/>
          <w:docGrid w:linePitch="360"/>
        </w:sectPr>
        <w:outlineLvl w:val="0"/>
      </w:pPr>
      <w:r/>
      <w:bookmarkStart w:id="543" w:name="_Toc10497"/>
      <w:r/>
      <w:bookmarkStart w:id="544" w:name="_Toc21877"/>
      <w:r/>
      <w:bookmarkStart w:id="545" w:name="_Toc351203652"/>
      <w:r/>
      <w:bookmarkStart w:id="546" w:name="_Toc4256"/>
      <w:r/>
      <w:bookmarkStart w:id="547" w:name="_Toc8677"/>
      <w:r>
        <w:rPr>
          <w:rFonts w:ascii="宋体" w:hAnsi="宋体" w:cs="宋体"/>
          <w:b/>
          <w:color w:val="000000"/>
          <w:sz w:val="24"/>
          <w:szCs w:val="24"/>
          <w:highlight w:val="none"/>
        </w:rPr>
      </w:r>
      <w:r/>
    </w:p>
    <w:p>
      <w:pPr>
        <w:pStyle w:val="1035"/>
        <w:ind w:firstLine="600"/>
        <w:jc w:val="left"/>
        <w:spacing w:after="120" w:line="360" w:lineRule="auto"/>
        <w:widowControl/>
        <w:rPr>
          <w:rFonts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附件</w:t>
      </w:r>
      <w:bookmarkEnd w:id="543"/>
      <w:r/>
      <w:bookmarkEnd w:id="544"/>
      <w:r/>
      <w:bookmarkEnd w:id="545"/>
      <w:r/>
      <w:bookmarkEnd w:id="546"/>
      <w:r/>
      <w:bookmarkEnd w:id="547"/>
      <w:r>
        <w:rPr>
          <w:rFonts w:ascii="宋体" w:hAnsi="宋体" w:eastAsia="宋体" w:cs="宋体"/>
          <w:b/>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协议书附件：</w:t>
      </w:r>
      <w:r>
        <w:rPr>
          <w:rFonts w:ascii="宋体" w:hAnsi="宋体" w:eastAsia="宋体" w:cs="宋体"/>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附件1：工程质量保修书</w:t>
      </w:r>
      <w:r>
        <w:rPr>
          <w:rFonts w:ascii="宋体" w:hAnsi="宋体" w:eastAsia="宋体" w:cs="宋体"/>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附件2：廉政合同</w:t>
      </w:r>
      <w:r>
        <w:rPr>
          <w:rFonts w:ascii="宋体" w:hAnsi="宋体" w:eastAsia="宋体" w:cs="宋体"/>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附件3：安全生产协议书</w:t>
      </w:r>
      <w:r>
        <w:rPr>
          <w:rFonts w:ascii="宋体" w:hAnsi="宋体" w:eastAsia="宋体" w:cs="宋体"/>
          <w:color w:val="000000"/>
          <w:sz w:val="24"/>
          <w:szCs w:val="24"/>
          <w:highlight w:val="none"/>
        </w:rPr>
      </w:r>
      <w:r/>
    </w:p>
    <w:p>
      <w:pPr>
        <w:pStyle w:val="1035"/>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附件4：施工违约金标准</w:t>
      </w:r>
      <w:r>
        <w:rPr>
          <w:rFonts w:ascii="宋体" w:hAnsi="宋体" w:eastAsia="宋体" w:cs="宋体"/>
          <w:color w:val="000000"/>
          <w:sz w:val="24"/>
          <w:szCs w:val="24"/>
          <w:highlight w:val="none"/>
        </w:rPr>
      </w:r>
      <w:r/>
    </w:p>
    <w:p>
      <w:pPr>
        <w:pStyle w:val="1035"/>
        <w:ind w:firstLine="422"/>
        <w:jc w:val="left"/>
        <w:keepLines/>
        <w:spacing w:line="360" w:lineRule="auto"/>
        <w:widowControl/>
        <w:rPr>
          <w:rFonts w:ascii="宋体" w:hAnsi="宋体" w:eastAsia="宋体" w:cs="Times New Roman"/>
          <w:b/>
          <w:bCs/>
          <w:szCs w:val="28"/>
          <w:highlight w:val="none"/>
        </w:rPr>
      </w:pPr>
      <w:r>
        <w:rPr>
          <w:rFonts w:ascii="宋体" w:hAnsi="宋体" w:eastAsia="宋体" w:cs="宋体"/>
          <w:color w:val="000000"/>
          <w:sz w:val="24"/>
          <w:szCs w:val="24"/>
          <w:highlight w:val="none"/>
        </w:rPr>
        <w:br w:type="page" w:clear="all"/>
      </w:r>
      <w:r>
        <w:rPr>
          <w:rFonts w:ascii="宋体" w:hAnsi="宋体" w:eastAsia="宋体" w:cs="Times New Roman"/>
          <w:b/>
          <w:bCs/>
          <w:szCs w:val="28"/>
          <w:highlight w:val="none"/>
        </w:rPr>
        <w:t xml:space="preserve">附件1：</w:t>
      </w:r>
      <w:r>
        <w:rPr>
          <w:rFonts w:ascii="宋体" w:hAnsi="宋体" w:eastAsia="宋体" w:cs="Times New Roman"/>
          <w:b/>
          <w:bCs/>
          <w:szCs w:val="28"/>
          <w:highlight w:val="none"/>
        </w:rPr>
      </w:r>
      <w:r/>
    </w:p>
    <w:p>
      <w:pPr>
        <w:pStyle w:val="1035"/>
        <w:jc w:val="center"/>
        <w:spacing w:before="156" w:after="156" w:line="360" w:lineRule="auto"/>
        <w:widowControl/>
        <w:rPr>
          <w:rFonts w:ascii="黑体" w:hAnsi="黑体" w:eastAsia="黑体" w:cs="Times New Roman"/>
          <w:color w:val="000000"/>
          <w:sz w:val="30"/>
          <w:szCs w:val="30"/>
          <w:highlight w:val="none"/>
        </w:rPr>
      </w:pPr>
      <w:r>
        <w:rPr>
          <w:rFonts w:ascii="黑体" w:hAnsi="黑体" w:eastAsia="黑体" w:cs="Times New Roman"/>
          <w:color w:val="000000"/>
          <w:sz w:val="30"/>
          <w:szCs w:val="30"/>
          <w:highlight w:val="none"/>
        </w:rPr>
        <w:t xml:space="preserve">工程质量保修书</w:t>
      </w:r>
      <w:r>
        <w:rPr>
          <w:rFonts w:ascii="黑体" w:hAnsi="黑体" w:eastAsia="黑体" w:cs="Times New Roman"/>
          <w:color w:val="000000"/>
          <w:sz w:val="30"/>
          <w:szCs w:val="30"/>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发包人（全称）：</w:t>
      </w:r>
      <w:r>
        <w:rPr>
          <w:rFonts w:hint="eastAsia" w:ascii="Calibri" w:hAnsi="Calibri" w:eastAsia="宋体" w:cs="Times New Roman"/>
          <w:b/>
          <w:szCs w:val="21"/>
          <w:highlight w:val="none"/>
          <w:u w:val="single"/>
          <w:lang w:eastAsia="zh-CN"/>
        </w:rPr>
        <w:t xml:space="preserve">苏州相城经济技术开发区管理委员会 </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承包人（全称）：</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发包人和承包人根据《中华人民共和国建筑法》和《建设工程质量管理条例》，经协商一致就</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（工程全称）签订工程质量保修书。</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一、工程质量保修范围和内容</w:t>
      </w:r>
      <w:r>
        <w:rPr>
          <w:rFonts w:ascii="宋体" w:hAnsi="宋体" w:eastAsia="宋体" w:cs="Times New Roman"/>
          <w:b/>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承包人在质量保修期内，按照有关法律规定和合同约定，承担工程质量保修责任。</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w:t>
      </w:r>
      <w:r>
        <w:rPr>
          <w:rFonts w:ascii="宋体" w:hAnsi="宋体" w:eastAsia="宋体" w:cs="Times New Roman"/>
          <w:color w:val="000000"/>
          <w:szCs w:val="21"/>
          <w:highlight w:val="none"/>
          <w:u w:val="single"/>
        </w:rPr>
        <w:t xml:space="preserve"> 按合同承包范围内容   </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二、质量保修期</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根据《建设工程质量管理条例》及有关规定，工程的质量保修期如下：</w:t>
      </w:r>
      <w:r>
        <w:rPr>
          <w:rFonts w:ascii="宋体" w:hAnsi="宋体" w:eastAsia="宋体" w:cs="Times New Roman"/>
          <w:color w:val="000000"/>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w:t>
      </w:r>
      <w:r>
        <w:rPr>
          <w:rFonts w:ascii="宋体" w:hAnsi="宋体" w:eastAsia="宋体" w:cs="Times New Roman"/>
          <w:color w:val="000000"/>
          <w:szCs w:val="21"/>
          <w:highlight w:val="none"/>
        </w:rPr>
        <w:t xml:space="preserve">．</w:t>
      </w:r>
      <w:r>
        <w:rPr>
          <w:rFonts w:ascii="宋体" w:hAnsi="宋体" w:eastAsia="宋体" w:cs="Times New Roman"/>
          <w:szCs w:val="21"/>
          <w:highlight w:val="none"/>
        </w:rPr>
        <w:t xml:space="preserve">地基基础工程和主体结构工程为设计文件规定的工程合理使用年限；</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屋面防水工程、有防水要求的卫生间、房间和外墙面的防渗为</w:t>
      </w:r>
      <w:r>
        <w:rPr>
          <w:rFonts w:ascii="宋体" w:hAnsi="宋体" w:eastAsia="宋体" w:cs="Times New Roman"/>
          <w:color w:val="000000"/>
          <w:szCs w:val="21"/>
          <w:highlight w:val="none"/>
          <w:u w:val="single"/>
        </w:rPr>
        <w:t xml:space="preserve">   5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装修工程为</w:t>
      </w:r>
      <w:r>
        <w:rPr>
          <w:rFonts w:ascii="宋体" w:hAnsi="宋体" w:eastAsia="宋体" w:cs="Times New Roman"/>
          <w:color w:val="000000"/>
          <w:szCs w:val="21"/>
          <w:highlight w:val="none"/>
          <w:u w:val="single"/>
        </w:rPr>
        <w:t xml:space="preserve">    2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电气管线、给排水管道、设备安装工程为</w:t>
      </w:r>
      <w:r>
        <w:rPr>
          <w:rFonts w:ascii="宋体" w:hAnsi="宋体" w:eastAsia="宋体" w:cs="Times New Roman"/>
          <w:color w:val="000000"/>
          <w:szCs w:val="21"/>
          <w:highlight w:val="none"/>
          <w:u w:val="single"/>
        </w:rPr>
        <w:t xml:space="preserve">    2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供热与供冷系统为</w:t>
      </w:r>
      <w:r>
        <w:rPr>
          <w:rFonts w:ascii="宋体" w:hAnsi="宋体" w:eastAsia="宋体" w:cs="Times New Roman"/>
          <w:color w:val="000000"/>
          <w:szCs w:val="21"/>
          <w:highlight w:val="none"/>
          <w:u w:val="single"/>
        </w:rPr>
        <w:t xml:space="preserve">     2    </w:t>
      </w:r>
      <w:r>
        <w:rPr>
          <w:rFonts w:ascii="宋体" w:hAnsi="宋体" w:eastAsia="宋体" w:cs="Times New Roman"/>
          <w:color w:val="000000"/>
          <w:szCs w:val="21"/>
          <w:highlight w:val="none"/>
        </w:rPr>
        <w:t xml:space="preserve">个采暖期、供冷期；</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住宅小区内的给排水设施、道路等配套工程为</w:t>
      </w:r>
      <w:r>
        <w:rPr>
          <w:rFonts w:ascii="宋体" w:hAnsi="宋体" w:eastAsia="宋体" w:cs="Times New Roman"/>
          <w:color w:val="000000"/>
          <w:szCs w:val="21"/>
          <w:highlight w:val="none"/>
          <w:u w:val="single"/>
        </w:rPr>
        <w:t xml:space="preserve">   /      </w:t>
      </w:r>
      <w:r>
        <w:rPr>
          <w:rFonts w:ascii="宋体" w:hAnsi="宋体" w:eastAsia="宋体" w:cs="Times New Roman"/>
          <w:color w:val="000000"/>
          <w:szCs w:val="21"/>
          <w:highlight w:val="none"/>
        </w:rPr>
        <w:t xml:space="preserve">年；</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7</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其他项目保修期限约定如下：</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u w:val="single"/>
        </w:rPr>
        <w:t xml:space="preserve">         </w:t>
      </w:r>
      <w:r>
        <w:rPr>
          <w:rFonts w:ascii="宋体" w:hAnsi="宋体" w:eastAsia="宋体" w:cs="Times New Roman"/>
          <w:szCs w:val="21"/>
          <w:highlight w:val="none"/>
          <w:u w:val="single"/>
        </w:rPr>
        <w:t xml:space="preserve">本工程质量保修期为贰年，但不免除国家规定的保修责任 </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质量保修期自工程竣工验收合格之日起计算。</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三、缺陷责任期</w:t>
      </w:r>
      <w:r>
        <w:rPr>
          <w:rFonts w:ascii="宋体" w:hAnsi="宋体" w:eastAsia="宋体" w:cs="Times New Roman"/>
          <w:b/>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工程缺陷责任期为</w:t>
      </w:r>
      <w:r>
        <w:rPr>
          <w:rFonts w:ascii="宋体" w:hAnsi="宋体" w:eastAsia="宋体" w:cs="Times New Roman"/>
          <w:color w:val="000000"/>
          <w:szCs w:val="21"/>
          <w:highlight w:val="none"/>
          <w:u w:val="single"/>
        </w:rPr>
        <w:t xml:space="preserve">    24     </w:t>
      </w:r>
      <w:r>
        <w:rPr>
          <w:rFonts w:ascii="宋体" w:hAnsi="宋体" w:eastAsia="宋体" w:cs="Times New Roman"/>
          <w:color w:val="000000"/>
          <w:szCs w:val="21"/>
          <w:highlight w:val="none"/>
        </w:rPr>
        <w:t xml:space="preserve">个月，缺陷责任期自工程竣工验收合格之日起计算。单位工程先于全部工程进行验收，单位工程缺陷责任期自单位工程验收合格之日起算。</w:t>
      </w:r>
      <w:r>
        <w:rPr>
          <w:rFonts w:ascii="宋体" w:hAnsi="宋体" w:eastAsia="宋体" w:cs="Times New Roman"/>
          <w:color w:val="000000"/>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缺陷责任期终止后，发包人应退还剩余的质量保证金。</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四、质量保修责任</w:t>
      </w:r>
      <w:r>
        <w:rPr>
          <w:rFonts w:ascii="宋体" w:hAnsi="宋体" w:eastAsia="宋体" w:cs="Times New Roman"/>
          <w:b/>
          <w:szCs w:val="21"/>
          <w:highlight w:val="none"/>
        </w:rPr>
      </w:r>
      <w:r/>
    </w:p>
    <w:p>
      <w:pPr>
        <w:pStyle w:val="1035"/>
        <w:ind w:left="105" w:firstLine="43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属于保修范围、内容的项目，承包人应当在接到保修通知之日起7天内派人保修。承包人不在约定期限内派人保修的，发包人可以委托他人修理。</w:t>
      </w:r>
      <w:r>
        <w:rPr>
          <w:rFonts w:ascii="宋体" w:hAnsi="宋体" w:eastAsia="宋体" w:cs="Times New Roman"/>
          <w:color w:val="000000"/>
          <w:szCs w:val="21"/>
          <w:highlight w:val="none"/>
        </w:rPr>
      </w:r>
      <w:r/>
    </w:p>
    <w:p>
      <w:pPr>
        <w:pStyle w:val="1035"/>
        <w:ind w:left="105" w:firstLine="43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发生紧急事故需抢修的，承包人在接到事故通知后，应当立即到达事故现场抢修。</w:t>
      </w:r>
      <w:r>
        <w:rPr>
          <w:rFonts w:ascii="宋体" w:hAnsi="宋体" w:eastAsia="宋体" w:cs="Times New Roman"/>
          <w:color w:val="000000"/>
          <w:szCs w:val="21"/>
          <w:highlight w:val="none"/>
        </w:rPr>
      </w:r>
      <w:r/>
    </w:p>
    <w:p>
      <w:pPr>
        <w:pStyle w:val="1035"/>
        <w:ind w:left="105" w:firstLine="43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color w:val="000000"/>
          <w:szCs w:val="21"/>
          <w:highlight w:val="none"/>
        </w:rPr>
      </w:r>
      <w:r/>
    </w:p>
    <w:p>
      <w:pPr>
        <w:pStyle w:val="1035"/>
        <w:ind w:left="420" w:firstLine="10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ascii="宋体" w:hAnsi="宋体" w:eastAsia="宋体" w:cs="Times New Roman"/>
          <w:szCs w:val="21"/>
          <w:highlight w:val="none"/>
        </w:rPr>
        <w:t xml:space="preserve">．</w:t>
      </w:r>
      <w:r>
        <w:rPr>
          <w:rFonts w:ascii="宋体" w:hAnsi="宋体" w:eastAsia="宋体" w:cs="Times New Roman"/>
          <w:color w:val="000000"/>
          <w:szCs w:val="21"/>
          <w:highlight w:val="none"/>
        </w:rPr>
        <w:t xml:space="preserve">质量保修完成后，由发包人组织验收。</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五、保修费用</w:t>
      </w:r>
      <w:r>
        <w:rPr>
          <w:rFonts w:ascii="宋体" w:hAnsi="宋体" w:eastAsia="宋体" w:cs="Times New Roman"/>
          <w:b/>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　　保修费用由造成质量缺陷的责任方承担。</w:t>
      </w:r>
      <w:r>
        <w:rPr>
          <w:rFonts w:ascii="宋体" w:hAnsi="宋体" w:eastAsia="宋体" w:cs="Times New Roman"/>
          <w:color w:val="000000"/>
          <w:szCs w:val="21"/>
          <w:highlight w:val="none"/>
        </w:rPr>
      </w:r>
      <w:r/>
    </w:p>
    <w:p>
      <w:pPr>
        <w:pStyle w:val="1035"/>
        <w:ind w:firstLine="422"/>
        <w:spacing w:line="360" w:lineRule="auto"/>
        <w:widowControl/>
        <w:rPr>
          <w:rFonts w:ascii="宋体" w:hAnsi="宋体" w:eastAsia="宋体" w:cs="Times New Roman"/>
          <w:b/>
          <w:szCs w:val="21"/>
          <w:highlight w:val="none"/>
        </w:rPr>
      </w:pPr>
      <w:r>
        <w:rPr>
          <w:rFonts w:ascii="宋体" w:hAnsi="宋体" w:eastAsia="宋体" w:cs="Times New Roman"/>
          <w:b/>
          <w:szCs w:val="21"/>
          <w:highlight w:val="none"/>
        </w:rPr>
        <w:t xml:space="preserve">六、双方约定的其他工程质量保修事项：</w:t>
      </w:r>
      <w:r>
        <w:rPr>
          <w:rFonts w:ascii="宋体" w:hAnsi="宋体" w:eastAsia="宋体" w:cs="Times New Roman"/>
          <w:b/>
          <w:szCs w:val="21"/>
          <w:highlight w:val="none"/>
        </w:rPr>
      </w:r>
      <w:r/>
    </w:p>
    <w:p>
      <w:pPr>
        <w:pStyle w:val="1035"/>
        <w:ind w:firstLine="420"/>
        <w:jc w:val="left"/>
        <w:spacing w:line="360" w:lineRule="auto"/>
        <w:widowControl/>
        <w:rPr>
          <w:rFonts w:ascii="宋体" w:hAnsi="宋体" w:eastAsia="宋体" w:cs="Times New Roman"/>
          <w:color w:val="000000"/>
          <w:szCs w:val="21"/>
          <w:highlight w:val="none"/>
        </w:rPr>
      </w:pPr>
      <w:r>
        <w:rPr>
          <w:rFonts w:ascii="宋体" w:hAnsi="宋体" w:eastAsia="宋体" w:cs="Times New Roman"/>
          <w:szCs w:val="24"/>
          <w:highlight w:val="none"/>
        </w:rPr>
        <w:t xml:space="preserve">本工程约定的工程质量保修金为工程结算审定价款的</w:t>
      </w:r>
      <w:r>
        <w:rPr>
          <w:rFonts w:ascii="宋体" w:hAnsi="宋体" w:eastAsia="宋体" w:cs="Times New Roman"/>
          <w:szCs w:val="24"/>
          <w:highlight w:val="none"/>
          <w:u w:val="single"/>
        </w:rPr>
        <w:t xml:space="preserve">  3   </w:t>
      </w:r>
      <w:r>
        <w:rPr>
          <w:rFonts w:ascii="宋体" w:hAnsi="宋体" w:eastAsia="宋体" w:cs="Times New Roman"/>
          <w:szCs w:val="24"/>
          <w:highlight w:val="none"/>
        </w:rPr>
        <w:t xml:space="preserve">%,发包人在质量保修期满后14天内，将剩余保修金返还承包人</w:t>
      </w:r>
      <w:r>
        <w:rPr>
          <w:rFonts w:ascii="宋体" w:hAnsi="宋体" w:eastAsia="宋体" w:cs="Times New Roman"/>
          <w:color w:val="000000"/>
          <w:szCs w:val="21"/>
          <w:highlight w:val="none"/>
        </w:rPr>
        <w:t xml:space="preserve">。</w:t>
      </w:r>
      <w:r>
        <w:rPr>
          <w:rFonts w:ascii="宋体" w:hAnsi="宋体" w:eastAsia="宋体" w:cs="Times New Roman"/>
          <w:color w:val="000000"/>
          <w:szCs w:val="21"/>
          <w:highlight w:val="none"/>
        </w:rPr>
      </w:r>
      <w:r/>
    </w:p>
    <w:p>
      <w:pPr>
        <w:pStyle w:val="1035"/>
        <w:ind w:firstLine="399"/>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工程质量保修书由发包人、承包人在工程竣工验收前共同签署，作为施工合同附件，其有效期限至保修期满。</w:t>
      </w:r>
      <w:r>
        <w:rPr>
          <w:rFonts w:ascii="宋体" w:hAnsi="宋体" w:eastAsia="宋体" w:cs="Times New Roman"/>
          <w:color w:val="000000"/>
          <w:szCs w:val="21"/>
          <w:highlight w:val="none"/>
        </w:rPr>
      </w:r>
      <w:r/>
    </w:p>
    <w:p>
      <w:pPr>
        <w:pStyle w:val="1035"/>
        <w:ind w:firstLine="420"/>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发包人(公章)：</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承包人(公章)：</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地  址：</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地  址：</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法定代表人(签字)：</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法定代表人(签字)：</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委托代理人(签字)：</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委托代理人(签字)：</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电  话：</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电  话：</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传  真：</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传  真：</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开户银行：</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开户银行：</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账  号：</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账  号：</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rPr>
        <w:t xml:space="preserve">邮政编码：</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                                  邮政编码：</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Cs w:val="21"/>
          <w:highlight w:val="none"/>
          <w:u w:val="single"/>
        </w:rPr>
      </w:pPr>
      <w:r>
        <w:rPr>
          <w:rFonts w:ascii="宋体" w:hAnsi="宋体" w:eastAsia="宋体" w:cs="Times New Roman"/>
          <w:color w:val="000000"/>
          <w:szCs w:val="21"/>
          <w:highlight w:val="none"/>
          <w:u w:val="single"/>
        </w:rPr>
      </w:r>
      <w:r/>
    </w:p>
    <w:p>
      <w:pPr>
        <w:pStyle w:val="1035"/>
        <w:spacing w:line="360" w:lineRule="auto"/>
        <w:widowControl/>
        <w:rPr>
          <w:rFonts w:ascii="宋体" w:hAnsi="宋体" w:eastAsia="宋体" w:cs="Times New Roman"/>
          <w:color w:val="000000"/>
          <w:sz w:val="30"/>
          <w:szCs w:val="30"/>
          <w:highlight w:val="none"/>
          <w:u w:val="single"/>
        </w:rPr>
      </w:pPr>
      <w:r>
        <w:rPr>
          <w:rFonts w:ascii="宋体" w:hAnsi="宋体" w:eastAsia="宋体" w:cs="Times New Roman"/>
          <w:color w:val="000000"/>
          <w:sz w:val="30"/>
          <w:szCs w:val="30"/>
          <w:highlight w:val="none"/>
          <w:u w:val="single"/>
        </w:rPr>
      </w:r>
      <w:r/>
    </w:p>
    <w:p>
      <w:pPr>
        <w:pStyle w:val="1035"/>
        <w:keepLines/>
        <w:spacing w:line="360" w:lineRule="auto"/>
        <w:widowControl/>
        <w:rPr>
          <w:rFonts w:ascii="宋体" w:hAnsi="宋体" w:eastAsia="宋体" w:cs="Times New Roman"/>
          <w:b/>
          <w:bCs/>
          <w:szCs w:val="28"/>
          <w:highlight w:val="none"/>
        </w:rPr>
      </w:pPr>
      <w:r>
        <w:rPr>
          <w:rFonts w:ascii="Times New Roman" w:hAnsi="Times New Roman" w:eastAsia="宋体" w:cs="Times New Roman"/>
          <w:b/>
          <w:i/>
          <w:caps/>
          <w:szCs w:val="24"/>
          <w:highlight w:val="none"/>
        </w:rPr>
        <w:br w:type="textWrapping" w:clear="all"/>
      </w:r>
      <w:r>
        <w:rPr>
          <w:rFonts w:ascii="宋体" w:hAnsi="宋体" w:eastAsia="宋体" w:cs="Times New Roman"/>
          <w:b/>
          <w:bCs/>
          <w:szCs w:val="28"/>
          <w:highlight w:val="none"/>
        </w:rPr>
      </w:r>
      <w:r/>
    </w:p>
    <w:p>
      <w:pPr>
        <w:pStyle w:val="1035"/>
        <w:keepLines/>
        <w:spacing w:line="360" w:lineRule="auto"/>
        <w:widowControl/>
        <w:rPr>
          <w:rFonts w:ascii="宋体" w:hAnsi="宋体" w:eastAsia="宋体" w:cs="Times New Roman"/>
          <w:b/>
          <w:bCs/>
          <w:szCs w:val="28"/>
          <w:highlight w:val="none"/>
        </w:rPr>
      </w:pPr>
      <w:r>
        <w:rPr>
          <w:rFonts w:ascii="宋体" w:hAnsi="宋体" w:eastAsia="宋体" w:cs="Times New Roman"/>
          <w:b/>
          <w:bCs/>
          <w:szCs w:val="28"/>
          <w:highlight w:val="none"/>
        </w:rPr>
        <w:br w:type="page" w:clear="all"/>
      </w:r>
      <w:r>
        <w:rPr>
          <w:rFonts w:ascii="宋体" w:hAnsi="宋体" w:eastAsia="宋体" w:cs="Times New Roman"/>
          <w:b/>
          <w:bCs/>
          <w:szCs w:val="28"/>
          <w:highlight w:val="none"/>
        </w:rPr>
        <w:t xml:space="preserve">附件2：廉政责任书格式</w:t>
      </w:r>
      <w:r>
        <w:rPr>
          <w:rFonts w:ascii="宋体" w:hAnsi="宋体" w:eastAsia="宋体" w:cs="Times New Roman"/>
          <w:b/>
          <w:bCs/>
          <w:szCs w:val="28"/>
          <w:highlight w:val="none"/>
        </w:rPr>
      </w:r>
      <w:r/>
    </w:p>
    <w:p>
      <w:pPr>
        <w:pStyle w:val="1035"/>
        <w:jc w:val="center"/>
        <w:spacing w:before="156" w:after="156" w:line="360" w:lineRule="auto"/>
        <w:widowControl/>
        <w:rPr>
          <w:rFonts w:ascii="黑体" w:hAnsi="黑体" w:eastAsia="黑体" w:cs="Times New Roman"/>
          <w:color w:val="000000"/>
          <w:sz w:val="30"/>
          <w:szCs w:val="30"/>
          <w:highlight w:val="none"/>
        </w:rPr>
      </w:pPr>
      <w:r>
        <w:rPr>
          <w:rFonts w:ascii="黑体" w:hAnsi="黑体" w:eastAsia="黑体" w:cs="Times New Roman"/>
          <w:color w:val="000000"/>
          <w:sz w:val="30"/>
          <w:szCs w:val="30"/>
          <w:highlight w:val="none"/>
        </w:rPr>
        <w:t xml:space="preserve">建设工程廉政责任书</w:t>
      </w:r>
      <w:r>
        <w:rPr>
          <w:rFonts w:ascii="黑体" w:hAnsi="黑体" w:eastAsia="黑体" w:cs="Times New Roman"/>
          <w:color w:val="000000"/>
          <w:sz w:val="30"/>
          <w:szCs w:val="30"/>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发包人：</w:t>
      </w:r>
      <w:r>
        <w:rPr>
          <w:rFonts w:ascii="宋体" w:hAnsi="宋体" w:eastAsia="宋体" w:cs="Times New Roman"/>
          <w:szCs w:val="21"/>
          <w:highlight w:val="none"/>
          <w:u w:val="single"/>
        </w:rPr>
        <w:t xml:space="preserve">  </w:t>
      </w:r>
      <w:r>
        <w:rPr>
          <w:rFonts w:hint="eastAsia" w:ascii="Calibri" w:hAnsi="Calibri" w:eastAsia="宋体" w:cs="Times New Roman"/>
          <w:b/>
          <w:szCs w:val="21"/>
          <w:highlight w:val="none"/>
          <w:u w:val="single"/>
          <w:lang w:eastAsia="zh-CN"/>
        </w:rPr>
        <w:t xml:space="preserve">苏州相城经济技术开发区管理委员会 </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承包人：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一、双方的责任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1.1应严格遵守国家关于建设工程的有关法律、法规，相关政策，以及廉政建设的各项规定。</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1.2严格执行建设工程合同文件，自觉按合同办事。</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1.4发现对方在业务活动中有违规、违纪、违法行为的，应及时提醒对方，情节严重的，应向其上级主管部门或纪检监察、司法等有关机关举报。</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二、发包人责任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发包人的领导和从事该建设工程项目的工作人员，在工程建设的事前、事中、事后应遵守以下规定：</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2.1不得向承包人和相关单位索要或接受回扣、礼金、有价证券、贵重物品和好处费、感谢费等。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2.2不得在承包人和相关单位报销任何应由发包人或个人支付的费用。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2.3不得要求、暗示或接受承包人和相关单位为个人装修住房、婚丧嫁娶、配偶子女的工作安排以及出国(境)、旅游等提供方便。</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2.4不得参加有可能影响公正执行公务的承包人和相关单位的宴请、健身、娱乐等活动。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三、承包人责任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应与发包人保持正常的业务交往，按照有关法律法规和程序开展业务工作，严格执行工程建设的有关方针、政策，执行工程建设强制性标准，并遵守以下规定：</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3.1不得以任何理由向发包人及其工作人员索要、接受或赠送礼金、有价证券、贵重物品及回扣、好处费、感谢费等。</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3.2不得以任何理由为发包人和相关单位报销应由对方或个人支付的费用。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3.3不得接受或暗示为发包人、相关单位或个人装修住房、婚丧嫁娶、配偶子女的工作安排以及出国(境)、旅游等提供方便。</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3.4不得以任何理由为发包人、相关单位或个人组织有可能影响公正执行公务的宴请、健身、娱乐等活动。</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四、违约责任</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4.3本责任书作为建设工程合同的组成部分，与建设工程合同具有同等法律效力。经双方签署后立即生效。</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五、责任书有效期</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本责任书的有效期为双方签署之日起至该工程项目竣工验收合格时止。</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六、责任书份数</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本责任书一式</w:t>
      </w:r>
      <w:r>
        <w:rPr>
          <w:rFonts w:hint="eastAsia" w:ascii="宋体" w:hAnsi="宋体" w:eastAsia="宋体" w:cs="Times New Roman"/>
          <w:szCs w:val="21"/>
          <w:highlight w:val="none"/>
          <w:u w:val="single"/>
        </w:rPr>
        <w:t xml:space="preserve"> 8 </w:t>
      </w:r>
      <w:r>
        <w:rPr>
          <w:rFonts w:hint="eastAsia" w:ascii="宋体" w:hAnsi="宋体" w:eastAsia="宋体" w:cs="Times New Roman"/>
          <w:szCs w:val="21"/>
          <w:highlight w:val="none"/>
        </w:rPr>
        <w:t xml:space="preserve">份，均具有同等法律效力，发包人执</w:t>
      </w:r>
      <w:r>
        <w:rPr>
          <w:rFonts w:hint="eastAsia" w:ascii="宋体" w:hAnsi="宋体" w:eastAsia="宋体" w:cs="Times New Roman"/>
          <w:szCs w:val="21"/>
          <w:highlight w:val="none"/>
          <w:u w:val="single"/>
        </w:rPr>
        <w:t xml:space="preserve"> 4 </w:t>
      </w:r>
      <w:r>
        <w:rPr>
          <w:rFonts w:hint="eastAsia" w:ascii="宋体" w:hAnsi="宋体" w:eastAsia="宋体" w:cs="Times New Roman"/>
          <w:szCs w:val="21"/>
          <w:highlight w:val="none"/>
        </w:rPr>
        <w:t xml:space="preserve">份，承包人执</w:t>
      </w:r>
      <w:r>
        <w:rPr>
          <w:rFonts w:hint="eastAsia" w:ascii="宋体" w:hAnsi="宋体" w:eastAsia="宋体" w:cs="Times New Roman"/>
          <w:szCs w:val="21"/>
          <w:highlight w:val="none"/>
          <w:u w:val="single"/>
        </w:rPr>
        <w:t xml:space="preserve"> 2 </w:t>
      </w:r>
      <w:r>
        <w:rPr>
          <w:rFonts w:hint="eastAsia" w:ascii="宋体" w:hAnsi="宋体" w:eastAsia="宋体" w:cs="Times New Roman"/>
          <w:szCs w:val="21"/>
          <w:highlight w:val="none"/>
        </w:rPr>
        <w:t xml:space="preserve">份，招标代理机构执</w:t>
      </w:r>
      <w:r>
        <w:rPr>
          <w:rFonts w:hint="eastAsia" w:ascii="宋体" w:hAnsi="宋体" w:eastAsia="宋体" w:cs="Times New Roman"/>
          <w:szCs w:val="21"/>
          <w:highlight w:val="none"/>
          <w:u w:val="single"/>
        </w:rPr>
        <w:t xml:space="preserve"> 2 </w:t>
      </w:r>
      <w:r>
        <w:rPr>
          <w:rFonts w:hint="eastAsia" w:ascii="宋体" w:hAnsi="宋体" w:eastAsia="宋体" w:cs="Times New Roman"/>
          <w:szCs w:val="21"/>
          <w:highlight w:val="none"/>
        </w:rPr>
        <w:t xml:space="preserve">份。</w:t>
      </w:r>
      <w:r>
        <w:rPr>
          <w:rFonts w:ascii="宋体" w:hAnsi="宋体" w:eastAsia="宋体" w:cs="Times New Roman"/>
          <w:szCs w:val="21"/>
          <w:highlight w:val="none"/>
        </w:rPr>
      </w:r>
      <w:r/>
    </w:p>
    <w:p>
      <w:pPr>
        <w:pStyle w:val="1035"/>
        <w:ind w:firstLine="480"/>
        <w:spacing w:line="360" w:lineRule="auto"/>
        <w:widowControl/>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发包人：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(公章)    承包人：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(公章)</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法定地址：</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法定地址：</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法定代表人或其                         法定代表人或其</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委托代理人：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(签字)    委托代理人：</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(签字)</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电话：</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电话：</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传真：</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传真：</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电子邮箱：</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电子邮箱：</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开户银行：</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开户银行：</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帐号：</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帐号：</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spacing w:line="360" w:lineRule="auto"/>
        <w:widowControl/>
        <w:rPr>
          <w:rFonts w:ascii="Calibri" w:hAnsi="Calibri" w:eastAsia="宋体" w:cs="Times New Roman"/>
          <w:szCs w:val="24"/>
          <w:highlight w:val="none"/>
        </w:rPr>
      </w:pPr>
      <w:r>
        <w:rPr>
          <w:rFonts w:ascii="宋体" w:hAnsi="宋体" w:eastAsia="宋体" w:cs="Times New Roman"/>
          <w:szCs w:val="21"/>
          <w:highlight w:val="none"/>
        </w:rPr>
        <w:t xml:space="preserve">邮政编码：</w:t>
      </w:r>
      <w:r>
        <w:rPr>
          <w:rFonts w:ascii="宋体" w:hAnsi="宋体" w:eastAsia="宋体" w:cs="Times New Roman"/>
          <w:szCs w:val="21"/>
          <w:highlight w:val="none"/>
          <w:u w:val="single"/>
        </w:rPr>
        <w:t xml:space="preserve">                   </w:t>
      </w:r>
      <w:r>
        <w:rPr>
          <w:rFonts w:ascii="宋体" w:hAnsi="宋体" w:eastAsia="宋体" w:cs="Times New Roman"/>
          <w:szCs w:val="21"/>
          <w:highlight w:val="none"/>
        </w:rPr>
        <w:t xml:space="preserve">          邮政编码：</w:t>
      </w:r>
      <w:r>
        <w:rPr>
          <w:rFonts w:ascii="宋体" w:hAnsi="宋体" w:eastAsia="宋体" w:cs="Times New Roman"/>
          <w:szCs w:val="21"/>
          <w:highlight w:val="none"/>
          <w:u w:val="single"/>
        </w:rPr>
        <w:t xml:space="preserve">            </w:t>
      </w:r>
      <w:r>
        <w:rPr>
          <w:rFonts w:ascii="Calibri" w:hAnsi="Calibri" w:eastAsia="宋体" w:cs="Times New Roman"/>
          <w:szCs w:val="24"/>
          <w:highlight w:val="none"/>
        </w:rPr>
      </w:r>
      <w:r/>
    </w:p>
    <w:p>
      <w:pPr>
        <w:pStyle w:val="1035"/>
        <w:jc w:val="left"/>
        <w:keepLines/>
        <w:spacing w:before="260" w:after="260" w:line="360" w:lineRule="auto"/>
        <w:widowControl/>
        <w:rPr>
          <w:rFonts w:ascii="宋体" w:hAnsi="宋体" w:eastAsia="宋体" w:cs="宋体"/>
          <w:b/>
          <w:bCs/>
          <w:szCs w:val="21"/>
          <w:highlight w:val="none"/>
        </w:rPr>
      </w:pPr>
      <w:r>
        <w:rPr>
          <w:rFonts w:ascii="Times New Roman" w:hAnsi="Times New Roman" w:eastAsia="宋体" w:cs="Times New Roman"/>
          <w:b/>
          <w:i/>
          <w:caps/>
          <w:szCs w:val="24"/>
          <w:highlight w:val="none"/>
        </w:rPr>
        <w:br w:type="textWrapping" w:clear="all"/>
      </w:r>
      <w:r>
        <w:rPr>
          <w:rFonts w:ascii="宋体" w:hAnsi="宋体" w:eastAsia="宋体" w:cs="宋体"/>
          <w:b/>
          <w:bCs/>
          <w:szCs w:val="21"/>
          <w:highlight w:val="none"/>
        </w:rPr>
      </w:r>
      <w:r/>
    </w:p>
    <w:p>
      <w:pPr>
        <w:pStyle w:val="1035"/>
        <w:jc w:val="left"/>
        <w:keepLines/>
        <w:spacing w:before="260" w:after="260" w:line="360" w:lineRule="auto"/>
        <w:widowControl/>
        <w:rPr>
          <w:rFonts w:ascii="Cambria" w:hAnsi="Cambria" w:eastAsia="宋体" w:cs="Times New Roman"/>
          <w:b/>
          <w:bCs/>
          <w:szCs w:val="21"/>
          <w:highlight w:val="none"/>
        </w:rPr>
      </w:pPr>
      <w:r>
        <w:rPr>
          <w:rFonts w:ascii="宋体" w:hAnsi="宋体" w:eastAsia="宋体" w:cs="Times New Roman"/>
          <w:b/>
          <w:bCs/>
          <w:szCs w:val="28"/>
          <w:highlight w:val="none"/>
        </w:rPr>
        <w:br w:type="page" w:clear="all"/>
      </w:r>
      <w:r>
        <w:rPr>
          <w:rFonts w:ascii="宋体" w:hAnsi="宋体" w:eastAsia="宋体" w:cs="Times New Roman"/>
          <w:b/>
          <w:bCs/>
          <w:szCs w:val="28"/>
          <w:highlight w:val="none"/>
        </w:rPr>
        <w:t xml:space="preserve">附件3：</w:t>
      </w:r>
      <w:r>
        <w:rPr>
          <w:rFonts w:ascii="Cambria" w:hAnsi="Cambria" w:eastAsia="宋体" w:cs="Times New Roman"/>
          <w:b/>
          <w:bCs/>
          <w:szCs w:val="21"/>
          <w:highlight w:val="none"/>
        </w:rPr>
        <w:t xml:space="preserve">安全生产协议书</w:t>
      </w:r>
      <w:r>
        <w:rPr>
          <w:rFonts w:ascii="Cambria" w:hAnsi="Cambria" w:eastAsia="宋体" w:cs="Times New Roman"/>
          <w:b/>
          <w:bCs/>
          <w:szCs w:val="21"/>
          <w:highlight w:val="none"/>
        </w:rPr>
      </w:r>
      <w:r/>
    </w:p>
    <w:p>
      <w:pPr>
        <w:pStyle w:val="1035"/>
        <w:jc w:val="center"/>
        <w:keepLines/>
        <w:spacing w:before="260" w:after="260" w:line="360" w:lineRule="auto"/>
        <w:widowControl/>
        <w:rPr>
          <w:rFonts w:ascii="Cambria" w:hAnsi="Cambria" w:eastAsia="宋体" w:cs="Times New Roman"/>
          <w:b/>
          <w:bCs/>
          <w:szCs w:val="21"/>
          <w:highlight w:val="none"/>
        </w:rPr>
      </w:pPr>
      <w:r>
        <w:rPr>
          <w:rFonts w:ascii="Cambria" w:hAnsi="Cambria" w:eastAsia="宋体" w:cs="Times New Roman"/>
          <w:b/>
          <w:bCs/>
          <w:szCs w:val="21"/>
          <w:highlight w:val="none"/>
        </w:rPr>
        <w:t xml:space="preserve">安全生产协议书</w:t>
      </w:r>
      <w:r>
        <w:rPr>
          <w:rFonts w:ascii="Cambria" w:hAnsi="Cambria" w:eastAsia="宋体" w:cs="Times New Roman"/>
          <w:b/>
          <w:bCs/>
          <w:szCs w:val="21"/>
          <w:highlight w:val="none"/>
        </w:rPr>
      </w:r>
      <w:r/>
    </w:p>
    <w:p>
      <w:pPr>
        <w:pStyle w:val="1035"/>
        <w:ind w:firstLine="422"/>
        <w:jc w:val="left"/>
        <w:spacing w:line="360" w:lineRule="auto"/>
        <w:widowControl/>
        <w:rPr>
          <w:rFonts w:ascii="宋体" w:hAnsi="宋体" w:eastAsia="宋体" w:cs="Times New Roman"/>
          <w:b/>
          <w:szCs w:val="21"/>
          <w:highlight w:val="none"/>
          <w:u w:val="single"/>
        </w:rPr>
      </w:pPr>
      <w:r>
        <w:rPr>
          <w:rFonts w:ascii="宋体" w:hAnsi="宋体" w:eastAsia="宋体" w:cs="Times New Roman"/>
          <w:b/>
          <w:szCs w:val="21"/>
          <w:highlight w:val="none"/>
        </w:rPr>
        <w:t xml:space="preserve">发包人（甲方）：</w:t>
      </w:r>
      <w:r>
        <w:rPr>
          <w:rFonts w:ascii="宋体" w:hAnsi="宋体" w:eastAsia="宋体" w:cs="Times New Roman"/>
          <w:b/>
          <w:szCs w:val="21"/>
          <w:highlight w:val="none"/>
          <w:u w:val="single"/>
        </w:rPr>
        <w:t xml:space="preserve">   </w:t>
      </w:r>
      <w:r>
        <w:rPr>
          <w:rFonts w:hint="eastAsia" w:ascii="宋体" w:hAnsi="宋体" w:eastAsia="宋体" w:cs="Times New Roman"/>
          <w:b/>
          <w:szCs w:val="21"/>
          <w:highlight w:val="none"/>
          <w:u w:val="single"/>
          <w:lang w:eastAsia="zh-CN"/>
        </w:rPr>
        <w:t xml:space="preserve">苏州相城经济技术开发区管理委员会 </w:t>
      </w:r>
      <w:r>
        <w:rPr>
          <w:rFonts w:ascii="宋体" w:hAnsi="宋体" w:eastAsia="宋体" w:cs="Times New Roman"/>
          <w:b/>
          <w:szCs w:val="21"/>
          <w:highlight w:val="none"/>
          <w:u w:val="single"/>
        </w:rPr>
        <w:t xml:space="preserve">   </w:t>
      </w:r>
      <w:r>
        <w:rPr>
          <w:rFonts w:ascii="宋体" w:hAnsi="宋体" w:eastAsia="宋体" w:cs="Times New Roman"/>
          <w:b/>
          <w:szCs w:val="21"/>
          <w:highlight w:val="none"/>
          <w:u w:val="single"/>
        </w:rPr>
      </w:r>
      <w:r/>
    </w:p>
    <w:p>
      <w:pPr>
        <w:pStyle w:val="1035"/>
        <w:ind w:firstLine="422"/>
        <w:jc w:val="left"/>
        <w:spacing w:line="360" w:lineRule="auto"/>
        <w:widowControl/>
        <w:rPr>
          <w:rFonts w:ascii="宋体" w:hAnsi="宋体" w:eastAsia="宋体" w:cs="Times New Roman"/>
          <w:b/>
          <w:szCs w:val="21"/>
          <w:highlight w:val="none"/>
          <w:u w:val="single"/>
        </w:rPr>
      </w:pPr>
      <w:r>
        <w:rPr>
          <w:rFonts w:ascii="宋体" w:hAnsi="宋体" w:eastAsia="宋体" w:cs="Times New Roman"/>
          <w:b/>
          <w:szCs w:val="21"/>
          <w:highlight w:val="none"/>
        </w:rPr>
        <w:t xml:space="preserve">承包人（乙方）：</w:t>
      </w:r>
      <w:r>
        <w:rPr>
          <w:rFonts w:ascii="宋体" w:hAnsi="宋体" w:eastAsia="宋体" w:cs="Times New Roman"/>
          <w:b/>
          <w:szCs w:val="21"/>
          <w:highlight w:val="none"/>
          <w:u w:val="single"/>
        </w:rPr>
        <w:t xml:space="preserve">                                 </w:t>
      </w:r>
      <w:r>
        <w:rPr>
          <w:rFonts w:ascii="宋体" w:hAnsi="宋体" w:eastAsia="宋体" w:cs="Times New Roman"/>
          <w:b/>
          <w:szCs w:val="21"/>
          <w:highlight w:val="none"/>
          <w:u w:val="single"/>
        </w:rPr>
      </w:r>
      <w:r/>
    </w:p>
    <w:p>
      <w:pPr>
        <w:pStyle w:val="1035"/>
        <w:ind w:firstLine="420"/>
        <w:jc w:val="left"/>
        <w:spacing w:before="100" w:after="100"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依照《中华人民共</w:t>
      </w:r>
      <w:r>
        <w:rPr>
          <w:rFonts w:hint="eastAsia" w:ascii="宋体" w:hAnsi="宋体" w:eastAsia="宋体" w:cs="Times New Roman"/>
          <w:szCs w:val="21"/>
          <w:highlight w:val="none"/>
        </w:rPr>
        <w:t xml:space="preserve">国民法典</w:t>
      </w:r>
      <w:r>
        <w:rPr>
          <w:rFonts w:ascii="宋体" w:hAnsi="宋体" w:eastAsia="宋体" w:cs="Times New Roman"/>
          <w:szCs w:val="21"/>
          <w:highlight w:val="none"/>
        </w:rPr>
        <w:t xml:space="preserve">》、《中华人民共和国建筑法》、《中华人民共和国安全生产法》及其他有关法律、法规。为了保证双方生产安全，明确各自的安全管理职责和应当采取安全措施，就本工程的安全生产施工事项达成以下协议：</w:t>
      </w:r>
      <w:r>
        <w:rPr>
          <w:rFonts w:ascii="宋体" w:hAnsi="宋体" w:eastAsia="宋体" w:cs="Times New Roman"/>
          <w:szCs w:val="21"/>
          <w:highlight w:val="none"/>
        </w:rPr>
      </w:r>
      <w:r/>
    </w:p>
    <w:p>
      <w:pPr>
        <w:pStyle w:val="1035"/>
        <w:numPr>
          <w:ilvl w:val="0"/>
          <w:numId w:val="22"/>
        </w:numPr>
        <w:ind w:left="0" w:firstLine="420"/>
        <w:jc w:val="left"/>
        <w:spacing w:line="360" w:lineRule="auto"/>
        <w:widowControl/>
        <w:rPr>
          <w:rFonts w:ascii="宋体" w:hAnsi="宋体" w:eastAsia="宋体" w:cs="Times New Roman"/>
          <w:szCs w:val="21"/>
          <w:highlight w:val="none"/>
        </w:rPr>
      </w:pPr>
      <w:r>
        <w:rPr>
          <w:rFonts w:ascii="宋体" w:hAnsi="宋体" w:eastAsia="宋体" w:cs="宋体"/>
          <w:bCs/>
          <w:szCs w:val="21"/>
          <w:highlight w:val="none"/>
        </w:rPr>
        <w:t xml:space="preserve"> 工程概况</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工程名称：</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工程地点：</w:t>
      </w:r>
      <w:r>
        <w:rPr>
          <w:rFonts w:ascii="宋体" w:hAnsi="宋体" w:eastAsia="宋体" w:cs="Times New Roman"/>
          <w:szCs w:val="21"/>
          <w:highlight w:val="none"/>
          <w:u w:val="single"/>
        </w:rPr>
        <w:t xml:space="preserve">                 </w:t>
      </w:r>
      <w:r>
        <w:rPr>
          <w:rFonts w:ascii="宋体" w:hAnsi="宋体" w:eastAsia="宋体" w:cs="Times New Roman"/>
          <w:szCs w:val="21"/>
          <w:highlight w:val="none"/>
        </w:rPr>
      </w:r>
      <w:r/>
    </w:p>
    <w:p>
      <w:pPr>
        <w:pStyle w:val="1035"/>
        <w:numPr>
          <w:ilvl w:val="0"/>
          <w:numId w:val="22"/>
        </w:numPr>
        <w:ind w:left="0"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乙方资质及安全生产条件：</w:t>
      </w:r>
      <w:r>
        <w:rPr>
          <w:rFonts w:ascii="宋体" w:hAnsi="宋体" w:eastAsia="宋体" w:cs="宋体"/>
          <w:bCs/>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乙方应对承揽本工程所提供的资质、安全生产资格证书、安全生产条件等有关资料真实性负责。</w:t>
      </w:r>
      <w:r>
        <w:rPr>
          <w:rFonts w:ascii="宋体" w:hAnsi="宋体" w:eastAsia="宋体" w:cs="Times New Roman"/>
          <w:szCs w:val="21"/>
          <w:highlight w:val="none"/>
        </w:rPr>
      </w:r>
      <w:r/>
    </w:p>
    <w:p>
      <w:pPr>
        <w:pStyle w:val="1035"/>
        <w:numPr>
          <w:ilvl w:val="0"/>
          <w:numId w:val="22"/>
        </w:numPr>
        <w:ind w:left="0"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现场负责人及安全生产管理人员：</w:t>
      </w:r>
      <w:r>
        <w:rPr>
          <w:rFonts w:ascii="宋体" w:hAnsi="宋体" w:eastAsia="宋体" w:cs="宋体"/>
          <w:bCs/>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　　乙方指定本工程项目经理为现场负责人，并落实专职安全生产管理人员。　　　　</w:t>
      </w:r>
      <w:r>
        <w:rPr>
          <w:rFonts w:ascii="宋体" w:hAnsi="宋体" w:eastAsia="宋体" w:cs="Times New Roman"/>
          <w:szCs w:val="21"/>
          <w:highlight w:val="none"/>
        </w:rPr>
      </w:r>
      <w:r/>
    </w:p>
    <w:p>
      <w:pPr>
        <w:pStyle w:val="1035"/>
        <w:numPr>
          <w:ilvl w:val="0"/>
          <w:numId w:val="22"/>
        </w:numPr>
        <w:ind w:left="0" w:firstLine="420"/>
        <w:jc w:val="left"/>
        <w:spacing w:line="360" w:lineRule="auto"/>
        <w:widowControl/>
        <w:rPr>
          <w:rFonts w:ascii="宋体" w:hAnsi="宋体" w:eastAsia="宋体" w:cs="Times New Roman"/>
          <w:szCs w:val="21"/>
          <w:highlight w:val="none"/>
        </w:rPr>
      </w:pPr>
      <w:r>
        <w:rPr>
          <w:rFonts w:ascii="宋体" w:hAnsi="宋体" w:eastAsia="宋体" w:cs="宋体"/>
          <w:bCs/>
          <w:szCs w:val="21"/>
          <w:highlight w:val="none"/>
        </w:rPr>
        <w:t xml:space="preserve"> 甲方的责任和权利</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1、甲方应要求乙方制定施工安全措施，在开始施工前报甲方备案。 </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3、甲方指派本工程监理单位及总监理工程师负责与乙方联系安全生产方面的工作。</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乙方在施工中发生的人身、财产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5、甲方不得要求乙方违反安全管理规定进行施工。因甲方原因导致的事故由甲方承担责任。</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rPr>
          <w:rFonts w:ascii="宋体" w:hAnsi="宋体" w:eastAsia="宋体" w:cs="Times New Roman"/>
          <w:szCs w:val="21"/>
          <w:highlight w:val="none"/>
        </w:rPr>
      </w:r>
      <w:r/>
    </w:p>
    <w:p>
      <w:pPr>
        <w:pStyle w:val="1035"/>
        <w:numPr>
          <w:ilvl w:val="0"/>
          <w:numId w:val="22"/>
        </w:numPr>
        <w:ind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乙方的责任和权利</w:t>
      </w:r>
      <w:r>
        <w:rPr>
          <w:rFonts w:ascii="宋体" w:hAnsi="宋体" w:eastAsia="宋体" w:cs="宋体"/>
          <w:bCs/>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1、乙方负责人是安全生产的第一责任人，对本工程的安全生产负全责。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2、乙方的安全目标应与甲方总体安全目标相一致。</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3、乙方应当具备《中华人民共和国安全生产法》和有关法律、行政法规和国家标准或者行业标准规定的安全生产条件；不具备安全生产条件的，不得承包本工程。</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4、乙方单位的主要负责人对本单位安全生产工作负有下列职责：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（1）建立、健全本单位安全生产责任制；</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（2）建立健全安全生产保证体系及安全组织机构，设立专职安全生产管理人员，建立健全现场安全责任制和消防安全责任制度。</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（3）组织制定本单位安全生产规章  制度和操作规程；</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（4）组织制定并实施本单位安全生产教育和培训计划；</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（5）保证本单位安全生产投入的有效实施；</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（6）督促、检查本单位的安全生产工作，及时消除生产安全事故隐患；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（7）组织制定并实施本单位的生产安全事故应急救援预案；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（8）及时、如实报告生产安全事故。</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5、严格执行甲方的安全生产管理制度及甲方的质量、职业健康安全、环境管理体系标准。遵守国家有关法律、法规、国家标准或行业标准和安全技术操作规程。</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7、乙方应当具备安全生产条件所必需的资金投入，由乙方单位的决策机构、主要负责人或者个人经营的投资人予以保证，并对由于安全生产所必需的资金不足导致的后果承担责任。</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8、乙方的项目负责人、专职安全生产管理人员和特种作业人员应按照国家有关规定经过相关培训，取得相应资格，并在现有的资质等级许可的范围内承揽工程。持岗位证上岗。</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9、乙方单位的安全管理机构以及安全生产管理人员履行下列职责：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（1）组织或者参与拟订本项目安全生产规章制度、操作规程和生产安全事故应急救援预案；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（2）组织或者参与本项目安全生产教育和培训，如实记录安全生产教育和培训情况；</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（3）督促落实本项目重大危险源的安全管理措施；</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（4）组织或者参与本项目应急救援演练；</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（5）检查本项目的安全生产状况，及时排查生产安全事故隐患，提出改进安全生产管理的建议；</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（6）制止和纠正违章指挥、强令冒险作业、违反操作规程的行为；</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（7）督促落实本项目安全生产整改措施。</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12、乙方应当在有较大危险因素的生产经营场所和有关设施、设备上，设置明显的安全警示标志。</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13、乙方必须依法参加工伤保险，为从业人员缴纳保险费，为从事危险作业的人员办理意外伤害保险，支付保险费，并将保单复印件交给甲方备查。</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15、施工过程中对人的不安全行为，物的不安全状态，作业环境的不安全因素和管理缺陷进行控制。严格按照安全施工要求进行施工，杜绝强令员工冒险作业和违章作业现象出现。</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16、乙方施工现场的安全控制由乙方单位负责人负责。服从监理人、发包人、建设单位对施工现场的安全管理。</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17、乙方不得将生产经营项目、场所、设备发包或者出租给不具备安全生产条件或者相应资质的单位或者个人。 </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18、按部颁JGJ59-99标准要求对施工现场进行有效控制。如有严重违反JGJ59-99标准保证项目条款，甲方单位有权提出停工并罚款。</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19、平时进行安全检查，对安全隐患及时整改。对甲方单位签发的安全检查整改通知单应无条件地整改。</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20、乙方有权对甲方的安全管理提出合理化建议。</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21、每月在规定的时间内及时向甲方上报各种安全统计数据。</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22、乙方所使用的安全防护用品（如安全帽、安全带、防护胶等）必须是按照国家规范采购的合格用品，并将安全防护用品合格证报给甲方备案。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24、乙方在施工中必须加强安全管理，由于管理不到位造成负面影响，乙方将承担全部责任，并承担由此给甲方造成的名誉及经济损失。</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25、如果乙方不遵守本合同条款，甲方将取消其承包人资格，不再继续与其合作。</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26、乙方必须遵守职业病防治相关的法律法规规定，制定职业危害防治措施管理规定。指定职业卫生管理机构或组织，配备专兼职职业危害防治负责人负责职业危害防治工作。</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27、乙方必须针对高坠、触电、粉尘、生产性毒物、噪音、振动、光污染等可能出现的危害因素制定防治措施。并指定专人负责。</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28、乙方必须为员工配备合格的职业卫生防护用品。</w:t>
      </w:r>
      <w:r>
        <w:rPr>
          <w:rFonts w:ascii="宋体" w:hAnsi="宋体" w:eastAsia="宋体" w:cs="Times New Roman"/>
          <w:szCs w:val="21"/>
          <w:highlight w:val="none"/>
        </w:rPr>
      </w:r>
      <w:r/>
    </w:p>
    <w:p>
      <w:pPr>
        <w:pStyle w:val="1035"/>
        <w:numPr>
          <w:ilvl w:val="0"/>
          <w:numId w:val="22"/>
        </w:numPr>
        <w:ind w:left="284"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施工安全违约金 </w:t>
      </w:r>
      <w:r>
        <w:rPr>
          <w:rFonts w:ascii="宋体" w:hAnsi="宋体" w:eastAsia="宋体" w:cs="宋体"/>
          <w:bCs/>
          <w:szCs w:val="21"/>
          <w:highlight w:val="none"/>
        </w:rPr>
      </w:r>
      <w:r/>
    </w:p>
    <w:p>
      <w:pPr>
        <w:pStyle w:val="1035"/>
        <w:ind w:left="284"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若施工过程中发生安全事故，乙方除承担相应的经济赔偿责任及其它法律责任外，如因此给甲方增加额外工作的，甲方有权扣除乙方应得工程款3%以内的金额作为安全违约金。</w:t>
      </w:r>
      <w:r>
        <w:rPr>
          <w:rFonts w:ascii="宋体" w:hAnsi="宋体" w:eastAsia="宋体" w:cs="Times New Roman"/>
          <w:szCs w:val="21"/>
          <w:highlight w:val="none"/>
        </w:rPr>
      </w:r>
      <w:r/>
    </w:p>
    <w:p>
      <w:pPr>
        <w:pStyle w:val="1035"/>
        <w:numPr>
          <w:ilvl w:val="0"/>
          <w:numId w:val="22"/>
        </w:numPr>
        <w:ind w:left="284" w:firstLine="420"/>
        <w:jc w:val="left"/>
        <w:spacing w:line="360" w:lineRule="auto"/>
        <w:widowControl/>
        <w:rPr>
          <w:rFonts w:ascii="宋体" w:hAnsi="宋体" w:eastAsia="宋体" w:cs="宋体"/>
          <w:bCs/>
          <w:szCs w:val="21"/>
          <w:highlight w:val="none"/>
        </w:rPr>
      </w:pPr>
      <w:r>
        <w:rPr>
          <w:rFonts w:ascii="宋体" w:hAnsi="宋体" w:eastAsia="宋体" w:cs="宋体"/>
          <w:bCs/>
          <w:szCs w:val="21"/>
          <w:highlight w:val="none"/>
        </w:rPr>
        <w:t xml:space="preserve"> 其他</w:t>
      </w:r>
      <w:r>
        <w:rPr>
          <w:rFonts w:ascii="宋体" w:hAnsi="宋体" w:eastAsia="宋体" w:cs="宋体"/>
          <w:bCs/>
          <w:szCs w:val="21"/>
          <w:highlight w:val="none"/>
        </w:rPr>
      </w:r>
      <w:r/>
    </w:p>
    <w:p>
      <w:pPr>
        <w:pStyle w:val="1035"/>
        <w:ind w:left="284"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1、本合同签订后，未经双方共同协商同意，任何一方不得私自改动或终止。</w:t>
      </w:r>
      <w:r>
        <w:rPr>
          <w:rFonts w:ascii="宋体" w:hAnsi="宋体" w:eastAsia="宋体" w:cs="Times New Roman"/>
          <w:szCs w:val="21"/>
          <w:highlight w:val="none"/>
        </w:rPr>
      </w:r>
      <w:r/>
    </w:p>
    <w:p>
      <w:pPr>
        <w:pStyle w:val="1035"/>
        <w:ind w:left="284"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2、本合同与工程合同具有同等效力，有效期自工程开工至全部工程完工后经交工验收合格，以及期满有发包人发给保修终止证书后失效。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3、合同履行过程中发生争议时，双方应协商解决，如果协商不成，任何一方可以向工程所在地人民法院提起诉讼。</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4、本合同自双方签字盖章后生效。</w:t>
      </w:r>
      <w:r>
        <w:rPr>
          <w:rFonts w:ascii="宋体" w:hAnsi="宋体" w:eastAsia="宋体" w:cs="Times New Roman"/>
          <w:szCs w:val="21"/>
          <w:highlight w:val="none"/>
        </w:rPr>
      </w:r>
      <w:r/>
    </w:p>
    <w:p>
      <w:pPr>
        <w:pStyle w:val="1035"/>
        <w:ind w:firstLine="420"/>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5、本合同一式肆份，甲、乙双方各执贰份。</w:t>
      </w:r>
      <w:r>
        <w:rPr>
          <w:rFonts w:ascii="宋体" w:hAnsi="宋体" w:eastAsia="宋体" w:cs="Times New Roman"/>
          <w:szCs w:val="21"/>
          <w:highlight w:val="none"/>
        </w:rPr>
      </w:r>
      <w:r/>
    </w:p>
    <w:p>
      <w:pPr>
        <w:pStyle w:val="1035"/>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jc w:val="left"/>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发  包  方(公章)：                     承  包  方(公章)：</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法定代表人：(签字)                      法定代表人：(签字)</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或                                     或</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委托代理人：(签字)                      委托代理人：(签字)</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日期：</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年  月  日                   日期：</w:t>
      </w:r>
      <w:r>
        <w:rPr>
          <w:rFonts w:hint="eastAsia" w:ascii="宋体" w:hAnsi="宋体" w:eastAsia="宋体" w:cs="Times New Roman"/>
          <w:szCs w:val="21"/>
          <w:highlight w:val="none"/>
        </w:rPr>
        <w:t xml:space="preserve">    </w:t>
      </w:r>
      <w:r>
        <w:rPr>
          <w:rFonts w:ascii="宋体" w:hAnsi="宋体" w:eastAsia="宋体" w:cs="Times New Roman"/>
          <w:szCs w:val="21"/>
          <w:highlight w:val="none"/>
        </w:rPr>
        <w:t xml:space="preserve">年  月  日</w:t>
      </w:r>
      <w:r>
        <w:rPr>
          <w:rFonts w:ascii="宋体" w:hAnsi="宋体" w:eastAsia="宋体" w:cs="Times New Roman"/>
          <w:szCs w:val="21"/>
          <w:highlight w:val="none"/>
        </w:rPr>
      </w:r>
      <w:r/>
    </w:p>
    <w:p>
      <w:pPr>
        <w:pStyle w:val="1035"/>
        <w:spacing w:line="360" w:lineRule="auto"/>
        <w:widowControl/>
        <w:rPr>
          <w:rFonts w:ascii="宋体" w:hAnsi="宋体" w:eastAsia="宋体" w:cs="Times New Roman"/>
          <w:szCs w:val="21"/>
          <w:highlight w:val="none"/>
        </w:rPr>
      </w:pPr>
      <w:r>
        <w:rPr>
          <w:rFonts w:ascii="宋体" w:hAnsi="宋体" w:eastAsia="宋体" w:cs="Times New Roman"/>
          <w:szCs w:val="21"/>
          <w:highlight w:val="none"/>
        </w:rPr>
        <w:t xml:space="preserve">其委托代理人：</w:t>
      </w:r>
      <w:r>
        <w:rPr>
          <w:rFonts w:ascii="宋体" w:hAnsi="宋体" w:eastAsia="宋体" w:cs="Times New Roman"/>
          <w:szCs w:val="21"/>
          <w:highlight w:val="none"/>
        </w:rPr>
      </w:r>
      <w:r/>
    </w:p>
    <w:p>
      <w:pPr>
        <w:pStyle w:val="1035"/>
        <w:ind w:left="783" w:hanging="783"/>
        <w:spacing w:line="360" w:lineRule="auto"/>
        <w:widowControl/>
        <w:tabs>
          <w:tab w:val="left" w:pos="1260" w:leader="none"/>
        </w:tabs>
        <w:rPr>
          <w:rFonts w:ascii="宋体" w:hAnsi="宋体" w:eastAsia="宋体" w:cs="Times New Roman"/>
          <w:szCs w:val="21"/>
          <w:highlight w:val="none"/>
        </w:rPr>
      </w:pPr>
      <w:r>
        <w:rPr>
          <w:rFonts w:ascii="宋体" w:hAnsi="宋体" w:eastAsia="宋体" w:cs="Times New Roman"/>
          <w:szCs w:val="21"/>
          <w:highlight w:val="none"/>
        </w:rPr>
        <w:t xml:space="preserve">单位地址： </w:t>
      </w:r>
      <w:r>
        <w:rPr>
          <w:rFonts w:ascii="宋体" w:hAnsi="宋体" w:eastAsia="宋体" w:cs="Times New Roman"/>
          <w:szCs w:val="21"/>
          <w:highlight w:val="none"/>
        </w:rPr>
      </w:r>
      <w:r/>
    </w:p>
    <w:p>
      <w:pPr>
        <w:pStyle w:val="1035"/>
        <w:ind w:left="783" w:hanging="783"/>
        <w:spacing w:line="360" w:lineRule="auto"/>
        <w:widowControl/>
        <w:tabs>
          <w:tab w:val="left" w:pos="1260" w:leader="none"/>
        </w:tabs>
        <w:rPr>
          <w:rFonts w:ascii="宋体" w:hAnsi="宋体" w:eastAsia="宋体" w:cs="Times New Roman"/>
          <w:szCs w:val="21"/>
          <w:highlight w:val="none"/>
        </w:rPr>
      </w:pPr>
      <w:r>
        <w:rPr>
          <w:rFonts w:ascii="宋体" w:hAnsi="宋体" w:eastAsia="宋体" w:cs="Times New Roman"/>
          <w:szCs w:val="21"/>
          <w:highlight w:val="none"/>
        </w:rPr>
        <w:t xml:space="preserve">电    话： </w:t>
      </w:r>
      <w:r>
        <w:rPr>
          <w:rFonts w:ascii="宋体" w:hAnsi="宋体" w:eastAsia="宋体" w:cs="Times New Roman"/>
          <w:szCs w:val="21"/>
          <w:highlight w:val="none"/>
        </w:rPr>
      </w:r>
      <w:r/>
    </w:p>
    <w:p>
      <w:pPr>
        <w:pStyle w:val="1035"/>
        <w:jc w:val="left"/>
        <w:spacing w:line="360" w:lineRule="auto"/>
        <w:widowControl/>
        <w:rPr>
          <w:rFonts w:ascii="宋体" w:hAnsi="宋体" w:eastAsia="宋体" w:cs="宋体"/>
          <w:b/>
          <w:bCs/>
          <w:szCs w:val="21"/>
          <w:highlight w:val="none"/>
        </w:rPr>
      </w:pPr>
      <w:r>
        <w:rPr>
          <w:rFonts w:ascii="Times New Roman" w:hAnsi="Times New Roman" w:eastAsia="宋体" w:cs="Times New Roman"/>
          <w:b/>
          <w:i/>
          <w:caps/>
          <w:szCs w:val="24"/>
          <w:highlight w:val="none"/>
        </w:rPr>
        <w:br w:type="textWrapping" w:clear="all"/>
      </w:r>
      <w:r>
        <w:rPr>
          <w:rFonts w:ascii="宋体" w:hAnsi="宋体" w:eastAsia="宋体" w:cs="宋体"/>
          <w:b/>
          <w:bCs/>
          <w:szCs w:val="21"/>
          <w:highlight w:val="none"/>
        </w:rPr>
      </w:r>
      <w:r/>
    </w:p>
    <w:p>
      <w:pPr>
        <w:pStyle w:val="1035"/>
        <w:spacing w:line="360" w:lineRule="auto"/>
        <w:widowControl/>
        <w:rPr>
          <w:rFonts w:ascii="宋体" w:hAnsi="宋体" w:cs="宋体"/>
          <w:color w:val="000000"/>
          <w:szCs w:val="21"/>
          <w:highlight w:val="none"/>
        </w:rPr>
        <w:sectPr>
          <w:footnotePr/>
          <w:endnotePr/>
          <w:type w:val="nextPage"/>
          <w:pgSz w:w="11906" w:h="16838" w:orient="portrait"/>
          <w:pgMar w:top="1440" w:right="1276" w:bottom="709" w:left="1238" w:header="567" w:footer="567" w:gutter="0"/>
          <w:cols w:num="1" w:sep="0" w:space="1701" w:equalWidth="1"/>
          <w:docGrid w:linePitch="360"/>
        </w:sectPr>
      </w:pPr>
      <w:r>
        <w:rPr>
          <w:rFonts w:ascii="宋体" w:hAnsi="宋体" w:cs="宋体"/>
          <w:color w:val="000000"/>
          <w:szCs w:val="21"/>
          <w:highlight w:val="none"/>
        </w:rPr>
      </w:r>
      <w:r/>
    </w:p>
    <w:p>
      <w:pPr>
        <w:pStyle w:val="1035"/>
        <w:spacing w:line="360" w:lineRule="auto"/>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附件4：    </w:t>
      </w:r>
      <w:r>
        <w:rPr>
          <w:rFonts w:ascii="宋体" w:hAnsi="宋体" w:eastAsia="宋体" w:cs="宋体"/>
          <w:b/>
          <w:color w:val="000000"/>
          <w:szCs w:val="21"/>
          <w:highlight w:val="none"/>
        </w:rPr>
      </w:r>
      <w:r/>
    </w:p>
    <w:p>
      <w:pPr>
        <w:pStyle w:val="1035"/>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施工违约金标准</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工程经竣工验收合格后，承包人应在45天内向委托的工程造价咨询机构移交全部结算资料，全部结算资料移交后不得再行增补结算资料，因结算资料不全引起的结算造价的误差由承包人承担，超过45天移交结算资料的承包人，承担相应的违约责任并支付违约金。违约金的计算，按逾期天数累计计算，每逾期一天承担2000元的违约金，该项违约金总额不超过10万元。</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2、所有发包人向承包人收取的违约金或承包人向发包人支付的违约金，无需承包人同意，发包人可以直接从承包人的工程进度款中扣除。</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发包人在项目管理过程中将执行现场问题通知单制度，对现场存在的问题，以通知单形式通知监理单位，由监理单位督促承包人进行整改处理外，逾期未按要求处理的，发包人将向承包人追加收取违约金，直至处理符合要求。</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道路保洁和养护:承包人须负责施工区域的保洁工作，所发生费用在投标报价中予以考虑。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扣除承包人人民币5000 元/次违约金。</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承担不高于合同总价款 1%的违约金，并有权在应付承包人的工程款中将相关款项扣除。</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6、竣工资料验收要求：工程验收30天内提供完整的竣工资料，承包人必须提供竣工资料纸质按档案管理要求编制，电子档一份，每拖延一天扣除违约金 5000元。</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7、其他违规处罚明细表见下：</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违规处罚明细 1</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承包人(或监理人)在施工过程中出现下列违规现象时，发包人将从承包人的到期款项或快到期款项中扣除。具体标准见下：</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  施工前不对有关人员认真进行技术、安全交底5000元</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  使用不合格的材料或构件、材料使用未经报验强行使用2000元</w:t>
      </w:r>
      <w:r>
        <w:rPr>
          <w:rFonts w:ascii="宋体" w:hAnsi="宋体" w:eastAsia="宋体" w:cs="宋体"/>
          <w:color w:val="000000"/>
          <w:szCs w:val="21"/>
          <w:highlight w:val="none"/>
        </w:rPr>
      </w:r>
      <w:r/>
    </w:p>
    <w:p>
      <w:pPr>
        <w:pStyle w:val="1035"/>
        <w:jc w:val="center"/>
        <w:rPr>
          <w:rFonts w:ascii="宋体" w:hAnsi="宋体" w:eastAsia="宋体" w:cs="宋体"/>
          <w:szCs w:val="21"/>
          <w:highlight w:val="none"/>
        </w:rPr>
      </w:pPr>
      <w:r>
        <w:rPr>
          <w:rFonts w:ascii="宋体" w:hAnsi="宋体" w:eastAsia="宋体" w:cs="宋体"/>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  对监理发出的整改通知单，无正当理由又不及时整改者 2000元</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  对监理发出的通知单，不及时回复的500元/次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  工序未经监理工程师批准且通知后不做整改而强行进行下道工序施工2000元/次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  未经监理工程师认可强行隐蔽2000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  经监理验收通过的检验批质量不合格 200元/次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  发生工程质量事故 5000元/次、一般安全事故 10万元/次、较大以上安全事故50万元/次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  出现工程质量事故和安全事故有意隐瞒不报者10000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  发生质量事故未经设计单位和监理同意自行处理 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  工程质量保证资料有意作假2000元/次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  故意偷工减料5000～10000元/次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  当现场问题较严重且监理处理不力或监理工作出现问题时，发包人或管理公司将发出通知单要求整改，当出现该情形时5000元/次，逾期未按要求处理加罚5000元</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  进入施工现场不戴安全帽200元/人次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  在非指定吸烟区吸烟或在施工工作面发现烟蒂50元/人次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  现场材料乱堆乱放200元/次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17）  对施工作业区内的“四口、五临边”未设防护栏，脚手架护栏、挡脚板防护不到位，架体内外未设平防护网等安全隐患 200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18）  严重施工质量缺陷 2000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19）  高空作业不系安全带 200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  临时围墙、大门破损 500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21）  施工现场、生活区(办公室、宿舍、厨房及厕所等)卫生差或私拉乱接电线200元/次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22）  脚手架搭设明显存在安全隐患2000元/次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23）  高空抛物1000元/次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24）  未在规定时间内完成业主或监理口头或书面下达的指令500元/次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  安全网和安全设施陈旧破损或绑扎不牢固 500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26）  将不合格材料与未经认可的材料用于工程 2000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27）  对工地例会、工地专题会议、特别召开的会议未经请假批准迟到或未参加会议的 迟到 50 元/次，未参加100元/次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28）  施工现场文明卫生差致投诉的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29）  因现场管理不善被报刊、电视台等媒体曝光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  发生斗殴、侵害当地居民利益的事件二次及以上的 3000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  因降尘、防噪措施不到位招致沿线单位市民投诉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32）  因保洁或养护不到位招致投诉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 未履行成品保护义务，导致成品损坏的 500 元/次并负责赔偿</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34）  对发包方或监理发出的指令不按期完成，造成节点进度延误的合同价的万分之三/天计取。</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违规处罚明细 2</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 施工现场特殊工种操作人员(包括但不限于电焊工、塔吊驾驶员、升降机驾驶员等)必须按要求全部执证上岗，项目部应加强对现场特殊工种的管理，发包人将不定期对现场进行检查，若发现违反上本条规定，发包人将向承包人收取违约金 1000元/人•次。无国家有关部门颁发的相关操作证上岗的，扣违约金 2000元/次。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(2)承包人应将发包人支付的工程款专项用于本工程建设，不得进行挪用、转移或外借，应及</w:t>
      </w:r>
      <w:r>
        <w:rPr>
          <w:rFonts w:hint="eastAsia" w:ascii="宋体" w:hAnsi="宋体" w:eastAsia="宋体" w:cs="宋体"/>
          <w:color w:val="000000"/>
          <w:szCs w:val="21"/>
          <w:highlight w:val="none"/>
        </w:rPr>
        <w:t xml:space="preserve">时支付本工程设备、材料款项、分包款项、民工工资，并督促落实分包单位按时支付民工工资。如发现承包人对工程款进行挪用、转移或外借等的，或未及时支付本工程设备、材料款项、分包款项、民工工资，或未督促落实分包单位按时支付民工工资的，发包人有权暂停本工程工程款支付，追究承包人违约责任，直至承包人改正为止，其中：对于承包人转移、挪用、外借本工程建设资金的，发包人有权要求承包人限期（10天）改正，收回相关款项等，逾期承包人未能执行的，除承包人仍应负责收回相关款项外，发包人还有权要求承包人按转移、挪用、外借资金额的 5%/</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每次承担违约金。对于承包人拖欠设备、材料款项、分包款项、民工工资，或者对分包人监管不力导致民工工资无法按时得到支付，造成民工集中上访、围堵等类似事件发生的，发包人有权暂停支付工程款，直至该类事件得到有效解决，必要时发包人有权视情况自行决定向相关方代为支付设备、材料款项、分包款项、民工工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对于上述承包人不正当行为(拖欠设备、材料款项、分包款项、民工工资等债务纠纷，或在现场产生上访、围堵公害等等)，从而给发包人造</w:t>
      </w:r>
      <w:r>
        <w:rPr>
          <w:rFonts w:hint="eastAsia" w:ascii="宋体" w:hAnsi="宋体" w:eastAsia="宋体" w:cs="宋体"/>
          <w:color w:val="000000"/>
          <w:szCs w:val="21"/>
          <w:highlight w:val="none"/>
        </w:rPr>
        <w:t xml:space="preserve">成不便、或影响公众形象的，每发生一次，视情况严重程度，承包人还应向发包人支付人民币2-10万元的违约金作为对给发包人造成的不便、增加的工作的赔偿。即使这种不正当行为是在合格竣工日之后发生。若违约金不足以弥补给发包人造成的不便、增加的工作量、延误的工期所造成的损失的，承包人还应赔偿违约金不足发包人损失的金额，发包人有权从承包人的工程款中扣除。在工程施工过程中，发包人现场代表或监理工程师如发现承包人有本条及本合同其他条款中规定违约情况，应由发包人现场代表或总监作出书面处罚决定，并在下一次支付工程款项时直接扣除。</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承包人未按要求进行质量安全技术交底或交底手续不全；未按时提交安全管理文件(如施工组织设计、脚手架、塔吊、升降机等机械设备、临电、临时消防等施工方案、应急救援预案)并经批准，擅自入场作业的；或审批不合要求，未按批准的专项技术措施方案的内容进行落实的；未根据实际情况及时修订或增补专项技术措施方案，并继续施工的扣违约金 10000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施工工地范围须设置安全生产、工程质量宣传工作牌：如无“施工区域责任牌”、“文明施工告示牌”、“安全操作规程”、“重大危险源告示牌”等；在主要施工部位、作业点、危险区、通道口设置安全宣传标语及安全警示牌。未按施工组织设计或者规范要求，设置相应的安全标语或标识；不按照相关要求设置安全标识牌的；未按总平面图布置临时设施扣违约金 1000元/处。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(5)如承包人违反施工和安全操作规程在收到监理书面通知单，未按要求整改到位的，发包人将向承包人收取违约金 5000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(6)电箱：必须</w:t>
      </w:r>
      <w:r>
        <w:rPr>
          <w:rFonts w:hint="eastAsia" w:ascii="宋体" w:hAnsi="宋体" w:eastAsia="宋体" w:cs="宋体"/>
          <w:color w:val="000000"/>
          <w:szCs w:val="21"/>
          <w:highlight w:val="none"/>
        </w:rPr>
        <w:t xml:space="preserve">是有资质的厂商生产地合格产品，并有中国国家强制性产品认证证书(3C 认证)。厚度符合规范要求(1.2mm，1.5mm)电箱的漏电保护器必须灵敏有效，接地线和接地极符合规范要求，插座应为 IP44 防水等级以上；所有临时电缆必须用电缆支架按一定得距离悬空安装，离地 2.2 米以上;各级配电箱内的均应可以牢固上锁。二级和三级配电箱应安装外置、防水的工业级插座(一般，220V 为三插头、380V 为五插头)，二级配电箱至末端开关箱、末端开关箱至用电工具之间应使用工业级插头与外置式插座配合使用，不得直接将导线接在配</w:t>
      </w:r>
      <w:r>
        <w:rPr>
          <w:rFonts w:hint="eastAsia" w:ascii="宋体" w:hAnsi="宋体" w:eastAsia="宋体" w:cs="宋体"/>
          <w:color w:val="000000"/>
          <w:szCs w:val="21"/>
          <w:highlight w:val="none"/>
        </w:rPr>
        <w:t xml:space="preserve">电箱或开关箱内接电。固定式开关箱和配电箱中心点离地面的垂直距离为 1.4~1.6m，移动式开关箱和配电箱中心点离地面的垂直距离为 0.8~1.6。电箱要有外置紧急关停按钮；配电箱箱门上应张贴验收合格标识、触电应急处理流程、“检查表”，并每日记录检查结果，检查项中必须包括漏电保护器的检查。临时用电满足 TN-S 系统，三相五线制、做到三级配电和三级保护供电，按规定设立零线和接地线。各种配电设备均设有防止漏电和防雨防水设施。电箱必须按照相关要求进行点检，张贴防止触电标识，触电处理流程，电工及管理人员联系方式等。</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手持用电机具、交流电焊机必须有二次空载降压保护装置，漏电保护器必须灵敏有效，必须经过验收，贴上验收标识，建议使用直流电焊机。</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以上要求每发现不合格的，除要求立即整改外，扣违约金 2000元/处。验收再次出现不合格的，扣除违约金 10000元/处。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(7)气瓶：在使用前要安装合适的压力标准仪，氧气装置要和石油以及油脂隔离，不能用油</w:t>
      </w:r>
      <w:r>
        <w:rPr>
          <w:rFonts w:hint="eastAsia" w:ascii="宋体" w:hAnsi="宋体" w:eastAsia="宋体" w:cs="宋体"/>
          <w:color w:val="000000"/>
          <w:szCs w:val="21"/>
          <w:highlight w:val="none"/>
        </w:rPr>
        <w:t xml:space="preserve">腻的手或手套去接触气瓶。每套供气系统中，在压力调节器下游，要直接安装一个阻(回)火器，压缩气瓶的阀门应经常关闭和用保护帽。压缩气瓶要经常提供缓冲环，储存在符合规范的地方，远离过多热度和不受移动设备和凋落物品的撞击；软管和割把的所有接头，以及软管和调节器的接头均要用软管带扎紧，在使用之前要使用肥皂溶液进行泄漏测试(每套气瓶配备一瓶肥皂溶液)。在所有工作停止时，气瓶阀门必需关闭，断开气瓶连接物和接管之前要进行强制的眼睛保护；如果用起重机、升降器传送时，压缩气瓶要被放置在一个合适的框架或罐箱里，不能用绳、纤维线、</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网或吊索链，也不能拖拉。气瓶的储存地应高出地面，且易于空气流通，并有清楚地标志。空的和满的压缩气瓶不能混合在一起。要做记号分开放置，气瓶必须垂直向上放置，同时有保护帽的阀门要关上。氧气瓶和燃气瓶或易燃的原料必须保持至少十米的距离或两米高的隔断墙，隔断墙至少要有半小时的耐火能力。</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所有气瓶上的永久标记应包括：</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1)最近检查的日期</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2)检查的气压</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3)气瓶重量包括持久的装置但不包括阀门盖</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4)产品的名字</w:t>
      </w:r>
      <w:r>
        <w:rPr>
          <w:rFonts w:ascii="宋体" w:hAnsi="宋体" w:eastAsia="宋体" w:cs="宋体"/>
          <w:color w:val="000000"/>
          <w:szCs w:val="21"/>
          <w:highlight w:val="none"/>
        </w:rPr>
      </w:r>
      <w:r/>
    </w:p>
    <w:p>
      <w:pPr>
        <w:pStyle w:val="1035"/>
        <w:ind w:firstLine="42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5)要求的危险提示</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以上要求每发现不合格的，除要求立即整改外，扣违约金 2000元/处。验收再次出现不合格的，扣除违约金10000元/处。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(8)消防：施工现场通道、临设等必须严格执行建设工程施工现场消防安全技术规范。所有压力设备和系统均要配备安全阀门或减压阀门和压力表。安全阀的安装应以不超过工作压</w:t>
      </w:r>
      <w:r>
        <w:rPr>
          <w:rFonts w:hint="eastAsia" w:ascii="宋体" w:hAnsi="宋体" w:eastAsia="宋体" w:cs="宋体"/>
          <w:color w:val="000000"/>
          <w:szCs w:val="21"/>
          <w:highlight w:val="none"/>
        </w:rPr>
        <w:t xml:space="preserve">力的110％为宜。安全阀、减压阀排出的气流和排气口的方向要避开人群。除在维修期间外，不能移开安全用具或装置。当该系统最弱部分的压力超过所允许最大的工作压力时，在卸压前，空气压缩机应当自动停止，在空气软管的各个出口要安装一个止动阀；当改变某个附件时，或者在维修工作进展过程中，空气软管上的止动阀应当关闭。开始工作之前，要打开空气接受器上的泄油阀，将油排放干净。任何压力设备或系统，一旦检测出不安全因素，要张贴上“维修中”、“禁止使用”的牌子。在不安全调价整改完之前，禁止使用这种设备。消防设施不完善，存在安全隐患；</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施工现场、大临设施未按规定数量配置消防器材，并设消防安全标识，扣违约金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(9)承包人项目部必须加强对劳务工人的安全、施工技能培训，并做好所有培训的资料整理、归档工作，发包人将不定期对承包人执行培训情况的考核、抽查。工人没有经过三级教育、安全技术交底即上岗工作，交底资料不齐全、签字不全或代签，扣违约金 1000 元/人次。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(10)重大危险作业(动火作业、吊装作业、挖土作业、受限空间作业等)时，无安全监护人员，扣违约金1000元/次。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(11)现场电线、电缆未按规范敷设，施工用电存在安全隐患；未做到三级配电二级保护；配电箱周围有易燃易爆物品；无临电巡检、定检记录；宿舍内乱接乱拉电线、使用电炉、电饭煲，冬季使用大功率取暖设备的扣违约金1000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(12)无动火审批手续动火的，或在易燃易爆物周围动火无防护措施的，扣违约金 1000 元/次。</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(13)机械加工设备无安全防护装置的扣违约金1000元。</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(14)现场油漆、柴油、乙炔钢瓶、氧气钢瓶等危险物品无专用存放；乙炔、氧气瓶有曝晒、倒置、平使、沾油、无回火装置、压力表损坏、工作间距小于5米或距离明火小于 10 米的，扣违约金1000元/项。</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(15)擅自在建筑物内住人(发包人同意除外)；进入施工现场吸烟；进入施工现场不戴安全帽；未按规定正确穿戴个人劳保用品，包括供货商人员和特种作业人员防护用品等，扣违约金1000元/人。建议配备基本劳保为安全帽、反光背心、安全鞋。</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(16)施工用电线直接从插座内取电；钢筋作业场、施工现场，机械设备的电线乱拖乱拉；现场电缆线不能满足要求未进行架空或埋设；各类用电设备无保护接零或接地；用非电热器进行取暖、保温、加热，现场使用铝制压板式碘钨灯；现场使用塑料护套线等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(17)一箱多用、混用、使用不标准电箱、却防护、缺巡视记录、接地接零不规范、松动、混接，扣违约金1000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(18)各类机械设备未经监理安全验收合格投入使用；加工机械布置混乱，无防护罩(棚)；各类施工机械带病运转、保洁差；无巡检无保养，扣违约金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(19)吊装作业违反“十不吊”要求，起重、吊装作业中，吊具、索具不符合安全规范要求，扣违约金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(20)脚手架搭设明显存在安全隐患；脚手架及各种安全防护未组织验收、未挂合格牌投入使用；擅自拆除脚手架防护设施，扣违约金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(21) 无保护的高空抛物；防护设施拆除不报告，无监护、不复位，设施未养护、维修、警告警示标志不齐全，扣违约金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(22)安全网空洞，楼梯、电梯井口、通道口无围栏；洞口及临边缺设施，围护简易、洞口封闭不坚固不严实，无吊装区域措施，无防坠措施，扣违约金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(23)2米以上高处作业未提供合格的防坠落系统或未正确系戴安全带；作业点无安全的作业平台、无安全的进出方式；作业平台未按照标准搭设，如脚手架跳板，扣违约金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(24)施工便道未硬化，严重积水；施工现场无车辆冲洗设施；土方运输因泥土散落对社会造成严重影响，而未及时采取措施，扣违约金 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(25)未按照相关规定设置足够的施工照明、通道照明设施，或设置不符安全要求，包括局部空间照明、夜间施工照明，1000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(26)承包人未指定专人负责办公区、施工区、厕所的环境卫生，随时清扫，未能在现场维持每日良好的文明施工；在工地内随意堆放施工废物和垃圾; 作业面材料、工具摆放混乱，未及时清理废弃物；在现场焚烧杂物、建筑垃圾、生活垃圾及其他废弃物；随意倾倒垃圾对施工区域和公共区域造成污染的，1000 元/处。</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(27)由于承包人措施不当、管理不力而造成现场停电，导致工程发生质量事故的，由此造成的一切直接和间接的经济损失将由承包人承担，且每发生一次停电事故的发包人将给予承包人5000 元罚款，并对造成的发包人损失承担赔偿责任。</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(28)承包人因未配备足够的场容工和清洁车辆导致现场不符合省文明工地标准，处以 1000元/次的罚款。</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(29)其他分包人进场后，承包人一周内仍未与其签订安全生产协议，处以2000元/天的罚款。</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(30)未按要求完成电梯安装配合工作，处以20000 元/次的罚款。</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(31)因承包人原因导致发包人办公区域断网，处以 3000 元/天的罚款，并对造成的发包人损失承担赔偿责任。</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(32)承包人不得将未经发包人书面确认的材料送入现场，一经发现，不论是否应用于本工程，都处以10000元/次的罚款。如承包人未在发包人规定的时限内清退不合格材料，还将处以5000元/天的罚款，工期不予顺延。</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(33)工程竣工验收合格后，承包人须在一个月内将所有档案资料送交档案馆，送交完成后在两周内完善所有资料，逾期未完成的，处以 1000 元/天的罚款。</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(34)其他</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 临时围墙、大门破损 2000 元/处</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 未经监理人验收即进行下一步施工 2000 元/次</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 严重施工质量缺陷(除常规处理外) 2000 元/处×次</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 未经发包人同意擅自分包，处以 10 万元/次，并 3 日内撤场。</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 擅自使用招标文件规定以外的品牌材料 50000 元/次</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 偷工减料，弄虚作假，不按图纸和规范施工10000元/次，并由承包人整改完毕。（可累计罚金处罚）</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 项目经理不作为(项目经理不管现场具体事务，对现场问题不与发包人、监理及其他承包人及时、主动沟通与协调。) 10000 元/次</w:t>
      </w:r>
      <w:r>
        <w:rPr>
          <w:rFonts w:ascii="宋体" w:hAnsi="宋体" w:eastAsia="宋体" w:cs="宋体"/>
          <w:color w:val="000000"/>
          <w:szCs w:val="21"/>
          <w:highlight w:val="none"/>
        </w:rPr>
      </w:r>
      <w:r/>
    </w:p>
    <w:p>
      <w:pPr>
        <w:pStyle w:val="1035"/>
        <w:ind w:firstLine="210"/>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 承包人逾期撤场，则承包人向发包人按 20000 元/天支付逾期违约金。</w:t>
      </w:r>
      <w:r>
        <w:rPr>
          <w:rFonts w:ascii="宋体" w:hAnsi="宋体" w:eastAsia="宋体" w:cs="宋体"/>
          <w:color w:val="000000"/>
          <w:szCs w:val="21"/>
          <w:highlight w:val="none"/>
        </w:rPr>
      </w:r>
      <w:r/>
    </w:p>
    <w:p>
      <w:pPr>
        <w:pStyle w:val="1035"/>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（如遇罚款金额不一致的条款，按价格高执行。）</w:t>
      </w:r>
      <w:r>
        <w:rPr>
          <w:rFonts w:ascii="宋体" w:hAnsi="宋体" w:eastAsia="宋体" w:cs="宋体"/>
          <w:color w:val="000000"/>
          <w:szCs w:val="21"/>
          <w:highlight w:val="none"/>
        </w:rPr>
      </w:r>
      <w:r/>
    </w:p>
    <w:p>
      <w:pPr>
        <w:pStyle w:val="1035"/>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5"/>
        <w:ind w:right="-340"/>
        <w:jc w:val="center"/>
        <w:spacing w:line="276"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六、技术要求</w:t>
      </w:r>
      <w:r>
        <w:rPr>
          <w:rFonts w:ascii="宋体" w:hAnsi="宋体"/>
          <w:b/>
          <w:sz w:val="32"/>
          <w:szCs w:val="32"/>
          <w:highlight w:val="none"/>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一、现行国家技术、施工及验收规范规程，对施工工艺的特殊要求，按国家有关规定执行。</w:t>
      </w:r>
      <w:r>
        <w:rPr>
          <w:rFonts w:ascii="宋体" w:hAnsi="宋体"/>
          <w:bCs/>
          <w:szCs w:val="21"/>
          <w:highlight w:val="none"/>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二</w:t>
      </w:r>
      <w:r>
        <w:rPr>
          <w:rFonts w:ascii="宋体" w:hAnsi="宋体"/>
          <w:bCs/>
          <w:szCs w:val="21"/>
          <w:highlight w:val="none"/>
        </w:rPr>
        <w:t xml:space="preserve">、</w:t>
      </w:r>
      <w:r>
        <w:rPr>
          <w:rFonts w:hint="eastAsia" w:ascii="宋体" w:hAnsi="宋体"/>
          <w:bCs/>
          <w:szCs w:val="21"/>
          <w:highlight w:val="none"/>
        </w:rPr>
        <w:t xml:space="preserve">其他</w:t>
      </w:r>
      <w:r>
        <w:rPr>
          <w:rFonts w:ascii="宋体" w:hAnsi="宋体"/>
          <w:bCs/>
          <w:szCs w:val="21"/>
          <w:highlight w:val="none"/>
        </w:rPr>
        <w:t xml:space="preserve">技术要求及主要材料品牌表。</w:t>
      </w:r>
      <w:r>
        <w:rPr>
          <w:rFonts w:ascii="宋体" w:hAnsi="宋体"/>
          <w:bCs/>
          <w:szCs w:val="21"/>
          <w:highlight w:val="none"/>
        </w:rPr>
      </w:r>
      <w:r/>
    </w:p>
    <w:p>
      <w:pPr>
        <w:pStyle w:val="1035"/>
        <w:ind w:firstLine="420"/>
        <w:jc w:val="left"/>
        <w:spacing w:line="360" w:lineRule="auto"/>
        <w:rPr>
          <w:rFonts w:ascii="宋体" w:hAnsi="宋体"/>
          <w:bCs/>
          <w:szCs w:val="21"/>
          <w:highlight w:val="none"/>
        </w:rPr>
      </w:pPr>
      <w:r>
        <w:rPr>
          <w:rFonts w:hint="eastAsia" w:ascii="宋体" w:hAnsi="宋体"/>
          <w:bCs/>
          <w:szCs w:val="21"/>
          <w:highlight w:val="none"/>
        </w:rPr>
        <w:t xml:space="preserve">三、工程量清单、图纸。</w:t>
      </w:r>
      <w:r>
        <w:rPr>
          <w:rFonts w:ascii="宋体" w:hAnsi="宋体"/>
          <w:bCs/>
          <w:szCs w:val="21"/>
          <w:highlight w:val="none"/>
        </w:rPr>
      </w:r>
      <w:r/>
    </w:p>
    <w:p>
      <w:pPr>
        <w:pStyle w:val="1035"/>
        <w:ind w:firstLine="420"/>
        <w:jc w:val="left"/>
        <w:spacing w:line="360" w:lineRule="auto"/>
        <w:rPr>
          <w:rFonts w:ascii="宋体" w:hAnsi="宋体"/>
          <w:bCs/>
          <w:szCs w:val="21"/>
          <w:highlight w:val="none"/>
        </w:rPr>
      </w:pPr>
      <w:r>
        <w:rPr>
          <w:rFonts w:hint="eastAsia" w:ascii="宋体" w:hAnsi="宋体"/>
          <w:szCs w:val="21"/>
          <w:highlight w:val="none"/>
        </w:rPr>
        <w:t xml:space="preserve">工程量清单、图纸等资料</w:t>
      </w:r>
      <w:r>
        <w:rPr>
          <w:rFonts w:ascii="等线" w:hAnsi="等线" w:cs="宋体"/>
          <w:szCs w:val="21"/>
          <w:highlight w:val="none"/>
        </w:rPr>
        <w:t xml:space="preserve">请发邮件至代理机构</w:t>
      </w:r>
      <w:r>
        <w:rPr>
          <w:rFonts w:hint="eastAsia" w:ascii="等线" w:hAnsi="等线" w:cs="宋体"/>
          <w:szCs w:val="21"/>
          <w:highlight w:val="none"/>
        </w:rPr>
        <w:t xml:space="preserve">领取</w:t>
      </w:r>
      <w:r>
        <w:rPr>
          <w:rFonts w:ascii="等线" w:hAnsi="等线" w:cs="宋体"/>
          <w:szCs w:val="21"/>
          <w:highlight w:val="none"/>
        </w:rPr>
        <w:t xml:space="preserve">，邮箱：</w:t>
      </w:r>
      <w:r>
        <w:rPr>
          <w:rFonts w:hint="eastAsia" w:ascii="等线" w:hAnsi="等线" w:cs="宋体"/>
          <w:szCs w:val="21"/>
          <w:highlight w:val="none"/>
          <w:lang w:val="en-US" w:eastAsia="zh-CN"/>
        </w:rPr>
        <w:t xml:space="preserve">602910950</w:t>
      </w:r>
      <w:r>
        <w:rPr>
          <w:rFonts w:ascii="等线" w:hAnsi="等线" w:cs="宋体"/>
          <w:szCs w:val="21"/>
          <w:highlight w:val="none"/>
        </w:rPr>
        <w:t xml:space="preserve">@qq.com。</w:t>
      </w:r>
      <w:r>
        <w:rPr>
          <w:rFonts w:ascii="宋体" w:hAnsi="宋体"/>
          <w:bCs/>
          <w:szCs w:val="21"/>
          <w:highlight w:val="none"/>
        </w:rPr>
      </w:r>
      <w:r/>
    </w:p>
    <w:p>
      <w:pPr>
        <w:pStyle w:val="1035"/>
        <w:spacing w:line="276" w:lineRule="auto"/>
        <w:rPr>
          <w:rFonts w:ascii="宋体" w:hAnsi="宋体"/>
          <w:szCs w:val="24"/>
          <w:highlight w:val="none"/>
        </w:rPr>
      </w:pPr>
      <w:r>
        <w:rPr>
          <w:rFonts w:ascii="宋体" w:hAnsi="宋体"/>
          <w:szCs w:val="24"/>
          <w:highlight w:val="none"/>
        </w:rPr>
      </w:r>
      <w:r/>
    </w:p>
    <w:p>
      <w:pPr>
        <w:pStyle w:val="1035"/>
        <w:spacing w:line="276" w:lineRule="auto"/>
        <w:rPr>
          <w:rFonts w:ascii="宋体" w:hAnsi="宋体"/>
          <w:szCs w:val="24"/>
          <w:highlight w:val="none"/>
        </w:rPr>
      </w:pPr>
      <w:r>
        <w:rPr>
          <w:rFonts w:ascii="宋体" w:hAnsi="宋体"/>
          <w:szCs w:val="24"/>
          <w:highlight w:val="none"/>
        </w:rPr>
      </w:r>
      <w:r/>
    </w:p>
    <w:p>
      <w:pPr>
        <w:pStyle w:val="1035"/>
        <w:jc w:val="center"/>
        <w:spacing w:line="276" w:lineRule="auto"/>
        <w:rPr>
          <w:rFonts w:ascii="宋体" w:hAnsi="宋体"/>
          <w:b/>
          <w:sz w:val="32"/>
          <w:szCs w:val="32"/>
          <w:highlight w:val="none"/>
        </w:rPr>
      </w:pPr>
      <w:r>
        <w:rPr>
          <w:rFonts w:ascii="宋体" w:hAnsi="宋体"/>
          <w:b/>
          <w:sz w:val="44"/>
          <w:szCs w:val="24"/>
          <w:highlight w:val="none"/>
        </w:rPr>
        <w:br w:type="page" w:clear="all"/>
      </w:r>
      <w:r>
        <w:rPr>
          <w:rFonts w:hint="eastAsia"/>
          <w:b/>
          <w:highlight w:val="none"/>
        </w:rPr>
        <w:t xml:space="preserve"> </w:t>
      </w:r>
      <w:r>
        <w:rPr>
          <w:rFonts w:hint="eastAsia" w:ascii="宋体" w:hAnsi="宋体"/>
          <w:b/>
          <w:sz w:val="32"/>
          <w:szCs w:val="32"/>
          <w:highlight w:val="none"/>
        </w:rPr>
        <w:t xml:space="preserve">七</w:t>
      </w:r>
      <w:r>
        <w:rPr>
          <w:rFonts w:hint="eastAsia" w:ascii="宋体" w:hAnsi="宋体"/>
          <w:b/>
          <w:sz w:val="44"/>
          <w:szCs w:val="24"/>
          <w:highlight w:val="none"/>
        </w:rPr>
        <w:t xml:space="preserve">、</w:t>
      </w:r>
      <w:r>
        <w:rPr>
          <w:rFonts w:hint="eastAsia" w:ascii="宋体" w:hAnsi="宋体"/>
          <w:b/>
          <w:sz w:val="32"/>
          <w:szCs w:val="32"/>
          <w:highlight w:val="none"/>
        </w:rPr>
        <w:t xml:space="preserve">评审办法</w:t>
      </w:r>
      <w:r>
        <w:rPr>
          <w:rFonts w:ascii="宋体" w:hAnsi="宋体"/>
          <w:b/>
          <w:sz w:val="32"/>
          <w:szCs w:val="32"/>
          <w:highlight w:val="none"/>
        </w:rPr>
      </w:r>
      <w:r/>
    </w:p>
    <w:p>
      <w:pPr>
        <w:pStyle w:val="1035"/>
        <w:ind w:firstLine="422"/>
        <w:jc w:val="left"/>
        <w:spacing w:line="360" w:lineRule="auto"/>
        <w:rPr>
          <w:rFonts w:ascii="宋体" w:hAnsi="宋体"/>
          <w:b/>
          <w:bCs/>
          <w:szCs w:val="21"/>
          <w:highlight w:val="none"/>
        </w:rPr>
      </w:pPr>
      <w:r>
        <w:rPr>
          <w:rFonts w:hint="eastAsia" w:ascii="宋体" w:hAnsi="宋体"/>
          <w:b/>
          <w:bCs/>
          <w:szCs w:val="21"/>
          <w:highlight w:val="none"/>
        </w:rPr>
        <w:t xml:space="preserve">一、评审办法</w:t>
      </w:r>
      <w:r>
        <w:rPr>
          <w:rFonts w:ascii="宋体" w:hAnsi="宋体"/>
          <w:b/>
          <w:bCs/>
          <w:szCs w:val="21"/>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1、本次磋商采用综合评分法，即在响应文件满足采购文件全部实质性要求且按评审因素的量化指标评审得分最高的供应商为成交供应商。</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2、评审小组各成员独立对每个进入打分程序的有效磋商供应商的响应文件以打分的形式进行评审和评价。 </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3、对评委的评分进行统计汇总，直接算术平均计算得分，计算出每个磋商供应商的得分，加上价格得分即为每个磋商供应商的综合得分。 </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4、如磋商供应商存在“苏财购（2017）11号”文件中所列的失信或不良行为，按照文件规定执行。</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5、如出现评审总得分最高的磋商供应商有两个或两个以上的，以磋商报价较低者优先作为成交候选人，如果磋商报价也相同的，则由采购人组织以抽签方式确定成交候选人。</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6、关于对参与供应商信用记录的政府采购要求</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6.3供应商若在经营活动中受到罚款的，请携带相关地方、部门对较大数额认定标准的证明材料，与投标文件一并提交。若无法提供，则可能承担投标无效等相应不利后果。</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6.4对存在失信信息的供应商，由失信供应商应签名确认。同时，采购代理机构工作人员应根据评审小组确认的失信信息，登陆到相关来源网站页面进行复核并打印，作为证据留存。</w:t>
      </w:r>
      <w:r>
        <w:rPr>
          <w:rFonts w:hint="eastAsia" w:ascii="宋体" w:hAnsi="宋体" w:eastAsia="宋体" w:cs="Times New Roman"/>
          <w:bCs/>
          <w:color w:val="000000"/>
          <w:szCs w:val="24"/>
          <w:highlight w:val="none"/>
        </w:rPr>
      </w:r>
      <w:r/>
    </w:p>
    <w:p>
      <w:pPr>
        <w:pStyle w:val="1035"/>
        <w:ind w:firstLine="525"/>
        <w:spacing w:line="400" w:lineRule="exact"/>
        <w:tabs>
          <w:tab w:val="left" w:pos="2870" w:leader="none"/>
        </w:tabs>
        <w:rPr>
          <w:rFonts w:hint="eastAsia" w:ascii="宋体" w:hAnsi="宋体" w:eastAsia="宋体" w:cs="Times New Roman"/>
          <w:bCs/>
          <w:color w:val="000000"/>
          <w:szCs w:val="24"/>
          <w:highlight w:val="none"/>
        </w:rPr>
      </w:pPr>
      <w:r>
        <w:rPr>
          <w:rFonts w:hint="eastAsia" w:ascii="宋体" w:hAnsi="宋体" w:eastAsia="宋体" w:cs="Times New Roman"/>
          <w:bCs/>
          <w:color w:val="000000"/>
          <w:szCs w:val="24"/>
          <w:highlight w:val="none"/>
        </w:rPr>
        <w:t xml:space="preserve">6.5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Times New Roman"/>
          <w:bCs/>
          <w:color w:val="000000"/>
          <w:szCs w:val="24"/>
          <w:highlight w:val="none"/>
        </w:rPr>
      </w:r>
      <w:r/>
    </w:p>
    <w:p>
      <w:pPr>
        <w:pStyle w:val="1035"/>
        <w:ind w:firstLine="422"/>
        <w:jc w:val="left"/>
        <w:spacing w:line="360" w:lineRule="auto"/>
        <w:rPr>
          <w:rFonts w:ascii="宋体" w:hAnsi="宋体"/>
          <w:b/>
          <w:szCs w:val="21"/>
          <w:highlight w:val="none"/>
        </w:rPr>
      </w:pPr>
      <w:r>
        <w:rPr>
          <w:rFonts w:hint="eastAsia" w:ascii="宋体" w:hAnsi="宋体"/>
          <w:b/>
          <w:szCs w:val="21"/>
          <w:highlight w:val="none"/>
        </w:rPr>
        <w:t xml:space="preserve">二、评分标准</w:t>
      </w:r>
      <w:r>
        <w:rPr>
          <w:rFonts w:ascii="宋体" w:hAnsi="宋体"/>
          <w:b/>
          <w:szCs w:val="21"/>
          <w:highlight w:val="none"/>
        </w:rPr>
      </w:r>
      <w:r/>
    </w:p>
    <w:p>
      <w:pPr>
        <w:pStyle w:val="1035"/>
        <w:ind w:firstLine="527"/>
        <w:spacing w:line="360" w:lineRule="auto"/>
        <w:tabs>
          <w:tab w:val="left" w:pos="2870" w:leader="none"/>
        </w:tabs>
        <w:rPr>
          <w:rFonts w:ascii="宋体" w:hAnsi="宋体" w:eastAsia="宋体" w:cs="宋体"/>
          <w:b/>
          <w:bCs/>
          <w:szCs w:val="21"/>
          <w:highlight w:val="none"/>
        </w:rPr>
      </w:pPr>
      <w:r>
        <w:rPr>
          <w:rFonts w:hint="eastAsia" w:ascii="宋体" w:hAnsi="宋体" w:eastAsia="宋体" w:cs="宋体"/>
          <w:b/>
          <w:szCs w:val="21"/>
          <w:highlight w:val="none"/>
        </w:rPr>
        <w:t xml:space="preserve">（一）价格分：1</w:t>
      </w:r>
      <w:r>
        <w:rPr>
          <w:rFonts w:ascii="宋体" w:hAnsi="宋体" w:eastAsia="宋体" w:cs="宋体"/>
          <w:b/>
          <w:szCs w:val="21"/>
          <w:highlight w:val="none"/>
        </w:rPr>
        <w:t xml:space="preserve">0</w:t>
      </w:r>
      <w:r>
        <w:rPr>
          <w:rFonts w:hint="eastAsia" w:ascii="宋体" w:hAnsi="宋体" w:eastAsia="宋体" w:cs="宋体"/>
          <w:b/>
          <w:szCs w:val="21"/>
          <w:highlight w:val="none"/>
        </w:rPr>
        <w:t xml:space="preserve">分</w:t>
      </w:r>
      <w:r>
        <w:rPr>
          <w:rFonts w:ascii="宋体" w:hAnsi="宋体" w:eastAsia="宋体" w:cs="宋体"/>
          <w:b/>
          <w:bCs/>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磋商总报价低于或等于采购预算价格的，为有效磋商报价。超采购预算的投标报价为无效响应报价。无效响应报价的响应文件不得中标。</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价格分采用低价优先法计算，即满足磋商文件要求且响应价格最低的磋商报价为评标基准价，其价格分为满分1</w:t>
      </w:r>
      <w:r>
        <w:rPr>
          <w:rFonts w:ascii="宋体" w:hAnsi="宋体" w:eastAsia="宋体" w:cs="宋体"/>
          <w:szCs w:val="21"/>
          <w:highlight w:val="none"/>
        </w:rPr>
        <w:t xml:space="preserve">0</w:t>
      </w:r>
      <w:r>
        <w:rPr>
          <w:rFonts w:hint="eastAsia" w:ascii="宋体" w:hAnsi="宋体" w:eastAsia="宋体" w:cs="宋体"/>
          <w:szCs w:val="21"/>
          <w:highlight w:val="none"/>
        </w:rPr>
        <w:t xml:space="preserve">分。其他供应商的价格分统一按照下列公式计算：</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hint="eastAsia" w:ascii="宋体" w:hAnsi="宋体" w:eastAsia="宋体" w:cs="宋体"/>
          <w:szCs w:val="21"/>
          <w:highlight w:val="none"/>
        </w:rPr>
        <w:t xml:space="preserve">磋商报价得分=（评标基准价/磋商报价）*价格权值*100，小数点后保留两位（价格权值为1</w:t>
      </w:r>
      <w:r>
        <w:rPr>
          <w:rFonts w:ascii="宋体" w:hAnsi="宋体" w:eastAsia="宋体" w:cs="宋体"/>
          <w:szCs w:val="21"/>
          <w:highlight w:val="none"/>
        </w:rPr>
        <w:t xml:space="preserve">0</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（二）施工组织设计：（6</w:t>
      </w:r>
      <w:r>
        <w:rPr>
          <w:rFonts w:hint="eastAsia" w:ascii="宋体" w:hAnsi="宋体" w:eastAsia="宋体" w:cs="Times New Roman"/>
          <w:b/>
          <w:bCs/>
          <w:szCs w:val="21"/>
          <w:highlight w:val="none"/>
          <w:lang w:val="en-US" w:eastAsia="zh-CN"/>
        </w:rPr>
        <w:t xml:space="preserve">0</w:t>
      </w:r>
      <w:r>
        <w:rPr>
          <w:rFonts w:hint="eastAsia" w:ascii="宋体" w:hAnsi="宋体" w:eastAsia="宋体" w:cs="Times New Roman"/>
          <w:b/>
          <w:bCs/>
          <w:szCs w:val="21"/>
          <w:highlight w:val="none"/>
        </w:rPr>
        <w:t xml:space="preserve">分）</w:t>
      </w:r>
      <w:r>
        <w:rPr>
          <w:rFonts w:ascii="宋体" w:hAnsi="宋体" w:eastAsia="宋体" w:cs="Times New Roman"/>
          <w:b/>
          <w:bCs/>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1、工程概述、总体安排及施工部署及施工段划分等方面比较（7分）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方案描述清晰明了、科学合理、操作性强的得7分；方案描述较清晰、较科学合理、操作性较强的得5分；方案描述一般、科学合理性一般、操作性一般的得3分；方案描述较差、基本不具备科学性合理性、操作性较差的得1分；无描述的不得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2、分部、分项工程的施工方案比较（8分）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施工技术措施科学合理、规范全面、高效便捷、操作性强的得8分；施工技术措施较科学合理、较规范全面、操作性较强的得6分；施工技术措施基本科学合理、基本规范全面、具有一定操作性的得4分；施工技术措施基本不具备科学性合理性、操作性较差的得2分；无描述的不得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3、施工进度计划和进度的保证措施比较（8分）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施工进度计划科学合理，措施有保证，操作性强的得8分；施工进度计划较科学合理，措施较有保证，操作性较强的得6分；施工进度计划基本科学合理，措施基本有保证，操作性一般的得4分；施工进度计划安排较差，措施保证及操作性较差的得2分；无描述的不得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4、质量管理措施：包括质量目标、保障体系、保证措施、制度等方面比较（8分）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质量目标清晰明确，保障体系及保证措施科学、合理，制度完善的得8分；质量目标较清晰明确，保障体系及保证措施较科学、较合理，制度较完善的得6分；质量目标较基本清晰明确，保障体系及保证措施基本科学、基本合理，制度基本完善的得4分；质量目标不清晰不明确，保障体系及保证措施科学合理性较差，制度基本不完善的得2分；无描述的不得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5、安全文明施工及环境保护措施，包括安全文明施工，施工现场扬尘、噪声污染防治措施及其他环境保护方面的措施比较（8分）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方案科学、合理、有保证、可操作性强的得8分；方案较科学、较合理、有一定保证及可操作性强的得6分；方案基本科学、基本合理、基本具有可操作性强的得4分；方案不科学、不合理、不具备可操作性强的得2分；无描述的不得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6、季节性施工（7分）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方案科学、合理、有保证、可操作性强的得7分；方案较科学、较合理、有一定保证及可操作性强的得5分；方案基本科学、基本合理、基本具有可操作性强的得3分；方案不科学、不合理、不具备可操作性强的得1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7、应急救援预案（7分）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方案描述详细完整、科学合理、可行性强的得7分；方案描述较清晰、较科学合理、操作性较强的得5分；方案描述基本科学、基本合理、基本具有可操作性的得3分；方案描述较差、不科学不合理性、不具备可操作性的得1分；无描述的不得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8、售后服务（7分）</w:t>
      </w:r>
      <w:r>
        <w:rPr>
          <w:rFonts w:ascii="宋体" w:hAnsi="宋体" w:eastAsia="宋体" w:cs="宋体"/>
          <w:szCs w:val="21"/>
          <w:highlight w:val="none"/>
        </w:rPr>
      </w:r>
      <w:r/>
    </w:p>
    <w:p>
      <w:pPr>
        <w:pStyle w:val="1035"/>
        <w:ind w:firstLine="420"/>
        <w:jc w:val="left"/>
        <w:spacing w:line="360" w:lineRule="auto"/>
        <w:widowControl/>
        <w:rPr>
          <w:rFonts w:ascii="宋体" w:hAnsi="宋体" w:eastAsia="宋体" w:cs="宋体"/>
          <w:szCs w:val="21"/>
          <w:highlight w:val="none"/>
        </w:rPr>
      </w:pPr>
      <w:r>
        <w:rPr>
          <w:rFonts w:ascii="宋体" w:hAnsi="宋体" w:eastAsia="宋体" w:cs="宋体"/>
          <w:szCs w:val="21"/>
          <w:highlight w:val="none"/>
        </w:rPr>
        <w:t xml:space="preserve">方案描述详细完整、科学合理、可行性强的得7分；方案描述较清晰、较科学合理、操作性较强的得5分；方案描述基本科学、基本合理、基本具有可操作性的得3分；方案描述较差、不科学不合理性、不具备可操作性的得1分；无描述的不得分。</w:t>
      </w:r>
      <w:r>
        <w:rPr>
          <w:rFonts w:ascii="宋体" w:hAnsi="宋体" w:eastAsia="宋体" w:cs="宋体"/>
          <w:szCs w:val="21"/>
          <w:highlight w:val="none"/>
        </w:rPr>
      </w:r>
      <w:r/>
    </w:p>
    <w:p>
      <w:pPr>
        <w:pStyle w:val="1035"/>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lang w:val="zh-CN"/>
        </w:rPr>
        <w:t xml:space="preserve">（三）项目组人员配备：（</w:t>
      </w:r>
      <w:r>
        <w:rPr>
          <w:rFonts w:hint="eastAsia" w:ascii="宋体" w:hAnsi="宋体" w:eastAsia="宋体" w:cs="宋体"/>
          <w:b/>
          <w:szCs w:val="21"/>
          <w:highlight w:val="none"/>
          <w:lang w:val="en-US" w:eastAsia="zh-CN"/>
        </w:rPr>
        <w:t xml:space="preserve">12</w:t>
      </w:r>
      <w:r>
        <w:rPr>
          <w:rFonts w:hint="eastAsia" w:ascii="宋体" w:hAnsi="宋体" w:eastAsia="宋体" w:cs="宋体"/>
          <w:b/>
          <w:szCs w:val="21"/>
          <w:highlight w:val="none"/>
          <w:lang w:val="zh-CN"/>
        </w:rPr>
        <w:t xml:space="preserve">分）</w:t>
      </w:r>
      <w:r>
        <w:rPr>
          <w:rFonts w:ascii="宋体" w:hAnsi="宋体" w:eastAsia="宋体" w:cs="宋体"/>
          <w:b/>
          <w:szCs w:val="21"/>
          <w:highlight w:val="none"/>
        </w:rPr>
      </w:r>
      <w:r/>
    </w:p>
    <w:p>
      <w:pPr>
        <w:pStyle w:val="1035"/>
        <w:ind w:firstLine="420"/>
        <w:spacing w:line="520" w:lineRule="exact"/>
        <w:rPr>
          <w:rFonts w:hint="eastAsia" w:ascii="宋体" w:hAnsi="宋体" w:cs="宋体"/>
          <w:szCs w:val="21"/>
          <w:highlight w:val="none"/>
          <w:lang w:val="zh-CN"/>
        </w:rPr>
      </w:pPr>
      <w:r>
        <w:rPr>
          <w:rFonts w:hint="eastAsia" w:ascii="宋体" w:hAnsi="宋体" w:eastAsia="宋体" w:cs="宋体"/>
          <w:sz w:val="21"/>
          <w:szCs w:val="21"/>
          <w:highlight w:val="none"/>
        </w:rPr>
        <w:t xml:space="preserve">1、</w:t>
      </w:r>
      <w:r>
        <w:rPr>
          <w:rFonts w:hint="eastAsia" w:ascii="宋体" w:hAnsi="宋体" w:eastAsia="宋体" w:cs="宋体"/>
          <w:color w:val="000000"/>
          <w:sz w:val="21"/>
          <w:szCs w:val="21"/>
          <w:highlight w:val="none"/>
        </w:rPr>
        <w:t xml:space="preserve">拟投入本项目的项目负责人（项目经理），具有</w:t>
      </w:r>
      <w:r>
        <w:rPr>
          <w:rFonts w:hint="eastAsia" w:ascii="宋体" w:hAnsi="宋体" w:eastAsia="宋体" w:cs="宋体"/>
          <w:color w:val="000000"/>
          <w:sz w:val="21"/>
          <w:szCs w:val="21"/>
          <w:highlight w:val="none"/>
        </w:rPr>
        <w:t xml:space="preserve">中级</w:t>
      </w:r>
      <w:r>
        <w:rPr>
          <w:rFonts w:hint="eastAsia" w:ascii="宋体" w:hAnsi="宋体" w:eastAsia="宋体" w:cs="宋体"/>
          <w:color w:val="000000"/>
          <w:sz w:val="21"/>
          <w:szCs w:val="21"/>
          <w:highlight w:val="none"/>
        </w:rPr>
        <w:t xml:space="preserve">及以上职称的得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分，具有</w:t>
      </w:r>
      <w:r>
        <w:rPr>
          <w:rFonts w:hint="eastAsia" w:ascii="宋体" w:hAnsi="宋体" w:eastAsia="宋体" w:cs="宋体"/>
          <w:color w:val="000000"/>
          <w:sz w:val="21"/>
          <w:szCs w:val="21"/>
          <w:highlight w:val="none"/>
          <w:lang w:val="en-US" w:eastAsia="zh-CN"/>
        </w:rPr>
        <w:t xml:space="preserve">助理</w:t>
      </w:r>
      <w:r>
        <w:rPr>
          <w:rFonts w:hint="eastAsia" w:ascii="宋体" w:hAnsi="宋体" w:eastAsia="宋体" w:cs="宋体"/>
          <w:color w:val="000000"/>
          <w:sz w:val="21"/>
          <w:szCs w:val="21"/>
          <w:highlight w:val="none"/>
        </w:rPr>
        <w:t xml:space="preserve">工程师</w:t>
      </w:r>
      <w:r>
        <w:rPr>
          <w:rFonts w:hint="eastAsia" w:ascii="宋体" w:hAnsi="宋体" w:eastAsia="宋体" w:cs="宋体"/>
          <w:color w:val="000000"/>
          <w:sz w:val="21"/>
          <w:szCs w:val="21"/>
          <w:highlight w:val="none"/>
        </w:rPr>
        <w:t xml:space="preserve">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分，此项最高分</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分。(响应文件中需提供该人员职称资格证书扫描件、最近一期缴纳的社保证明文件扫描件，不提供或提供不全不得分）</w:t>
      </w:r>
      <w:r>
        <w:rPr>
          <w:rFonts w:hint="eastAsia" w:ascii="宋体" w:hAnsi="宋体" w:eastAsia="宋体" w:cs="宋体"/>
          <w:color w:val="000000"/>
          <w:sz w:val="21"/>
          <w:szCs w:val="21"/>
          <w:highlight w:val="none"/>
          <w:lang w:eastAsia="zh-CN"/>
        </w:rPr>
        <w:t xml:space="preserve">。</w:t>
      </w:r>
      <w:r>
        <w:rPr>
          <w:rFonts w:hint="eastAsia" w:ascii="宋体" w:hAnsi="宋体" w:cs="宋体"/>
          <w:szCs w:val="21"/>
          <w:highlight w:val="none"/>
          <w:lang w:val="zh-CN"/>
        </w:rPr>
      </w:r>
      <w:r/>
    </w:p>
    <w:p>
      <w:pPr>
        <w:pStyle w:val="1035"/>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拟投入本项目的项目组成员（项目经理除外）具有中级</w:t>
      </w:r>
      <w:r>
        <w:rPr>
          <w:rFonts w:hint="eastAsia" w:ascii="宋体" w:hAnsi="宋体" w:eastAsia="宋体" w:cs="宋体"/>
          <w:color w:val="000000"/>
          <w:sz w:val="21"/>
          <w:szCs w:val="21"/>
          <w:highlight w:val="none"/>
          <w:lang w:val="en-US" w:eastAsia="zh-CN"/>
        </w:rPr>
        <w:t xml:space="preserve">及以上</w:t>
      </w: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每提供一人得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助理</w:t>
      </w:r>
      <w:r>
        <w:rPr>
          <w:rFonts w:hint="eastAsia" w:ascii="宋体" w:hAnsi="宋体" w:eastAsia="宋体" w:cs="宋体"/>
          <w:color w:val="000000"/>
          <w:sz w:val="21"/>
          <w:szCs w:val="21"/>
          <w:highlight w:val="none"/>
        </w:rPr>
        <w:t xml:space="preserve">工程师职称的，每提供一人得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分。(响应文件中需提供该人员职称资格证书扫描件、最近一期缴纳的社保证明文件扫描件，不提供或提供不全不得分）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35"/>
        <w:ind w:firstLine="422"/>
        <w:rPr>
          <w:rFonts w:hint="eastAsia" w:ascii="宋体" w:hAnsi="宋体" w:eastAsia="宋体" w:cs="宋体"/>
          <w:b/>
          <w:szCs w:val="21"/>
          <w:highlight w:val="none"/>
        </w:rPr>
      </w:pPr>
      <w:r>
        <w:rPr>
          <w:rFonts w:hint="eastAsia" w:ascii="宋体" w:hAnsi="宋体" w:eastAsia="宋体" w:cs="宋体"/>
          <w:b/>
          <w:szCs w:val="21"/>
          <w:highlight w:val="none"/>
          <w:lang w:val="zh-CN"/>
        </w:rPr>
        <w:t xml:space="preserve">（四）履约能力：（</w:t>
      </w:r>
      <w:r>
        <w:rPr>
          <w:rFonts w:hint="eastAsia" w:ascii="宋体" w:hAnsi="宋体" w:eastAsia="宋体" w:cs="宋体"/>
          <w:b/>
          <w:szCs w:val="21"/>
          <w:highlight w:val="none"/>
          <w:lang w:val="en-US" w:eastAsia="zh-CN"/>
        </w:rPr>
        <w:t xml:space="preserve">18</w:t>
      </w:r>
      <w:r>
        <w:rPr>
          <w:rFonts w:hint="eastAsia" w:ascii="宋体" w:hAnsi="宋体" w:eastAsia="宋体" w:cs="宋体"/>
          <w:b/>
          <w:szCs w:val="21"/>
          <w:highlight w:val="none"/>
          <w:lang w:val="zh-CN"/>
        </w:rPr>
        <w:t xml:space="preserve">分）</w:t>
      </w:r>
      <w:r>
        <w:rPr>
          <w:rFonts w:hint="eastAsia" w:ascii="宋体" w:hAnsi="宋体" w:eastAsia="宋体" w:cs="宋体"/>
          <w:b/>
          <w:szCs w:val="21"/>
          <w:highlight w:val="none"/>
        </w:rPr>
      </w:r>
      <w:r/>
    </w:p>
    <w:p>
      <w:pPr>
        <w:pStyle w:val="1035"/>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1、响应单位提供自</w:t>
      </w:r>
      <w:r>
        <w:rPr>
          <w:rFonts w:hint="eastAsia" w:ascii="宋体" w:hAnsi="宋体" w:eastAsia="宋体" w:cs="宋体"/>
          <w:szCs w:val="21"/>
          <w:highlight w:val="none"/>
          <w:lang w:val="en-US" w:eastAsia="zh-CN"/>
        </w:rPr>
        <w:t xml:space="preserve">2023</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07月1日</w:t>
      </w:r>
      <w:r>
        <w:rPr>
          <w:rFonts w:hint="eastAsia" w:ascii="宋体" w:hAnsi="宋体" w:eastAsia="宋体" w:cs="宋体"/>
          <w:szCs w:val="21"/>
          <w:highlight w:val="none"/>
        </w:rPr>
        <w:t xml:space="preserve">至今承担过</w:t>
      </w:r>
      <w:r>
        <w:rPr>
          <w:rFonts w:hint="eastAsia" w:ascii="宋体" w:hAnsi="宋体" w:eastAsia="宋体" w:cs="宋体"/>
          <w:bCs/>
          <w:szCs w:val="21"/>
          <w:highlight w:val="none"/>
          <w:lang w:val="en-US" w:eastAsia="zh-CN"/>
        </w:rPr>
        <w:t xml:space="preserve">类似</w:t>
      </w:r>
      <w:r>
        <w:rPr>
          <w:rFonts w:ascii="宋体" w:hAnsi="宋体" w:eastAsia="宋体" w:cs="宋体"/>
          <w:bCs/>
          <w:szCs w:val="21"/>
          <w:highlight w:val="none"/>
        </w:rPr>
        <w:t xml:space="preserve">项目</w:t>
      </w:r>
      <w:r>
        <w:rPr>
          <w:rFonts w:hint="eastAsia" w:ascii="宋体" w:hAnsi="宋体" w:eastAsia="宋体" w:cs="宋体"/>
          <w:szCs w:val="21"/>
          <w:highlight w:val="none"/>
        </w:rPr>
        <w:t xml:space="preserve">业绩的每提供一个得3分，本项共</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rPr>
          <w:rFonts w:hint="eastAsia" w:ascii="宋体" w:hAnsi="宋体" w:eastAsia="宋体" w:cs="宋体"/>
          <w:szCs w:val="21"/>
          <w:highlight w:val="none"/>
          <w:lang w:val="en-US" w:eastAsia="zh-CN"/>
        </w:rPr>
        <w:t xml:space="preserve">（时间以竣工验收证明材料的验收时间为准，金额以中标通知书上的中标金额为准。需提供中标通知书、施工合同和竣工验收证明材料的原件扫描件，及部分发票扫描件，未按要求提供不得分）</w:t>
      </w:r>
      <w:r>
        <w:rPr>
          <w:rFonts w:ascii="宋体" w:hAnsi="宋体" w:eastAsia="宋体" w:cs="宋体"/>
          <w:szCs w:val="21"/>
          <w:highlight w:val="none"/>
        </w:rPr>
      </w:r>
      <w:r/>
    </w:p>
    <w:p>
      <w:pPr>
        <w:pStyle w:val="1035"/>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2、响应单位具有有效期内质量体系认证、环境体系认证、职业健康安全体系认证的，有1个得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分，本项共</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rPr>
          <w:rFonts w:hint="eastAsia" w:ascii="宋体" w:hAnsi="宋体" w:eastAsia="宋体" w:cs="宋体"/>
          <w:bCs/>
          <w:szCs w:val="21"/>
          <w:highlight w:val="none"/>
          <w:lang w:val="en-US" w:eastAsia="zh-CN"/>
        </w:rPr>
        <w:t xml:space="preserve">响应</w:t>
      </w:r>
      <w:r>
        <w:rPr>
          <w:rFonts w:hint="eastAsia" w:ascii="宋体" w:hAnsi="宋体" w:eastAsia="宋体" w:cs="宋体"/>
          <w:bCs/>
          <w:szCs w:val="21"/>
          <w:highlight w:val="none"/>
        </w:rPr>
        <w:t xml:space="preserve">文件中提供认证证书复印件，并提供中国国家认证认可监督管理委员会官网http://cx.cnca.cn/证书查询结果页面截图，未按要求提供不得分。</w:t>
      </w:r>
      <w:r>
        <w:rPr>
          <w:rFonts w:hint="eastAsia" w:ascii="宋体" w:hAnsi="宋体" w:eastAsia="宋体" w:cs="宋体"/>
          <w:szCs w:val="21"/>
          <w:highlight w:val="none"/>
        </w:rPr>
        <w:t xml:space="preserve">）</w:t>
      </w:r>
      <w:r>
        <w:rPr>
          <w:rFonts w:ascii="宋体" w:hAnsi="宋体" w:eastAsia="宋体" w:cs="宋体"/>
          <w:szCs w:val="21"/>
          <w:highlight w:val="none"/>
        </w:rPr>
      </w:r>
      <w:r/>
    </w:p>
    <w:p>
      <w:pPr>
        <w:pStyle w:val="1035"/>
        <w:ind w:firstLine="48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1035"/>
        <w:spacing w:after="120" w:line="360" w:lineRule="auto"/>
        <w:rPr>
          <w:rFonts w:ascii="宋体" w:hAnsi="宋体" w:cs="宋体"/>
          <w:b/>
          <w:bCs/>
          <w:szCs w:val="21"/>
          <w:highlight w:val="none"/>
        </w:rPr>
      </w:pPr>
      <w:r>
        <w:rPr>
          <w:rFonts w:hint="eastAsia" w:ascii="宋体" w:hAnsi="宋体" w:cs="宋体"/>
          <w:b/>
          <w:szCs w:val="21"/>
          <w:highlight w:val="none"/>
        </w:rPr>
        <w:t xml:space="preserve">注：</w:t>
      </w:r>
      <w:r>
        <w:rPr>
          <w:rFonts w:ascii="宋体" w:hAnsi="宋体" w:cs="宋体"/>
          <w:b/>
          <w:bCs/>
          <w:szCs w:val="21"/>
          <w:highlight w:val="none"/>
        </w:rPr>
      </w:r>
      <w:r/>
    </w:p>
    <w:p>
      <w:pPr>
        <w:pStyle w:val="1035"/>
        <w:jc w:val="left"/>
        <w:spacing w:line="360" w:lineRule="auto"/>
        <w:rPr>
          <w:rFonts w:ascii="宋体" w:hAnsi="宋体" w:cs="宋体"/>
          <w:b/>
          <w:szCs w:val="21"/>
          <w:highlight w:val="none"/>
        </w:rPr>
      </w:pPr>
      <w:r>
        <w:rPr>
          <w:rFonts w:hint="eastAsia" w:ascii="宋体" w:hAnsi="宋体" w:cs="宋体"/>
          <w:b/>
          <w:szCs w:val="21"/>
          <w:highlight w:val="none"/>
        </w:rPr>
        <w:t xml:space="preserve">1、报价超过最高限价的将不进入综合评审程序，也不得标。</w:t>
      </w:r>
      <w:r>
        <w:rPr>
          <w:rFonts w:ascii="宋体" w:hAnsi="宋体" w:cs="宋体"/>
          <w:b/>
          <w:szCs w:val="21"/>
          <w:highlight w:val="none"/>
        </w:rPr>
      </w:r>
      <w:r/>
    </w:p>
    <w:p>
      <w:pPr>
        <w:pStyle w:val="1035"/>
        <w:spacing w:line="360" w:lineRule="auto"/>
        <w:rPr>
          <w:rFonts w:ascii="宋体" w:hAnsi="宋体" w:cs="宋体"/>
          <w:b/>
          <w:szCs w:val="21"/>
          <w:highlight w:val="none"/>
        </w:rPr>
      </w:pPr>
      <w:r>
        <w:rPr>
          <w:rFonts w:hint="eastAsia" w:ascii="宋体" w:hAnsi="宋体" w:cs="宋体"/>
          <w:b/>
          <w:szCs w:val="21"/>
          <w:highlight w:val="none"/>
        </w:rPr>
        <w:t xml:space="preserve">2、针对评分标准中评分的每一条，响应供应商均应提供相关对应资料，并作出相应说明，供评委评判，否则视为不具备相关项得分的条件。</w:t>
      </w:r>
      <w:r>
        <w:rPr>
          <w:rFonts w:ascii="宋体" w:hAnsi="宋体" w:cs="宋体"/>
          <w:b/>
          <w:szCs w:val="21"/>
          <w:highlight w:val="none"/>
        </w:rPr>
      </w:r>
      <w:r/>
    </w:p>
    <w:p>
      <w:pPr>
        <w:pStyle w:val="1100"/>
        <w:ind w:right="480"/>
        <w:jc w:val="right"/>
        <w:spacing w:line="360" w:lineRule="auto"/>
        <w:rPr>
          <w:rFonts w:hint="eastAsia"/>
          <w:b w:val="0"/>
          <w:highlight w:val="none"/>
        </w:rPr>
      </w:pPr>
      <w:r>
        <w:rPr>
          <w:rFonts w:hint="eastAsia"/>
          <w:b w:val="0"/>
          <w:highlight w:val="none"/>
        </w:rPr>
        <w:t xml:space="preserve">（全文完）</w:t>
      </w:r>
      <w:r/>
    </w:p>
    <w:sectPr>
      <w:headerReference w:type="default" r:id="rId13"/>
      <w:headerReference w:type="even" r:id="rId14"/>
      <w:headerReference w:type="first" r:id="rId15"/>
      <w:footerReference w:type="default" r:id="rId21"/>
      <w:footerReference w:type="even" r:id="rId22"/>
      <w:footerReference w:type="first" r:id="rId23"/>
      <w:footnotePr/>
      <w:endnotePr/>
      <w:type w:val="nextPage"/>
      <w:pgSz w:w="11906" w:h="16838" w:orient="portrait"/>
      <w:pgMar w:top="1440" w:right="1274"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微软雅黑.">
    <w:panose1 w:val="020B0503020204020204"/>
  </w:font>
  <w:font w:name="昆仑仿宋">
    <w:panose1 w:val="020B0503020202020204"/>
  </w:font>
  <w:font w:name="华文细黑">
    <w:panose1 w:val="02010600040101010101"/>
  </w:font>
  <w:font w:name="华文细黑.">
    <w:panose1 w:val="02010600040101010101"/>
  </w:font>
  <w:font w:name="等线">
    <w:panose1 w:val="02010600030101010101"/>
  </w:font>
  <w:font w:name="仿宋">
    <w:panose1 w:val="02010609060101010101"/>
  </w:font>
  <w:font w:name="font-weight : 400">
    <w:panose1 w:val="020B0503020202020204"/>
  </w:font>
  <w:font w:name="Calibri">
    <w:panose1 w:val="020F0502020204030204"/>
  </w:font>
  <w:font w:name="微软雅黑">
    <w:panose1 w:val="020B0503020204020204"/>
  </w:font>
  <w:font w:name="Courier New">
    <w:panose1 w:val="02070309020205020404"/>
  </w:font>
  <w:font w:name="楷体_GB2312">
    <w:panose1 w:val="02010609060101010101"/>
  </w:font>
  <w:font w:name="Tahoma">
    <w:panose1 w:val="020B0604030504040204"/>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79</w:t>
    </w:r>
    <w:r>
      <w:rPr>
        <w:b/>
        <w:bCs/>
        <w:sz w:val="24"/>
        <w:szCs w:val="24"/>
      </w:rPr>
      <w:fldChar w:fldCharType="end"/>
    </w:r>
    <w:r/>
  </w:p>
  <w:p>
    <w:pPr>
      <w:pStyle w:val="10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rPr>
        <w:rFonts w:ascii="Calibri" w:hAnsi="Calibri" w:eastAsia="宋体" w:cs="Times New Roman"/>
      </w:rPr>
      <w:pBdr>
        <w:between w:val="none" w:color="000000" w:sz="0" w:space="0"/>
      </w:pBdr>
      <w:framePr w:wrap="around" w:vAnchor="text" w:hAnchor="margin" w:xAlign="center" w:y="1"/>
    </w:pPr>
    <w:r>
      <w:rPr>
        <w:rStyle w:val="1699"/>
        <w:rFonts w:ascii="Calibri" w:hAnsi="Calibri" w:eastAsia="宋体" w:cs="Times New Roman"/>
      </w:rPr>
      <w:fldChar w:fldCharType="begin"/>
    </w:r>
    <w:r>
      <w:rPr>
        <w:rStyle w:val="1699"/>
        <w:rFonts w:ascii="Calibri" w:hAnsi="Calibri" w:eastAsia="宋体" w:cs="Times New Roman"/>
      </w:rPr>
      <w:instrText xml:space="preserve"> PAGE  </w:instrText>
    </w:r>
    <w:r>
      <w:rPr>
        <w:rStyle w:val="1699"/>
        <w:rFonts w:ascii="Calibri" w:hAnsi="Calibri" w:eastAsia="宋体" w:cs="Times New Roman"/>
      </w:rPr>
      <w:fldChar w:fldCharType="separate"/>
    </w:r>
    <w:r>
      <w:rPr>
        <w:rStyle w:val="1699"/>
        <w:rFonts w:ascii="Calibri" w:hAnsi="Calibri" w:eastAsia="宋体" w:cs="Times New Roman"/>
      </w:rPr>
      <w:t xml:space="preserve">66</w:t>
    </w:r>
    <w:r>
      <w:rPr>
        <w:rStyle w:val="1699"/>
        <w:rFonts w:ascii="Calibri" w:hAnsi="Calibri" w:eastAsia="宋体" w:cs="Times New Roman"/>
      </w:rPr>
      <w:fldChar w:fldCharType="end"/>
    </w:r>
    <w:r>
      <w:rPr>
        <w:rFonts w:ascii="Calibri" w:hAnsi="Calibri" w:eastAsia="宋体" w:cs="Times New Roman"/>
      </w:rPr>
    </w:r>
    <w:r/>
  </w:p>
  <w:p>
    <w:pPr>
      <w:pStyle w:val="1700"/>
      <w:jc w:val="center"/>
      <w:tabs>
        <w:tab w:val="center" w:pos="4153" w:leader="none"/>
        <w:tab w:val="right" w:pos="8306" w:leader="none"/>
      </w:tabs>
    </w:pPr>
    <w:r/>
    <w:r/>
  </w:p>
  <w:p>
    <w:pPr>
      <w:pStyle w:val="1035"/>
      <w:rPr>
        <w:rStyle w:val="1139"/>
        <w:rFonts w:ascii="Calibri" w:hAnsi="Calibri" w:eastAsia="宋体" w:cs="Times New Roman"/>
      </w:rPr>
    </w:pPr>
    <w:r>
      <w:rPr>
        <w:rStyle w:val="1139"/>
        <w:rFonts w:ascii="Calibri" w:hAnsi="Calibri" w:eastAsia="宋体"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0"/>
      <w:tabs>
        <w:tab w:val="center" w:pos="4153" w:leader="none"/>
        <w:tab w:val="right" w:pos="8306" w:leader="none"/>
      </w:tabs>
      <w:rPr>
        <w:rStyle w:val="1699"/>
      </w:rPr>
      <w:framePr w:wrap="around" w:vAnchor="text" w:hAnchor="margin" w:xAlign="center" w:y="1"/>
    </w:pPr>
    <w:r>
      <w:rPr>
        <w:rStyle w:val="1699"/>
      </w:rPr>
      <w:fldChar w:fldCharType="begin"/>
    </w:r>
    <w:r>
      <w:rPr>
        <w:rStyle w:val="1699"/>
      </w:rPr>
      <w:instrText xml:space="preserve">PAGE  </w:instrText>
    </w:r>
    <w:r>
      <w:rPr>
        <w:rStyle w:val="1699"/>
      </w:rPr>
      <w:fldChar w:fldCharType="end"/>
    </w:r>
    <w:r>
      <w:rPr>
        <w:rStyle w:val="1699"/>
      </w:rPr>
    </w:r>
    <w:r/>
  </w:p>
  <w:p>
    <w:pPr>
      <w:pStyle w:val="170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00"/>
      <w:tabs>
        <w:tab w:val="center" w:pos="4153" w:leader="none"/>
        <w:tab w:val="right" w:pos="8306" w:leader="none"/>
      </w:tabs>
      <w:rPr>
        <w:rStyle w:val="113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2852420</wp:posOffset>
              </wp:positionH>
              <wp:positionV relativeFrom="paragraph">
                <wp:posOffset>-18414</wp:posOffset>
              </wp:positionV>
              <wp:extent cx="323850" cy="217170"/>
              <wp:effectExtent l="0" t="0" r="0" b="0"/>
              <wp:wrapNone/>
              <wp:docPr id="1" name=""/>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w="15875">
                        <a:noFill/>
                      </a:ln>
                    </wps:spPr>
                    <wps:txbx>
                      <w:txbxContent>
                        <w:p>
                          <w:pPr>
                            <w:pStyle w:val="1035"/>
                            <w:rPr>
                              <w:rStyle w:val="1139"/>
                              <w:rFonts w:ascii="Calibri" w:hAnsi="Calibri" w:eastAsia="宋体" w:cs="Times New Roman"/>
                            </w:rPr>
                          </w:pPr>
                          <w:r>
                            <w:rPr>
                              <w:rStyle w:val="1139"/>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argin-left:224.6pt;mso-position-horizontal:absolute;mso-position-vertical-relative:text;margin-top:-1.4pt;mso-position-vertical:absolute;width:25.5pt;height:17.1pt;mso-wrap-distance-left:9.0pt;mso-wrap-distance-top:0.0pt;mso-wrap-distance-right:9.0pt;mso-wrap-distance-bottom:0.0pt;flip:x;visibility:visible;" filled="f" stroked="f" strokeweight="1.25pt">
              <v:textbox inset="0,0,0,0">
                <w:txbxContent>
                  <w:p>
                    <w:pPr>
                      <w:pStyle w:val="1035"/>
                      <w:rPr>
                        <w:rStyle w:val="1139"/>
                        <w:rFonts w:ascii="Calibri" w:hAnsi="Calibri" w:eastAsia="宋体" w:cs="Times New Roman"/>
                      </w:rPr>
                    </w:pPr>
                    <w:r>
                      <w:rPr>
                        <w:rStyle w:val="1139"/>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700"/>
                            <w:tabs>
                              <w:tab w:val="clear" w:pos="4153" w:leader="none"/>
                              <w:tab w:val="clear" w:pos="8306" w:leader="none"/>
                            </w:tabs>
                            <w:rPr>
                              <w:rStyle w:val="1139"/>
                            </w:rPr>
                          </w:pPr>
                          <w:r>
                            <w:rPr>
                              <w:rStyle w:val="1139"/>
                            </w:rPr>
                          </w:r>
                          <w:r/>
                        </w:p>
                        <w:p>
                          <w:pPr>
                            <w:pStyle w:val="1035"/>
                            <w:rPr>
                              <w:rStyle w:val="1139"/>
                              <w:rFonts w:ascii="Calibri" w:hAnsi="Calibri" w:eastAsia="宋体" w:cs="Times New Roman"/>
                            </w:rPr>
                          </w:pPr>
                          <w:r>
                            <w:rPr>
                              <w:rStyle w:val="1139"/>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700"/>
                      <w:tabs>
                        <w:tab w:val="clear" w:pos="4153" w:leader="none"/>
                        <w:tab w:val="clear" w:pos="8306" w:leader="none"/>
                      </w:tabs>
                      <w:rPr>
                        <w:rStyle w:val="1139"/>
                      </w:rPr>
                    </w:pPr>
                    <w:r>
                      <w:rPr>
                        <w:rStyle w:val="1139"/>
                      </w:rPr>
                    </w:r>
                    <w:r/>
                  </w:p>
                  <w:p>
                    <w:pPr>
                      <w:pStyle w:val="1035"/>
                      <w:rPr>
                        <w:rStyle w:val="1139"/>
                        <w:rFonts w:ascii="Calibri" w:hAnsi="Calibri" w:eastAsia="宋体" w:cs="Times New Roman"/>
                      </w:rPr>
                    </w:pPr>
                    <w:r>
                      <w:rPr>
                        <w:rStyle w:val="1139"/>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rPr>
                        <w:rFonts w:ascii="Calibri" w:hAnsi="Calibri" w:eastAsia="宋体" w:cs="Times New Roman"/>
                      </w:rPr>
                    </w:pPr>
                    <w:r>
                      <w:rPr>
                        <w:rFonts w:ascii="Calibri" w:hAnsi="Calibri" w:eastAsia="宋体" w:cs="Times New Roman"/>
                      </w:rPr>
                    </w:r>
                    <w:r/>
                  </w:p>
                  <w:p>
                    <w:pPr>
                      <w:pStyle w:val="1035"/>
                    </w:pPr>
                    <w:r/>
                    <w:r/>
                  </w:p>
                </w:txbxContent>
              </v:textbox>
            </v:shape>
          </w:pict>
        </mc:Fallback>
      </mc:AlternateContent>
    </w:r>
    <w:r>
      <w:rPr>
        <w:rStyle w:val="1139"/>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enter" w:pos="4153" w:leader="none"/>
        <w:tab w:val="right" w:pos="8306" w:leader="none"/>
      </w:tabs>
    </w:pPr>
    <w:r>
      <w:fldChar w:fldCharType="begin"/>
    </w:r>
    <w:r>
      <w:instrText xml:space="preserve">PAGE   \* MERGEFORMAT</w:instrText>
    </w:r>
    <w:r>
      <w:fldChar w:fldCharType="separate"/>
    </w:r>
    <w:r>
      <w:rPr>
        <w:lang w:val="zh-CN" w:eastAsia="zh-CN"/>
      </w:rPr>
      <w:t xml:space="preserve">78</w:t>
    </w:r>
    <w:r>
      <w:fldChar w:fldCharType="end"/>
    </w:r>
    <w:r/>
  </w:p>
  <w:p>
    <w:pPr>
      <w:pStyle w:val="103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rPr>
        <w:rStyle w:val="1129"/>
      </w:rPr>
      <w:framePr w:wrap="around" w:vAnchor="text" w:hAnchor="margin" w:xAlign="center" w:y="1"/>
    </w:pPr>
    <w:r>
      <w:rPr>
        <w:rStyle w:val="1129"/>
      </w:rPr>
      <w:fldChar w:fldCharType="begin"/>
    </w:r>
    <w:r>
      <w:rPr>
        <w:rStyle w:val="1129"/>
      </w:rPr>
      <w:instrText xml:space="preserve">PAGE  </w:instrText>
    </w:r>
    <w:r>
      <w:rPr>
        <w:rStyle w:val="1129"/>
      </w:rPr>
      <w:fldChar w:fldCharType="end"/>
    </w:r>
    <w:r>
      <w:rPr>
        <w:rStyle w:val="1129"/>
      </w:rPr>
    </w:r>
    <w:r/>
  </w:p>
  <w:p>
    <w:pPr>
      <w:pStyle w:val="1094"/>
      <w:tabs>
        <w:tab w:val="center" w:pos="4153" w:leader="none"/>
        <w:tab w:val="right" w:pos="8306" w:leader="none"/>
      </w:tabs>
    </w:pPr>
    <w:r/>
    <w:r/>
  </w:p>
  <w:p>
    <w:pPr>
      <w:pStyle w:val="1035"/>
    </w:pPr>
    <w:r/>
    <w:r/>
  </w:p>
  <w:p>
    <w:pPr>
      <w:pStyle w:val="103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both"/>
      <w:tabs>
        <w:tab w:val="center" w:pos="4153" w:leader="none"/>
        <w:tab w:val="right" w:pos="8306" w:leader="none"/>
      </w:tabs>
      <w:rPr>
        <w:highlight w:val="none"/>
      </w:rPr>
    </w:pPr>
    <w:r>
      <w:rPr>
        <w:rFonts w:hint="eastAsia"/>
      </w:rPr>
      <w:t xml:space="preserve">采购文件                                </w:t>
    </w:r>
    <w:r>
      <w:tab/>
    </w:r>
    <w:r>
      <w:t xml:space="preserve">                               </w:t>
    </w:r>
    <w:r>
      <w:rPr>
        <w:highlight w:val="none"/>
      </w:rPr>
      <w:t xml:space="preserve">      </w:t>
    </w:r>
    <w:r>
      <w:rPr>
        <w:rFonts w:hint="eastAsia"/>
        <w:highlight w:val="none"/>
        <w:lang w:eastAsia="zh-CN"/>
      </w:rPr>
      <w:t xml:space="preserve">JSZC-320507-SZGZ-C2026-0042</w:t>
    </w:r>
    <w:r>
      <w:rPr>
        <w:highlight w:val="none"/>
      </w:rPr>
      <w:t xml:space="preserve">   </w:t>
    </w:r>
    <w:r>
      <w:rPr>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8"/>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9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pPr>
    <w:r/>
    <w:r/>
  </w:p>
  <w:p>
    <w:pPr>
      <w:pStyle w:val="103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pPr>
    <w:r/>
    <w:r/>
  </w:p>
  <w:p>
    <w:pPr>
      <w:pStyle w:val="1035"/>
    </w:pPr>
    <w:r/>
    <w:r/>
  </w:p>
  <w:p>
    <w:pPr>
      <w:pStyle w:val="103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18"/>
      <w:isLgl w:val="false"/>
      <w:suff w:val="tab"/>
      <w:lvlText w:val="%1、"/>
      <w:lvlJc w:val="left"/>
      <w:pPr>
        <w:pStyle w:val="1035"/>
        <w:ind w:left="420" w:hanging="420"/>
        <w:tabs>
          <w:tab w:val="num" w:pos="420" w:leader="none"/>
        </w:tabs>
      </w:pPr>
      <w:rPr>
        <w:rFonts w:hint="eastAsia"/>
        <w:b/>
      </w:rPr>
    </w:lvl>
    <w:lvl w:ilvl="1">
      <w:start w:val="1"/>
      <w:numFmt w:val="decimal"/>
      <w:isLgl w:val="false"/>
      <w:suff w:val="tab"/>
      <w:lvlText w:val="%2."/>
      <w:lvlJc w:val="left"/>
      <w:pPr>
        <w:pStyle w:val="1035"/>
        <w:ind w:left="840" w:hanging="420"/>
        <w:tabs>
          <w:tab w:val="num" w:pos="840" w:leader="none"/>
        </w:tabs>
      </w:pPr>
      <w:rPr>
        <w:rFonts w:hint="eastAsia"/>
      </w:rPr>
    </w:lvl>
    <w:lvl w:ilvl="2">
      <w:start w:val="3"/>
      <w:numFmt w:val="decimal"/>
      <w:isLgl w:val="false"/>
      <w:suff w:val="tab"/>
      <w:lvlText w:val="%3."/>
      <w:lvlJc w:val="left"/>
      <w:pPr>
        <w:pStyle w:val="1035"/>
        <w:ind w:left="1260" w:hanging="420"/>
        <w:tabs>
          <w:tab w:val="num" w:pos="1260" w:leader="none"/>
        </w:tabs>
      </w:pPr>
      <w:rPr>
        <w:rFonts w:hint="eastAsia"/>
      </w:r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1">
    <w:multiLevelType w:val="hybridMultilevel"/>
    <w:lvl w:ilvl="0">
      <w:start w:val="1"/>
      <w:numFmt w:val="decimal"/>
      <w:pStyle w:val="1574"/>
      <w:isLgl w:val="false"/>
      <w:suff w:val="tab"/>
      <w:lvlText w:val="%1."/>
      <w:lvlJc w:val="left"/>
      <w:pPr>
        <w:pStyle w:val="1035"/>
        <w:ind w:left="420" w:hanging="420"/>
      </w:pPr>
      <w:rPr>
        <w:b w:val="0"/>
      </w:rPr>
    </w:lvl>
    <w:lvl w:ilvl="1">
      <w:start w:val="1"/>
      <w:numFmt w:val="lowerLetter"/>
      <w:isLgl w:val="false"/>
      <w:suff w:val="tab"/>
      <w:lvlText w:val="%2)"/>
      <w:lvlJc w:val="left"/>
      <w:pPr>
        <w:pStyle w:val="1035"/>
        <w:ind w:left="840" w:hanging="420"/>
      </w:p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abstractNum w:abstractNumId="2">
    <w:multiLevelType w:val="hybridMultilevel"/>
    <w:lvl w:ilvl="0">
      <w:start w:val="1"/>
      <w:numFmt w:val="bullet"/>
      <w:pStyle w:val="1079"/>
      <w:isLgl w:val="false"/>
      <w:suff w:val="tab"/>
      <w:lvlText w:val=""/>
      <w:lvlJc w:val="left"/>
      <w:pPr>
        <w:pStyle w:val="1035"/>
        <w:ind w:left="780" w:hanging="360"/>
        <w:tabs>
          <w:tab w:val="num" w:pos="780" w:leader="none"/>
        </w:tabs>
      </w:pPr>
      <w:rPr>
        <w:rFonts w:ascii="Wingdings" w:hAnsi="Wingdings"/>
      </w:r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3">
    <w:multiLevelType w:val="hybridMultilevel"/>
    <w:lvl w:ilvl="0">
      <w:start w:val="1"/>
      <w:numFmt w:val="bullet"/>
      <w:pStyle w:val="1663"/>
      <w:isLgl w:val="false"/>
      <w:suff w:val="tab"/>
      <w:lvlText w:val="•"/>
      <w:lvlJc w:val="left"/>
      <w:pPr>
        <w:pStyle w:val="1035"/>
        <w:ind w:left="780" w:hanging="420"/>
      </w:pPr>
      <w:rPr>
        <w:rFonts w:ascii="Arial" w:hAnsi="Arial"/>
      </w:rPr>
    </w:lvl>
    <w:lvl w:ilvl="1">
      <w:start w:val="1"/>
      <w:numFmt w:val="bullet"/>
      <w:isLgl w:val="false"/>
      <w:suff w:val="tab"/>
      <w:lvlText w:val="•"/>
      <w:lvlJc w:val="left"/>
      <w:pPr>
        <w:pStyle w:val="1035"/>
        <w:ind w:left="1200" w:hanging="420"/>
      </w:pPr>
      <w:rPr>
        <w:rFonts w:ascii="Arial" w:hAnsi="Arial"/>
      </w:rPr>
    </w:lvl>
    <w:lvl w:ilvl="2">
      <w:start w:val="1"/>
      <w:numFmt w:val="bullet"/>
      <w:isLgl w:val="false"/>
      <w:suff w:val="tab"/>
      <w:lvlText w:val=""/>
      <w:lvlJc w:val="left"/>
      <w:pPr>
        <w:pStyle w:val="1035"/>
        <w:ind w:left="1620" w:hanging="420"/>
      </w:pPr>
      <w:rPr>
        <w:rFonts w:ascii="Wingdings" w:hAnsi="Wingdings"/>
      </w:rPr>
    </w:lvl>
    <w:lvl w:ilvl="3">
      <w:start w:val="1"/>
      <w:numFmt w:val="bullet"/>
      <w:isLgl w:val="false"/>
      <w:suff w:val="tab"/>
      <w:lvlText w:val=""/>
      <w:lvlJc w:val="left"/>
      <w:pPr>
        <w:pStyle w:val="1035"/>
        <w:ind w:left="2040" w:hanging="420"/>
      </w:pPr>
      <w:rPr>
        <w:rFonts w:ascii="Wingdings" w:hAnsi="Wingdings"/>
      </w:rPr>
    </w:lvl>
    <w:lvl w:ilvl="4">
      <w:start w:val="1"/>
      <w:numFmt w:val="bullet"/>
      <w:isLgl w:val="false"/>
      <w:suff w:val="tab"/>
      <w:lvlText w:val=""/>
      <w:lvlJc w:val="left"/>
      <w:pPr>
        <w:pStyle w:val="1035"/>
        <w:ind w:left="2460" w:hanging="420"/>
      </w:pPr>
      <w:rPr>
        <w:rFonts w:ascii="Wingdings" w:hAnsi="Wingdings"/>
      </w:rPr>
    </w:lvl>
    <w:lvl w:ilvl="5">
      <w:start w:val="1"/>
      <w:numFmt w:val="bullet"/>
      <w:isLgl w:val="false"/>
      <w:suff w:val="tab"/>
      <w:lvlText w:val=""/>
      <w:lvlJc w:val="left"/>
      <w:pPr>
        <w:pStyle w:val="1035"/>
        <w:ind w:left="2880" w:hanging="420"/>
      </w:pPr>
      <w:rPr>
        <w:rFonts w:ascii="Wingdings" w:hAnsi="Wingdings"/>
      </w:rPr>
    </w:lvl>
    <w:lvl w:ilvl="6">
      <w:start w:val="1"/>
      <w:numFmt w:val="bullet"/>
      <w:isLgl w:val="false"/>
      <w:suff w:val="tab"/>
      <w:lvlText w:val=""/>
      <w:lvlJc w:val="left"/>
      <w:pPr>
        <w:pStyle w:val="1035"/>
        <w:ind w:left="3300" w:hanging="420"/>
      </w:pPr>
      <w:rPr>
        <w:rFonts w:ascii="Wingdings" w:hAnsi="Wingdings"/>
      </w:rPr>
    </w:lvl>
    <w:lvl w:ilvl="7">
      <w:start w:val="1"/>
      <w:numFmt w:val="bullet"/>
      <w:isLgl w:val="false"/>
      <w:suff w:val="tab"/>
      <w:lvlText w:val=""/>
      <w:lvlJc w:val="left"/>
      <w:pPr>
        <w:pStyle w:val="1035"/>
        <w:ind w:left="3720" w:hanging="420"/>
      </w:pPr>
      <w:rPr>
        <w:rFonts w:ascii="Wingdings" w:hAnsi="Wingdings"/>
      </w:rPr>
    </w:lvl>
    <w:lvl w:ilvl="8">
      <w:start w:val="1"/>
      <w:numFmt w:val="bullet"/>
      <w:isLgl w:val="false"/>
      <w:suff w:val="tab"/>
      <w:lvlText w:val=""/>
      <w:lvlJc w:val="left"/>
      <w:pPr>
        <w:pStyle w:val="1035"/>
        <w:ind w:left="4140" w:hanging="420"/>
      </w:pPr>
      <w:rPr>
        <w:rFonts w:ascii="Wingdings" w:hAnsi="Wingdings"/>
      </w:rPr>
    </w:lvl>
  </w:abstractNum>
  <w:abstractNum w:abstractNumId="4">
    <w:multiLevelType w:val="hybridMultilevel"/>
    <w:lvl w:ilvl="0">
      <w:start w:val="1"/>
      <w:numFmt w:val="japaneseCounting"/>
      <w:isLgl w:val="false"/>
      <w:suff w:val="tab"/>
      <w:lvlText w:val="第%1条"/>
      <w:lvlJc w:val="left"/>
      <w:pPr>
        <w:pStyle w:val="1035"/>
        <w:ind w:left="900" w:hanging="420"/>
      </w:pPr>
      <w:rPr>
        <w:b/>
        <w:color w:val="000000"/>
        <w:lang w:val="en-US"/>
      </w:rPr>
    </w:lvl>
    <w:lvl w:ilvl="1">
      <w:start w:val="1"/>
      <w:numFmt w:val="decimal"/>
      <w:isLgl w:val="false"/>
      <w:suff w:val="tab"/>
      <w:lvlText w:val="%1．"/>
      <w:lvlJc w:val="left"/>
      <w:pPr>
        <w:pStyle w:val="1035"/>
        <w:ind w:left="1260" w:hanging="360"/>
      </w:pPr>
    </w:lvl>
    <w:lvl w:ilvl="2">
      <w:start w:val="1"/>
      <w:numFmt w:val="lowerRoman"/>
      <w:isLgl w:val="false"/>
      <w:suff w:val="tab"/>
      <w:lvlText w:val="%1."/>
      <w:lvlJc w:val="right"/>
      <w:pPr>
        <w:pStyle w:val="1035"/>
        <w:ind w:left="1740" w:hanging="420"/>
      </w:pPr>
    </w:lvl>
    <w:lvl w:ilvl="3">
      <w:start w:val="1"/>
      <w:numFmt w:val="decimal"/>
      <w:isLgl w:val="false"/>
      <w:suff w:val="tab"/>
      <w:lvlText w:val="%1."/>
      <w:lvlJc w:val="left"/>
      <w:pPr>
        <w:pStyle w:val="1035"/>
        <w:ind w:left="2160" w:hanging="420"/>
      </w:pPr>
    </w:lvl>
    <w:lvl w:ilvl="4">
      <w:start w:val="1"/>
      <w:numFmt w:val="lowerLetter"/>
      <w:isLgl w:val="false"/>
      <w:suff w:val="tab"/>
      <w:lvlText w:val="%1)"/>
      <w:lvlJc w:val="left"/>
      <w:pPr>
        <w:pStyle w:val="1035"/>
        <w:ind w:left="2580" w:hanging="420"/>
      </w:pPr>
    </w:lvl>
    <w:lvl w:ilvl="5">
      <w:start w:val="1"/>
      <w:numFmt w:val="lowerRoman"/>
      <w:isLgl w:val="false"/>
      <w:suff w:val="tab"/>
      <w:lvlText w:val="%1."/>
      <w:lvlJc w:val="right"/>
      <w:pPr>
        <w:pStyle w:val="1035"/>
        <w:ind w:left="3000" w:hanging="420"/>
      </w:pPr>
    </w:lvl>
    <w:lvl w:ilvl="6">
      <w:start w:val="1"/>
      <w:numFmt w:val="decimal"/>
      <w:isLgl w:val="false"/>
      <w:suff w:val="tab"/>
      <w:lvlText w:val="%1."/>
      <w:lvlJc w:val="left"/>
      <w:pPr>
        <w:pStyle w:val="1035"/>
        <w:ind w:left="3420" w:hanging="420"/>
      </w:pPr>
    </w:lvl>
    <w:lvl w:ilvl="7">
      <w:start w:val="1"/>
      <w:numFmt w:val="lowerLetter"/>
      <w:isLgl w:val="false"/>
      <w:suff w:val="tab"/>
      <w:lvlText w:val="%1)"/>
      <w:lvlJc w:val="left"/>
      <w:pPr>
        <w:pStyle w:val="1035"/>
        <w:ind w:left="3840" w:hanging="420"/>
      </w:pPr>
    </w:lvl>
    <w:lvl w:ilvl="8">
      <w:start w:val="1"/>
      <w:numFmt w:val="lowerRoman"/>
      <w:isLgl w:val="false"/>
      <w:suff w:val="tab"/>
      <w:lvlText w:val="%1."/>
      <w:lvlJc w:val="right"/>
      <w:pPr>
        <w:pStyle w:val="1035"/>
        <w:ind w:left="4260" w:hanging="420"/>
      </w:pPr>
    </w:lvl>
  </w:abstractNum>
  <w:abstractNum w:abstractNumId="5">
    <w:multiLevelType w:val="hybridMultilevel"/>
    <w:lvl w:ilvl="0">
      <w:start w:val="1"/>
      <w:numFmt w:val="upperLetter"/>
      <w:pStyle w:val="1593"/>
      <w:isLgl w:val="false"/>
      <w:suff w:val="tab"/>
      <w:lvlText w:val="%1."/>
      <w:lvlJc w:val="left"/>
      <w:pPr>
        <w:pStyle w:val="1035"/>
        <w:ind w:left="900" w:hanging="420"/>
      </w:pPr>
    </w:lvl>
    <w:lvl w:ilvl="1">
      <w:start w:val="1"/>
      <w:numFmt w:val="bullet"/>
      <w:isLgl w:val="false"/>
      <w:suff w:val="tab"/>
      <w:lvlText w:val=""/>
      <w:lvlJc w:val="left"/>
      <w:pPr>
        <w:pStyle w:val="1035"/>
        <w:ind w:left="1320" w:hanging="420"/>
      </w:pPr>
      <w:rPr>
        <w:rFonts w:ascii="Wingdings" w:hAnsi="Wingdings"/>
      </w:rPr>
    </w:lvl>
    <w:lvl w:ilvl="2">
      <w:start w:val="1"/>
      <w:numFmt w:val="bullet"/>
      <w:isLgl w:val="false"/>
      <w:suff w:val="tab"/>
      <w:lvlText w:val=""/>
      <w:lvlJc w:val="left"/>
      <w:pPr>
        <w:pStyle w:val="1035"/>
        <w:ind w:left="1740" w:hanging="420"/>
      </w:pPr>
      <w:rPr>
        <w:rFonts w:ascii="Wingdings" w:hAnsi="Wingdings"/>
      </w:rPr>
    </w:lvl>
    <w:lvl w:ilvl="3">
      <w:start w:val="1"/>
      <w:numFmt w:val="bullet"/>
      <w:isLgl w:val="false"/>
      <w:suff w:val="tab"/>
      <w:lvlText w:val=""/>
      <w:lvlJc w:val="left"/>
      <w:pPr>
        <w:pStyle w:val="1035"/>
        <w:ind w:left="2160" w:hanging="420"/>
      </w:pPr>
      <w:rPr>
        <w:rFonts w:ascii="Wingdings" w:hAnsi="Wingdings"/>
      </w:rPr>
    </w:lvl>
    <w:lvl w:ilvl="4">
      <w:start w:val="1"/>
      <w:numFmt w:val="bullet"/>
      <w:isLgl w:val="false"/>
      <w:suff w:val="tab"/>
      <w:lvlText w:val=""/>
      <w:lvlJc w:val="left"/>
      <w:pPr>
        <w:pStyle w:val="1035"/>
        <w:ind w:left="2580" w:hanging="420"/>
      </w:pPr>
      <w:rPr>
        <w:rFonts w:ascii="Wingdings" w:hAnsi="Wingdings"/>
      </w:rPr>
    </w:lvl>
    <w:lvl w:ilvl="5">
      <w:start w:val="1"/>
      <w:numFmt w:val="bullet"/>
      <w:isLgl w:val="false"/>
      <w:suff w:val="tab"/>
      <w:lvlText w:val=""/>
      <w:lvlJc w:val="left"/>
      <w:pPr>
        <w:pStyle w:val="1035"/>
        <w:ind w:left="3000" w:hanging="420"/>
      </w:pPr>
      <w:rPr>
        <w:rFonts w:ascii="Wingdings" w:hAnsi="Wingdings"/>
      </w:rPr>
    </w:lvl>
    <w:lvl w:ilvl="6">
      <w:start w:val="1"/>
      <w:numFmt w:val="bullet"/>
      <w:isLgl w:val="false"/>
      <w:suff w:val="tab"/>
      <w:lvlText w:val=""/>
      <w:lvlJc w:val="left"/>
      <w:pPr>
        <w:pStyle w:val="1035"/>
        <w:ind w:left="3420" w:hanging="420"/>
      </w:pPr>
      <w:rPr>
        <w:rFonts w:ascii="Wingdings" w:hAnsi="Wingdings"/>
      </w:rPr>
    </w:lvl>
    <w:lvl w:ilvl="7">
      <w:start w:val="1"/>
      <w:numFmt w:val="bullet"/>
      <w:isLgl w:val="false"/>
      <w:suff w:val="tab"/>
      <w:lvlText w:val=""/>
      <w:lvlJc w:val="left"/>
      <w:pPr>
        <w:pStyle w:val="1035"/>
        <w:ind w:left="3840" w:hanging="420"/>
      </w:pPr>
      <w:rPr>
        <w:rFonts w:ascii="Wingdings" w:hAnsi="Wingdings"/>
      </w:rPr>
    </w:lvl>
    <w:lvl w:ilvl="8">
      <w:start w:val="1"/>
      <w:numFmt w:val="bullet"/>
      <w:isLgl w:val="false"/>
      <w:suff w:val="tab"/>
      <w:lvlText w:val=""/>
      <w:lvlJc w:val="left"/>
      <w:pPr>
        <w:pStyle w:val="1035"/>
        <w:ind w:left="4260" w:hanging="420"/>
      </w:pPr>
      <w:rPr>
        <w:rFonts w:ascii="Wingdings" w:hAnsi="Wingdings"/>
      </w:rPr>
    </w:lvl>
  </w:abstractNum>
  <w:abstractNum w:abstractNumId="6">
    <w:multiLevelType w:val="hybridMultilevel"/>
    <w:lvl w:ilvl="0">
      <w:start w:val="1"/>
      <w:numFmt w:val="decimal"/>
      <w:pStyle w:val="1061"/>
      <w:isLgl w:val="false"/>
      <w:suff w:val="tab"/>
      <w:lvlText w:val="%1."/>
      <w:lvlJc w:val="left"/>
      <w:pPr>
        <w:pStyle w:val="1035"/>
        <w:ind w:left="360" w:hanging="360"/>
        <w:tabs>
          <w:tab w:val="num" w:pos="360" w:leader="none"/>
        </w:tabs>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7">
    <w:multiLevelType w:val="hybridMultilevel"/>
    <w:lvl w:ilvl="0">
      <w:start w:val="1"/>
      <w:numFmt w:val="bullet"/>
      <w:pStyle w:val="1647"/>
      <w:isLgl w:val="false"/>
      <w:suff w:val="tab"/>
      <w:lvlText w:val=""/>
      <w:lvlJc w:val="left"/>
      <w:pPr>
        <w:pStyle w:val="1035"/>
        <w:ind w:left="709" w:hanging="425"/>
        <w:tabs>
          <w:tab w:val="num" w:pos="0" w:leader="none"/>
        </w:tabs>
      </w:pPr>
      <w:rPr>
        <w:rFonts w:ascii="Wingdings" w:hAnsi="Wingdings"/>
      </w:r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8">
    <w:multiLevelType w:val="hybridMultilevel"/>
    <w:lvl w:ilvl="0">
      <w:start w:val="1"/>
      <w:numFmt w:val="decimal"/>
      <w:pStyle w:val="1638"/>
      <w:isLgl w:val="false"/>
      <w:suff w:val="tab"/>
      <w:lvlText w:val="%1."/>
      <w:lvlJc w:val="left"/>
      <w:pPr>
        <w:pStyle w:val="1035"/>
        <w:ind w:left="420" w:hanging="420"/>
        <w:tabs>
          <w:tab w:val="num" w:pos="420" w:leader="none"/>
        </w:tabs>
      </w:pPr>
    </w:lvl>
    <w:lvl w:ilvl="1">
      <w:start w:val="1"/>
      <w:numFmt w:val="decimal"/>
      <w:pStyle w:val="1563"/>
      <w:isLgl w:val="false"/>
      <w:suff w:val="tab"/>
      <w:lvlText w:val="%2．"/>
      <w:lvlJc w:val="left"/>
      <w:pPr>
        <w:pStyle w:val="1035"/>
        <w:ind w:left="780" w:hanging="360"/>
        <w:tabs>
          <w:tab w:val="num" w:pos="780" w:leader="none"/>
        </w:tabs>
      </w:pPr>
    </w:lvl>
    <w:lvl w:ilvl="2">
      <w:start w:val="5"/>
      <w:numFmt w:val="japaneseCounting"/>
      <w:isLgl w:val="false"/>
      <w:suff w:val="tab"/>
      <w:lvlText w:val="%3、"/>
      <w:lvlJc w:val="left"/>
      <w:pPr>
        <w:pStyle w:val="1035"/>
        <w:ind w:left="1560" w:hanging="720"/>
        <w:tabs>
          <w:tab w:val="num" w:pos="1560" w:leader="none"/>
        </w:tabs>
      </w:p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1035"/>
        <w:ind w:left="720" w:hanging="720"/>
      </w:pPr>
    </w:lvl>
    <w:lvl w:ilvl="1">
      <w:start w:val="1"/>
      <w:numFmt w:val="lowerLetter"/>
      <w:isLgl w:val="false"/>
      <w:suff w:val="tab"/>
      <w:lvlText w:val="%2)"/>
      <w:lvlJc w:val="left"/>
      <w:pPr>
        <w:pStyle w:val="1035"/>
        <w:ind w:left="840" w:hanging="420"/>
      </w:p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abstractNum w:abstractNumId="10">
    <w:multiLevelType w:val="hybridMultilevel"/>
    <w:lvl w:ilvl="0">
      <w:start w:val="1"/>
      <w:numFmt w:val="chineseCountingThousand"/>
      <w:isLgl w:val="false"/>
      <w:suff w:val="tab"/>
      <w:lvlText w:val="%1. "/>
      <w:legacy w:legacy="1" w:legacyIndent="0" w:legacySpace="0"/>
      <w:lvlJc w:val="left"/>
      <w:pPr>
        <w:pStyle w:val="1035"/>
      </w:pPr>
      <w:rPr>
        <w:sz w:val="32"/>
      </w:rPr>
    </w:lvl>
    <w:lvl w:ilvl="1">
      <w:start w:val="1"/>
      <w:numFmt w:val="decimal"/>
      <w:isLgl w:val="false"/>
      <w:suff w:val="nothing"/>
      <w:lvlText w:val=""/>
      <w:lvlJc w:val="left"/>
      <w:pPr>
        <w:pStyle w:val="1035"/>
      </w:pPr>
    </w:lvl>
    <w:lvl w:ilvl="2">
      <w:start w:val="1"/>
      <w:numFmt w:val="decimal"/>
      <w:isLgl w:val="false"/>
      <w:suff w:val="nothing"/>
      <w:lvlText w:val=""/>
      <w:lvlJc w:val="left"/>
      <w:pPr>
        <w:pStyle w:val="1035"/>
      </w:pPr>
    </w:lvl>
    <w:lvl w:ilvl="3">
      <w:start w:val="1"/>
      <w:numFmt w:val="decimal"/>
      <w:isLgl w:val="false"/>
      <w:suff w:val="nothing"/>
      <w:lvlText w:val=""/>
      <w:lvlJc w:val="left"/>
      <w:pPr>
        <w:pStyle w:val="1035"/>
      </w:pPr>
    </w:lvl>
    <w:lvl w:ilvl="4">
      <w:start w:val="1"/>
      <w:numFmt w:val="decimal"/>
      <w:isLgl w:val="false"/>
      <w:suff w:val="nothing"/>
      <w:lvlText w:val=""/>
      <w:lvlJc w:val="left"/>
      <w:pPr>
        <w:pStyle w:val="1035"/>
      </w:pPr>
    </w:lvl>
    <w:lvl w:ilvl="5">
      <w:start w:val="1"/>
      <w:numFmt w:val="decimal"/>
      <w:isLgl w:val="false"/>
      <w:suff w:val="nothing"/>
      <w:lvlText w:val=""/>
      <w:lvlJc w:val="left"/>
      <w:pPr>
        <w:pStyle w:val="1035"/>
      </w:pPr>
    </w:lvl>
    <w:lvl w:ilvl="6">
      <w:start w:val="1"/>
      <w:numFmt w:val="decimal"/>
      <w:pStyle w:val="1042"/>
      <w:isLgl w:val="false"/>
      <w:suff w:val="nothing"/>
      <w:lvlText w:val=""/>
      <w:lvlJc w:val="left"/>
      <w:pPr>
        <w:pStyle w:val="1035"/>
      </w:pPr>
    </w:lvl>
    <w:lvl w:ilvl="7">
      <w:start w:val="1"/>
      <w:numFmt w:val="decimal"/>
      <w:pStyle w:val="1043"/>
      <w:isLgl w:val="false"/>
      <w:suff w:val="nothing"/>
      <w:lvlText w:val=""/>
      <w:lvlJc w:val="left"/>
      <w:pPr>
        <w:pStyle w:val="1035"/>
      </w:pPr>
    </w:lvl>
    <w:lvl w:ilvl="8">
      <w:start w:val="1"/>
      <w:numFmt w:val="decimal"/>
      <w:pStyle w:val="1044"/>
      <w:isLgl w:val="false"/>
      <w:suff w:val="nothing"/>
      <w:lvlText w:val=""/>
      <w:lvlJc w:val="left"/>
      <w:pPr>
        <w:pStyle w:val="1035"/>
      </w:pPr>
    </w:lvl>
  </w:abstractNum>
  <w:abstractNum w:abstractNumId="11">
    <w:multiLevelType w:val="hybridMultilevel"/>
    <w:lvl w:ilvl="0">
      <w:start w:val="1"/>
      <w:numFmt w:val="bullet"/>
      <w:pStyle w:val="1065"/>
      <w:isLgl w:val="false"/>
      <w:suff w:val="tab"/>
      <w:lvlText w:val=""/>
      <w:lvlJc w:val="left"/>
      <w:pPr>
        <w:pStyle w:val="1035"/>
        <w:ind w:left="360" w:hanging="360"/>
        <w:tabs>
          <w:tab w:val="num" w:pos="360" w:leader="none"/>
        </w:tabs>
      </w:pPr>
      <w:rPr>
        <w:rFonts w:ascii="Wingdings" w:hAnsi="Wingdings"/>
      </w:r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35"/>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13">
    <w:multiLevelType w:val="hybridMultilevel"/>
    <w:lvl w:ilvl="0">
      <w:start w:val="1"/>
      <w:numFmt w:val="decimal"/>
      <w:pStyle w:val="1058"/>
      <w:isLgl w:val="false"/>
      <w:suff w:val="tab"/>
      <w:lvlText w:val="%1."/>
      <w:lvlJc w:val="left"/>
      <w:pPr>
        <w:pStyle w:val="1035"/>
        <w:ind w:left="780" w:hanging="360"/>
        <w:tabs>
          <w:tab w:val="num" w:pos="780" w:leader="none"/>
        </w:tabs>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14">
    <w:multiLevelType w:val="hybridMultilevel"/>
    <w:lvl w:ilvl="0">
      <w:start w:val="0"/>
      <w:numFmt w:val="bullet"/>
      <w:pStyle w:val="1122"/>
      <w:isLgl w:val="false"/>
      <w:suff w:val="tab"/>
      <w:lvlText w:val=""/>
      <w:lvlJc w:val="left"/>
      <w:pPr>
        <w:pStyle w:val="1035"/>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1035"/>
        <w:ind w:left="833" w:hanging="420"/>
        <w:tabs>
          <w:tab w:val="num" w:pos="833" w:leader="none"/>
        </w:tabs>
      </w:pPr>
    </w:lvl>
    <w:lvl w:ilvl="2">
      <w:start w:val="1"/>
      <w:numFmt w:val="decimal"/>
      <w:isLgl w:val="false"/>
      <w:suff w:val="tab"/>
      <w:lvlText w:val="%3、"/>
      <w:lvlJc w:val="left"/>
      <w:pPr>
        <w:pStyle w:val="1035"/>
        <w:ind w:left="1389" w:hanging="556"/>
        <w:tabs>
          <w:tab w:val="num" w:pos="1389" w:leader="none"/>
        </w:tabs>
      </w:pPr>
    </w:lvl>
    <w:lvl w:ilvl="3">
      <w:start w:val="1"/>
      <w:numFmt w:val="bullet"/>
      <w:isLgl w:val="false"/>
      <w:suff w:val="tab"/>
      <w:lvlText w:val=""/>
      <w:lvlJc w:val="left"/>
      <w:pPr>
        <w:pStyle w:val="1035"/>
        <w:ind w:left="1673" w:hanging="420"/>
        <w:tabs>
          <w:tab w:val="num" w:pos="1673" w:leader="none"/>
        </w:tabs>
      </w:pPr>
      <w:rPr>
        <w:rFonts w:ascii="Wingdings" w:hAnsi="Wingdings"/>
      </w:rPr>
    </w:lvl>
    <w:lvl w:ilvl="4">
      <w:start w:val="1"/>
      <w:numFmt w:val="bullet"/>
      <w:isLgl w:val="false"/>
      <w:suff w:val="tab"/>
      <w:lvlText w:val=""/>
      <w:lvlJc w:val="left"/>
      <w:pPr>
        <w:pStyle w:val="1035"/>
        <w:ind w:left="2093" w:hanging="420"/>
        <w:tabs>
          <w:tab w:val="num" w:pos="2093" w:leader="none"/>
        </w:tabs>
      </w:pPr>
      <w:rPr>
        <w:rFonts w:ascii="Wingdings" w:hAnsi="Wingdings"/>
      </w:rPr>
    </w:lvl>
    <w:lvl w:ilvl="5">
      <w:start w:val="1"/>
      <w:numFmt w:val="bullet"/>
      <w:isLgl w:val="false"/>
      <w:suff w:val="tab"/>
      <w:lvlText w:val=""/>
      <w:lvlJc w:val="left"/>
      <w:pPr>
        <w:pStyle w:val="1035"/>
        <w:ind w:left="2513" w:hanging="420"/>
        <w:tabs>
          <w:tab w:val="num" w:pos="2513" w:leader="none"/>
        </w:tabs>
      </w:pPr>
      <w:rPr>
        <w:rFonts w:ascii="Wingdings" w:hAnsi="Wingdings"/>
      </w:rPr>
    </w:lvl>
    <w:lvl w:ilvl="6">
      <w:start w:val="1"/>
      <w:numFmt w:val="bullet"/>
      <w:isLgl w:val="false"/>
      <w:suff w:val="tab"/>
      <w:lvlText w:val=""/>
      <w:lvlJc w:val="left"/>
      <w:pPr>
        <w:pStyle w:val="1035"/>
        <w:ind w:left="2933" w:hanging="420"/>
        <w:tabs>
          <w:tab w:val="num" w:pos="2933" w:leader="none"/>
        </w:tabs>
      </w:pPr>
      <w:rPr>
        <w:rFonts w:ascii="Wingdings" w:hAnsi="Wingdings"/>
      </w:rPr>
    </w:lvl>
    <w:lvl w:ilvl="7">
      <w:start w:val="1"/>
      <w:numFmt w:val="bullet"/>
      <w:isLgl w:val="false"/>
      <w:suff w:val="tab"/>
      <w:lvlText w:val=""/>
      <w:lvlJc w:val="left"/>
      <w:pPr>
        <w:pStyle w:val="1035"/>
        <w:ind w:left="3353" w:hanging="420"/>
        <w:tabs>
          <w:tab w:val="num" w:pos="3353" w:leader="none"/>
        </w:tabs>
      </w:pPr>
      <w:rPr>
        <w:rFonts w:ascii="Wingdings" w:hAnsi="Wingdings"/>
      </w:rPr>
    </w:lvl>
    <w:lvl w:ilvl="8">
      <w:start w:val="1"/>
      <w:numFmt w:val="bullet"/>
      <w:isLgl w:val="false"/>
      <w:suff w:val="tab"/>
      <w:lvlText w:val=""/>
      <w:lvlJc w:val="left"/>
      <w:pPr>
        <w:pStyle w:val="1035"/>
        <w:ind w:left="3773" w:hanging="420"/>
        <w:tabs>
          <w:tab w:val="num" w:pos="3773" w:leader="none"/>
        </w:tabs>
      </w:pPr>
      <w:rPr>
        <w:rFonts w:ascii="Wingdings" w:hAnsi="Wingdings"/>
      </w:rPr>
    </w:lvl>
  </w:abstractNum>
  <w:abstractNum w:abstractNumId="15">
    <w:multiLevelType w:val="hybridMultilevel"/>
    <w:lvl w:ilvl="0">
      <w:start w:val="1"/>
      <w:numFmt w:val="decimal"/>
      <w:pStyle w:val="1613"/>
      <w:isLgl w:val="false"/>
      <w:suff w:val="tab"/>
      <w:lvlText w:val="%1）"/>
      <w:lvlJc w:val="left"/>
      <w:pPr>
        <w:pStyle w:val="1035"/>
        <w:ind w:left="360" w:hanging="360"/>
        <w:tabs>
          <w:tab w:val="num" w:pos="360" w:leader="none"/>
        </w:tabs>
      </w:pPr>
      <w:rPr>
        <w:rFonts w:hint="eastAsia"/>
      </w:rPr>
    </w:lvl>
    <w:lvl w:ilvl="1">
      <w:start w:val="1"/>
      <w:numFmt w:val="lowerLetter"/>
      <w:isLgl w:val="false"/>
      <w:suff w:val="tab"/>
      <w:lvlText w:val="%2)"/>
      <w:lvlJc w:val="left"/>
      <w:pPr>
        <w:pStyle w:val="1035"/>
        <w:ind w:left="840" w:hanging="420"/>
        <w:tabs>
          <w:tab w:val="num" w:pos="840" w:leader="none"/>
        </w:tabs>
      </w:pPr>
    </w:lvl>
    <w:lvl w:ilvl="2">
      <w:start w:val="1"/>
      <w:numFmt w:val="lowerRoman"/>
      <w:isLgl w:val="false"/>
      <w:suff w:val="tab"/>
      <w:lvlText w:val="%3."/>
      <w:lvlJc w:val="right"/>
      <w:pPr>
        <w:pStyle w:val="1035"/>
        <w:ind w:left="1260" w:hanging="420"/>
        <w:tabs>
          <w:tab w:val="num" w:pos="1260" w:leader="none"/>
        </w:tabs>
      </w:p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16">
    <w:multiLevelType w:val="hybridMultilevel"/>
    <w:lvl w:ilvl="0">
      <w:start w:val="1"/>
      <w:numFmt w:val="chineseCounting"/>
      <w:isLgl w:val="false"/>
      <w:suff w:val="nothing"/>
      <w:lvlText w:val="（%1）"/>
      <w:lvlJc w:val="left"/>
      <w:pPr>
        <w:pStyle w:val="10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pStyle w:val="1182"/>
      <w:isLgl w:val="false"/>
      <w:suff w:val="nothing"/>
      <w:lvlText w:val="%1、"/>
      <w:lvlJc w:val="left"/>
      <w:pPr>
        <w:pStyle w:val="10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pStyle w:val="1035"/>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19">
    <w:multiLevelType w:val="hybridMultilevel"/>
    <w:lvl w:ilvl="0">
      <w:start w:val="1"/>
      <w:numFmt w:val="decimal"/>
      <w:pStyle w:val="1077"/>
      <w:isLgl w:val="false"/>
      <w:suff w:val="tab"/>
      <w:lvlText w:val="%1."/>
      <w:lvlJc w:val="left"/>
      <w:pPr>
        <w:pStyle w:val="1035"/>
        <w:ind w:left="1200" w:hanging="360"/>
        <w:tabs>
          <w:tab w:val="num" w:pos="1200" w:leader="none"/>
        </w:tabs>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35"/>
        <w:ind w:left="240" w:hanging="240"/>
        <w:tabs>
          <w:tab w:val="num" w:pos="240" w:leader="none"/>
        </w:tabs>
      </w:pPr>
      <w:rPr>
        <w:rFonts w:hint="eastAsia"/>
      </w:r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pStyle w:val="1567"/>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035"/>
        <w:ind w:left="420" w:hanging="420"/>
      </w:pPr>
      <w:rPr>
        <w:b w:val="0"/>
      </w:rPr>
    </w:lvl>
    <w:lvl w:ilvl="1">
      <w:start w:val="1"/>
      <w:numFmt w:val="lowerLetter"/>
      <w:pStyle w:val="1600"/>
      <w:isLgl w:val="false"/>
      <w:suff w:val="tab"/>
      <w:lvlText w:val="%2)"/>
      <w:lvlJc w:val="left"/>
      <w:pPr>
        <w:pStyle w:val="1035"/>
        <w:ind w:left="840" w:hanging="420"/>
      </w:pPr>
    </w:lvl>
    <w:lvl w:ilvl="2">
      <w:start w:val="1"/>
      <w:numFmt w:val="lowerRoman"/>
      <w:isLgl w:val="false"/>
      <w:suff w:val="tab"/>
      <w:lvlText w:val="%3."/>
      <w:lvlJc w:val="right"/>
      <w:pPr>
        <w:pStyle w:val="1035"/>
        <w:ind w:left="1260" w:hanging="420"/>
      </w:pPr>
    </w:lvl>
    <w:lvl w:ilvl="3">
      <w:start w:val="1"/>
      <w:numFmt w:val="decimal"/>
      <w:isLgl w:val="false"/>
      <w:suff w:val="tab"/>
      <w:lvlText w:val="%4."/>
      <w:lvlJc w:val="left"/>
      <w:pPr>
        <w:pStyle w:val="1035"/>
        <w:ind w:left="1680" w:hanging="420"/>
      </w:pPr>
    </w:lvl>
    <w:lvl w:ilvl="4">
      <w:start w:val="1"/>
      <w:numFmt w:val="lowerLetter"/>
      <w:isLgl w:val="false"/>
      <w:suff w:val="tab"/>
      <w:lvlText w:val="%5)"/>
      <w:lvlJc w:val="left"/>
      <w:pPr>
        <w:pStyle w:val="1035"/>
        <w:ind w:left="2100" w:hanging="420"/>
      </w:pPr>
    </w:lvl>
    <w:lvl w:ilvl="5">
      <w:start w:val="1"/>
      <w:numFmt w:val="lowerRoman"/>
      <w:isLgl w:val="false"/>
      <w:suff w:val="tab"/>
      <w:lvlText w:val="%6."/>
      <w:lvlJc w:val="right"/>
      <w:pPr>
        <w:pStyle w:val="1035"/>
        <w:ind w:left="2520" w:hanging="420"/>
      </w:pPr>
    </w:lvl>
    <w:lvl w:ilvl="6">
      <w:start w:val="1"/>
      <w:numFmt w:val="decimal"/>
      <w:isLgl w:val="false"/>
      <w:suff w:val="tab"/>
      <w:lvlText w:val="%7."/>
      <w:lvlJc w:val="left"/>
      <w:pPr>
        <w:pStyle w:val="1035"/>
        <w:ind w:left="2940" w:hanging="420"/>
      </w:pPr>
    </w:lvl>
    <w:lvl w:ilvl="7">
      <w:start w:val="1"/>
      <w:numFmt w:val="lowerLetter"/>
      <w:isLgl w:val="false"/>
      <w:suff w:val="tab"/>
      <w:lvlText w:val="%8)"/>
      <w:lvlJc w:val="left"/>
      <w:pPr>
        <w:pStyle w:val="1035"/>
        <w:ind w:left="3360" w:hanging="420"/>
      </w:pPr>
    </w:lvl>
    <w:lvl w:ilvl="8">
      <w:start w:val="1"/>
      <w:numFmt w:val="lowerRoman"/>
      <w:isLgl w:val="false"/>
      <w:suff w:val="tab"/>
      <w:lvlText w:val="%9."/>
      <w:lvlJc w:val="right"/>
      <w:pPr>
        <w:pStyle w:val="1035"/>
        <w:ind w:left="3780" w:hanging="420"/>
      </w:pPr>
    </w:lvl>
  </w:abstractNum>
  <w:num w:numId="1">
    <w:abstractNumId w:val="10"/>
  </w:num>
  <w:num w:numId="2">
    <w:abstractNumId w:val="13"/>
  </w:num>
  <w:num w:numId="3">
    <w:abstractNumId w:val="6"/>
  </w:num>
  <w:num w:numId="4">
    <w:abstractNumId w:val="11"/>
  </w:num>
  <w:num w:numId="5">
    <w:abstractNumId w:val="19"/>
  </w:num>
  <w:num w:numId="6">
    <w:abstractNumId w:val="2"/>
  </w:num>
  <w:num w:numId="7">
    <w:abstractNumId w:val="0"/>
  </w:num>
  <w:num w:numId="8">
    <w:abstractNumId w:val="14"/>
  </w:num>
  <w:num w:numId="9">
    <w:abstractNumId w:val="17"/>
  </w:num>
  <w:num w:numId="10">
    <w:abstractNumId w:val="8"/>
  </w:num>
  <w:num w:numId="11">
    <w:abstractNumId w:val="20"/>
  </w:num>
  <w:num w:numId="12">
    <w:abstractNumId w:val="1"/>
  </w:num>
  <w:num w:numId="13">
    <w:abstractNumId w:val="5"/>
  </w:num>
  <w:num w:numId="14">
    <w:abstractNumId w:val="21"/>
  </w:num>
  <w:num w:numId="15">
    <w:abstractNumId w:val="15"/>
  </w:num>
  <w:num w:numId="16">
    <w:abstractNumId w:val="7"/>
  </w:num>
  <w:num w:numId="17">
    <w:abstractNumId w:val="3"/>
  </w:num>
  <w:num w:numId="18">
    <w:abstractNumId w:val="16"/>
  </w:num>
  <w:num w:numId="19">
    <w:abstractNumId w:val="9"/>
  </w:num>
  <w:num w:numId="20">
    <w:abstractNumId w:val="12"/>
  </w:num>
  <w:num w:numId="21">
    <w:abstractNumId w:val="18"/>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0">
    <w:name w:val="Heading 1"/>
    <w:basedOn w:val="1035"/>
    <w:next w:val="1035"/>
    <w:link w:val="1492"/>
    <w:uiPriority w:val="9"/>
    <w:qFormat/>
    <w:pPr>
      <w:keepLines/>
      <w:keepNext/>
      <w:spacing w:before="480" w:after="200"/>
      <w:outlineLvl w:val="0"/>
    </w:pPr>
    <w:rPr>
      <w:rFonts w:ascii="Arial" w:hAnsi="Arial" w:eastAsia="Arial" w:cs="Arial"/>
      <w:sz w:val="40"/>
      <w:szCs w:val="40"/>
    </w:rPr>
  </w:style>
  <w:style w:type="paragraph" w:styleId="981">
    <w:name w:val="Heading 2"/>
    <w:basedOn w:val="1035"/>
    <w:next w:val="1035"/>
    <w:link w:val="1409"/>
    <w:uiPriority w:val="9"/>
    <w:unhideWhenUsed/>
    <w:qFormat/>
    <w:pPr>
      <w:keepLines/>
      <w:keepNext/>
      <w:spacing w:before="360" w:after="200"/>
      <w:outlineLvl w:val="1"/>
    </w:pPr>
    <w:rPr>
      <w:rFonts w:ascii="Arial" w:hAnsi="Arial" w:eastAsia="Arial" w:cs="Arial"/>
      <w:sz w:val="34"/>
    </w:rPr>
  </w:style>
  <w:style w:type="paragraph" w:styleId="982">
    <w:name w:val="Heading 3"/>
    <w:basedOn w:val="1035"/>
    <w:next w:val="1035"/>
    <w:link w:val="1428"/>
    <w:uiPriority w:val="9"/>
    <w:unhideWhenUsed/>
    <w:qFormat/>
    <w:pPr>
      <w:keepLines/>
      <w:keepNext/>
      <w:spacing w:before="320" w:after="200"/>
      <w:outlineLvl w:val="2"/>
    </w:pPr>
    <w:rPr>
      <w:rFonts w:ascii="Arial" w:hAnsi="Arial" w:eastAsia="Arial" w:cs="Arial"/>
      <w:sz w:val="30"/>
      <w:szCs w:val="30"/>
    </w:rPr>
  </w:style>
  <w:style w:type="paragraph" w:styleId="983">
    <w:name w:val="Heading 4"/>
    <w:basedOn w:val="1035"/>
    <w:next w:val="1035"/>
    <w:link w:val="1513"/>
    <w:uiPriority w:val="9"/>
    <w:unhideWhenUsed/>
    <w:qFormat/>
    <w:pPr>
      <w:keepLines/>
      <w:keepNext/>
      <w:spacing w:before="320" w:after="200"/>
      <w:outlineLvl w:val="3"/>
    </w:pPr>
    <w:rPr>
      <w:rFonts w:ascii="Arial" w:hAnsi="Arial" w:eastAsia="Arial" w:cs="Arial"/>
      <w:b/>
      <w:bCs/>
      <w:sz w:val="26"/>
      <w:szCs w:val="26"/>
    </w:rPr>
  </w:style>
  <w:style w:type="paragraph" w:styleId="984">
    <w:name w:val="Heading 5"/>
    <w:basedOn w:val="1035"/>
    <w:next w:val="1035"/>
    <w:link w:val="1371"/>
    <w:uiPriority w:val="9"/>
    <w:unhideWhenUsed/>
    <w:qFormat/>
    <w:pPr>
      <w:keepLines/>
      <w:keepNext/>
      <w:spacing w:before="320" w:after="200"/>
      <w:outlineLvl w:val="4"/>
    </w:pPr>
    <w:rPr>
      <w:rFonts w:ascii="Arial" w:hAnsi="Arial" w:eastAsia="Arial" w:cs="Arial"/>
      <w:b/>
      <w:bCs/>
      <w:sz w:val="24"/>
      <w:szCs w:val="24"/>
    </w:rPr>
  </w:style>
  <w:style w:type="paragraph" w:styleId="985">
    <w:name w:val="Heading 6"/>
    <w:basedOn w:val="1035"/>
    <w:next w:val="1035"/>
    <w:link w:val="1206"/>
    <w:uiPriority w:val="9"/>
    <w:unhideWhenUsed/>
    <w:qFormat/>
    <w:pPr>
      <w:keepLines/>
      <w:keepNext/>
      <w:spacing w:before="320" w:after="200"/>
      <w:outlineLvl w:val="5"/>
    </w:pPr>
    <w:rPr>
      <w:rFonts w:ascii="Arial" w:hAnsi="Arial" w:eastAsia="Arial" w:cs="Arial"/>
      <w:b/>
      <w:bCs/>
      <w:sz w:val="22"/>
      <w:szCs w:val="22"/>
    </w:rPr>
  </w:style>
  <w:style w:type="paragraph" w:styleId="986">
    <w:name w:val="Heading 7"/>
    <w:basedOn w:val="1035"/>
    <w:next w:val="1035"/>
    <w:link w:val="1207"/>
    <w:uiPriority w:val="9"/>
    <w:unhideWhenUsed/>
    <w:qFormat/>
    <w:pPr>
      <w:keepLines/>
      <w:keepNext/>
      <w:spacing w:before="320" w:after="200"/>
      <w:outlineLvl w:val="6"/>
    </w:pPr>
    <w:rPr>
      <w:rFonts w:ascii="Arial" w:hAnsi="Arial" w:eastAsia="Arial" w:cs="Arial"/>
      <w:b/>
      <w:bCs/>
      <w:i/>
      <w:iCs/>
      <w:sz w:val="22"/>
      <w:szCs w:val="22"/>
    </w:rPr>
  </w:style>
  <w:style w:type="paragraph" w:styleId="987">
    <w:name w:val="Heading 8"/>
    <w:basedOn w:val="1035"/>
    <w:next w:val="1035"/>
    <w:link w:val="1208"/>
    <w:uiPriority w:val="9"/>
    <w:unhideWhenUsed/>
    <w:qFormat/>
    <w:pPr>
      <w:keepLines/>
      <w:keepNext/>
      <w:spacing w:before="320" w:after="200"/>
      <w:outlineLvl w:val="7"/>
    </w:pPr>
    <w:rPr>
      <w:rFonts w:ascii="Arial" w:hAnsi="Arial" w:eastAsia="Arial" w:cs="Arial"/>
      <w:i/>
      <w:iCs/>
      <w:sz w:val="22"/>
      <w:szCs w:val="22"/>
    </w:rPr>
  </w:style>
  <w:style w:type="paragraph" w:styleId="988">
    <w:name w:val="Heading 9"/>
    <w:basedOn w:val="1035"/>
    <w:next w:val="1035"/>
    <w:link w:val="1209"/>
    <w:uiPriority w:val="9"/>
    <w:unhideWhenUsed/>
    <w:qFormat/>
    <w:pPr>
      <w:keepLines/>
      <w:keepNext/>
      <w:spacing w:before="320" w:after="200"/>
      <w:outlineLvl w:val="8"/>
    </w:pPr>
    <w:rPr>
      <w:rFonts w:ascii="Arial" w:hAnsi="Arial" w:eastAsia="Arial" w:cs="Arial"/>
      <w:i/>
      <w:iCs/>
      <w:sz w:val="21"/>
      <w:szCs w:val="21"/>
    </w:rPr>
  </w:style>
  <w:style w:type="paragraph" w:styleId="989">
    <w:name w:val="List Paragraph"/>
    <w:basedOn w:val="1035"/>
    <w:uiPriority w:val="34"/>
    <w:qFormat/>
    <w:pPr>
      <w:contextualSpacing/>
      <w:ind w:left="720"/>
    </w:pPr>
  </w:style>
  <w:style w:type="paragraph" w:styleId="990">
    <w:name w:val="No Spacing"/>
    <w:uiPriority w:val="1"/>
    <w:qFormat/>
    <w:pPr>
      <w:spacing w:before="0" w:after="0" w:line="240" w:lineRule="auto"/>
    </w:pPr>
  </w:style>
  <w:style w:type="paragraph" w:styleId="991">
    <w:name w:val="Title"/>
    <w:basedOn w:val="1035"/>
    <w:next w:val="1035"/>
    <w:link w:val="1381"/>
    <w:uiPriority w:val="10"/>
    <w:qFormat/>
    <w:pPr>
      <w:contextualSpacing/>
      <w:spacing w:before="300" w:after="200"/>
    </w:pPr>
    <w:rPr>
      <w:sz w:val="48"/>
      <w:szCs w:val="48"/>
    </w:rPr>
  </w:style>
  <w:style w:type="paragraph" w:styleId="992">
    <w:name w:val="Subtitle"/>
    <w:basedOn w:val="1035"/>
    <w:next w:val="1035"/>
    <w:link w:val="1210"/>
    <w:uiPriority w:val="11"/>
    <w:qFormat/>
    <w:pPr>
      <w:spacing w:before="200" w:after="200"/>
    </w:pPr>
    <w:rPr>
      <w:sz w:val="24"/>
      <w:szCs w:val="24"/>
    </w:rPr>
  </w:style>
  <w:style w:type="paragraph" w:styleId="993">
    <w:name w:val="Quote"/>
    <w:basedOn w:val="1035"/>
    <w:next w:val="1035"/>
    <w:link w:val="1213"/>
    <w:uiPriority w:val="29"/>
    <w:qFormat/>
    <w:pPr>
      <w:ind w:left="720" w:right="720"/>
    </w:pPr>
    <w:rPr>
      <w:i/>
    </w:rPr>
  </w:style>
  <w:style w:type="paragraph" w:styleId="994">
    <w:name w:val="Intense Quote"/>
    <w:basedOn w:val="1035"/>
    <w:next w:val="1035"/>
    <w:link w:val="12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5">
    <w:name w:val="Header"/>
    <w:basedOn w:val="1035"/>
    <w:link w:val="1399"/>
    <w:uiPriority w:val="99"/>
    <w:unhideWhenUsed/>
    <w:pPr>
      <w:spacing w:after="0" w:line="240" w:lineRule="auto"/>
      <w:tabs>
        <w:tab w:val="center" w:pos="7143" w:leader="none"/>
        <w:tab w:val="right" w:pos="14287" w:leader="none"/>
      </w:tabs>
    </w:pPr>
  </w:style>
  <w:style w:type="paragraph" w:styleId="996">
    <w:name w:val="Footer"/>
    <w:basedOn w:val="1035"/>
    <w:link w:val="1217"/>
    <w:uiPriority w:val="99"/>
    <w:unhideWhenUsed/>
    <w:pPr>
      <w:spacing w:after="0" w:line="240" w:lineRule="auto"/>
      <w:tabs>
        <w:tab w:val="center" w:pos="7143" w:leader="none"/>
        <w:tab w:val="right" w:pos="14287" w:leader="none"/>
      </w:tabs>
    </w:pPr>
  </w:style>
  <w:style w:type="paragraph" w:styleId="997">
    <w:name w:val="Caption"/>
    <w:basedOn w:val="1035"/>
    <w:next w:val="1035"/>
    <w:uiPriority w:val="35"/>
    <w:semiHidden/>
    <w:unhideWhenUsed/>
    <w:qFormat/>
    <w:pPr>
      <w:spacing w:line="276" w:lineRule="auto"/>
    </w:pPr>
    <w:rPr>
      <w:b/>
      <w:bCs/>
      <w:color w:val="4f81bd" w:themeColor="accent1"/>
      <w:sz w:val="18"/>
      <w:szCs w:val="18"/>
    </w:rPr>
  </w:style>
  <w:style w:type="table" w:styleId="9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18">
    <w:name w:val="Hyperlink"/>
    <w:uiPriority w:val="99"/>
    <w:unhideWhenUsed/>
    <w:rPr>
      <w:color w:val="0000ff" w:themeColor="hyperlink"/>
      <w:u w:val="single"/>
    </w:rPr>
  </w:style>
  <w:style w:type="paragraph" w:styleId="1019">
    <w:name w:val="footnote text"/>
    <w:basedOn w:val="1035"/>
    <w:link w:val="1472"/>
    <w:uiPriority w:val="99"/>
    <w:semiHidden/>
    <w:unhideWhenUsed/>
    <w:pPr>
      <w:spacing w:after="40" w:line="240" w:lineRule="auto"/>
    </w:pPr>
    <w:rPr>
      <w:sz w:val="18"/>
    </w:rPr>
  </w:style>
  <w:style w:type="character" w:styleId="1020">
    <w:name w:val="footnote reference"/>
    <w:uiPriority w:val="99"/>
    <w:unhideWhenUsed/>
    <w:rPr>
      <w:vertAlign w:val="superscript"/>
    </w:rPr>
  </w:style>
  <w:style w:type="paragraph" w:styleId="1021">
    <w:name w:val="endnote text"/>
    <w:basedOn w:val="1035"/>
    <w:link w:val="1022"/>
    <w:uiPriority w:val="99"/>
    <w:semiHidden/>
    <w:unhideWhenUsed/>
    <w:pPr>
      <w:spacing w:after="0" w:line="240" w:lineRule="auto"/>
    </w:pPr>
    <w:rPr>
      <w:sz w:val="20"/>
    </w:rPr>
  </w:style>
  <w:style w:type="character" w:styleId="1022">
    <w:name w:val="Endnote Text Char"/>
    <w:link w:val="1021"/>
    <w:uiPriority w:val="99"/>
    <w:rPr>
      <w:sz w:val="20"/>
    </w:rPr>
  </w:style>
  <w:style w:type="character" w:styleId="1023">
    <w:name w:val="endnote reference"/>
    <w:uiPriority w:val="99"/>
    <w:semiHidden/>
    <w:unhideWhenUsed/>
    <w:rPr>
      <w:vertAlign w:val="superscript"/>
    </w:rPr>
  </w:style>
  <w:style w:type="paragraph" w:styleId="1024">
    <w:name w:val="toc 1"/>
    <w:basedOn w:val="1035"/>
    <w:next w:val="1035"/>
    <w:uiPriority w:val="39"/>
    <w:unhideWhenUsed/>
    <w:pPr>
      <w:ind w:left="0" w:right="0" w:firstLine="0"/>
      <w:spacing w:after="57"/>
    </w:pPr>
  </w:style>
  <w:style w:type="paragraph" w:styleId="1025">
    <w:name w:val="toc 2"/>
    <w:basedOn w:val="1035"/>
    <w:next w:val="1035"/>
    <w:uiPriority w:val="39"/>
    <w:unhideWhenUsed/>
    <w:pPr>
      <w:ind w:left="283" w:right="0" w:firstLine="0"/>
      <w:spacing w:after="57"/>
    </w:pPr>
  </w:style>
  <w:style w:type="paragraph" w:styleId="1026">
    <w:name w:val="toc 3"/>
    <w:basedOn w:val="1035"/>
    <w:next w:val="1035"/>
    <w:uiPriority w:val="39"/>
    <w:unhideWhenUsed/>
    <w:pPr>
      <w:ind w:left="567" w:right="0" w:firstLine="0"/>
      <w:spacing w:after="57"/>
    </w:pPr>
  </w:style>
  <w:style w:type="paragraph" w:styleId="1027">
    <w:name w:val="toc 4"/>
    <w:basedOn w:val="1035"/>
    <w:next w:val="1035"/>
    <w:uiPriority w:val="39"/>
    <w:unhideWhenUsed/>
    <w:pPr>
      <w:ind w:left="850" w:right="0" w:firstLine="0"/>
      <w:spacing w:after="57"/>
    </w:pPr>
  </w:style>
  <w:style w:type="paragraph" w:styleId="1028">
    <w:name w:val="toc 5"/>
    <w:basedOn w:val="1035"/>
    <w:next w:val="1035"/>
    <w:uiPriority w:val="39"/>
    <w:unhideWhenUsed/>
    <w:pPr>
      <w:ind w:left="1134" w:right="0" w:firstLine="0"/>
      <w:spacing w:after="57"/>
    </w:pPr>
  </w:style>
  <w:style w:type="paragraph" w:styleId="1029">
    <w:name w:val="toc 6"/>
    <w:basedOn w:val="1035"/>
    <w:next w:val="1035"/>
    <w:uiPriority w:val="39"/>
    <w:unhideWhenUsed/>
    <w:pPr>
      <w:ind w:left="1417" w:right="0" w:firstLine="0"/>
      <w:spacing w:after="57"/>
    </w:pPr>
  </w:style>
  <w:style w:type="paragraph" w:styleId="1030">
    <w:name w:val="toc 7"/>
    <w:basedOn w:val="1035"/>
    <w:next w:val="1035"/>
    <w:uiPriority w:val="39"/>
    <w:unhideWhenUsed/>
    <w:pPr>
      <w:ind w:left="1701" w:right="0" w:firstLine="0"/>
      <w:spacing w:after="57"/>
    </w:pPr>
  </w:style>
  <w:style w:type="paragraph" w:styleId="1031">
    <w:name w:val="toc 8"/>
    <w:basedOn w:val="1035"/>
    <w:next w:val="1035"/>
    <w:uiPriority w:val="39"/>
    <w:unhideWhenUsed/>
    <w:pPr>
      <w:ind w:left="1984" w:right="0" w:firstLine="0"/>
      <w:spacing w:after="57"/>
    </w:pPr>
  </w:style>
  <w:style w:type="paragraph" w:styleId="1032">
    <w:name w:val="toc 9"/>
    <w:basedOn w:val="1035"/>
    <w:next w:val="1035"/>
    <w:uiPriority w:val="39"/>
    <w:unhideWhenUsed/>
    <w:pPr>
      <w:ind w:left="2268" w:right="0" w:firstLine="0"/>
      <w:spacing w:after="57"/>
    </w:pPr>
  </w:style>
  <w:style w:type="paragraph" w:styleId="1033">
    <w:name w:val="TOC Heading"/>
    <w:uiPriority w:val="39"/>
    <w:unhideWhenUsed/>
  </w:style>
  <w:style w:type="paragraph" w:styleId="1034">
    <w:name w:val="table of figures"/>
    <w:basedOn w:val="1035"/>
    <w:next w:val="1035"/>
    <w:uiPriority w:val="99"/>
    <w:unhideWhenUsed/>
    <w:pPr>
      <w:spacing w:after="0" w:afterAutospacing="0"/>
    </w:pPr>
  </w:style>
  <w:style w:type="paragraph" w:styleId="1035" w:default="1">
    <w:name w:val="Normal"/>
    <w:next w:val="1035"/>
    <w:link w:val="1035"/>
    <w:qFormat/>
    <w:pPr>
      <w:jc w:val="both"/>
      <w:widowControl w:val="off"/>
    </w:pPr>
    <w:rPr>
      <w:sz w:val="21"/>
      <w:szCs w:val="22"/>
      <w:lang w:val="en-US" w:eastAsia="zh-CN" w:bidi="ar-SA"/>
    </w:rPr>
  </w:style>
  <w:style w:type="paragraph" w:styleId="1036">
    <w:name w:val="标题 1"/>
    <w:basedOn w:val="1035"/>
    <w:next w:val="1035"/>
    <w:link w:val="1047"/>
    <w:uiPriority w:val="9"/>
    <w:qFormat/>
    <w:pPr>
      <w:keepLines/>
      <w:keepNext/>
      <w:spacing w:before="340" w:after="330" w:line="578" w:lineRule="auto"/>
      <w:outlineLvl w:val="0"/>
    </w:pPr>
    <w:rPr>
      <w:b/>
      <w:bCs/>
      <w:sz w:val="44"/>
      <w:szCs w:val="44"/>
    </w:rPr>
  </w:style>
  <w:style w:type="paragraph" w:styleId="1037">
    <w:name w:val="标题 2"/>
    <w:basedOn w:val="1035"/>
    <w:next w:val="1035"/>
    <w:link w:val="1048"/>
    <w:uiPriority w:val="9"/>
    <w:qFormat/>
    <w:pPr>
      <w:keepLines/>
      <w:keepNext/>
      <w:spacing w:before="260" w:after="260" w:line="416" w:lineRule="auto"/>
      <w:outlineLvl w:val="1"/>
    </w:pPr>
    <w:rPr>
      <w:rFonts w:ascii="Cambria" w:hAnsi="Cambria"/>
      <w:b/>
      <w:bCs/>
      <w:sz w:val="32"/>
      <w:szCs w:val="32"/>
    </w:rPr>
  </w:style>
  <w:style w:type="paragraph" w:styleId="1038">
    <w:name w:val="标题 3"/>
    <w:basedOn w:val="1035"/>
    <w:next w:val="1035"/>
    <w:link w:val="1049"/>
    <w:uiPriority w:val="9"/>
    <w:qFormat/>
    <w:pPr>
      <w:jc w:val="left"/>
      <w:outlineLvl w:val="2"/>
    </w:pPr>
    <w:rPr>
      <w:rFonts w:ascii="宋体" w:hAnsi="宋体"/>
      <w:b/>
      <w:szCs w:val="21"/>
    </w:rPr>
  </w:style>
  <w:style w:type="paragraph" w:styleId="1039">
    <w:name w:val="标题 4"/>
    <w:basedOn w:val="1035"/>
    <w:next w:val="1035"/>
    <w:link w:val="1050"/>
    <w:uiPriority w:val="9"/>
    <w:qFormat/>
    <w:pPr>
      <w:keepLines/>
      <w:keepNext/>
      <w:spacing w:before="280" w:after="290" w:line="376" w:lineRule="auto"/>
      <w:outlineLvl w:val="3"/>
    </w:pPr>
    <w:rPr>
      <w:rFonts w:ascii="Cambria" w:hAnsi="Cambria"/>
      <w:b/>
      <w:bCs/>
      <w:sz w:val="28"/>
      <w:szCs w:val="28"/>
    </w:rPr>
  </w:style>
  <w:style w:type="paragraph" w:styleId="1040">
    <w:name w:val="标题 5"/>
    <w:basedOn w:val="1035"/>
    <w:next w:val="1035"/>
    <w:link w:val="1051"/>
    <w:uiPriority w:val="9"/>
    <w:qFormat/>
    <w:pPr>
      <w:spacing w:before="240" w:after="60"/>
      <w:outlineLvl w:val="4"/>
    </w:pPr>
    <w:rPr>
      <w:b/>
      <w:bCs/>
      <w:i/>
      <w:iCs/>
      <w:sz w:val="26"/>
      <w:szCs w:val="26"/>
    </w:rPr>
  </w:style>
  <w:style w:type="paragraph" w:styleId="1041">
    <w:name w:val="标题 6"/>
    <w:basedOn w:val="1035"/>
    <w:next w:val="1035"/>
    <w:link w:val="1052"/>
    <w:uiPriority w:val="9"/>
    <w:qFormat/>
    <w:pPr>
      <w:keepLines/>
      <w:keepNext/>
      <w:spacing w:before="240" w:after="64" w:line="320" w:lineRule="auto"/>
      <w:outlineLvl w:val="5"/>
    </w:pPr>
    <w:rPr>
      <w:rFonts w:ascii="Arial" w:hAnsi="Arial" w:eastAsia="黑体"/>
      <w:b/>
      <w:bCs/>
      <w:sz w:val="24"/>
      <w:szCs w:val="24"/>
    </w:rPr>
  </w:style>
  <w:style w:type="paragraph" w:styleId="1042">
    <w:name w:val="标题 7"/>
    <w:basedOn w:val="1035"/>
    <w:next w:val="1035"/>
    <w:link w:val="1053"/>
    <w:uiPriority w:val="9"/>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1043">
    <w:name w:val="标题 8"/>
    <w:basedOn w:val="1035"/>
    <w:next w:val="1035"/>
    <w:link w:val="1054"/>
    <w:uiPriority w:val="9"/>
    <w:qFormat/>
    <w:pPr>
      <w:numPr>
        <w:ilvl w:val="7"/>
        <w:numId w:val="1"/>
      </w:numPr>
      <w:keepLines/>
      <w:keepNext/>
      <w:spacing w:before="240" w:after="64" w:line="320" w:lineRule="atLeast"/>
      <w:outlineLvl w:val="7"/>
    </w:pPr>
    <w:rPr>
      <w:rFonts w:ascii="Arial" w:hAnsi="Arial" w:eastAsia="黑体"/>
      <w:sz w:val="24"/>
      <w:szCs w:val="24"/>
    </w:rPr>
  </w:style>
  <w:style w:type="paragraph" w:styleId="1044">
    <w:name w:val="标题 9"/>
    <w:basedOn w:val="1035"/>
    <w:next w:val="1035"/>
    <w:link w:val="1055"/>
    <w:uiPriority w:val="9"/>
    <w:qFormat/>
    <w:pPr>
      <w:numPr>
        <w:ilvl w:val="8"/>
        <w:numId w:val="1"/>
      </w:numPr>
      <w:keepLines/>
      <w:keepNext/>
      <w:spacing w:before="240" w:after="64" w:line="320" w:lineRule="atLeast"/>
      <w:outlineLvl w:val="8"/>
    </w:pPr>
    <w:rPr>
      <w:rFonts w:ascii="Arial" w:hAnsi="Arial" w:eastAsia="黑体"/>
      <w:sz w:val="28"/>
      <w:szCs w:val="24"/>
    </w:rPr>
  </w:style>
  <w:style w:type="character" w:styleId="1045">
    <w:name w:val="默认段落字体"/>
    <w:next w:val="1045"/>
    <w:link w:val="1035"/>
    <w:uiPriority w:val="1"/>
    <w:unhideWhenUsed/>
  </w:style>
  <w:style w:type="table" w:styleId="1046">
    <w:name w:val="普通表格"/>
    <w:next w:val="1046"/>
    <w:link w:val="1035"/>
    <w:uiPriority w:val="99"/>
    <w:unhideWhenUsed/>
    <w:tblPr/>
  </w:style>
  <w:style w:type="character" w:styleId="1047">
    <w:name w:val="标题 1 Char"/>
    <w:next w:val="1047"/>
    <w:link w:val="1036"/>
    <w:qFormat/>
    <w:rPr>
      <w:b/>
      <w:bCs/>
      <w:sz w:val="44"/>
      <w:szCs w:val="44"/>
    </w:rPr>
  </w:style>
  <w:style w:type="character" w:styleId="1048">
    <w:name w:val="标题 2 Char"/>
    <w:next w:val="1048"/>
    <w:link w:val="1037"/>
    <w:qFormat/>
    <w:rPr>
      <w:rFonts w:ascii="Cambria" w:hAnsi="Cambria"/>
      <w:b/>
      <w:bCs/>
      <w:sz w:val="32"/>
      <w:szCs w:val="32"/>
    </w:rPr>
  </w:style>
  <w:style w:type="character" w:styleId="1049">
    <w:name w:val="标题 3 Char"/>
    <w:next w:val="1049"/>
    <w:link w:val="1038"/>
    <w:qFormat/>
    <w:rPr>
      <w:rFonts w:ascii="宋体" w:hAnsi="宋体"/>
      <w:b/>
      <w:sz w:val="21"/>
      <w:szCs w:val="21"/>
    </w:rPr>
  </w:style>
  <w:style w:type="character" w:styleId="1050">
    <w:name w:val="标题 4 Char"/>
    <w:next w:val="1050"/>
    <w:link w:val="1039"/>
    <w:qFormat/>
    <w:rPr>
      <w:rFonts w:ascii="Cambria" w:hAnsi="Cambria"/>
      <w:b/>
      <w:bCs/>
      <w:sz w:val="28"/>
      <w:szCs w:val="28"/>
    </w:rPr>
  </w:style>
  <w:style w:type="character" w:styleId="1051">
    <w:name w:val="标题 5 Char"/>
    <w:next w:val="1051"/>
    <w:link w:val="1040"/>
    <w:qFormat/>
    <w:rPr>
      <w:b/>
      <w:bCs/>
      <w:i/>
      <w:iCs/>
      <w:sz w:val="26"/>
      <w:szCs w:val="26"/>
    </w:rPr>
  </w:style>
  <w:style w:type="character" w:styleId="1052">
    <w:name w:val="标题 6 字符"/>
    <w:next w:val="1052"/>
    <w:link w:val="1041"/>
    <w:uiPriority w:val="9"/>
    <w:rPr>
      <w:rFonts w:ascii="Arial" w:hAnsi="Arial" w:eastAsia="黑体"/>
      <w:b/>
      <w:bCs/>
      <w:sz w:val="24"/>
      <w:szCs w:val="24"/>
    </w:rPr>
  </w:style>
  <w:style w:type="character" w:styleId="1053">
    <w:name w:val="标题 7 字符"/>
    <w:next w:val="1053"/>
    <w:link w:val="1042"/>
    <w:uiPriority w:val="9"/>
    <w:rPr>
      <w:rFonts w:ascii="宋体" w:hAnsi="Tahoma" w:eastAsia="仿宋_GB2312"/>
      <w:b/>
      <w:sz w:val="24"/>
      <w:szCs w:val="24"/>
    </w:rPr>
  </w:style>
  <w:style w:type="character" w:styleId="1054">
    <w:name w:val="标题 8 字符"/>
    <w:next w:val="1054"/>
    <w:link w:val="1043"/>
    <w:uiPriority w:val="9"/>
    <w:rPr>
      <w:rFonts w:ascii="Arial" w:hAnsi="Arial" w:eastAsia="黑体"/>
      <w:sz w:val="24"/>
      <w:szCs w:val="24"/>
    </w:rPr>
  </w:style>
  <w:style w:type="character" w:styleId="1055">
    <w:name w:val="标题 9 字符"/>
    <w:next w:val="1055"/>
    <w:link w:val="1044"/>
    <w:uiPriority w:val="9"/>
    <w:rPr>
      <w:rFonts w:ascii="Arial" w:hAnsi="Arial" w:eastAsia="黑体"/>
      <w:sz w:val="28"/>
      <w:szCs w:val="24"/>
    </w:rPr>
  </w:style>
  <w:style w:type="paragraph" w:styleId="1056">
    <w:name w:val="列表 3"/>
    <w:basedOn w:val="1035"/>
    <w:next w:val="1056"/>
    <w:link w:val="1035"/>
    <w:qFormat/>
    <w:pPr>
      <w:ind w:left="100" w:hanging="200"/>
    </w:pPr>
    <w:rPr>
      <w:rFonts w:ascii="Times New Roman" w:hAnsi="Times New Roman"/>
      <w:szCs w:val="24"/>
    </w:rPr>
  </w:style>
  <w:style w:type="paragraph" w:styleId="1057">
    <w:name w:val="目录 7"/>
    <w:basedOn w:val="1035"/>
    <w:next w:val="1035"/>
    <w:link w:val="1035"/>
    <w:uiPriority w:val="39"/>
    <w:unhideWhenUsed/>
    <w:pPr>
      <w:ind w:left="2520"/>
    </w:pPr>
  </w:style>
  <w:style w:type="paragraph" w:styleId="1058">
    <w:name w:val="列表编号 2"/>
    <w:basedOn w:val="1035"/>
    <w:next w:val="1058"/>
    <w:link w:val="1035"/>
    <w:uiPriority w:val="99"/>
    <w:unhideWhenUsed/>
    <w:pPr>
      <w:numPr>
        <w:ilvl w:val="0"/>
        <w:numId w:val="2"/>
      </w:numPr>
      <w:widowControl/>
      <w:tabs>
        <w:tab w:val="left" w:pos="780" w:leader="none"/>
      </w:tabs>
    </w:pPr>
    <w:rPr>
      <w:rFonts w:ascii="Times New Roman" w:hAnsi="Times New Roman"/>
      <w:szCs w:val="24"/>
    </w:rPr>
  </w:style>
  <w:style w:type="paragraph" w:styleId="1059">
    <w:name w:val="注释标题"/>
    <w:basedOn w:val="1035"/>
    <w:next w:val="1035"/>
    <w:link w:val="1060"/>
    <w:uiPriority w:val="99"/>
    <w:unhideWhenUsed/>
    <w:pPr>
      <w:jc w:val="center"/>
      <w:spacing w:line="360" w:lineRule="auto"/>
    </w:pPr>
    <w:rPr>
      <w:rFonts w:ascii="Times New Roman" w:hAnsi="Times New Roman"/>
      <w:sz w:val="24"/>
      <w:szCs w:val="24"/>
    </w:rPr>
  </w:style>
  <w:style w:type="character" w:styleId="1060">
    <w:name w:val="注释标题 字符"/>
    <w:next w:val="1060"/>
    <w:link w:val="1059"/>
    <w:uiPriority w:val="99"/>
    <w:rPr>
      <w:rFonts w:ascii="Times New Roman" w:hAnsi="Times New Roman"/>
      <w:sz w:val="24"/>
      <w:szCs w:val="24"/>
    </w:rPr>
  </w:style>
  <w:style w:type="paragraph" w:styleId="1061">
    <w:name w:val="列表编号"/>
    <w:basedOn w:val="1035"/>
    <w:next w:val="1061"/>
    <w:link w:val="1035"/>
    <w:uiPriority w:val="99"/>
    <w:unhideWhenUsed/>
    <w:pPr>
      <w:numPr>
        <w:ilvl w:val="0"/>
        <w:numId w:val="3"/>
      </w:numPr>
      <w:widowControl/>
      <w:tabs>
        <w:tab w:val="left" w:pos="360" w:leader="none"/>
      </w:tabs>
    </w:pPr>
    <w:rPr>
      <w:rFonts w:ascii="Times New Roman" w:hAnsi="Times New Roman"/>
      <w:szCs w:val="24"/>
    </w:rPr>
  </w:style>
  <w:style w:type="paragraph" w:styleId="1062">
    <w:name w:val="正文缩进"/>
    <w:basedOn w:val="1035"/>
    <w:next w:val="1062"/>
    <w:link w:val="1063"/>
    <w:uiPriority w:val="99"/>
    <w:qFormat/>
    <w:pPr>
      <w:ind w:firstLine="420"/>
      <w:jc w:val="left"/>
    </w:pPr>
    <w:rPr>
      <w:rFonts w:eastAsia="楷体_GB2312"/>
      <w:sz w:val="24"/>
      <w:szCs w:val="20"/>
    </w:rPr>
  </w:style>
  <w:style w:type="character" w:styleId="1063">
    <w:name w:val="正文缩进 Char,二 Char,四号2 Char,四号3 Char,标题43 Char,正文对齐 Char,正文文字首行缩进 Char,正文非缩进3 Char,表正文 Char1,特点 Char,ind:txt Char,identication Char,特点标题 Char,正文（段落文字） Char,Justified Char,plain paragraph Char,pp Char,Block text Char,t Char,BODY TEXT Char,text Char,sp Char"/>
    <w:next w:val="1063"/>
    <w:link w:val="1062"/>
    <w:qFormat/>
    <w:rPr>
      <w:rFonts w:eastAsia="楷体_GB2312"/>
      <w:sz w:val="24"/>
    </w:rPr>
  </w:style>
  <w:style w:type="paragraph" w:styleId="1064">
    <w:name w:val="题注"/>
    <w:basedOn w:val="1035"/>
    <w:next w:val="1035"/>
    <w:link w:val="1035"/>
    <w:uiPriority w:val="35"/>
    <w:qFormat/>
    <w:pPr>
      <w:spacing w:before="152" w:after="160"/>
    </w:pPr>
    <w:rPr>
      <w:rFonts w:ascii="Arial" w:hAnsi="Arial" w:eastAsia="黑体" w:cs="Arial"/>
      <w:sz w:val="20"/>
      <w:szCs w:val="20"/>
    </w:rPr>
  </w:style>
  <w:style w:type="paragraph" w:styleId="1065">
    <w:name w:val="列表项目符号"/>
    <w:basedOn w:val="1035"/>
    <w:next w:val="1065"/>
    <w:link w:val="1035"/>
    <w:uiPriority w:val="99"/>
    <w:unhideWhenUsed/>
    <w:pPr>
      <w:numPr>
        <w:ilvl w:val="0"/>
        <w:numId w:val="4"/>
      </w:numPr>
      <w:widowControl/>
      <w:tabs>
        <w:tab w:val="left" w:pos="360" w:leader="none"/>
      </w:tabs>
    </w:pPr>
    <w:rPr>
      <w:rFonts w:ascii="Times New Roman" w:hAnsi="Times New Roman"/>
      <w:szCs w:val="24"/>
    </w:rPr>
  </w:style>
  <w:style w:type="paragraph" w:styleId="1066">
    <w:name w:val="文档结构图"/>
    <w:basedOn w:val="1035"/>
    <w:next w:val="1066"/>
    <w:link w:val="1067"/>
    <w:uiPriority w:val="99"/>
    <w:qFormat/>
    <w:pPr>
      <w:shd w:val="clear" w:color="auto" w:fill="000080"/>
    </w:pPr>
    <w:rPr>
      <w:rFonts w:ascii="Times New Roman" w:hAnsi="Times New Roman"/>
      <w:szCs w:val="24"/>
    </w:rPr>
  </w:style>
  <w:style w:type="character" w:styleId="1067">
    <w:name w:val="文档结构图 Char"/>
    <w:next w:val="1067"/>
    <w:link w:val="1066"/>
    <w:semiHidden/>
    <w:qFormat/>
    <w:rPr>
      <w:rFonts w:ascii="Times New Roman" w:hAnsi="Times New Roman"/>
      <w:sz w:val="21"/>
      <w:szCs w:val="24"/>
      <w:shd w:val="clear" w:color="auto" w:fill="000080"/>
    </w:rPr>
  </w:style>
  <w:style w:type="paragraph" w:styleId="1068">
    <w:name w:val="批注文字"/>
    <w:basedOn w:val="1035"/>
    <w:next w:val="1068"/>
    <w:link w:val="1069"/>
    <w:uiPriority w:val="99"/>
    <w:qFormat/>
    <w:pPr>
      <w:jc w:val="left"/>
    </w:pPr>
    <w:rPr>
      <w:szCs w:val="24"/>
    </w:rPr>
  </w:style>
  <w:style w:type="character" w:styleId="1069">
    <w:name w:val="批注文字 Char"/>
    <w:next w:val="1069"/>
    <w:link w:val="1068"/>
    <w:qFormat/>
    <w:rPr>
      <w:sz w:val="21"/>
      <w:szCs w:val="24"/>
    </w:rPr>
  </w:style>
  <w:style w:type="paragraph" w:styleId="1070">
    <w:name w:val="正文文本 3"/>
    <w:basedOn w:val="1035"/>
    <w:next w:val="1070"/>
    <w:link w:val="1071"/>
    <w:uiPriority w:val="99"/>
    <w:unhideWhenUsed/>
    <w:pPr>
      <w:spacing w:after="120"/>
    </w:pPr>
    <w:rPr>
      <w:rFonts w:ascii="Tahoma" w:hAnsi="Tahoma"/>
      <w:sz w:val="16"/>
      <w:szCs w:val="16"/>
    </w:rPr>
  </w:style>
  <w:style w:type="character" w:styleId="1071">
    <w:name w:val="正文文本 3 字符"/>
    <w:next w:val="1071"/>
    <w:link w:val="1070"/>
    <w:uiPriority w:val="99"/>
    <w:rPr>
      <w:rFonts w:ascii="Tahoma" w:hAnsi="Tahoma"/>
      <w:sz w:val="16"/>
      <w:szCs w:val="16"/>
    </w:rPr>
  </w:style>
  <w:style w:type="paragraph" w:styleId="1072">
    <w:name w:val="正文文本"/>
    <w:basedOn w:val="1035"/>
    <w:next w:val="1072"/>
    <w:link w:val="1073"/>
    <w:uiPriority w:val="99"/>
    <w:qFormat/>
    <w:pPr>
      <w:tabs>
        <w:tab w:val="left" w:pos="5250" w:leader="none"/>
      </w:tabs>
    </w:pPr>
    <w:rPr>
      <w:sz w:val="28"/>
      <w:szCs w:val="24"/>
    </w:rPr>
  </w:style>
  <w:style w:type="character" w:styleId="1073">
    <w:name w:val="正文文本 Char"/>
    <w:next w:val="1073"/>
    <w:link w:val="1072"/>
    <w:rPr>
      <w:sz w:val="28"/>
      <w:szCs w:val="24"/>
    </w:rPr>
  </w:style>
  <w:style w:type="paragraph" w:styleId="1074">
    <w:name w:val="正文文本缩进"/>
    <w:basedOn w:val="1035"/>
    <w:next w:val="1076"/>
    <w:link w:val="1075"/>
    <w:qFormat/>
    <w:pPr>
      <w:ind w:firstLine="435"/>
      <w:spacing w:line="480" w:lineRule="exact"/>
    </w:pPr>
    <w:rPr>
      <w:szCs w:val="32"/>
    </w:rPr>
  </w:style>
  <w:style w:type="character" w:styleId="1075">
    <w:name w:val="正文文本缩进 Char"/>
    <w:next w:val="1075"/>
    <w:link w:val="1074"/>
    <w:rPr>
      <w:sz w:val="21"/>
      <w:szCs w:val="32"/>
    </w:rPr>
  </w:style>
  <w:style w:type="paragraph" w:styleId="1076">
    <w:name w:val="寄信人地址"/>
    <w:basedOn w:val="1035"/>
    <w:next w:val="1076"/>
    <w:link w:val="1035"/>
    <w:qFormat/>
    <w:pPr>
      <w:ind w:left="0"/>
      <w:widowControl w:val="off"/>
    </w:pPr>
    <w:rPr>
      <w:rFonts w:ascii="Arial" w:hAnsi="Arial" w:eastAsia="宋体" w:cs="Times New Roman"/>
      <w:sz w:val="26"/>
      <w:szCs w:val="24"/>
    </w:rPr>
  </w:style>
  <w:style w:type="paragraph" w:styleId="1077">
    <w:name w:val="列表编号 3"/>
    <w:basedOn w:val="1035"/>
    <w:next w:val="1077"/>
    <w:link w:val="1035"/>
    <w:uiPriority w:val="99"/>
    <w:unhideWhenUsed/>
    <w:pPr>
      <w:numPr>
        <w:ilvl w:val="0"/>
        <w:numId w:val="5"/>
      </w:numPr>
      <w:widowControl/>
      <w:tabs>
        <w:tab w:val="left" w:pos="1200" w:leader="none"/>
      </w:tabs>
    </w:pPr>
    <w:rPr>
      <w:rFonts w:ascii="Times New Roman" w:hAnsi="Times New Roman"/>
      <w:szCs w:val="24"/>
    </w:rPr>
  </w:style>
  <w:style w:type="paragraph" w:styleId="1078">
    <w:name w:val="文本块"/>
    <w:basedOn w:val="1035"/>
    <w:next w:val="1078"/>
    <w:link w:val="1035"/>
    <w:uiPriority w:val="99"/>
    <w:qFormat/>
    <w:pPr>
      <w:ind w:left="630" w:right="-609" w:firstLine="420"/>
      <w:spacing w:line="360" w:lineRule="auto"/>
    </w:pPr>
    <w:rPr>
      <w:rFonts w:hint="eastAsia" w:ascii="仿宋_GB2312" w:hAnsi="Times New Roman" w:eastAsia="仿宋_GB2312"/>
      <w:szCs w:val="20"/>
    </w:rPr>
  </w:style>
  <w:style w:type="paragraph" w:styleId="1079">
    <w:name w:val="列表项目符号 2"/>
    <w:basedOn w:val="1035"/>
    <w:next w:val="1079"/>
    <w:link w:val="1035"/>
    <w:uiPriority w:val="99"/>
    <w:unhideWhenUsed/>
    <w:pPr>
      <w:numPr>
        <w:ilvl w:val="0"/>
        <w:numId w:val="6"/>
      </w:numPr>
      <w:widowControl/>
      <w:tabs>
        <w:tab w:val="left" w:pos="780" w:leader="none"/>
      </w:tabs>
    </w:pPr>
    <w:rPr>
      <w:rFonts w:ascii="Times New Roman" w:hAnsi="Times New Roman"/>
      <w:szCs w:val="24"/>
    </w:rPr>
  </w:style>
  <w:style w:type="paragraph" w:styleId="1080">
    <w:name w:val="索引 4"/>
    <w:basedOn w:val="1035"/>
    <w:next w:val="1035"/>
    <w:link w:val="1035"/>
    <w:uiPriority w:val="99"/>
    <w:unhideWhenUsed/>
    <w:pPr>
      <w:ind w:left="600"/>
    </w:pPr>
    <w:rPr>
      <w:rFonts w:ascii="Times New Roman" w:hAnsi="Times New Roman"/>
      <w:szCs w:val="24"/>
    </w:rPr>
  </w:style>
  <w:style w:type="paragraph" w:styleId="1081">
    <w:name w:val="目录 5"/>
    <w:basedOn w:val="1035"/>
    <w:next w:val="1035"/>
    <w:link w:val="1035"/>
    <w:uiPriority w:val="39"/>
    <w:unhideWhenUsed/>
    <w:pPr>
      <w:ind w:left="1050"/>
      <w:tabs>
        <w:tab w:val="right" w:pos="8296" w:leader="dot"/>
      </w:tabs>
    </w:pPr>
  </w:style>
  <w:style w:type="paragraph" w:styleId="1082">
    <w:name w:val="目录 3"/>
    <w:basedOn w:val="1035"/>
    <w:next w:val="1035"/>
    <w:link w:val="1035"/>
    <w:uiPriority w:val="39"/>
    <w:unhideWhenUsed/>
    <w:pPr>
      <w:ind w:left="840"/>
    </w:pPr>
    <w:rPr>
      <w:rFonts w:ascii="Times New Roman" w:hAnsi="Times New Roman"/>
      <w:szCs w:val="24"/>
    </w:rPr>
  </w:style>
  <w:style w:type="paragraph" w:styleId="1083">
    <w:name w:val="纯文本"/>
    <w:basedOn w:val="1035"/>
    <w:next w:val="1083"/>
    <w:link w:val="1084"/>
    <w:uiPriority w:val="99"/>
    <w:qFormat/>
    <w:rPr>
      <w:rFonts w:ascii="宋体" w:hAnsi="Courier New"/>
      <w:sz w:val="20"/>
      <w:szCs w:val="21"/>
    </w:rPr>
  </w:style>
  <w:style w:type="character" w:styleId="1084">
    <w:name w:val="纯文本 Char1"/>
    <w:next w:val="1084"/>
    <w:link w:val="1083"/>
    <w:uiPriority w:val="99"/>
    <w:qFormat/>
    <w:rPr>
      <w:rFonts w:ascii="宋体" w:hAnsi="Courier New"/>
      <w:szCs w:val="21"/>
    </w:rPr>
  </w:style>
  <w:style w:type="paragraph" w:styleId="1085">
    <w:name w:val="目录 8"/>
    <w:basedOn w:val="1035"/>
    <w:next w:val="1035"/>
    <w:link w:val="1035"/>
    <w:uiPriority w:val="39"/>
    <w:unhideWhenUsed/>
    <w:pPr>
      <w:ind w:left="2940"/>
    </w:pPr>
  </w:style>
  <w:style w:type="paragraph" w:styleId="1086">
    <w:name w:val="日期"/>
    <w:basedOn w:val="1035"/>
    <w:next w:val="1035"/>
    <w:link w:val="1087"/>
    <w:uiPriority w:val="99"/>
    <w:qFormat/>
    <w:pPr>
      <w:ind w:left="100"/>
    </w:pPr>
    <w:rPr>
      <w:sz w:val="36"/>
      <w:szCs w:val="20"/>
    </w:rPr>
  </w:style>
  <w:style w:type="character" w:styleId="1087">
    <w:name w:val="日期 Char"/>
    <w:next w:val="1087"/>
    <w:link w:val="1086"/>
    <w:qFormat/>
    <w:rPr>
      <w:sz w:val="36"/>
    </w:rPr>
  </w:style>
  <w:style w:type="paragraph" w:styleId="1088">
    <w:name w:val="正文文本缩进 2"/>
    <w:basedOn w:val="1035"/>
    <w:next w:val="1088"/>
    <w:link w:val="1089"/>
    <w:uiPriority w:val="99"/>
    <w:qFormat/>
    <w:pPr>
      <w:ind w:left="420"/>
      <w:spacing w:after="120" w:line="480" w:lineRule="auto"/>
    </w:pPr>
    <w:rPr>
      <w:rFonts w:ascii="Times New Roman" w:hAnsi="Times New Roman"/>
      <w:szCs w:val="24"/>
    </w:rPr>
  </w:style>
  <w:style w:type="character" w:styleId="1089">
    <w:name w:val="正文文本缩进 2 Char"/>
    <w:next w:val="1089"/>
    <w:link w:val="1088"/>
    <w:qFormat/>
    <w:rPr>
      <w:rFonts w:ascii="Times New Roman" w:hAnsi="Times New Roman"/>
      <w:sz w:val="21"/>
      <w:szCs w:val="24"/>
    </w:rPr>
  </w:style>
  <w:style w:type="paragraph" w:styleId="1090">
    <w:name w:val="尾注文本"/>
    <w:next w:val="1090"/>
    <w:link w:val="1091"/>
    <w:uiPriority w:val="99"/>
    <w:unhideWhenUsed/>
    <w:rPr>
      <w:lang w:val="en-US" w:eastAsia="zh-CN" w:bidi="ar-SA"/>
    </w:rPr>
  </w:style>
  <w:style w:type="character" w:styleId="1091">
    <w:name w:val="尾注文本 字符"/>
    <w:basedOn w:val="1045"/>
    <w:next w:val="1091"/>
    <w:link w:val="1090"/>
    <w:uiPriority w:val="99"/>
    <w:semiHidden/>
  </w:style>
  <w:style w:type="paragraph" w:styleId="1092">
    <w:name w:val="批注框文本"/>
    <w:basedOn w:val="1035"/>
    <w:next w:val="1092"/>
    <w:link w:val="1093"/>
    <w:uiPriority w:val="99"/>
    <w:qFormat/>
    <w:rPr>
      <w:sz w:val="18"/>
      <w:szCs w:val="18"/>
    </w:rPr>
  </w:style>
  <w:style w:type="character" w:styleId="1093">
    <w:name w:val="批注框文本 Char"/>
    <w:next w:val="1093"/>
    <w:link w:val="1092"/>
    <w:qFormat/>
    <w:rPr>
      <w:sz w:val="18"/>
      <w:szCs w:val="18"/>
    </w:rPr>
  </w:style>
  <w:style w:type="paragraph" w:styleId="1094">
    <w:name w:val="页脚"/>
    <w:basedOn w:val="1035"/>
    <w:next w:val="1094"/>
    <w:link w:val="1095"/>
    <w:uiPriority w:val="99"/>
    <w:qFormat/>
    <w:pPr>
      <w:jc w:val="left"/>
      <w:tabs>
        <w:tab w:val="center" w:pos="4153" w:leader="none"/>
        <w:tab w:val="right" w:pos="8306" w:leader="none"/>
      </w:tabs>
    </w:pPr>
    <w:rPr>
      <w:sz w:val="18"/>
      <w:szCs w:val="18"/>
    </w:rPr>
  </w:style>
  <w:style w:type="character" w:styleId="1095">
    <w:name w:val="页脚 Char"/>
    <w:next w:val="1095"/>
    <w:link w:val="1094"/>
    <w:uiPriority w:val="99"/>
    <w:qFormat/>
    <w:rPr>
      <w:rFonts w:ascii="Calibri" w:hAnsi="Calibri" w:eastAsia="宋体" w:cs="Times New Roman"/>
      <w:sz w:val="18"/>
      <w:szCs w:val="18"/>
    </w:rPr>
  </w:style>
  <w:style w:type="paragraph" w:styleId="1096">
    <w:name w:val="页眉"/>
    <w:basedOn w:val="1035"/>
    <w:next w:val="1096"/>
    <w:link w:val="1097"/>
    <w:uiPriority w:val="99"/>
    <w:unhideWhenUsed/>
    <w:qFormat/>
    <w:pPr>
      <w:jc w:val="center"/>
      <w:tabs>
        <w:tab w:val="center" w:pos="4153" w:leader="none"/>
        <w:tab w:val="right" w:pos="8306" w:leader="none"/>
      </w:tabs>
    </w:pPr>
    <w:rPr>
      <w:sz w:val="18"/>
      <w:szCs w:val="18"/>
    </w:rPr>
  </w:style>
  <w:style w:type="character" w:styleId="1097">
    <w:name w:val="页眉 Char"/>
    <w:next w:val="1097"/>
    <w:link w:val="1096"/>
    <w:uiPriority w:val="99"/>
    <w:qFormat/>
    <w:rPr>
      <w:sz w:val="18"/>
      <w:szCs w:val="18"/>
    </w:rPr>
  </w:style>
  <w:style w:type="paragraph" w:styleId="1098">
    <w:name w:val="目录 1"/>
    <w:basedOn w:val="1035"/>
    <w:next w:val="1035"/>
    <w:link w:val="1035"/>
    <w:uiPriority w:val="39"/>
    <w:qFormat/>
    <w:pPr>
      <w:jc w:val="left"/>
    </w:pPr>
    <w:rPr>
      <w:rFonts w:ascii="Times New Roman" w:hAnsi="Times New Roman" w:eastAsia="楷体_GB2312"/>
      <w:sz w:val="24"/>
      <w:szCs w:val="20"/>
    </w:rPr>
  </w:style>
  <w:style w:type="paragraph" w:styleId="1099">
    <w:name w:val="目录 4"/>
    <w:basedOn w:val="1035"/>
    <w:next w:val="1035"/>
    <w:link w:val="1035"/>
    <w:uiPriority w:val="39"/>
    <w:unhideWhenUsed/>
    <w:pPr>
      <w:ind w:left="630"/>
      <w:tabs>
        <w:tab w:val="left" w:pos="1890" w:leader="none"/>
        <w:tab w:val="right" w:pos="8296" w:leader="dot"/>
      </w:tabs>
    </w:pPr>
  </w:style>
  <w:style w:type="paragraph" w:styleId="1100">
    <w:name w:val="副标题"/>
    <w:basedOn w:val="1035"/>
    <w:next w:val="1035"/>
    <w:link w:val="1101"/>
    <w:uiPriority w:val="11"/>
    <w:qFormat/>
    <w:pPr>
      <w:jc w:val="center"/>
      <w:spacing w:before="240" w:after="60" w:line="312" w:lineRule="auto"/>
      <w:outlineLvl w:val="1"/>
    </w:pPr>
    <w:rPr>
      <w:rFonts w:ascii="Cambria" w:hAnsi="Cambria"/>
      <w:b/>
      <w:bCs/>
      <w:sz w:val="32"/>
      <w:szCs w:val="32"/>
    </w:rPr>
  </w:style>
  <w:style w:type="character" w:styleId="1101">
    <w:name w:val="副标题 Char"/>
    <w:next w:val="1101"/>
    <w:link w:val="1100"/>
    <w:qFormat/>
    <w:rPr>
      <w:rFonts w:ascii="Cambria" w:hAnsi="Cambria"/>
      <w:b/>
      <w:bCs/>
      <w:sz w:val="32"/>
      <w:szCs w:val="32"/>
    </w:rPr>
  </w:style>
  <w:style w:type="paragraph" w:styleId="1102">
    <w:name w:val="脚注文本"/>
    <w:basedOn w:val="1035"/>
    <w:next w:val="1102"/>
    <w:link w:val="1103"/>
    <w:uiPriority w:val="99"/>
    <w:unhideWhenUsed/>
    <w:pPr>
      <w:jc w:val="left"/>
      <w:spacing w:line="312" w:lineRule="atLeast"/>
    </w:pPr>
    <w:rPr>
      <w:sz w:val="18"/>
      <w:szCs w:val="20"/>
    </w:rPr>
  </w:style>
  <w:style w:type="character" w:styleId="1103">
    <w:name w:val="脚注文本 字符"/>
    <w:next w:val="1103"/>
    <w:link w:val="1102"/>
    <w:uiPriority w:val="99"/>
    <w:rPr>
      <w:sz w:val="18"/>
    </w:rPr>
  </w:style>
  <w:style w:type="paragraph" w:styleId="1104">
    <w:name w:val="目录 6"/>
    <w:basedOn w:val="1035"/>
    <w:next w:val="1035"/>
    <w:link w:val="1035"/>
    <w:uiPriority w:val="39"/>
    <w:unhideWhenUsed/>
    <w:pPr>
      <w:ind w:left="2100"/>
    </w:pPr>
  </w:style>
  <w:style w:type="paragraph" w:styleId="1105">
    <w:name w:val="正文文本缩进 3"/>
    <w:basedOn w:val="1035"/>
    <w:next w:val="1105"/>
    <w:link w:val="1106"/>
    <w:qFormat/>
    <w:pPr>
      <w:ind w:firstLine="480"/>
      <w:spacing w:line="360" w:lineRule="auto"/>
      <w:widowControl/>
    </w:pPr>
    <w:rPr>
      <w:sz w:val="24"/>
      <w:szCs w:val="24"/>
    </w:rPr>
  </w:style>
  <w:style w:type="character" w:styleId="1106">
    <w:name w:val="正文文本缩进 3 Char"/>
    <w:next w:val="1106"/>
    <w:link w:val="1105"/>
    <w:qFormat/>
    <w:rPr>
      <w:sz w:val="24"/>
      <w:szCs w:val="24"/>
    </w:rPr>
  </w:style>
  <w:style w:type="paragraph" w:styleId="1107">
    <w:name w:val="图表目录"/>
    <w:next w:val="1107"/>
    <w:link w:val="1035"/>
    <w:uiPriority w:val="99"/>
    <w:unhideWhenUsed/>
    <w:rPr>
      <w:lang w:val="en-US" w:eastAsia="zh-CN" w:bidi="ar-SA"/>
    </w:rPr>
  </w:style>
  <w:style w:type="paragraph" w:styleId="1108">
    <w:name w:val="目录 2"/>
    <w:basedOn w:val="1035"/>
    <w:next w:val="1035"/>
    <w:link w:val="1035"/>
    <w:uiPriority w:val="39"/>
    <w:unhideWhenUsed/>
    <w:pPr>
      <w:ind w:left="420"/>
    </w:pPr>
    <w:rPr>
      <w:rFonts w:ascii="Times New Roman" w:hAnsi="Times New Roman"/>
      <w:szCs w:val="24"/>
    </w:rPr>
  </w:style>
  <w:style w:type="paragraph" w:styleId="1109">
    <w:name w:val="目录 9"/>
    <w:basedOn w:val="1035"/>
    <w:next w:val="1035"/>
    <w:link w:val="1035"/>
    <w:uiPriority w:val="39"/>
    <w:unhideWhenUsed/>
    <w:pPr>
      <w:ind w:left="3360"/>
    </w:pPr>
  </w:style>
  <w:style w:type="paragraph" w:styleId="1110">
    <w:name w:val="正文文本 2"/>
    <w:basedOn w:val="1035"/>
    <w:next w:val="1110"/>
    <w:link w:val="1111"/>
    <w:pPr>
      <w:ind w:left="720" w:hanging="720"/>
      <w:widowControl/>
    </w:pPr>
    <w:rPr>
      <w:rFonts w:ascii="Times New Roman" w:hAnsi="Times New Roman"/>
      <w:sz w:val="24"/>
      <w:szCs w:val="20"/>
      <w:lang w:val="en-GB"/>
    </w:rPr>
  </w:style>
  <w:style w:type="character" w:styleId="1111">
    <w:name w:val="正文文本 2 字符"/>
    <w:next w:val="1111"/>
    <w:link w:val="1110"/>
    <w:rPr>
      <w:rFonts w:ascii="Times New Roman" w:hAnsi="Times New Roman"/>
      <w:sz w:val="24"/>
      <w:lang w:val="en-GB"/>
    </w:rPr>
  </w:style>
  <w:style w:type="paragraph" w:styleId="1112">
    <w:name w:val="列表 4"/>
    <w:basedOn w:val="1035"/>
    <w:next w:val="1112"/>
    <w:link w:val="1035"/>
    <w:uiPriority w:val="99"/>
    <w:unhideWhenUsed/>
    <w:pPr>
      <w:ind w:left="1680" w:hanging="420"/>
    </w:pPr>
    <w:rPr>
      <w:rFonts w:ascii="Times New Roman" w:hAnsi="Times New Roman" w:eastAsia="仿宋_GB2312"/>
      <w:sz w:val="30"/>
      <w:szCs w:val="20"/>
    </w:rPr>
  </w:style>
  <w:style w:type="paragraph" w:styleId="1113">
    <w:name w:val="HTML 预设格式"/>
    <w:basedOn w:val="1035"/>
    <w:next w:val="1113"/>
    <w:link w:val="1114"/>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114">
    <w:name w:val="HTML 预设格式 字符"/>
    <w:next w:val="1114"/>
    <w:link w:val="1113"/>
    <w:uiPriority w:val="99"/>
    <w:rPr>
      <w:rFonts w:ascii="宋体" w:hAnsi="宋体" w:cs="宋体"/>
      <w:sz w:val="24"/>
      <w:szCs w:val="24"/>
    </w:rPr>
  </w:style>
  <w:style w:type="paragraph" w:styleId="1115">
    <w:name w:val="普通(网站)"/>
    <w:basedOn w:val="1035"/>
    <w:next w:val="1115"/>
    <w:link w:val="1116"/>
    <w:uiPriority w:val="99"/>
    <w:qFormat/>
    <w:pPr>
      <w:jc w:val="left"/>
    </w:pPr>
    <w:rPr>
      <w:sz w:val="24"/>
      <w:szCs w:val="24"/>
    </w:rPr>
  </w:style>
  <w:style w:type="character" w:styleId="1116">
    <w:name w:val="普通(网站) 字符"/>
    <w:next w:val="1116"/>
    <w:link w:val="1115"/>
    <w:uiPriority w:val="99"/>
    <w:rPr>
      <w:sz w:val="24"/>
      <w:szCs w:val="24"/>
    </w:rPr>
  </w:style>
  <w:style w:type="paragraph" w:styleId="1117">
    <w:name w:val="索引 2"/>
    <w:basedOn w:val="1035"/>
    <w:next w:val="1035"/>
    <w:link w:val="1035"/>
    <w:uiPriority w:val="99"/>
    <w:unhideWhenUsed/>
    <w:pPr>
      <w:ind w:left="420"/>
    </w:pPr>
    <w:rPr>
      <w:rFonts w:ascii="Times New Roman" w:hAnsi="Times New Roman" w:eastAsia="楷体_GB2312"/>
      <w:sz w:val="26"/>
      <w:szCs w:val="20"/>
    </w:rPr>
  </w:style>
  <w:style w:type="paragraph" w:styleId="1118">
    <w:name w:val="标题"/>
    <w:basedOn w:val="1035"/>
    <w:next w:val="1118"/>
    <w:link w:val="1119"/>
    <w:uiPriority w:val="10"/>
    <w:qFormat/>
    <w:pPr>
      <w:numPr>
        <w:ilvl w:val="0"/>
        <w:numId w:val="7"/>
      </w:numPr>
      <w:jc w:val="center"/>
      <w:spacing w:before="240" w:after="60"/>
      <w:tabs>
        <w:tab w:val="left" w:pos="432" w:leader="none"/>
        <w:tab w:val="left" w:pos="1140" w:leader="none"/>
      </w:tabs>
      <w:outlineLvl w:val="0"/>
    </w:pPr>
    <w:rPr>
      <w:rFonts w:ascii="Arial" w:hAnsi="Arial"/>
      <w:b/>
      <w:bCs/>
      <w:sz w:val="32"/>
      <w:szCs w:val="32"/>
    </w:rPr>
  </w:style>
  <w:style w:type="character" w:styleId="1119">
    <w:name w:val="标题 Char"/>
    <w:next w:val="1119"/>
    <w:link w:val="1118"/>
    <w:qFormat/>
    <w:rPr>
      <w:rFonts w:ascii="Arial" w:hAnsi="Arial"/>
      <w:b/>
      <w:bCs/>
      <w:sz w:val="32"/>
      <w:szCs w:val="32"/>
    </w:rPr>
  </w:style>
  <w:style w:type="paragraph" w:styleId="1120">
    <w:name w:val="批注主题"/>
    <w:basedOn w:val="1068"/>
    <w:next w:val="1068"/>
    <w:link w:val="1121"/>
    <w:uiPriority w:val="99"/>
    <w:qFormat/>
    <w:rPr>
      <w:b/>
      <w:bCs/>
    </w:rPr>
  </w:style>
  <w:style w:type="character" w:styleId="1121">
    <w:name w:val="批注主题 Char"/>
    <w:next w:val="1121"/>
    <w:link w:val="1120"/>
    <w:qFormat/>
    <w:rPr>
      <w:b/>
      <w:bCs/>
      <w:sz w:val="21"/>
      <w:szCs w:val="24"/>
    </w:rPr>
  </w:style>
  <w:style w:type="paragraph" w:styleId="1122">
    <w:name w:val="正文首行缩进"/>
    <w:basedOn w:val="1072"/>
    <w:next w:val="1122"/>
    <w:link w:val="1123"/>
    <w:uiPriority w:val="99"/>
    <w:unhideWhenUsed/>
    <w:pPr>
      <w:numPr>
        <w:ilvl w:val="0"/>
        <w:numId w:val="8"/>
      </w:numPr>
      <w:ind w:left="0" w:firstLine="420"/>
      <w:spacing w:after="120"/>
      <w:tabs>
        <w:tab w:val="clear" w:pos="780" w:leader="none"/>
      </w:tabs>
    </w:pPr>
    <w:rPr>
      <w:sz w:val="20"/>
      <w:szCs w:val="20"/>
      <w:lang w:val="en-US" w:eastAsia="zh-CN"/>
    </w:rPr>
  </w:style>
  <w:style w:type="character" w:styleId="1123">
    <w:name w:val="正文首行缩进 字符"/>
    <w:basedOn w:val="1073"/>
    <w:next w:val="1123"/>
    <w:link w:val="1122"/>
    <w:uiPriority w:val="99"/>
  </w:style>
  <w:style w:type="paragraph" w:styleId="1124">
    <w:name w:val="正文首行缩进 2"/>
    <w:basedOn w:val="1074"/>
    <w:next w:val="1124"/>
    <w:link w:val="1125"/>
    <w:uiPriority w:val="99"/>
    <w:qFormat/>
    <w:pPr>
      <w:ind w:firstLine="420"/>
    </w:pPr>
  </w:style>
  <w:style w:type="character" w:styleId="1125">
    <w:name w:val="正文首行缩进 2 Char"/>
    <w:next w:val="1125"/>
    <w:link w:val="1124"/>
  </w:style>
  <w:style w:type="table" w:styleId="1126">
    <w:name w:val="网格型"/>
    <w:basedOn w:val="1046"/>
    <w:next w:val="1126"/>
    <w:link w:val="1035"/>
    <w:qFormat/>
    <w:pPr>
      <w:jc w:val="both"/>
      <w:widowControl w:val="off"/>
    </w:pPr>
    <w:tblPr/>
  </w:style>
  <w:style w:type="character" w:styleId="1127">
    <w:name w:val="要点"/>
    <w:next w:val="1127"/>
    <w:link w:val="1035"/>
    <w:uiPriority w:val="22"/>
    <w:qFormat/>
    <w:rPr>
      <w:b/>
      <w:bCs/>
    </w:rPr>
  </w:style>
  <w:style w:type="character" w:styleId="1128">
    <w:name w:val="尾注引用"/>
    <w:next w:val="1128"/>
    <w:link w:val="1035"/>
    <w:uiPriority w:val="99"/>
    <w:unhideWhenUsed/>
    <w:rPr>
      <w:vertAlign w:val="superscript"/>
    </w:rPr>
  </w:style>
  <w:style w:type="character" w:styleId="1129">
    <w:name w:val="页码"/>
    <w:next w:val="1129"/>
    <w:link w:val="1035"/>
    <w:uiPriority w:val="99"/>
    <w:unhideWhenUsed/>
    <w:qFormat/>
  </w:style>
  <w:style w:type="character" w:styleId="1130">
    <w:name w:val="已访问的超链接"/>
    <w:next w:val="1130"/>
    <w:link w:val="1035"/>
    <w:uiPriority w:val="99"/>
    <w:qFormat/>
    <w:rPr>
      <w:color w:val="333333"/>
      <w:u w:val="none"/>
    </w:rPr>
  </w:style>
  <w:style w:type="character" w:styleId="1131">
    <w:name w:val="强调"/>
    <w:next w:val="1131"/>
    <w:link w:val="1035"/>
    <w:uiPriority w:val="20"/>
    <w:qFormat/>
  </w:style>
  <w:style w:type="character" w:styleId="1132">
    <w:name w:val="行号"/>
    <w:next w:val="1132"/>
    <w:link w:val="1035"/>
    <w:uiPriority w:val="99"/>
    <w:unhideWhenUsed/>
    <w:rPr>
      <w:rFonts w:ascii="Tahoma" w:hAnsi="Tahoma" w:eastAsia="宋体" w:cs="Times New Roman"/>
      <w:sz w:val="24"/>
      <w:szCs w:val="24"/>
      <w:lang w:val="en-US" w:eastAsia="zh-CN" w:bidi="ar-SA"/>
    </w:rPr>
  </w:style>
  <w:style w:type="character" w:styleId="1133">
    <w:name w:val="HTML 打字机"/>
    <w:next w:val="1133"/>
    <w:link w:val="1035"/>
    <w:uiPriority w:val="99"/>
    <w:unhideWhenUsed/>
    <w:rPr>
      <w:rFonts w:ascii="宋体" w:hAnsi="宋体" w:eastAsia="宋体" w:cs="宋体"/>
      <w:sz w:val="24"/>
      <w:szCs w:val="24"/>
      <w:lang w:val="en-US" w:eastAsia="zh-CN" w:bidi="ar-SA"/>
    </w:rPr>
  </w:style>
  <w:style w:type="character" w:styleId="1134">
    <w:name w:val="超链接"/>
    <w:next w:val="1134"/>
    <w:link w:val="1035"/>
    <w:uiPriority w:val="99"/>
    <w:qFormat/>
    <w:rPr>
      <w:color w:val="333333"/>
      <w:u w:val="none"/>
    </w:rPr>
  </w:style>
  <w:style w:type="character" w:styleId="1135">
    <w:name w:val="批注引用"/>
    <w:next w:val="1135"/>
    <w:link w:val="1035"/>
    <w:uiPriority w:val="99"/>
    <w:qFormat/>
    <w:rPr>
      <w:sz w:val="21"/>
      <w:szCs w:val="21"/>
    </w:rPr>
  </w:style>
  <w:style w:type="character" w:styleId="1136">
    <w:name w:val="HTML 引文"/>
    <w:next w:val="1136"/>
    <w:link w:val="1035"/>
    <w:uiPriority w:val="99"/>
    <w:qFormat/>
  </w:style>
  <w:style w:type="character" w:styleId="1137">
    <w:name w:val="脚注引用"/>
    <w:next w:val="1137"/>
    <w:link w:val="1035"/>
    <w:uiPriority w:val="99"/>
    <w:unhideWhenUsed/>
    <w:rPr>
      <w:vertAlign w:val="superscript"/>
    </w:rPr>
  </w:style>
  <w:style w:type="paragraph" w:styleId="1138">
    <w:name w:val="首行缩进"/>
    <w:basedOn w:val="1035"/>
    <w:next w:val="1138"/>
    <w:link w:val="1035"/>
    <w:qFormat/>
    <w:pPr>
      <w:ind w:firstLine="480"/>
      <w:jc w:val="left"/>
      <w:widowControl/>
    </w:pPr>
    <w:rPr>
      <w:sz w:val="24"/>
      <w:szCs w:val="24"/>
      <w:lang w:val="zh-CN"/>
    </w:rPr>
  </w:style>
  <w:style w:type="character" w:styleId="1139">
    <w:name w:val="NormalCharacter11"/>
    <w:next w:val="1139"/>
    <w:link w:val="1035"/>
    <w:qFormat/>
    <w:rPr>
      <w:rFonts w:ascii="Calibri" w:hAnsi="Calibri" w:eastAsia="宋体" w:cs="Times New Roman"/>
    </w:rPr>
  </w:style>
  <w:style w:type="character" w:styleId="1140">
    <w:name w:val="NormalCharacter1"/>
    <w:next w:val="1140"/>
    <w:link w:val="1035"/>
    <w:qFormat/>
    <w:rPr>
      <w:sz w:val="21"/>
      <w:szCs w:val="22"/>
      <w:lang w:val="en-US" w:eastAsia="zh-CN" w:bidi="ar-SA"/>
    </w:rPr>
  </w:style>
  <w:style w:type="paragraph" w:styleId="1141">
    <w:name w:val="段"/>
    <w:next w:val="1035"/>
    <w:link w:val="1035"/>
    <w:qFormat/>
    <w:pPr>
      <w:ind w:firstLine="200"/>
      <w:jc w:val="both"/>
    </w:pPr>
    <w:rPr>
      <w:rFonts w:ascii="宋体"/>
      <w:sz w:val="21"/>
      <w:szCs w:val="22"/>
      <w:lang w:val="en-US" w:eastAsia="zh-CN" w:bidi="ar-SA"/>
    </w:rPr>
  </w:style>
  <w:style w:type="character" w:styleId="1142">
    <w:name w:val="纯文本 Char,普通文字 Char"/>
    <w:next w:val="1142"/>
    <w:link w:val="1035"/>
    <w:uiPriority w:val="99"/>
    <w:qFormat/>
    <w:rPr>
      <w:rFonts w:ascii="宋体" w:hAnsi="Courier New" w:cs="Courier New"/>
      <w:sz w:val="21"/>
      <w:szCs w:val="21"/>
    </w:rPr>
  </w:style>
  <w:style w:type="character" w:styleId="1143">
    <w:name w:val="Plain Text Char Char"/>
    <w:next w:val="1143"/>
    <w:link w:val="1144"/>
    <w:qFormat/>
    <w:rPr>
      <w:rFonts w:ascii="宋体" w:hAnsi="Courier New" w:eastAsia="楷体_GB2312"/>
      <w:sz w:val="28"/>
    </w:rPr>
  </w:style>
  <w:style w:type="paragraph" w:styleId="1144">
    <w:name w:val="纯文本1"/>
    <w:basedOn w:val="1035"/>
    <w:next w:val="1144"/>
    <w:link w:val="1143"/>
    <w:qFormat/>
    <w:rPr>
      <w:rFonts w:ascii="宋体" w:hAnsi="Courier New" w:eastAsia="楷体_GB2312"/>
      <w:sz w:val="28"/>
      <w:szCs w:val="20"/>
    </w:rPr>
  </w:style>
  <w:style w:type="character" w:styleId="1145">
    <w:name w:val="font111"/>
    <w:next w:val="1145"/>
    <w:link w:val="1035"/>
    <w:qFormat/>
    <w:rPr>
      <w:rFonts w:ascii="Times New Roman" w:hAnsi="Times New Roman" w:cs="Times New Roman"/>
      <w:color w:val="000000"/>
      <w:sz w:val="20"/>
      <w:szCs w:val="20"/>
      <w:u w:val="none"/>
    </w:rPr>
  </w:style>
  <w:style w:type="character" w:styleId="1146">
    <w:name w:val="font31"/>
    <w:next w:val="1146"/>
    <w:link w:val="1035"/>
    <w:qFormat/>
    <w:rPr>
      <w:rFonts w:hint="eastAsia" w:ascii="宋体" w:hAnsi="宋体" w:eastAsia="宋体" w:cs="宋体"/>
      <w:b/>
      <w:color w:val="000000"/>
      <w:sz w:val="28"/>
      <w:szCs w:val="28"/>
      <w:u w:val="none"/>
    </w:rPr>
  </w:style>
  <w:style w:type="character" w:styleId="1147">
    <w:name w:val="font41"/>
    <w:next w:val="1147"/>
    <w:link w:val="1035"/>
    <w:qFormat/>
    <w:rPr>
      <w:rFonts w:hint="eastAsia" w:ascii="宋体" w:hAnsi="宋体" w:eastAsia="宋体" w:cs="宋体"/>
      <w:color w:val="000000"/>
      <w:sz w:val="24"/>
      <w:szCs w:val="24"/>
      <w:u w:val="none"/>
    </w:rPr>
  </w:style>
  <w:style w:type="character" w:styleId="1148">
    <w:name w:val="font81"/>
    <w:next w:val="1148"/>
    <w:link w:val="1035"/>
    <w:qFormat/>
    <w:rPr>
      <w:rFonts w:hint="eastAsia" w:ascii="宋体" w:hAnsi="宋体" w:eastAsia="宋体" w:cs="宋体"/>
      <w:color w:val="000000"/>
      <w:sz w:val="24"/>
      <w:szCs w:val="24"/>
      <w:u w:val="none"/>
    </w:rPr>
  </w:style>
  <w:style w:type="character" w:styleId="1149">
    <w:name w:val="font121"/>
    <w:next w:val="1149"/>
    <w:link w:val="1035"/>
    <w:qFormat/>
    <w:rPr>
      <w:rFonts w:hint="eastAsia" w:ascii="宋体" w:hAnsi="宋体" w:eastAsia="宋体" w:cs="宋体"/>
      <w:color w:val="000000"/>
      <w:sz w:val="20"/>
      <w:szCs w:val="20"/>
      <w:u w:val="none"/>
    </w:rPr>
  </w:style>
  <w:style w:type="character" w:styleId="1150">
    <w:name w:val="Andy_正文 Char"/>
    <w:next w:val="1150"/>
    <w:link w:val="1151"/>
    <w:qFormat/>
    <w:rPr>
      <w:sz w:val="24"/>
      <w:szCs w:val="24"/>
    </w:rPr>
  </w:style>
  <w:style w:type="paragraph" w:styleId="1151">
    <w:name w:val="Andy_正文"/>
    <w:basedOn w:val="1035"/>
    <w:next w:val="1151"/>
    <w:link w:val="1150"/>
    <w:qFormat/>
    <w:pPr>
      <w:ind w:firstLine="480"/>
      <w:spacing w:line="360" w:lineRule="auto"/>
    </w:pPr>
    <w:rPr>
      <w:sz w:val="24"/>
      <w:szCs w:val="24"/>
    </w:rPr>
  </w:style>
  <w:style w:type="character" w:styleId="1152">
    <w:name w:val="font61"/>
    <w:next w:val="1152"/>
    <w:link w:val="1035"/>
    <w:qFormat/>
    <w:rPr>
      <w:rFonts w:ascii="font-weight : 400" w:hAnsi="font-weight : 400" w:eastAsia="font-weight : 400" w:cs="font-weight : 400"/>
      <w:color w:val="000000"/>
      <w:sz w:val="20"/>
      <w:szCs w:val="20"/>
      <w:u w:val="none"/>
    </w:rPr>
  </w:style>
  <w:style w:type="character" w:styleId="1153">
    <w:name w:val="列出段落 Char"/>
    <w:next w:val="1153"/>
    <w:link w:val="1154"/>
    <w:qFormat/>
    <w:rPr>
      <w:sz w:val="22"/>
    </w:rPr>
  </w:style>
  <w:style w:type="paragraph" w:styleId="1154">
    <w:name w:val="列出段落1"/>
    <w:basedOn w:val="1035"/>
    <w:next w:val="1154"/>
    <w:link w:val="1153"/>
    <w:qFormat/>
    <w:pPr>
      <w:ind w:firstLine="200"/>
      <w:spacing w:line="360" w:lineRule="auto"/>
    </w:pPr>
    <w:rPr>
      <w:sz w:val="22"/>
      <w:szCs w:val="20"/>
    </w:rPr>
  </w:style>
  <w:style w:type="character" w:styleId="1155">
    <w:name w:val="font01"/>
    <w:next w:val="1155"/>
    <w:link w:val="1035"/>
    <w:qFormat/>
    <w:rPr>
      <w:rFonts w:hint="eastAsia" w:ascii="宋体" w:hAnsi="宋体" w:eastAsia="宋体" w:cs="宋体"/>
      <w:color w:val="000000"/>
      <w:sz w:val="24"/>
      <w:szCs w:val="24"/>
      <w:u w:val="none"/>
    </w:rPr>
  </w:style>
  <w:style w:type="character" w:styleId="1156">
    <w:name w:val="font21"/>
    <w:next w:val="1156"/>
    <w:link w:val="1035"/>
    <w:qFormat/>
    <w:rPr>
      <w:rFonts w:ascii="Times New Roman" w:hAnsi="Times New Roman" w:cs="Times New Roman"/>
      <w:color w:val="000000"/>
      <w:sz w:val="24"/>
      <w:szCs w:val="24"/>
      <w:u w:val="none"/>
    </w:rPr>
  </w:style>
  <w:style w:type="character" w:styleId="1157">
    <w:name w:val="font11"/>
    <w:next w:val="1157"/>
    <w:link w:val="1035"/>
    <w:qFormat/>
    <w:rPr>
      <w:rFonts w:hint="eastAsia" w:ascii="宋体" w:hAnsi="宋体" w:eastAsia="宋体" w:cs="宋体"/>
      <w:color w:val="000000"/>
      <w:sz w:val="24"/>
      <w:szCs w:val="24"/>
      <w:u w:val="none"/>
      <w:vertAlign w:val="subscript"/>
    </w:rPr>
  </w:style>
  <w:style w:type="paragraph" w:styleId="1158">
    <w:name w:val="正文 1.1"/>
    <w:basedOn w:val="1035"/>
    <w:next w:val="1159"/>
    <w:link w:val="1035"/>
    <w:qFormat/>
    <w:pPr>
      <w:ind w:left="980" w:hanging="980"/>
      <w:spacing w:line="360" w:lineRule="auto"/>
      <w:tabs>
        <w:tab w:val="left" w:pos="840" w:leader="none"/>
      </w:tabs>
      <w:outlineLvl w:val="1"/>
    </w:pPr>
    <w:rPr>
      <w:rFonts w:ascii="仿宋" w:hAnsi="仿宋" w:eastAsia="仿宋"/>
      <w:b/>
      <w:sz w:val="28"/>
      <w:szCs w:val="21"/>
    </w:rPr>
  </w:style>
  <w:style w:type="paragraph" w:styleId="1159">
    <w:name w:val="正文 1.1.1"/>
    <w:basedOn w:val="1035"/>
    <w:next w:val="1035"/>
    <w:link w:val="1035"/>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1160">
    <w:name w:val="正文空4格  1）"/>
    <w:basedOn w:val="1035"/>
    <w:next w:val="1160"/>
    <w:link w:val="1035"/>
    <w:qFormat/>
    <w:pPr>
      <w:ind w:firstLine="1120"/>
      <w:spacing w:line="360" w:lineRule="auto"/>
    </w:pPr>
    <w:rPr>
      <w:rFonts w:ascii="宋体" w:eastAsia="仿宋" w:cs="宋体"/>
      <w:sz w:val="28"/>
      <w:szCs w:val="20"/>
    </w:rPr>
  </w:style>
  <w:style w:type="paragraph" w:styleId="1161">
    <w:name w:val="彩色列表 - 着色 11"/>
    <w:basedOn w:val="1035"/>
    <w:next w:val="1161"/>
    <w:link w:val="1035"/>
    <w:uiPriority w:val="34"/>
    <w:qFormat/>
    <w:pPr>
      <w:ind w:firstLine="420"/>
    </w:pPr>
    <w:rPr>
      <w:szCs w:val="20"/>
    </w:rPr>
  </w:style>
  <w:style w:type="paragraph" w:styleId="1162">
    <w:name w:val="纯文本4"/>
    <w:basedOn w:val="1035"/>
    <w:next w:val="1162"/>
    <w:link w:val="1035"/>
    <w:qFormat/>
    <w:rPr>
      <w:rFonts w:ascii="宋体" w:hAnsi="Courier New" w:eastAsia="楷体_GB2312"/>
      <w:sz w:val="28"/>
      <w:szCs w:val="24"/>
    </w:rPr>
  </w:style>
  <w:style w:type="paragraph" w:styleId="1163">
    <w:name w:val="正文空2格  1."/>
    <w:basedOn w:val="1035"/>
    <w:next w:val="1163"/>
    <w:link w:val="1035"/>
    <w:qFormat/>
    <w:pPr>
      <w:ind w:firstLine="480"/>
      <w:spacing w:line="360" w:lineRule="auto"/>
    </w:pPr>
    <w:rPr>
      <w:rFonts w:ascii="宋体" w:eastAsia="仿宋" w:cs="宋体"/>
      <w:sz w:val="28"/>
      <w:szCs w:val="20"/>
    </w:rPr>
  </w:style>
  <w:style w:type="paragraph" w:styleId="1164">
    <w:name w:val="_Style 1"/>
    <w:basedOn w:val="1035"/>
    <w:next w:val="1164"/>
    <w:link w:val="1035"/>
    <w:uiPriority w:val="99"/>
    <w:qFormat/>
    <w:pPr>
      <w:ind w:firstLine="420"/>
    </w:pPr>
    <w:rPr>
      <w:rFonts w:eastAsia="楷体_GB2312"/>
      <w:sz w:val="26"/>
      <w:szCs w:val="20"/>
    </w:rPr>
  </w:style>
  <w:style w:type="paragraph" w:styleId="1165">
    <w:name w:val="列出段落11"/>
    <w:basedOn w:val="1035"/>
    <w:next w:val="1165"/>
    <w:link w:val="1035"/>
    <w:qFormat/>
    <w:pPr>
      <w:ind w:firstLine="420"/>
    </w:pPr>
    <w:rPr>
      <w:szCs w:val="24"/>
    </w:rPr>
  </w:style>
  <w:style w:type="paragraph" w:styleId="1166">
    <w:name w:val="纯文本111"/>
    <w:basedOn w:val="1035"/>
    <w:next w:val="1166"/>
    <w:link w:val="1035"/>
    <w:qFormat/>
    <w:rPr>
      <w:rFonts w:ascii="宋体" w:hAnsi="Courier New" w:eastAsia="楷体_GB2312"/>
      <w:sz w:val="26"/>
      <w:szCs w:val="24"/>
    </w:rPr>
  </w:style>
  <w:style w:type="paragraph" w:styleId="1167">
    <w:name w:val="修订1"/>
    <w:next w:val="1167"/>
    <w:link w:val="1035"/>
    <w:uiPriority w:val="99"/>
    <w:unhideWhenUsed/>
    <w:qFormat/>
    <w:rPr>
      <w:sz w:val="21"/>
      <w:szCs w:val="24"/>
      <w:lang w:val="en-US" w:eastAsia="zh-CN" w:bidi="ar-SA"/>
    </w:rPr>
  </w:style>
  <w:style w:type="paragraph" w:styleId="1168">
    <w:name w:val="列出段落"/>
    <w:basedOn w:val="1035"/>
    <w:next w:val="1168"/>
    <w:link w:val="1169"/>
    <w:qFormat/>
    <w:pPr>
      <w:ind w:firstLine="420"/>
    </w:pPr>
    <w:rPr>
      <w:szCs w:val="24"/>
    </w:rPr>
  </w:style>
  <w:style w:type="character" w:styleId="1169">
    <w:name w:val="列出段落 字符"/>
    <w:next w:val="1169"/>
    <w:link w:val="1168"/>
    <w:rPr>
      <w:sz w:val="21"/>
      <w:szCs w:val="24"/>
    </w:rPr>
  </w:style>
  <w:style w:type="paragraph" w:styleId="1170">
    <w:name w:val="纯文本11"/>
    <w:basedOn w:val="1035"/>
    <w:next w:val="1170"/>
    <w:link w:val="1035"/>
    <w:qFormat/>
    <w:rPr>
      <w:rFonts w:ascii="宋体" w:hAnsi="Courier New" w:eastAsia="楷体_GB2312"/>
      <w:sz w:val="26"/>
      <w:szCs w:val="24"/>
    </w:rPr>
  </w:style>
  <w:style w:type="character" w:styleId="1171">
    <w:name w:val="文字正文主体 Char Char"/>
    <w:next w:val="1171"/>
    <w:link w:val="1172"/>
    <w:qFormat/>
    <w:rPr>
      <w:rFonts w:ascii="仿宋" w:hAnsi="仿宋" w:eastAsia="仿宋"/>
      <w:color w:val="3a3a3a"/>
      <w:sz w:val="28"/>
    </w:rPr>
  </w:style>
  <w:style w:type="paragraph" w:styleId="1172">
    <w:name w:val="文字正文主体"/>
    <w:basedOn w:val="1035"/>
    <w:next w:val="1172"/>
    <w:link w:val="1171"/>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173">
    <w:name w:val="Char Char5"/>
    <w:next w:val="1173"/>
    <w:link w:val="1035"/>
    <w:qFormat/>
    <w:rPr>
      <w:sz w:val="24"/>
    </w:rPr>
  </w:style>
  <w:style w:type="character" w:styleId="1174">
    <w:name w:val="Char Char8"/>
    <w:next w:val="1174"/>
    <w:link w:val="1035"/>
    <w:qFormat/>
    <w:rPr>
      <w:sz w:val="18"/>
    </w:rPr>
  </w:style>
  <w:style w:type="character" w:styleId="1175">
    <w:name w:val="Char Char11"/>
    <w:next w:val="1175"/>
    <w:link w:val="1035"/>
    <w:qFormat/>
    <w:rPr>
      <w:sz w:val="21"/>
    </w:rPr>
  </w:style>
  <w:style w:type="character" w:styleId="1176">
    <w:name w:val="c lh15"/>
    <w:next w:val="1176"/>
    <w:link w:val="1035"/>
    <w:qFormat/>
  </w:style>
  <w:style w:type="character" w:styleId="1177">
    <w:name w:val="+正文 Char3"/>
    <w:next w:val="1177"/>
    <w:link w:val="1178"/>
    <w:qFormat/>
    <w:rPr>
      <w:sz w:val="24"/>
    </w:rPr>
  </w:style>
  <w:style w:type="paragraph" w:styleId="1178">
    <w:name w:val="+正文"/>
    <w:basedOn w:val="1035"/>
    <w:next w:val="1178"/>
    <w:link w:val="1177"/>
    <w:qFormat/>
    <w:pPr>
      <w:ind w:firstLine="200"/>
      <w:spacing w:line="360" w:lineRule="auto"/>
    </w:pPr>
    <w:rPr>
      <w:sz w:val="24"/>
      <w:szCs w:val="20"/>
    </w:rPr>
  </w:style>
  <w:style w:type="character" w:styleId="1179">
    <w:name w:val="日期 Char1"/>
    <w:next w:val="1179"/>
    <w:link w:val="1035"/>
    <w:qFormat/>
    <w:rPr>
      <w:sz w:val="21"/>
      <w:szCs w:val="24"/>
    </w:rPr>
  </w:style>
  <w:style w:type="character" w:styleId="1180">
    <w:name w:val="标题 Char1"/>
    <w:next w:val="1180"/>
    <w:link w:val="1035"/>
    <w:uiPriority w:val="10"/>
    <w:qFormat/>
    <w:rPr>
      <w:rFonts w:ascii="Cambria" w:hAnsi="Cambria" w:cs="Times New Roman"/>
      <w:b/>
      <w:bCs/>
      <w:sz w:val="32"/>
      <w:szCs w:val="32"/>
    </w:rPr>
  </w:style>
  <w:style w:type="paragraph" w:styleId="1181">
    <w:name w:val="纯文本14"/>
    <w:basedOn w:val="1035"/>
    <w:next w:val="1181"/>
    <w:link w:val="1035"/>
    <w:qFormat/>
    <w:rPr>
      <w:rFonts w:ascii="宋体" w:hAnsi="Courier New" w:eastAsia="楷体_GB2312"/>
      <w:sz w:val="28"/>
      <w:szCs w:val="20"/>
    </w:rPr>
  </w:style>
  <w:style w:type="paragraph" w:styleId="1182">
    <w:name w:val="Char Char Char Char Char Char Char Char Char Char"/>
    <w:basedOn w:val="1035"/>
    <w:next w:val="1182"/>
    <w:link w:val="1035"/>
    <w:qFormat/>
    <w:pPr>
      <w:numPr>
        <w:ilvl w:val="0"/>
        <w:numId w:val="9"/>
      </w:numPr>
      <w:tabs>
        <w:tab w:val="left" w:pos="420" w:leader="none"/>
      </w:tabs>
    </w:pPr>
    <w:rPr>
      <w:rFonts w:ascii="Times New Roman" w:hAnsi="Times New Roman"/>
      <w:sz w:val="24"/>
      <w:szCs w:val="24"/>
    </w:rPr>
  </w:style>
  <w:style w:type="paragraph" w:styleId="1183">
    <w:name w:val="Plain Text1"/>
    <w:basedOn w:val="1035"/>
    <w:next w:val="1183"/>
    <w:link w:val="1035"/>
    <w:qFormat/>
    <w:rPr>
      <w:rFonts w:hint="eastAsia" w:ascii="宋体" w:hAnsi="Courier New"/>
      <w:szCs w:val="24"/>
    </w:rPr>
  </w:style>
  <w:style w:type="paragraph" w:styleId="1184">
    <w:name w:val="正文首行缩进两字符"/>
    <w:basedOn w:val="1035"/>
    <w:next w:val="1184"/>
    <w:link w:val="1035"/>
    <w:qFormat/>
    <w:pPr>
      <w:ind w:firstLine="200"/>
      <w:spacing w:line="360" w:lineRule="auto"/>
    </w:pPr>
    <w:rPr>
      <w:rFonts w:ascii="Times New Roman" w:hAnsi="Times New Roman"/>
      <w:szCs w:val="24"/>
    </w:rPr>
  </w:style>
  <w:style w:type="paragraph" w:styleId="1185">
    <w:name w:val="Char Char Char Char Char Char Char Char Char1 Char Char Char Char"/>
    <w:basedOn w:val="1066"/>
    <w:next w:val="1185"/>
    <w:link w:val="1035"/>
    <w:qFormat/>
    <w:pPr>
      <w:spacing w:line="360" w:lineRule="auto"/>
    </w:pPr>
    <w:rPr>
      <w:rFonts w:eastAsia="楷体_GB2312"/>
      <w:sz w:val="26"/>
      <w:szCs w:val="20"/>
    </w:rPr>
  </w:style>
  <w:style w:type="paragraph" w:styleId="1186">
    <w:name w:val="正文2"/>
    <w:basedOn w:val="1035"/>
    <w:next w:val="1186"/>
    <w:link w:val="1035"/>
    <w:qFormat/>
    <w:pPr>
      <w:ind w:firstLine="200"/>
      <w:jc w:val="left"/>
      <w:spacing w:after="160" w:line="360" w:lineRule="auto"/>
      <w:widowControl/>
    </w:pPr>
    <w:rPr>
      <w:rFonts w:ascii="Verdana" w:hAnsi="Verdana" w:eastAsia="黑体"/>
      <w:szCs w:val="20"/>
      <w:lang w:eastAsia="en-US"/>
    </w:rPr>
  </w:style>
  <w:style w:type="paragraph" w:styleId="1187">
    <w:name w:val="Char Char Char"/>
    <w:basedOn w:val="1066"/>
    <w:next w:val="1187"/>
    <w:link w:val="1035"/>
    <w:qFormat/>
    <w:pPr>
      <w:spacing w:line="360" w:lineRule="auto"/>
    </w:pPr>
    <w:rPr>
      <w:rFonts w:ascii="Tahoma" w:hAnsi="Tahoma"/>
      <w:sz w:val="24"/>
    </w:rPr>
  </w:style>
  <w:style w:type="paragraph" w:styleId="1188">
    <w:name w:val="无间隔"/>
    <w:next w:val="1188"/>
    <w:link w:val="1189"/>
    <w:qFormat/>
    <w:pPr>
      <w:jc w:val="both"/>
      <w:widowControl w:val="off"/>
    </w:pPr>
    <w:rPr>
      <w:rFonts w:ascii="Times New Roman" w:hAnsi="Times New Roman"/>
      <w:sz w:val="21"/>
      <w:szCs w:val="24"/>
      <w:lang w:val="en-US" w:eastAsia="zh-CN" w:bidi="ar-SA"/>
    </w:rPr>
  </w:style>
  <w:style w:type="character" w:styleId="1189">
    <w:name w:val="无间隔 字符"/>
    <w:next w:val="1189"/>
    <w:link w:val="1188"/>
    <w:rPr>
      <w:rFonts w:ascii="Times New Roman" w:hAnsi="Times New Roman"/>
      <w:sz w:val="21"/>
      <w:szCs w:val="24"/>
    </w:rPr>
  </w:style>
  <w:style w:type="paragraph" w:styleId="1190">
    <w:name w:val="正文1"/>
    <w:next w:val="1035"/>
    <w:link w:val="1035"/>
    <w:qFormat/>
    <w:pPr>
      <w:jc w:val="both"/>
      <w:spacing w:line="315" w:lineRule="atLeast"/>
      <w:widowControl w:val="off"/>
    </w:pPr>
    <w:rPr>
      <w:rFonts w:ascii="宋体" w:hAnsi="宋体"/>
      <w:sz w:val="21"/>
      <w:lang w:val="en-US" w:eastAsia="zh-CN" w:bidi="ar-SA"/>
    </w:rPr>
  </w:style>
  <w:style w:type="paragraph" w:styleId="1191">
    <w:name w:val="纯文本2"/>
    <w:basedOn w:val="1035"/>
    <w:next w:val="1191"/>
    <w:link w:val="1035"/>
    <w:qFormat/>
    <w:rPr>
      <w:rFonts w:ascii="宋体" w:hAnsi="Courier New" w:eastAsia="楷体_GB2312"/>
      <w:sz w:val="28"/>
      <w:szCs w:val="20"/>
    </w:rPr>
  </w:style>
  <w:style w:type="paragraph" w:styleId="1192">
    <w:name w:val="正文 A"/>
    <w:next w:val="1192"/>
    <w:link w:val="1035"/>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color w:val="000000"/>
      <w:sz w:val="26"/>
      <w:szCs w:val="26"/>
      <w:lang w:val="en-US" w:eastAsia="zh-CN" w:bidi="ar-SA"/>
    </w:rPr>
  </w:style>
  <w:style w:type="paragraph" w:styleId="1193">
    <w:name w:val="Char Char Char1 Char Char Char Char"/>
    <w:basedOn w:val="1035"/>
    <w:next w:val="1193"/>
    <w:link w:val="1035"/>
    <w:qFormat/>
    <w:pPr>
      <w:jc w:val="left"/>
      <w:spacing w:after="160" w:line="240" w:lineRule="exact"/>
      <w:widowControl/>
    </w:pPr>
    <w:rPr>
      <w:rFonts w:ascii="Times New Roman" w:hAnsi="Times New Roman"/>
      <w:sz w:val="24"/>
      <w:szCs w:val="24"/>
    </w:rPr>
  </w:style>
  <w:style w:type="paragraph" w:styleId="1194">
    <w:name w:val="Char"/>
    <w:basedOn w:val="1035"/>
    <w:next w:val="1194"/>
    <w:link w:val="1035"/>
    <w:qFormat/>
    <w:pPr>
      <w:tabs>
        <w:tab w:val="left" w:pos="420" w:leader="none"/>
      </w:tabs>
    </w:pPr>
    <w:rPr>
      <w:rFonts w:ascii="Times New Roman" w:hAnsi="Times New Roman"/>
      <w:sz w:val="24"/>
      <w:szCs w:val="24"/>
    </w:rPr>
  </w:style>
  <w:style w:type="paragraph" w:styleId="1195">
    <w:name w:val="Char Char Char Char Char Char Char Char Char1 Char"/>
    <w:basedOn w:val="1066"/>
    <w:next w:val="1195"/>
    <w:link w:val="1035"/>
    <w:qFormat/>
    <w:pPr>
      <w:spacing w:line="360" w:lineRule="auto"/>
    </w:pPr>
    <w:rPr>
      <w:rFonts w:ascii="Tahoma" w:hAnsi="Tahoma"/>
      <w:sz w:val="24"/>
    </w:rPr>
  </w:style>
  <w:style w:type="paragraph" w:styleId="1196">
    <w:name w:val="Char1 Char Char Char"/>
    <w:basedOn w:val="1035"/>
    <w:next w:val="1196"/>
    <w:link w:val="1035"/>
    <w:qFormat/>
    <w:rPr>
      <w:rFonts w:ascii="Tahoma" w:hAnsi="Tahoma"/>
      <w:sz w:val="24"/>
      <w:szCs w:val="20"/>
    </w:rPr>
  </w:style>
  <w:style w:type="paragraph" w:styleId="1197">
    <w:name w:val="Default"/>
    <w:next w:val="1197"/>
    <w:link w:val="1035"/>
    <w:qFormat/>
    <w:pPr>
      <w:widowControl w:val="off"/>
    </w:pPr>
    <w:rPr>
      <w:rFonts w:ascii="宋体" w:hAnsi="Times New Roman" w:cs="宋体"/>
      <w:color w:val="000000"/>
      <w:sz w:val="24"/>
      <w:szCs w:val="24"/>
      <w:lang w:val="en-US" w:eastAsia="zh-CN" w:bidi="ar-SA"/>
    </w:rPr>
  </w:style>
  <w:style w:type="paragraph" w:styleId="1198">
    <w:name w:val="Char Char Char Char"/>
    <w:basedOn w:val="1066"/>
    <w:next w:val="1198"/>
    <w:link w:val="1035"/>
    <w:qFormat/>
    <w:pPr>
      <w:spacing w:line="360" w:lineRule="auto"/>
    </w:pPr>
    <w:rPr>
      <w:sz w:val="24"/>
      <w:szCs w:val="20"/>
    </w:rPr>
  </w:style>
  <w:style w:type="character" w:styleId="1199">
    <w:name w:val="NormalCharacter1"/>
    <w:next w:val="1199"/>
    <w:link w:val="1035"/>
    <w:qFormat/>
  </w:style>
  <w:style w:type="paragraph" w:styleId="1200">
    <w:name w:val="正文缩进1"/>
    <w:basedOn w:val="1035"/>
    <w:next w:val="1035"/>
    <w:link w:val="1035"/>
    <w:qFormat/>
    <w:pPr>
      <w:ind w:firstLine="420"/>
      <w:jc w:val="left"/>
    </w:pPr>
    <w:rPr>
      <w:rFonts w:ascii="Times New Roman" w:hAnsi="Times New Roman" w:eastAsia="楷体_GB2312"/>
      <w:sz w:val="24"/>
      <w:szCs w:val="20"/>
    </w:rPr>
  </w:style>
  <w:style w:type="character" w:styleId="1201">
    <w:name w:val="超链接1"/>
    <w:next w:val="1201"/>
    <w:link w:val="1035"/>
    <w:uiPriority w:val="99"/>
    <w:qFormat/>
    <w:rPr>
      <w:rFonts w:ascii="Times New Roman" w:hAnsi="Times New Roman" w:eastAsia="宋体" w:cs="Times New Roman"/>
      <w:color w:val="0000ff"/>
      <w:u w:val="single"/>
    </w:rPr>
  </w:style>
  <w:style w:type="paragraph" w:styleId="1202">
    <w:name w:val="正文文本缩进 31"/>
    <w:basedOn w:val="1035"/>
    <w:next w:val="1202"/>
    <w:link w:val="1035"/>
    <w:qFormat/>
    <w:pPr>
      <w:ind w:firstLine="617"/>
      <w:spacing w:line="360" w:lineRule="auto"/>
    </w:pPr>
    <w:rPr>
      <w:sz w:val="24"/>
      <w:szCs w:val="24"/>
    </w:rPr>
  </w:style>
  <w:style w:type="character" w:styleId="1203">
    <w:name w:val="grame"/>
    <w:next w:val="1203"/>
    <w:link w:val="1035"/>
  </w:style>
  <w:style w:type="character" w:styleId="1204">
    <w:name w:val="正文缩进 字符"/>
    <w:next w:val="1204"/>
    <w:link w:val="1035"/>
    <w:uiPriority w:val="99"/>
    <w:qFormat/>
    <w:rPr>
      <w:rFonts w:ascii="楷体_GB2312" w:eastAsia="楷体_GB2312"/>
      <w:sz w:val="24"/>
    </w:rPr>
  </w:style>
  <w:style w:type="character" w:styleId="1205">
    <w:name w:val="标题 1 字符"/>
    <w:next w:val="1205"/>
    <w:link w:val="1035"/>
    <w:uiPriority w:val="9"/>
    <w:qFormat/>
    <w:rPr>
      <w:rFonts w:ascii="Arial" w:hAnsi="Arial" w:eastAsia="Arial" w:cs="Arial"/>
      <w:sz w:val="40"/>
      <w:szCs w:val="40"/>
    </w:rPr>
  </w:style>
  <w:style w:type="character" w:styleId="1206">
    <w:name w:val="Heading 6 Char"/>
    <w:next w:val="1206"/>
    <w:link w:val="1035"/>
    <w:uiPriority w:val="9"/>
    <w:rPr>
      <w:rFonts w:ascii="Arial" w:hAnsi="Arial" w:eastAsia="Arial" w:cs="Arial"/>
      <w:b/>
      <w:bCs/>
      <w:sz w:val="22"/>
      <w:szCs w:val="22"/>
    </w:rPr>
  </w:style>
  <w:style w:type="character" w:styleId="1207">
    <w:name w:val="Heading 7 Char"/>
    <w:next w:val="1207"/>
    <w:link w:val="1035"/>
    <w:uiPriority w:val="9"/>
    <w:rPr>
      <w:rFonts w:ascii="Arial" w:hAnsi="Arial" w:eastAsia="Arial" w:cs="Arial"/>
      <w:b/>
      <w:bCs/>
      <w:i/>
      <w:iCs/>
      <w:sz w:val="22"/>
      <w:szCs w:val="22"/>
    </w:rPr>
  </w:style>
  <w:style w:type="character" w:styleId="1208">
    <w:name w:val="Heading 8 Char"/>
    <w:next w:val="1208"/>
    <w:link w:val="1035"/>
    <w:uiPriority w:val="9"/>
    <w:rPr>
      <w:rFonts w:ascii="Arial" w:hAnsi="Arial" w:eastAsia="Arial" w:cs="Arial"/>
      <w:i/>
      <w:iCs/>
      <w:sz w:val="22"/>
      <w:szCs w:val="22"/>
    </w:rPr>
  </w:style>
  <w:style w:type="character" w:styleId="1209">
    <w:name w:val="Heading 9 Char"/>
    <w:next w:val="1209"/>
    <w:link w:val="1035"/>
    <w:uiPriority w:val="9"/>
    <w:rPr>
      <w:rFonts w:ascii="Arial" w:hAnsi="Arial" w:eastAsia="Arial" w:cs="Arial"/>
      <w:i/>
      <w:iCs/>
      <w:sz w:val="21"/>
      <w:szCs w:val="21"/>
    </w:rPr>
  </w:style>
  <w:style w:type="character" w:styleId="1210">
    <w:name w:val="Subtitle Char"/>
    <w:next w:val="1210"/>
    <w:link w:val="1035"/>
    <w:uiPriority w:val="11"/>
    <w:rPr>
      <w:sz w:val="24"/>
      <w:szCs w:val="24"/>
    </w:rPr>
  </w:style>
  <w:style w:type="paragraph" w:styleId="1211">
    <w:name w:val="引用"/>
    <w:basedOn w:val="1035"/>
    <w:next w:val="1035"/>
    <w:link w:val="1212"/>
    <w:qFormat/>
    <w:rPr>
      <w:i/>
      <w:iCs/>
      <w:color w:val="000000"/>
      <w:sz w:val="24"/>
    </w:rPr>
  </w:style>
  <w:style w:type="character" w:styleId="1212">
    <w:name w:val="引用 字符"/>
    <w:next w:val="1212"/>
    <w:link w:val="1211"/>
    <w:rPr>
      <w:i/>
      <w:iCs/>
      <w:color w:val="000000"/>
      <w:sz w:val="24"/>
      <w:szCs w:val="22"/>
    </w:rPr>
  </w:style>
  <w:style w:type="character" w:styleId="1213">
    <w:name w:val="Quote Char"/>
    <w:next w:val="1213"/>
    <w:link w:val="1035"/>
    <w:uiPriority w:val="29"/>
    <w:rPr>
      <w:i/>
    </w:rPr>
  </w:style>
  <w:style w:type="paragraph" w:styleId="1214">
    <w:name w:val="明显引用"/>
    <w:basedOn w:val="1035"/>
    <w:next w:val="1035"/>
    <w:link w:val="1215"/>
    <w:qFormat/>
    <w:pPr>
      <w:ind w:left="936" w:right="936"/>
      <w:spacing w:before="200" w:after="280"/>
      <w:pBdr>
        <w:bottom w:val="single" w:color="4F81BD" w:sz="4" w:space="4"/>
      </w:pBdr>
    </w:pPr>
    <w:rPr>
      <w:b/>
      <w:bCs/>
      <w:i/>
      <w:iCs/>
      <w:color w:val="4f81bd"/>
      <w:sz w:val="24"/>
    </w:rPr>
  </w:style>
  <w:style w:type="character" w:styleId="1215">
    <w:name w:val="明显引用 字符"/>
    <w:next w:val="1215"/>
    <w:link w:val="1214"/>
    <w:rPr>
      <w:b/>
      <w:bCs/>
      <w:i/>
      <w:iCs/>
      <w:color w:val="4f81bd"/>
      <w:sz w:val="24"/>
      <w:szCs w:val="22"/>
    </w:rPr>
  </w:style>
  <w:style w:type="character" w:styleId="1216">
    <w:name w:val="Intense Quote Char"/>
    <w:next w:val="1216"/>
    <w:link w:val="1035"/>
    <w:uiPriority w:val="30"/>
    <w:rPr>
      <w:i/>
    </w:rPr>
  </w:style>
  <w:style w:type="character" w:styleId="1217">
    <w:name w:val="Caption Char"/>
    <w:next w:val="1217"/>
    <w:link w:val="1035"/>
    <w:uiPriority w:val="99"/>
  </w:style>
  <w:style w:type="table" w:styleId="1218">
    <w:name w:val="网格型1"/>
    <w:basedOn w:val="1046"/>
    <w:next w:val="1218"/>
    <w:link w:val="1035"/>
    <w:uiPriority w:val="59"/>
    <w:pPr>
      <w:jc w:val="both"/>
      <w:widowControl w:val="off"/>
    </w:pPr>
    <w:rPr>
      <w:rFonts w:ascii="Times New Roman" w:hAnsi="Times New Roman"/>
    </w:rPr>
    <w:tblPr/>
  </w:style>
  <w:style w:type="table" w:styleId="1219">
    <w:name w:val="Table Grid Light"/>
    <w:next w:val="1219"/>
    <w:link w:val="1035"/>
    <w:uiPriority w:val="59"/>
    <w:rPr>
      <w:lang w:val="en-US" w:eastAsia="zh-CN" w:bidi="ar-SA"/>
    </w:rPr>
    <w:tblPr/>
  </w:style>
  <w:style w:type="table" w:styleId="1220">
    <w:name w:val="无格式表格 11"/>
    <w:next w:val="1220"/>
    <w:link w:val="1035"/>
    <w:uiPriority w:val="59"/>
    <w:rPr>
      <w:lang w:val="en-US" w:eastAsia="zh-CN" w:bidi="ar-SA"/>
    </w:rPr>
    <w:tblPr/>
  </w:style>
  <w:style w:type="table" w:styleId="1221">
    <w:name w:val="无格式表格 21"/>
    <w:next w:val="1221"/>
    <w:link w:val="1035"/>
    <w:uiPriority w:val="59"/>
    <w:rPr>
      <w:lang w:val="en-US" w:eastAsia="zh-CN" w:bidi="ar-SA"/>
    </w:rPr>
    <w:tblPr/>
  </w:style>
  <w:style w:type="table" w:styleId="1222">
    <w:name w:val="无格式表格 31"/>
    <w:next w:val="1222"/>
    <w:link w:val="1035"/>
    <w:uiPriority w:val="99"/>
    <w:rPr>
      <w:lang w:val="en-US" w:eastAsia="zh-CN" w:bidi="ar-SA"/>
    </w:rPr>
    <w:tblPr/>
  </w:style>
  <w:style w:type="table" w:styleId="1223">
    <w:name w:val="无格式表格 41"/>
    <w:next w:val="1223"/>
    <w:link w:val="1035"/>
    <w:uiPriority w:val="99"/>
    <w:rPr>
      <w:lang w:val="en-US" w:eastAsia="zh-CN" w:bidi="ar-SA"/>
    </w:rPr>
    <w:tblPr/>
  </w:style>
  <w:style w:type="table" w:styleId="1224">
    <w:name w:val="无格式表格 51"/>
    <w:next w:val="1224"/>
    <w:link w:val="1035"/>
    <w:uiPriority w:val="99"/>
    <w:rPr>
      <w:lang w:val="en-US" w:eastAsia="zh-CN" w:bidi="ar-SA"/>
    </w:rPr>
    <w:tblPr/>
  </w:style>
  <w:style w:type="table" w:styleId="1225">
    <w:name w:val="网格表 1 浅色1"/>
    <w:next w:val="1225"/>
    <w:link w:val="1035"/>
    <w:uiPriority w:val="99"/>
    <w:rPr>
      <w:lang w:val="en-US" w:eastAsia="zh-CN" w:bidi="ar-SA"/>
    </w:rPr>
    <w:tblPr/>
  </w:style>
  <w:style w:type="table" w:styleId="1226">
    <w:name w:val="Grid Table 1 Light - Accent 1"/>
    <w:next w:val="1226"/>
    <w:link w:val="1035"/>
    <w:uiPriority w:val="99"/>
    <w:rPr>
      <w:lang w:val="en-US" w:eastAsia="zh-CN" w:bidi="ar-SA"/>
    </w:rPr>
    <w:tblPr/>
  </w:style>
  <w:style w:type="table" w:styleId="1227">
    <w:name w:val="Grid Table 1 Light - Accent 2"/>
    <w:next w:val="1227"/>
    <w:link w:val="1035"/>
    <w:uiPriority w:val="99"/>
    <w:rPr>
      <w:lang w:val="en-US" w:eastAsia="zh-CN" w:bidi="ar-SA"/>
    </w:rPr>
    <w:tblPr/>
  </w:style>
  <w:style w:type="table" w:styleId="1228">
    <w:name w:val="Grid Table 1 Light - Accent 3"/>
    <w:next w:val="1228"/>
    <w:link w:val="1035"/>
    <w:uiPriority w:val="99"/>
    <w:rPr>
      <w:lang w:val="en-US" w:eastAsia="zh-CN" w:bidi="ar-SA"/>
    </w:rPr>
    <w:tblPr/>
  </w:style>
  <w:style w:type="table" w:styleId="1229">
    <w:name w:val="Grid Table 1 Light - Accent 4"/>
    <w:next w:val="1229"/>
    <w:link w:val="1035"/>
    <w:uiPriority w:val="99"/>
    <w:rPr>
      <w:lang w:val="en-US" w:eastAsia="zh-CN" w:bidi="ar-SA"/>
    </w:rPr>
    <w:tblPr/>
  </w:style>
  <w:style w:type="table" w:styleId="1230">
    <w:name w:val="Grid Table 1 Light - Accent 5"/>
    <w:next w:val="1230"/>
    <w:link w:val="1035"/>
    <w:uiPriority w:val="99"/>
    <w:rPr>
      <w:lang w:val="en-US" w:eastAsia="zh-CN" w:bidi="ar-SA"/>
    </w:rPr>
    <w:tblPr/>
  </w:style>
  <w:style w:type="table" w:styleId="1231">
    <w:name w:val="Grid Table 1 Light - Accent 6"/>
    <w:next w:val="1231"/>
    <w:link w:val="1035"/>
    <w:uiPriority w:val="99"/>
    <w:rPr>
      <w:lang w:val="en-US" w:eastAsia="zh-CN" w:bidi="ar-SA"/>
    </w:rPr>
    <w:tblPr/>
  </w:style>
  <w:style w:type="table" w:styleId="1232">
    <w:name w:val="网格表 21"/>
    <w:next w:val="1232"/>
    <w:link w:val="1035"/>
    <w:uiPriority w:val="99"/>
    <w:rPr>
      <w:lang w:val="en-US" w:eastAsia="zh-CN" w:bidi="ar-SA"/>
    </w:rPr>
    <w:tblPr/>
  </w:style>
  <w:style w:type="table" w:styleId="1233">
    <w:name w:val="Grid Table 2 - Accent 1"/>
    <w:next w:val="1233"/>
    <w:link w:val="1035"/>
    <w:uiPriority w:val="99"/>
    <w:rPr>
      <w:lang w:val="en-US" w:eastAsia="zh-CN" w:bidi="ar-SA"/>
    </w:rPr>
    <w:tblPr/>
  </w:style>
  <w:style w:type="table" w:styleId="1234">
    <w:name w:val="Grid Table 2 - Accent 2"/>
    <w:next w:val="1234"/>
    <w:link w:val="1035"/>
    <w:uiPriority w:val="99"/>
    <w:rPr>
      <w:lang w:val="en-US" w:eastAsia="zh-CN" w:bidi="ar-SA"/>
    </w:rPr>
    <w:tblPr/>
  </w:style>
  <w:style w:type="table" w:styleId="1235">
    <w:name w:val="Grid Table 2 - Accent 3"/>
    <w:next w:val="1235"/>
    <w:link w:val="1035"/>
    <w:uiPriority w:val="99"/>
    <w:rPr>
      <w:lang w:val="en-US" w:eastAsia="zh-CN" w:bidi="ar-SA"/>
    </w:rPr>
    <w:tblPr/>
  </w:style>
  <w:style w:type="table" w:styleId="1236">
    <w:name w:val="Grid Table 2 - Accent 4"/>
    <w:next w:val="1236"/>
    <w:link w:val="1035"/>
    <w:uiPriority w:val="99"/>
    <w:rPr>
      <w:lang w:val="en-US" w:eastAsia="zh-CN" w:bidi="ar-SA"/>
    </w:rPr>
    <w:tblPr/>
  </w:style>
  <w:style w:type="table" w:styleId="1237">
    <w:name w:val="Grid Table 2 - Accent 5"/>
    <w:next w:val="1237"/>
    <w:link w:val="1035"/>
    <w:uiPriority w:val="99"/>
    <w:rPr>
      <w:lang w:val="en-US" w:eastAsia="zh-CN" w:bidi="ar-SA"/>
    </w:rPr>
    <w:tblPr/>
  </w:style>
  <w:style w:type="table" w:styleId="1238">
    <w:name w:val="Grid Table 2 - Accent 6"/>
    <w:next w:val="1238"/>
    <w:link w:val="1035"/>
    <w:uiPriority w:val="99"/>
    <w:rPr>
      <w:lang w:val="en-US" w:eastAsia="zh-CN" w:bidi="ar-SA"/>
    </w:rPr>
    <w:tblPr/>
  </w:style>
  <w:style w:type="table" w:styleId="1239">
    <w:name w:val="网格表 31"/>
    <w:next w:val="1239"/>
    <w:link w:val="1035"/>
    <w:uiPriority w:val="99"/>
    <w:rPr>
      <w:lang w:val="en-US" w:eastAsia="zh-CN" w:bidi="ar-SA"/>
    </w:rPr>
    <w:tblPr/>
  </w:style>
  <w:style w:type="table" w:styleId="1240">
    <w:name w:val="Grid Table 3 - Accent 1"/>
    <w:next w:val="1240"/>
    <w:link w:val="1035"/>
    <w:uiPriority w:val="99"/>
    <w:rPr>
      <w:lang w:val="en-US" w:eastAsia="zh-CN" w:bidi="ar-SA"/>
    </w:rPr>
    <w:tblPr/>
  </w:style>
  <w:style w:type="table" w:styleId="1241">
    <w:name w:val="Grid Table 3 - Accent 2"/>
    <w:next w:val="1241"/>
    <w:link w:val="1035"/>
    <w:uiPriority w:val="99"/>
    <w:rPr>
      <w:lang w:val="en-US" w:eastAsia="zh-CN" w:bidi="ar-SA"/>
    </w:rPr>
    <w:tblPr/>
  </w:style>
  <w:style w:type="table" w:styleId="1242">
    <w:name w:val="Grid Table 3 - Accent 3"/>
    <w:next w:val="1242"/>
    <w:link w:val="1035"/>
    <w:uiPriority w:val="99"/>
    <w:rPr>
      <w:lang w:val="en-US" w:eastAsia="zh-CN" w:bidi="ar-SA"/>
    </w:rPr>
    <w:tblPr/>
  </w:style>
  <w:style w:type="table" w:styleId="1243">
    <w:name w:val="Grid Table 3 - Accent 4"/>
    <w:next w:val="1243"/>
    <w:link w:val="1035"/>
    <w:uiPriority w:val="99"/>
    <w:rPr>
      <w:lang w:val="en-US" w:eastAsia="zh-CN" w:bidi="ar-SA"/>
    </w:rPr>
    <w:tblPr/>
  </w:style>
  <w:style w:type="table" w:styleId="1244">
    <w:name w:val="Grid Table 3 - Accent 5"/>
    <w:next w:val="1244"/>
    <w:link w:val="1035"/>
    <w:uiPriority w:val="99"/>
    <w:rPr>
      <w:lang w:val="en-US" w:eastAsia="zh-CN" w:bidi="ar-SA"/>
    </w:rPr>
    <w:tblPr/>
  </w:style>
  <w:style w:type="table" w:styleId="1245">
    <w:name w:val="Grid Table 3 - Accent 6"/>
    <w:next w:val="1245"/>
    <w:link w:val="1035"/>
    <w:uiPriority w:val="99"/>
    <w:rPr>
      <w:lang w:val="en-US" w:eastAsia="zh-CN" w:bidi="ar-SA"/>
    </w:rPr>
    <w:tblPr/>
  </w:style>
  <w:style w:type="table" w:styleId="1246">
    <w:name w:val="网格表 41"/>
    <w:next w:val="1246"/>
    <w:link w:val="1035"/>
    <w:uiPriority w:val="59"/>
    <w:rPr>
      <w:lang w:val="en-US" w:eastAsia="zh-CN" w:bidi="ar-SA"/>
    </w:rPr>
    <w:tblPr/>
  </w:style>
  <w:style w:type="table" w:styleId="1247">
    <w:name w:val="Grid Table 4 - Accent 1"/>
    <w:next w:val="1247"/>
    <w:link w:val="1035"/>
    <w:uiPriority w:val="59"/>
    <w:rPr>
      <w:lang w:val="en-US" w:eastAsia="zh-CN" w:bidi="ar-SA"/>
    </w:rPr>
    <w:tblPr/>
  </w:style>
  <w:style w:type="table" w:styleId="1248">
    <w:name w:val="Grid Table 4 - Accent 2"/>
    <w:next w:val="1248"/>
    <w:link w:val="1035"/>
    <w:uiPriority w:val="59"/>
    <w:rPr>
      <w:lang w:val="en-US" w:eastAsia="zh-CN" w:bidi="ar-SA"/>
    </w:rPr>
    <w:tblPr/>
  </w:style>
  <w:style w:type="table" w:styleId="1249">
    <w:name w:val="Grid Table 4 - Accent 3"/>
    <w:next w:val="1249"/>
    <w:link w:val="1035"/>
    <w:uiPriority w:val="59"/>
    <w:rPr>
      <w:lang w:val="en-US" w:eastAsia="zh-CN" w:bidi="ar-SA"/>
    </w:rPr>
    <w:tblPr/>
  </w:style>
  <w:style w:type="table" w:styleId="1250">
    <w:name w:val="Grid Table 4 - Accent 4"/>
    <w:next w:val="1250"/>
    <w:link w:val="1035"/>
    <w:uiPriority w:val="59"/>
    <w:rPr>
      <w:lang w:val="en-US" w:eastAsia="zh-CN" w:bidi="ar-SA"/>
    </w:rPr>
    <w:tblPr/>
  </w:style>
  <w:style w:type="table" w:styleId="1251">
    <w:name w:val="Grid Table 4 - Accent 5"/>
    <w:next w:val="1251"/>
    <w:link w:val="1035"/>
    <w:uiPriority w:val="59"/>
    <w:rPr>
      <w:lang w:val="en-US" w:eastAsia="zh-CN" w:bidi="ar-SA"/>
    </w:rPr>
    <w:tblPr/>
  </w:style>
  <w:style w:type="table" w:styleId="1252">
    <w:name w:val="Grid Table 4 - Accent 6"/>
    <w:next w:val="1252"/>
    <w:link w:val="1035"/>
    <w:uiPriority w:val="59"/>
    <w:rPr>
      <w:lang w:val="en-US" w:eastAsia="zh-CN" w:bidi="ar-SA"/>
    </w:rPr>
    <w:tblPr/>
  </w:style>
  <w:style w:type="table" w:styleId="1253">
    <w:name w:val="网格表 5 深色1"/>
    <w:next w:val="1253"/>
    <w:link w:val="1035"/>
    <w:uiPriority w:val="99"/>
    <w:rPr>
      <w:lang w:val="en-US" w:eastAsia="zh-CN" w:bidi="ar-SA"/>
    </w:rPr>
    <w:tblPr/>
  </w:style>
  <w:style w:type="table" w:styleId="1254">
    <w:name w:val="Grid Table 5 Dark- Accent 1"/>
    <w:next w:val="1254"/>
    <w:link w:val="1035"/>
    <w:uiPriority w:val="99"/>
    <w:rPr>
      <w:lang w:val="en-US" w:eastAsia="zh-CN" w:bidi="ar-SA"/>
    </w:rPr>
    <w:tblPr/>
  </w:style>
  <w:style w:type="table" w:styleId="1255">
    <w:name w:val="Grid Table 5 Dark - Accent 2"/>
    <w:next w:val="1255"/>
    <w:link w:val="1035"/>
    <w:uiPriority w:val="99"/>
    <w:rPr>
      <w:lang w:val="en-US" w:eastAsia="zh-CN" w:bidi="ar-SA"/>
    </w:rPr>
    <w:tblPr/>
  </w:style>
  <w:style w:type="table" w:styleId="1256">
    <w:name w:val="Grid Table 5 Dark - Accent 3"/>
    <w:next w:val="1256"/>
    <w:link w:val="1035"/>
    <w:uiPriority w:val="99"/>
    <w:rPr>
      <w:lang w:val="en-US" w:eastAsia="zh-CN" w:bidi="ar-SA"/>
    </w:rPr>
    <w:tblPr/>
  </w:style>
  <w:style w:type="table" w:styleId="1257">
    <w:name w:val="Grid Table 5 Dark- Accent 4"/>
    <w:next w:val="1257"/>
    <w:link w:val="1035"/>
    <w:uiPriority w:val="99"/>
    <w:rPr>
      <w:lang w:val="en-US" w:eastAsia="zh-CN" w:bidi="ar-SA"/>
    </w:rPr>
    <w:tblPr/>
  </w:style>
  <w:style w:type="table" w:styleId="1258">
    <w:name w:val="Grid Table 5 Dark - Accent 5"/>
    <w:next w:val="1258"/>
    <w:link w:val="1035"/>
    <w:uiPriority w:val="99"/>
    <w:rPr>
      <w:lang w:val="en-US" w:eastAsia="zh-CN" w:bidi="ar-SA"/>
    </w:rPr>
    <w:tblPr/>
  </w:style>
  <w:style w:type="table" w:styleId="1259">
    <w:name w:val="Grid Table 5 Dark - Accent 6"/>
    <w:next w:val="1259"/>
    <w:link w:val="1035"/>
    <w:uiPriority w:val="99"/>
    <w:rPr>
      <w:lang w:val="en-US" w:eastAsia="zh-CN" w:bidi="ar-SA"/>
    </w:rPr>
    <w:tblPr/>
  </w:style>
  <w:style w:type="table" w:styleId="1260">
    <w:name w:val="网格表 6 彩色1"/>
    <w:next w:val="1260"/>
    <w:link w:val="1035"/>
    <w:uiPriority w:val="99"/>
    <w:rPr>
      <w:lang w:val="en-US" w:eastAsia="zh-CN" w:bidi="ar-SA"/>
    </w:rPr>
    <w:tblPr/>
  </w:style>
  <w:style w:type="table" w:styleId="1261">
    <w:name w:val="Grid Table 6 Colorful - Accent 1"/>
    <w:next w:val="1261"/>
    <w:link w:val="1035"/>
    <w:uiPriority w:val="99"/>
    <w:rPr>
      <w:lang w:val="en-US" w:eastAsia="zh-CN" w:bidi="ar-SA"/>
    </w:rPr>
    <w:tblPr/>
  </w:style>
  <w:style w:type="table" w:styleId="1262">
    <w:name w:val="Grid Table 6 Colorful - Accent 2"/>
    <w:next w:val="1262"/>
    <w:link w:val="1035"/>
    <w:uiPriority w:val="99"/>
    <w:rPr>
      <w:lang w:val="en-US" w:eastAsia="zh-CN" w:bidi="ar-SA"/>
    </w:rPr>
    <w:tblPr/>
  </w:style>
  <w:style w:type="table" w:styleId="1263">
    <w:name w:val="Grid Table 6 Colorful - Accent 3"/>
    <w:next w:val="1263"/>
    <w:link w:val="1035"/>
    <w:uiPriority w:val="99"/>
    <w:rPr>
      <w:lang w:val="en-US" w:eastAsia="zh-CN" w:bidi="ar-SA"/>
    </w:rPr>
    <w:tblPr/>
  </w:style>
  <w:style w:type="table" w:styleId="1264">
    <w:name w:val="Grid Table 6 Colorful - Accent 4"/>
    <w:next w:val="1264"/>
    <w:link w:val="1035"/>
    <w:uiPriority w:val="99"/>
    <w:rPr>
      <w:lang w:val="en-US" w:eastAsia="zh-CN" w:bidi="ar-SA"/>
    </w:rPr>
    <w:tblPr/>
  </w:style>
  <w:style w:type="table" w:styleId="1265">
    <w:name w:val="Grid Table 6 Colorful - Accent 5"/>
    <w:next w:val="1265"/>
    <w:link w:val="1035"/>
    <w:uiPriority w:val="99"/>
    <w:rPr>
      <w:lang w:val="en-US" w:eastAsia="zh-CN" w:bidi="ar-SA"/>
    </w:rPr>
    <w:tblPr/>
  </w:style>
  <w:style w:type="table" w:styleId="1266">
    <w:name w:val="Grid Table 6 Colorful - Accent 6"/>
    <w:next w:val="1266"/>
    <w:link w:val="1035"/>
    <w:uiPriority w:val="99"/>
    <w:rPr>
      <w:lang w:val="en-US" w:eastAsia="zh-CN" w:bidi="ar-SA"/>
    </w:rPr>
    <w:tblPr/>
  </w:style>
  <w:style w:type="table" w:styleId="1267">
    <w:name w:val="网格表 7 彩色1"/>
    <w:next w:val="1267"/>
    <w:link w:val="1035"/>
    <w:uiPriority w:val="99"/>
    <w:rPr>
      <w:lang w:val="en-US" w:eastAsia="zh-CN" w:bidi="ar-SA"/>
    </w:rPr>
    <w:tblPr/>
  </w:style>
  <w:style w:type="table" w:styleId="1268">
    <w:name w:val="Grid Table 7 Colorful - Accent 1"/>
    <w:next w:val="1268"/>
    <w:link w:val="1035"/>
    <w:uiPriority w:val="99"/>
    <w:rPr>
      <w:lang w:val="en-US" w:eastAsia="zh-CN" w:bidi="ar-SA"/>
    </w:rPr>
    <w:tblPr/>
  </w:style>
  <w:style w:type="table" w:styleId="1269">
    <w:name w:val="Grid Table 7 Colorful - Accent 2"/>
    <w:next w:val="1269"/>
    <w:link w:val="1035"/>
    <w:uiPriority w:val="99"/>
    <w:rPr>
      <w:lang w:val="en-US" w:eastAsia="zh-CN" w:bidi="ar-SA"/>
    </w:rPr>
    <w:tblPr/>
  </w:style>
  <w:style w:type="table" w:styleId="1270">
    <w:name w:val="Grid Table 7 Colorful - Accent 3"/>
    <w:next w:val="1270"/>
    <w:link w:val="1035"/>
    <w:uiPriority w:val="99"/>
    <w:rPr>
      <w:lang w:val="en-US" w:eastAsia="zh-CN" w:bidi="ar-SA"/>
    </w:rPr>
    <w:tblPr/>
  </w:style>
  <w:style w:type="table" w:styleId="1271">
    <w:name w:val="Grid Table 7 Colorful - Accent 4"/>
    <w:next w:val="1271"/>
    <w:link w:val="1035"/>
    <w:uiPriority w:val="99"/>
    <w:rPr>
      <w:lang w:val="en-US" w:eastAsia="zh-CN" w:bidi="ar-SA"/>
    </w:rPr>
    <w:tblPr/>
  </w:style>
  <w:style w:type="table" w:styleId="1272">
    <w:name w:val="Grid Table 7 Colorful - Accent 5"/>
    <w:next w:val="1272"/>
    <w:link w:val="1035"/>
    <w:uiPriority w:val="99"/>
    <w:rPr>
      <w:lang w:val="en-US" w:eastAsia="zh-CN" w:bidi="ar-SA"/>
    </w:rPr>
    <w:tblPr/>
  </w:style>
  <w:style w:type="table" w:styleId="1273">
    <w:name w:val="Grid Table 7 Colorful - Accent 6"/>
    <w:next w:val="1273"/>
    <w:link w:val="1035"/>
    <w:uiPriority w:val="99"/>
    <w:rPr>
      <w:lang w:val="en-US" w:eastAsia="zh-CN" w:bidi="ar-SA"/>
    </w:rPr>
    <w:tblPr/>
  </w:style>
  <w:style w:type="table" w:styleId="1274">
    <w:name w:val="清单表 1 浅色1"/>
    <w:next w:val="1274"/>
    <w:link w:val="1035"/>
    <w:uiPriority w:val="99"/>
    <w:rPr>
      <w:lang w:val="en-US" w:eastAsia="zh-CN" w:bidi="ar-SA"/>
    </w:rPr>
    <w:tblPr/>
  </w:style>
  <w:style w:type="table" w:styleId="1275">
    <w:name w:val="List Table 1 Light - Accent 1"/>
    <w:next w:val="1275"/>
    <w:link w:val="1035"/>
    <w:uiPriority w:val="99"/>
    <w:rPr>
      <w:lang w:val="en-US" w:eastAsia="zh-CN" w:bidi="ar-SA"/>
    </w:rPr>
    <w:tblPr/>
  </w:style>
  <w:style w:type="table" w:styleId="1276">
    <w:name w:val="List Table 1 Light - Accent 2"/>
    <w:next w:val="1276"/>
    <w:link w:val="1035"/>
    <w:uiPriority w:val="99"/>
    <w:rPr>
      <w:lang w:val="en-US" w:eastAsia="zh-CN" w:bidi="ar-SA"/>
    </w:rPr>
    <w:tblPr/>
  </w:style>
  <w:style w:type="table" w:styleId="1277">
    <w:name w:val="List Table 1 Light - Accent 3"/>
    <w:next w:val="1277"/>
    <w:link w:val="1035"/>
    <w:uiPriority w:val="99"/>
    <w:rPr>
      <w:lang w:val="en-US" w:eastAsia="zh-CN" w:bidi="ar-SA"/>
    </w:rPr>
    <w:tblPr/>
  </w:style>
  <w:style w:type="table" w:styleId="1278">
    <w:name w:val="List Table 1 Light - Accent 4"/>
    <w:next w:val="1278"/>
    <w:link w:val="1035"/>
    <w:uiPriority w:val="99"/>
    <w:rPr>
      <w:lang w:val="en-US" w:eastAsia="zh-CN" w:bidi="ar-SA"/>
    </w:rPr>
    <w:tblPr/>
  </w:style>
  <w:style w:type="table" w:styleId="1279">
    <w:name w:val="List Table 1 Light - Accent 5"/>
    <w:next w:val="1279"/>
    <w:link w:val="1035"/>
    <w:uiPriority w:val="99"/>
    <w:rPr>
      <w:lang w:val="en-US" w:eastAsia="zh-CN" w:bidi="ar-SA"/>
    </w:rPr>
    <w:tblPr/>
  </w:style>
  <w:style w:type="table" w:styleId="1280">
    <w:name w:val="List Table 1 Light - Accent 6"/>
    <w:next w:val="1280"/>
    <w:link w:val="1035"/>
    <w:uiPriority w:val="99"/>
    <w:rPr>
      <w:lang w:val="en-US" w:eastAsia="zh-CN" w:bidi="ar-SA"/>
    </w:rPr>
    <w:tblPr/>
  </w:style>
  <w:style w:type="table" w:styleId="1281">
    <w:name w:val="清单表 21"/>
    <w:next w:val="1281"/>
    <w:link w:val="1035"/>
    <w:uiPriority w:val="99"/>
    <w:rPr>
      <w:lang w:val="en-US" w:eastAsia="zh-CN" w:bidi="ar-SA"/>
    </w:rPr>
    <w:tblPr/>
  </w:style>
  <w:style w:type="table" w:styleId="1282">
    <w:name w:val="List Table 2 - Accent 1"/>
    <w:next w:val="1282"/>
    <w:link w:val="1035"/>
    <w:uiPriority w:val="99"/>
    <w:rPr>
      <w:lang w:val="en-US" w:eastAsia="zh-CN" w:bidi="ar-SA"/>
    </w:rPr>
    <w:tblPr/>
  </w:style>
  <w:style w:type="table" w:styleId="1283">
    <w:name w:val="List Table 2 - Accent 2"/>
    <w:next w:val="1283"/>
    <w:link w:val="1035"/>
    <w:uiPriority w:val="99"/>
    <w:rPr>
      <w:lang w:val="en-US" w:eastAsia="zh-CN" w:bidi="ar-SA"/>
    </w:rPr>
    <w:tblPr/>
  </w:style>
  <w:style w:type="table" w:styleId="1284">
    <w:name w:val="List Table 2 - Accent 3"/>
    <w:next w:val="1284"/>
    <w:link w:val="1035"/>
    <w:uiPriority w:val="99"/>
    <w:rPr>
      <w:lang w:val="en-US" w:eastAsia="zh-CN" w:bidi="ar-SA"/>
    </w:rPr>
    <w:tblPr/>
  </w:style>
  <w:style w:type="table" w:styleId="1285">
    <w:name w:val="List Table 2 - Accent 4"/>
    <w:next w:val="1285"/>
    <w:link w:val="1035"/>
    <w:uiPriority w:val="99"/>
    <w:rPr>
      <w:lang w:val="en-US" w:eastAsia="zh-CN" w:bidi="ar-SA"/>
    </w:rPr>
    <w:tblPr/>
  </w:style>
  <w:style w:type="table" w:styleId="1286">
    <w:name w:val="List Table 2 - Accent 5"/>
    <w:next w:val="1286"/>
    <w:link w:val="1035"/>
    <w:uiPriority w:val="99"/>
    <w:rPr>
      <w:lang w:val="en-US" w:eastAsia="zh-CN" w:bidi="ar-SA"/>
    </w:rPr>
    <w:tblPr/>
  </w:style>
  <w:style w:type="table" w:styleId="1287">
    <w:name w:val="List Table 2 - Accent 6"/>
    <w:next w:val="1287"/>
    <w:link w:val="1035"/>
    <w:uiPriority w:val="99"/>
    <w:rPr>
      <w:lang w:val="en-US" w:eastAsia="zh-CN" w:bidi="ar-SA"/>
    </w:rPr>
    <w:tblPr/>
  </w:style>
  <w:style w:type="table" w:styleId="1288">
    <w:name w:val="清单表 31"/>
    <w:next w:val="1288"/>
    <w:link w:val="1035"/>
    <w:uiPriority w:val="99"/>
    <w:rPr>
      <w:lang w:val="en-US" w:eastAsia="zh-CN" w:bidi="ar-SA"/>
    </w:rPr>
    <w:tblPr/>
  </w:style>
  <w:style w:type="table" w:styleId="1289">
    <w:name w:val="List Table 3 - Accent 1"/>
    <w:next w:val="1289"/>
    <w:link w:val="1035"/>
    <w:uiPriority w:val="99"/>
    <w:rPr>
      <w:lang w:val="en-US" w:eastAsia="zh-CN" w:bidi="ar-SA"/>
    </w:rPr>
    <w:tblPr/>
  </w:style>
  <w:style w:type="table" w:styleId="1290">
    <w:name w:val="List Table 3 - Accent 2"/>
    <w:next w:val="1290"/>
    <w:link w:val="1035"/>
    <w:uiPriority w:val="99"/>
    <w:rPr>
      <w:lang w:val="en-US" w:eastAsia="zh-CN" w:bidi="ar-SA"/>
    </w:rPr>
    <w:tblPr/>
  </w:style>
  <w:style w:type="table" w:styleId="1291">
    <w:name w:val="List Table 3 - Accent 3"/>
    <w:next w:val="1291"/>
    <w:link w:val="1035"/>
    <w:uiPriority w:val="99"/>
    <w:rPr>
      <w:lang w:val="en-US" w:eastAsia="zh-CN" w:bidi="ar-SA"/>
    </w:rPr>
    <w:tblPr/>
  </w:style>
  <w:style w:type="table" w:styleId="1292">
    <w:name w:val="List Table 3 - Accent 4"/>
    <w:next w:val="1292"/>
    <w:link w:val="1035"/>
    <w:uiPriority w:val="99"/>
    <w:rPr>
      <w:lang w:val="en-US" w:eastAsia="zh-CN" w:bidi="ar-SA"/>
    </w:rPr>
    <w:tblPr/>
  </w:style>
  <w:style w:type="table" w:styleId="1293">
    <w:name w:val="List Table 3 - Accent 5"/>
    <w:next w:val="1293"/>
    <w:link w:val="1035"/>
    <w:uiPriority w:val="99"/>
    <w:rPr>
      <w:lang w:val="en-US" w:eastAsia="zh-CN" w:bidi="ar-SA"/>
    </w:rPr>
    <w:tblPr/>
  </w:style>
  <w:style w:type="table" w:styleId="1294">
    <w:name w:val="List Table 3 - Accent 6"/>
    <w:next w:val="1294"/>
    <w:link w:val="1035"/>
    <w:uiPriority w:val="99"/>
    <w:rPr>
      <w:lang w:val="en-US" w:eastAsia="zh-CN" w:bidi="ar-SA"/>
    </w:rPr>
    <w:tblPr/>
  </w:style>
  <w:style w:type="table" w:styleId="1295">
    <w:name w:val="清单表 41"/>
    <w:next w:val="1295"/>
    <w:link w:val="1035"/>
    <w:uiPriority w:val="99"/>
    <w:rPr>
      <w:lang w:val="en-US" w:eastAsia="zh-CN" w:bidi="ar-SA"/>
    </w:rPr>
    <w:tblPr/>
  </w:style>
  <w:style w:type="table" w:styleId="1296">
    <w:name w:val="List Table 4 - Accent 1"/>
    <w:next w:val="1296"/>
    <w:link w:val="1035"/>
    <w:uiPriority w:val="99"/>
    <w:rPr>
      <w:lang w:val="en-US" w:eastAsia="zh-CN" w:bidi="ar-SA"/>
    </w:rPr>
    <w:tblPr/>
  </w:style>
  <w:style w:type="table" w:styleId="1297">
    <w:name w:val="List Table 4 - Accent 2"/>
    <w:next w:val="1297"/>
    <w:link w:val="1035"/>
    <w:uiPriority w:val="99"/>
    <w:rPr>
      <w:lang w:val="en-US" w:eastAsia="zh-CN" w:bidi="ar-SA"/>
    </w:rPr>
    <w:tblPr/>
  </w:style>
  <w:style w:type="table" w:styleId="1298">
    <w:name w:val="List Table 4 - Accent 3"/>
    <w:next w:val="1298"/>
    <w:link w:val="1035"/>
    <w:uiPriority w:val="99"/>
    <w:rPr>
      <w:lang w:val="en-US" w:eastAsia="zh-CN" w:bidi="ar-SA"/>
    </w:rPr>
    <w:tblPr/>
  </w:style>
  <w:style w:type="table" w:styleId="1299">
    <w:name w:val="List Table 4 - Accent 4"/>
    <w:next w:val="1299"/>
    <w:link w:val="1035"/>
    <w:uiPriority w:val="99"/>
    <w:rPr>
      <w:lang w:val="en-US" w:eastAsia="zh-CN" w:bidi="ar-SA"/>
    </w:rPr>
    <w:tblPr/>
  </w:style>
  <w:style w:type="table" w:styleId="1300">
    <w:name w:val="List Table 4 - Accent 5"/>
    <w:next w:val="1300"/>
    <w:link w:val="1035"/>
    <w:uiPriority w:val="99"/>
    <w:rPr>
      <w:lang w:val="en-US" w:eastAsia="zh-CN" w:bidi="ar-SA"/>
    </w:rPr>
    <w:tblPr/>
  </w:style>
  <w:style w:type="table" w:styleId="1301">
    <w:name w:val="List Table 4 - Accent 6"/>
    <w:next w:val="1301"/>
    <w:link w:val="1035"/>
    <w:uiPriority w:val="99"/>
    <w:rPr>
      <w:lang w:val="en-US" w:eastAsia="zh-CN" w:bidi="ar-SA"/>
    </w:rPr>
    <w:tblPr/>
  </w:style>
  <w:style w:type="table" w:styleId="1302">
    <w:name w:val="清单表 5 深色1"/>
    <w:next w:val="1302"/>
    <w:link w:val="1035"/>
    <w:uiPriority w:val="99"/>
    <w:rPr>
      <w:lang w:val="en-US" w:eastAsia="zh-CN" w:bidi="ar-SA"/>
    </w:rPr>
    <w:tblPr/>
  </w:style>
  <w:style w:type="table" w:styleId="1303">
    <w:name w:val="List Table 5 Dark - Accent 1"/>
    <w:next w:val="1303"/>
    <w:link w:val="1035"/>
    <w:uiPriority w:val="99"/>
    <w:rPr>
      <w:lang w:val="en-US" w:eastAsia="zh-CN" w:bidi="ar-SA"/>
    </w:rPr>
    <w:tblPr/>
  </w:style>
  <w:style w:type="table" w:styleId="1304">
    <w:name w:val="List Table 5 Dark - Accent 2"/>
    <w:next w:val="1304"/>
    <w:link w:val="1035"/>
    <w:uiPriority w:val="99"/>
    <w:rPr>
      <w:lang w:val="en-US" w:eastAsia="zh-CN" w:bidi="ar-SA"/>
    </w:rPr>
    <w:tblPr/>
  </w:style>
  <w:style w:type="table" w:styleId="1305">
    <w:name w:val="List Table 5 Dark - Accent 3"/>
    <w:next w:val="1305"/>
    <w:link w:val="1035"/>
    <w:uiPriority w:val="99"/>
    <w:rPr>
      <w:lang w:val="en-US" w:eastAsia="zh-CN" w:bidi="ar-SA"/>
    </w:rPr>
    <w:tblPr/>
  </w:style>
  <w:style w:type="table" w:styleId="1306">
    <w:name w:val="List Table 5 Dark - Accent 4"/>
    <w:next w:val="1306"/>
    <w:link w:val="1035"/>
    <w:uiPriority w:val="99"/>
    <w:rPr>
      <w:lang w:val="en-US" w:eastAsia="zh-CN" w:bidi="ar-SA"/>
    </w:rPr>
    <w:tblPr/>
  </w:style>
  <w:style w:type="table" w:styleId="1307">
    <w:name w:val="List Table 5 Dark - Accent 5"/>
    <w:next w:val="1307"/>
    <w:link w:val="1035"/>
    <w:uiPriority w:val="99"/>
    <w:rPr>
      <w:lang w:val="en-US" w:eastAsia="zh-CN" w:bidi="ar-SA"/>
    </w:rPr>
    <w:tblPr/>
  </w:style>
  <w:style w:type="table" w:styleId="1308">
    <w:name w:val="List Table 5 Dark - Accent 6"/>
    <w:next w:val="1308"/>
    <w:link w:val="1035"/>
    <w:uiPriority w:val="99"/>
    <w:rPr>
      <w:lang w:val="en-US" w:eastAsia="zh-CN" w:bidi="ar-SA"/>
    </w:rPr>
    <w:tblPr/>
  </w:style>
  <w:style w:type="table" w:styleId="1309">
    <w:name w:val="清单表 6 彩色1"/>
    <w:next w:val="1309"/>
    <w:link w:val="1035"/>
    <w:uiPriority w:val="99"/>
    <w:rPr>
      <w:lang w:val="en-US" w:eastAsia="zh-CN" w:bidi="ar-SA"/>
    </w:rPr>
    <w:tblPr/>
  </w:style>
  <w:style w:type="table" w:styleId="1310">
    <w:name w:val="List Table 6 Colorful - Accent 1"/>
    <w:next w:val="1310"/>
    <w:link w:val="1035"/>
    <w:uiPriority w:val="99"/>
    <w:rPr>
      <w:lang w:val="en-US" w:eastAsia="zh-CN" w:bidi="ar-SA"/>
    </w:rPr>
    <w:tblPr/>
  </w:style>
  <w:style w:type="table" w:styleId="1311">
    <w:name w:val="List Table 6 Colorful - Accent 2"/>
    <w:next w:val="1311"/>
    <w:link w:val="1035"/>
    <w:uiPriority w:val="99"/>
    <w:rPr>
      <w:lang w:val="en-US" w:eastAsia="zh-CN" w:bidi="ar-SA"/>
    </w:rPr>
    <w:tblPr/>
  </w:style>
  <w:style w:type="table" w:styleId="1312">
    <w:name w:val="List Table 6 Colorful - Accent 3"/>
    <w:next w:val="1312"/>
    <w:link w:val="1035"/>
    <w:uiPriority w:val="99"/>
    <w:rPr>
      <w:lang w:val="en-US" w:eastAsia="zh-CN" w:bidi="ar-SA"/>
    </w:rPr>
    <w:tblPr/>
  </w:style>
  <w:style w:type="table" w:styleId="1313">
    <w:name w:val="List Table 6 Colorful - Accent 4"/>
    <w:next w:val="1313"/>
    <w:link w:val="1035"/>
    <w:uiPriority w:val="99"/>
    <w:rPr>
      <w:lang w:val="en-US" w:eastAsia="zh-CN" w:bidi="ar-SA"/>
    </w:rPr>
    <w:tblPr/>
  </w:style>
  <w:style w:type="table" w:styleId="1314">
    <w:name w:val="List Table 6 Colorful - Accent 5"/>
    <w:next w:val="1314"/>
    <w:link w:val="1035"/>
    <w:uiPriority w:val="99"/>
    <w:rPr>
      <w:lang w:val="en-US" w:eastAsia="zh-CN" w:bidi="ar-SA"/>
    </w:rPr>
    <w:tblPr/>
  </w:style>
  <w:style w:type="table" w:styleId="1315">
    <w:name w:val="List Table 6 Colorful - Accent 6"/>
    <w:next w:val="1315"/>
    <w:link w:val="1035"/>
    <w:uiPriority w:val="99"/>
    <w:rPr>
      <w:lang w:val="en-US" w:eastAsia="zh-CN" w:bidi="ar-SA"/>
    </w:rPr>
    <w:tblPr/>
  </w:style>
  <w:style w:type="table" w:styleId="1316">
    <w:name w:val="清单表 7 彩色1"/>
    <w:next w:val="1316"/>
    <w:link w:val="1035"/>
    <w:uiPriority w:val="99"/>
    <w:rPr>
      <w:lang w:val="en-US" w:eastAsia="zh-CN" w:bidi="ar-SA"/>
    </w:rPr>
    <w:tblPr/>
  </w:style>
  <w:style w:type="table" w:styleId="1317">
    <w:name w:val="List Table 7 Colorful - Accent 1"/>
    <w:next w:val="1317"/>
    <w:link w:val="1035"/>
    <w:uiPriority w:val="99"/>
    <w:rPr>
      <w:lang w:val="en-US" w:eastAsia="zh-CN" w:bidi="ar-SA"/>
    </w:rPr>
    <w:tblPr/>
  </w:style>
  <w:style w:type="table" w:styleId="1318">
    <w:name w:val="List Table 7 Colorful - Accent 2"/>
    <w:next w:val="1318"/>
    <w:link w:val="1035"/>
    <w:uiPriority w:val="99"/>
    <w:rPr>
      <w:lang w:val="en-US" w:eastAsia="zh-CN" w:bidi="ar-SA"/>
    </w:rPr>
    <w:tblPr/>
  </w:style>
  <w:style w:type="table" w:styleId="1319">
    <w:name w:val="List Table 7 Colorful - Accent 3"/>
    <w:next w:val="1319"/>
    <w:link w:val="1035"/>
    <w:uiPriority w:val="99"/>
    <w:rPr>
      <w:lang w:val="en-US" w:eastAsia="zh-CN" w:bidi="ar-SA"/>
    </w:rPr>
    <w:tblPr/>
  </w:style>
  <w:style w:type="table" w:styleId="1320">
    <w:name w:val="List Table 7 Colorful - Accent 4"/>
    <w:next w:val="1320"/>
    <w:link w:val="1035"/>
    <w:uiPriority w:val="99"/>
    <w:rPr>
      <w:lang w:val="en-US" w:eastAsia="zh-CN" w:bidi="ar-SA"/>
    </w:rPr>
    <w:tblPr/>
  </w:style>
  <w:style w:type="table" w:styleId="1321">
    <w:name w:val="List Table 7 Colorful - Accent 5"/>
    <w:next w:val="1321"/>
    <w:link w:val="1035"/>
    <w:uiPriority w:val="99"/>
    <w:rPr>
      <w:lang w:val="en-US" w:eastAsia="zh-CN" w:bidi="ar-SA"/>
    </w:rPr>
    <w:tblPr/>
  </w:style>
  <w:style w:type="table" w:styleId="1322">
    <w:name w:val="List Table 7 Colorful - Accent 6"/>
    <w:next w:val="1322"/>
    <w:link w:val="1035"/>
    <w:uiPriority w:val="99"/>
    <w:rPr>
      <w:lang w:val="en-US" w:eastAsia="zh-CN" w:bidi="ar-SA"/>
    </w:rPr>
    <w:tblPr/>
  </w:style>
  <w:style w:type="table" w:styleId="1323">
    <w:name w:val="Lined - Accent"/>
    <w:next w:val="1323"/>
    <w:link w:val="1035"/>
    <w:uiPriority w:val="99"/>
    <w:rPr>
      <w:color w:val="404040"/>
      <w:lang w:val="en-US" w:eastAsia="zh-CN" w:bidi="ar-SA"/>
    </w:rPr>
    <w:tblPr/>
  </w:style>
  <w:style w:type="table" w:styleId="1324">
    <w:name w:val="Lined - Accent 1"/>
    <w:next w:val="1324"/>
    <w:link w:val="1035"/>
    <w:uiPriority w:val="99"/>
    <w:rPr>
      <w:color w:val="404040"/>
      <w:lang w:val="en-US" w:eastAsia="zh-CN" w:bidi="ar-SA"/>
    </w:rPr>
    <w:tblPr/>
  </w:style>
  <w:style w:type="table" w:styleId="1325">
    <w:name w:val="Lined - Accent 2"/>
    <w:next w:val="1325"/>
    <w:link w:val="1035"/>
    <w:uiPriority w:val="99"/>
    <w:rPr>
      <w:color w:val="404040"/>
      <w:lang w:val="en-US" w:eastAsia="zh-CN" w:bidi="ar-SA"/>
    </w:rPr>
    <w:tblPr/>
  </w:style>
  <w:style w:type="table" w:styleId="1326">
    <w:name w:val="Lined - Accent 3"/>
    <w:next w:val="1326"/>
    <w:link w:val="1035"/>
    <w:uiPriority w:val="99"/>
    <w:rPr>
      <w:color w:val="404040"/>
      <w:lang w:val="en-US" w:eastAsia="zh-CN" w:bidi="ar-SA"/>
    </w:rPr>
    <w:tblPr/>
  </w:style>
  <w:style w:type="table" w:styleId="1327">
    <w:name w:val="Lined - Accent 4"/>
    <w:next w:val="1327"/>
    <w:link w:val="1035"/>
    <w:uiPriority w:val="99"/>
    <w:rPr>
      <w:color w:val="404040"/>
      <w:lang w:val="en-US" w:eastAsia="zh-CN" w:bidi="ar-SA"/>
    </w:rPr>
    <w:tblPr/>
  </w:style>
  <w:style w:type="table" w:styleId="1328">
    <w:name w:val="Lined - Accent 5"/>
    <w:next w:val="1328"/>
    <w:link w:val="1035"/>
    <w:uiPriority w:val="99"/>
    <w:rPr>
      <w:color w:val="404040"/>
      <w:lang w:val="en-US" w:eastAsia="zh-CN" w:bidi="ar-SA"/>
    </w:rPr>
    <w:tblPr/>
  </w:style>
  <w:style w:type="table" w:styleId="1329">
    <w:name w:val="Lined - Accent 6"/>
    <w:next w:val="1329"/>
    <w:link w:val="1035"/>
    <w:uiPriority w:val="99"/>
    <w:rPr>
      <w:color w:val="404040"/>
      <w:lang w:val="en-US" w:eastAsia="zh-CN" w:bidi="ar-SA"/>
    </w:rPr>
    <w:tblPr/>
  </w:style>
  <w:style w:type="table" w:styleId="1330">
    <w:name w:val="Bordered &amp; Lined - Accent"/>
    <w:next w:val="1330"/>
    <w:link w:val="1035"/>
    <w:uiPriority w:val="99"/>
    <w:rPr>
      <w:color w:val="404040"/>
      <w:lang w:val="en-US" w:eastAsia="zh-CN" w:bidi="ar-SA"/>
    </w:rPr>
    <w:tblPr/>
  </w:style>
  <w:style w:type="table" w:styleId="1331">
    <w:name w:val="Bordered &amp; Lined - Accent 1"/>
    <w:next w:val="1331"/>
    <w:link w:val="1035"/>
    <w:uiPriority w:val="99"/>
    <w:rPr>
      <w:color w:val="404040"/>
      <w:lang w:val="en-US" w:eastAsia="zh-CN" w:bidi="ar-SA"/>
    </w:rPr>
    <w:tblPr/>
  </w:style>
  <w:style w:type="table" w:styleId="1332">
    <w:name w:val="Bordered &amp; Lined - Accent 2"/>
    <w:next w:val="1332"/>
    <w:link w:val="1035"/>
    <w:uiPriority w:val="99"/>
    <w:rPr>
      <w:color w:val="404040"/>
      <w:lang w:val="en-US" w:eastAsia="zh-CN" w:bidi="ar-SA"/>
    </w:rPr>
    <w:tblPr/>
  </w:style>
  <w:style w:type="table" w:styleId="1333">
    <w:name w:val="Bordered &amp; Lined - Accent 3"/>
    <w:next w:val="1333"/>
    <w:link w:val="1035"/>
    <w:uiPriority w:val="99"/>
    <w:rPr>
      <w:color w:val="404040"/>
      <w:lang w:val="en-US" w:eastAsia="zh-CN" w:bidi="ar-SA"/>
    </w:rPr>
    <w:tblPr/>
  </w:style>
  <w:style w:type="table" w:styleId="1334">
    <w:name w:val="Bordered &amp; Lined - Accent 4"/>
    <w:next w:val="1334"/>
    <w:link w:val="1035"/>
    <w:uiPriority w:val="99"/>
    <w:rPr>
      <w:color w:val="404040"/>
      <w:lang w:val="en-US" w:eastAsia="zh-CN" w:bidi="ar-SA"/>
    </w:rPr>
    <w:tblPr/>
  </w:style>
  <w:style w:type="table" w:styleId="1335">
    <w:name w:val="Bordered &amp; Lined - Accent 5"/>
    <w:next w:val="1335"/>
    <w:link w:val="1035"/>
    <w:uiPriority w:val="99"/>
    <w:rPr>
      <w:color w:val="404040"/>
      <w:lang w:val="en-US" w:eastAsia="zh-CN" w:bidi="ar-SA"/>
    </w:rPr>
    <w:tblPr/>
  </w:style>
  <w:style w:type="table" w:styleId="1336">
    <w:name w:val="Bordered &amp; Lined - Accent 6"/>
    <w:next w:val="1336"/>
    <w:link w:val="1035"/>
    <w:uiPriority w:val="99"/>
    <w:rPr>
      <w:color w:val="404040"/>
      <w:lang w:val="en-US" w:eastAsia="zh-CN" w:bidi="ar-SA"/>
    </w:rPr>
    <w:tblPr/>
  </w:style>
  <w:style w:type="table" w:styleId="1337">
    <w:name w:val="Bordered"/>
    <w:next w:val="1337"/>
    <w:link w:val="1035"/>
    <w:uiPriority w:val="99"/>
    <w:rPr>
      <w:lang w:val="en-US" w:eastAsia="zh-CN" w:bidi="ar-SA"/>
    </w:rPr>
    <w:tblPr/>
  </w:style>
  <w:style w:type="table" w:styleId="1338">
    <w:name w:val="Bordered - Accent 1"/>
    <w:next w:val="1338"/>
    <w:link w:val="1035"/>
    <w:uiPriority w:val="99"/>
    <w:rPr>
      <w:lang w:val="en-US" w:eastAsia="zh-CN" w:bidi="ar-SA"/>
    </w:rPr>
    <w:tblPr/>
  </w:style>
  <w:style w:type="table" w:styleId="1339">
    <w:name w:val="Bordered - Accent 2"/>
    <w:next w:val="1339"/>
    <w:link w:val="1035"/>
    <w:uiPriority w:val="99"/>
    <w:rPr>
      <w:lang w:val="en-US" w:eastAsia="zh-CN" w:bidi="ar-SA"/>
    </w:rPr>
    <w:tblPr/>
  </w:style>
  <w:style w:type="table" w:styleId="1340">
    <w:name w:val="Bordered - Accent 3"/>
    <w:next w:val="1340"/>
    <w:link w:val="1035"/>
    <w:uiPriority w:val="99"/>
    <w:rPr>
      <w:lang w:val="en-US" w:eastAsia="zh-CN" w:bidi="ar-SA"/>
    </w:rPr>
    <w:tblPr/>
  </w:style>
  <w:style w:type="table" w:styleId="1341">
    <w:name w:val="Bordered - Accent 4"/>
    <w:next w:val="1341"/>
    <w:link w:val="1035"/>
    <w:uiPriority w:val="99"/>
    <w:rPr>
      <w:lang w:val="en-US" w:eastAsia="zh-CN" w:bidi="ar-SA"/>
    </w:rPr>
    <w:tblPr/>
  </w:style>
  <w:style w:type="table" w:styleId="1342">
    <w:name w:val="Bordered - Accent 5"/>
    <w:next w:val="1342"/>
    <w:link w:val="1035"/>
    <w:uiPriority w:val="99"/>
    <w:rPr>
      <w:lang w:val="en-US" w:eastAsia="zh-CN" w:bidi="ar-SA"/>
    </w:rPr>
    <w:tblPr/>
  </w:style>
  <w:style w:type="table" w:styleId="1343">
    <w:name w:val="Bordered - Accent 6"/>
    <w:next w:val="1343"/>
    <w:link w:val="1035"/>
    <w:uiPriority w:val="99"/>
    <w:rPr>
      <w:lang w:val="en-US" w:eastAsia="zh-CN" w:bidi="ar-SA"/>
    </w:rPr>
    <w:tblPr/>
  </w:style>
  <w:style w:type="paragraph" w:styleId="1344">
    <w:name w:val="TOC 标题"/>
    <w:basedOn w:val="1036"/>
    <w:next w:val="1035"/>
    <w:link w:val="1035"/>
    <w:qFormat/>
    <w:pPr>
      <w:spacing w:before="480" w:after="0" w:line="276" w:lineRule="auto"/>
      <w:widowControl/>
      <w:outlineLvl w:val="9"/>
    </w:pPr>
    <w:rPr>
      <w:rFonts w:ascii="Cambria" w:hAnsi="Cambria"/>
      <w:b w:val="0"/>
      <w:bCs w:val="0"/>
      <w:color w:val="365f91"/>
      <w:sz w:val="28"/>
      <w:szCs w:val="20"/>
      <w:lang w:val="en-US" w:eastAsia="zh-CN"/>
    </w:rPr>
  </w:style>
  <w:style w:type="character" w:styleId="1345">
    <w:name w:val="正文文本 字符"/>
    <w:next w:val="1345"/>
    <w:link w:val="1035"/>
    <w:uiPriority w:val="99"/>
    <w:rPr>
      <w:rFonts w:ascii="Times New Roman" w:hAnsi="Times New Roman" w:eastAsia="宋体" w:cs="Times New Roman"/>
      <w:szCs w:val="24"/>
    </w:rPr>
  </w:style>
  <w:style w:type="character" w:styleId="1346">
    <w:name w:val="标题 2 字符"/>
    <w:next w:val="1346"/>
    <w:link w:val="1035"/>
    <w:uiPriority w:val="9"/>
    <w:rPr>
      <w:rFonts w:ascii="Arial" w:hAnsi="Arial" w:eastAsia="黑体" w:cs="Times New Roman"/>
      <w:b/>
      <w:bCs/>
      <w:sz w:val="32"/>
      <w:szCs w:val="32"/>
    </w:rPr>
  </w:style>
  <w:style w:type="character" w:styleId="1347">
    <w:name w:val="标题 3 字符"/>
    <w:next w:val="1347"/>
    <w:link w:val="1035"/>
    <w:uiPriority w:val="9"/>
    <w:rPr>
      <w:rFonts w:ascii="Times New Roman" w:hAnsi="Times New Roman" w:eastAsia="宋体" w:cs="Times New Roman"/>
      <w:b/>
      <w:bCs/>
      <w:sz w:val="32"/>
      <w:szCs w:val="32"/>
    </w:rPr>
  </w:style>
  <w:style w:type="character" w:styleId="1348">
    <w:name w:val="标题 4 字符"/>
    <w:next w:val="1348"/>
    <w:link w:val="1035"/>
    <w:uiPriority w:val="9"/>
    <w:rPr>
      <w:rFonts w:ascii="Times New Roman" w:hAnsi="Times New Roman" w:eastAsia="宋体" w:cs="Times New Roman"/>
      <w:b/>
      <w:bCs/>
      <w:sz w:val="28"/>
      <w:szCs w:val="28"/>
    </w:rPr>
  </w:style>
  <w:style w:type="character" w:styleId="1349">
    <w:name w:val="标题 5 字符"/>
    <w:next w:val="1349"/>
    <w:link w:val="1035"/>
    <w:uiPriority w:val="9"/>
    <w:rPr>
      <w:rFonts w:ascii="Times New Roman" w:hAnsi="Times New Roman" w:eastAsia="宋体" w:cs="Times New Roman"/>
      <w:b/>
      <w:bCs/>
      <w:sz w:val="28"/>
      <w:szCs w:val="28"/>
    </w:rPr>
  </w:style>
  <w:style w:type="character" w:styleId="1350">
    <w:name w:val="文档结构图 字符"/>
    <w:next w:val="1350"/>
    <w:link w:val="1035"/>
    <w:uiPriority w:val="99"/>
    <w:rPr>
      <w:rFonts w:ascii="宋体" w:hAnsi="Calibri" w:eastAsia="宋体" w:cs="Times New Roman"/>
      <w:sz w:val="18"/>
      <w:szCs w:val="18"/>
    </w:rPr>
  </w:style>
  <w:style w:type="character" w:styleId="1351">
    <w:name w:val="批注文字 字符"/>
    <w:next w:val="1351"/>
    <w:link w:val="1035"/>
    <w:uiPriority w:val="99"/>
    <w:rPr>
      <w:rFonts w:ascii="Tahoma" w:hAnsi="Tahoma" w:eastAsia="宋体" w:cs="Times New Roman"/>
      <w:szCs w:val="24"/>
    </w:rPr>
  </w:style>
  <w:style w:type="character" w:styleId="1352">
    <w:name w:val="正文文本缩进 字符"/>
    <w:next w:val="1352"/>
    <w:link w:val="1035"/>
    <w:rPr>
      <w:rFonts w:ascii="Times New Roman" w:hAnsi="Times New Roman" w:eastAsia="宋体" w:cs="Times New Roman"/>
      <w:szCs w:val="24"/>
    </w:rPr>
  </w:style>
  <w:style w:type="character" w:styleId="1353">
    <w:name w:val="日期 字符"/>
    <w:next w:val="1353"/>
    <w:link w:val="1035"/>
    <w:uiPriority w:val="99"/>
    <w:rPr>
      <w:rFonts w:ascii="宋体" w:hAnsi="宋体" w:eastAsia="楷体_GB2312" w:cs="Times New Roman"/>
      <w:sz w:val="24"/>
      <w:szCs w:val="24"/>
    </w:rPr>
  </w:style>
  <w:style w:type="character" w:styleId="1354">
    <w:name w:val="正文文本缩进 2 字符"/>
    <w:next w:val="1354"/>
    <w:link w:val="1035"/>
    <w:uiPriority w:val="99"/>
    <w:rPr>
      <w:rFonts w:ascii="Calibri" w:hAnsi="Calibri" w:eastAsia="宋体" w:cs="Times New Roman"/>
      <w:sz w:val="24"/>
      <w:szCs w:val="24"/>
    </w:rPr>
  </w:style>
  <w:style w:type="character" w:styleId="1355">
    <w:name w:val="批注框文本 字符"/>
    <w:next w:val="1355"/>
    <w:link w:val="1035"/>
    <w:uiPriority w:val="99"/>
    <w:rPr>
      <w:rFonts w:ascii="Calibri" w:hAnsi="Calibri" w:eastAsia="楷体_GB2312" w:cs="Times New Roman"/>
      <w:sz w:val="18"/>
      <w:szCs w:val="18"/>
    </w:rPr>
  </w:style>
  <w:style w:type="character" w:styleId="1356">
    <w:name w:val="页脚 字符"/>
    <w:next w:val="1356"/>
    <w:link w:val="1035"/>
    <w:uiPriority w:val="99"/>
    <w:rPr>
      <w:rFonts w:ascii="Times New Roman" w:hAnsi="Times New Roman" w:eastAsia="宋体" w:cs="Times New Roman"/>
      <w:sz w:val="18"/>
      <w:szCs w:val="18"/>
    </w:rPr>
  </w:style>
  <w:style w:type="character" w:styleId="1357">
    <w:name w:val="页眉 字符"/>
    <w:next w:val="1357"/>
    <w:link w:val="1035"/>
    <w:uiPriority w:val="99"/>
    <w:rPr>
      <w:sz w:val="18"/>
    </w:rPr>
  </w:style>
  <w:style w:type="character" w:styleId="1358">
    <w:name w:val="副标题 字符"/>
    <w:next w:val="1358"/>
    <w:link w:val="1035"/>
    <w:uiPriority w:val="11"/>
    <w:rPr>
      <w:rFonts w:ascii="Cambria" w:hAnsi="Cambria" w:eastAsia="宋体" w:cs="Times New Roman"/>
      <w:b/>
      <w:bCs/>
      <w:sz w:val="32"/>
      <w:szCs w:val="32"/>
    </w:rPr>
  </w:style>
  <w:style w:type="character" w:styleId="1359">
    <w:name w:val="正文文本缩进 3 字符"/>
    <w:next w:val="1359"/>
    <w:link w:val="1035"/>
    <w:uiPriority w:val="99"/>
    <w:rPr>
      <w:rFonts w:ascii="Calibri" w:hAnsi="Calibri" w:eastAsia="宋体" w:cs="Times New Roman"/>
      <w:sz w:val="16"/>
      <w:szCs w:val="16"/>
    </w:rPr>
  </w:style>
  <w:style w:type="character" w:styleId="1360">
    <w:name w:val="标题 字符"/>
    <w:next w:val="1360"/>
    <w:link w:val="1035"/>
    <w:uiPriority w:val="10"/>
    <w:rPr>
      <w:rFonts w:ascii="Cambria" w:hAnsi="Cambria" w:eastAsia="宋体" w:cs="Times New Roman"/>
      <w:b/>
      <w:bCs/>
      <w:sz w:val="32"/>
      <w:szCs w:val="32"/>
    </w:rPr>
  </w:style>
  <w:style w:type="character" w:styleId="1361">
    <w:name w:val="批注主题 字符"/>
    <w:next w:val="1361"/>
    <w:link w:val="1035"/>
    <w:uiPriority w:val="99"/>
    <w:rPr>
      <w:rFonts w:ascii="Tahoma" w:hAnsi="Tahoma" w:eastAsia="宋体" w:cs="Times New Roman"/>
      <w:b/>
      <w:bCs/>
      <w:szCs w:val="24"/>
    </w:rPr>
  </w:style>
  <w:style w:type="character" w:styleId="1362">
    <w:name w:val="正文首行缩进 2 字符"/>
    <w:next w:val="1362"/>
    <w:link w:val="1035"/>
    <w:uiPriority w:val="99"/>
    <w:rPr>
      <w:rFonts w:ascii="Calibri" w:hAnsi="Calibri" w:eastAsia="宋体" w:cs="Times New Roman"/>
      <w:szCs w:val="24"/>
    </w:rPr>
  </w:style>
  <w:style w:type="paragraph" w:styleId="1363">
    <w:name w:val="PlainText1"/>
    <w:basedOn w:val="1035"/>
    <w:next w:val="1363"/>
    <w:link w:val="1035"/>
    <w:qFormat/>
    <w:pPr>
      <w:jc w:val="left"/>
      <w:widowControl/>
    </w:pPr>
    <w:rPr>
      <w:rFonts w:ascii="宋体" w:hAnsi="Courier New" w:eastAsia="楷体_GB2312"/>
      <w:sz w:val="26"/>
      <w:szCs w:val="24"/>
    </w:rPr>
  </w:style>
  <w:style w:type="paragraph" w:styleId="1364">
    <w:name w:val="UserStyle_107"/>
    <w:basedOn w:val="1035"/>
    <w:next w:val="1364"/>
    <w:link w:val="1035"/>
    <w:qFormat/>
    <w:pPr>
      <w:ind w:firstLine="360"/>
      <w:jc w:val="left"/>
      <w:widowControl/>
    </w:pPr>
    <w:rPr>
      <w:rFonts w:ascii="宋体" w:hAnsi="Courier New" w:eastAsia="楷体_GB2312"/>
      <w:sz w:val="26"/>
      <w:szCs w:val="20"/>
      <w:lang w:eastAsia="en-US" w:bidi="en-US"/>
    </w:rPr>
  </w:style>
  <w:style w:type="paragraph" w:styleId="1365">
    <w:name w:val="NormalIndent1"/>
    <w:basedOn w:val="1035"/>
    <w:next w:val="1365"/>
    <w:link w:val="1035"/>
    <w:qFormat/>
    <w:pPr>
      <w:ind w:firstLine="420"/>
      <w:jc w:val="left"/>
      <w:widowControl/>
    </w:pPr>
    <w:rPr>
      <w:rFonts w:ascii="Times New Roman" w:hAnsi="Times New Roman" w:eastAsia="楷体_GB2312"/>
      <w:sz w:val="24"/>
      <w:szCs w:val="20"/>
    </w:rPr>
  </w:style>
  <w:style w:type="paragraph" w:styleId="1366">
    <w:name w:val="Heading41"/>
    <w:basedOn w:val="1035"/>
    <w:next w:val="1035"/>
    <w:link w:val="1035"/>
    <w:qFormat/>
    <w:pPr>
      <w:keepNext/>
      <w:spacing w:before="240" w:after="60"/>
    </w:pPr>
    <w:rPr>
      <w:rFonts w:ascii="Times New Roman" w:hAnsi="Times New Roman"/>
      <w:sz w:val="28"/>
      <w:szCs w:val="28"/>
    </w:rPr>
  </w:style>
  <w:style w:type="paragraph" w:styleId="1367">
    <w:name w:val="UserStyle_314"/>
    <w:next w:val="1367"/>
    <w:link w:val="1035"/>
    <w:pPr>
      <w:jc w:val="both"/>
    </w:pPr>
    <w:rPr>
      <w:sz w:val="21"/>
      <w:szCs w:val="22"/>
      <w:lang w:val="en-US" w:eastAsia="zh-CN" w:bidi="ar-SA"/>
    </w:rPr>
  </w:style>
  <w:style w:type="character" w:styleId="1368">
    <w:name w:val="正文缩进 Char1"/>
    <w:next w:val="1368"/>
    <w:link w:val="1035"/>
    <w:rPr>
      <w:rFonts w:ascii="Calibri" w:hAnsi="Calibri" w:eastAsia="楷体_GB2312" w:cs="Times New Roman"/>
      <w:sz w:val="24"/>
      <w:szCs w:val="20"/>
    </w:rPr>
  </w:style>
  <w:style w:type="character" w:styleId="1369">
    <w:name w:val="副标题 Char1"/>
    <w:next w:val="1369"/>
    <w:link w:val="1035"/>
    <w:uiPriority w:val="11"/>
    <w:rPr>
      <w:rFonts w:ascii="Cambria" w:hAnsi="Cambria" w:eastAsia="宋体" w:cs="Times New Roman"/>
      <w:b/>
      <w:bCs/>
      <w:sz w:val="32"/>
      <w:szCs w:val="32"/>
    </w:rPr>
  </w:style>
  <w:style w:type="character" w:styleId="1370">
    <w:name w:val="Char Char3"/>
    <w:next w:val="1370"/>
    <w:link w:val="1035"/>
    <w:rPr>
      <w:rFonts w:ascii="Calibri" w:hAnsi="Calibri" w:eastAsia="楷体_GB2312" w:cs="Times New Roman"/>
      <w:sz w:val="24"/>
      <w:lang w:val="en-US" w:eastAsia="zh-CN" w:bidi="ar-SA"/>
    </w:rPr>
  </w:style>
  <w:style w:type="character" w:styleId="1371">
    <w:name w:val="Heading 5 Char"/>
    <w:next w:val="1371"/>
    <w:link w:val="1035"/>
    <w:rPr>
      <w:rFonts w:ascii="Calibri" w:hAnsi="Calibri" w:eastAsia="宋体" w:cs="Times New Roman"/>
      <w:b/>
      <w:bCs/>
      <w:sz w:val="28"/>
      <w:szCs w:val="28"/>
      <w:lang w:val="en-US" w:eastAsia="zh-CN" w:bidi="ar-SA"/>
    </w:rPr>
  </w:style>
  <w:style w:type="character" w:styleId="1372">
    <w:name w:val="Balloon Text Char"/>
    <w:next w:val="1372"/>
    <w:link w:val="1035"/>
    <w:rPr>
      <w:rFonts w:ascii="Calibri" w:hAnsi="Calibri" w:eastAsia="宋体" w:cs="Times New Roman"/>
      <w:sz w:val="18"/>
      <w:lang w:bidi="ar-SA"/>
    </w:rPr>
  </w:style>
  <w:style w:type="character" w:styleId="1373">
    <w:name w:val="正文文本缩进 2 Char1"/>
    <w:next w:val="1373"/>
    <w:link w:val="1035"/>
    <w:rPr>
      <w:rFonts w:ascii="Calibri" w:hAnsi="Calibri" w:eastAsia="宋体" w:cs="Times New Roman"/>
      <w:sz w:val="21"/>
      <w:szCs w:val="24"/>
    </w:rPr>
  </w:style>
  <w:style w:type="character" w:styleId="1374">
    <w:name w:val="Char Char1"/>
    <w:next w:val="1374"/>
    <w:link w:val="1035"/>
    <w:rPr>
      <w:rFonts w:ascii="宋体" w:hAnsi="Courier New" w:eastAsia="楷体_GB2312" w:cs="Times New Roman"/>
      <w:sz w:val="28"/>
      <w:szCs w:val="24"/>
      <w:lang w:val="en-US" w:eastAsia="zh-CN" w:bidi="ar-SA"/>
    </w:rPr>
  </w:style>
  <w:style w:type="character" w:styleId="1375">
    <w:name w:val="HTML Markup"/>
    <w:next w:val="1375"/>
    <w:link w:val="1035"/>
    <w:rPr>
      <w:rFonts w:ascii="Calibri" w:hAnsi="Calibri" w:eastAsia="宋体" w:cs="Times New Roman"/>
      <w:vanish/>
      <w:color w:val="ff0000"/>
    </w:rPr>
  </w:style>
  <w:style w:type="character" w:styleId="1376">
    <w:name w:val="Definition"/>
    <w:next w:val="1376"/>
    <w:link w:val="1035"/>
    <w:rPr>
      <w:rFonts w:ascii="Calibri" w:hAnsi="Calibri" w:eastAsia="宋体" w:cs="Times New Roman"/>
      <w:i/>
    </w:rPr>
  </w:style>
  <w:style w:type="character" w:styleId="1377">
    <w:name w:val="不明显强调"/>
    <w:next w:val="1377"/>
    <w:link w:val="1035"/>
    <w:qFormat/>
    <w:rPr>
      <w:rFonts w:ascii="Calibri" w:hAnsi="Calibri" w:eastAsia="宋体" w:cs="Times New Roman"/>
      <w:i/>
      <w:iCs/>
      <w:color w:val="808080"/>
    </w:rPr>
  </w:style>
  <w:style w:type="character" w:styleId="1378">
    <w:name w:val="Char Char22"/>
    <w:next w:val="1378"/>
    <w:link w:val="1035"/>
    <w:rPr>
      <w:rFonts w:ascii="Times New Roman" w:hAnsi="Times New Roman" w:eastAsia="宋体" w:cs="Times New Roman"/>
      <w:b/>
      <w:bCs/>
      <w:sz w:val="32"/>
      <w:szCs w:val="44"/>
    </w:rPr>
  </w:style>
  <w:style w:type="character" w:styleId="1379">
    <w:name w:val="标题 2 Char1"/>
    <w:next w:val="1379"/>
    <w:link w:val="1035"/>
    <w:rPr>
      <w:rFonts w:ascii="Arial" w:hAnsi="Arial" w:eastAsia="黑体" w:cs="Calibri"/>
      <w:b/>
      <w:sz w:val="32"/>
      <w:szCs w:val="20"/>
    </w:rPr>
  </w:style>
  <w:style w:type="character" w:styleId="1380">
    <w:name w:val="A8"/>
    <w:next w:val="1380"/>
    <w:link w:val="1035"/>
    <w:rPr>
      <w:rFonts w:ascii="华文细黑." w:hAnsi="Calibri" w:eastAsia="华文细黑." w:cs="华文细黑."/>
      <w:color w:val="000000"/>
      <w:sz w:val="14"/>
      <w:szCs w:val="14"/>
    </w:rPr>
  </w:style>
  <w:style w:type="character" w:styleId="1381">
    <w:name w:val="Title Char"/>
    <w:next w:val="1381"/>
    <w:link w:val="1035"/>
    <w:rPr>
      <w:rFonts w:ascii="Cambria" w:hAnsi="Cambria" w:eastAsia="宋体" w:cs="Times New Roman"/>
      <w:b/>
      <w:sz w:val="32"/>
      <w:lang w:bidi="ar-SA"/>
    </w:rPr>
  </w:style>
  <w:style w:type="character" w:styleId="1382">
    <w:name w:val="CITE"/>
    <w:next w:val="1382"/>
    <w:link w:val="1035"/>
    <w:rPr>
      <w:rFonts w:ascii="Calibri" w:hAnsi="Calibri" w:eastAsia="宋体" w:cs="Times New Roman"/>
      <w:i/>
    </w:rPr>
  </w:style>
  <w:style w:type="character" w:styleId="1383">
    <w:name w:val="标题5 Char Char"/>
    <w:next w:val="1383"/>
    <w:link w:val="1384"/>
    <w:rPr>
      <w:rFonts w:ascii="Arial" w:hAnsi="Arial" w:cs="Arial"/>
      <w:sz w:val="24"/>
    </w:rPr>
  </w:style>
  <w:style w:type="paragraph" w:styleId="1384">
    <w:name w:val="标题5"/>
    <w:basedOn w:val="1038"/>
    <w:next w:val="1384"/>
    <w:link w:val="1383"/>
    <w:pPr>
      <w:jc w:val="both"/>
      <w:keepLines/>
      <w:keepNext/>
      <w:spacing w:before="260" w:after="260" w:line="412" w:lineRule="auto"/>
    </w:pPr>
    <w:rPr>
      <w:rFonts w:ascii="Arial" w:hAnsi="Arial" w:cs="Arial"/>
      <w:b w:val="0"/>
      <w:sz w:val="24"/>
      <w:szCs w:val="20"/>
      <w:lang w:val="en-US" w:eastAsia="zh-CN"/>
    </w:rPr>
  </w:style>
  <w:style w:type="character" w:styleId="1385">
    <w:name w:val="标题 2 Char_1"/>
    <w:next w:val="1385"/>
    <w:link w:val="1386"/>
    <w:rPr>
      <w:rFonts w:ascii="黑体" w:hAnsi="宋体" w:eastAsia="黑体"/>
      <w:sz w:val="30"/>
      <w:szCs w:val="30"/>
    </w:rPr>
  </w:style>
  <w:style w:type="paragraph" w:styleId="1386">
    <w:name w:val="标题 2_1"/>
    <w:basedOn w:val="1387"/>
    <w:next w:val="1388"/>
    <w:link w:val="1385"/>
    <w:unhideWhenUsed/>
    <w:pPr>
      <w:keepLines/>
      <w:keepNext/>
      <w:spacing w:before="120" w:after="120" w:line="360" w:lineRule="auto"/>
      <w:outlineLvl w:val="1"/>
    </w:pPr>
    <w:rPr>
      <w:rFonts w:ascii="黑体" w:hAnsi="宋体" w:eastAsia="黑体"/>
      <w:b w:val="0"/>
      <w:bCs w:val="0"/>
      <w:sz w:val="30"/>
      <w:szCs w:val="30"/>
    </w:rPr>
  </w:style>
  <w:style w:type="paragraph" w:styleId="1387">
    <w:name w:val="标题_1"/>
    <w:basedOn w:val="1388"/>
    <w:next w:val="1388"/>
    <w:link w:val="1389"/>
    <w:qFormat/>
    <w:pPr>
      <w:jc w:val="center"/>
      <w:spacing w:before="240" w:after="60"/>
      <w:outlineLvl w:val="0"/>
    </w:pPr>
    <w:rPr>
      <w:rFonts w:ascii="Cambria" w:hAnsi="Cambria"/>
      <w:b/>
      <w:bCs/>
      <w:sz w:val="32"/>
      <w:szCs w:val="32"/>
    </w:rPr>
  </w:style>
  <w:style w:type="paragraph" w:styleId="1388">
    <w:name w:val="正文_2"/>
    <w:next w:val="1388"/>
    <w:link w:val="1035"/>
    <w:qFormat/>
    <w:pPr>
      <w:jc w:val="both"/>
      <w:widowControl w:val="off"/>
    </w:pPr>
    <w:rPr>
      <w:rFonts w:ascii="Times New Roman" w:hAnsi="Times New Roman"/>
      <w:sz w:val="21"/>
      <w:szCs w:val="22"/>
      <w:lang w:val="en-US" w:eastAsia="zh-CN" w:bidi="ar-SA"/>
    </w:rPr>
  </w:style>
  <w:style w:type="character" w:styleId="1389">
    <w:name w:val="标题 Char_1"/>
    <w:next w:val="1389"/>
    <w:link w:val="1387"/>
    <w:rPr>
      <w:rFonts w:ascii="Cambria" w:hAnsi="Cambria"/>
      <w:b/>
      <w:bCs/>
      <w:sz w:val="32"/>
      <w:szCs w:val="32"/>
    </w:rPr>
  </w:style>
  <w:style w:type="character" w:styleId="1390">
    <w:name w:val="style21"/>
    <w:next w:val="1390"/>
    <w:link w:val="1035"/>
    <w:rPr>
      <w:rFonts w:ascii="Tahoma" w:hAnsi="Tahoma" w:eastAsia="宋体" w:cs="Times New Roman"/>
      <w:color w:val="2e65b5"/>
      <w:sz w:val="24"/>
      <w:szCs w:val="24"/>
      <w:lang w:val="en-US" w:eastAsia="zh-CN" w:bidi="ar-SA"/>
    </w:rPr>
  </w:style>
  <w:style w:type="character" w:styleId="1391">
    <w:name w:val="Comment Text Char"/>
    <w:next w:val="1391"/>
    <w:link w:val="1035"/>
    <w:rPr>
      <w:rFonts w:ascii="Calibri" w:hAnsi="Calibri" w:eastAsia="宋体" w:cs="Times New Roman"/>
      <w:sz w:val="24"/>
      <w:szCs w:val="24"/>
    </w:rPr>
  </w:style>
  <w:style w:type="character" w:styleId="1392">
    <w:name w:val="文档结构图 Char1"/>
    <w:next w:val="1392"/>
    <w:link w:val="1035"/>
    <w:rPr>
      <w:rFonts w:hint="eastAsia" w:ascii="宋体" w:hAnsi="宋体" w:eastAsia="宋体" w:cs="Times New Roman"/>
      <w:sz w:val="18"/>
      <w:szCs w:val="18"/>
    </w:rPr>
  </w:style>
  <w:style w:type="character" w:styleId="1393">
    <w:name w:val="Char Char9"/>
    <w:next w:val="1393"/>
    <w:link w:val="1035"/>
    <w:rPr>
      <w:rFonts w:ascii="Calibri" w:hAnsi="Calibri" w:eastAsia="宋体" w:cs="Times New Roman"/>
      <w:b/>
      <w:bCs/>
      <w:sz w:val="32"/>
      <w:szCs w:val="44"/>
      <w:lang w:val="en-US" w:eastAsia="zh-CN" w:bidi="ar-SA"/>
    </w:rPr>
  </w:style>
  <w:style w:type="character" w:styleId="1394">
    <w:name w:val="Char Char18"/>
    <w:next w:val="1394"/>
    <w:link w:val="1035"/>
    <w:rPr>
      <w:rFonts w:ascii="Cambria" w:hAnsi="Cambria" w:eastAsia="宋体" w:cs="Times New Roman"/>
      <w:b/>
      <w:bCs/>
      <w:sz w:val="32"/>
      <w:szCs w:val="32"/>
      <w:lang w:val="en-US" w:eastAsia="zh-CN" w:bidi="ar-SA"/>
    </w:rPr>
  </w:style>
  <w:style w:type="character" w:styleId="1395">
    <w:name w:val="Char Char10"/>
    <w:next w:val="1395"/>
    <w:link w:val="1035"/>
    <w:rPr>
      <w:rFonts w:ascii="Times New Roman" w:hAnsi="Times New Roman" w:eastAsia="宋体" w:cs="Times New Roman"/>
      <w:b/>
      <w:bCs/>
      <w:sz w:val="28"/>
      <w:szCs w:val="28"/>
    </w:rPr>
  </w:style>
  <w:style w:type="character" w:styleId="1396">
    <w:name w:val="纯文本 字符"/>
    <w:next w:val="1396"/>
    <w:link w:val="1035"/>
    <w:rPr>
      <w:rFonts w:ascii="宋体" w:hAnsi="Courier New" w:eastAsia="楷体_GB2312"/>
      <w:sz w:val="26"/>
    </w:rPr>
  </w:style>
  <w:style w:type="character" w:styleId="1397">
    <w:name w:val="apple-style-span"/>
    <w:next w:val="1397"/>
    <w:link w:val="1035"/>
    <w:rPr>
      <w:rFonts w:ascii="Tahoma" w:hAnsi="Tahoma" w:eastAsia="宋体" w:cs="Times New Roman"/>
      <w:sz w:val="24"/>
      <w:szCs w:val="24"/>
      <w:lang w:val="en-US" w:eastAsia="zh-CN" w:bidi="ar-SA"/>
    </w:rPr>
  </w:style>
  <w:style w:type="character" w:styleId="1398">
    <w:name w:val="Char Char19"/>
    <w:next w:val="1398"/>
    <w:link w:val="1035"/>
    <w:rPr>
      <w:rFonts w:ascii="Arial" w:hAnsi="Arial" w:eastAsia="宋体" w:cs="Times New Roman"/>
      <w:b/>
      <w:bCs/>
      <w:szCs w:val="28"/>
    </w:rPr>
  </w:style>
  <w:style w:type="character" w:styleId="1399">
    <w:name w:val="Header Char"/>
    <w:next w:val="1399"/>
    <w:link w:val="1035"/>
    <w:rPr>
      <w:rFonts w:ascii="Calibri" w:hAnsi="Calibri" w:eastAsia="宋体" w:cs="Times New Roman"/>
      <w:sz w:val="18"/>
      <w:szCs w:val="18"/>
      <w:lang w:val="en-US" w:eastAsia="zh-CN" w:bidi="ar-SA"/>
    </w:rPr>
  </w:style>
  <w:style w:type="character" w:styleId="1400">
    <w:name w:val="Variable"/>
    <w:next w:val="1400"/>
    <w:link w:val="1035"/>
    <w:rPr>
      <w:rFonts w:ascii="Calibri" w:hAnsi="Calibri" w:eastAsia="宋体" w:cs="Times New Roman"/>
      <w:i/>
    </w:rPr>
  </w:style>
  <w:style w:type="character" w:styleId="1401">
    <w:name w:val="标题 3 Char1"/>
    <w:next w:val="1401"/>
    <w:link w:val="1035"/>
    <w:rPr>
      <w:rFonts w:ascii="Calibri" w:hAnsi="Calibri" w:eastAsia="宋体" w:cs="Arial"/>
      <w:b/>
      <w:sz w:val="32"/>
      <w:szCs w:val="20"/>
    </w:rPr>
  </w:style>
  <w:style w:type="character" w:styleId="1402">
    <w:name w:val="Char Char4"/>
    <w:next w:val="1402"/>
    <w:link w:val="1035"/>
    <w:rPr>
      <w:rFonts w:ascii="宋体" w:hAnsi="宋体" w:eastAsia="黑体" w:cs="Arial"/>
      <w:b/>
      <w:sz w:val="28"/>
      <w:szCs w:val="32"/>
      <w:lang w:val="en-US" w:eastAsia="zh-CN" w:bidi="ar-SA"/>
    </w:rPr>
  </w:style>
  <w:style w:type="character" w:styleId="1403">
    <w:name w:val="Heading 3 Char1"/>
    <w:next w:val="1403"/>
    <w:link w:val="1035"/>
    <w:rPr>
      <w:rFonts w:ascii="Calibri" w:hAnsi="Calibri" w:eastAsia="宋体" w:cs="Times New Roman"/>
      <w:b/>
      <w:bCs/>
      <w:sz w:val="24"/>
      <w:szCs w:val="32"/>
      <w:lang w:val="en-US" w:eastAsia="zh-CN" w:bidi="ar-SA"/>
    </w:rPr>
  </w:style>
  <w:style w:type="character" w:styleId="1404">
    <w:name w:val="正文文本缩进 Char1,正文小标题 Char1,正文文字4 Char1"/>
    <w:next w:val="1404"/>
    <w:link w:val="1035"/>
    <w:rPr>
      <w:rFonts w:ascii="宋体" w:hAnsi="Tahoma" w:eastAsia="宋体" w:cs="Times New Roman"/>
      <w:sz w:val="24"/>
      <w:szCs w:val="24"/>
      <w:lang w:val="en-US" w:eastAsia="zh-CN" w:bidi="ar-SA"/>
    </w:rPr>
  </w:style>
  <w:style w:type="character" w:styleId="1405">
    <w:name w:val="超链接_0"/>
    <w:next w:val="1405"/>
    <w:link w:val="1035"/>
    <w:uiPriority w:val="99"/>
    <w:rPr>
      <w:rFonts w:ascii="Calibri" w:hAnsi="Calibri" w:eastAsia="宋体" w:cs="Times New Roman"/>
      <w:color w:val="0000ff"/>
      <w:u w:val="single"/>
    </w:rPr>
  </w:style>
  <w:style w:type="character" w:styleId="1406">
    <w:name w:val="Document Map Char"/>
    <w:next w:val="1406"/>
    <w:link w:val="1035"/>
    <w:rPr>
      <w:rFonts w:ascii="Calibri" w:hAnsi="Calibri" w:eastAsia="宋体" w:cs="Times New Roman"/>
      <w:sz w:val="21"/>
      <w:szCs w:val="24"/>
      <w:lang w:val="en-US" w:eastAsia="zh-CN" w:bidi="ar-SA"/>
    </w:rPr>
  </w:style>
  <w:style w:type="character" w:styleId="1407">
    <w:name w:val="明显引用 Char2"/>
    <w:next w:val="1407"/>
    <w:link w:val="1035"/>
    <w:uiPriority w:val="30"/>
    <w:rPr>
      <w:rFonts w:ascii="Calibri" w:hAnsi="Calibri" w:eastAsia="宋体" w:cs="Times New Roman"/>
      <w:b/>
      <w:bCs/>
      <w:i/>
      <w:iCs/>
      <w:color w:val="4f81bd"/>
      <w:sz w:val="21"/>
      <w:szCs w:val="24"/>
    </w:rPr>
  </w:style>
  <w:style w:type="character" w:styleId="1408">
    <w:name w:val="ca-0"/>
    <w:next w:val="1408"/>
    <w:link w:val="1035"/>
    <w:rPr>
      <w:rFonts w:ascii="Tahoma" w:hAnsi="Tahoma" w:eastAsia="宋体" w:cs="Times New Roman"/>
      <w:sz w:val="24"/>
      <w:szCs w:val="24"/>
      <w:lang w:val="en-US" w:eastAsia="zh-CN" w:bidi="ar-SA"/>
    </w:rPr>
  </w:style>
  <w:style w:type="character" w:styleId="1409">
    <w:name w:val="Heading 2 Char"/>
    <w:next w:val="1409"/>
    <w:link w:val="1035"/>
    <w:rPr>
      <w:rFonts w:ascii="Arial" w:hAnsi="Arial" w:eastAsia="黑体" w:cs="Times New Roman"/>
      <w:b/>
      <w:bCs/>
      <w:sz w:val="32"/>
      <w:szCs w:val="32"/>
      <w:lang w:val="en-US" w:eastAsia="zh-CN" w:bidi="ar-SA"/>
    </w:rPr>
  </w:style>
  <w:style w:type="character" w:styleId="1410">
    <w:name w:val="Plain Text Char"/>
    <w:next w:val="1410"/>
    <w:link w:val="1035"/>
    <w:rPr>
      <w:rFonts w:ascii="宋体" w:hAnsi="Courier New" w:eastAsia="宋体" w:cs="Times New Roman"/>
      <w:sz w:val="24"/>
      <w:lang w:bidi="ar-SA"/>
    </w:rPr>
  </w:style>
  <w:style w:type="character" w:styleId="1411">
    <w:name w:val="正文文本 Char2"/>
    <w:next w:val="1411"/>
    <w:link w:val="1035"/>
    <w:uiPriority w:val="99"/>
    <w:semiHidden/>
    <w:rPr>
      <w:rFonts w:ascii="Calibri" w:hAnsi="Calibri" w:eastAsia="宋体" w:cs="Times New Roman"/>
    </w:rPr>
  </w:style>
  <w:style w:type="character" w:styleId="1412">
    <w:name w:val="Strong1"/>
    <w:next w:val="1412"/>
    <w:link w:val="1035"/>
    <w:uiPriority w:val="22"/>
    <w:qFormat/>
    <w:rPr>
      <w:rFonts w:ascii="Tahoma" w:hAnsi="Tahoma" w:eastAsia="宋体" w:cs="Times New Roman"/>
      <w:b/>
      <w:bCs/>
      <w:sz w:val="24"/>
      <w:szCs w:val="24"/>
      <w:lang w:val="en-US" w:eastAsia="zh-CN" w:bidi="ar-SA"/>
    </w:rPr>
  </w:style>
  <w:style w:type="character" w:styleId="1413">
    <w:name w:val="Char Char20"/>
    <w:next w:val="1413"/>
    <w:link w:val="1035"/>
    <w:rPr>
      <w:rFonts w:ascii="Times New Roman" w:hAnsi="Times New Roman" w:eastAsia="宋体" w:cs="Times New Roman"/>
      <w:b/>
      <w:bCs/>
      <w:sz w:val="24"/>
      <w:szCs w:val="32"/>
    </w:rPr>
  </w:style>
  <w:style w:type="character" w:styleId="1414">
    <w:name w:val="wen Char1"/>
    <w:next w:val="1414"/>
    <w:link w:val="1415"/>
    <w:rPr>
      <w:rFonts w:ascii="微软雅黑" w:hAnsi="微软雅黑" w:eastAsia="微软雅黑"/>
    </w:rPr>
  </w:style>
  <w:style w:type="paragraph" w:styleId="1415">
    <w:name w:val="wen"/>
    <w:basedOn w:val="1035"/>
    <w:next w:val="1415"/>
    <w:link w:val="1414"/>
    <w:pPr>
      <w:ind w:firstLine="425"/>
      <w:spacing w:line="269" w:lineRule="auto"/>
    </w:pPr>
    <w:rPr>
      <w:rFonts w:ascii="微软雅黑" w:hAnsi="微软雅黑" w:eastAsia="微软雅黑"/>
      <w:sz w:val="20"/>
      <w:szCs w:val="20"/>
    </w:rPr>
  </w:style>
  <w:style w:type="character" w:styleId="1416">
    <w:name w:val="para"/>
    <w:next w:val="1416"/>
    <w:link w:val="1035"/>
    <w:rPr>
      <w:rFonts w:ascii="Tahoma" w:hAnsi="Tahoma" w:eastAsia="宋体" w:cs="Times New Roman"/>
      <w:sz w:val="24"/>
      <w:szCs w:val="24"/>
      <w:lang w:val="en-US" w:eastAsia="zh-CN" w:bidi="ar-SA"/>
    </w:rPr>
  </w:style>
  <w:style w:type="character" w:styleId="1417">
    <w:name w:val="icon-down"/>
    <w:next w:val="1417"/>
    <w:link w:val="1035"/>
    <w:rPr>
      <w:rFonts w:ascii="宋体" w:hAnsi="宋体" w:eastAsia="宋体" w:cs="Times New Roman"/>
      <w:sz w:val="24"/>
      <w:szCs w:val="24"/>
      <w:lang w:val="en-US" w:eastAsia="zh-CN" w:bidi="ar-SA"/>
    </w:rPr>
  </w:style>
  <w:style w:type="character" w:styleId="1418">
    <w:name w:val="样式 标题 3 + (中文) 黑体 小四 非加粗 段前: 7.8 磅 段后: 0 磅 行距: 固定值 20 磅 Char"/>
    <w:next w:val="1418"/>
    <w:link w:val="1035"/>
    <w:rPr>
      <w:rFonts w:ascii="黑体" w:hAnsi="宋体" w:eastAsia="黑体" w:cs="宋体"/>
      <w:b/>
      <w:bCs/>
      <w:sz w:val="24"/>
      <w:lang w:val="en-US" w:eastAsia="zh-CN" w:bidi="ar-SA"/>
    </w:rPr>
  </w:style>
  <w:style w:type="character" w:styleId="1419">
    <w:name w:val="引用 Char2"/>
    <w:next w:val="1419"/>
    <w:link w:val="1035"/>
    <w:uiPriority w:val="29"/>
    <w:rPr>
      <w:rFonts w:ascii="Calibri" w:hAnsi="Calibri" w:eastAsia="宋体" w:cs="Times New Roman"/>
      <w:i/>
      <w:iCs/>
      <w:color w:val="000000"/>
      <w:sz w:val="21"/>
      <w:szCs w:val="24"/>
    </w:rPr>
  </w:style>
  <w:style w:type="character" w:styleId="1420">
    <w:name w:val="标题 Char_0"/>
    <w:next w:val="1420"/>
    <w:link w:val="1421"/>
  </w:style>
  <w:style w:type="paragraph" w:styleId="1421">
    <w:name w:val="标题_0"/>
    <w:basedOn w:val="1035"/>
    <w:next w:val="1421"/>
    <w:link w:val="1420"/>
    <w:qFormat/>
    <w:rPr>
      <w:sz w:val="20"/>
      <w:szCs w:val="20"/>
    </w:rPr>
  </w:style>
  <w:style w:type="character" w:styleId="1422">
    <w:name w:val="z-窗体底端 字符"/>
    <w:next w:val="1422"/>
    <w:link w:val="1423"/>
    <w:rPr>
      <w:rFonts w:ascii="Arial" w:hAnsi="Tahoma"/>
      <w:vanish/>
      <w:sz w:val="16"/>
    </w:rPr>
  </w:style>
  <w:style w:type="paragraph" w:styleId="1423">
    <w:name w:val="z-窗体底端"/>
    <w:basedOn w:val="1035"/>
    <w:next w:val="1035"/>
    <w:link w:val="1422"/>
    <w:unhideWhenUsed/>
    <w:pPr>
      <w:jc w:val="center"/>
      <w:pBdr>
        <w:top w:val="single" w:color="000000" w:sz="6" w:space="1"/>
      </w:pBdr>
    </w:pPr>
    <w:rPr>
      <w:rFonts w:ascii="Arial" w:hAnsi="Tahoma"/>
      <w:vanish/>
      <w:sz w:val="16"/>
      <w:szCs w:val="20"/>
    </w:rPr>
  </w:style>
  <w:style w:type="character" w:styleId="1424">
    <w:name w:val="z-窗体底端 字符1"/>
    <w:next w:val="1424"/>
    <w:link w:val="1035"/>
    <w:uiPriority w:val="99"/>
    <w:semiHidden/>
    <w:rPr>
      <w:rFonts w:ascii="Arial" w:hAnsi="Arial" w:cs="Arial"/>
      <w:vanish/>
      <w:sz w:val="16"/>
      <w:szCs w:val="16"/>
    </w:rPr>
  </w:style>
  <w:style w:type="character" w:styleId="1425">
    <w:name w:val="z-窗体底端 Char1"/>
    <w:next w:val="1425"/>
    <w:link w:val="1035"/>
    <w:uiPriority w:val="99"/>
    <w:semiHidden/>
    <w:rPr>
      <w:rFonts w:ascii="Arial" w:hAnsi="Arial" w:cs="Arial"/>
      <w:vanish/>
      <w:sz w:val="16"/>
      <w:szCs w:val="16"/>
    </w:rPr>
  </w:style>
  <w:style w:type="character" w:styleId="1426">
    <w:name w:val="正文文本 Char1,手改 Char1"/>
    <w:next w:val="1426"/>
    <w:link w:val="1035"/>
    <w:rPr>
      <w:rFonts w:ascii="Calibri" w:hAnsi="Calibri" w:eastAsia="宋体" w:cs="Times New Roman"/>
      <w:sz w:val="21"/>
      <w:szCs w:val="22"/>
    </w:rPr>
  </w:style>
  <w:style w:type="character" w:styleId="1427">
    <w:name w:val="Keyboard"/>
    <w:next w:val="1427"/>
    <w:link w:val="1035"/>
    <w:rPr>
      <w:rFonts w:ascii="Courier New" w:hAnsi="Courier New" w:eastAsia="宋体" w:cs="Times New Roman"/>
      <w:b/>
      <w:sz w:val="20"/>
    </w:rPr>
  </w:style>
  <w:style w:type="character" w:styleId="1428">
    <w:name w:val="Heading 3 Char"/>
    <w:next w:val="1428"/>
    <w:link w:val="1035"/>
    <w:rPr>
      <w:rFonts w:ascii="Calibri" w:hAnsi="Calibri" w:eastAsia="宋体" w:cs="Times New Roman"/>
      <w:b/>
      <w:bCs/>
      <w:sz w:val="32"/>
      <w:szCs w:val="32"/>
    </w:rPr>
  </w:style>
  <w:style w:type="character" w:styleId="1429">
    <w:name w:val="Char Char7"/>
    <w:next w:val="1429"/>
    <w:link w:val="1035"/>
    <w:rPr>
      <w:rFonts w:ascii="Times New Roman" w:hAnsi="Times New Roman" w:eastAsia="宋体" w:cs="Times New Roman"/>
      <w:sz w:val="24"/>
      <w:szCs w:val="24"/>
    </w:rPr>
  </w:style>
  <w:style w:type="character" w:styleId="1430">
    <w:name w:val="正文首行缩进2字 Char"/>
    <w:next w:val="1430"/>
    <w:link w:val="1431"/>
    <w:rPr>
      <w:rFonts w:eastAsia="楷体_GB2312"/>
      <w:sz w:val="24"/>
    </w:rPr>
  </w:style>
  <w:style w:type="paragraph" w:styleId="1431">
    <w:name w:val="正文首行缩进2字"/>
    <w:basedOn w:val="1035"/>
    <w:next w:val="1431"/>
    <w:link w:val="1430"/>
    <w:pPr>
      <w:ind w:firstLine="540"/>
      <w:spacing w:line="288" w:lineRule="auto"/>
    </w:pPr>
    <w:rPr>
      <w:rFonts w:eastAsia="楷体_GB2312"/>
      <w:sz w:val="24"/>
      <w:szCs w:val="20"/>
    </w:rPr>
  </w:style>
  <w:style w:type="character" w:styleId="1432">
    <w:name w:val="04 标题4 Char"/>
    <w:next w:val="1432"/>
    <w:link w:val="1433"/>
    <w:rPr>
      <w:rFonts w:ascii="宋体" w:hAnsi="宋体" w:eastAsia="黑体"/>
      <w:szCs w:val="32"/>
    </w:rPr>
  </w:style>
  <w:style w:type="paragraph" w:styleId="1433">
    <w:name w:val="04 标题4"/>
    <w:basedOn w:val="1035"/>
    <w:next w:val="1433"/>
    <w:link w:val="1432"/>
    <w:qFormat/>
    <w:pPr>
      <w:ind w:firstLine="420"/>
      <w:keepNext/>
      <w:spacing w:after="120" w:line="360" w:lineRule="auto"/>
      <w:widowControl/>
      <w:outlineLvl w:val="3"/>
    </w:pPr>
    <w:rPr>
      <w:rFonts w:ascii="宋体" w:hAnsi="宋体" w:eastAsia="黑体"/>
      <w:sz w:val="20"/>
      <w:szCs w:val="32"/>
    </w:rPr>
  </w:style>
  <w:style w:type="character" w:styleId="1434">
    <w:name w:val="Char Char24"/>
    <w:next w:val="1434"/>
    <w:link w:val="1035"/>
    <w:rPr>
      <w:rFonts w:ascii="Calibri" w:hAnsi="Calibri" w:eastAsia="宋体" w:cs="Times New Roman"/>
      <w:b/>
      <w:bCs/>
      <w:sz w:val="32"/>
      <w:szCs w:val="44"/>
      <w:lang w:val="en-US" w:eastAsia="zh-CN" w:bidi="ar-SA"/>
    </w:rPr>
  </w:style>
  <w:style w:type="character" w:styleId="1435">
    <w:name w:val="textcontents"/>
    <w:next w:val="1435"/>
    <w:link w:val="1035"/>
    <w:rPr>
      <w:rFonts w:ascii="Times New Roman" w:hAnsi="Times New Roman" w:eastAsia="宋体" w:cs="Times New Roman"/>
    </w:rPr>
  </w:style>
  <w:style w:type="character" w:styleId="1436">
    <w:name w:val="CODE"/>
    <w:next w:val="1436"/>
    <w:link w:val="1035"/>
    <w:rPr>
      <w:rFonts w:ascii="Courier New" w:hAnsi="Courier New" w:eastAsia="宋体" w:cs="Times New Roman"/>
      <w:sz w:val="20"/>
    </w:rPr>
  </w:style>
  <w:style w:type="character" w:styleId="1437">
    <w:name w:val="日期 Char2"/>
    <w:next w:val="1437"/>
    <w:link w:val="1035"/>
    <w:rPr>
      <w:rFonts w:ascii="Calibri" w:hAnsi="Calibri" w:eastAsia="宋体" w:cs="Times New Roman"/>
    </w:rPr>
  </w:style>
  <w:style w:type="character" w:styleId="1438">
    <w:name w:val="icon-play"/>
    <w:next w:val="1438"/>
    <w:link w:val="1035"/>
    <w:rPr>
      <w:rFonts w:ascii="宋体" w:hAnsi="宋体" w:eastAsia="宋体" w:cs="Times New Roman"/>
      <w:sz w:val="24"/>
      <w:szCs w:val="24"/>
      <w:lang w:val="en-US" w:eastAsia="zh-CN" w:bidi="ar-SA"/>
    </w:rPr>
  </w:style>
  <w:style w:type="character" w:styleId="1439">
    <w:name w:val="03 小标 Char"/>
    <w:next w:val="1439"/>
    <w:link w:val="1440"/>
    <w:rPr>
      <w:rFonts w:ascii="Tahoma" w:hAnsi="Tahoma"/>
      <w:sz w:val="22"/>
    </w:rPr>
  </w:style>
  <w:style w:type="paragraph" w:styleId="1440">
    <w:name w:val="03 小标"/>
    <w:basedOn w:val="1038"/>
    <w:next w:val="1440"/>
    <w:link w:val="1439"/>
    <w:qFormat/>
    <w:pPr>
      <w:jc w:val="both"/>
      <w:keepLines/>
      <w:keepNext/>
      <w:spacing w:before="260" w:after="260" w:line="416" w:lineRule="auto"/>
    </w:pPr>
    <w:rPr>
      <w:rFonts w:ascii="Tahoma" w:hAnsi="Tahoma"/>
      <w:b w:val="0"/>
      <w:sz w:val="22"/>
      <w:szCs w:val="20"/>
      <w:lang w:val="en-US" w:eastAsia="zh-CN"/>
    </w:rPr>
  </w:style>
  <w:style w:type="character" w:styleId="1441">
    <w:name w:val="del1"/>
    <w:next w:val="1441"/>
    <w:link w:val="1035"/>
    <w:rPr>
      <w:rFonts w:ascii="宋体" w:hAnsi="宋体" w:eastAsia="宋体" w:cs="Times New Roman"/>
      <w:vanish/>
      <w:color w:val="666666"/>
      <w:sz w:val="18"/>
      <w:szCs w:val="18"/>
      <w:u w:val="single"/>
      <w:lang w:val="en-US" w:eastAsia="zh-CN" w:bidi="ar-SA"/>
    </w:rPr>
  </w:style>
  <w:style w:type="character" w:styleId="1442">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442"/>
    <w:link w:val="1035"/>
    <w:rPr>
      <w:rFonts w:ascii="宋体" w:hAnsi="Courier New" w:eastAsia="楷体_GB2312" w:cs="Times New Roman"/>
      <w:sz w:val="26"/>
      <w:lang w:val="en-US" w:eastAsia="zh-CN" w:bidi="ar-SA"/>
    </w:rPr>
  </w:style>
  <w:style w:type="character" w:styleId="1443">
    <w:name w:val="s1"/>
    <w:next w:val="1443"/>
    <w:link w:val="1035"/>
    <w:rPr>
      <w:rFonts w:ascii="Tahoma" w:hAnsi="Tahoma" w:eastAsia="宋体" w:cs="Times New Roman"/>
      <w:sz w:val="24"/>
      <w:szCs w:val="24"/>
      <w:lang w:val="en-US" w:eastAsia="zh-CN" w:bidi="ar-SA"/>
    </w:rPr>
  </w:style>
  <w:style w:type="character" w:styleId="1444">
    <w:name w:val="style141"/>
    <w:next w:val="1444"/>
    <w:link w:val="1035"/>
    <w:rPr>
      <w:rFonts w:hint="eastAsia" w:ascii="宋体" w:hAnsi="宋体" w:eastAsia="宋体" w:cs="Times New Roman"/>
    </w:rPr>
  </w:style>
  <w:style w:type="character" w:styleId="1445">
    <w:name w:val="表格 Char Char"/>
    <w:next w:val="1445"/>
    <w:link w:val="1446"/>
    <w:rPr>
      <w:rFonts w:ascii="仿宋_GB2312" w:hAnsi="宋体" w:eastAsia="仿宋_GB2312"/>
      <w:szCs w:val="21"/>
    </w:rPr>
  </w:style>
  <w:style w:type="paragraph" w:styleId="1446">
    <w:name w:val="表格"/>
    <w:basedOn w:val="1035"/>
    <w:next w:val="1446"/>
    <w:link w:val="1445"/>
    <w:pPr>
      <w:spacing w:after="120"/>
      <w:framePr w:hSpace="180" w:wrap="around" w:vAnchor="page" w:hAnchor="margin" w:y="2377"/>
    </w:pPr>
    <w:rPr>
      <w:rFonts w:ascii="仿宋_GB2312" w:hAnsi="宋体" w:eastAsia="仿宋_GB2312"/>
      <w:sz w:val="20"/>
      <w:szCs w:val="21"/>
    </w:rPr>
  </w:style>
  <w:style w:type="character" w:styleId="1447">
    <w:name w:val="Char Char26"/>
    <w:next w:val="1447"/>
    <w:link w:val="1035"/>
    <w:rPr>
      <w:rFonts w:ascii="宋体" w:hAnsi="Arial" w:eastAsia="宋体" w:cs="Arial"/>
      <w:b/>
      <w:sz w:val="24"/>
      <w:szCs w:val="44"/>
      <w:lang w:val="en-US" w:eastAsia="zh-CN" w:bidi="ar-SA"/>
    </w:rPr>
  </w:style>
  <w:style w:type="character" w:styleId="1448">
    <w:name w:val="批注框文本 Char1"/>
    <w:next w:val="1448"/>
    <w:link w:val="1035"/>
    <w:rPr>
      <w:rFonts w:ascii="Calibri" w:hAnsi="Calibri" w:eastAsia="宋体" w:cs="Times New Roman"/>
      <w:sz w:val="18"/>
      <w:szCs w:val="18"/>
    </w:rPr>
  </w:style>
  <w:style w:type="character" w:styleId="1449">
    <w:name w:val="样式 Char"/>
    <w:next w:val="1449"/>
    <w:link w:val="1450"/>
    <w:rPr>
      <w:rFonts w:ascii="宋体" w:hAnsi="宋体" w:cs="宋体"/>
      <w:sz w:val="24"/>
      <w:szCs w:val="24"/>
    </w:rPr>
  </w:style>
  <w:style w:type="paragraph" w:styleId="1450">
    <w:name w:val="样式"/>
    <w:next w:val="1450"/>
    <w:link w:val="1449"/>
    <w:pPr>
      <w:widowControl w:val="off"/>
    </w:pPr>
    <w:rPr>
      <w:rFonts w:ascii="宋体" w:hAnsi="宋体" w:cs="宋体"/>
      <w:sz w:val="24"/>
      <w:szCs w:val="24"/>
      <w:lang w:val="en-US" w:eastAsia="zh-CN" w:bidi="ar-SA"/>
    </w:rPr>
  </w:style>
  <w:style w:type="character" w:styleId="1451">
    <w:name w:val="style4 style24"/>
    <w:next w:val="1451"/>
    <w:link w:val="1035"/>
    <w:rPr>
      <w:rFonts w:ascii="Tahoma" w:hAnsi="Tahoma" w:eastAsia="宋体" w:cs="Times New Roman"/>
      <w:sz w:val="24"/>
      <w:szCs w:val="24"/>
      <w:lang w:val="en-US" w:eastAsia="zh-CN" w:bidi="ar-SA"/>
    </w:rPr>
  </w:style>
  <w:style w:type="character" w:styleId="1452">
    <w:name w:val="明显引用 Char1"/>
    <w:next w:val="1452"/>
    <w:link w:val="1035"/>
    <w:uiPriority w:val="30"/>
    <w:rPr>
      <w:b/>
      <w:bCs/>
      <w:i/>
      <w:iCs/>
      <w:color w:val="4f81bd"/>
    </w:rPr>
  </w:style>
  <w:style w:type="character" w:styleId="1453">
    <w:name w:val="content1"/>
    <w:next w:val="1453"/>
    <w:link w:val="1035"/>
    <w:rPr>
      <w:rFonts w:ascii="Tahoma" w:hAnsi="Tahoma" w:eastAsia="宋体" w:cs="Tahoma"/>
      <w:sz w:val="21"/>
      <w:szCs w:val="21"/>
    </w:rPr>
  </w:style>
  <w:style w:type="character" w:styleId="1454">
    <w:name w:val="表格正文 Char"/>
    <w:next w:val="1454"/>
    <w:link w:val="1455"/>
    <w:rPr>
      <w:sz w:val="24"/>
    </w:rPr>
  </w:style>
  <w:style w:type="paragraph" w:styleId="1455">
    <w:name w:val="表格正文"/>
    <w:basedOn w:val="1035"/>
    <w:next w:val="1456"/>
    <w:link w:val="1454"/>
    <w:pPr>
      <w:jc w:val="left"/>
      <w:spacing w:line="300" w:lineRule="auto"/>
    </w:pPr>
    <w:rPr>
      <w:sz w:val="24"/>
      <w:szCs w:val="20"/>
    </w:rPr>
  </w:style>
  <w:style w:type="paragraph" w:styleId="1456">
    <w:name w:val="此正文"/>
    <w:basedOn w:val="1035"/>
    <w:next w:val="1456"/>
    <w:link w:val="1035"/>
    <w:pPr>
      <w:ind w:firstLine="200"/>
      <w:spacing w:line="360" w:lineRule="auto"/>
    </w:pPr>
    <w:rPr>
      <w:rFonts w:ascii="Times New Roman" w:hAnsi="Times New Roman"/>
      <w:sz w:val="24"/>
      <w:szCs w:val="24"/>
    </w:rPr>
  </w:style>
  <w:style w:type="character" w:styleId="1457">
    <w:name w:val="fc01294d3e-4153-482a-aea1-4b54892b7913-1"/>
    <w:next w:val="1457"/>
    <w:link w:val="1035"/>
    <w:rPr>
      <w:rFonts w:ascii="Tahoma" w:hAnsi="Tahoma" w:eastAsia="宋体" w:cs="Times New Roman"/>
      <w:sz w:val="24"/>
      <w:szCs w:val="24"/>
      <w:lang w:val="en-US" w:eastAsia="zh-CN" w:bidi="ar-SA"/>
    </w:rPr>
  </w:style>
  <w:style w:type="character" w:styleId="1458">
    <w:name w:val="param-name"/>
    <w:next w:val="1458"/>
    <w:link w:val="1035"/>
    <w:rPr>
      <w:rFonts w:ascii="Tahoma" w:hAnsi="Tahoma" w:eastAsia="宋体" w:cs="Times New Roman"/>
      <w:sz w:val="24"/>
      <w:szCs w:val="24"/>
      <w:lang w:val="en-US" w:eastAsia="zh-CN" w:bidi="ar-SA"/>
    </w:rPr>
  </w:style>
  <w:style w:type="character" w:styleId="1459">
    <w:name w:val="icon-doc"/>
    <w:next w:val="1459"/>
    <w:link w:val="1035"/>
    <w:rPr>
      <w:rFonts w:ascii="宋体" w:hAnsi="宋体" w:eastAsia="宋体" w:cs="Times New Roman"/>
      <w:sz w:val="24"/>
      <w:szCs w:val="24"/>
      <w:lang w:val="en-US" w:eastAsia="zh-CN" w:bidi="ar-SA"/>
    </w:rPr>
  </w:style>
  <w:style w:type="character" w:styleId="1460">
    <w:name w:val="z-窗体顶端 字符"/>
    <w:next w:val="1460"/>
    <w:link w:val="1461"/>
    <w:rPr>
      <w:rFonts w:ascii="Arial" w:hAnsi="Tahoma"/>
      <w:vanish/>
      <w:sz w:val="16"/>
    </w:rPr>
  </w:style>
  <w:style w:type="paragraph" w:styleId="1461">
    <w:name w:val="z-窗体顶端"/>
    <w:basedOn w:val="1035"/>
    <w:next w:val="1035"/>
    <w:link w:val="1460"/>
    <w:unhideWhenUsed/>
    <w:pPr>
      <w:jc w:val="center"/>
      <w:pBdr>
        <w:bottom w:val="single" w:color="000000" w:sz="6" w:space="1"/>
      </w:pBdr>
    </w:pPr>
    <w:rPr>
      <w:rFonts w:ascii="Arial" w:hAnsi="Tahoma"/>
      <w:vanish/>
      <w:sz w:val="16"/>
      <w:szCs w:val="20"/>
    </w:rPr>
  </w:style>
  <w:style w:type="character" w:styleId="1462">
    <w:name w:val="z-窗体顶端 字符1"/>
    <w:next w:val="1462"/>
    <w:link w:val="1035"/>
    <w:uiPriority w:val="99"/>
    <w:semiHidden/>
    <w:rPr>
      <w:rFonts w:ascii="Arial" w:hAnsi="Arial" w:cs="Arial"/>
      <w:vanish/>
      <w:sz w:val="16"/>
      <w:szCs w:val="16"/>
    </w:rPr>
  </w:style>
  <w:style w:type="character" w:styleId="1463">
    <w:name w:val="z-窗体顶端 Char1"/>
    <w:next w:val="1463"/>
    <w:link w:val="1035"/>
    <w:uiPriority w:val="99"/>
    <w:semiHidden/>
    <w:rPr>
      <w:rFonts w:ascii="Arial" w:hAnsi="Arial" w:cs="Arial"/>
      <w:vanish/>
      <w:sz w:val="16"/>
      <w:szCs w:val="16"/>
    </w:rPr>
  </w:style>
  <w:style w:type="character" w:styleId="1464">
    <w:name w:val="Date Char"/>
    <w:next w:val="1464"/>
    <w:link w:val="1035"/>
    <w:rPr>
      <w:rFonts w:ascii="Calibri" w:hAnsi="Calibri" w:eastAsia="宋体" w:cs="Times New Roman"/>
      <w:sz w:val="21"/>
      <w:szCs w:val="24"/>
      <w:lang w:val="en-US" w:eastAsia="zh-CN" w:bidi="ar-SA"/>
    </w:rPr>
  </w:style>
  <w:style w:type="character" w:styleId="1465">
    <w:name w:val="style181"/>
    <w:next w:val="1465"/>
    <w:link w:val="1035"/>
    <w:rPr>
      <w:rFonts w:ascii="Calibri" w:hAnsi="Calibri" w:eastAsia="宋体" w:cs="Times New Roman"/>
      <w:sz w:val="18"/>
      <w:szCs w:val="18"/>
    </w:rPr>
  </w:style>
  <w:style w:type="character" w:styleId="1466">
    <w:name w:val="ca-1"/>
    <w:next w:val="1466"/>
    <w:link w:val="1035"/>
    <w:rPr>
      <w:rFonts w:ascii="Tahoma" w:hAnsi="Tahoma" w:eastAsia="宋体" w:cs="Times New Roman"/>
      <w:sz w:val="24"/>
      <w:szCs w:val="24"/>
      <w:lang w:val="en-US" w:eastAsia="zh-CN" w:bidi="ar-SA"/>
    </w:rPr>
  </w:style>
  <w:style w:type="character" w:styleId="1467">
    <w:name w:val="书籍标题"/>
    <w:next w:val="1467"/>
    <w:link w:val="1035"/>
    <w:qFormat/>
    <w:rPr>
      <w:rFonts w:ascii="Calibri" w:hAnsi="Calibri" w:eastAsia="宋体" w:cs="Times New Roman"/>
      <w:b/>
      <w:bCs/>
      <w:smallCaps/>
      <w:spacing w:val="5"/>
    </w:rPr>
  </w:style>
  <w:style w:type="character" w:styleId="1468">
    <w:name w:val="批注主题 Char1"/>
    <w:next w:val="1468"/>
    <w:link w:val="1035"/>
    <w:rPr>
      <w:rFonts w:ascii="Calibri" w:hAnsi="Calibri" w:eastAsia="宋体" w:cs="Times New Roman"/>
      <w:b/>
      <w:bCs/>
      <w:sz w:val="21"/>
      <w:szCs w:val="22"/>
    </w:rPr>
  </w:style>
  <w:style w:type="character" w:styleId="1469">
    <w:name w:val="fcc182633d-d73f-4ad0-85fb-0a229eb6ca9a-1"/>
    <w:next w:val="1469"/>
    <w:link w:val="1035"/>
    <w:rPr>
      <w:rFonts w:ascii="Calibri" w:hAnsi="Calibri" w:eastAsia="宋体" w:cs="Times New Roman"/>
    </w:rPr>
  </w:style>
  <w:style w:type="character" w:styleId="1470">
    <w:name w:val="批注文字 Char Char"/>
    <w:next w:val="1470"/>
    <w:link w:val="1035"/>
    <w:rPr>
      <w:rFonts w:hint="eastAsia" w:ascii="宋体" w:hAnsi="Times New Roman" w:eastAsia="宋体" w:cs="Times New Roman"/>
      <w:sz w:val="28"/>
      <w:szCs w:val="20"/>
    </w:rPr>
  </w:style>
  <w:style w:type="character" w:styleId="1471">
    <w:name w:val="Char Char23"/>
    <w:next w:val="1471"/>
    <w:link w:val="1035"/>
    <w:rPr>
      <w:rFonts w:ascii="Calibri" w:hAnsi="Calibri" w:eastAsia="宋体" w:cs="Times New Roman"/>
      <w:b/>
      <w:bCs/>
      <w:sz w:val="32"/>
      <w:szCs w:val="44"/>
      <w:lang w:val="en-US" w:eastAsia="zh-CN" w:bidi="ar-SA"/>
    </w:rPr>
  </w:style>
  <w:style w:type="character" w:styleId="1472">
    <w:name w:val="Footnote Text Char"/>
    <w:next w:val="1472"/>
    <w:link w:val="1035"/>
    <w:rPr>
      <w:rFonts w:ascii="Calibri" w:hAnsi="Calibri" w:eastAsia="宋体" w:cs="Times New Roman"/>
      <w:sz w:val="18"/>
      <w:lang w:val="en-US" w:eastAsia="zh-CN" w:bidi="ar-SA"/>
    </w:rPr>
  </w:style>
  <w:style w:type="character" w:styleId="1473">
    <w:name w:val="文档结构图 Char2"/>
    <w:next w:val="1473"/>
    <w:link w:val="1035"/>
    <w:rPr>
      <w:rFonts w:hint="eastAsia" w:ascii="宋体" w:hAnsi="Calibri" w:eastAsia="宋体" w:cs="Times New Roman"/>
      <w:sz w:val="18"/>
      <w:szCs w:val="18"/>
    </w:rPr>
  </w:style>
  <w:style w:type="character" w:styleId="1474">
    <w:name w:val="size31"/>
    <w:next w:val="1474"/>
    <w:link w:val="1035"/>
    <w:rPr>
      <w:rFonts w:ascii="Arial" w:hAnsi="Arial" w:eastAsia="宋体" w:cs="Arial"/>
      <w:b/>
      <w:bCs/>
      <w:color w:val="2d2d2d"/>
      <w:sz w:val="18"/>
      <w:szCs w:val="18"/>
      <w:lang w:val="en-US" w:eastAsia="en-US" w:bidi="ar-SA"/>
    </w:rPr>
  </w:style>
  <w:style w:type="character" w:styleId="1475">
    <w:name w:val="Char Char91"/>
    <w:next w:val="1475"/>
    <w:link w:val="1035"/>
    <w:rPr>
      <w:rFonts w:ascii="Calibri" w:hAnsi="Calibri" w:eastAsia="宋体" w:cs="Times New Roman"/>
      <w:b/>
      <w:bCs/>
      <w:sz w:val="32"/>
      <w:szCs w:val="44"/>
      <w:lang w:val="en-US" w:eastAsia="zh-CN" w:bidi="ar-SA"/>
    </w:rPr>
  </w:style>
  <w:style w:type="character" w:styleId="1476">
    <w:name w:val="标题 Char2"/>
    <w:next w:val="1476"/>
    <w:link w:val="1035"/>
    <w:rPr>
      <w:rFonts w:ascii="Cambria" w:hAnsi="Cambria" w:eastAsia="宋体" w:cs="Times New Roman"/>
      <w:b/>
      <w:bCs/>
      <w:sz w:val="32"/>
      <w:szCs w:val="32"/>
    </w:rPr>
  </w:style>
  <w:style w:type="character" w:styleId="1477">
    <w:name w:val="Char Char6"/>
    <w:next w:val="1477"/>
    <w:link w:val="1035"/>
    <w:rPr>
      <w:rFonts w:ascii="Calibri" w:hAnsi="Calibri" w:eastAsia="宋体" w:cs="Times New Roman"/>
      <w:b/>
      <w:bCs/>
      <w:sz w:val="32"/>
      <w:szCs w:val="44"/>
      <w:lang w:val="en-US" w:eastAsia="zh-CN" w:bidi="ar-SA"/>
    </w:rPr>
  </w:style>
  <w:style w:type="character" w:styleId="1478">
    <w:name w:val="Comment Subject Char"/>
    <w:next w:val="1478"/>
    <w:link w:val="1035"/>
    <w:rPr>
      <w:rFonts w:ascii="Calibri" w:hAnsi="Calibri" w:eastAsia="宋体" w:cs="Times New Roman"/>
      <w:b/>
      <w:sz w:val="24"/>
      <w:lang w:bidi="ar-SA"/>
    </w:rPr>
  </w:style>
  <w:style w:type="character" w:styleId="1479">
    <w:name w:val="Comment"/>
    <w:next w:val="1479"/>
    <w:link w:val="1035"/>
    <w:rPr>
      <w:rFonts w:ascii="Calibri" w:hAnsi="Calibri" w:eastAsia="宋体" w:cs="Times New Roman"/>
      <w:vanish/>
    </w:rPr>
  </w:style>
  <w:style w:type="character" w:styleId="1480">
    <w:name w:val="Char Char181"/>
    <w:next w:val="1480"/>
    <w:link w:val="1035"/>
    <w:rPr>
      <w:rFonts w:ascii="Calibri" w:hAnsi="Calibri" w:eastAsia="宋体" w:cs="Times New Roman"/>
      <w:b/>
      <w:bCs/>
      <w:sz w:val="44"/>
      <w:szCs w:val="44"/>
    </w:rPr>
  </w:style>
  <w:style w:type="character" w:styleId="1481">
    <w:name w:val="批注文字 Char3"/>
    <w:next w:val="1481"/>
    <w:link w:val="1035"/>
    <w:rPr>
      <w:rFonts w:ascii="Calibri" w:hAnsi="Calibri" w:eastAsia="宋体" w:cs="Times New Roman"/>
      <w:sz w:val="21"/>
      <w:szCs w:val="24"/>
    </w:rPr>
  </w:style>
  <w:style w:type="character" w:styleId="1482">
    <w:name w:val="para1"/>
    <w:next w:val="1482"/>
    <w:link w:val="1035"/>
    <w:rPr>
      <w:rFonts w:ascii="Arial" w:hAnsi="Arial" w:eastAsia="宋体" w:cs="Arial"/>
      <w:sz w:val="18"/>
      <w:szCs w:val="18"/>
    </w:rPr>
  </w:style>
  <w:style w:type="character" w:styleId="1483">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483"/>
    <w:link w:val="1035"/>
    <w:rPr>
      <w:rFonts w:ascii="Calibri" w:hAnsi="Calibri" w:eastAsia="楷体_GB2312" w:cs="Times New Roman"/>
      <w:sz w:val="24"/>
    </w:rPr>
  </w:style>
  <w:style w:type="character" w:styleId="1484">
    <w:name w:val="脚注文本 Char1"/>
    <w:next w:val="1484"/>
    <w:link w:val="1035"/>
    <w:rPr>
      <w:rFonts w:ascii="Tahoma" w:hAnsi="Tahoma" w:eastAsia="宋体" w:cs="Times New Roman"/>
      <w:sz w:val="18"/>
      <w:szCs w:val="18"/>
      <w:lang w:val="en-US" w:eastAsia="zh-CN" w:bidi="ar-SA"/>
    </w:rPr>
  </w:style>
  <w:style w:type="character" w:styleId="1485">
    <w:name w:val="Body Text Indent 2 Char"/>
    <w:next w:val="1485"/>
    <w:link w:val="1035"/>
    <w:rPr>
      <w:rFonts w:ascii="Calibri" w:hAnsi="Calibri" w:eastAsia="宋体" w:cs="Times New Roman"/>
      <w:sz w:val="21"/>
      <w:szCs w:val="24"/>
      <w:lang w:val="en-US" w:eastAsia="zh-CN" w:bidi="ar-SA"/>
    </w:rPr>
  </w:style>
  <w:style w:type="character" w:styleId="1486">
    <w:name w:val="05 标题5 Char"/>
    <w:next w:val="1486"/>
    <w:link w:val="1487"/>
    <w:rPr>
      <w:rFonts w:ascii="宋体" w:hAnsi="宋体"/>
      <w:b/>
      <w:szCs w:val="32"/>
    </w:rPr>
  </w:style>
  <w:style w:type="paragraph" w:styleId="1487">
    <w:name w:val="05 标题5"/>
    <w:basedOn w:val="1035"/>
    <w:next w:val="1487"/>
    <w:link w:val="1486"/>
    <w:qFormat/>
    <w:pPr>
      <w:ind w:firstLine="422"/>
      <w:keepNext/>
      <w:spacing w:line="360" w:lineRule="auto"/>
      <w:widowControl/>
      <w:outlineLvl w:val="4"/>
    </w:pPr>
    <w:rPr>
      <w:rFonts w:ascii="宋体" w:hAnsi="宋体"/>
      <w:b/>
      <w:sz w:val="20"/>
      <w:szCs w:val="32"/>
    </w:rPr>
  </w:style>
  <w:style w:type="character" w:styleId="1488">
    <w:name w:val="del"/>
    <w:next w:val="1488"/>
    <w:link w:val="1035"/>
    <w:rPr>
      <w:rFonts w:ascii="宋体" w:hAnsi="宋体" w:eastAsia="宋体" w:cs="Times New Roman"/>
      <w:sz w:val="24"/>
      <w:szCs w:val="24"/>
      <w:lang w:val="en-US" w:eastAsia="zh-CN" w:bidi="ar-SA"/>
    </w:rPr>
  </w:style>
  <w:style w:type="character" w:styleId="1489">
    <w:name w:val="05 正文 Char"/>
    <w:next w:val="1489"/>
    <w:link w:val="1490"/>
    <w:rPr>
      <w:rFonts w:ascii="宋体" w:hAnsi="宋体"/>
      <w:szCs w:val="21"/>
    </w:rPr>
  </w:style>
  <w:style w:type="paragraph" w:styleId="1490">
    <w:name w:val="05 正文"/>
    <w:basedOn w:val="1035"/>
    <w:next w:val="1490"/>
    <w:link w:val="1489"/>
    <w:pPr>
      <w:ind w:firstLine="420"/>
      <w:spacing w:line="360" w:lineRule="auto"/>
    </w:pPr>
    <w:rPr>
      <w:rFonts w:ascii="宋体" w:hAnsi="宋体"/>
      <w:sz w:val="20"/>
      <w:szCs w:val="21"/>
    </w:rPr>
  </w:style>
  <w:style w:type="character" w:styleId="1491">
    <w:name w:val="Typewriter"/>
    <w:next w:val="1491"/>
    <w:link w:val="1035"/>
    <w:rPr>
      <w:rFonts w:ascii="Courier New" w:hAnsi="Courier New" w:eastAsia="宋体" w:cs="Times New Roman"/>
      <w:sz w:val="20"/>
    </w:rPr>
  </w:style>
  <w:style w:type="character" w:styleId="1492">
    <w:name w:val="Heading 1 Char"/>
    <w:next w:val="1492"/>
    <w:link w:val="1035"/>
    <w:rPr>
      <w:rFonts w:ascii="Calibri" w:hAnsi="Calibri" w:eastAsia="宋体" w:cs="Times New Roman"/>
      <w:b/>
      <w:bCs/>
      <w:sz w:val="32"/>
      <w:szCs w:val="44"/>
      <w:lang w:val="en-US" w:eastAsia="zh-CN" w:bidi="ar-SA"/>
    </w:rPr>
  </w:style>
  <w:style w:type="character" w:styleId="1493">
    <w:name w:val="Sample"/>
    <w:next w:val="1493"/>
    <w:link w:val="1035"/>
    <w:rPr>
      <w:rFonts w:ascii="Courier New" w:hAnsi="Courier New" w:eastAsia="宋体" w:cs="Times New Roman"/>
    </w:rPr>
  </w:style>
  <w:style w:type="character" w:styleId="1494">
    <w:name w:val="引用 Char1"/>
    <w:next w:val="1494"/>
    <w:link w:val="1035"/>
    <w:uiPriority w:val="29"/>
    <w:rPr>
      <w:i/>
      <w:iCs/>
      <w:color w:val="000000"/>
    </w:rPr>
  </w:style>
  <w:style w:type="character" w:styleId="1495">
    <w:name w:val="apple-converted-space"/>
    <w:next w:val="1495"/>
    <w:link w:val="1035"/>
    <w:rPr>
      <w:rFonts w:ascii="Tahoma" w:hAnsi="Tahoma" w:eastAsia="宋体" w:cs="Times New Roman"/>
      <w:sz w:val="24"/>
      <w:szCs w:val="24"/>
      <w:lang w:val="en-US" w:eastAsia="zh-CN" w:bidi="ar-SA"/>
    </w:rPr>
  </w:style>
  <w:style w:type="character" w:styleId="1496">
    <w:name w:val="ca-11"/>
    <w:next w:val="1496"/>
    <w:link w:val="1035"/>
    <w:rPr>
      <w:rFonts w:hint="eastAsia" w:ascii="宋体" w:hAnsi="宋体" w:eastAsia="宋体" w:cs="Times New Roman"/>
      <w:sz w:val="24"/>
      <w:szCs w:val="24"/>
    </w:rPr>
  </w:style>
  <w:style w:type="character" w:styleId="1497">
    <w:name w:val="Body Text Indent Char"/>
    <w:next w:val="1497"/>
    <w:link w:val="1035"/>
    <w:rPr>
      <w:rFonts w:ascii="宋体" w:hAnsi="宋体" w:eastAsia="宋体" w:cs="Times New Roman"/>
      <w:sz w:val="21"/>
      <w:lang w:val="en-US" w:eastAsia="zh-CN" w:bidi="ar-SA"/>
    </w:rPr>
  </w:style>
  <w:style w:type="character" w:styleId="1498">
    <w:name w:val="arr"/>
    <w:next w:val="1498"/>
    <w:link w:val="1035"/>
    <w:rPr>
      <w:rFonts w:ascii="宋体" w:hAnsi="宋体" w:eastAsia="宋体" w:cs="Times New Roman"/>
      <w:sz w:val="24"/>
      <w:szCs w:val="24"/>
      <w:lang w:val="en-US" w:eastAsia="zh-CN" w:bidi="ar-SA"/>
    </w:rPr>
  </w:style>
  <w:style w:type="character" w:styleId="1499">
    <w:name w:val="Char Char2"/>
    <w:next w:val="1499"/>
    <w:link w:val="1035"/>
    <w:semiHidden/>
    <w:rPr>
      <w:rFonts w:ascii="Calibri" w:hAnsi="Calibri" w:eastAsia="宋体" w:cs="Times New Roman"/>
      <w:sz w:val="21"/>
      <w:szCs w:val="24"/>
      <w:lang w:val="en-US" w:eastAsia="zh-CN" w:bidi="ar-SA"/>
    </w:rPr>
  </w:style>
  <w:style w:type="character" w:styleId="1500">
    <w:name w:val="Char Char21"/>
    <w:next w:val="1500"/>
    <w:link w:val="1035"/>
    <w:rPr>
      <w:rFonts w:ascii="Arial" w:hAnsi="Arial" w:eastAsia="黑体" w:cs="Times New Roman"/>
      <w:b/>
      <w:bCs/>
      <w:sz w:val="32"/>
      <w:szCs w:val="32"/>
    </w:rPr>
  </w:style>
  <w:style w:type="character" w:styleId="1501">
    <w:name w:val="02 标题 Char"/>
    <w:next w:val="1501"/>
    <w:link w:val="1502"/>
    <w:rPr>
      <w:rFonts w:ascii="宋体" w:hAnsi="宋体"/>
      <w:sz w:val="22"/>
    </w:rPr>
  </w:style>
  <w:style w:type="paragraph" w:styleId="1502">
    <w:name w:val="02 标题"/>
    <w:basedOn w:val="1038"/>
    <w:next w:val="1502"/>
    <w:link w:val="1501"/>
    <w:qFormat/>
    <w:pPr>
      <w:jc w:val="center"/>
      <w:keepLines/>
      <w:keepNext/>
      <w:spacing w:before="260" w:after="260" w:line="416" w:lineRule="auto"/>
    </w:pPr>
    <w:rPr>
      <w:b w:val="0"/>
      <w:sz w:val="22"/>
      <w:szCs w:val="20"/>
      <w:lang w:val="en-US" w:eastAsia="zh-CN"/>
    </w:rPr>
  </w:style>
  <w:style w:type="character" w:styleId="1503">
    <w:name w:val="_正文段落 Char"/>
    <w:next w:val="1503"/>
    <w:link w:val="1504"/>
    <w:qFormat/>
    <w:rPr>
      <w:rFonts w:ascii="宋体" w:hAnsi="宋体"/>
      <w:sz w:val="24"/>
    </w:rPr>
  </w:style>
  <w:style w:type="paragraph" w:styleId="1504">
    <w:name w:val="_正文段落"/>
    <w:basedOn w:val="1035"/>
    <w:next w:val="1504"/>
    <w:link w:val="1503"/>
    <w:qFormat/>
    <w:pPr>
      <w:ind w:firstLine="480"/>
      <w:spacing w:line="360" w:lineRule="auto"/>
    </w:pPr>
    <w:rPr>
      <w:rFonts w:ascii="宋体" w:hAnsi="宋体"/>
      <w:sz w:val="24"/>
      <w:szCs w:val="20"/>
    </w:rPr>
  </w:style>
  <w:style w:type="character" w:styleId="1505">
    <w:name w:val="icon-game"/>
    <w:next w:val="1505"/>
    <w:link w:val="1035"/>
    <w:rPr>
      <w:rFonts w:ascii="宋体" w:hAnsi="宋体" w:eastAsia="宋体" w:cs="Times New Roman"/>
      <w:sz w:val="24"/>
      <w:szCs w:val="24"/>
      <w:lang w:val="en-US" w:eastAsia="zh-CN" w:bidi="ar-SA"/>
    </w:rPr>
  </w:style>
  <w:style w:type="character" w:styleId="1506">
    <w:name w:val="标题 2 Char_0"/>
    <w:next w:val="1506"/>
    <w:link w:val="1507"/>
  </w:style>
  <w:style w:type="paragraph" w:styleId="1507">
    <w:name w:val="标题 2_0"/>
    <w:basedOn w:val="1035"/>
    <w:next w:val="1507"/>
    <w:link w:val="1506"/>
    <w:rPr>
      <w:sz w:val="20"/>
      <w:szCs w:val="20"/>
    </w:rPr>
  </w:style>
  <w:style w:type="character" w:styleId="1508">
    <w:name w:val="标题4 Char Char"/>
    <w:next w:val="1508"/>
    <w:link w:val="1509"/>
    <w:rPr>
      <w:sz w:val="24"/>
    </w:rPr>
  </w:style>
  <w:style w:type="paragraph" w:styleId="1509">
    <w:name w:val="标题4"/>
    <w:basedOn w:val="1037"/>
    <w:next w:val="1080"/>
    <w:link w:val="1508"/>
    <w:pPr>
      <w:spacing w:before="60" w:after="60" w:line="413" w:lineRule="auto"/>
    </w:pPr>
    <w:rPr>
      <w:rFonts w:ascii="Calibri" w:hAnsi="Calibri"/>
      <w:b w:val="0"/>
      <w:bCs w:val="0"/>
      <w:sz w:val="24"/>
      <w:szCs w:val="20"/>
      <w:lang w:val="en-US" w:eastAsia="zh-CN"/>
    </w:rPr>
  </w:style>
  <w:style w:type="character" w:styleId="1510">
    <w:name w:val="明显参考"/>
    <w:next w:val="1510"/>
    <w:link w:val="1035"/>
    <w:qFormat/>
    <w:rPr>
      <w:rFonts w:ascii="Calibri" w:hAnsi="Calibri" w:eastAsia="宋体" w:cs="Times New Roman"/>
      <w:b/>
      <w:bCs/>
      <w:smallCaps/>
      <w:color w:val="c0504d"/>
      <w:spacing w:val="5"/>
      <w:u w:val="single"/>
    </w:rPr>
  </w:style>
  <w:style w:type="character" w:styleId="1511">
    <w:name w:val="style221"/>
    <w:next w:val="1511"/>
    <w:link w:val="1035"/>
    <w:rPr>
      <w:rFonts w:ascii="Calibri" w:hAnsi="Calibri" w:eastAsia="宋体" w:cs="Times New Roman"/>
      <w:b/>
      <w:bCs/>
      <w:color w:val="000099"/>
    </w:rPr>
  </w:style>
  <w:style w:type="character" w:styleId="1512">
    <w:name w:val="Comment Text Char1"/>
    <w:next w:val="1512"/>
    <w:link w:val="1035"/>
    <w:rPr>
      <w:rFonts w:ascii="Calibri" w:hAnsi="Calibri" w:eastAsia="宋体" w:cs="Times New Roman"/>
      <w:sz w:val="24"/>
      <w:lang w:bidi="ar-SA"/>
    </w:rPr>
  </w:style>
  <w:style w:type="character" w:styleId="1513">
    <w:name w:val="Heading 4 Char"/>
    <w:next w:val="1513"/>
    <w:link w:val="1035"/>
    <w:rPr>
      <w:rFonts w:ascii="Arial" w:hAnsi="Arial" w:eastAsia="宋体" w:cs="Times New Roman"/>
      <w:b/>
      <w:bCs/>
      <w:sz w:val="21"/>
      <w:szCs w:val="28"/>
      <w:lang w:val="en-US" w:eastAsia="zh-CN" w:bidi="ar-SA"/>
    </w:rPr>
  </w:style>
  <w:style w:type="character" w:styleId="1514">
    <w:name w:val="标题 1 Char1"/>
    <w:next w:val="1514"/>
    <w:link w:val="1035"/>
    <w:rPr>
      <w:rFonts w:ascii="Calibri" w:hAnsi="Calibri" w:eastAsia="宋体" w:cs="Arial"/>
      <w:b/>
      <w:sz w:val="44"/>
      <w:szCs w:val="20"/>
    </w:rPr>
  </w:style>
  <w:style w:type="character" w:styleId="1515">
    <w:name w:val="批注文字 Char2"/>
    <w:next w:val="1515"/>
    <w:link w:val="1035"/>
    <w:rPr>
      <w:rFonts w:ascii="Calibri" w:hAnsi="Calibri" w:eastAsia="宋体" w:cs="Times New Roman"/>
      <w:sz w:val="21"/>
      <w:szCs w:val="24"/>
    </w:rPr>
  </w:style>
  <w:style w:type="character" w:styleId="1516">
    <w:name w:val="明显强调"/>
    <w:next w:val="1516"/>
    <w:link w:val="1035"/>
    <w:qFormat/>
    <w:rPr>
      <w:rFonts w:ascii="Calibri" w:hAnsi="Calibri" w:eastAsia="宋体" w:cs="Times New Roman"/>
      <w:b/>
      <w:bCs/>
      <w:i/>
      <w:iCs/>
      <w:color w:val="4f81bd"/>
    </w:rPr>
  </w:style>
  <w:style w:type="character" w:styleId="1517">
    <w:name w:val="Footer Char"/>
    <w:next w:val="1517"/>
    <w:link w:val="1035"/>
    <w:rPr>
      <w:rFonts w:ascii="Calibri" w:hAnsi="Calibri" w:eastAsia="宋体" w:cs="Times New Roman"/>
      <w:sz w:val="18"/>
      <w:szCs w:val="18"/>
      <w:lang w:val="en-US" w:eastAsia="zh-CN" w:bidi="ar-SA"/>
    </w:rPr>
  </w:style>
  <w:style w:type="character" w:styleId="1518">
    <w:name w:val="不明显参考"/>
    <w:next w:val="1518"/>
    <w:link w:val="1035"/>
    <w:qFormat/>
    <w:rPr>
      <w:rFonts w:ascii="Calibri" w:hAnsi="Calibri" w:eastAsia="宋体" w:cs="Times New Roman"/>
      <w:smallCaps/>
      <w:color w:val="c0504d"/>
      <w:u w:val="single"/>
    </w:rPr>
  </w:style>
  <w:style w:type="character" w:styleId="1519">
    <w:name w:val="批注框文本 Char2"/>
    <w:next w:val="1519"/>
    <w:link w:val="1035"/>
    <w:uiPriority w:val="99"/>
    <w:semiHidden/>
    <w:rPr>
      <w:rFonts w:ascii="Calibri" w:hAnsi="Calibri" w:eastAsia="宋体" w:cs="Times New Roman"/>
      <w:sz w:val="18"/>
      <w:szCs w:val="18"/>
    </w:rPr>
  </w:style>
  <w:style w:type="character" w:styleId="1520">
    <w:name w:val="06正文 Char"/>
    <w:next w:val="1520"/>
    <w:link w:val="1521"/>
    <w:rPr>
      <w:rFonts w:ascii="宋体" w:hAnsi="宋体"/>
      <w:szCs w:val="21"/>
    </w:rPr>
  </w:style>
  <w:style w:type="paragraph" w:styleId="1521">
    <w:name w:val="06正文"/>
    <w:basedOn w:val="1035"/>
    <w:next w:val="1521"/>
    <w:link w:val="1520"/>
    <w:qFormat/>
    <w:pPr>
      <w:ind w:firstLine="420"/>
      <w:spacing w:line="360" w:lineRule="auto"/>
      <w:widowControl/>
    </w:pPr>
    <w:rPr>
      <w:rFonts w:ascii="宋体" w:hAnsi="宋体"/>
      <w:sz w:val="20"/>
      <w:szCs w:val="21"/>
    </w:rPr>
  </w:style>
  <w:style w:type="character" w:styleId="1522">
    <w:name w:val="批注主题 Char2"/>
    <w:next w:val="1522"/>
    <w:link w:val="1035"/>
    <w:rPr>
      <w:rFonts w:ascii="Calibri" w:hAnsi="Calibri" w:eastAsia="宋体" w:cs="Times New Roman"/>
      <w:b/>
      <w:bCs/>
    </w:rPr>
  </w:style>
  <w:style w:type="character" w:styleId="1523">
    <w:name w:val="正文文本缩进 3 Char1"/>
    <w:next w:val="1523"/>
    <w:link w:val="1035"/>
    <w:semiHidden/>
    <w:rPr>
      <w:rFonts w:ascii="Times New Roman" w:hAnsi="Times New Roman" w:eastAsia="宋体" w:cs="Times New Roman"/>
      <w:sz w:val="16"/>
      <w:szCs w:val="16"/>
      <w:lang w:val="en-US" w:eastAsia="zh-CN" w:bidi="ar-SA"/>
    </w:rPr>
  </w:style>
  <w:style w:type="character" w:styleId="1524">
    <w:name w:val="icon-read"/>
    <w:next w:val="1524"/>
    <w:link w:val="1035"/>
    <w:rPr>
      <w:rFonts w:ascii="宋体" w:hAnsi="宋体" w:eastAsia="宋体" w:cs="Times New Roman"/>
      <w:sz w:val="24"/>
      <w:szCs w:val="24"/>
      <w:lang w:val="en-US" w:eastAsia="zh-CN" w:bidi="ar-SA"/>
    </w:rPr>
  </w:style>
  <w:style w:type="character" w:styleId="1525">
    <w:name w:val="批注文字 Char4"/>
    <w:next w:val="1525"/>
    <w:link w:val="1035"/>
    <w:uiPriority w:val="99"/>
    <w:semiHidden/>
    <w:rPr>
      <w:rFonts w:ascii="Times New Roman" w:hAnsi="Times New Roman" w:eastAsia="宋体" w:cs="Times New Roman"/>
      <w:sz w:val="21"/>
      <w:szCs w:val="24"/>
    </w:rPr>
  </w:style>
  <w:style w:type="character" w:styleId="1526">
    <w:name w:val="正文文本缩进 2 Char2"/>
    <w:next w:val="1526"/>
    <w:link w:val="1035"/>
    <w:uiPriority w:val="99"/>
    <w:semiHidden/>
    <w:rPr>
      <w:rFonts w:ascii="Times New Roman" w:hAnsi="Times New Roman" w:eastAsia="宋体" w:cs="Times New Roman"/>
      <w:sz w:val="21"/>
      <w:szCs w:val="24"/>
    </w:rPr>
  </w:style>
  <w:style w:type="character" w:styleId="1527">
    <w:name w:val="正文首行缩进 Char1"/>
    <w:next w:val="1527"/>
    <w:link w:val="1035"/>
    <w:uiPriority w:val="99"/>
    <w:semiHidden/>
    <w:rPr>
      <w:rFonts w:ascii="Calibri" w:hAnsi="Calibri" w:eastAsia="宋体" w:cs="Times New Roman"/>
    </w:rPr>
  </w:style>
  <w:style w:type="character" w:styleId="1528">
    <w:name w:val="正文文本 3 Char1"/>
    <w:next w:val="1528"/>
    <w:link w:val="1035"/>
    <w:uiPriority w:val="99"/>
    <w:semiHidden/>
    <w:rPr>
      <w:rFonts w:ascii="Times New Roman" w:hAnsi="Times New Roman" w:eastAsia="宋体" w:cs="Times New Roman"/>
      <w:sz w:val="16"/>
      <w:szCs w:val="16"/>
    </w:rPr>
  </w:style>
  <w:style w:type="character" w:styleId="1529">
    <w:name w:val="HTML 预设格式 Char1"/>
    <w:next w:val="1529"/>
    <w:link w:val="1035"/>
    <w:uiPriority w:val="99"/>
    <w:semiHidden/>
    <w:rPr>
      <w:rFonts w:ascii="Courier New" w:hAnsi="Courier New" w:eastAsia="宋体" w:cs="Courier New"/>
    </w:rPr>
  </w:style>
  <w:style w:type="character" w:styleId="1530">
    <w:name w:val="正文文本缩进 3 Char2"/>
    <w:next w:val="1530"/>
    <w:link w:val="1035"/>
    <w:uiPriority w:val="99"/>
    <w:semiHidden/>
    <w:rPr>
      <w:rFonts w:ascii="Times New Roman" w:hAnsi="Times New Roman" w:eastAsia="宋体" w:cs="Times New Roman"/>
      <w:sz w:val="16"/>
      <w:szCs w:val="16"/>
    </w:rPr>
  </w:style>
  <w:style w:type="character" w:styleId="1531">
    <w:name w:val="脚注文本 Char2"/>
    <w:next w:val="1531"/>
    <w:link w:val="1035"/>
    <w:uiPriority w:val="99"/>
    <w:semiHidden/>
    <w:rPr>
      <w:rFonts w:ascii="Times New Roman" w:hAnsi="Times New Roman" w:eastAsia="宋体" w:cs="Times New Roman"/>
      <w:sz w:val="18"/>
      <w:szCs w:val="18"/>
    </w:rPr>
  </w:style>
  <w:style w:type="character" w:styleId="1532">
    <w:name w:val="正文首行缩进 2 Char1"/>
    <w:next w:val="1532"/>
    <w:link w:val="1035"/>
    <w:uiPriority w:val="99"/>
    <w:semiHidden/>
    <w:rPr>
      <w:rFonts w:ascii="Calibri" w:hAnsi="Calibri" w:eastAsia="宋体" w:cs="Times New Roman"/>
    </w:rPr>
  </w:style>
  <w:style w:type="character" w:styleId="1533">
    <w:name w:val="纯文本 Char2"/>
    <w:next w:val="1533"/>
    <w:link w:val="1035"/>
    <w:uiPriority w:val="99"/>
    <w:semiHidden/>
    <w:rPr>
      <w:rFonts w:ascii="宋体" w:hAnsi="Courier New" w:eastAsia="宋体" w:cs="Courier New"/>
      <w:sz w:val="21"/>
      <w:szCs w:val="21"/>
    </w:rPr>
  </w:style>
  <w:style w:type="character" w:styleId="1534">
    <w:name w:val="文档结构图 Char3"/>
    <w:next w:val="1534"/>
    <w:link w:val="1035"/>
    <w:uiPriority w:val="99"/>
    <w:semiHidden/>
    <w:rPr>
      <w:rFonts w:ascii="宋体" w:hAnsi="Times New Roman" w:eastAsia="宋体" w:cs="Times New Roman"/>
      <w:sz w:val="18"/>
      <w:szCs w:val="18"/>
    </w:rPr>
  </w:style>
  <w:style w:type="character" w:styleId="1535">
    <w:name w:val="正文文本 2 Char1"/>
    <w:next w:val="1535"/>
    <w:link w:val="1035"/>
    <w:uiPriority w:val="99"/>
    <w:semiHidden/>
    <w:rPr>
      <w:rFonts w:ascii="Times New Roman" w:hAnsi="Times New Roman" w:eastAsia="宋体" w:cs="Times New Roman"/>
      <w:sz w:val="21"/>
      <w:szCs w:val="24"/>
    </w:rPr>
  </w:style>
  <w:style w:type="character" w:styleId="1536">
    <w:name w:val="页眉 Char1"/>
    <w:next w:val="1536"/>
    <w:link w:val="1035"/>
    <w:uiPriority w:val="99"/>
    <w:semiHidden/>
    <w:rPr>
      <w:rFonts w:ascii="Times New Roman" w:hAnsi="Times New Roman" w:eastAsia="宋体" w:cs="Times New Roman"/>
      <w:sz w:val="18"/>
      <w:szCs w:val="18"/>
    </w:rPr>
  </w:style>
  <w:style w:type="character" w:styleId="1537">
    <w:name w:val="日期 Char3"/>
    <w:next w:val="1537"/>
    <w:link w:val="1035"/>
    <w:uiPriority w:val="99"/>
    <w:semiHidden/>
    <w:rPr>
      <w:rFonts w:ascii="Times New Roman" w:hAnsi="Times New Roman" w:eastAsia="宋体" w:cs="Times New Roman"/>
      <w:sz w:val="21"/>
      <w:szCs w:val="24"/>
    </w:rPr>
  </w:style>
  <w:style w:type="paragraph" w:styleId="1538">
    <w:name w:val="style2"/>
    <w:basedOn w:val="1035"/>
    <w:next w:val="1538"/>
    <w:link w:val="1035"/>
    <w:pPr>
      <w:jc w:val="left"/>
      <w:spacing w:before="100" w:beforeAutospacing="1" w:after="100" w:afterAutospacing="1"/>
      <w:widowControl/>
    </w:pPr>
    <w:rPr>
      <w:rFonts w:hint="eastAsia" w:ascii="宋体" w:hAnsi="宋体" w:cs="Arial Unicode MS"/>
      <w:sz w:val="18"/>
      <w:szCs w:val="18"/>
    </w:rPr>
  </w:style>
  <w:style w:type="character" w:styleId="1539">
    <w:name w:val="标题 Char3"/>
    <w:next w:val="1539"/>
    <w:link w:val="1035"/>
    <w:uiPriority w:val="10"/>
    <w:rPr>
      <w:rFonts w:ascii="Cambria" w:hAnsi="Cambria" w:eastAsia="宋体" w:cs="Times New Roman"/>
      <w:b/>
      <w:bCs/>
      <w:sz w:val="32"/>
      <w:szCs w:val="32"/>
    </w:rPr>
  </w:style>
  <w:style w:type="character" w:styleId="1540">
    <w:name w:val="批注框文本 Char3"/>
    <w:next w:val="1540"/>
    <w:link w:val="1035"/>
    <w:uiPriority w:val="99"/>
    <w:semiHidden/>
    <w:rPr>
      <w:rFonts w:ascii="Times New Roman" w:hAnsi="Times New Roman" w:eastAsia="宋体" w:cs="Times New Roman"/>
      <w:sz w:val="18"/>
      <w:szCs w:val="18"/>
    </w:rPr>
  </w:style>
  <w:style w:type="character" w:styleId="1541">
    <w:name w:val="批注主题 Char3"/>
    <w:next w:val="1541"/>
    <w:link w:val="1035"/>
    <w:uiPriority w:val="99"/>
    <w:semiHidden/>
    <w:rPr>
      <w:rFonts w:ascii="Times New Roman" w:hAnsi="Times New Roman" w:eastAsia="宋体" w:cs="Times New Roman"/>
      <w:b/>
      <w:bCs/>
      <w:sz w:val="21"/>
      <w:szCs w:val="24"/>
    </w:rPr>
  </w:style>
  <w:style w:type="character" w:styleId="1542">
    <w:name w:val="副标题 Char2"/>
    <w:next w:val="1542"/>
    <w:link w:val="1035"/>
    <w:uiPriority w:val="11"/>
    <w:rPr>
      <w:rFonts w:ascii="Cambria" w:hAnsi="Cambria" w:eastAsia="宋体" w:cs="Times New Roman"/>
      <w:b/>
      <w:bCs/>
      <w:sz w:val="32"/>
      <w:szCs w:val="32"/>
    </w:rPr>
  </w:style>
  <w:style w:type="character" w:styleId="1543">
    <w:name w:val="页脚 Char1"/>
    <w:next w:val="1543"/>
    <w:link w:val="1035"/>
    <w:uiPriority w:val="99"/>
    <w:semiHidden/>
    <w:rPr>
      <w:rFonts w:ascii="Times New Roman" w:hAnsi="Times New Roman" w:eastAsia="宋体" w:cs="Times New Roman"/>
      <w:sz w:val="18"/>
      <w:szCs w:val="18"/>
    </w:rPr>
  </w:style>
  <w:style w:type="paragraph" w:styleId="1544">
    <w:name w:val="z-Bottom of Form"/>
    <w:next w:val="1035"/>
    <w:link w:val="1035"/>
    <w:pPr>
      <w:jc w:val="center"/>
      <w:widowControl w:val="off"/>
      <w:pBdr>
        <w:top w:val="single" w:color="000000" w:sz="2" w:space="0"/>
      </w:pBdr>
    </w:pPr>
    <w:rPr>
      <w:rFonts w:ascii="Arial" w:hAnsi="Arial"/>
      <w:vanish/>
      <w:sz w:val="16"/>
      <w:lang w:val="en-US" w:eastAsia="zh-CN" w:bidi="ar-SA"/>
    </w:rPr>
  </w:style>
  <w:style w:type="paragraph" w:styleId="1545">
    <w:name w:val="H5"/>
    <w:basedOn w:val="1035"/>
    <w:next w:val="1035"/>
    <w:link w:val="1035"/>
    <w:pPr>
      <w:jc w:val="left"/>
      <w:keepNext/>
      <w:spacing w:before="100" w:after="100"/>
      <w:outlineLvl w:val="5"/>
    </w:pPr>
    <w:rPr>
      <w:b/>
      <w:sz w:val="20"/>
      <w:szCs w:val="20"/>
    </w:rPr>
  </w:style>
  <w:style w:type="paragraph" w:styleId="1546">
    <w:name w:val="表头"/>
    <w:basedOn w:val="1064"/>
    <w:next w:val="1546"/>
    <w:link w:val="1035"/>
    <w:pPr>
      <w:jc w:val="center"/>
      <w:keepLines/>
      <w:keepNext/>
      <w:spacing w:before="120" w:after="120" w:line="300" w:lineRule="auto"/>
      <w:widowControl/>
    </w:pPr>
    <w:rPr>
      <w:rFonts w:cs="Times New Roman"/>
      <w:sz w:val="21"/>
    </w:rPr>
  </w:style>
  <w:style w:type="paragraph" w:styleId="1547">
    <w:name w:val="文档正文"/>
    <w:basedOn w:val="1035"/>
    <w:next w:val="1547"/>
    <w:link w:val="1035"/>
    <w:pPr>
      <w:ind w:firstLine="567"/>
      <w:spacing w:line="500" w:lineRule="exact"/>
    </w:pPr>
    <w:rPr>
      <w:rFonts w:ascii="仿宋_GB2312" w:hAnsi="Times New Roman" w:eastAsia="仿宋_GB2312"/>
      <w:sz w:val="28"/>
      <w:szCs w:val="20"/>
    </w:rPr>
  </w:style>
  <w:style w:type="paragraph" w:styleId="1548">
    <w:name w:val="Char Char2 Char Char"/>
    <w:basedOn w:val="1035"/>
    <w:next w:val="1548"/>
    <w:link w:val="1035"/>
    <w:rPr>
      <w:rFonts w:ascii="Tahoma" w:hAnsi="Tahoma"/>
      <w:sz w:val="24"/>
      <w:szCs w:val="20"/>
    </w:rPr>
  </w:style>
  <w:style w:type="paragraph" w:styleId="1549">
    <w:name w:val="Char Char Char Char Char Char1 Char"/>
    <w:basedOn w:val="1035"/>
    <w:next w:val="1549"/>
    <w:link w:val="1035"/>
    <w:rPr>
      <w:rFonts w:ascii="Tahoma" w:hAnsi="Tahoma"/>
      <w:sz w:val="24"/>
      <w:szCs w:val="20"/>
    </w:rPr>
  </w:style>
  <w:style w:type="paragraph" w:styleId="1550">
    <w:name w:val="H4"/>
    <w:basedOn w:val="1035"/>
    <w:next w:val="1035"/>
    <w:link w:val="1035"/>
    <w:pPr>
      <w:jc w:val="left"/>
      <w:keepNext/>
      <w:spacing w:before="100" w:after="100"/>
      <w:outlineLvl w:val="4"/>
    </w:pPr>
    <w:rPr>
      <w:b/>
      <w:sz w:val="24"/>
      <w:szCs w:val="20"/>
    </w:rPr>
  </w:style>
  <w:style w:type="paragraph" w:styleId="1551">
    <w:name w:val="font9"/>
    <w:basedOn w:val="1035"/>
    <w:next w:val="1551"/>
    <w:link w:val="1035"/>
    <w:pPr>
      <w:jc w:val="left"/>
      <w:spacing w:before="100" w:beforeAutospacing="1" w:after="100" w:afterAutospacing="1"/>
      <w:widowControl/>
    </w:pPr>
    <w:rPr>
      <w:rFonts w:ascii="宋体" w:hAnsi="宋体" w:cs="宋体"/>
      <w:sz w:val="22"/>
    </w:rPr>
  </w:style>
  <w:style w:type="paragraph" w:styleId="1552">
    <w:name w:val="xl66"/>
    <w:basedOn w:val="1035"/>
    <w:next w:val="1552"/>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3">
    <w:name w:val="修订"/>
    <w:next w:val="1553"/>
    <w:link w:val="1035"/>
    <w:uiPriority w:val="99"/>
    <w:unhideWhenUsed/>
    <w:rPr>
      <w:rFonts w:ascii="Times New Roman" w:hAnsi="Times New Roman"/>
      <w:sz w:val="21"/>
      <w:szCs w:val="24"/>
      <w:lang w:val="en-US" w:eastAsia="zh-CN" w:bidi="ar-SA"/>
    </w:rPr>
  </w:style>
  <w:style w:type="paragraph" w:styleId="1554">
    <w:name w:val="默认段落字体 Para Char Char Char Char Char Char Char"/>
    <w:basedOn w:val="1066"/>
    <w:next w:val="1554"/>
    <w:link w:val="1035"/>
    <w:pPr>
      <w:ind w:left="357"/>
      <w:jc w:val="left"/>
      <w:spacing w:line="436" w:lineRule="exact"/>
      <w:outlineLvl w:val="3"/>
    </w:pPr>
    <w:rPr>
      <w:rFonts w:ascii="Tahoma" w:hAnsi="Tahoma"/>
      <w:b/>
      <w:sz w:val="24"/>
      <w:lang w:val="en-US" w:eastAsia="zh-CN"/>
    </w:rPr>
  </w:style>
  <w:style w:type="paragraph" w:styleId="1555">
    <w:name w:val="正文_0"/>
    <w:next w:val="1555"/>
    <w:link w:val="1035"/>
    <w:qFormat/>
    <w:pPr>
      <w:jc w:val="both"/>
      <w:widowControl w:val="off"/>
    </w:pPr>
    <w:rPr>
      <w:rFonts w:ascii="Times New Roman" w:hAnsi="Times New Roman"/>
      <w:sz w:val="21"/>
      <w:szCs w:val="22"/>
      <w:lang w:val="en-US" w:eastAsia="zh-CN" w:bidi="ar-SA"/>
    </w:rPr>
  </w:style>
  <w:style w:type="paragraph" w:styleId="1556">
    <w:name w:val="wfxRecipient"/>
    <w:basedOn w:val="1035"/>
    <w:next w:val="1556"/>
    <w:link w:val="1035"/>
    <w:pPr>
      <w:jc w:val="left"/>
      <w:widowControl/>
    </w:pPr>
    <w:rPr>
      <w:rFonts w:ascii="Times New Roman" w:hAnsi="Times New Roman"/>
      <w:sz w:val="20"/>
      <w:szCs w:val="20"/>
      <w:lang w:eastAsia="en-US"/>
    </w:rPr>
  </w:style>
  <w:style w:type="paragraph" w:styleId="1557">
    <w:name w:val="a1"/>
    <w:basedOn w:val="1035"/>
    <w:next w:val="1557"/>
    <w:link w:val="1035"/>
    <w:pPr>
      <w:jc w:val="left"/>
      <w:spacing w:before="100" w:beforeAutospacing="1" w:after="100" w:afterAutospacing="1"/>
      <w:widowControl/>
    </w:pPr>
    <w:rPr>
      <w:rFonts w:ascii="宋体" w:hAnsi="宋体" w:cs="宋体"/>
      <w:sz w:val="24"/>
      <w:szCs w:val="24"/>
    </w:rPr>
  </w:style>
  <w:style w:type="paragraph" w:styleId="1558">
    <w:name w:val="正文编号1级"/>
    <w:basedOn w:val="1124"/>
    <w:next w:val="1558"/>
    <w:link w:val="1035"/>
    <w:qFormat/>
    <w:pPr>
      <w:ind w:left="840" w:hanging="420"/>
      <w:spacing w:line="300" w:lineRule="auto"/>
      <w:tabs>
        <w:tab w:val="left" w:pos="840" w:leader="none"/>
      </w:tabs>
    </w:pPr>
    <w:rPr>
      <w:rFonts w:ascii="宋体"/>
      <w:szCs w:val="21"/>
      <w:lang w:val="en-US" w:eastAsia="zh-CN"/>
    </w:rPr>
  </w:style>
  <w:style w:type="paragraph" w:styleId="1559">
    <w:name w:val="Char Char1 Char Char Char Char Char Char Char"/>
    <w:basedOn w:val="1035"/>
    <w:next w:val="1559"/>
    <w:link w:val="1035"/>
    <w:rPr>
      <w:rFonts w:ascii="Times New Roman" w:hAnsi="Times New Roman" w:eastAsia="楷体_GB2312"/>
      <w:sz w:val="26"/>
      <w:szCs w:val="20"/>
    </w:rPr>
  </w:style>
  <w:style w:type="paragraph" w:styleId="1560">
    <w:name w:val="_Style 37"/>
    <w:basedOn w:val="1035"/>
    <w:next w:val="1035"/>
    <w:link w:val="1035"/>
    <w:rPr>
      <w:rFonts w:ascii="Times New Roman" w:hAnsi="Times New Roman"/>
      <w:szCs w:val="24"/>
    </w:rPr>
  </w:style>
  <w:style w:type="paragraph" w:styleId="1561">
    <w:name w:val="H6"/>
    <w:basedOn w:val="1035"/>
    <w:next w:val="1035"/>
    <w:link w:val="1035"/>
    <w:pPr>
      <w:jc w:val="left"/>
      <w:keepNext/>
      <w:spacing w:before="100" w:after="100"/>
      <w:outlineLvl w:val="6"/>
    </w:pPr>
    <w:rPr>
      <w:b/>
      <w:sz w:val="16"/>
      <w:szCs w:val="20"/>
    </w:rPr>
  </w:style>
  <w:style w:type="paragraph" w:styleId="1562">
    <w:name w:val="p1"/>
    <w:basedOn w:val="1035"/>
    <w:next w:val="1562"/>
    <w:link w:val="1035"/>
    <w:pPr>
      <w:jc w:val="left"/>
      <w:spacing w:before="100" w:beforeAutospacing="1" w:after="100" w:afterAutospacing="1"/>
      <w:widowControl/>
    </w:pPr>
    <w:rPr>
      <w:rFonts w:ascii="宋体" w:hAnsi="宋体" w:cs="宋体"/>
      <w:sz w:val="24"/>
      <w:szCs w:val="24"/>
    </w:rPr>
  </w:style>
  <w:style w:type="paragraph" w:styleId="1563">
    <w:name w:val="样式 样式 标题 2 + (中文) 宋体 小四 非加粗 段前: 0 磅 段后: 0 磅 行距: 单倍行距 + 行距: 固定值 2..."/>
    <w:basedOn w:val="1035"/>
    <w:next w:val="1563"/>
    <w:link w:val="1035"/>
    <w:pPr>
      <w:numPr>
        <w:ilvl w:val="1"/>
        <w:numId w:val="10"/>
      </w:numPr>
      <w:ind w:left="360"/>
      <w:keepLines/>
      <w:keepNext/>
      <w:spacing w:before="120" w:after="120" w:line="400" w:lineRule="atLeast"/>
      <w:tabs>
        <w:tab w:val="left" w:pos="780" w:leader="none"/>
      </w:tabs>
      <w:outlineLvl w:val="1"/>
    </w:pPr>
    <w:rPr>
      <w:rFonts w:ascii="Arial" w:hAnsi="Arial"/>
      <w:b/>
      <w:sz w:val="28"/>
      <w:szCs w:val="30"/>
    </w:rPr>
  </w:style>
  <w:style w:type="paragraph" w:styleId="1564">
    <w:name w:val="xl103"/>
    <w:basedOn w:val="1035"/>
    <w:next w:val="1564"/>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65">
    <w:name w:val="标题 4_0"/>
    <w:basedOn w:val="1555"/>
    <w:next w:val="1555"/>
    <w:link w:val="1035"/>
    <w:pPr>
      <w:keepLines/>
      <w:keepNext/>
      <w:spacing w:before="280" w:after="290" w:line="372" w:lineRule="auto"/>
      <w:outlineLvl w:val="3"/>
    </w:pPr>
    <w:rPr>
      <w:rFonts w:ascii="Cambria" w:hAnsi="Cambria"/>
      <w:b/>
      <w:bCs/>
      <w:sz w:val="28"/>
      <w:szCs w:val="28"/>
    </w:rPr>
  </w:style>
  <w:style w:type="paragraph" w:styleId="1566">
    <w:name w:val="H1"/>
    <w:basedOn w:val="1035"/>
    <w:next w:val="1035"/>
    <w:link w:val="1035"/>
    <w:pPr>
      <w:jc w:val="left"/>
      <w:keepNext/>
      <w:spacing w:before="100" w:after="100"/>
      <w:outlineLvl w:val="1"/>
    </w:pPr>
    <w:rPr>
      <w:b/>
      <w:sz w:val="48"/>
      <w:szCs w:val="20"/>
    </w:rPr>
  </w:style>
  <w:style w:type="paragraph" w:styleId="1567">
    <w:name w:val="样式 标题 3 + 小四 非加粗 段前: 0 磅 段后: 0 磅 行距: 单倍行距"/>
    <w:basedOn w:val="1038"/>
    <w:next w:val="1567"/>
    <w:link w:val="1035"/>
    <w:pPr>
      <w:numPr>
        <w:ilvl w:val="2"/>
        <w:numId w:val="11"/>
      </w:numPr>
      <w:spacing w:before="120" w:after="120"/>
      <w:tabs>
        <w:tab w:val="left" w:pos="240" w:leader="none"/>
      </w:tabs>
    </w:pPr>
    <w:rPr>
      <w:rFonts w:ascii="Times New Roman" w:hAnsi="Times New Roman"/>
      <w:b w:val="0"/>
      <w:color w:val="000000"/>
      <w:sz w:val="24"/>
      <w:szCs w:val="20"/>
      <w:lang w:val="en-US" w:eastAsia="zh-CN"/>
    </w:rPr>
  </w:style>
  <w:style w:type="character" w:styleId="1568">
    <w:name w:val="明显引用 Char3"/>
    <w:next w:val="1568"/>
    <w:link w:val="1035"/>
    <w:uiPriority w:val="30"/>
    <w:rPr>
      <w:rFonts w:ascii="Times New Roman" w:hAnsi="Times New Roman" w:eastAsia="宋体" w:cs="Times New Roman"/>
      <w:b/>
      <w:bCs/>
      <w:i/>
      <w:iCs/>
      <w:color w:val="4f81bd"/>
      <w:sz w:val="21"/>
      <w:szCs w:val="24"/>
    </w:rPr>
  </w:style>
  <w:style w:type="paragraph" w:styleId="1569">
    <w:name w:val="xl71"/>
    <w:basedOn w:val="1035"/>
    <w:next w:val="1569"/>
    <w:link w:val="103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70">
    <w:name w:val="Char Char Char Char Char Char Char Char Char Char Char Char Char Char Char Char"/>
    <w:basedOn w:val="1035"/>
    <w:next w:val="1570"/>
    <w:link w:val="1035"/>
    <w:pPr>
      <w:tabs>
        <w:tab w:val="left" w:pos="360" w:leader="none"/>
      </w:tabs>
    </w:pPr>
    <w:rPr>
      <w:rFonts w:ascii="Times New Roman" w:hAnsi="Times New Roman"/>
      <w:sz w:val="24"/>
      <w:szCs w:val="24"/>
    </w:rPr>
  </w:style>
  <w:style w:type="paragraph" w:styleId="1571">
    <w:name w:val="2-2ji"/>
    <w:basedOn w:val="1037"/>
    <w:next w:val="1571"/>
    <w:link w:val="1035"/>
    <w:pPr>
      <w:jc w:val="center"/>
      <w:spacing w:before="0" w:after="0" w:line="360" w:lineRule="auto"/>
    </w:pPr>
    <w:rPr>
      <w:rFonts w:ascii="宋体" w:hAnsi="宋体"/>
      <w:sz w:val="36"/>
      <w:szCs w:val="24"/>
      <w:lang w:val="en-US" w:eastAsia="zh-CN"/>
    </w:rPr>
  </w:style>
  <w:style w:type="paragraph" w:styleId="1572">
    <w:name w:val="p17"/>
    <w:basedOn w:val="1035"/>
    <w:next w:val="1572"/>
    <w:link w:val="1035"/>
    <w:pPr>
      <w:widowControl/>
    </w:pPr>
    <w:rPr>
      <w:rFonts w:ascii="Times New Roman" w:hAnsi="Times New Roman"/>
      <w:szCs w:val="21"/>
    </w:rPr>
  </w:style>
  <w:style w:type="paragraph" w:styleId="1573">
    <w:name w:val="xl24"/>
    <w:basedOn w:val="1035"/>
    <w:next w:val="1573"/>
    <w:link w:val="1035"/>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574">
    <w:name w:val="p0"/>
    <w:basedOn w:val="1035"/>
    <w:next w:val="1574"/>
    <w:link w:val="1035"/>
    <w:pPr>
      <w:numPr>
        <w:ilvl w:val="0"/>
        <w:numId w:val="12"/>
      </w:numPr>
      <w:ind w:left="0" w:firstLine="0"/>
      <w:widowControl/>
    </w:pPr>
    <w:rPr>
      <w:rFonts w:ascii="Times New Roman" w:hAnsi="Times New Roman"/>
      <w:szCs w:val="21"/>
    </w:rPr>
  </w:style>
  <w:style w:type="paragraph" w:styleId="1575">
    <w:name w:val="无间隔1"/>
    <w:next w:val="1575"/>
    <w:link w:val="1035"/>
    <w:pPr>
      <w:jc w:val="both"/>
      <w:widowControl w:val="off"/>
    </w:pPr>
    <w:rPr>
      <w:rFonts w:ascii="Times New Roman" w:hAnsi="Times New Roman"/>
      <w:sz w:val="21"/>
      <w:szCs w:val="24"/>
      <w:lang w:val="en-US" w:eastAsia="zh-CN" w:bidi="ar-SA"/>
    </w:rPr>
  </w:style>
  <w:style w:type="paragraph" w:styleId="1576">
    <w:name w:val="Pa1"/>
    <w:basedOn w:val="1035"/>
    <w:next w:val="1035"/>
    <w:link w:val="1035"/>
    <w:pPr>
      <w:jc w:val="left"/>
      <w:spacing w:line="241" w:lineRule="atLeast"/>
    </w:pPr>
    <w:rPr>
      <w:rFonts w:ascii="华文细黑" w:hAnsi="Times New Roman" w:eastAsia="华文细黑"/>
      <w:sz w:val="24"/>
      <w:szCs w:val="24"/>
    </w:rPr>
  </w:style>
  <w:style w:type="paragraph" w:styleId="1577">
    <w:name w:val="Char1"/>
    <w:basedOn w:val="1066"/>
    <w:next w:val="1577"/>
    <w:link w:val="1035"/>
    <w:pPr>
      <w:ind w:left="357"/>
      <w:jc w:val="left"/>
      <w:spacing w:line="436" w:lineRule="exact"/>
      <w:outlineLvl w:val="3"/>
    </w:pPr>
    <w:rPr>
      <w:rFonts w:ascii="Tahoma" w:hAnsi="Tahoma"/>
      <w:b/>
      <w:sz w:val="24"/>
      <w:lang w:val="en-US" w:eastAsia="zh-CN"/>
    </w:rPr>
  </w:style>
  <w:style w:type="paragraph" w:styleId="1578">
    <w:name w:val="pa-14"/>
    <w:basedOn w:val="1035"/>
    <w:next w:val="1578"/>
    <w:link w:val="1035"/>
    <w:pPr>
      <w:jc w:val="left"/>
      <w:spacing w:before="100" w:beforeAutospacing="1" w:after="100" w:afterAutospacing="1"/>
      <w:widowControl/>
    </w:pPr>
    <w:rPr>
      <w:rFonts w:ascii="宋体" w:hAnsi="宋体" w:cs="宋体"/>
      <w:sz w:val="24"/>
      <w:szCs w:val="24"/>
    </w:rPr>
  </w:style>
  <w:style w:type="paragraph" w:styleId="1579">
    <w:name w:val="空半行"/>
    <w:basedOn w:val="1035"/>
    <w:next w:val="1579"/>
    <w:link w:val="1035"/>
    <w:pPr>
      <w:spacing w:line="120" w:lineRule="exact"/>
    </w:pPr>
    <w:rPr>
      <w:rFonts w:ascii="Times New Roman" w:hAnsi="Times New Roman" w:eastAsia="仿宋_GB2312"/>
      <w:color w:val="ffffff"/>
      <w:sz w:val="30"/>
      <w:szCs w:val="20"/>
    </w:rPr>
  </w:style>
  <w:style w:type="paragraph" w:styleId="1580">
    <w:name w:val="分发表内容"/>
    <w:basedOn w:val="1035"/>
    <w:next w:val="1580"/>
    <w:link w:val="1035"/>
    <w:pPr>
      <w:jc w:val="center"/>
      <w:spacing w:before="120" w:after="120"/>
    </w:pPr>
    <w:rPr>
      <w:rFonts w:ascii="昆仑仿宋" w:hAnsi="Times New Roman" w:eastAsia="昆仑仿宋"/>
      <w:szCs w:val="20"/>
    </w:rPr>
  </w:style>
  <w:style w:type="paragraph" w:styleId="1581">
    <w:name w:val="Table Paragraph"/>
    <w:basedOn w:val="1035"/>
    <w:next w:val="1581"/>
    <w:link w:val="1035"/>
    <w:uiPriority w:val="1"/>
    <w:qFormat/>
    <w:pPr>
      <w:jc w:val="left"/>
    </w:pPr>
    <w:rPr>
      <w:rFonts w:ascii="宋体" w:hAnsi="宋体" w:cs="宋体"/>
      <w:sz w:val="22"/>
      <w:lang w:val="zh-CN" w:bidi="zh-CN"/>
    </w:rPr>
  </w:style>
  <w:style w:type="paragraph" w:styleId="1582">
    <w:name w:val="样式 表格正文 + 两端对齐"/>
    <w:basedOn w:val="1035"/>
    <w:next w:val="1582"/>
    <w:link w:val="1035"/>
    <w:pPr>
      <w:spacing w:line="300" w:lineRule="auto"/>
    </w:pPr>
    <w:rPr>
      <w:rFonts w:ascii="Times New Roman" w:hAnsi="Times New Roman"/>
      <w:sz w:val="24"/>
      <w:szCs w:val="20"/>
    </w:rPr>
  </w:style>
  <w:style w:type="paragraph" w:styleId="1583">
    <w:name w:val="正文段"/>
    <w:basedOn w:val="1035"/>
    <w:next w:val="1583"/>
    <w:link w:val="1035"/>
    <w:pPr>
      <w:ind w:firstLine="200"/>
      <w:spacing w:after="50"/>
      <w:widowControl/>
    </w:pPr>
    <w:rPr>
      <w:rFonts w:ascii="Times New Roman" w:hAnsi="Times New Roman"/>
      <w:sz w:val="24"/>
      <w:szCs w:val="20"/>
    </w:rPr>
  </w:style>
  <w:style w:type="paragraph" w:styleId="1584">
    <w:name w:val="Pa3"/>
    <w:basedOn w:val="1035"/>
    <w:next w:val="1035"/>
    <w:link w:val="1035"/>
    <w:pPr>
      <w:jc w:val="left"/>
      <w:spacing w:line="181" w:lineRule="atLeast"/>
    </w:pPr>
    <w:rPr>
      <w:rFonts w:ascii="微软雅黑." w:hAnsi="Times New Roman" w:eastAsia="微软雅黑."/>
      <w:sz w:val="24"/>
      <w:szCs w:val="24"/>
    </w:rPr>
  </w:style>
  <w:style w:type="paragraph" w:styleId="1585">
    <w:name w:val="xl104"/>
    <w:basedOn w:val="1035"/>
    <w:next w:val="1585"/>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86">
    <w:name w:val="H2"/>
    <w:basedOn w:val="1035"/>
    <w:next w:val="1035"/>
    <w:link w:val="1035"/>
    <w:pPr>
      <w:jc w:val="left"/>
      <w:keepNext/>
      <w:spacing w:before="100" w:after="100"/>
      <w:outlineLvl w:val="2"/>
    </w:pPr>
    <w:rPr>
      <w:b/>
      <w:sz w:val="36"/>
      <w:szCs w:val="20"/>
    </w:rPr>
  </w:style>
  <w:style w:type="paragraph" w:styleId="1587">
    <w:name w:val="样式 标题 3 + (中文) 黑体 小四 非加粗 段前: 7.8 磅 段后: 0 磅 行距: 固定值 20 磅"/>
    <w:basedOn w:val="1038"/>
    <w:next w:val="1587"/>
    <w:link w:val="1035"/>
    <w:pPr>
      <w:jc w:val="both"/>
      <w:keepLines/>
      <w:keepNext/>
      <w:spacing w:line="400" w:lineRule="exact"/>
    </w:pPr>
    <w:rPr>
      <w:rFonts w:ascii="Times New Roman" w:hAnsi="Times New Roman" w:cs="宋体"/>
      <w:sz w:val="22"/>
      <w:szCs w:val="20"/>
      <w:lang w:val="en-US" w:eastAsia="zh-CN"/>
    </w:rPr>
  </w:style>
  <w:style w:type="paragraph" w:styleId="1588">
    <w:name w:val="Address"/>
    <w:basedOn w:val="1035"/>
    <w:next w:val="1035"/>
    <w:link w:val="1035"/>
    <w:pPr>
      <w:jc w:val="left"/>
    </w:pPr>
    <w:rPr>
      <w:i/>
      <w:sz w:val="24"/>
      <w:szCs w:val="20"/>
    </w:rPr>
  </w:style>
  <w:style w:type="paragraph" w:styleId="1589">
    <w:name w:val="Javis"/>
    <w:basedOn w:val="1035"/>
    <w:next w:val="1589"/>
    <w:link w:val="1035"/>
    <w:pPr>
      <w:ind w:right="210"/>
      <w:spacing w:line="360" w:lineRule="auto"/>
    </w:pPr>
    <w:rPr>
      <w:rFonts w:ascii="Times New Roman" w:hAnsi="Times New Roman" w:cs="宋体"/>
      <w:sz w:val="24"/>
      <w:szCs w:val="20"/>
    </w:rPr>
  </w:style>
  <w:style w:type="paragraph" w:styleId="1590">
    <w:name w:val="表格内文"/>
    <w:basedOn w:val="1035"/>
    <w:next w:val="1590"/>
    <w:link w:val="1035"/>
    <w:pPr>
      <w:spacing w:line="360" w:lineRule="auto"/>
    </w:pPr>
    <w:rPr>
      <w:rFonts w:ascii="宋体" w:hAnsi="宋体"/>
      <w:color w:val="000000"/>
      <w:szCs w:val="20"/>
    </w:rPr>
  </w:style>
  <w:style w:type="paragraph" w:styleId="1591">
    <w:name w:val="段落正文 Char Char"/>
    <w:basedOn w:val="1035"/>
    <w:next w:val="1591"/>
    <w:link w:val="1035"/>
    <w:pPr>
      <w:ind w:firstLine="461"/>
      <w:spacing w:line="360" w:lineRule="auto"/>
    </w:pPr>
    <w:rPr>
      <w:rFonts w:ascii="宋体" w:hAnsi="宋体"/>
      <w:sz w:val="24"/>
      <w:szCs w:val="24"/>
    </w:rPr>
  </w:style>
  <w:style w:type="paragraph" w:styleId="1592">
    <w:name w:val="flNote"/>
    <w:basedOn w:val="1035"/>
    <w:next w:val="1592"/>
    <w:link w:val="1035"/>
    <w:pPr>
      <w:jc w:val="center"/>
      <w:spacing w:before="320" w:after="160" w:line="360" w:lineRule="atLeast"/>
    </w:pPr>
    <w:rPr>
      <w:rFonts w:ascii="Arial" w:hAnsi="Times New Roman" w:eastAsia="黑体"/>
      <w:sz w:val="30"/>
      <w:szCs w:val="20"/>
    </w:rPr>
  </w:style>
  <w:style w:type="paragraph" w:styleId="1593">
    <w:name w:val="图"/>
    <w:basedOn w:val="1035"/>
    <w:next w:val="1593"/>
    <w:link w:val="1035"/>
    <w:pPr>
      <w:numPr>
        <w:ilvl w:val="0"/>
        <w:numId w:val="13"/>
      </w:numPr>
      <w:ind w:left="0" w:firstLine="0"/>
      <w:jc w:val="center"/>
      <w:keepNext/>
      <w:spacing w:before="60" w:after="60" w:line="300" w:lineRule="auto"/>
    </w:pPr>
    <w:rPr>
      <w:rFonts w:ascii="Times New Roman" w:hAnsi="Times New Roman"/>
      <w:spacing w:val="20"/>
      <w:sz w:val="24"/>
      <w:szCs w:val="20"/>
    </w:rPr>
  </w:style>
  <w:style w:type="paragraph" w:styleId="1594">
    <w:name w:val="1"/>
    <w:next w:val="1594"/>
    <w:link w:val="1035"/>
    <w:pPr>
      <w:jc w:val="both"/>
      <w:widowControl w:val="off"/>
    </w:pPr>
    <w:rPr>
      <w:rFonts w:ascii="Times New Roman" w:hAnsi="Times New Roman"/>
      <w:sz w:val="21"/>
      <w:szCs w:val="24"/>
      <w:lang w:val="en-US" w:eastAsia="zh-CN" w:bidi="ar-SA"/>
    </w:rPr>
  </w:style>
  <w:style w:type="paragraph" w:styleId="1595">
    <w:name w:val="Char Char1 Char Char Char Char Char Char Char Char"/>
    <w:basedOn w:val="1035"/>
    <w:next w:val="1595"/>
    <w:link w:val="1035"/>
    <w:pPr>
      <w:jc w:val="left"/>
      <w:spacing w:after="160" w:line="240" w:lineRule="exact"/>
      <w:widowControl/>
    </w:pPr>
    <w:rPr>
      <w:rFonts w:ascii="Verdana" w:hAnsi="Verdana"/>
      <w:sz w:val="20"/>
      <w:szCs w:val="20"/>
      <w:lang w:eastAsia="en-US"/>
    </w:rPr>
  </w:style>
  <w:style w:type="paragraph" w:styleId="1596">
    <w:name w:val="xl65"/>
    <w:basedOn w:val="1035"/>
    <w:next w:val="1596"/>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7">
    <w:name w:val="xl72"/>
    <w:basedOn w:val="1035"/>
    <w:next w:val="1597"/>
    <w:link w:val="103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598">
    <w:name w:val="p5"/>
    <w:basedOn w:val="1035"/>
    <w:next w:val="1598"/>
    <w:link w:val="1035"/>
    <w:pPr>
      <w:jc w:val="left"/>
      <w:spacing w:before="100" w:beforeAutospacing="1" w:after="100" w:afterAutospacing="1"/>
      <w:widowControl/>
    </w:pPr>
    <w:rPr>
      <w:rFonts w:ascii="宋体" w:hAnsi="宋体" w:cs="宋体"/>
      <w:sz w:val="24"/>
      <w:szCs w:val="24"/>
    </w:rPr>
  </w:style>
  <w:style w:type="paragraph" w:styleId="1599">
    <w:name w:val="text12"/>
    <w:basedOn w:val="1035"/>
    <w:next w:val="1599"/>
    <w:link w:val="1035"/>
    <w:pPr>
      <w:ind w:firstLine="480"/>
      <w:jc w:val="left"/>
      <w:spacing w:before="100" w:beforeAutospacing="1" w:after="100" w:afterAutospacing="1"/>
      <w:widowControl/>
    </w:pPr>
    <w:rPr>
      <w:rFonts w:ascii="Arial Unicode MS" w:hAnsi="Arial Unicode MS"/>
      <w:sz w:val="24"/>
      <w:szCs w:val="24"/>
    </w:rPr>
  </w:style>
  <w:style w:type="paragraph" w:styleId="1600">
    <w:name w:val="剑鱼三"/>
    <w:basedOn w:val="1035"/>
    <w:next w:val="1035"/>
    <w:link w:val="1035"/>
    <w:pPr>
      <w:numPr>
        <w:ilvl w:val="1"/>
        <w:numId w:val="14"/>
      </w:numPr>
    </w:pPr>
    <w:rPr>
      <w:rFonts w:ascii="Arial" w:hAnsi="Arial"/>
      <w:b/>
      <w:szCs w:val="21"/>
    </w:rPr>
  </w:style>
  <w:style w:type="paragraph" w:styleId="1601">
    <w:name w:val="pic-info"/>
    <w:basedOn w:val="1035"/>
    <w:next w:val="1601"/>
    <w:link w:val="1035"/>
    <w:pPr>
      <w:jc w:val="left"/>
      <w:spacing w:before="100" w:beforeAutospacing="1" w:after="100" w:afterAutospacing="1"/>
      <w:widowControl/>
    </w:pPr>
    <w:rPr>
      <w:rFonts w:ascii="宋体" w:hAnsi="宋体" w:cs="宋体"/>
      <w:sz w:val="24"/>
      <w:szCs w:val="24"/>
    </w:rPr>
  </w:style>
  <w:style w:type="paragraph" w:styleId="1602">
    <w:name w:val="标题 3_0"/>
    <w:basedOn w:val="1555"/>
    <w:next w:val="1555"/>
    <w:link w:val="1035"/>
    <w:pPr>
      <w:keepLines/>
      <w:keepNext/>
      <w:spacing w:before="260" w:after="260" w:line="413" w:lineRule="auto"/>
      <w:outlineLvl w:val="2"/>
    </w:pPr>
    <w:rPr>
      <w:b/>
      <w:bCs/>
      <w:sz w:val="32"/>
      <w:szCs w:val="32"/>
    </w:rPr>
  </w:style>
  <w:style w:type="paragraph" w:styleId="1603">
    <w:name w:val="Definition Term"/>
    <w:basedOn w:val="1035"/>
    <w:next w:val="1035"/>
    <w:link w:val="1035"/>
    <w:pPr>
      <w:jc w:val="left"/>
    </w:pPr>
    <w:rPr>
      <w:rFonts w:ascii="Times New Roman" w:hAnsi="Times New Roman"/>
      <w:sz w:val="24"/>
      <w:szCs w:val="20"/>
    </w:rPr>
  </w:style>
  <w:style w:type="paragraph" w:styleId="1604">
    <w:name w:val="样式5"/>
    <w:basedOn w:val="1118"/>
    <w:next w:val="1604"/>
    <w:link w:val="1035"/>
    <w:pPr>
      <w:numPr>
        <w:ilvl w:val="0"/>
        <w:numId w:val="0"/>
      </w:numPr>
      <w:tabs>
        <w:tab w:val="clear" w:pos="432" w:leader="none"/>
        <w:tab w:val="clear" w:pos="1140" w:leader="none"/>
      </w:tabs>
    </w:pPr>
    <w:rPr>
      <w:rFonts w:cs="Arial"/>
      <w:lang w:val="en-US" w:eastAsia="zh-CN"/>
    </w:rPr>
  </w:style>
  <w:style w:type="paragraph" w:styleId="1605">
    <w:name w:val="样式 标题 1 + 黑体 三号 非加粗 居中 段前: 6 磅 段后: 6 磅 行距: 固定值 20 磅"/>
    <w:basedOn w:val="1036"/>
    <w:next w:val="1605"/>
    <w:link w:val="1035"/>
    <w:pPr>
      <w:spacing w:line="400" w:lineRule="exact"/>
    </w:pPr>
    <w:rPr>
      <w:rFonts w:ascii="Times New Roman" w:hAnsi="黑体" w:cs="宋体"/>
      <w:b w:val="0"/>
      <w:bCs w:val="0"/>
      <w:sz w:val="32"/>
      <w:szCs w:val="20"/>
      <w:lang w:val="en-US" w:eastAsia="zh-CN"/>
    </w:rPr>
  </w:style>
  <w:style w:type="paragraph" w:styleId="1606">
    <w:name w:val="缩正文"/>
    <w:basedOn w:val="1124"/>
    <w:next w:val="1606"/>
    <w:link w:val="1035"/>
    <w:pPr>
      <w:ind w:left="2268" w:firstLine="0"/>
      <w:spacing w:after="120" w:line="240" w:lineRule="auto"/>
    </w:pPr>
    <w:rPr>
      <w:szCs w:val="20"/>
      <w:lang w:val="en-US" w:eastAsia="zh-CN"/>
    </w:rPr>
  </w:style>
  <w:style w:type="paragraph" w:styleId="1607">
    <w:name w:val="_Style 30"/>
    <w:basedOn w:val="1035"/>
    <w:next w:val="1083"/>
    <w:link w:val="1035"/>
    <w:rPr>
      <w:rFonts w:ascii="宋体" w:hAnsi="Courier New"/>
      <w:szCs w:val="20"/>
    </w:rPr>
  </w:style>
  <w:style w:type="paragraph" w:styleId="1608">
    <w:name w:val="xl64"/>
    <w:basedOn w:val="1035"/>
    <w:next w:val="1608"/>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09">
    <w:name w:val="默认段落字体 Para Char Char Char Char"/>
    <w:basedOn w:val="1035"/>
    <w:next w:val="1609"/>
    <w:link w:val="1035"/>
    <w:rPr>
      <w:rFonts w:ascii="Times New Roman" w:hAnsi="Times New Roman"/>
      <w:szCs w:val="24"/>
    </w:rPr>
  </w:style>
  <w:style w:type="paragraph" w:styleId="1610">
    <w:name w:val="reader-word-layer"/>
    <w:basedOn w:val="1035"/>
    <w:next w:val="1610"/>
    <w:link w:val="1035"/>
    <w:pPr>
      <w:jc w:val="left"/>
      <w:spacing w:before="100" w:beforeAutospacing="1" w:after="100" w:afterAutospacing="1"/>
      <w:widowControl/>
    </w:pPr>
    <w:rPr>
      <w:rFonts w:ascii="宋体" w:hAnsi="宋体" w:cs="宋体"/>
      <w:sz w:val="24"/>
      <w:szCs w:val="24"/>
    </w:rPr>
  </w:style>
  <w:style w:type="paragraph" w:styleId="1611">
    <w:name w:val="南通方案正文"/>
    <w:basedOn w:val="1035"/>
    <w:next w:val="1611"/>
    <w:link w:val="1035"/>
    <w:pPr>
      <w:ind w:firstLine="480"/>
      <w:spacing w:line="360" w:lineRule="auto"/>
    </w:pPr>
    <w:rPr>
      <w:rFonts w:ascii="Times New Roman" w:hAnsi="Times New Roman"/>
      <w:sz w:val="24"/>
      <w:szCs w:val="20"/>
    </w:rPr>
  </w:style>
  <w:style w:type="paragraph" w:styleId="1612">
    <w:name w:val="标书标准正文"/>
    <w:basedOn w:val="1035"/>
    <w:next w:val="1612"/>
    <w:link w:val="1035"/>
    <w:pPr>
      <w:ind w:firstLine="540"/>
      <w:spacing w:line="360" w:lineRule="auto"/>
    </w:pPr>
    <w:rPr>
      <w:rFonts w:ascii="Times New Roman" w:hAnsi="Times New Roman"/>
      <w:sz w:val="24"/>
      <w:szCs w:val="24"/>
    </w:rPr>
  </w:style>
  <w:style w:type="paragraph" w:styleId="1613">
    <w:name w:val="正文符号1"/>
    <w:basedOn w:val="1431"/>
    <w:next w:val="1613"/>
    <w:link w:val="1035"/>
    <w:pPr>
      <w:numPr>
        <w:ilvl w:val="0"/>
        <w:numId w:val="15"/>
      </w:numPr>
      <w:ind w:left="975" w:hanging="340"/>
      <w:tabs>
        <w:tab w:val="left" w:pos="840" w:leader="none"/>
        <w:tab w:val="left" w:pos="975" w:leader="none"/>
        <w:tab w:val="left" w:pos="1080" w:leader="none"/>
      </w:tabs>
    </w:pPr>
  </w:style>
  <w:style w:type="paragraph" w:styleId="1614">
    <w:name w:val="正文－恩普"/>
    <w:basedOn w:val="1062"/>
    <w:next w:val="1614"/>
    <w:link w:val="1035"/>
    <w:pPr>
      <w:ind w:firstLine="200"/>
      <w:jc w:val="both"/>
      <w:spacing w:line="360" w:lineRule="auto"/>
    </w:pPr>
    <w:rPr>
      <w:lang w:val="en-US" w:eastAsia="zh-CN"/>
    </w:rPr>
  </w:style>
  <w:style w:type="paragraph" w:styleId="1615">
    <w:name w:val="xl105"/>
    <w:basedOn w:val="1035"/>
    <w:next w:val="1615"/>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16">
    <w:name w:val="xl100"/>
    <w:basedOn w:val="1035"/>
    <w:next w:val="1616"/>
    <w:link w:val="1035"/>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617">
    <w:name w:val="样式 首行缩进:  0 字符"/>
    <w:basedOn w:val="1035"/>
    <w:next w:val="1617"/>
    <w:link w:val="1035"/>
    <w:pPr>
      <w:ind w:firstLine="200"/>
      <w:spacing w:line="360" w:lineRule="auto"/>
    </w:pPr>
    <w:rPr>
      <w:rFonts w:ascii="Arial" w:hAnsi="Arial" w:cs="宋体"/>
      <w:sz w:val="24"/>
      <w:szCs w:val="20"/>
    </w:rPr>
  </w:style>
  <w:style w:type="paragraph" w:styleId="1618">
    <w:name w:val="Char2"/>
    <w:basedOn w:val="1035"/>
    <w:next w:val="1618"/>
    <w:link w:val="1035"/>
    <w:pPr>
      <w:ind w:left="432" w:hanging="432"/>
    </w:pPr>
    <w:rPr>
      <w:rFonts w:ascii="Times New Roman" w:hAnsi="Times New Roman"/>
      <w:sz w:val="24"/>
      <w:szCs w:val="24"/>
    </w:rPr>
  </w:style>
  <w:style w:type="paragraph" w:styleId="1619">
    <w:name w:val="z-Top of Form"/>
    <w:next w:val="1035"/>
    <w:link w:val="1035"/>
    <w:pPr>
      <w:jc w:val="center"/>
      <w:widowControl w:val="off"/>
      <w:pBdr>
        <w:bottom w:val="single" w:color="000000" w:sz="2" w:space="0"/>
      </w:pBdr>
    </w:pPr>
    <w:rPr>
      <w:rFonts w:ascii="Arial" w:hAnsi="Arial"/>
      <w:vanish/>
      <w:sz w:val="16"/>
      <w:lang w:val="en-US" w:eastAsia="zh-CN" w:bidi="ar-SA"/>
    </w:rPr>
  </w:style>
  <w:style w:type="paragraph" w:styleId="1620">
    <w:name w:val="正文_1"/>
    <w:next w:val="1620"/>
    <w:link w:val="1035"/>
    <w:qFormat/>
    <w:pPr>
      <w:jc w:val="both"/>
      <w:widowControl w:val="off"/>
    </w:pPr>
    <w:rPr>
      <w:rFonts w:ascii="Times New Roman" w:hAnsi="Times New Roman"/>
      <w:sz w:val="21"/>
      <w:szCs w:val="22"/>
      <w:lang w:val="en-US" w:eastAsia="zh-CN" w:bidi="ar-SA"/>
    </w:rPr>
  </w:style>
  <w:style w:type="paragraph" w:styleId="1621">
    <w:name w:val="Default Paragraph Font Para Char"/>
    <w:basedOn w:val="1035"/>
    <w:next w:val="1621"/>
    <w:link w:val="1035"/>
    <w:pPr>
      <w:jc w:val="left"/>
      <w:spacing w:after="160" w:line="240" w:lineRule="exact"/>
      <w:widowControl/>
    </w:pPr>
    <w:rPr>
      <w:rFonts w:ascii="Verdana" w:hAnsi="Verdana"/>
      <w:sz w:val="20"/>
      <w:szCs w:val="20"/>
      <w:lang w:eastAsia="en-US"/>
    </w:rPr>
  </w:style>
  <w:style w:type="paragraph" w:styleId="1622">
    <w:name w:val="样式6"/>
    <w:basedOn w:val="1037"/>
    <w:next w:val="1622"/>
    <w:link w:val="1035"/>
    <w:pPr>
      <w:jc w:val="center"/>
      <w:spacing w:line="240" w:lineRule="auto"/>
    </w:pPr>
    <w:rPr>
      <w:rFonts w:ascii="Arial" w:hAnsi="Arial" w:eastAsia="黑体"/>
      <w:lang w:val="en-US" w:eastAsia="zh-CN"/>
    </w:rPr>
  </w:style>
  <w:style w:type="paragraph" w:styleId="1623">
    <w:name w:val="正文文本_0"/>
    <w:basedOn w:val="1555"/>
    <w:next w:val="1623"/>
    <w:link w:val="1035"/>
    <w:qFormat/>
    <w:pPr>
      <w:ind w:left="72" w:right="30"/>
      <w:jc w:val="center"/>
      <w:spacing w:after="60" w:line="360" w:lineRule="atLeast"/>
    </w:pPr>
    <w:rPr>
      <w:sz w:val="20"/>
      <w:szCs w:val="20"/>
    </w:rPr>
  </w:style>
  <w:style w:type="paragraph" w:styleId="1624">
    <w:name w:val="Table Text"/>
    <w:basedOn w:val="1035"/>
    <w:next w:val="1624"/>
    <w:link w:val="1035"/>
    <w:pPr>
      <w:jc w:val="left"/>
      <w:widowControl/>
      <w:tabs>
        <w:tab w:val="decimal" w:pos="0" w:leader="none"/>
      </w:tabs>
    </w:pPr>
    <w:rPr>
      <w:rFonts w:ascii="Times New Roman" w:hAnsi="Times New Roman" w:eastAsia="Times New Roman"/>
      <w:szCs w:val="20"/>
      <w:lang w:eastAsia="en-US"/>
    </w:rPr>
  </w:style>
  <w:style w:type="paragraph" w:styleId="1625">
    <w:name w:val="font7"/>
    <w:basedOn w:val="1035"/>
    <w:next w:val="1625"/>
    <w:link w:val="1035"/>
    <w:pPr>
      <w:jc w:val="left"/>
      <w:spacing w:before="100" w:beforeAutospacing="1" w:after="100" w:afterAutospacing="1"/>
      <w:widowControl/>
    </w:pPr>
    <w:rPr>
      <w:rFonts w:ascii="Times New Roman" w:hAnsi="Times New Roman"/>
      <w:sz w:val="20"/>
      <w:szCs w:val="20"/>
    </w:rPr>
  </w:style>
  <w:style w:type="paragraph" w:styleId="1626">
    <w:name w:val="样式 正文缩进 + 首行缩进:  2 字符"/>
    <w:basedOn w:val="1062"/>
    <w:next w:val="1626"/>
    <w:link w:val="1035"/>
    <w:pPr>
      <w:ind w:firstLine="200"/>
      <w:spacing w:line="360" w:lineRule="auto"/>
    </w:pPr>
    <w:rPr>
      <w:szCs w:val="22"/>
      <w:lang w:val="en-US" w:eastAsia="zh-CN"/>
    </w:rPr>
  </w:style>
  <w:style w:type="paragraph" w:styleId="1627">
    <w:name w:val="样式4"/>
    <w:basedOn w:val="1118"/>
    <w:next w:val="1627"/>
    <w:link w:val="1035"/>
    <w:pPr>
      <w:numPr>
        <w:ilvl w:val="0"/>
        <w:numId w:val="0"/>
      </w:numPr>
      <w:spacing w:line="480" w:lineRule="auto"/>
      <w:tabs>
        <w:tab w:val="right" w:pos="8494" w:leader="dot"/>
      </w:tabs>
    </w:pPr>
    <w:rPr>
      <w:rFonts w:eastAsia="黑体" w:cs="Arial"/>
      <w:b w:val="0"/>
      <w:bCs w:val="0"/>
      <w:lang w:val="en-US" w:eastAsia="zh-CN"/>
    </w:rPr>
  </w:style>
  <w:style w:type="paragraph" w:styleId="1628">
    <w:name w:val="多级符号2"/>
    <w:basedOn w:val="1035"/>
    <w:next w:val="1628"/>
    <w:link w:val="1035"/>
    <w:pPr>
      <w:ind w:left="420" w:hanging="420"/>
      <w:jc w:val="left"/>
      <w:spacing w:line="360" w:lineRule="auto"/>
    </w:pPr>
    <w:rPr>
      <w:rFonts w:ascii="Times New Roman" w:hAnsi="Times New Roman" w:eastAsia="仿宋_GB2312"/>
      <w:sz w:val="24"/>
      <w:szCs w:val="24"/>
    </w:rPr>
  </w:style>
  <w:style w:type="paragraph" w:styleId="1629">
    <w:name w:val="标题 1_0"/>
    <w:basedOn w:val="1555"/>
    <w:next w:val="1555"/>
    <w:link w:val="1035"/>
    <w:pPr>
      <w:keepLines/>
      <w:keepNext/>
      <w:spacing w:before="340" w:after="330" w:line="576" w:lineRule="auto"/>
      <w:outlineLvl w:val="0"/>
    </w:pPr>
    <w:rPr>
      <w:b/>
      <w:bCs/>
      <w:sz w:val="44"/>
      <w:szCs w:val="44"/>
    </w:rPr>
  </w:style>
  <w:style w:type="paragraph" w:styleId="1630">
    <w:name w:val="Blockquote"/>
    <w:basedOn w:val="1035"/>
    <w:next w:val="1630"/>
    <w:link w:val="1035"/>
    <w:pPr>
      <w:ind w:left="360" w:right="360"/>
      <w:jc w:val="left"/>
      <w:spacing w:before="100" w:after="100"/>
    </w:pPr>
    <w:rPr>
      <w:rFonts w:ascii="Times New Roman" w:hAnsi="Times New Roman"/>
      <w:sz w:val="24"/>
      <w:szCs w:val="20"/>
    </w:rPr>
  </w:style>
  <w:style w:type="paragraph" w:styleId="1631">
    <w:name w:val="Pa8"/>
    <w:basedOn w:val="1035"/>
    <w:next w:val="1035"/>
    <w:link w:val="1035"/>
    <w:pPr>
      <w:jc w:val="left"/>
      <w:spacing w:line="481" w:lineRule="atLeast"/>
    </w:pPr>
    <w:rPr>
      <w:rFonts w:ascii="微软雅黑." w:hAnsi="Times New Roman" w:eastAsia="微软雅黑."/>
      <w:sz w:val="24"/>
      <w:szCs w:val="24"/>
    </w:rPr>
  </w:style>
  <w:style w:type="paragraph" w:styleId="1632">
    <w:name w:val="H3"/>
    <w:basedOn w:val="1035"/>
    <w:next w:val="1035"/>
    <w:link w:val="1035"/>
    <w:pPr>
      <w:jc w:val="left"/>
      <w:keepNext/>
      <w:spacing w:before="100" w:after="100"/>
      <w:outlineLvl w:val="3"/>
    </w:pPr>
    <w:rPr>
      <w:b/>
      <w:sz w:val="28"/>
      <w:szCs w:val="20"/>
    </w:rPr>
  </w:style>
  <w:style w:type="paragraph" w:styleId="1633">
    <w:name w:val="font5"/>
    <w:basedOn w:val="1035"/>
    <w:next w:val="1633"/>
    <w:link w:val="1035"/>
    <w:pPr>
      <w:jc w:val="left"/>
      <w:spacing w:before="100" w:beforeAutospacing="1" w:after="100" w:afterAutospacing="1"/>
      <w:widowControl/>
    </w:pPr>
    <w:rPr>
      <w:rFonts w:ascii="宋体" w:hAnsi="宋体" w:cs="宋体"/>
      <w:sz w:val="18"/>
      <w:szCs w:val="18"/>
    </w:rPr>
  </w:style>
  <w:style w:type="paragraph" w:styleId="1634">
    <w:name w:val="Preformatted"/>
    <w:basedOn w:val="1035"/>
    <w:next w:val="1634"/>
    <w:link w:val="1035"/>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35">
    <w:name w:val="font6"/>
    <w:basedOn w:val="1035"/>
    <w:next w:val="1635"/>
    <w:link w:val="1035"/>
    <w:pPr>
      <w:jc w:val="left"/>
      <w:spacing w:before="100" w:beforeAutospacing="1" w:after="100" w:afterAutospacing="1"/>
      <w:widowControl/>
    </w:pPr>
    <w:rPr>
      <w:rFonts w:ascii="宋体" w:hAnsi="宋体" w:cs="宋体"/>
      <w:sz w:val="18"/>
      <w:szCs w:val="18"/>
    </w:rPr>
  </w:style>
  <w:style w:type="paragraph" w:styleId="1636">
    <w:name w:val="样式2"/>
    <w:basedOn w:val="1036"/>
    <w:next w:val="1636"/>
    <w:link w:val="1035"/>
    <w:pPr>
      <w:jc w:val="center"/>
      <w:spacing w:line="578" w:lineRule="atLeast"/>
    </w:pPr>
    <w:rPr>
      <w:rFonts w:ascii="宋体" w:hAnsi="宋体"/>
      <w:b w:val="0"/>
      <w:bCs w:val="0"/>
      <w:lang w:val="en-US" w:eastAsia="zh-CN"/>
    </w:rPr>
  </w:style>
  <w:style w:type="paragraph" w:styleId="1637">
    <w:name w:val="正文文本 Char Char"/>
    <w:basedOn w:val="1035"/>
    <w:next w:val="1637"/>
    <w:link w:val="1035"/>
    <w:pPr>
      <w:jc w:val="center"/>
    </w:pPr>
    <w:rPr>
      <w:rFonts w:ascii="Times New Roman" w:hAnsi="Times New Roman"/>
      <w:szCs w:val="24"/>
    </w:rPr>
  </w:style>
  <w:style w:type="paragraph" w:styleId="1638">
    <w:name w:val="Bullet"/>
    <w:basedOn w:val="1035"/>
    <w:next w:val="1638"/>
    <w:link w:val="1035"/>
    <w:pPr>
      <w:numPr>
        <w:ilvl w:val="0"/>
        <w:numId w:val="10"/>
      </w:numPr>
      <w:ind w:right="709"/>
      <w:spacing w:before="60" w:after="60"/>
      <w:tabs>
        <w:tab w:val="left" w:pos="420" w:leader="none"/>
        <w:tab w:val="left" w:pos="2552" w:leader="none"/>
      </w:tabs>
    </w:pPr>
    <w:rPr>
      <w:rFonts w:ascii="Times New Roman" w:hAnsi="Times New Roman" w:eastAsia="2OcuAe"/>
      <w:spacing w:val="2"/>
      <w:sz w:val="20"/>
      <w:szCs w:val="20"/>
      <w:lang w:eastAsia="zh-TW"/>
    </w:rPr>
  </w:style>
  <w:style w:type="paragraph" w:styleId="1639">
    <w:name w:val="xl73"/>
    <w:basedOn w:val="1035"/>
    <w:next w:val="1639"/>
    <w:link w:val="1035"/>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640">
    <w:name w:val="样式1"/>
    <w:basedOn w:val="1035"/>
    <w:next w:val="1640"/>
    <w:link w:val="1035"/>
    <w:pPr>
      <w:spacing w:line="360" w:lineRule="auto"/>
    </w:pPr>
    <w:rPr>
      <w:rFonts w:ascii="宋体" w:hAnsi="宋体" w:eastAsia="微软雅黑"/>
      <w:bCs/>
      <w:sz w:val="18"/>
      <w:szCs w:val="20"/>
    </w:rPr>
  </w:style>
  <w:style w:type="paragraph" w:styleId="1641">
    <w:name w:val="Char Char Char Char Char Char Char"/>
    <w:basedOn w:val="1035"/>
    <w:next w:val="1641"/>
    <w:link w:val="1035"/>
    <w:pPr>
      <w:jc w:val="left"/>
      <w:spacing w:after="160" w:line="240" w:lineRule="exact"/>
      <w:widowControl/>
    </w:pPr>
    <w:rPr>
      <w:rFonts w:ascii="Times New Roman" w:hAnsi="Times New Roman"/>
      <w:szCs w:val="24"/>
    </w:rPr>
  </w:style>
  <w:style w:type="paragraph" w:styleId="1642">
    <w:name w:val="p2"/>
    <w:basedOn w:val="1035"/>
    <w:next w:val="1642"/>
    <w:link w:val="1035"/>
    <w:pPr>
      <w:jc w:val="left"/>
      <w:spacing w:before="100" w:beforeAutospacing="1" w:after="100" w:afterAutospacing="1"/>
      <w:widowControl/>
    </w:pPr>
    <w:rPr>
      <w:rFonts w:ascii="宋体" w:hAnsi="宋体" w:cs="宋体"/>
      <w:sz w:val="24"/>
      <w:szCs w:val="24"/>
    </w:rPr>
  </w:style>
  <w:style w:type="paragraph" w:styleId="1643">
    <w:name w:val="xl67"/>
    <w:basedOn w:val="1035"/>
    <w:next w:val="1643"/>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name w:val="_Style 216"/>
    <w:next w:val="1035"/>
    <w:link w:val="1035"/>
    <w:uiPriority w:val="99"/>
    <w:pPr>
      <w:jc w:val="both"/>
      <w:widowControl w:val="off"/>
    </w:pPr>
    <w:rPr>
      <w:rFonts w:ascii="Times New Roman" w:hAnsi="Times New Roman"/>
      <w:sz w:val="21"/>
      <w:lang w:val="en-US" w:eastAsia="zh-CN" w:bidi="ar-SA"/>
    </w:rPr>
  </w:style>
  <w:style w:type="paragraph" w:styleId="1645">
    <w:name w:val="xl70"/>
    <w:basedOn w:val="1035"/>
    <w:next w:val="1645"/>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6">
    <w:name w:val="000左齐平"/>
    <w:basedOn w:val="1035"/>
    <w:next w:val="1646"/>
    <w:link w:val="1035"/>
    <w:qFormat/>
    <w:pPr>
      <w:jc w:val="left"/>
    </w:pPr>
    <w:rPr>
      <w:color w:val="000000"/>
    </w:rPr>
  </w:style>
  <w:style w:type="paragraph" w:styleId="1647">
    <w:name w:val="正式行文"/>
    <w:basedOn w:val="1035"/>
    <w:next w:val="1647"/>
    <w:link w:val="1035"/>
    <w:pPr>
      <w:numPr>
        <w:ilvl w:val="0"/>
        <w:numId w:val="16"/>
      </w:numPr>
      <w:ind w:left="0" w:firstLine="200"/>
      <w:spacing w:line="360" w:lineRule="auto"/>
      <w:tabs>
        <w:tab w:val="clear" w:pos="0" w:leader="none"/>
      </w:tabs>
    </w:pPr>
    <w:rPr>
      <w:rFonts w:ascii="Times New Roman" w:hAnsi="Times New Roman"/>
      <w:sz w:val="24"/>
      <w:szCs w:val="24"/>
    </w:rPr>
  </w:style>
  <w:style w:type="paragraph" w:styleId="1648">
    <w:name w:val="带上框线页脚"/>
    <w:basedOn w:val="1035"/>
    <w:next w:val="1648"/>
    <w:link w:val="1035"/>
    <w:pPr>
      <w:jc w:val="left"/>
      <w:spacing w:after="156"/>
      <w:widowControl/>
      <w:pBdr>
        <w:top w:val="single" w:color="000000" w:sz="4" w:space="1"/>
      </w:pBdr>
    </w:pPr>
    <w:rPr>
      <w:rFonts w:ascii="Times New Roman" w:hAnsi="Times New Roman"/>
      <w:sz w:val="18"/>
      <w:szCs w:val="20"/>
    </w:rPr>
  </w:style>
  <w:style w:type="paragraph" w:styleId="1649">
    <w:name w:val="tabletext"/>
    <w:basedOn w:val="1035"/>
    <w:next w:val="1649"/>
    <w:link w:val="1035"/>
    <w:pPr>
      <w:jc w:val="left"/>
      <w:spacing w:before="100" w:beforeAutospacing="1" w:after="100" w:afterAutospacing="1"/>
      <w:widowControl/>
    </w:pPr>
    <w:rPr>
      <w:rFonts w:ascii="宋体" w:hAnsi="宋体" w:cs="宋体"/>
      <w:sz w:val="24"/>
      <w:szCs w:val="24"/>
    </w:rPr>
  </w:style>
  <w:style w:type="paragraph" w:styleId="1650">
    <w:name w:val="Definition List"/>
    <w:basedOn w:val="1035"/>
    <w:next w:val="1035"/>
    <w:link w:val="1035"/>
    <w:pPr>
      <w:ind w:left="360"/>
      <w:jc w:val="left"/>
    </w:pPr>
    <w:rPr>
      <w:rFonts w:ascii="Times New Roman" w:hAnsi="Times New Roman"/>
      <w:sz w:val="24"/>
      <w:szCs w:val="20"/>
    </w:rPr>
  </w:style>
  <w:style w:type="paragraph" w:styleId="1651">
    <w:name w:val="勾股定理"/>
    <w:next w:val="1651"/>
    <w:link w:val="1035"/>
    <w:pPr>
      <w:spacing w:after="200" w:line="276" w:lineRule="auto"/>
    </w:pPr>
    <w:rPr>
      <w:rFonts w:ascii="Times New Roman" w:hAnsi="Times New Roman"/>
      <w:sz w:val="22"/>
      <w:szCs w:val="22"/>
      <w:lang w:val="en-US" w:eastAsia="zh-CN" w:bidi="ar-SA"/>
    </w:rPr>
  </w:style>
  <w:style w:type="paragraph" w:styleId="1652">
    <w:name w:val="style23"/>
    <w:basedOn w:val="1035"/>
    <w:next w:val="1652"/>
    <w:link w:val="1035"/>
    <w:pPr>
      <w:jc w:val="left"/>
      <w:spacing w:before="100" w:beforeAutospacing="1" w:after="100" w:afterAutospacing="1"/>
      <w:widowControl/>
    </w:pPr>
    <w:rPr>
      <w:rFonts w:ascii="Arial Unicode MS" w:hAnsi="Arial Unicode MS" w:eastAsia="Arial Unicode MS" w:cs="Arial Unicode MS"/>
      <w:sz w:val="18"/>
      <w:szCs w:val="18"/>
    </w:rPr>
  </w:style>
  <w:style w:type="paragraph" w:styleId="1653">
    <w:name w:val="IBM 正文"/>
    <w:basedOn w:val="1035"/>
    <w:next w:val="1653"/>
    <w:link w:val="1035"/>
    <w:pPr>
      <w:spacing w:line="400" w:lineRule="exact"/>
    </w:pPr>
    <w:rPr>
      <w:rFonts w:ascii="Times New Roman" w:hAnsi="Times New Roman"/>
      <w:spacing w:val="20"/>
      <w:sz w:val="24"/>
      <w:szCs w:val="20"/>
    </w:rPr>
  </w:style>
  <w:style w:type="paragraph" w:styleId="1654">
    <w:name w:val="p4"/>
    <w:basedOn w:val="1035"/>
    <w:next w:val="1654"/>
    <w:link w:val="1035"/>
    <w:pPr>
      <w:jc w:val="left"/>
      <w:spacing w:before="100" w:beforeAutospacing="1" w:after="100" w:afterAutospacing="1"/>
      <w:widowControl/>
    </w:pPr>
    <w:rPr>
      <w:rFonts w:ascii="宋体" w:hAnsi="宋体" w:cs="宋体"/>
      <w:sz w:val="24"/>
      <w:szCs w:val="24"/>
    </w:rPr>
  </w:style>
  <w:style w:type="paragraph" w:styleId="1655">
    <w:name w:val="_Style 12"/>
    <w:basedOn w:val="1066"/>
    <w:next w:val="1655"/>
    <w:link w:val="1035"/>
    <w:pPr>
      <w:jc w:val="left"/>
      <w:spacing w:line="360" w:lineRule="auto"/>
      <w:widowControl/>
    </w:pPr>
    <w:rPr>
      <w:rFonts w:hAnsi="Calibri"/>
      <w:sz w:val="24"/>
      <w:lang w:val="en-US" w:eastAsia="zh-CN"/>
    </w:rPr>
  </w:style>
  <w:style w:type="paragraph" w:styleId="1656">
    <w:name w:val="小四 段落 宋体 Char Char"/>
    <w:basedOn w:val="1035"/>
    <w:next w:val="1656"/>
    <w:link w:val="1035"/>
    <w:pPr>
      <w:ind w:firstLine="480"/>
      <w:spacing w:line="360" w:lineRule="auto"/>
    </w:pPr>
    <w:rPr>
      <w:rFonts w:ascii="宋体" w:hAnsi="宋体"/>
      <w:sz w:val="24"/>
      <w:szCs w:val="24"/>
    </w:rPr>
  </w:style>
  <w:style w:type="paragraph" w:styleId="1657">
    <w:name w:val="Char Char"/>
    <w:basedOn w:val="1035"/>
    <w:next w:val="1657"/>
    <w:link w:val="1035"/>
    <w:rPr>
      <w:rFonts w:ascii="Tahoma" w:hAnsi="Tahoma"/>
      <w:sz w:val="24"/>
      <w:szCs w:val="20"/>
    </w:rPr>
  </w:style>
  <w:style w:type="paragraph" w:styleId="1658">
    <w:name w:val="样式 标题 2 + Times New Roman 四号 非加粗 段前: 5 磅 段后: 0 磅 行距: 固定值 20..."/>
    <w:basedOn w:val="1037"/>
    <w:next w:val="1658"/>
    <w:link w:val="1035"/>
    <w:pPr>
      <w:jc w:val="center"/>
      <w:spacing w:before="100" w:after="0" w:line="400" w:lineRule="exact"/>
    </w:pPr>
    <w:rPr>
      <w:rFonts w:ascii="Times New Roman" w:hAnsi="Times New Roman" w:eastAsia="黑体" w:cs="宋体"/>
      <w:b w:val="0"/>
      <w:szCs w:val="20"/>
      <w:lang w:val="en-US" w:eastAsia="zh-CN"/>
    </w:rPr>
  </w:style>
  <w:style w:type="paragraph" w:styleId="1659">
    <w:name w:val="TOC 标题_0"/>
    <w:basedOn w:val="1629"/>
    <w:next w:val="1555"/>
    <w:link w:val="1035"/>
    <w:qFormat/>
    <w:pPr>
      <w:outlineLvl w:val="9"/>
    </w:pPr>
    <w:rPr>
      <w:rFonts w:ascii="Calibri" w:hAnsi="Calibri"/>
    </w:rPr>
  </w:style>
  <w:style w:type="paragraph" w:styleId="1660">
    <w:name w:val="l18"/>
    <w:basedOn w:val="1035"/>
    <w:next w:val="1660"/>
    <w:link w:val="1035"/>
    <w:pPr>
      <w:ind w:left="90"/>
      <w:jc w:val="left"/>
      <w:spacing w:before="30" w:after="100" w:afterAutospacing="1" w:line="270" w:lineRule="atLeast"/>
      <w:widowControl/>
    </w:pPr>
    <w:rPr>
      <w:rFonts w:ascii="Arial" w:hAnsi="Arial" w:cs="Arial"/>
      <w:color w:val="000000"/>
      <w:sz w:val="18"/>
      <w:szCs w:val="18"/>
    </w:rPr>
  </w:style>
  <w:style w:type="character" w:styleId="1661">
    <w:name w:val="引用 Char3"/>
    <w:next w:val="1661"/>
    <w:link w:val="1035"/>
    <w:uiPriority w:val="29"/>
    <w:rPr>
      <w:rFonts w:ascii="Times New Roman" w:hAnsi="Times New Roman" w:eastAsia="宋体" w:cs="Times New Roman"/>
      <w:i/>
      <w:iCs/>
      <w:color w:val="000000"/>
      <w:sz w:val="21"/>
      <w:szCs w:val="24"/>
    </w:rPr>
  </w:style>
  <w:style w:type="paragraph" w:styleId="1662">
    <w:name w:val="xl102"/>
    <w:basedOn w:val="1035"/>
    <w:next w:val="1662"/>
    <w:link w:val="1035"/>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63">
    <w:name w:val="样式 列表编号 + 段后: 0.5 行"/>
    <w:basedOn w:val="1061"/>
    <w:next w:val="1663"/>
    <w:link w:val="1035"/>
    <w:pPr>
      <w:numPr>
        <w:ilvl w:val="0"/>
        <w:numId w:val="17"/>
      </w:numPr>
      <w:spacing w:after="120"/>
      <w:widowControl w:val="off"/>
      <w:tabs>
        <w:tab w:val="left" w:pos="360" w:leader="none"/>
      </w:tabs>
    </w:pPr>
    <w:rPr>
      <w:rFonts w:cs="宋体"/>
    </w:rPr>
  </w:style>
  <w:style w:type="paragraph" w:styleId="1664">
    <w:name w:val="font8"/>
    <w:basedOn w:val="1035"/>
    <w:next w:val="1664"/>
    <w:link w:val="1035"/>
    <w:pPr>
      <w:jc w:val="left"/>
      <w:spacing w:before="100" w:beforeAutospacing="1" w:after="100" w:afterAutospacing="1"/>
      <w:widowControl/>
    </w:pPr>
    <w:rPr>
      <w:rFonts w:ascii="Times New Roman" w:hAnsi="Times New Roman"/>
      <w:sz w:val="22"/>
    </w:rPr>
  </w:style>
  <w:style w:type="paragraph" w:styleId="1665">
    <w:name w:val="xl22"/>
    <w:basedOn w:val="1035"/>
    <w:next w:val="1665"/>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66">
    <w:name w:val="正文标准"/>
    <w:basedOn w:val="1035"/>
    <w:next w:val="1666"/>
    <w:link w:val="1035"/>
    <w:pPr>
      <w:ind w:firstLine="200"/>
      <w:spacing w:line="360" w:lineRule="auto"/>
    </w:pPr>
    <w:rPr>
      <w:rFonts w:ascii="Times New Roman" w:hAnsi="Times New Roman" w:eastAsia="MS Gothic"/>
      <w:sz w:val="24"/>
      <w:szCs w:val="21"/>
    </w:rPr>
  </w:style>
  <w:style w:type="paragraph" w:styleId="1667">
    <w:name w:val="Normal1"/>
    <w:next w:val="1667"/>
    <w:link w:val="1035"/>
    <w:pPr>
      <w:jc w:val="both"/>
      <w:widowControl w:val="off"/>
    </w:pPr>
    <w:rPr>
      <w:rFonts w:ascii="Times New Roman" w:hAnsi="Times New Roman"/>
      <w:lang w:val="en-US" w:eastAsia="zh-CN" w:bidi="ar-SA"/>
    </w:rPr>
  </w:style>
  <w:style w:type="paragraph" w:styleId="1668">
    <w:name w:val="xl101"/>
    <w:basedOn w:val="1035"/>
    <w:next w:val="1668"/>
    <w:link w:val="1035"/>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669">
    <w:name w:val="正文缩进_0"/>
    <w:basedOn w:val="1620"/>
    <w:next w:val="1669"/>
    <w:link w:val="1035"/>
    <w:qFormat/>
    <w:pPr>
      <w:ind w:firstLine="420"/>
    </w:pPr>
    <w:rPr>
      <w:u w:val="single"/>
    </w:rPr>
  </w:style>
  <w:style w:type="paragraph" w:styleId="1670">
    <w:name w:val="xl69"/>
    <w:basedOn w:val="1035"/>
    <w:next w:val="1670"/>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name w:val="Char Char3 Char Char Char Char Char Char Char Char Char Char Char Char Char Char Char Char Char Char"/>
    <w:basedOn w:val="1035"/>
    <w:next w:val="1671"/>
    <w:link w:val="1035"/>
    <w:pPr>
      <w:ind w:firstLine="200"/>
      <w:jc w:val="left"/>
      <w:spacing w:after="160" w:line="360" w:lineRule="auto"/>
      <w:widowControl/>
    </w:pPr>
    <w:rPr>
      <w:rFonts w:ascii="宋体" w:hAnsi="宋体"/>
      <w:sz w:val="24"/>
      <w:szCs w:val="24"/>
    </w:rPr>
  </w:style>
  <w:style w:type="paragraph" w:styleId="1672">
    <w:name w:val="样式 (西文) 仿宋_GB2312 居中 行距: 1.5 倍行距"/>
    <w:basedOn w:val="1035"/>
    <w:next w:val="1672"/>
    <w:link w:val="1035"/>
    <w:pPr>
      <w:jc w:val="center"/>
      <w:spacing w:line="360" w:lineRule="auto"/>
    </w:pPr>
    <w:rPr>
      <w:rFonts w:ascii="宋体" w:hAnsi="宋体" w:cs="宋体"/>
      <w:szCs w:val="20"/>
    </w:rPr>
  </w:style>
  <w:style w:type="paragraph" w:styleId="1673">
    <w:name w:val="xl68"/>
    <w:basedOn w:val="1035"/>
    <w:next w:val="1673"/>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4">
    <w:name w:val="普通(Web)9"/>
    <w:basedOn w:val="1035"/>
    <w:next w:val="1674"/>
    <w:link w:val="1035"/>
    <w:pPr>
      <w:jc w:val="left"/>
      <w:spacing w:before="100" w:beforeAutospacing="1" w:after="100" w:afterAutospacing="1"/>
      <w:widowControl/>
    </w:pPr>
    <w:rPr>
      <w:rFonts w:ascii="宋体" w:hAnsi="宋体" w:cs="宋体"/>
      <w:szCs w:val="21"/>
    </w:rPr>
  </w:style>
  <w:style w:type="paragraph" w:styleId="1675">
    <w:name w:val="正文编号1级head"/>
    <w:basedOn w:val="1558"/>
    <w:next w:val="1558"/>
    <w:link w:val="1035"/>
    <w:qFormat/>
    <w:pPr>
      <w:ind w:left="360" w:hanging="360"/>
      <w:tabs>
        <w:tab w:val="left" w:pos="360" w:leader="none"/>
        <w:tab w:val="left" w:pos="840" w:leader="none"/>
      </w:tabs>
    </w:pPr>
  </w:style>
  <w:style w:type="table" w:styleId="1676">
    <w:name w:val="Table Normal"/>
    <w:next w:val="1676"/>
    <w:link w:val="1035"/>
    <w:uiPriority w:val="2"/>
    <w:unhideWhenUsed/>
    <w:qFormat/>
    <w:pPr>
      <w:widowControl w:val="off"/>
    </w:pPr>
    <w:rPr>
      <w:rFonts w:ascii="Times New Roman" w:hAnsi="Times New Roman"/>
      <w:sz w:val="22"/>
      <w:szCs w:val="22"/>
      <w:lang w:val="en-US" w:eastAsia="en-US" w:bidi="ar-SA"/>
    </w:rPr>
    <w:tblPr/>
  </w:style>
  <w:style w:type="paragraph" w:styleId="1677">
    <w:name w:val="Heading21"/>
    <w:basedOn w:val="1035"/>
    <w:next w:val="1035"/>
    <w:link w:val="1035"/>
    <w:pPr>
      <w:keepLines/>
      <w:keepNext/>
      <w:spacing w:before="260" w:after="260" w:line="416" w:lineRule="auto"/>
    </w:pPr>
    <w:rPr>
      <w:rFonts w:ascii="Cambria" w:hAnsi="Cambria"/>
      <w:sz w:val="32"/>
      <w:szCs w:val="20"/>
    </w:rPr>
  </w:style>
  <w:style w:type="table" w:styleId="1678">
    <w:name w:val="无格式表格 1"/>
    <w:basedOn w:val="1046"/>
    <w:next w:val="1678"/>
    <w:link w:val="1035"/>
    <w:uiPriority w:val="41"/>
    <w:tblPr/>
  </w:style>
  <w:style w:type="table" w:styleId="1679">
    <w:name w:val="无格式表格 2"/>
    <w:basedOn w:val="1046"/>
    <w:next w:val="1679"/>
    <w:link w:val="1035"/>
    <w:uiPriority w:val="42"/>
    <w:tblPr/>
  </w:style>
  <w:style w:type="table" w:styleId="1680">
    <w:name w:val="无格式表格 3"/>
    <w:basedOn w:val="1046"/>
    <w:next w:val="1680"/>
    <w:link w:val="1035"/>
    <w:uiPriority w:val="43"/>
    <w:tblPr/>
  </w:style>
  <w:style w:type="table" w:styleId="1681">
    <w:name w:val="无格式表格 4"/>
    <w:basedOn w:val="1046"/>
    <w:next w:val="1681"/>
    <w:link w:val="1035"/>
    <w:uiPriority w:val="44"/>
    <w:tblPr/>
  </w:style>
  <w:style w:type="table" w:styleId="1682">
    <w:name w:val="无格式表格 5"/>
    <w:basedOn w:val="1046"/>
    <w:next w:val="1682"/>
    <w:link w:val="1035"/>
    <w:uiPriority w:val="45"/>
    <w:tblPr/>
  </w:style>
  <w:style w:type="table" w:styleId="1683">
    <w:name w:val="网格表 1 浅色"/>
    <w:basedOn w:val="1046"/>
    <w:next w:val="1683"/>
    <w:link w:val="1035"/>
    <w:uiPriority w:val="46"/>
    <w:tblPr/>
  </w:style>
  <w:style w:type="table" w:styleId="1684">
    <w:name w:val="网格表 2"/>
    <w:basedOn w:val="1046"/>
    <w:next w:val="1684"/>
    <w:link w:val="1035"/>
    <w:uiPriority w:val="47"/>
    <w:tblPr/>
  </w:style>
  <w:style w:type="table" w:styleId="1685">
    <w:name w:val="网格表 3"/>
    <w:basedOn w:val="1046"/>
    <w:next w:val="1685"/>
    <w:link w:val="1035"/>
    <w:uiPriority w:val="48"/>
    <w:tblPr/>
  </w:style>
  <w:style w:type="table" w:styleId="1686">
    <w:name w:val="网格表 4"/>
    <w:basedOn w:val="1046"/>
    <w:next w:val="1686"/>
    <w:link w:val="1035"/>
    <w:uiPriority w:val="49"/>
    <w:tblPr/>
  </w:style>
  <w:style w:type="table" w:styleId="1687">
    <w:name w:val="网格表 5 深色"/>
    <w:basedOn w:val="1046"/>
    <w:next w:val="1687"/>
    <w:link w:val="1035"/>
    <w:uiPriority w:val="50"/>
    <w:tblPr/>
  </w:style>
  <w:style w:type="table" w:styleId="1688">
    <w:name w:val="网格表 6 彩色"/>
    <w:basedOn w:val="1046"/>
    <w:next w:val="1688"/>
    <w:link w:val="1035"/>
    <w:uiPriority w:val="51"/>
    <w:rPr>
      <w:color w:val="000000"/>
    </w:rPr>
    <w:tblPr/>
  </w:style>
  <w:style w:type="table" w:styleId="1689">
    <w:name w:val="网格表 7 彩色"/>
    <w:basedOn w:val="1046"/>
    <w:next w:val="1689"/>
    <w:link w:val="1035"/>
    <w:uiPriority w:val="52"/>
    <w:rPr>
      <w:color w:val="000000"/>
    </w:rPr>
    <w:tblPr/>
  </w:style>
  <w:style w:type="table" w:styleId="1690">
    <w:name w:val="清单表 1 浅色"/>
    <w:basedOn w:val="1046"/>
    <w:next w:val="1690"/>
    <w:link w:val="1035"/>
    <w:uiPriority w:val="46"/>
    <w:tblPr/>
  </w:style>
  <w:style w:type="table" w:styleId="1691">
    <w:name w:val="清单表 2"/>
    <w:basedOn w:val="1046"/>
    <w:next w:val="1691"/>
    <w:link w:val="1035"/>
    <w:uiPriority w:val="47"/>
    <w:tblPr/>
  </w:style>
  <w:style w:type="table" w:styleId="1692">
    <w:name w:val="清单表 3"/>
    <w:basedOn w:val="1046"/>
    <w:next w:val="1692"/>
    <w:link w:val="1035"/>
    <w:uiPriority w:val="48"/>
    <w:tblPr/>
  </w:style>
  <w:style w:type="table" w:styleId="1693">
    <w:name w:val="清单表 4"/>
    <w:basedOn w:val="1046"/>
    <w:next w:val="1693"/>
    <w:link w:val="1035"/>
    <w:uiPriority w:val="49"/>
    <w:tblPr/>
  </w:style>
  <w:style w:type="table" w:styleId="1694">
    <w:name w:val="清单表 5 深色"/>
    <w:basedOn w:val="1046"/>
    <w:next w:val="1694"/>
    <w:link w:val="1035"/>
    <w:uiPriority w:val="50"/>
    <w:rPr>
      <w:color w:val="ffffff"/>
    </w:rPr>
    <w:tblPr/>
  </w:style>
  <w:style w:type="table" w:styleId="1695">
    <w:name w:val="清单表 6 彩色"/>
    <w:basedOn w:val="1046"/>
    <w:next w:val="1695"/>
    <w:link w:val="1035"/>
    <w:uiPriority w:val="51"/>
    <w:rPr>
      <w:color w:val="000000"/>
    </w:rPr>
    <w:tblPr/>
  </w:style>
  <w:style w:type="table" w:styleId="1696">
    <w:name w:val="清单表 7 彩色"/>
    <w:basedOn w:val="1046"/>
    <w:next w:val="1696"/>
    <w:link w:val="1035"/>
    <w:uiPriority w:val="52"/>
    <w:rPr>
      <w:color w:val="000000"/>
    </w:rPr>
    <w:tblPr/>
  </w:style>
  <w:style w:type="paragraph" w:styleId="1697">
    <w:name w:val="正文文本缩进1"/>
    <w:next w:val="1697"/>
    <w:link w:val="1035"/>
    <w:qFormat/>
    <w:pPr>
      <w:ind w:firstLine="425"/>
      <w:jc w:val="both"/>
      <w:spacing w:line="360" w:lineRule="auto"/>
      <w:widowControl w:val="off"/>
    </w:pPr>
    <w:rPr>
      <w:rFonts w:ascii="Times New Roman" w:hAnsi="Times New Roman" w:eastAsia="宋体" w:cs="Times New Roman"/>
      <w:sz w:val="24"/>
      <w:lang w:val="zh-CN" w:eastAsia="zh-CN" w:bidi="ar-SA"/>
    </w:rPr>
  </w:style>
  <w:style w:type="paragraph" w:styleId="1698">
    <w:name w:val="页眉1"/>
    <w:next w:val="1698"/>
    <w:link w:val="1035"/>
    <w:uiPriority w:val="99"/>
    <w:unhideWhenUsed/>
    <w:qFormat/>
    <w:pPr>
      <w:jc w:val="center"/>
      <w:widowControl w:val="off"/>
      <w:tabs>
        <w:tab w:val="center" w:pos="4153" w:leader="none"/>
        <w:tab w:val="right" w:pos="8306" w:leader="none"/>
      </w:tabs>
    </w:pPr>
    <w:rPr>
      <w:rFonts w:ascii="Calibri" w:hAnsi="Calibri" w:eastAsia="宋体" w:cs="Times New Roman"/>
      <w:sz w:val="18"/>
      <w:szCs w:val="18"/>
      <w:lang w:val="en-US" w:eastAsia="en-US" w:bidi="ar-SA"/>
    </w:rPr>
  </w:style>
  <w:style w:type="character" w:styleId="1699">
    <w:name w:val="页码1"/>
    <w:next w:val="1699"/>
    <w:link w:val="1035"/>
    <w:uiPriority w:val="99"/>
    <w:unhideWhenUsed/>
    <w:qFormat/>
    <w:rPr>
      <w:sz w:val="21"/>
      <w:szCs w:val="22"/>
      <w:lang w:val="en-US" w:eastAsia="zh-CN" w:bidi="ar-SA"/>
    </w:rPr>
  </w:style>
  <w:style w:type="paragraph" w:styleId="1700">
    <w:name w:val="页脚1"/>
    <w:next w:val="1700"/>
    <w:link w:val="1035"/>
    <w:uiPriority w:val="99"/>
    <w:qFormat/>
    <w:pPr>
      <w:jc w:val="left"/>
      <w:widowControl w:val="off"/>
      <w:tabs>
        <w:tab w:val="center" w:pos="4153" w:leader="none"/>
        <w:tab w:val="right" w:pos="8306" w:leader="none"/>
      </w:tabs>
    </w:pPr>
    <w:rPr>
      <w:rFonts w:ascii="Calibri" w:hAnsi="Calibri" w:eastAsia="宋体" w:cs="Times New Roman"/>
      <w:sz w:val="18"/>
      <w:szCs w:val="18"/>
      <w:lang w:val="en-US" w:eastAsia="en-US" w:bidi="ar-SA"/>
    </w:rPr>
  </w:style>
  <w:style w:type="character" w:styleId="1701" w:default="1">
    <w:name w:val="Default Paragraph Font"/>
    <w:uiPriority w:val="1"/>
    <w:semiHidden/>
    <w:unhideWhenUsed/>
  </w:style>
  <w:style w:type="numbering" w:styleId="1702" w:default="1">
    <w:name w:val="No List"/>
    <w:uiPriority w:val="99"/>
    <w:semiHidden/>
    <w:unhideWhenUsed/>
  </w:style>
  <w:style w:type="table" w:styleId="17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dc:creator>
  <cp:lastModifiedBy>沈燕</cp:lastModifiedBy>
  <cp:revision>16</cp:revision>
  <dcterms:created xsi:type="dcterms:W3CDTF">2024-06-25T08:26:00Z</dcterms:created>
  <dcterms:modified xsi:type="dcterms:W3CDTF">2026-07-14T05:13:25Z</dcterms:modified>
</cp:coreProperties>
</file>